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龙岗区文化产业集聚空间及艺术品经营单位安全技术服务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评选标准细则</w:t>
      </w:r>
    </w:p>
    <w:p>
      <w:pPr>
        <w:jc w:val="center"/>
        <w:rPr>
          <w:rFonts w:hint="eastAsia"/>
          <w:b/>
          <w:bCs/>
          <w:sz w:val="24"/>
          <w:szCs w:val="24"/>
        </w:rPr>
      </w:pPr>
    </w:p>
    <w:tbl>
      <w:tblPr>
        <w:tblStyle w:val="2"/>
        <w:tblW w:w="90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20" w:type="dxa"/>
          <w:left w:w="108" w:type="dxa"/>
          <w:bottom w:w="20" w:type="dxa"/>
          <w:right w:w="108" w:type="dxa"/>
        </w:tblCellMar>
      </w:tblPr>
      <w:tblGrid>
        <w:gridCol w:w="676"/>
        <w:gridCol w:w="676"/>
        <w:gridCol w:w="881"/>
        <w:gridCol w:w="1938"/>
        <w:gridCol w:w="677"/>
        <w:gridCol w:w="41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ordWrap w:val="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序号</w:t>
            </w:r>
          </w:p>
        </w:tc>
        <w:tc>
          <w:tcPr>
            <w:tcW w:w="41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评分项</w:t>
            </w:r>
          </w:p>
        </w:tc>
        <w:tc>
          <w:tcPr>
            <w:tcW w:w="41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权重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6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</w:rPr>
              <w:t>1</w:t>
            </w:r>
          </w:p>
        </w:tc>
        <w:tc>
          <w:tcPr>
            <w:tcW w:w="41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ordWrap w:val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价格</w:t>
            </w:r>
          </w:p>
        </w:tc>
        <w:tc>
          <w:tcPr>
            <w:tcW w:w="41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ordWrap w:val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6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83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ordWrap w:val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价格分统一采用低价优先法计算，即满足资质要求的有效报价中取最低的为评标基准价，其价格分为满分。价格分计算公式：投标报价得分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=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【评标基准价／项目报价】×价格权值×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67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wordWrap w:val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1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ordWrap w:val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综合实力部分</w:t>
            </w:r>
          </w:p>
        </w:tc>
        <w:tc>
          <w:tcPr>
            <w:tcW w:w="41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ordWrap w:val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676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序号</w:t>
            </w:r>
          </w:p>
        </w:tc>
        <w:tc>
          <w:tcPr>
            <w:tcW w:w="281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评分因素</w:t>
            </w:r>
          </w:p>
        </w:tc>
        <w:tc>
          <w:tcPr>
            <w:tcW w:w="6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权重</w:t>
            </w:r>
          </w:p>
        </w:tc>
        <w:tc>
          <w:tcPr>
            <w:tcW w:w="41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评分准则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6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2.1</w:t>
            </w:r>
          </w:p>
        </w:tc>
        <w:tc>
          <w:tcPr>
            <w:tcW w:w="28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服务经验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15</w:t>
            </w:r>
          </w:p>
        </w:tc>
        <w:tc>
          <w:tcPr>
            <w:tcW w:w="41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ordWrap w:val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投标人近三年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有受政府部门委托开展过商贸或产业园安全生产服务项目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的，每个得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分；本项最高得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676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2.2</w:t>
            </w:r>
          </w:p>
        </w:tc>
        <w:tc>
          <w:tcPr>
            <w:tcW w:w="28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企业荣誉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1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ordWrap w:val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投标单位获得区级及以上政府部门授予荣誉奖项，每项得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本项最高得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分。提供相关证明材料扫描件。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676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2.3</w:t>
            </w:r>
          </w:p>
        </w:tc>
        <w:tc>
          <w:tcPr>
            <w:tcW w:w="28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履约评价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8</w:t>
            </w:r>
          </w:p>
        </w:tc>
        <w:tc>
          <w:tcPr>
            <w:tcW w:w="417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wordWrap w:val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投标单位近三年来有承接区级及以上政府部门项目，经服务单位考核评价为优的，每项得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分，评价为良的，每项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得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分，最高得分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分。（须提供中标通知书（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公告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）、采购合同文本和考核评价的相关证明文件，如未按要求提供该项证明完整资料的不计分。）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76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2.4</w:t>
            </w:r>
          </w:p>
        </w:tc>
        <w:tc>
          <w:tcPr>
            <w:tcW w:w="2819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响应文件规范性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2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wordWrap w:val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响应文件制作规范，没有细微偏差情况的得</w:t>
            </w:r>
            <w:r>
              <w:rPr>
                <w:rFonts w:ascii="仿宋" w:hAnsi="仿宋" w:eastAsia="仿宋" w:cs="仿宋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分；有一项细微偏差扣</w:t>
            </w:r>
            <w:r>
              <w:rPr>
                <w:rFonts w:ascii="仿宋" w:hAnsi="仿宋" w:eastAsia="仿宋" w:cs="仿宋"/>
                <w:szCs w:val="21"/>
              </w:rPr>
              <w:t>0.5</w:t>
            </w:r>
            <w:r>
              <w:rPr>
                <w:rFonts w:hint="eastAsia" w:ascii="仿宋" w:hAnsi="仿宋" w:eastAsia="仿宋" w:cs="仿宋"/>
                <w:szCs w:val="21"/>
              </w:rPr>
              <w:t>分，直至该项分值扣完为止。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67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wordWrap w:val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</w:rPr>
              <w:t>3</w:t>
            </w:r>
          </w:p>
        </w:tc>
        <w:tc>
          <w:tcPr>
            <w:tcW w:w="41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ordWrap w:val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技术服务部分</w:t>
            </w:r>
          </w:p>
        </w:tc>
        <w:tc>
          <w:tcPr>
            <w:tcW w:w="41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ordWrap w:val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67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序号</w:t>
            </w:r>
          </w:p>
        </w:tc>
        <w:tc>
          <w:tcPr>
            <w:tcW w:w="281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评分因素</w:t>
            </w:r>
          </w:p>
        </w:tc>
        <w:tc>
          <w:tcPr>
            <w:tcW w:w="6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权重</w:t>
            </w:r>
          </w:p>
        </w:tc>
        <w:tc>
          <w:tcPr>
            <w:tcW w:w="41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评分准则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3172" w:hRule="atLeast"/>
          <w:jc w:val="center"/>
        </w:trPr>
        <w:tc>
          <w:tcPr>
            <w:tcW w:w="676" w:type="dxa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3.1</w:t>
            </w:r>
          </w:p>
          <w:p>
            <w:pPr>
              <w:wordWrap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wordWrap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wordWrap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项</w:t>
            </w: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目</w:t>
            </w:r>
          </w:p>
          <w:p>
            <w:pPr>
              <w:wordWrap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方</w:t>
            </w:r>
          </w:p>
          <w:p>
            <w:pPr>
              <w:wordWrap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案</w:t>
            </w:r>
          </w:p>
        </w:tc>
        <w:tc>
          <w:tcPr>
            <w:tcW w:w="1938" w:type="dxa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思路、方法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417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wordWrap w:val="0"/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根据投标人的工作思路、方法及技术路线方案进行打分：</w:t>
            </w:r>
          </w:p>
          <w:p>
            <w:pPr>
              <w:wordWrap w:val="0"/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工作思路清晰、方法可行、技术路线方案完备，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15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分；</w:t>
            </w:r>
          </w:p>
          <w:p>
            <w:pPr>
              <w:wordWrap w:val="0"/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工作思路比较清晰、方法比较可行、技术路线方案比较完备，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12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分；</w:t>
            </w:r>
            <w:bookmarkStart w:id="0" w:name="_GoBack"/>
            <w:bookmarkEnd w:id="0"/>
          </w:p>
          <w:p>
            <w:pPr>
              <w:wordWrap w:val="0"/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工作思路不清晰、方法可行性一般、技术路线方案有一定缺漏，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9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分；</w:t>
            </w:r>
          </w:p>
          <w:p>
            <w:pPr>
              <w:wordWrap w:val="0"/>
              <w:jc w:val="left"/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未提供或者工作思路混乱、方法可行性差、技术路线有较多缺漏，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-0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67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881" w:type="dxa"/>
            <w:vMerge w:val="continue"/>
            <w:tcBorders>
              <w:left w:val="single" w:color="000000" w:sz="8" w:space="0"/>
              <w:right w:val="single" w:color="auto" w:sz="4" w:space="0"/>
            </w:tcBorders>
          </w:tcPr>
          <w:p>
            <w:pPr>
              <w:wordWrap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组织实施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10</w:t>
            </w:r>
          </w:p>
        </w:tc>
        <w:tc>
          <w:tcPr>
            <w:tcW w:w="41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ordWrap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组织实施方案的编制是否详实、可执行度强，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优秀得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分，良好得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7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分，一般得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-0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67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881" w:type="dxa"/>
            <w:vMerge w:val="continue"/>
            <w:tcBorders>
              <w:left w:val="single" w:color="000000" w:sz="8" w:space="0"/>
              <w:right w:val="single" w:color="auto" w:sz="4" w:space="0"/>
            </w:tcBorders>
          </w:tcPr>
          <w:p>
            <w:pPr>
              <w:wordWrap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项目流程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管理与进度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41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ordWrap w:val="0"/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通过横向比较投标人材料项目进度计划与项目管理制度，优秀得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9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分，良好得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分，一般得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-0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67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881" w:type="dxa"/>
            <w:vMerge w:val="continue"/>
            <w:tcBorders>
              <w:left w:val="single" w:color="000000" w:sz="8" w:space="0"/>
              <w:right w:val="single" w:color="auto" w:sz="4" w:space="0"/>
            </w:tcBorders>
          </w:tcPr>
          <w:p>
            <w:pPr>
              <w:wordWrap w:val="0"/>
              <w:jc w:val="both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3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团队人员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保障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</w:p>
        </w:tc>
        <w:tc>
          <w:tcPr>
            <w:tcW w:w="417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wordWrap w:val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通过横向比较投标人材料项目组人员构成，人员投入状况，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主要</w:t>
            </w:r>
            <w:r>
              <w:rPr>
                <w:rFonts w:hint="eastAsia" w:ascii="仿宋" w:hAnsi="仿宋" w:eastAsia="仿宋" w:cs="仿宋"/>
                <w:szCs w:val="21"/>
              </w:rPr>
              <w:t>负责人和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其他成</w:t>
            </w:r>
            <w:r>
              <w:rPr>
                <w:rFonts w:hint="eastAsia" w:ascii="仿宋" w:hAnsi="仿宋" w:eastAsia="仿宋" w:cs="仿宋"/>
                <w:szCs w:val="21"/>
              </w:rPr>
              <w:t>员技术水平</w:t>
            </w:r>
            <w:r>
              <w:rPr>
                <w:rFonts w:ascii="仿宋" w:hAnsi="仿宋" w:eastAsia="仿宋" w:cs="仿宋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szCs w:val="21"/>
              </w:rPr>
              <w:t>职称、资质、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社保清单</w:t>
            </w:r>
            <w:r>
              <w:rPr>
                <w:rFonts w:hint="eastAsia" w:ascii="仿宋" w:hAnsi="仿宋" w:eastAsia="仿宋" w:cs="仿宋"/>
                <w:szCs w:val="21"/>
              </w:rPr>
              <w:t>等</w:t>
            </w:r>
            <w:r>
              <w:rPr>
                <w:rFonts w:ascii="仿宋" w:hAnsi="仿宋" w:eastAsia="仿宋" w:cs="仿宋"/>
                <w:szCs w:val="21"/>
              </w:rPr>
              <w:t>)</w:t>
            </w:r>
            <w:r>
              <w:rPr>
                <w:rFonts w:hint="eastAsia" w:ascii="仿宋" w:hAnsi="仿宋" w:eastAsia="仿宋" w:cs="仿宋"/>
                <w:szCs w:val="21"/>
              </w:rPr>
              <w:t>，有无针对本项目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Cs w:val="21"/>
              </w:rPr>
              <w:t>人员承诺，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优秀得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8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分，良好得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分，一般得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-0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7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881" w:type="dxa"/>
            <w:vMerge w:val="continue"/>
            <w:tcBorders>
              <w:left w:val="single" w:color="000000" w:sz="8" w:space="0"/>
              <w:right w:val="single" w:color="auto" w:sz="4" w:space="0"/>
            </w:tcBorders>
          </w:tcPr>
          <w:p>
            <w:pPr>
              <w:wordWrap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预算费用明细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wordWrap w:val="0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预算费用安排合理、清晰，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优秀得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8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分，良好得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分，一般得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-0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921BC"/>
    <w:rsid w:val="00000001"/>
    <w:rsid w:val="00050001"/>
    <w:rsid w:val="00062463"/>
    <w:rsid w:val="00362E33"/>
    <w:rsid w:val="003A3ACF"/>
    <w:rsid w:val="00437804"/>
    <w:rsid w:val="00461BD6"/>
    <w:rsid w:val="004833DC"/>
    <w:rsid w:val="006313AF"/>
    <w:rsid w:val="006623F5"/>
    <w:rsid w:val="006A0110"/>
    <w:rsid w:val="006E61E5"/>
    <w:rsid w:val="007A30E2"/>
    <w:rsid w:val="007E22D1"/>
    <w:rsid w:val="0082326D"/>
    <w:rsid w:val="00891789"/>
    <w:rsid w:val="00A02F09"/>
    <w:rsid w:val="00C611CC"/>
    <w:rsid w:val="00C9286A"/>
    <w:rsid w:val="00CA15E0"/>
    <w:rsid w:val="00CC6201"/>
    <w:rsid w:val="00D61FB1"/>
    <w:rsid w:val="00E640D2"/>
    <w:rsid w:val="00EE0DC7"/>
    <w:rsid w:val="00F13223"/>
    <w:rsid w:val="00F95D27"/>
    <w:rsid w:val="065F01D9"/>
    <w:rsid w:val="09400712"/>
    <w:rsid w:val="0AF46E84"/>
    <w:rsid w:val="0D6042E2"/>
    <w:rsid w:val="0DC424E4"/>
    <w:rsid w:val="10541026"/>
    <w:rsid w:val="12C14B61"/>
    <w:rsid w:val="12F00A8D"/>
    <w:rsid w:val="13A674A7"/>
    <w:rsid w:val="185A57DD"/>
    <w:rsid w:val="18AF2C1A"/>
    <w:rsid w:val="1A272394"/>
    <w:rsid w:val="1FA945F1"/>
    <w:rsid w:val="20AF7002"/>
    <w:rsid w:val="218C546D"/>
    <w:rsid w:val="2F3921BC"/>
    <w:rsid w:val="30C4194E"/>
    <w:rsid w:val="314C3AA0"/>
    <w:rsid w:val="37715CD0"/>
    <w:rsid w:val="3C8B00E4"/>
    <w:rsid w:val="3D66229B"/>
    <w:rsid w:val="44A143BD"/>
    <w:rsid w:val="45591329"/>
    <w:rsid w:val="4B2C109E"/>
    <w:rsid w:val="51542295"/>
    <w:rsid w:val="580C2BD6"/>
    <w:rsid w:val="59A87256"/>
    <w:rsid w:val="60743A7C"/>
    <w:rsid w:val="63452F79"/>
    <w:rsid w:val="63D10BA4"/>
    <w:rsid w:val="7265286B"/>
    <w:rsid w:val="741B4F0D"/>
    <w:rsid w:val="7E771634"/>
    <w:rsid w:val="7FF5D9D6"/>
    <w:rsid w:val="E57F1FF2"/>
    <w:rsid w:val="FD6F4AC1"/>
    <w:rsid w:val="FFDFE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205</Words>
  <Characters>1175</Characters>
  <Lines>0</Lines>
  <Paragraphs>0</Paragraphs>
  <TotalTime>48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2019-03-19T10:29:00Z</dcterms:created>
  <dc:creator>爱联服务中心后勤李惠茹</dc:creator>
  <cp:lastModifiedBy>叶倩岚</cp:lastModifiedBy>
  <cp:lastPrinted>2020-12-01T16:29:00Z</cp:lastPrinted>
  <dcterms:modified xsi:type="dcterms:W3CDTF">2026-01-23T09:35:34Z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5F49AC25E554181F0E716267B31EC861</vt:lpwstr>
  </property>
</Properties>
</file>