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附件：1、评分标准</w:t>
      </w:r>
    </w:p>
    <w:tbl>
      <w:tblPr>
        <w:tblStyle w:val="5"/>
        <w:tblW w:w="89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458"/>
        <w:gridCol w:w="573"/>
        <w:gridCol w:w="64"/>
        <w:gridCol w:w="5144"/>
        <w:gridCol w:w="12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29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zh-CN"/>
              </w:rPr>
              <w:t>评分项及评分规则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zh-CN"/>
              </w:rPr>
              <w:t>权重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29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一、商务报价部分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29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报价合理，采用价格优先法计算，即满足资质要求的有效报价中取最低的为评标基准价，其价格为满分。本项目报价上限为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万元。</w:t>
            </w:r>
          </w:p>
          <w:p>
            <w:pPr>
              <w:spacing w:line="300" w:lineRule="exac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价格分计算公式：投标报价得分=[评标基准价/项目报价]×价格权重值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zh-CN"/>
              </w:rPr>
              <w:t>专家打分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29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二</w:t>
            </w:r>
            <w:r>
              <w:rPr>
                <w:rFonts w:hint="eastAsia" w:ascii="宋体" w:hAnsi="宋体" w:cs="宋体"/>
                <w:b/>
                <w:sz w:val="22"/>
                <w:szCs w:val="22"/>
                <w:lang w:val="zh-CN"/>
              </w:rPr>
              <w:t>、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资信部分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4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zh-CN"/>
              </w:rPr>
              <w:t>内容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zh-CN"/>
              </w:rPr>
              <w:t>权重</w:t>
            </w:r>
          </w:p>
        </w:tc>
        <w:tc>
          <w:tcPr>
            <w:tcW w:w="52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zh-CN"/>
              </w:rPr>
              <w:t>评分规则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zh-CN"/>
              </w:rPr>
              <w:t>评分方式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4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/>
              </w:rPr>
              <w:t>过往成功案例</w:t>
            </w: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 w:eastAsia="zh-CN"/>
              </w:rPr>
              <w:t>和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zh-CN" w:eastAsia="zh-CN" w:bidi="ar-SA"/>
              </w:rPr>
              <w:t>企业资质</w:t>
            </w:r>
          </w:p>
        </w:tc>
        <w:tc>
          <w:tcPr>
            <w:tcW w:w="5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0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11" w:leftChars="0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评审内容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过往成功案例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公司资质</w:t>
            </w:r>
          </w:p>
          <w:p>
            <w:pPr>
              <w:numPr>
                <w:ilvl w:val="-1"/>
                <w:numId w:val="0"/>
              </w:numPr>
              <w:autoSpaceDE w:val="0"/>
              <w:autoSpaceDN w:val="0"/>
              <w:spacing w:line="320" w:lineRule="exact"/>
              <w:ind w:left="0"/>
              <w:jc w:val="left"/>
              <w:rPr>
                <w:rFonts w:hint="eastAsia" w:ascii="宋体" w:hAnsi="宋体" w:cs="宋体"/>
                <w:b/>
                <w:bCs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</w:rPr>
              <w:t>评审标准：</w:t>
            </w:r>
          </w:p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  <w:t>1）</w:t>
            </w: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en-US" w:eastAsia="zh-CN" w:bidi="ar-SA"/>
              </w:rPr>
              <w:t>有屋顶设备安装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  <w:t>相关</w:t>
            </w: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en-US" w:eastAsia="zh-CN" w:bidi="ar-SA"/>
              </w:rPr>
              <w:t>过往成功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  <w:t>案例3个或以上得</w:t>
            </w: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  <w:t>分，2个得</w:t>
            </w: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  <w:t>分，1个得</w:t>
            </w: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  <w:t>分，没有不得分。</w:t>
            </w:r>
            <w:bookmarkStart w:id="0" w:name="_GoBack"/>
            <w:bookmarkEnd w:id="0"/>
          </w:p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en-US" w:eastAsia="zh-CN" w:bidi="ar-SA"/>
              </w:rPr>
              <w:t>2）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  <w:t>有机电</w:t>
            </w: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en-US" w:eastAsia="zh-CN" w:bidi="ar-SA"/>
              </w:rPr>
              <w:t>工程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  <w:t>资质三级</w:t>
            </w: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en-US" w:eastAsia="zh-CN" w:bidi="ar-SA"/>
              </w:rPr>
              <w:t>以上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  <w:t>得</w:t>
            </w: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  <w:t>分，没有不得分。</w:t>
            </w:r>
          </w:p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</w:rPr>
              <w:t>证明文件</w:t>
            </w: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  <w:lang w:val="en-US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相应证明文件、被认可的官方网站截图、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合同关键页或中标通知书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扫描件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zh-CN"/>
              </w:rPr>
              <w:t>专家打分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458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zh-CN"/>
              </w:rPr>
              <w:t>投标企业服务响应及时能力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10</w:t>
            </w:r>
          </w:p>
        </w:tc>
        <w:tc>
          <w:tcPr>
            <w:tcW w:w="5208" w:type="dxa"/>
            <w:gridSpan w:val="2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宋体" w:hAnsi="宋体" w:cs="宋体"/>
                <w:b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  <w:lang w:val="en-US"/>
              </w:rPr>
              <w:t>评审</w:t>
            </w: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</w:rPr>
              <w:t>内容</w:t>
            </w: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  <w:lang w:val="en-US"/>
              </w:rPr>
              <w:t>：</w:t>
            </w:r>
          </w:p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宋体" w:hAnsi="宋体" w:cs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</w:rPr>
              <w:t>深圳本地企业证明。</w:t>
            </w:r>
          </w:p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宋体" w:hAnsi="宋体" w:cs="宋体"/>
                <w:b/>
                <w:bCs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</w:rPr>
              <w:t>2.评分标准：</w:t>
            </w:r>
          </w:p>
          <w:p>
            <w:pPr>
              <w:autoSpaceDE w:val="0"/>
              <w:autoSpaceDN w:val="0"/>
              <w:spacing w:line="320" w:lineRule="exact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zh-CN"/>
              </w:rPr>
              <w:t>1）深圳本地企业得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10分。</w:t>
            </w:r>
          </w:p>
          <w:p>
            <w:pPr>
              <w:autoSpaceDE w:val="0"/>
              <w:autoSpaceDN w:val="0"/>
              <w:spacing w:line="320" w:lineRule="exact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2）外地企业在深圳有分支机构的得5分。</w:t>
            </w:r>
          </w:p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宋体" w:hAnsi="宋体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zh-CN"/>
              </w:rPr>
              <w:t>3）其余情况不得分；未提供证明文件不得分。</w:t>
            </w:r>
          </w:p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宋体" w:hAnsi="宋体" w:cs="宋体"/>
                <w:b/>
                <w:bCs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  <w:lang w:val="zh-CN"/>
              </w:rPr>
              <w:t>3.证明文件：</w:t>
            </w:r>
          </w:p>
          <w:p>
            <w:pPr>
              <w:autoSpaceDE w:val="0"/>
              <w:autoSpaceDN w:val="0"/>
              <w:spacing w:line="320" w:lineRule="exact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zh-CN"/>
              </w:rPr>
              <w:t>提供单位注册信息证明或现场办公场所证明（包括不仅限于：商事登记证明、场地使用证明，租赁合同）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专家打分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729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zh-CN"/>
              </w:rPr>
              <w:t>三、技术部分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4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zh-CN"/>
              </w:rPr>
              <w:t>内容</w:t>
            </w:r>
          </w:p>
        </w:tc>
        <w:tc>
          <w:tcPr>
            <w:tcW w:w="63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zh-CN"/>
              </w:rPr>
              <w:t>权重</w:t>
            </w:r>
          </w:p>
        </w:tc>
        <w:tc>
          <w:tcPr>
            <w:tcW w:w="51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zh-CN"/>
              </w:rPr>
              <w:t>评分规则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zh-CN"/>
              </w:rPr>
              <w:t>评分方式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1D1B10"/>
                <w:kern w:val="0"/>
                <w:sz w:val="22"/>
                <w:szCs w:val="22"/>
                <w:lang w:bidi="ar"/>
              </w:rPr>
              <w:t>设备材料</w:t>
            </w:r>
            <w:r>
              <w:rPr>
                <w:rFonts w:hint="eastAsia" w:ascii="宋体" w:hAnsi="宋体" w:cs="宋体"/>
                <w:color w:val="1D1B1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1D1B10"/>
                <w:kern w:val="0"/>
                <w:sz w:val="22"/>
                <w:szCs w:val="22"/>
                <w:lang w:bidi="ar"/>
              </w:rPr>
              <w:t>性能、品牌、技术指标等</w:t>
            </w:r>
          </w:p>
        </w:tc>
        <w:tc>
          <w:tcPr>
            <w:tcW w:w="63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1D1B1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144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宋体" w:hAnsi="宋体" w:cs="宋体"/>
                <w:b/>
                <w:bCs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  <w:lang w:val="zh-CN"/>
              </w:rPr>
              <w:t>评审</w:t>
            </w: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</w:rPr>
              <w:t>内容</w:t>
            </w: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  <w:lang w:val="zh-CN"/>
              </w:rPr>
              <w:t>：</w:t>
            </w:r>
          </w:p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宋体" w:hAnsi="宋体" w:cs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en-US" w:eastAsia="zh-CN"/>
              </w:rPr>
              <w:t>所投标的设备材料性能、品牌、技术指标等</w:t>
            </w: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</w:rPr>
              <w:t>。</w:t>
            </w:r>
          </w:p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宋体" w:hAnsi="宋体" w:cs="宋体"/>
                <w:b/>
                <w:bCs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</w:rPr>
              <w:t>2.评分标准：</w:t>
            </w:r>
          </w:p>
          <w:p>
            <w:pPr>
              <w:autoSpaceDE w:val="0"/>
              <w:autoSpaceDN w:val="0"/>
              <w:spacing w:line="320" w:lineRule="exact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通过横向对比参数资料，对设备的品牌知名度、技术指标、性能、等参数进行横向对比评分，良好得20-30分、较好得10-20分、一般得5-10分。</w:t>
            </w:r>
          </w:p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宋体" w:hAnsi="宋体" w:cs="宋体"/>
                <w:b/>
                <w:bCs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</w:rPr>
              <w:t>3.证明文件：</w:t>
            </w:r>
          </w:p>
          <w:p>
            <w:pPr>
              <w:widowControl/>
              <w:autoSpaceDE w:val="0"/>
              <w:autoSpaceDN w:val="0"/>
              <w:spacing w:line="320" w:lineRule="exact"/>
              <w:jc w:val="left"/>
              <w:textAlignment w:val="auto"/>
              <w:rPr>
                <w:rFonts w:ascii="宋体" w:hAnsi="宋体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投标书报价清单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。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专家打分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4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zh-CN"/>
              </w:rPr>
              <w:t>项目管理、技术人员配备</w:t>
            </w:r>
          </w:p>
        </w:tc>
        <w:tc>
          <w:tcPr>
            <w:tcW w:w="63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5144" w:type="dxa"/>
            <w:vAlign w:val="center"/>
          </w:tcPr>
          <w:p>
            <w:pPr>
              <w:autoSpaceDE w:val="0"/>
              <w:autoSpaceDN w:val="0"/>
              <w:adjustRightInd/>
              <w:spacing w:line="320" w:lineRule="exact"/>
              <w:jc w:val="left"/>
              <w:rPr>
                <w:rFonts w:hint="eastAsia" w:ascii="宋体" w:hAnsi="宋体" w:cs="宋体"/>
                <w:b/>
                <w:bCs w:val="0"/>
                <w:kern w:val="2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2"/>
                <w:szCs w:val="22"/>
                <w:lang w:val="zh-CN"/>
              </w:rPr>
              <w:t>1.评审内容：</w:t>
            </w:r>
          </w:p>
          <w:p>
            <w:pPr>
              <w:autoSpaceDE w:val="0"/>
              <w:autoSpaceDN w:val="0"/>
              <w:adjustRightInd/>
              <w:spacing w:line="320" w:lineRule="exact"/>
              <w:jc w:val="left"/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/>
              </w:rPr>
              <w:t>1、配备项目管理人员结构较完善，并提供相关人员专业技术资质证书：</w:t>
            </w: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/>
              </w:rPr>
              <w:br w:type="textWrapping"/>
            </w:r>
            <w:r>
              <w:rPr>
                <w:rFonts w:hint="eastAsia" w:ascii="宋体" w:hAnsi="宋体" w:cs="宋体"/>
                <w:b/>
                <w:bCs w:val="0"/>
                <w:kern w:val="2"/>
                <w:sz w:val="22"/>
                <w:szCs w:val="22"/>
                <w:lang w:val="zh-CN"/>
              </w:rPr>
              <w:t>2.</w:t>
            </w:r>
            <w:r>
              <w:rPr>
                <w:rFonts w:hint="eastAsia" w:ascii="宋体" w:hAnsi="宋体" w:cs="宋体"/>
                <w:b/>
                <w:bCs w:val="0"/>
                <w:kern w:val="2"/>
                <w:sz w:val="22"/>
                <w:szCs w:val="22"/>
                <w:lang w:val="zh-CN" w:eastAsia="zh-CN"/>
              </w:rPr>
              <w:t>评分标准：</w:t>
            </w:r>
          </w:p>
          <w:p>
            <w:pPr>
              <w:autoSpaceDE w:val="0"/>
              <w:autoSpaceDN w:val="0"/>
              <w:adjustRightInd/>
              <w:spacing w:line="320" w:lineRule="exact"/>
              <w:jc w:val="left"/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 w:eastAsia="zh-CN"/>
              </w:rPr>
              <w:t>其中，拟派项目经理具备机电工程专业二级建造师，电气中级工程师1名，建筑、机械专业中级工程师各1名，制冷专业技术员1名，电工、质量员、安全员等各一名。项目经理管理班子人员配置至少具备以上岗位人员得6分，一般得3-5分，较差得0-2分。本项最多得6分。</w:t>
            </w:r>
          </w:p>
          <w:p>
            <w:pPr>
              <w:autoSpaceDE w:val="0"/>
              <w:autoSpaceDN w:val="0"/>
              <w:adjustRightInd/>
              <w:spacing w:line="320" w:lineRule="exact"/>
              <w:jc w:val="left"/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/>
              </w:rPr>
              <w:t>2、现场安装管理和安装组织计划方案较完善</w:t>
            </w: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/>
              </w:rPr>
              <w:t>分</w:t>
            </w: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 w:eastAsia="zh-CN"/>
              </w:rPr>
              <w:t>，一般2-3分，较差1分</w:t>
            </w: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/>
              </w:rPr>
              <w:t>。</w:t>
            </w:r>
          </w:p>
          <w:p>
            <w:pPr>
              <w:autoSpaceDE w:val="0"/>
              <w:autoSpaceDN w:val="0"/>
              <w:adjustRightInd/>
              <w:spacing w:line="320" w:lineRule="exact"/>
              <w:jc w:val="left"/>
              <w:rPr>
                <w:rFonts w:hint="eastAsia" w:ascii="宋体" w:hAnsi="宋体" w:cs="宋体"/>
                <w:b/>
                <w:bCs w:val="0"/>
                <w:kern w:val="2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 w:val="0"/>
                <w:kern w:val="2"/>
                <w:sz w:val="22"/>
                <w:szCs w:val="22"/>
                <w:lang w:val="zh-CN"/>
              </w:rPr>
              <w:t>.证明文件：</w:t>
            </w:r>
          </w:p>
          <w:p>
            <w:pPr>
              <w:autoSpaceDE w:val="0"/>
              <w:autoSpaceDN w:val="0"/>
              <w:adjustRightInd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zh-CN"/>
              </w:rPr>
              <w:t>具体格式由投标方提供。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zh-CN"/>
              </w:rPr>
              <w:t>专家打分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9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145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制定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zh-CN"/>
              </w:rPr>
              <w:t>进度安排计划</w:t>
            </w:r>
          </w:p>
        </w:tc>
        <w:tc>
          <w:tcPr>
            <w:tcW w:w="63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/>
              <w:spacing w:line="320" w:lineRule="exact"/>
              <w:jc w:val="left"/>
              <w:rPr>
                <w:rFonts w:hint="eastAsia" w:ascii="宋体" w:hAnsi="宋体" w:cs="宋体"/>
                <w:b/>
                <w:bCs w:val="0"/>
                <w:kern w:val="2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2"/>
                <w:szCs w:val="22"/>
                <w:lang w:val="zh-CN"/>
              </w:rPr>
              <w:t>1.评审内容：</w:t>
            </w:r>
          </w:p>
          <w:p>
            <w:pPr>
              <w:autoSpaceDE w:val="0"/>
              <w:autoSpaceDN w:val="0"/>
              <w:adjustRightInd/>
              <w:spacing w:line="320" w:lineRule="exact"/>
              <w:jc w:val="left"/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/>
              </w:rPr>
              <w:t>提供项目安装进度安排计划表，进度表格式由投标人自行决定。</w:t>
            </w:r>
          </w:p>
          <w:p>
            <w:pPr>
              <w:autoSpaceDE w:val="0"/>
              <w:autoSpaceDN w:val="0"/>
              <w:spacing w:line="320" w:lineRule="exact"/>
              <w:jc w:val="left"/>
              <w:rPr>
                <w:rFonts w:hint="eastAsia" w:ascii="宋体" w:hAnsi="宋体" w:cs="宋体"/>
                <w:b/>
                <w:bCs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  <w:lang w:val="zh-CN"/>
              </w:rPr>
              <w:t>2.评分标准：</w:t>
            </w:r>
          </w:p>
          <w:p>
            <w:pPr>
              <w:autoSpaceDE w:val="0"/>
              <w:autoSpaceDN w:val="0"/>
              <w:adjustRightInd/>
              <w:spacing w:line="320" w:lineRule="exact"/>
              <w:jc w:val="left"/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/>
              </w:rPr>
              <w:t>安装进度计划满足要求者得10分；进度计划延迟或没有提供进度计划者不得分。</w:t>
            </w:r>
          </w:p>
          <w:p>
            <w:pPr>
              <w:autoSpaceDE w:val="0"/>
              <w:autoSpaceDN w:val="0"/>
              <w:adjustRightInd/>
              <w:spacing w:line="320" w:lineRule="exact"/>
              <w:jc w:val="left"/>
              <w:rPr>
                <w:rFonts w:hint="eastAsia" w:ascii="宋体" w:hAnsi="宋体" w:cs="宋体"/>
                <w:b/>
                <w:bCs w:val="0"/>
                <w:kern w:val="2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2"/>
                <w:szCs w:val="22"/>
                <w:lang w:val="zh-CN"/>
              </w:rPr>
              <w:t>3.证明文件：</w:t>
            </w:r>
          </w:p>
          <w:p>
            <w:pPr>
              <w:autoSpaceDE w:val="0"/>
              <w:autoSpaceDN w:val="0"/>
              <w:adjustRightInd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2"/>
                <w:sz w:val="22"/>
                <w:szCs w:val="22"/>
                <w:lang w:val="zh-CN"/>
              </w:rPr>
              <w:t>投标人需提供整体的施工进度表。</w:t>
            </w:r>
          </w:p>
        </w:tc>
        <w:tc>
          <w:tcPr>
            <w:tcW w:w="122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zh-CN"/>
              </w:rPr>
              <w:t>专家打分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4NThiMzRjOTU5MzA2YWJiOWY0ZDc1NDMzZTJmZjYifQ=="/>
  </w:docVars>
  <w:rsids>
    <w:rsidRoot w:val="637859F9"/>
    <w:rsid w:val="000D32B8"/>
    <w:rsid w:val="00115EE6"/>
    <w:rsid w:val="00403D23"/>
    <w:rsid w:val="00DA317A"/>
    <w:rsid w:val="00EA6664"/>
    <w:rsid w:val="00F054C4"/>
    <w:rsid w:val="00F43DDB"/>
    <w:rsid w:val="00F94DCF"/>
    <w:rsid w:val="029F57B5"/>
    <w:rsid w:val="07C8374C"/>
    <w:rsid w:val="0DE92FFF"/>
    <w:rsid w:val="13810883"/>
    <w:rsid w:val="1EFCE644"/>
    <w:rsid w:val="249F31F0"/>
    <w:rsid w:val="37CD01F8"/>
    <w:rsid w:val="3C214621"/>
    <w:rsid w:val="3C781B2A"/>
    <w:rsid w:val="3EA99C07"/>
    <w:rsid w:val="3FDD8B10"/>
    <w:rsid w:val="3FF7FC8B"/>
    <w:rsid w:val="43DFD9C8"/>
    <w:rsid w:val="43FC240E"/>
    <w:rsid w:val="440828CE"/>
    <w:rsid w:val="44676DCB"/>
    <w:rsid w:val="4CDE1F03"/>
    <w:rsid w:val="4D815547"/>
    <w:rsid w:val="4E08173A"/>
    <w:rsid w:val="525E6BF5"/>
    <w:rsid w:val="5CFB3FC8"/>
    <w:rsid w:val="5D8F6257"/>
    <w:rsid w:val="5E7D43CD"/>
    <w:rsid w:val="637859F9"/>
    <w:rsid w:val="654F773E"/>
    <w:rsid w:val="67339302"/>
    <w:rsid w:val="694B2E89"/>
    <w:rsid w:val="75DFB871"/>
    <w:rsid w:val="7A087F69"/>
    <w:rsid w:val="7CEF8A9B"/>
    <w:rsid w:val="7CF564CB"/>
    <w:rsid w:val="7FBEAEC7"/>
    <w:rsid w:val="7FF6DA84"/>
    <w:rsid w:val="7FFF56ED"/>
    <w:rsid w:val="7FFFC208"/>
    <w:rsid w:val="8FFE821B"/>
    <w:rsid w:val="9FBA69C5"/>
    <w:rsid w:val="BB9F2D9F"/>
    <w:rsid w:val="D177FA0C"/>
    <w:rsid w:val="DF7FFAED"/>
    <w:rsid w:val="F6AF456E"/>
    <w:rsid w:val="FD7F3B73"/>
    <w:rsid w:val="FE920071"/>
    <w:rsid w:val="FFED9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748</Characters>
  <Lines>6</Lines>
  <Paragraphs>1</Paragraphs>
  <TotalTime>41</TotalTime>
  <ScaleCrop>false</ScaleCrop>
  <LinksUpToDate>false</LinksUpToDate>
  <CharactersWithSpaces>878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2023-10-21T06:35:00Z</dcterms:created>
  <dc:creator>Admin</dc:creator>
  <cp:lastModifiedBy>杨海宇</cp:lastModifiedBy>
  <dcterms:modified xsi:type="dcterms:W3CDTF">2024-01-08T11:15:04Z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3FA25D4ACE6F4D3B832C935400CA6F34_13</vt:lpwstr>
  </property>
</Properties>
</file>