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eastAsia" w:eastAsia="方正小标宋简体"/>
          <w:color w:val="000000"/>
          <w:sz w:val="36"/>
          <w:lang w:val="en-US" w:eastAsia="zh-CN"/>
        </w:rPr>
        <w:t>龙岗区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5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2D5280"/>
    <w:rsid w:val="EC2D5280"/>
    <w:rsid w:val="EEBB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sz w:val="2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2024-02-08T01:23:00Z</dcterms:created>
  <dc:creator>段忠信</dc:creator>
  <cp:lastModifiedBy>江燕梅</cp:lastModifiedBy>
  <dcterms:modified xsi:type="dcterms:W3CDTF">2024-02-07T17:27:01Z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