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48" w:type="dxa"/>
        <w:tblInd w:w="93" w:type="dxa"/>
        <w:tblLayout w:type="fixed"/>
        <w:tblCellMar>
          <w:top w:w="0" w:type="dxa"/>
          <w:left w:w="108" w:type="dxa"/>
          <w:bottom w:w="0" w:type="dxa"/>
          <w:right w:w="108" w:type="dxa"/>
        </w:tblCellMar>
      </w:tblPr>
      <w:tblGrid>
        <w:gridCol w:w="615"/>
        <w:gridCol w:w="733"/>
        <w:gridCol w:w="1500"/>
        <w:gridCol w:w="917"/>
        <w:gridCol w:w="2400"/>
        <w:gridCol w:w="2183"/>
      </w:tblGrid>
      <w:tr>
        <w:tblPrEx>
          <w:tblCellMar>
            <w:top w:w="0" w:type="dxa"/>
            <w:left w:w="108" w:type="dxa"/>
            <w:bottom w:w="0" w:type="dxa"/>
            <w:right w:w="108" w:type="dxa"/>
          </w:tblCellMar>
        </w:tblPrEx>
        <w:trPr>
          <w:trHeight w:val="1050" w:hRule="atLeast"/>
        </w:trPr>
        <w:tc>
          <w:tcPr>
            <w:tcW w:w="8348" w:type="dxa"/>
            <w:gridSpan w:val="6"/>
            <w:tcBorders>
              <w:top w:val="nil"/>
              <w:left w:val="nil"/>
              <w:bottom w:val="nil"/>
              <w:right w:val="nil"/>
            </w:tcBorders>
            <w:noWrap w:val="0"/>
            <w:vAlign w:val="center"/>
          </w:tcPr>
          <w:p>
            <w:pPr>
              <w:widowControl/>
              <w:spacing w:line="540" w:lineRule="exact"/>
              <w:textAlignment w:val="center"/>
              <w:rPr>
                <w:rFonts w:ascii="方正小标宋简体" w:hAnsi="方正小标宋简体" w:eastAsia="方正小标宋简体" w:cs="方正小标宋简体"/>
                <w:color w:val="000000"/>
                <w:kern w:val="0"/>
                <w:sz w:val="44"/>
                <w:szCs w:val="44"/>
                <w:lang w:bidi="ar"/>
              </w:rPr>
            </w:pPr>
          </w:p>
          <w:p>
            <w:pPr>
              <w:widowControl/>
              <w:spacing w:line="540" w:lineRule="exact"/>
              <w:jc w:val="center"/>
              <w:textAlignment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赴上海北京人力资源服务业招商活动</w:t>
            </w:r>
          </w:p>
          <w:p>
            <w:pPr>
              <w:widowControl/>
              <w:spacing w:line="54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采购项目评审评分参考标准</w:t>
            </w:r>
          </w:p>
        </w:tc>
      </w:tr>
      <w:tr>
        <w:tblPrEx>
          <w:tblCellMar>
            <w:top w:w="0" w:type="dxa"/>
            <w:left w:w="108" w:type="dxa"/>
            <w:bottom w:w="0" w:type="dxa"/>
            <w:right w:w="108" w:type="dxa"/>
          </w:tblCellMar>
        </w:tblPrEx>
        <w:trPr>
          <w:trHeight w:val="40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54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评分项（总分100分）</w:t>
            </w:r>
          </w:p>
        </w:tc>
        <w:tc>
          <w:tcPr>
            <w:tcW w:w="4583" w:type="dxa"/>
            <w:gridSpan w:val="2"/>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权重</w:t>
            </w:r>
          </w:p>
        </w:tc>
      </w:tr>
      <w:tr>
        <w:tblPrEx>
          <w:tblCellMar>
            <w:top w:w="0" w:type="dxa"/>
            <w:left w:w="108" w:type="dxa"/>
            <w:bottom w:w="0" w:type="dxa"/>
            <w:right w:w="108" w:type="dxa"/>
          </w:tblCellMar>
        </w:tblPrEx>
        <w:trPr>
          <w:trHeight w:val="40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一</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b/>
                <w:bCs/>
                <w:color w:val="000000"/>
                <w:sz w:val="22"/>
                <w:szCs w:val="22"/>
              </w:rPr>
            </w:pPr>
            <w:r>
              <w:rPr>
                <w:rFonts w:hint="eastAsia" w:ascii="仿宋_GB2312" w:hAnsi="Tahoma" w:eastAsia="仿宋_GB2312" w:cs="仿宋_GB2312"/>
                <w:b/>
                <w:bCs/>
                <w:color w:val="000000"/>
                <w:kern w:val="0"/>
                <w:sz w:val="22"/>
                <w:szCs w:val="22"/>
                <w:lang w:bidi="ar"/>
              </w:rPr>
              <w:t>价格</w:t>
            </w:r>
          </w:p>
        </w:tc>
        <w:tc>
          <w:tcPr>
            <w:tcW w:w="45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b/>
                <w:bCs/>
                <w:color w:val="000000"/>
                <w:sz w:val="22"/>
                <w:szCs w:val="22"/>
              </w:rPr>
            </w:pPr>
            <w:r>
              <w:rPr>
                <w:rFonts w:hint="eastAsia" w:ascii="仿宋_GB2312" w:hAnsi="Tahoma" w:eastAsia="仿宋_GB2312" w:cs="仿宋_GB2312"/>
                <w:b/>
                <w:bCs/>
                <w:color w:val="000000"/>
                <w:kern w:val="0"/>
                <w:sz w:val="22"/>
                <w:szCs w:val="22"/>
                <w:lang w:bidi="ar"/>
              </w:rPr>
              <w:t xml:space="preserve"> </w:t>
            </w:r>
          </w:p>
        </w:tc>
      </w:tr>
      <w:tr>
        <w:tblPrEx>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评分因素</w:t>
            </w:r>
          </w:p>
        </w:tc>
        <w:tc>
          <w:tcPr>
            <w:tcW w:w="917"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权重</w:t>
            </w:r>
          </w:p>
        </w:tc>
        <w:tc>
          <w:tcPr>
            <w:tcW w:w="24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评分内容</w:t>
            </w:r>
          </w:p>
        </w:tc>
        <w:tc>
          <w:tcPr>
            <w:tcW w:w="218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评分办法</w:t>
            </w:r>
          </w:p>
        </w:tc>
      </w:tr>
      <w:tr>
        <w:tblPrEx>
          <w:tblCellMar>
            <w:top w:w="0" w:type="dxa"/>
            <w:left w:w="108" w:type="dxa"/>
            <w:bottom w:w="0" w:type="dxa"/>
            <w:right w:w="108" w:type="dxa"/>
          </w:tblCellMar>
        </w:tblPrEx>
        <w:trPr>
          <w:trHeight w:val="21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价格</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0"/>
                <w:szCs w:val="20"/>
              </w:rPr>
            </w:pPr>
            <w:r>
              <w:rPr>
                <w:rFonts w:hint="eastAsia" w:ascii="仿宋_GB2312" w:hAnsi="Tahoma" w:eastAsia="仿宋_GB2312" w:cs="仿宋_GB2312"/>
                <w:color w:val="000000"/>
                <w:kern w:val="0"/>
                <w:sz w:val="20"/>
                <w:szCs w:val="20"/>
                <w:lang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Style w:val="7"/>
                <w:rFonts w:hint="default" w:hAnsi="Tahoma"/>
                <w:lang w:bidi="ar"/>
              </w:rPr>
              <w:t>满足招标文件要求且投标价格最低的投标报价为评标基准价，其价格分为满分。价格得分=(评标基准价／投标报价)×权重</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查看各供应商报价</w:t>
            </w:r>
          </w:p>
        </w:tc>
      </w:tr>
      <w:tr>
        <w:tblPrEx>
          <w:tblCellMar>
            <w:top w:w="0" w:type="dxa"/>
            <w:left w:w="108" w:type="dxa"/>
            <w:bottom w:w="0" w:type="dxa"/>
            <w:right w:w="108" w:type="dxa"/>
          </w:tblCellMar>
        </w:tblPrEx>
        <w:trPr>
          <w:trHeight w:val="40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二</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b/>
                <w:bCs/>
                <w:color w:val="000000"/>
                <w:sz w:val="22"/>
                <w:szCs w:val="22"/>
              </w:rPr>
            </w:pPr>
            <w:r>
              <w:rPr>
                <w:rFonts w:hint="eastAsia" w:ascii="仿宋_GB2312" w:hAnsi="Tahoma" w:eastAsia="仿宋_GB2312" w:cs="仿宋_GB2312"/>
                <w:b/>
                <w:bCs/>
                <w:color w:val="000000"/>
                <w:kern w:val="0"/>
                <w:sz w:val="22"/>
                <w:szCs w:val="22"/>
                <w:lang w:bidi="ar"/>
              </w:rPr>
              <w:t>综合实力</w:t>
            </w:r>
          </w:p>
        </w:tc>
        <w:tc>
          <w:tcPr>
            <w:tcW w:w="45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b/>
                <w:bCs/>
                <w:color w:val="000000"/>
                <w:sz w:val="22"/>
                <w:szCs w:val="22"/>
              </w:rPr>
            </w:pPr>
            <w:r>
              <w:rPr>
                <w:rFonts w:hint="eastAsia" w:ascii="仿宋_GB2312" w:hAnsi="Tahoma" w:eastAsia="仿宋_GB2312" w:cs="仿宋_GB2312"/>
                <w:b/>
                <w:bCs/>
                <w:color w:val="000000"/>
                <w:kern w:val="0"/>
                <w:sz w:val="22"/>
                <w:szCs w:val="22"/>
                <w:lang w:bidi="ar"/>
              </w:rPr>
              <w:t xml:space="preserve"> </w:t>
            </w:r>
          </w:p>
        </w:tc>
      </w:tr>
      <w:tr>
        <w:tblPrEx>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评分因素</w:t>
            </w:r>
          </w:p>
        </w:tc>
        <w:tc>
          <w:tcPr>
            <w:tcW w:w="917"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权重</w:t>
            </w:r>
          </w:p>
        </w:tc>
        <w:tc>
          <w:tcPr>
            <w:tcW w:w="24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评分内容</w:t>
            </w:r>
          </w:p>
        </w:tc>
        <w:tc>
          <w:tcPr>
            <w:tcW w:w="218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评分办法</w:t>
            </w:r>
          </w:p>
        </w:tc>
      </w:tr>
      <w:tr>
        <w:tblPrEx>
          <w:tblCellMar>
            <w:top w:w="0" w:type="dxa"/>
            <w:left w:w="108" w:type="dxa"/>
            <w:bottom w:w="0" w:type="dxa"/>
            <w:right w:w="108" w:type="dxa"/>
          </w:tblCellMar>
        </w:tblPrEx>
        <w:trPr>
          <w:trHeight w:val="8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公司资质</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投标公司具有相关资质</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审查公司营业执照等</w:t>
            </w:r>
          </w:p>
        </w:tc>
      </w:tr>
      <w:tr>
        <w:tblPrEx>
          <w:tblCellMar>
            <w:top w:w="0" w:type="dxa"/>
            <w:left w:w="108" w:type="dxa"/>
            <w:bottom w:w="0" w:type="dxa"/>
            <w:right w:w="108" w:type="dxa"/>
          </w:tblCellMar>
        </w:tblPrEx>
        <w:trPr>
          <w:trHeight w:val="13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同类项目业绩</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具有距项目申报截止日近5年内承接政府机关事业单位赴外交流学习或考察调研或干部培训等相关项目经验的，每项得4分，此项最高得20分。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审查中标通知书、合同关键页或其他证明材料。</w:t>
            </w:r>
          </w:p>
        </w:tc>
      </w:tr>
      <w:tr>
        <w:tblPrEx>
          <w:tblCellMar>
            <w:top w:w="0" w:type="dxa"/>
            <w:left w:w="108" w:type="dxa"/>
            <w:bottom w:w="0" w:type="dxa"/>
            <w:right w:w="108" w:type="dxa"/>
          </w:tblCellMar>
        </w:tblPrEx>
        <w:trPr>
          <w:trHeight w:val="40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三</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仿宋_GB2312" w:hAnsi="Tahoma" w:eastAsia="仿宋_GB2312" w:cs="仿宋_GB2312"/>
                <w:b/>
                <w:bCs/>
                <w:color w:val="000000"/>
                <w:sz w:val="22"/>
                <w:szCs w:val="22"/>
              </w:rPr>
            </w:pPr>
            <w:r>
              <w:rPr>
                <w:rFonts w:hint="eastAsia" w:ascii="仿宋_GB2312" w:hAnsi="Tahoma" w:eastAsia="仿宋_GB2312" w:cs="仿宋_GB2312"/>
                <w:b/>
                <w:bCs/>
                <w:color w:val="000000"/>
                <w:kern w:val="0"/>
                <w:sz w:val="22"/>
                <w:szCs w:val="22"/>
                <w:lang w:bidi="ar"/>
              </w:rPr>
              <w:t>技术服务</w:t>
            </w:r>
          </w:p>
        </w:tc>
        <w:tc>
          <w:tcPr>
            <w:tcW w:w="45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left"/>
              <w:textAlignment w:val="center"/>
              <w:rPr>
                <w:rFonts w:ascii="仿宋_GB2312" w:hAnsi="Tahoma" w:eastAsia="仿宋_GB2312" w:cs="仿宋_GB2312"/>
                <w:b/>
                <w:bCs/>
                <w:color w:val="000000"/>
                <w:sz w:val="22"/>
                <w:szCs w:val="22"/>
              </w:rPr>
            </w:pPr>
            <w:r>
              <w:rPr>
                <w:rFonts w:hint="eastAsia" w:ascii="仿宋_GB2312" w:hAnsi="Tahoma" w:eastAsia="仿宋_GB2312" w:cs="仿宋_GB2312"/>
                <w:b/>
                <w:bCs/>
                <w:color w:val="000000"/>
                <w:kern w:val="0"/>
                <w:sz w:val="22"/>
                <w:szCs w:val="22"/>
                <w:lang w:bidi="ar"/>
              </w:rPr>
              <w:t xml:space="preserve"> </w:t>
            </w:r>
          </w:p>
        </w:tc>
      </w:tr>
      <w:tr>
        <w:tblPrEx>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评分因素</w:t>
            </w:r>
          </w:p>
        </w:tc>
        <w:tc>
          <w:tcPr>
            <w:tcW w:w="917"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权重</w:t>
            </w:r>
          </w:p>
        </w:tc>
        <w:tc>
          <w:tcPr>
            <w:tcW w:w="24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评分内容</w:t>
            </w:r>
          </w:p>
        </w:tc>
        <w:tc>
          <w:tcPr>
            <w:tcW w:w="218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评分办法</w:t>
            </w:r>
          </w:p>
        </w:tc>
      </w:tr>
      <w:tr>
        <w:tblPrEx>
          <w:tblCellMar>
            <w:top w:w="0" w:type="dxa"/>
            <w:left w:w="108" w:type="dxa"/>
            <w:bottom w:w="0" w:type="dxa"/>
            <w:right w:w="108" w:type="dxa"/>
          </w:tblCellMar>
        </w:tblPrEx>
        <w:trPr>
          <w:trHeight w:val="1545"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40" w:lineRule="exact"/>
              <w:jc w:val="center"/>
              <w:rPr>
                <w:rFonts w:ascii="仿宋_GB2312" w:hAnsi="Tahoma" w:eastAsia="仿宋_GB2312" w:cs="仿宋_GB2312"/>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活动方案</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40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审查本项目活动方案，好得31-40分，中得15-30分，差得0-15分。</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left"/>
              <w:textAlignment w:val="center"/>
              <w:rPr>
                <w:rFonts w:ascii="仿宋_GB2312" w:hAnsi="Tahoma" w:eastAsia="仿宋_GB2312" w:cs="仿宋_GB2312"/>
                <w:color w:val="000000"/>
                <w:sz w:val="22"/>
                <w:szCs w:val="22"/>
              </w:rPr>
            </w:pPr>
            <w:r>
              <w:rPr>
                <w:rFonts w:hint="eastAsia" w:ascii="仿宋_GB2312" w:hAnsi="Tahoma" w:eastAsia="仿宋_GB2312" w:cs="仿宋_GB2312"/>
                <w:color w:val="000000"/>
                <w:kern w:val="0"/>
                <w:sz w:val="22"/>
                <w:szCs w:val="22"/>
                <w:lang w:bidi="ar"/>
              </w:rPr>
              <w:t>根据项目方案的活动安排、活动执行、活动承诺质量等方面进行横向比较评分。</w:t>
            </w:r>
          </w:p>
        </w:tc>
      </w:tr>
    </w:tbl>
    <w:p>
      <w:pPr>
        <w:spacing w:line="540" w:lineRule="exact"/>
        <w:jc w:val="left"/>
        <w:rPr>
          <w:rFonts w:ascii="方正小标宋简体" w:hAnsi="方正小标宋简体" w:eastAsia="方正小标宋简体" w:cs="方正小标宋简体"/>
          <w:sz w:val="44"/>
          <w:szCs w:val="44"/>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Am97ObcAQAAwAMAAA4AAAAAAAAAAQAgAAAANAEAAGRycy9lMm9Eb2MueG1sUEsFBgAAAAAGAAYA&#10;WQEAAII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ql5uc8AAAAFAQAADwAA&#10;AAAAAAABACAAAAA4AAAAZHJzL2Rvd25yZXYueG1sUEsBAhQAFAAAAAgAh07iQB4aEvfQAQAApAMA&#10;AA4AAAAAAAAAAQAgAAAANAEAAGRycy9lMm9Eb2MueG1sUEsFBgAAAAAGAAYAWQEAAHYFAAAAAA==&#10;">
              <v:path/>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3BD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3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黎伟峰</cp:lastModifiedBy>
  <dcterms:modified xsi:type="dcterms:W3CDTF">2024-04-15T14:45:41Z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