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eastAsia="zh-CN"/>
        </w:rPr>
        <w:t>南湾</w:t>
      </w:r>
      <w:r>
        <w:rPr>
          <w:rFonts w:hint="default" w:ascii="方正小标宋简体" w:hAnsi="方正小标宋简体" w:eastAsia="方正小标宋简体" w:cs="方正小标宋简体"/>
          <w:sz w:val="44"/>
          <w:szCs w:val="44"/>
          <w:lang w:val="en-US" w:eastAsia="zh-CN"/>
        </w:rPr>
        <w:t>街道2025年“四防”基础设施</w:t>
      </w:r>
      <w:r>
        <w:rPr>
          <w:rFonts w:hint="eastAsia" w:ascii="方正小标宋简体" w:hAnsi="方正小标宋简体" w:eastAsia="方正小标宋简体" w:cs="方正小标宋简体"/>
          <w:sz w:val="44"/>
          <w:szCs w:val="44"/>
          <w:lang w:val="en-US" w:eastAsia="zh-CN"/>
        </w:rPr>
        <w:t>采购</w:t>
      </w:r>
    </w:p>
    <w:p>
      <w:pPr>
        <w:pStyle w:val="5"/>
        <w:keepNext w:val="0"/>
        <w:keepLines w:val="0"/>
        <w:widowControl/>
        <w:suppressLineNumbers w:val="0"/>
        <w:spacing w:before="0" w:beforeAutospacing="0" w:after="0" w:afterAutospacing="0"/>
        <w:ind w:left="0" w:leftChars="0" w:right="0" w:firstLine="0" w:firstLineChars="0"/>
        <w:jc w:val="center"/>
        <w:rPr>
          <w:rFonts w:hint="default"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项目</w:t>
      </w: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w:t>
      </w:r>
      <w:r>
        <w:rPr>
          <w:rFonts w:hint="default" w:ascii="仿宋_GB2312" w:hAnsi="仿宋_GB2312" w:eastAsia="仿宋_GB2312" w:cs="仿宋_GB2312"/>
          <w:b w:val="0"/>
          <w:bCs w:val="0"/>
          <w:color w:val="auto"/>
          <w:sz w:val="32"/>
          <w:szCs w:val="32"/>
          <w:highlight w:val="none"/>
          <w:lang w:val="en-US" w:eastAsia="zh-CN"/>
        </w:rPr>
        <w:t>2025年“四防”基础设施</w:t>
      </w:r>
      <w:r>
        <w:rPr>
          <w:rFonts w:hint="default" w:ascii="仿宋_GB2312" w:hAnsi="仿宋_GB2312" w:eastAsia="仿宋_GB2312" w:cs="仿宋_GB2312"/>
          <w:b w:val="0"/>
          <w:bCs w:val="0"/>
          <w:color w:val="auto"/>
          <w:sz w:val="32"/>
          <w:szCs w:val="32"/>
          <w:highlight w:val="none"/>
          <w:lang w:eastAsia="zh-CN"/>
        </w:rPr>
        <w:t>采购项目，采用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7"/>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南湾街道2025年“四防”基础设施采购</w:t>
            </w:r>
          </w:p>
        </w:tc>
        <w:tc>
          <w:tcPr>
            <w:tcW w:w="1738"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cente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124980</w:t>
            </w:r>
          </w:p>
          <w:p>
            <w:pPr>
              <w:pStyle w:val="5"/>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采购一批“四防”基础设施，防蚊闸1258个（规格：750*450mm，750个；规格：600*400mm，2</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50</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个；规格：500*300mm,258个；材质：玻璃钢纤维），毒鼠屋300个（规格：30*22*15mm，材质：玻璃钢）。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1662" w:type="dxa"/>
            <w:noWrap w:val="0"/>
            <w:vAlign w:val="top"/>
          </w:tcPr>
          <w:p>
            <w:pPr>
              <w:pStyle w:val="5"/>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bookmarkStart w:id="0" w:name="_Hlk72162904"/>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1.具有独立承担民事责任的能力（提供营业执照或事业单位法人证书等证明资料</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复印</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件，原件备查，分支机构参与</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响应</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的，须同时提供总公司授权文件且授权书载明其民事责任由总公司承担）；</w:t>
            </w:r>
            <w:bookmarkEnd w:id="0"/>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2.本项目不接受联合体投标，不接受投标人选用进口产品参与投标，不允许分包；</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3.参与本项目政府采购活动时不存在被有关部门禁止参与政府采购活动且在有效期内的情况（由供应商在《</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参与政府采购活动及履约承诺函</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4.具备《中华人民共和国政府采购法》第二十二条第一款的条件（由供应商在《</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参与政府采购活动及履约承诺函</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5.未被列入失信被执行人、重大税收违法案件当事人名单、政府采购严重违法失信行为记录名单（由供应商在《</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参与政府采购活动及履约承诺函</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6</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662"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防蚊闸1258个（规格：750*450mm，750个；规格：600*400mm，2</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50</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个；规格：500*300mm,258个），毒鼠屋300个（规格：30*22*15mm），预算金额</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合计</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124980元。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1、</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资格性审查资料（有效期内营业执照复印件、参与政府采购活动及履约承诺函、</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供应商基本情况表</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以及其他与项目相关的资质材料）；</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2、</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符合性审查资料（报价资料，此项需对照报价清单，分别填报单项报价和总价）；</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3、</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投递人身份证明资料（</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法人代表证明书、法人身份证</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复印件</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、法人代表授权书等</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4、供应商认为与响应本项目相关的其他资料，如同类项目履约资料等。（以上资料均需加盖公司公章</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，密封现场递交至采购部门，不接受快递投递文件</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最低价法</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。如有相同最低价，</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以竞价方式从相同最低价中选出成交供应商</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2025年9月11日至2025年9月15日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662" w:type="dxa"/>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1、</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采购</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单位</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联系方式</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联系人：</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谢达偲</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 xml:space="preserve">         联系方式：</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0755-</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28706907</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2、街道政府采购领导小组办公室</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联系方式：</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0755-</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1662" w:type="dxa"/>
            <w:noWrap w:val="0"/>
            <w:vAlign w:val="top"/>
          </w:tcPr>
          <w:p>
            <w:pPr>
              <w:pStyle w:val="5"/>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5"/>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5"/>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5"/>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1、</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请供应商严格按照报价清单进行报价，对</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报价清单</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规定的项目需求内容或者需求数量进行修改的，视为</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符合性审查不通过，不得参与本次自行采购活动</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单项报价为0的，视为无效报价。</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2、请供应商严格对照资格性审查资料准备相应材料，在资格性审查阶段出现资料缺少的，视为资格性审查不通过，不得参与本次自行采购活动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3、</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本项目服务费采用包干制，应包括服务成本、法定税费和企业的利润。由供应商根据</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采购公告等资料</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自行测算报价；一经采购，报价总价</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和细项单价</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作为应邀单位与采购单位签定的合同金额，合同期限内不作调整。</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4、供应商信用信息相关查询路径：</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（1）深圳市政府采购监管网（</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fldChar w:fldCharType="begin"/>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instrText xml:space="preserve"> HYPERLINK "http://zfcg.sz.gov.cn/cgjg/cxda/index.html" </w:instrTex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fldChar w:fldCharType="separate"/>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http://zfcg.sz.gov.cn/cgjg/cxda/index.html</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fldChar w:fldCharType="end"/>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（2）国家企业信用信息公示系统（https://www.gsxt.gov.cn/index.html)</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bookmarkStart w:id="1" w:name="_GoBack"/>
            <w:bookmarkEnd w:id="1"/>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或全国社会组织信用信息公示平台（</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fldChar w:fldCharType="begin"/>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instrText xml:space="preserve"> HYPERLINK "https://xxgs.chinanpo.mca.gov.cn/gsxt/newList" </w:instrTex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fldChar w:fldCharType="separate"/>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https://xxgs.chinanpo.mca.gov.cn/gsxt/newList</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fldChar w:fldCharType="end"/>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（3）中国政府采购网（</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fldChar w:fldCharType="begin"/>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instrText xml:space="preserve"> HYPERLINK "http://www.ccgp.gov.cn/search/cr/" </w:instrTex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fldChar w:fldCharType="separate"/>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http://www.ccgp.gov.cn/search/cr/</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fldChar w:fldCharType="end"/>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（4）信用中国（www.creditchina.gov.cn）</w:t>
            </w:r>
          </w:p>
          <w:p>
            <w:pPr>
              <w:pStyle w:val="5"/>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相关</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查询</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信息以开标当日的查询结果为准</w:t>
            </w: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t>。</w:t>
            </w:r>
          </w:p>
        </w:tc>
      </w:tr>
    </w:tbl>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FD12A"/>
    <w:rsid w:val="6FBFD12A"/>
    <w:rsid w:val="7EBBD5F2"/>
    <w:rsid w:val="7FEF04CB"/>
    <w:rsid w:val="8ABF9C1F"/>
    <w:rsid w:val="97FF6B72"/>
    <w:rsid w:val="B374908E"/>
    <w:rsid w:val="BDFE1DCE"/>
    <w:rsid w:val="FF770139"/>
    <w:rsid w:val="FFF364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Body Text"/>
    <w:basedOn w:val="1"/>
    <w:next w:val="1"/>
    <w:qFormat/>
    <w:uiPriority w:val="99"/>
    <w:rPr>
      <w:rFonts w:ascii="Times New Roman" w:hAnsi="Times New Roman"/>
      <w:sz w:val="32"/>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2025-08-03T14:40:00Z</dcterms:created>
  <dc:creator>WPS_1565408614</dc:creator>
  <cp:lastModifiedBy>公共服务办公室(政务服务组)</cp:lastModifiedBy>
  <dcterms:modified xsi:type="dcterms:W3CDTF">2025-09-10T17:34:43Z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ABD2F5A053E95CCB066C8C68381819AB</vt:lpwstr>
  </property>
</Properties>
</file>