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2"/>
        <w:keepNext w:val="0"/>
        <w:keepLines w:val="0"/>
        <w:pageBreakBefore w:val="0"/>
        <w:widowControl w:val="0"/>
        <w:kinsoku/>
        <w:wordWrap/>
        <w:overflowPunct/>
        <w:topLinePunct w:val="0"/>
        <w:autoSpaceDE/>
        <w:autoSpaceDN/>
        <w:bidi w:val="0"/>
        <w:adjustRightInd/>
        <w:snapToGrid/>
        <w:spacing w:line="540" w:lineRule="exact"/>
        <w:ind w:left="0" w:leftChars="0"/>
        <w:jc w:val="left"/>
        <w:textAlignment w:val="auto"/>
        <w:rPr>
          <w:rFonts w:hint="eastAsia" w:ascii="黑体" w:hAnsi="黑体" w:eastAsia="黑体" w:cs="黑体"/>
          <w:color w:val="auto"/>
          <w:sz w:val="32"/>
          <w:szCs w:val="32"/>
          <w:highlight w:val="none"/>
          <w:lang w:val="en-US" w:eastAsia="zh-CN"/>
        </w:rPr>
      </w:pPr>
      <w:bookmarkStart w:id="1" w:name="_GoBack"/>
      <w:bookmarkEnd w:id="1"/>
      <w:r>
        <w:rPr>
          <w:rFonts w:hint="eastAsia" w:ascii="黑体" w:hAnsi="黑体" w:eastAsia="黑体" w:cs="黑体"/>
          <w:color w:val="auto"/>
          <w:sz w:val="32"/>
          <w:szCs w:val="32"/>
          <w:highlight w:val="none"/>
          <w:lang w:val="en-US" w:eastAsia="zh-CN"/>
        </w:rPr>
        <w:t>附件1</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方正小标宋简体" w:hAnsi="方正小标宋简体" w:eastAsia="方正小标宋简体" w:cs="方正小标宋简体"/>
          <w:color w:val="auto"/>
          <w:kern w:val="2"/>
          <w:sz w:val="44"/>
          <w:szCs w:val="44"/>
          <w:highlight w:val="none"/>
          <w:lang w:val="en-US" w:eastAsia="zh-CN" w:bidi="ar-SA"/>
        </w:rPr>
      </w:pP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方正小标宋简体" w:hAnsi="方正小标宋简体" w:eastAsia="方正小标宋简体" w:cs="方正小标宋简体"/>
          <w:color w:val="auto"/>
          <w:kern w:val="2"/>
          <w:sz w:val="44"/>
          <w:szCs w:val="44"/>
          <w:highlight w:val="none"/>
          <w:lang w:val="en-US" w:eastAsia="zh-CN" w:bidi="ar-SA"/>
        </w:rPr>
      </w:pPr>
      <w:r>
        <w:rPr>
          <w:rFonts w:hint="eastAsia" w:ascii="方正小标宋简体" w:hAnsi="方正小标宋简体" w:eastAsia="方正小标宋简体" w:cs="方正小标宋简体"/>
          <w:color w:val="auto"/>
          <w:kern w:val="2"/>
          <w:sz w:val="44"/>
          <w:szCs w:val="44"/>
          <w:highlight w:val="none"/>
          <w:lang w:val="en-US" w:eastAsia="zh-CN" w:bidi="ar-SA"/>
        </w:rPr>
        <w:t>2025年龙岗区企业用数成本扶持项目</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方正小标宋简体" w:hAnsi="方正小标宋简体" w:eastAsia="方正小标宋简体" w:cs="方正小标宋简体"/>
          <w:color w:val="auto"/>
          <w:kern w:val="2"/>
          <w:sz w:val="44"/>
          <w:szCs w:val="44"/>
          <w:highlight w:val="none"/>
          <w:lang w:val="en-US" w:eastAsia="zh-CN" w:bidi="ar-SA"/>
        </w:rPr>
      </w:pPr>
      <w:r>
        <w:rPr>
          <w:rFonts w:hint="eastAsia" w:ascii="方正小标宋简体" w:hAnsi="方正小标宋简体" w:eastAsia="方正小标宋简体" w:cs="方正小标宋简体"/>
          <w:color w:val="auto"/>
          <w:kern w:val="2"/>
          <w:sz w:val="44"/>
          <w:szCs w:val="44"/>
          <w:highlight w:val="none"/>
          <w:lang w:val="en-US" w:eastAsia="zh-CN" w:bidi="ar-SA"/>
        </w:rPr>
        <w:t>申报指南</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方正小标宋简体" w:hAnsi="方正小标宋简体" w:eastAsia="方正小标宋简体" w:cs="方正小标宋简体"/>
          <w:color w:val="auto"/>
          <w:kern w:val="2"/>
          <w:sz w:val="44"/>
          <w:szCs w:val="44"/>
          <w:highlight w:val="none"/>
          <w:lang w:val="en-US" w:eastAsia="zh-CN" w:bidi="ar-SA"/>
        </w:rPr>
      </w:pP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黑体" w:hAnsi="黑体" w:eastAsia="黑体" w:cs="黑体"/>
          <w:color w:val="auto"/>
          <w:kern w:val="2"/>
          <w:sz w:val="32"/>
          <w:szCs w:val="32"/>
          <w:highlight w:val="none"/>
          <w:lang w:val="en-US" w:eastAsia="zh-CN" w:bidi="ar-SA"/>
        </w:rPr>
      </w:pPr>
      <w:r>
        <w:rPr>
          <w:rFonts w:hint="eastAsia" w:ascii="黑体" w:hAnsi="黑体" w:eastAsia="黑体" w:cs="黑体"/>
          <w:color w:val="auto"/>
          <w:kern w:val="2"/>
          <w:sz w:val="32"/>
          <w:szCs w:val="32"/>
          <w:highlight w:val="none"/>
          <w:lang w:val="en-US" w:eastAsia="zh-CN" w:bidi="ar-SA"/>
        </w:rPr>
        <w:t>　　一、政策依据</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CESI仿宋-GB2312" w:hAnsi="CESI仿宋-GB2312" w:eastAsia="CESI仿宋-GB2312" w:cs="CESI仿宋-GB2312"/>
          <w:color w:val="auto"/>
          <w:sz w:val="32"/>
          <w:szCs w:val="32"/>
          <w:highlight w:val="none"/>
          <w:lang w:eastAsia="zh-CN"/>
        </w:rPr>
      </w:pPr>
      <w:r>
        <w:rPr>
          <w:rFonts w:hint="eastAsia" w:ascii="CESI仿宋-GB2312" w:hAnsi="CESI仿宋-GB2312" w:eastAsia="CESI仿宋-GB2312" w:cs="CESI仿宋-GB2312"/>
          <w:color w:val="auto"/>
          <w:sz w:val="32"/>
          <w:szCs w:val="32"/>
          <w:highlight w:val="none"/>
          <w:lang w:eastAsia="zh-CN"/>
        </w:rPr>
        <w:t>（一）《深圳市龙岗区关于支持人工智能产业引领高质量发展若干措施》（深龙工信规〔2024〕7号）；</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color w:val="auto"/>
          <w:kern w:val="2"/>
          <w:sz w:val="32"/>
          <w:szCs w:val="36"/>
          <w:highlight w:val="none"/>
          <w:lang w:val="en-US" w:eastAsia="zh-CN" w:bidi="ar-SA"/>
        </w:rPr>
      </w:pPr>
      <w:r>
        <w:rPr>
          <w:rFonts w:hint="eastAsia" w:ascii="CESI仿宋-GB2312" w:hAnsi="CESI仿宋-GB2312" w:eastAsia="CESI仿宋-GB2312" w:cs="CESI仿宋-GB2312"/>
          <w:color w:val="auto"/>
          <w:sz w:val="32"/>
          <w:szCs w:val="32"/>
          <w:highlight w:val="none"/>
          <w:lang w:eastAsia="zh-CN"/>
        </w:rPr>
        <w:t>（二）</w:t>
      </w:r>
      <w:r>
        <w:rPr>
          <w:rFonts w:hint="eastAsia" w:ascii="仿宋_GB2312" w:hAnsi="仿宋_GB2312" w:eastAsia="仿宋_GB2312" w:cs="仿宋_GB2312"/>
          <w:color w:val="auto"/>
          <w:kern w:val="2"/>
          <w:sz w:val="32"/>
          <w:szCs w:val="36"/>
          <w:highlight w:val="none"/>
          <w:lang w:val="en-US" w:eastAsia="zh-CN" w:bidi="ar-SA"/>
        </w:rPr>
        <w:t>《深圳市龙岗区工业和信息化产业发展专项资金关于支持人工智能产业引领高质量发展实施细则》</w:t>
      </w:r>
      <w:r>
        <w:rPr>
          <w:rFonts w:hint="eastAsia" w:ascii="CESI仿宋-GB2312" w:hAnsi="CESI仿宋-GB2312" w:eastAsia="CESI仿宋-GB2312" w:cs="CESI仿宋-GB2312"/>
          <w:color w:val="auto"/>
          <w:sz w:val="32"/>
          <w:szCs w:val="32"/>
          <w:highlight w:val="none"/>
          <w:lang w:eastAsia="zh-CN"/>
        </w:rPr>
        <w:t>（深龙工信规〔202</w:t>
      </w:r>
      <w:r>
        <w:rPr>
          <w:rFonts w:hint="eastAsia" w:ascii="CESI仿宋-GB2312" w:hAnsi="CESI仿宋-GB2312" w:eastAsia="CESI仿宋-GB2312" w:cs="CESI仿宋-GB2312"/>
          <w:color w:val="auto"/>
          <w:sz w:val="32"/>
          <w:szCs w:val="32"/>
          <w:highlight w:val="none"/>
          <w:lang w:val="en-US" w:eastAsia="zh-CN"/>
        </w:rPr>
        <w:t>5</w:t>
      </w:r>
      <w:r>
        <w:rPr>
          <w:rFonts w:hint="eastAsia" w:ascii="CESI仿宋-GB2312" w:hAnsi="CESI仿宋-GB2312" w:eastAsia="CESI仿宋-GB2312" w:cs="CESI仿宋-GB2312"/>
          <w:color w:val="auto"/>
          <w:sz w:val="32"/>
          <w:szCs w:val="32"/>
          <w:highlight w:val="none"/>
          <w:lang w:eastAsia="zh-CN"/>
        </w:rPr>
        <w:t>〕</w:t>
      </w:r>
      <w:r>
        <w:rPr>
          <w:rFonts w:hint="eastAsia" w:ascii="CESI仿宋-GB2312" w:hAnsi="CESI仿宋-GB2312" w:eastAsia="CESI仿宋-GB2312" w:cs="CESI仿宋-GB2312"/>
          <w:color w:val="auto"/>
          <w:sz w:val="32"/>
          <w:szCs w:val="32"/>
          <w:highlight w:val="none"/>
          <w:lang w:val="en-US" w:eastAsia="zh-CN"/>
        </w:rPr>
        <w:t>2</w:t>
      </w:r>
      <w:r>
        <w:rPr>
          <w:rFonts w:hint="eastAsia" w:ascii="CESI仿宋-GB2312" w:hAnsi="CESI仿宋-GB2312" w:eastAsia="CESI仿宋-GB2312" w:cs="CESI仿宋-GB2312"/>
          <w:color w:val="auto"/>
          <w:sz w:val="32"/>
          <w:szCs w:val="32"/>
          <w:highlight w:val="none"/>
          <w:lang w:eastAsia="zh-CN"/>
        </w:rPr>
        <w:t>号</w:t>
      </w:r>
      <w:r>
        <w:rPr>
          <w:rFonts w:hint="eastAsia" w:ascii="仿宋_GB2312" w:hAnsi="仿宋_GB2312" w:eastAsia="仿宋_GB2312" w:cs="仿宋_GB2312"/>
          <w:color w:val="auto"/>
          <w:kern w:val="2"/>
          <w:sz w:val="32"/>
          <w:szCs w:val="36"/>
          <w:highlight w:val="none"/>
          <w:lang w:val="en-US" w:eastAsia="zh-CN" w:bidi="ar-SA"/>
        </w:rPr>
        <w:t>）。</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黑体" w:hAnsi="黑体" w:eastAsia="黑体" w:cs="黑体"/>
          <w:color w:val="auto"/>
          <w:kern w:val="2"/>
          <w:sz w:val="32"/>
          <w:szCs w:val="32"/>
          <w:highlight w:val="none"/>
          <w:lang w:val="en-US" w:eastAsia="zh-CN" w:bidi="ar-SA"/>
        </w:rPr>
      </w:pPr>
      <w:r>
        <w:rPr>
          <w:rFonts w:hint="eastAsia" w:ascii="黑体" w:hAnsi="黑体" w:eastAsia="黑体" w:cs="黑体"/>
          <w:color w:val="auto"/>
          <w:kern w:val="2"/>
          <w:sz w:val="32"/>
          <w:szCs w:val="32"/>
          <w:highlight w:val="none"/>
          <w:lang w:val="en-US" w:eastAsia="zh-CN" w:bidi="ar-SA"/>
        </w:rPr>
        <w:t>　　二、项目扶持范围和标准</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华文楷体" w:hAnsi="华文楷体" w:eastAsia="华文楷体" w:cs="华文楷体"/>
          <w:color w:val="auto"/>
          <w:kern w:val="0"/>
          <w:sz w:val="32"/>
          <w:szCs w:val="32"/>
          <w:highlight w:val="none"/>
          <w:lang w:val="en-US" w:eastAsia="zh-CN" w:bidi="ar-SA"/>
        </w:rPr>
      </w:pPr>
      <w:r>
        <w:rPr>
          <w:rFonts w:hint="eastAsia" w:ascii="华文楷体" w:hAnsi="华文楷体" w:eastAsia="华文楷体" w:cs="华文楷体"/>
          <w:color w:val="auto"/>
          <w:kern w:val="0"/>
          <w:sz w:val="32"/>
          <w:szCs w:val="32"/>
          <w:highlight w:val="none"/>
          <w:lang w:val="en-US" w:eastAsia="en-US" w:bidi="ar-SA"/>
        </w:rPr>
        <w:t>　　</w:t>
      </w:r>
      <w:r>
        <w:rPr>
          <w:rFonts w:hint="eastAsia" w:ascii="华文楷体" w:hAnsi="华文楷体" w:eastAsia="华文楷体" w:cs="华文楷体"/>
          <w:color w:val="auto"/>
          <w:kern w:val="0"/>
          <w:sz w:val="32"/>
          <w:szCs w:val="32"/>
          <w:highlight w:val="none"/>
          <w:lang w:val="en-US" w:eastAsia="zh-CN" w:bidi="ar-SA"/>
        </w:rPr>
        <w:t>（一）</w:t>
      </w:r>
      <w:r>
        <w:rPr>
          <w:rFonts w:hint="eastAsia" w:ascii="华文楷体" w:hAnsi="华文楷体" w:eastAsia="华文楷体" w:cs="华文楷体"/>
          <w:color w:val="auto"/>
          <w:kern w:val="0"/>
          <w:sz w:val="32"/>
          <w:szCs w:val="32"/>
          <w:highlight w:val="none"/>
          <w:lang w:val="en-US" w:eastAsia="en-US" w:bidi="ar-SA"/>
        </w:rPr>
        <w:t>扶持范围</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color w:val="auto"/>
          <w:kern w:val="2"/>
          <w:sz w:val="32"/>
          <w:szCs w:val="36"/>
          <w:highlight w:val="none"/>
          <w:lang w:val="en-US" w:eastAsia="zh-CN" w:bidi="ar-SA"/>
        </w:rPr>
      </w:pPr>
      <w:r>
        <w:rPr>
          <w:rFonts w:hint="eastAsia" w:ascii="仿宋_GB2312" w:hAnsi="仿宋_GB2312" w:eastAsia="仿宋_GB2312" w:cs="仿宋_GB2312"/>
          <w:color w:val="auto"/>
          <w:kern w:val="2"/>
          <w:sz w:val="32"/>
          <w:szCs w:val="36"/>
          <w:highlight w:val="none"/>
          <w:lang w:val="en-US" w:eastAsia="zh-CN" w:bidi="ar-SA"/>
        </w:rPr>
        <w:t>通过数据交易平台购买非关联方的语料数据进行大模型研发和应用的企业。</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华文楷体" w:hAnsi="华文楷体" w:eastAsia="华文楷体" w:cs="华文楷体"/>
          <w:color w:val="auto"/>
          <w:kern w:val="0"/>
          <w:sz w:val="32"/>
          <w:szCs w:val="32"/>
          <w:highlight w:val="none"/>
          <w:lang w:val="en-US" w:eastAsia="zh-CN" w:bidi="ar-SA"/>
        </w:rPr>
      </w:pPr>
      <w:r>
        <w:rPr>
          <w:rFonts w:hint="eastAsia" w:ascii="华文楷体" w:hAnsi="华文楷体" w:eastAsia="华文楷体" w:cs="华文楷体"/>
          <w:color w:val="auto"/>
          <w:kern w:val="0"/>
          <w:sz w:val="32"/>
          <w:szCs w:val="32"/>
          <w:highlight w:val="none"/>
          <w:lang w:val="en-US" w:eastAsia="zh-CN" w:bidi="ar-SA"/>
        </w:rPr>
        <w:t>（二）扶持方式和标准</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color w:val="auto"/>
          <w:kern w:val="2"/>
          <w:sz w:val="32"/>
          <w:szCs w:val="36"/>
          <w:highlight w:val="none"/>
          <w:lang w:val="en-US" w:eastAsia="zh-CN" w:bidi="ar-SA"/>
        </w:rPr>
      </w:pPr>
      <w:r>
        <w:rPr>
          <w:rFonts w:hint="eastAsia" w:ascii="仿宋_GB2312" w:hAnsi="仿宋_GB2312" w:eastAsia="仿宋_GB2312" w:cs="仿宋_GB2312"/>
          <w:color w:val="auto"/>
          <w:kern w:val="2"/>
          <w:sz w:val="32"/>
          <w:szCs w:val="36"/>
          <w:highlight w:val="none"/>
          <w:lang w:val="en-US" w:eastAsia="zh-CN" w:bidi="ar-SA"/>
        </w:rPr>
        <w:t>对购买语料数据的企业，按申报指南发布前一周期年度内实际发生的语料数据合同额的20%给予支持，每家企业每年最高100万元。</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华文楷体" w:hAnsi="华文楷体" w:eastAsia="华文楷体" w:cs="华文楷体"/>
          <w:color w:val="auto"/>
          <w:kern w:val="0"/>
          <w:sz w:val="32"/>
          <w:szCs w:val="32"/>
          <w:highlight w:val="none"/>
          <w:lang w:val="en-US" w:eastAsia="zh-CN" w:bidi="ar-SA"/>
        </w:rPr>
      </w:pPr>
      <w:r>
        <w:rPr>
          <w:rFonts w:hint="eastAsia" w:ascii="华文楷体" w:hAnsi="华文楷体" w:eastAsia="华文楷体" w:cs="华文楷体"/>
          <w:color w:val="auto"/>
          <w:kern w:val="0"/>
          <w:sz w:val="32"/>
          <w:szCs w:val="32"/>
          <w:highlight w:val="none"/>
          <w:lang w:val="en-US" w:eastAsia="zh-CN" w:bidi="ar-SA"/>
        </w:rPr>
        <w:t>（三）审核方式</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color w:val="auto"/>
          <w:kern w:val="2"/>
          <w:sz w:val="32"/>
          <w:szCs w:val="36"/>
          <w:highlight w:val="none"/>
          <w:lang w:val="en-US" w:eastAsia="zh-CN" w:bidi="ar-SA"/>
        </w:rPr>
      </w:pPr>
      <w:r>
        <w:rPr>
          <w:rFonts w:hint="eastAsia" w:ascii="仿宋_GB2312" w:hAnsi="仿宋_GB2312" w:eastAsia="仿宋_GB2312" w:cs="仿宋_GB2312"/>
          <w:color w:val="auto"/>
          <w:kern w:val="2"/>
          <w:sz w:val="32"/>
          <w:szCs w:val="36"/>
          <w:highlight w:val="none"/>
          <w:lang w:val="en-US" w:eastAsia="zh-CN" w:bidi="ar-SA"/>
        </w:rPr>
        <w:t>核准制。以企业提供的合同凭证、发票、付款凭证、语料数据交付凭证等其他所需的相关证明材料为准。</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黑体" w:hAnsi="黑体" w:eastAsia="黑体" w:cs="黑体"/>
          <w:color w:val="auto"/>
          <w:kern w:val="2"/>
          <w:sz w:val="32"/>
          <w:szCs w:val="32"/>
          <w:highlight w:val="none"/>
          <w:lang w:val="en-US" w:eastAsia="zh-CN" w:bidi="ar-SA"/>
        </w:rPr>
      </w:pPr>
      <w:r>
        <w:rPr>
          <w:rFonts w:hint="eastAsia" w:ascii="黑体" w:hAnsi="黑体" w:eastAsia="黑体" w:cs="黑体"/>
          <w:color w:val="auto"/>
          <w:kern w:val="2"/>
          <w:sz w:val="32"/>
          <w:szCs w:val="32"/>
          <w:highlight w:val="none"/>
          <w:lang w:val="en-US" w:eastAsia="zh-CN" w:bidi="ar-SA"/>
        </w:rPr>
        <w:t>　　三、申报条件</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华文楷体" w:hAnsi="华文楷体" w:eastAsia="华文楷体" w:cs="华文楷体"/>
          <w:color w:val="auto"/>
          <w:kern w:val="0"/>
          <w:sz w:val="32"/>
          <w:szCs w:val="32"/>
          <w:highlight w:val="none"/>
          <w:lang w:val="en-US" w:eastAsia="en-US" w:bidi="ar-SA"/>
        </w:rPr>
      </w:pPr>
      <w:r>
        <w:rPr>
          <w:rFonts w:hint="eastAsia" w:ascii="华文楷体" w:hAnsi="华文楷体" w:eastAsia="华文楷体" w:cs="华文楷体"/>
          <w:color w:val="auto"/>
          <w:kern w:val="0"/>
          <w:sz w:val="32"/>
          <w:szCs w:val="32"/>
          <w:highlight w:val="none"/>
          <w:lang w:val="en-US" w:eastAsia="en-US" w:bidi="ar-SA"/>
        </w:rPr>
        <w:t>　　（一）基础申报条件</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仿宋_GB2312" w:hAnsi="仿宋_GB2312" w:eastAsia="仿宋_GB2312" w:cs="仿宋_GB2312"/>
          <w:color w:val="auto"/>
          <w:kern w:val="2"/>
          <w:sz w:val="32"/>
          <w:szCs w:val="36"/>
          <w:highlight w:val="none"/>
          <w:lang w:val="en-US" w:eastAsia="zh-CN" w:bidi="ar-SA"/>
        </w:rPr>
      </w:pPr>
      <w:r>
        <w:rPr>
          <w:rFonts w:hint="eastAsia" w:ascii="CESI仿宋-GB2312" w:hAnsi="CESI仿宋-GB2312" w:eastAsia="CESI仿宋-GB2312" w:cs="CESI仿宋-GB2312"/>
          <w:color w:val="auto"/>
          <w:sz w:val="32"/>
          <w:szCs w:val="32"/>
          <w:highlight w:val="none"/>
        </w:rPr>
        <w:t>　</w:t>
      </w:r>
      <w:r>
        <w:rPr>
          <w:rFonts w:hint="eastAsia" w:ascii="仿宋_GB2312" w:hAnsi="仿宋_GB2312" w:eastAsia="仿宋_GB2312" w:cs="仿宋_GB2312"/>
          <w:color w:val="auto"/>
          <w:kern w:val="2"/>
          <w:sz w:val="32"/>
          <w:szCs w:val="36"/>
          <w:highlight w:val="none"/>
          <w:lang w:val="en-US" w:eastAsia="zh-CN" w:bidi="ar-SA"/>
        </w:rPr>
        <w:t>　1.申报单位是在龙岗区实际经营，并且符合要求的法人企业或民办非企业单位、行业协会，分支机构申请的，应同时提供总公司的授权证明文件；</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color w:val="auto"/>
          <w:kern w:val="2"/>
          <w:sz w:val="32"/>
          <w:szCs w:val="36"/>
          <w:highlight w:val="none"/>
          <w:lang w:val="en-US" w:eastAsia="zh-CN" w:bidi="ar-SA"/>
        </w:rPr>
      </w:pPr>
      <w:r>
        <w:rPr>
          <w:rFonts w:hint="eastAsia" w:ascii="仿宋_GB2312" w:hAnsi="仿宋_GB2312" w:eastAsia="仿宋_GB2312" w:cs="仿宋_GB2312"/>
          <w:color w:val="auto"/>
          <w:kern w:val="2"/>
          <w:sz w:val="32"/>
          <w:szCs w:val="36"/>
          <w:highlight w:val="none"/>
          <w:lang w:val="en-US" w:eastAsia="zh-CN" w:bidi="ar-SA"/>
        </w:rPr>
        <w:t>2.申报单位未被依法依规列入严重失信主体名单且在有效期内；</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color w:val="auto"/>
          <w:kern w:val="2"/>
          <w:sz w:val="32"/>
          <w:szCs w:val="36"/>
          <w:highlight w:val="none"/>
          <w:lang w:val="en-US" w:eastAsia="zh-CN" w:bidi="ar-SA"/>
        </w:rPr>
      </w:pPr>
      <w:r>
        <w:rPr>
          <w:rFonts w:hint="eastAsia" w:ascii="仿宋_GB2312" w:hAnsi="仿宋_GB2312" w:eastAsia="仿宋_GB2312" w:cs="仿宋_GB2312"/>
          <w:color w:val="auto"/>
          <w:kern w:val="2"/>
          <w:sz w:val="32"/>
          <w:szCs w:val="36"/>
          <w:highlight w:val="none"/>
          <w:lang w:val="en-US" w:eastAsia="zh-CN" w:bidi="ar-SA"/>
        </w:rPr>
        <w:t>3.申报单位对申报材料的真实性、合法性和完整性负责，不得弄虚作假、套取、骗取专项资金，对违反规定获取专项资金的企业，龙岗区有权追回相关款项；</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color w:val="auto"/>
          <w:kern w:val="2"/>
          <w:sz w:val="32"/>
          <w:szCs w:val="36"/>
          <w:highlight w:val="none"/>
          <w:lang w:val="en-US" w:eastAsia="zh-CN" w:bidi="ar-SA"/>
        </w:rPr>
      </w:pPr>
      <w:r>
        <w:rPr>
          <w:rFonts w:hint="eastAsia" w:ascii="仿宋_GB2312" w:hAnsi="仿宋_GB2312" w:eastAsia="仿宋_GB2312" w:cs="仿宋_GB2312"/>
          <w:color w:val="auto"/>
          <w:kern w:val="2"/>
          <w:sz w:val="32"/>
          <w:szCs w:val="36"/>
          <w:highlight w:val="none"/>
          <w:lang w:val="en-US" w:eastAsia="zh-CN" w:bidi="ar-SA"/>
        </w:rPr>
        <w:t>4.申报单位不得以同一事项重复申报或者多头申报区级专项资金，同一项目因政策允许可申报多项专项资金的，应当在申报材料中予以明确；</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color w:val="auto"/>
          <w:kern w:val="2"/>
          <w:sz w:val="32"/>
          <w:szCs w:val="36"/>
          <w:highlight w:val="none"/>
          <w:lang w:val="en-US" w:eastAsia="zh-CN" w:bidi="ar-SA"/>
        </w:rPr>
      </w:pPr>
      <w:r>
        <w:rPr>
          <w:rFonts w:hint="eastAsia" w:ascii="仿宋_GB2312" w:hAnsi="仿宋_GB2312" w:eastAsia="仿宋_GB2312" w:cs="仿宋_GB2312"/>
          <w:color w:val="auto"/>
          <w:kern w:val="2"/>
          <w:sz w:val="32"/>
          <w:szCs w:val="36"/>
          <w:highlight w:val="none"/>
          <w:lang w:val="en-US" w:eastAsia="zh-CN" w:bidi="ar-SA"/>
        </w:rPr>
        <w:t>5.法律、法规、规章和上级行政机关规范性文件规定的其他条件。</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华文楷体" w:hAnsi="华文楷体" w:eastAsia="华文楷体" w:cs="华文楷体"/>
          <w:color w:val="auto"/>
          <w:kern w:val="0"/>
          <w:sz w:val="32"/>
          <w:szCs w:val="32"/>
          <w:highlight w:val="none"/>
          <w:lang w:val="en-US" w:eastAsia="en-US" w:bidi="ar-SA"/>
        </w:rPr>
      </w:pPr>
      <w:r>
        <w:rPr>
          <w:rFonts w:hint="eastAsia" w:ascii="华文楷体" w:hAnsi="华文楷体" w:eastAsia="华文楷体" w:cs="华文楷体"/>
          <w:color w:val="auto"/>
          <w:kern w:val="0"/>
          <w:sz w:val="32"/>
          <w:szCs w:val="32"/>
          <w:highlight w:val="none"/>
          <w:lang w:val="en-US" w:eastAsia="en-US" w:bidi="ar-SA"/>
        </w:rPr>
        <w:t>（二）专项申报条件</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color w:val="auto"/>
          <w:kern w:val="2"/>
          <w:sz w:val="32"/>
          <w:szCs w:val="36"/>
          <w:highlight w:val="none"/>
          <w:lang w:val="en-US" w:eastAsia="zh-CN" w:bidi="ar-SA"/>
        </w:rPr>
      </w:pPr>
      <w:r>
        <w:rPr>
          <w:rFonts w:hint="eastAsia" w:ascii="仿宋_GB2312" w:hAnsi="仿宋_GB2312" w:eastAsia="仿宋_GB2312" w:cs="仿宋_GB2312"/>
          <w:color w:val="auto"/>
          <w:kern w:val="2"/>
          <w:sz w:val="32"/>
          <w:szCs w:val="36"/>
          <w:highlight w:val="none"/>
          <w:lang w:val="en-US" w:eastAsia="zh-CN" w:bidi="ar-SA"/>
        </w:rPr>
        <w:t>项目单位申报具体项目，还应符合以下专项申报条件和深圳市龙岗区人工智能（机器人）署依据本实施细则制定的申报指南的相关条件：</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color w:val="auto"/>
          <w:kern w:val="2"/>
          <w:sz w:val="32"/>
          <w:szCs w:val="36"/>
          <w:highlight w:val="none"/>
          <w:lang w:val="en-US" w:eastAsia="zh-CN" w:bidi="ar-SA"/>
        </w:rPr>
      </w:pPr>
      <w:r>
        <w:rPr>
          <w:rFonts w:hint="eastAsia" w:ascii="仿宋_GB2312" w:hAnsi="仿宋_GB2312" w:eastAsia="仿宋_GB2312" w:cs="仿宋_GB2312"/>
          <w:color w:val="auto"/>
          <w:kern w:val="2"/>
          <w:sz w:val="32"/>
          <w:szCs w:val="36"/>
          <w:highlight w:val="none"/>
          <w:lang w:val="en-US" w:eastAsia="zh-CN" w:bidi="ar-SA"/>
        </w:rPr>
        <w:t>1.申报单位须为企业，向供给方购买的语料数据须用于大模型研发和应用。</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color w:val="auto"/>
          <w:kern w:val="2"/>
          <w:sz w:val="32"/>
          <w:szCs w:val="36"/>
          <w:highlight w:val="none"/>
          <w:lang w:val="en-US" w:eastAsia="zh-CN" w:bidi="ar-SA"/>
        </w:rPr>
      </w:pPr>
      <w:r>
        <w:rPr>
          <w:rFonts w:hint="eastAsia" w:ascii="仿宋_GB2312" w:hAnsi="仿宋_GB2312" w:eastAsia="仿宋_GB2312" w:cs="仿宋_GB2312"/>
          <w:color w:val="auto"/>
          <w:kern w:val="2"/>
          <w:sz w:val="32"/>
          <w:szCs w:val="36"/>
          <w:highlight w:val="none"/>
          <w:lang w:val="en-US" w:eastAsia="zh-CN" w:bidi="ar-SA"/>
        </w:rPr>
        <w:t>2.供给方须为申报单位的非关联方（关联方包括申报单位的全资子公司、母公司、直接或者间接地同为第三者控制等关联关系）。</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default" w:ascii="仿宋_GB2312" w:hAnsi="仿宋_GB2312" w:eastAsia="仿宋_GB2312" w:cs="仿宋_GB2312"/>
          <w:color w:val="auto"/>
          <w:kern w:val="2"/>
          <w:sz w:val="32"/>
          <w:szCs w:val="36"/>
          <w:highlight w:val="none"/>
          <w:lang w:val="en-US" w:eastAsia="zh-CN" w:bidi="ar-SA"/>
        </w:rPr>
      </w:pPr>
      <w:r>
        <w:rPr>
          <w:rFonts w:hint="eastAsia" w:ascii="仿宋_GB2312" w:hAnsi="仿宋_GB2312" w:eastAsia="仿宋_GB2312" w:cs="仿宋_GB2312"/>
          <w:color w:val="auto"/>
          <w:kern w:val="2"/>
          <w:sz w:val="32"/>
          <w:szCs w:val="36"/>
          <w:highlight w:val="none"/>
          <w:lang w:val="en-US" w:eastAsia="zh-CN" w:bidi="ar-SA"/>
        </w:rPr>
        <w:t>3.申报单位须通过以下的数据交易平台购买语料数据，包括北京国际大数据交易所、北方大数据交易中心、上海数据交易所、苏州大数据交易所、华东江苏大数据交易中心、江苏无锡大数据交易有限公司、宿迁市数据交易中心、浙江大数据交易中心、杭州数据交易所、温州数据交易中心、福建大数据交易所、江西省数据交易平台、青岛大数据交易中心、山东数据交易有限公司、郑州数据交易中心、武汉长江大数据交易中心、湖南大数据交易所、广州数据交易所、深圳数据交易所、广西北部湾大数据交易中心、海南数据产品超市、西部数据交易中心、德阳大数据交易所、贵阳大数据交易所。</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黑体" w:hAnsi="黑体" w:eastAsia="黑体" w:cs="黑体"/>
          <w:color w:val="auto"/>
          <w:kern w:val="2"/>
          <w:sz w:val="32"/>
          <w:szCs w:val="32"/>
          <w:highlight w:val="none"/>
          <w:lang w:val="en-US" w:eastAsia="zh-CN" w:bidi="ar-SA"/>
        </w:rPr>
      </w:pPr>
      <w:r>
        <w:rPr>
          <w:rFonts w:hint="eastAsia" w:ascii="黑体" w:hAnsi="黑体" w:eastAsia="黑体" w:cs="黑体"/>
          <w:color w:val="auto"/>
          <w:kern w:val="2"/>
          <w:sz w:val="32"/>
          <w:szCs w:val="32"/>
          <w:highlight w:val="none"/>
          <w:lang w:val="en-US" w:eastAsia="zh-CN" w:bidi="ar-SA"/>
        </w:rPr>
        <w:t>　　四、申报材料</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仿宋_GB2312" w:hAnsi="仿宋_GB2312" w:eastAsia="仿宋_GB2312" w:cs="仿宋_GB2312"/>
          <w:color w:val="auto"/>
          <w:kern w:val="2"/>
          <w:sz w:val="32"/>
          <w:szCs w:val="36"/>
          <w:highlight w:val="none"/>
          <w:lang w:val="en-US" w:eastAsia="zh-CN" w:bidi="ar-SA"/>
        </w:rPr>
      </w:pPr>
      <w:r>
        <w:rPr>
          <w:rFonts w:hint="eastAsia" w:ascii="CESI仿宋-GB2312" w:hAnsi="CESI仿宋-GB2312" w:eastAsia="CESI仿宋-GB2312" w:cs="CESI仿宋-GB2312"/>
          <w:color w:val="auto"/>
          <w:sz w:val="32"/>
          <w:szCs w:val="32"/>
          <w:highlight w:val="none"/>
        </w:rPr>
        <w:t>　　</w:t>
      </w:r>
      <w:r>
        <w:rPr>
          <w:rFonts w:hint="eastAsia" w:ascii="仿宋_GB2312" w:hAnsi="仿宋_GB2312" w:eastAsia="仿宋_GB2312" w:cs="仿宋_GB2312"/>
          <w:color w:val="auto"/>
          <w:kern w:val="2"/>
          <w:sz w:val="32"/>
          <w:szCs w:val="36"/>
          <w:highlight w:val="none"/>
          <w:lang w:val="en-US" w:eastAsia="zh-CN" w:bidi="ar-SA"/>
        </w:rPr>
        <w:t>申报材料由基础申报材料和专项申报材料两部分组成，申报材料原件或复印件加盖单位公章，并彩色扫描成PDF文件上传至龙岗区产业管理服务平台系统。</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华文楷体" w:hAnsi="华文楷体" w:eastAsia="华文楷体" w:cs="华文楷体"/>
          <w:color w:val="auto"/>
          <w:kern w:val="0"/>
          <w:sz w:val="32"/>
          <w:szCs w:val="32"/>
          <w:highlight w:val="none"/>
          <w:lang w:val="en-US" w:eastAsia="en-US" w:bidi="ar-SA"/>
        </w:rPr>
      </w:pPr>
      <w:r>
        <w:rPr>
          <w:rFonts w:hint="eastAsia" w:ascii="华文楷体" w:hAnsi="华文楷体" w:eastAsia="华文楷体" w:cs="华文楷体"/>
          <w:color w:val="auto"/>
          <w:kern w:val="0"/>
          <w:sz w:val="32"/>
          <w:szCs w:val="32"/>
          <w:highlight w:val="none"/>
          <w:lang w:val="en-US" w:eastAsia="en-US" w:bidi="ar-SA"/>
        </w:rPr>
        <w:t>　　（一）基础申报材料</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color w:val="auto"/>
          <w:kern w:val="2"/>
          <w:sz w:val="32"/>
          <w:szCs w:val="36"/>
          <w:highlight w:val="none"/>
          <w:lang w:val="en-US" w:eastAsia="zh-CN" w:bidi="ar-SA"/>
        </w:rPr>
      </w:pPr>
      <w:r>
        <w:rPr>
          <w:rFonts w:hint="eastAsia" w:ascii="仿宋_GB2312" w:hAnsi="仿宋_GB2312" w:eastAsia="仿宋_GB2312" w:cs="仿宋_GB2312"/>
          <w:color w:val="auto"/>
          <w:kern w:val="2"/>
          <w:sz w:val="32"/>
          <w:szCs w:val="36"/>
          <w:highlight w:val="none"/>
          <w:lang w:val="en-US" w:eastAsia="zh-CN" w:bidi="ar-SA"/>
        </w:rPr>
        <w:t>1.登录龙岗区企业服务信息平台（http://qyfw.lg.gov.cn）在线填报申报书，提供通过该系统打印的申请书纸质文件（原件）。</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color w:val="auto"/>
          <w:kern w:val="2"/>
          <w:sz w:val="32"/>
          <w:szCs w:val="36"/>
          <w:highlight w:val="none"/>
          <w:lang w:val="en-US" w:eastAsia="zh-CN" w:bidi="ar-SA"/>
        </w:rPr>
      </w:pPr>
      <w:r>
        <w:rPr>
          <w:rFonts w:hint="eastAsia" w:ascii="仿宋_GB2312" w:hAnsi="仿宋_GB2312" w:eastAsia="仿宋_GB2312" w:cs="仿宋_GB2312"/>
          <w:color w:val="auto"/>
          <w:kern w:val="2"/>
          <w:sz w:val="32"/>
          <w:szCs w:val="36"/>
          <w:highlight w:val="none"/>
          <w:lang w:val="en-US" w:eastAsia="zh-CN" w:bidi="ar-SA"/>
        </w:rPr>
        <w:t>2.申报单位提供营业执照，非企业机构提供统一社会信用代码证书。分支机构申请的，应同时提供机构总部的授权证明文件。</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color w:val="auto"/>
          <w:kern w:val="2"/>
          <w:sz w:val="32"/>
          <w:szCs w:val="36"/>
          <w:highlight w:val="none"/>
          <w:lang w:val="en-US" w:eastAsia="zh-CN" w:bidi="ar-SA"/>
        </w:rPr>
      </w:pPr>
      <w:r>
        <w:rPr>
          <w:rFonts w:hint="eastAsia" w:ascii="仿宋_GB2312" w:hAnsi="仿宋_GB2312" w:eastAsia="仿宋_GB2312" w:cs="仿宋_GB2312"/>
          <w:color w:val="auto"/>
          <w:kern w:val="2"/>
          <w:sz w:val="32"/>
          <w:szCs w:val="36"/>
          <w:highlight w:val="none"/>
          <w:lang w:val="en-US" w:eastAsia="zh-CN" w:bidi="ar-SA"/>
        </w:rPr>
        <w:t>3.法定代表人身份证复印件（须有本人签字）。</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color w:val="auto"/>
          <w:kern w:val="2"/>
          <w:sz w:val="32"/>
          <w:szCs w:val="36"/>
          <w:highlight w:val="none"/>
          <w:lang w:val="en-US" w:eastAsia="zh-CN" w:bidi="ar-SA"/>
        </w:rPr>
      </w:pPr>
      <w:r>
        <w:rPr>
          <w:rFonts w:hint="eastAsia" w:ascii="仿宋_GB2312" w:hAnsi="仿宋_GB2312" w:eastAsia="仿宋_GB2312" w:cs="仿宋_GB2312"/>
          <w:color w:val="auto"/>
          <w:kern w:val="2"/>
          <w:sz w:val="32"/>
          <w:szCs w:val="36"/>
          <w:highlight w:val="none"/>
          <w:lang w:val="en-US" w:eastAsia="zh-CN" w:bidi="ar-SA"/>
        </w:rPr>
        <w:t>4.申报项目负责人的身份证复印件（须有本人签字）、与申请单位签订的劳动合同复印件、近三个月的深圳社会保险缴纳凭证复印件。</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color w:val="auto"/>
          <w:kern w:val="2"/>
          <w:sz w:val="32"/>
          <w:szCs w:val="36"/>
          <w:highlight w:val="none"/>
          <w:lang w:val="en-US" w:eastAsia="zh-CN" w:bidi="ar-SA"/>
        </w:rPr>
      </w:pPr>
      <w:r>
        <w:rPr>
          <w:rFonts w:hint="eastAsia" w:ascii="仿宋_GB2312" w:hAnsi="仿宋_GB2312" w:eastAsia="仿宋_GB2312" w:cs="仿宋_GB2312"/>
          <w:color w:val="auto"/>
          <w:kern w:val="2"/>
          <w:sz w:val="32"/>
          <w:szCs w:val="36"/>
          <w:highlight w:val="none"/>
          <w:lang w:val="en-US" w:eastAsia="zh-CN" w:bidi="ar-SA"/>
        </w:rPr>
        <w:t>5.深圳信用网（https://www.szcredit.org.cn）查询下载的完整版信用报告。</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color w:val="auto"/>
          <w:kern w:val="2"/>
          <w:sz w:val="32"/>
          <w:szCs w:val="36"/>
          <w:highlight w:val="none"/>
          <w:lang w:val="en-US" w:eastAsia="zh-CN" w:bidi="ar-SA"/>
        </w:rPr>
      </w:pPr>
      <w:r>
        <w:rPr>
          <w:rFonts w:hint="eastAsia" w:ascii="仿宋_GB2312" w:hAnsi="仿宋_GB2312" w:eastAsia="仿宋_GB2312" w:cs="仿宋_GB2312"/>
          <w:color w:val="auto"/>
          <w:kern w:val="2"/>
          <w:sz w:val="32"/>
          <w:szCs w:val="36"/>
          <w:highlight w:val="none"/>
          <w:lang w:val="en-US" w:eastAsia="zh-CN" w:bidi="ar-SA"/>
        </w:rPr>
        <w:t>6.申报单位近两年的财务审计报告或财务报表（复印件，成立时间不足两年的提供成立以来的）。</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color w:val="auto"/>
          <w:kern w:val="2"/>
          <w:sz w:val="32"/>
          <w:szCs w:val="36"/>
          <w:highlight w:val="none"/>
          <w:lang w:val="en-US" w:eastAsia="zh-CN" w:bidi="ar-SA"/>
        </w:rPr>
      </w:pPr>
      <w:r>
        <w:rPr>
          <w:rFonts w:hint="eastAsia" w:ascii="仿宋_GB2312" w:hAnsi="仿宋_GB2312" w:eastAsia="仿宋_GB2312" w:cs="仿宋_GB2312"/>
          <w:color w:val="auto"/>
          <w:kern w:val="2"/>
          <w:sz w:val="32"/>
          <w:szCs w:val="36"/>
          <w:highlight w:val="none"/>
          <w:lang w:val="en-US" w:eastAsia="zh-CN" w:bidi="ar-SA"/>
        </w:rPr>
        <w:t>7.税务部门提供的单位上年度纳税证明复印件（非事业单位提供）。</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color w:val="auto"/>
          <w:kern w:val="2"/>
          <w:sz w:val="32"/>
          <w:szCs w:val="36"/>
          <w:highlight w:val="none"/>
          <w:lang w:val="en-US" w:eastAsia="zh-CN" w:bidi="ar-SA"/>
        </w:rPr>
      </w:pPr>
      <w:r>
        <w:rPr>
          <w:rFonts w:hint="eastAsia" w:ascii="仿宋_GB2312" w:hAnsi="仿宋_GB2312" w:eastAsia="仿宋_GB2312" w:cs="仿宋_GB2312"/>
          <w:color w:val="auto"/>
          <w:kern w:val="2"/>
          <w:sz w:val="32"/>
          <w:szCs w:val="36"/>
          <w:highlight w:val="none"/>
          <w:lang w:val="en-US" w:eastAsia="zh-CN" w:bidi="ar-SA"/>
        </w:rPr>
        <w:t>8.项目涉及科技伦理敏感领域，或存在科技安全等风险的，需按国家有关法律法规和伦理监管政策提供相关材料。</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仿宋_GB2312" w:hAnsi="仿宋_GB2312" w:eastAsia="仿宋_GB2312" w:cs="仿宋_GB2312"/>
          <w:color w:val="auto"/>
          <w:kern w:val="2"/>
          <w:sz w:val="32"/>
          <w:szCs w:val="36"/>
          <w:highlight w:val="none"/>
          <w:lang w:val="en-US" w:eastAsia="en-US" w:bidi="ar-SA"/>
        </w:rPr>
      </w:pPr>
      <w:r>
        <w:rPr>
          <w:rFonts w:hint="eastAsia" w:ascii="华文楷体" w:hAnsi="华文楷体" w:eastAsia="华文楷体" w:cs="华文楷体"/>
          <w:color w:val="auto"/>
          <w:kern w:val="0"/>
          <w:sz w:val="32"/>
          <w:szCs w:val="32"/>
          <w:highlight w:val="none"/>
          <w:lang w:val="en-US" w:eastAsia="en-US" w:bidi="ar-SA"/>
        </w:rPr>
        <w:t>　　（二）专项申报材料</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color w:val="auto"/>
          <w:kern w:val="2"/>
          <w:sz w:val="32"/>
          <w:szCs w:val="36"/>
          <w:highlight w:val="none"/>
          <w:lang w:val="en-US" w:eastAsia="zh-CN" w:bidi="ar-SA"/>
        </w:rPr>
      </w:pPr>
      <w:r>
        <w:rPr>
          <w:rFonts w:hint="eastAsia" w:ascii="仿宋_GB2312" w:hAnsi="仿宋_GB2312" w:eastAsia="仿宋_GB2312" w:cs="仿宋_GB2312"/>
          <w:color w:val="auto"/>
          <w:kern w:val="2"/>
          <w:sz w:val="32"/>
          <w:szCs w:val="36"/>
          <w:highlight w:val="none"/>
          <w:lang w:val="en-US" w:eastAsia="zh-CN" w:bidi="ar-SA"/>
        </w:rPr>
        <w:t>1.语料数据采购合同、发票、银行付款凭证、对应税票等。</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color w:val="auto"/>
          <w:kern w:val="2"/>
          <w:sz w:val="32"/>
          <w:szCs w:val="36"/>
          <w:highlight w:val="none"/>
          <w:lang w:val="en-US" w:eastAsia="zh-CN" w:bidi="ar-SA"/>
        </w:rPr>
      </w:pPr>
      <w:r>
        <w:rPr>
          <w:rFonts w:hint="eastAsia" w:ascii="仿宋_GB2312" w:hAnsi="仿宋_GB2312" w:eastAsia="仿宋_GB2312" w:cs="仿宋_GB2312"/>
          <w:color w:val="auto"/>
          <w:kern w:val="2"/>
          <w:sz w:val="32"/>
          <w:szCs w:val="36"/>
          <w:highlight w:val="none"/>
          <w:lang w:val="en-US" w:eastAsia="zh-CN" w:bidi="ar-SA"/>
        </w:rPr>
        <w:t>2.语料数据使用报告（需加盖公章）。</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color w:val="auto"/>
          <w:kern w:val="2"/>
          <w:sz w:val="32"/>
          <w:szCs w:val="36"/>
          <w:highlight w:val="none"/>
          <w:lang w:val="en-US" w:eastAsia="zh-CN" w:bidi="ar-SA"/>
        </w:rPr>
      </w:pPr>
      <w:r>
        <w:rPr>
          <w:rFonts w:hint="eastAsia" w:ascii="仿宋_GB2312" w:hAnsi="仿宋_GB2312" w:eastAsia="仿宋_GB2312" w:cs="仿宋_GB2312"/>
          <w:color w:val="auto"/>
          <w:kern w:val="2"/>
          <w:sz w:val="32"/>
          <w:szCs w:val="36"/>
          <w:highlight w:val="none"/>
          <w:lang w:val="en-US" w:eastAsia="zh-CN" w:bidi="ar-SA"/>
        </w:rPr>
        <w:t>3.通过数据交易平台完成语料数据采购的交易凭证或备案证明。</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640" w:firstLineChars="200"/>
        <w:jc w:val="left"/>
        <w:textAlignment w:val="auto"/>
        <w:rPr>
          <w:rFonts w:hint="default" w:ascii="仿宋_GB2312" w:hAnsi="仿宋_GB2312" w:eastAsia="仿宋_GB2312" w:cs="仿宋_GB2312"/>
          <w:color w:val="auto"/>
          <w:kern w:val="2"/>
          <w:sz w:val="32"/>
          <w:szCs w:val="36"/>
          <w:highlight w:val="none"/>
          <w:lang w:val="en-US" w:eastAsia="zh-CN" w:bidi="ar-SA"/>
        </w:rPr>
      </w:pPr>
      <w:r>
        <w:rPr>
          <w:rFonts w:hint="eastAsia" w:ascii="仿宋_GB2312" w:hAnsi="仿宋_GB2312" w:eastAsia="仿宋_GB2312" w:cs="仿宋_GB2312"/>
          <w:color w:val="auto"/>
          <w:kern w:val="2"/>
          <w:sz w:val="32"/>
          <w:szCs w:val="36"/>
          <w:highlight w:val="none"/>
          <w:lang w:val="en-US" w:eastAsia="zh-CN" w:bidi="ar-SA"/>
        </w:rPr>
        <w:t>4.在受理过程中，实施部门认为需要补充的其他材料。</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黑体" w:hAnsi="黑体" w:eastAsia="黑体" w:cs="黑体"/>
          <w:color w:val="auto"/>
          <w:kern w:val="2"/>
          <w:sz w:val="32"/>
          <w:szCs w:val="32"/>
          <w:highlight w:val="none"/>
          <w:lang w:val="en-US" w:eastAsia="zh-CN" w:bidi="ar-SA"/>
        </w:rPr>
      </w:pPr>
      <w:r>
        <w:rPr>
          <w:rFonts w:hint="eastAsia" w:ascii="黑体" w:hAnsi="黑体" w:eastAsia="黑体" w:cs="黑体"/>
          <w:color w:val="auto"/>
          <w:kern w:val="2"/>
          <w:sz w:val="32"/>
          <w:szCs w:val="32"/>
          <w:highlight w:val="none"/>
          <w:lang w:val="en-US" w:eastAsia="zh-CN" w:bidi="ar-SA"/>
        </w:rPr>
        <w:t>　　五、办理流程</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CESI仿宋-GB2312" w:hAnsi="CESI仿宋-GB2312" w:eastAsia="CESI仿宋-GB2312" w:cs="CESI仿宋-GB2312"/>
          <w:color w:val="auto"/>
          <w:sz w:val="32"/>
          <w:szCs w:val="32"/>
          <w:highlight w:val="none"/>
        </w:rPr>
      </w:pPr>
      <w:r>
        <w:rPr>
          <w:rFonts w:hint="eastAsia" w:ascii="CESI仿宋-GB2312" w:hAnsi="CESI仿宋-GB2312" w:eastAsia="CESI仿宋-GB2312" w:cs="CESI仿宋-GB2312"/>
          <w:color w:val="auto"/>
          <w:sz w:val="32"/>
          <w:szCs w:val="32"/>
          <w:highlight w:val="none"/>
        </w:rPr>
        <w:t>　　</w:t>
      </w:r>
      <w:r>
        <w:rPr>
          <w:rFonts w:hint="eastAsia" w:ascii="仿宋_GB2312" w:hAnsi="仿宋_GB2312" w:eastAsia="仿宋_GB2312" w:cs="仿宋_GB2312"/>
          <w:color w:val="auto"/>
          <w:kern w:val="2"/>
          <w:sz w:val="32"/>
          <w:szCs w:val="36"/>
          <w:highlight w:val="none"/>
          <w:lang w:val="en-US" w:eastAsia="zh-CN" w:bidi="ar-SA"/>
        </w:rPr>
        <w:t>请按以下步骤进行申报：</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华文楷体" w:hAnsi="华文楷体" w:eastAsia="华文楷体" w:cs="华文楷体"/>
          <w:color w:val="auto"/>
          <w:kern w:val="0"/>
          <w:sz w:val="32"/>
          <w:szCs w:val="32"/>
          <w:highlight w:val="none"/>
          <w:lang w:val="en-US" w:eastAsia="en-US" w:bidi="ar-SA"/>
        </w:rPr>
      </w:pPr>
      <w:r>
        <w:rPr>
          <w:rFonts w:hint="eastAsia" w:ascii="华文楷体" w:hAnsi="华文楷体" w:eastAsia="华文楷体" w:cs="华文楷体"/>
          <w:color w:val="auto"/>
          <w:kern w:val="0"/>
          <w:sz w:val="32"/>
          <w:szCs w:val="32"/>
          <w:highlight w:val="none"/>
          <w:lang w:val="en-US" w:eastAsia="en-US" w:bidi="ar-SA"/>
        </w:rPr>
        <w:t>　　（一）通过龙岗区企业服务信息平台生成申报书</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color w:val="auto"/>
          <w:kern w:val="2"/>
          <w:sz w:val="32"/>
          <w:szCs w:val="36"/>
          <w:highlight w:val="none"/>
          <w:lang w:val="en-US" w:eastAsia="zh-CN" w:bidi="ar-SA"/>
        </w:rPr>
      </w:pPr>
      <w:r>
        <w:rPr>
          <w:rFonts w:hint="eastAsia" w:ascii="仿宋_GB2312" w:hAnsi="仿宋_GB2312" w:eastAsia="仿宋_GB2312" w:cs="仿宋_GB2312"/>
          <w:color w:val="auto"/>
          <w:kern w:val="2"/>
          <w:sz w:val="32"/>
          <w:szCs w:val="36"/>
          <w:highlight w:val="none"/>
          <w:lang w:val="en-US" w:eastAsia="zh-CN" w:bidi="ar-SA"/>
        </w:rPr>
        <w:t>企业在龙岗区企业服务信息平台（网址：https://qyfw.lg.gov.cn）用广东政务服务网的账号密码登录，然后在首页导航栏选择“资金扶持”——“当前可申报的项目”，选择【“2025年龙岗区企业用数成本扶持项目”专项扶持】栏目进入申报。企业上传申报资料后，区人工智能（机器人）署将组织线上审核等工作，请企业等待线上审核结果。</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color w:val="auto"/>
          <w:kern w:val="2"/>
          <w:sz w:val="32"/>
          <w:szCs w:val="36"/>
          <w:highlight w:val="none"/>
          <w:lang w:val="en-US" w:eastAsia="zh-CN" w:bidi="ar-SA"/>
        </w:rPr>
      </w:pPr>
      <w:r>
        <w:rPr>
          <w:rFonts w:hint="eastAsia" w:ascii="仿宋_GB2312" w:hAnsi="仿宋_GB2312" w:eastAsia="仿宋_GB2312" w:cs="仿宋_GB2312"/>
          <w:color w:val="auto"/>
          <w:kern w:val="2"/>
          <w:sz w:val="32"/>
          <w:szCs w:val="36"/>
          <w:highlight w:val="none"/>
          <w:lang w:val="en-US" w:eastAsia="zh-CN" w:bidi="ar-SA"/>
        </w:rPr>
        <w:t>企业收到龙岗区企业服务信息平台“已通过线上终审”的信息后，即可在平台下载带水印的申报书。</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华文楷体" w:hAnsi="华文楷体" w:eastAsia="华文楷体" w:cs="华文楷体"/>
          <w:color w:val="auto"/>
          <w:kern w:val="0"/>
          <w:sz w:val="32"/>
          <w:szCs w:val="32"/>
          <w:highlight w:val="none"/>
          <w:lang w:val="en-US" w:eastAsia="en-US" w:bidi="ar-SA"/>
        </w:rPr>
      </w:pPr>
      <w:r>
        <w:rPr>
          <w:rFonts w:hint="eastAsia" w:ascii="华文楷体" w:hAnsi="华文楷体" w:eastAsia="华文楷体" w:cs="华文楷体"/>
          <w:color w:val="auto"/>
          <w:kern w:val="0"/>
          <w:sz w:val="32"/>
          <w:szCs w:val="32"/>
          <w:highlight w:val="none"/>
          <w:lang w:val="en-US" w:eastAsia="en-US" w:bidi="ar-SA"/>
        </w:rPr>
        <w:t>　　（二）在广东政务服务网进行项目申报</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仿宋_GB2312" w:hAnsi="仿宋_GB2312" w:eastAsia="仿宋_GB2312" w:cs="仿宋_GB2312"/>
          <w:color w:val="auto"/>
          <w:kern w:val="2"/>
          <w:sz w:val="32"/>
          <w:szCs w:val="36"/>
          <w:highlight w:val="none"/>
          <w:lang w:val="en-US" w:eastAsia="zh-CN" w:bidi="ar-SA"/>
        </w:rPr>
      </w:pPr>
      <w:r>
        <w:rPr>
          <w:rFonts w:hint="eastAsia" w:ascii="CESI仿宋-GB2312" w:hAnsi="CESI仿宋-GB2312" w:eastAsia="CESI仿宋-GB2312" w:cs="CESI仿宋-GB2312"/>
          <w:color w:val="auto"/>
          <w:sz w:val="32"/>
          <w:szCs w:val="32"/>
          <w:highlight w:val="none"/>
        </w:rPr>
        <w:t>　　</w:t>
      </w:r>
      <w:r>
        <w:rPr>
          <w:rFonts w:hint="eastAsia" w:ascii="仿宋_GB2312" w:hAnsi="仿宋_GB2312" w:eastAsia="仿宋_GB2312" w:cs="仿宋_GB2312"/>
          <w:color w:val="auto"/>
          <w:kern w:val="2"/>
          <w:sz w:val="32"/>
          <w:szCs w:val="36"/>
          <w:highlight w:val="none"/>
          <w:lang w:val="en-US" w:eastAsia="zh-CN" w:bidi="ar-SA"/>
        </w:rPr>
        <w:t>企业在广东政务服务网注册、登录；进入龙岗区人工智能（机器人）署“2025年龙岗区企业用数成本扶持项目”申报页面在线办理申请，上传并提交带水印的申报书，等待后台工作人员审核。</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华文楷体" w:hAnsi="华文楷体" w:eastAsia="华文楷体" w:cs="华文楷体"/>
          <w:color w:val="auto"/>
          <w:kern w:val="0"/>
          <w:sz w:val="32"/>
          <w:szCs w:val="32"/>
          <w:highlight w:val="none"/>
          <w:lang w:val="en-US" w:eastAsia="en-US" w:bidi="ar-SA"/>
        </w:rPr>
      </w:pPr>
      <w:r>
        <w:rPr>
          <w:rFonts w:hint="eastAsia" w:ascii="华文楷体" w:hAnsi="华文楷体" w:eastAsia="华文楷体" w:cs="华文楷体"/>
          <w:color w:val="auto"/>
          <w:kern w:val="0"/>
          <w:sz w:val="32"/>
          <w:szCs w:val="32"/>
          <w:highlight w:val="none"/>
          <w:lang w:val="en-US" w:eastAsia="en-US" w:bidi="ar-SA"/>
        </w:rPr>
        <w:t>　　（三）递交书面材料</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仿宋_GB2312" w:hAnsi="仿宋_GB2312" w:eastAsia="仿宋_GB2312" w:cs="仿宋_GB2312"/>
          <w:color w:val="auto"/>
          <w:kern w:val="2"/>
          <w:sz w:val="32"/>
          <w:szCs w:val="36"/>
          <w:highlight w:val="none"/>
          <w:lang w:val="en-US" w:eastAsia="zh-CN" w:bidi="ar-SA"/>
        </w:rPr>
      </w:pPr>
      <w:r>
        <w:rPr>
          <w:rFonts w:hint="eastAsia" w:ascii="CESI仿宋-GB2312" w:hAnsi="CESI仿宋-GB2312" w:eastAsia="CESI仿宋-GB2312" w:cs="CESI仿宋-GB2312"/>
          <w:color w:val="auto"/>
          <w:sz w:val="32"/>
          <w:szCs w:val="32"/>
          <w:highlight w:val="none"/>
        </w:rPr>
        <w:t>　　</w:t>
      </w:r>
      <w:bookmarkStart w:id="0" w:name="_Hlk130487719"/>
      <w:bookmarkEnd w:id="0"/>
      <w:r>
        <w:rPr>
          <w:rFonts w:hint="eastAsia" w:ascii="仿宋_GB2312" w:hAnsi="仿宋_GB2312" w:eastAsia="仿宋_GB2312" w:cs="仿宋_GB2312"/>
          <w:color w:val="auto"/>
          <w:kern w:val="2"/>
          <w:sz w:val="32"/>
          <w:szCs w:val="36"/>
          <w:highlight w:val="none"/>
          <w:lang w:val="en-US" w:eastAsia="zh-CN" w:bidi="ar-SA"/>
        </w:rPr>
        <w:t>请企业在收到广东政务服务网审核通过的短信通知后，在5个工作日内递交带水印的书面申报书（请用A4纸双面打印带水印的申报书，按顺序胶装成册、封面加盖公章、盖骑缝章。一式两份）和各项申报材料（须按分项制作目录索引）。</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jc w:val="left"/>
        <w:textAlignment w:val="auto"/>
        <w:rPr>
          <w:rFonts w:hint="eastAsia" w:ascii="仿宋_GB2312" w:hAnsi="仿宋_GB2312" w:eastAsia="仿宋_GB2312" w:cs="仿宋_GB2312"/>
          <w:color w:val="auto"/>
          <w:kern w:val="2"/>
          <w:sz w:val="32"/>
          <w:szCs w:val="36"/>
          <w:highlight w:val="none"/>
          <w:lang w:val="en-US" w:eastAsia="zh-CN" w:bidi="ar-SA"/>
        </w:rPr>
      </w:pPr>
      <w:r>
        <w:rPr>
          <w:rFonts w:hint="eastAsia" w:ascii="仿宋_GB2312" w:hAnsi="仿宋_GB2312" w:eastAsia="仿宋_GB2312" w:cs="仿宋_GB2312"/>
          <w:color w:val="auto"/>
          <w:kern w:val="2"/>
          <w:sz w:val="32"/>
          <w:szCs w:val="36"/>
          <w:highlight w:val="none"/>
          <w:lang w:val="en-US" w:eastAsia="zh-CN" w:bidi="ar-SA"/>
        </w:rPr>
        <w:t>书面材料受理窗口地址如下（请任意选择其一）：</w:t>
      </w:r>
    </w:p>
    <w:tbl>
      <w:tblPr>
        <w:tblStyle w:val="9"/>
        <w:tblW w:w="0" w:type="auto"/>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525"/>
        <w:gridCol w:w="2957"/>
        <w:gridCol w:w="3286"/>
        <w:gridCol w:w="166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35" w:hRule="atLeast"/>
        </w:trPr>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黑体" w:hAnsi="宋体" w:eastAsia="黑体" w:cs="黑体"/>
                <w:i w:val="0"/>
                <w:iCs w:val="0"/>
                <w:color w:val="auto"/>
                <w:sz w:val="24"/>
                <w:szCs w:val="24"/>
                <w:highlight w:val="none"/>
                <w:u w:val="none"/>
              </w:rPr>
            </w:pPr>
            <w:r>
              <w:rPr>
                <w:rFonts w:hint="eastAsia" w:ascii="黑体" w:hAnsi="宋体" w:eastAsia="黑体" w:cs="黑体"/>
                <w:i w:val="0"/>
                <w:iCs w:val="0"/>
                <w:color w:val="auto"/>
                <w:kern w:val="0"/>
                <w:sz w:val="24"/>
                <w:szCs w:val="24"/>
                <w:highlight w:val="none"/>
                <w:u w:val="none"/>
                <w:lang w:val="en-US" w:eastAsia="zh-CN" w:bidi="ar"/>
              </w:rPr>
              <w:t>序号</w:t>
            </w:r>
          </w:p>
        </w:tc>
        <w:tc>
          <w:tcPr>
            <w:tcW w:w="29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宋体" w:eastAsia="黑体" w:cs="黑体"/>
                <w:i w:val="0"/>
                <w:iCs w:val="0"/>
                <w:color w:val="auto"/>
                <w:sz w:val="24"/>
                <w:szCs w:val="24"/>
                <w:highlight w:val="none"/>
                <w:u w:val="none"/>
              </w:rPr>
            </w:pPr>
            <w:r>
              <w:rPr>
                <w:rFonts w:hint="eastAsia" w:ascii="黑体" w:hAnsi="宋体" w:eastAsia="黑体" w:cs="黑体"/>
                <w:i w:val="0"/>
                <w:iCs w:val="0"/>
                <w:color w:val="auto"/>
                <w:kern w:val="0"/>
                <w:sz w:val="24"/>
                <w:szCs w:val="24"/>
                <w:highlight w:val="none"/>
                <w:u w:val="none"/>
                <w:lang w:val="en-US" w:eastAsia="zh-CN" w:bidi="ar"/>
              </w:rPr>
              <w:t>名称</w:t>
            </w:r>
          </w:p>
        </w:tc>
        <w:tc>
          <w:tcPr>
            <w:tcW w:w="32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宋体" w:eastAsia="黑体" w:cs="黑体"/>
                <w:i w:val="0"/>
                <w:iCs w:val="0"/>
                <w:color w:val="auto"/>
                <w:sz w:val="24"/>
                <w:szCs w:val="24"/>
                <w:highlight w:val="none"/>
                <w:u w:val="none"/>
              </w:rPr>
            </w:pPr>
            <w:r>
              <w:rPr>
                <w:rFonts w:hint="eastAsia" w:ascii="黑体" w:hAnsi="宋体" w:eastAsia="黑体" w:cs="黑体"/>
                <w:i w:val="0"/>
                <w:iCs w:val="0"/>
                <w:color w:val="auto"/>
                <w:kern w:val="0"/>
                <w:sz w:val="24"/>
                <w:szCs w:val="24"/>
                <w:highlight w:val="none"/>
                <w:u w:val="none"/>
                <w:lang w:val="en-US" w:eastAsia="zh-CN" w:bidi="ar"/>
              </w:rPr>
              <w:t>地址</w:t>
            </w:r>
          </w:p>
        </w:tc>
        <w:tc>
          <w:tcPr>
            <w:tcW w:w="16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宋体" w:eastAsia="黑体" w:cs="黑体"/>
                <w:i w:val="0"/>
                <w:iCs w:val="0"/>
                <w:color w:val="auto"/>
                <w:sz w:val="24"/>
                <w:szCs w:val="24"/>
                <w:highlight w:val="none"/>
                <w:u w:val="none"/>
              </w:rPr>
            </w:pPr>
            <w:r>
              <w:rPr>
                <w:rFonts w:hint="eastAsia" w:ascii="黑体" w:hAnsi="宋体" w:eastAsia="黑体" w:cs="黑体"/>
                <w:i w:val="0"/>
                <w:iCs w:val="0"/>
                <w:color w:val="auto"/>
                <w:kern w:val="0"/>
                <w:sz w:val="24"/>
                <w:szCs w:val="24"/>
                <w:highlight w:val="none"/>
                <w:u w:val="none"/>
                <w:lang w:val="en-US" w:eastAsia="zh-CN" w:bidi="ar"/>
              </w:rPr>
              <w:t>咨询电话</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0" w:hRule="atLeast"/>
        </w:trPr>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auto"/>
                <w:kern w:val="0"/>
                <w:sz w:val="24"/>
                <w:szCs w:val="24"/>
                <w:highlight w:val="none"/>
                <w:u w:val="none"/>
                <w:lang w:val="en-US" w:eastAsia="zh-CN" w:bidi="ar"/>
              </w:rPr>
            </w:pPr>
            <w:r>
              <w:rPr>
                <w:rFonts w:hint="default" w:ascii="仿宋" w:hAnsi="仿宋" w:eastAsia="仿宋" w:cs="仿宋"/>
                <w:i w:val="0"/>
                <w:iCs w:val="0"/>
                <w:color w:val="auto"/>
                <w:kern w:val="0"/>
                <w:sz w:val="24"/>
                <w:szCs w:val="24"/>
                <w:highlight w:val="none"/>
                <w:u w:val="none"/>
                <w:lang w:eastAsia="zh-CN" w:bidi="ar"/>
              </w:rPr>
              <w:t>1</w:t>
            </w:r>
          </w:p>
        </w:tc>
        <w:tc>
          <w:tcPr>
            <w:tcW w:w="29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深圳市龙岗区政务服务中心</w:t>
            </w:r>
          </w:p>
        </w:tc>
        <w:tc>
          <w:tcPr>
            <w:tcW w:w="32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深圳市龙岗区龙翔大道8033-1龙岗政务服务中心</w:t>
            </w:r>
          </w:p>
        </w:tc>
        <w:tc>
          <w:tcPr>
            <w:tcW w:w="16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auto"/>
                <w:kern w:val="0"/>
                <w:sz w:val="24"/>
                <w:szCs w:val="24"/>
                <w:highlight w:val="none"/>
                <w:u w:val="none"/>
                <w:lang w:val="en-US" w:eastAsia="zh-CN" w:bidi="ar"/>
              </w:rPr>
            </w:pPr>
            <w:r>
              <w:rPr>
                <w:rFonts w:hint="default" w:ascii="仿宋" w:hAnsi="仿宋" w:eastAsia="仿宋" w:cs="仿宋"/>
                <w:i w:val="0"/>
                <w:iCs w:val="0"/>
                <w:color w:val="auto"/>
                <w:kern w:val="0"/>
                <w:sz w:val="24"/>
                <w:szCs w:val="24"/>
                <w:highlight w:val="none"/>
                <w:u w:val="none"/>
                <w:lang w:val="en-US" w:eastAsia="zh-CN" w:bidi="ar"/>
              </w:rPr>
              <w:t>84502446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0" w:hRule="atLeast"/>
        </w:trPr>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auto"/>
                <w:sz w:val="24"/>
                <w:szCs w:val="24"/>
                <w:highlight w:val="none"/>
                <w:u w:val="none"/>
              </w:rPr>
            </w:pPr>
            <w:r>
              <w:rPr>
                <w:rFonts w:hint="default" w:ascii="仿宋_GB2312" w:hAnsi="宋体" w:eastAsia="仿宋_GB2312" w:cs="仿宋_GB2312"/>
                <w:i w:val="0"/>
                <w:iCs w:val="0"/>
                <w:color w:val="auto"/>
                <w:kern w:val="0"/>
                <w:sz w:val="24"/>
                <w:szCs w:val="24"/>
                <w:highlight w:val="none"/>
                <w:u w:val="none"/>
                <w:lang w:eastAsia="zh-CN" w:bidi="ar"/>
              </w:rPr>
              <w:t>2</w:t>
            </w:r>
          </w:p>
        </w:tc>
        <w:tc>
          <w:tcPr>
            <w:tcW w:w="29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auto"/>
                <w:sz w:val="24"/>
                <w:szCs w:val="24"/>
                <w:highlight w:val="none"/>
                <w:u w:val="none"/>
              </w:rPr>
            </w:pPr>
            <w:r>
              <w:rPr>
                <w:rFonts w:hint="eastAsia" w:ascii="仿宋_GB2312" w:hAnsi="宋体" w:eastAsia="仿宋_GB2312" w:cs="仿宋_GB2312"/>
                <w:i w:val="0"/>
                <w:iCs w:val="0"/>
                <w:color w:val="auto"/>
                <w:kern w:val="0"/>
                <w:sz w:val="24"/>
                <w:szCs w:val="24"/>
                <w:highlight w:val="none"/>
                <w:u w:val="none"/>
                <w:lang w:val="en-US" w:eastAsia="zh-CN" w:bidi="ar"/>
              </w:rPr>
              <w:t>深圳市龙岗区政务服务中心天安云谷分中心</w:t>
            </w:r>
          </w:p>
        </w:tc>
        <w:tc>
          <w:tcPr>
            <w:tcW w:w="32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auto"/>
                <w:sz w:val="24"/>
                <w:szCs w:val="24"/>
                <w:highlight w:val="none"/>
                <w:u w:val="none"/>
              </w:rPr>
            </w:pPr>
            <w:r>
              <w:rPr>
                <w:rFonts w:hint="eastAsia" w:ascii="仿宋_GB2312" w:hAnsi="宋体" w:eastAsia="仿宋_GB2312" w:cs="仿宋_GB2312"/>
                <w:i w:val="0"/>
                <w:iCs w:val="0"/>
                <w:color w:val="auto"/>
                <w:kern w:val="0"/>
                <w:sz w:val="24"/>
                <w:szCs w:val="24"/>
                <w:highlight w:val="none"/>
                <w:u w:val="none"/>
                <w:lang w:val="en-US" w:eastAsia="zh-CN" w:bidi="ar"/>
              </w:rPr>
              <w:t>深圳市龙岗区坂田街道雪岗路2018号天安云谷1栋B座1楼</w:t>
            </w:r>
          </w:p>
        </w:tc>
        <w:tc>
          <w:tcPr>
            <w:tcW w:w="16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auto"/>
                <w:sz w:val="24"/>
                <w:szCs w:val="24"/>
                <w:highlight w:val="none"/>
                <w:u w:val="none"/>
              </w:rPr>
            </w:pPr>
            <w:r>
              <w:rPr>
                <w:rFonts w:hint="eastAsia" w:ascii="仿宋_GB2312" w:hAnsi="宋体" w:eastAsia="仿宋_GB2312" w:cs="仿宋_GB2312"/>
                <w:i w:val="0"/>
                <w:iCs w:val="0"/>
                <w:color w:val="auto"/>
                <w:kern w:val="0"/>
                <w:sz w:val="24"/>
                <w:szCs w:val="24"/>
                <w:highlight w:val="none"/>
                <w:u w:val="none"/>
                <w:lang w:val="en-US" w:eastAsia="zh-CN" w:bidi="ar"/>
              </w:rPr>
              <w:t>89601111（转政务服务）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0" w:hRule="atLeast"/>
        </w:trPr>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auto"/>
                <w:sz w:val="24"/>
                <w:szCs w:val="24"/>
                <w:highlight w:val="none"/>
                <w:u w:val="none"/>
              </w:rPr>
            </w:pPr>
            <w:r>
              <w:rPr>
                <w:rFonts w:hint="default" w:ascii="仿宋_GB2312" w:hAnsi="宋体" w:eastAsia="仿宋_GB2312" w:cs="仿宋_GB2312"/>
                <w:i w:val="0"/>
                <w:iCs w:val="0"/>
                <w:color w:val="auto"/>
                <w:kern w:val="0"/>
                <w:sz w:val="24"/>
                <w:szCs w:val="24"/>
                <w:highlight w:val="none"/>
                <w:u w:val="none"/>
                <w:lang w:eastAsia="zh-CN" w:bidi="ar"/>
              </w:rPr>
              <w:t>3</w:t>
            </w:r>
          </w:p>
        </w:tc>
        <w:tc>
          <w:tcPr>
            <w:tcW w:w="29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auto"/>
                <w:sz w:val="24"/>
                <w:szCs w:val="24"/>
                <w:highlight w:val="none"/>
                <w:u w:val="none"/>
              </w:rPr>
            </w:pPr>
            <w:r>
              <w:rPr>
                <w:rFonts w:hint="eastAsia" w:ascii="仿宋_GB2312" w:hAnsi="宋体" w:eastAsia="仿宋_GB2312" w:cs="仿宋_GB2312"/>
                <w:i w:val="0"/>
                <w:iCs w:val="0"/>
                <w:color w:val="auto"/>
                <w:kern w:val="0"/>
                <w:sz w:val="24"/>
                <w:szCs w:val="24"/>
                <w:highlight w:val="none"/>
                <w:u w:val="none"/>
                <w:lang w:val="en-US" w:eastAsia="zh-CN" w:bidi="ar"/>
              </w:rPr>
              <w:t>深圳市龙岗区政务服务中心大运软件小镇分中心</w:t>
            </w:r>
          </w:p>
        </w:tc>
        <w:tc>
          <w:tcPr>
            <w:tcW w:w="32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auto"/>
                <w:sz w:val="24"/>
                <w:szCs w:val="24"/>
                <w:highlight w:val="none"/>
                <w:u w:val="none"/>
              </w:rPr>
            </w:pPr>
            <w:r>
              <w:rPr>
                <w:rFonts w:hint="eastAsia" w:ascii="仿宋_GB2312" w:hAnsi="宋体" w:eastAsia="仿宋_GB2312" w:cs="仿宋_GB2312"/>
                <w:i w:val="0"/>
                <w:iCs w:val="0"/>
                <w:color w:val="auto"/>
                <w:kern w:val="0"/>
                <w:sz w:val="24"/>
                <w:szCs w:val="24"/>
                <w:highlight w:val="none"/>
                <w:u w:val="none"/>
                <w:lang w:val="en-US" w:eastAsia="zh-CN" w:bidi="ar"/>
              </w:rPr>
              <w:t>深圳市龙岗区龙岗大道8288号大运软件小镇17栋1楼</w:t>
            </w:r>
          </w:p>
        </w:tc>
        <w:tc>
          <w:tcPr>
            <w:tcW w:w="16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auto"/>
                <w:sz w:val="24"/>
                <w:szCs w:val="24"/>
                <w:highlight w:val="none"/>
                <w:u w:val="none"/>
              </w:rPr>
            </w:pPr>
            <w:r>
              <w:rPr>
                <w:rFonts w:hint="eastAsia" w:ascii="仿宋_GB2312" w:hAnsi="宋体" w:eastAsia="仿宋_GB2312" w:cs="仿宋_GB2312"/>
                <w:i w:val="0"/>
                <w:iCs w:val="0"/>
                <w:color w:val="auto"/>
                <w:kern w:val="0"/>
                <w:sz w:val="24"/>
                <w:szCs w:val="24"/>
                <w:highlight w:val="none"/>
                <w:u w:val="none"/>
                <w:lang w:val="en-US" w:eastAsia="zh-CN" w:bidi="ar"/>
              </w:rPr>
              <w:t>28229136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0" w:hRule="atLeast"/>
        </w:trPr>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auto"/>
                <w:sz w:val="24"/>
                <w:szCs w:val="24"/>
                <w:highlight w:val="none"/>
                <w:u w:val="none"/>
              </w:rPr>
            </w:pPr>
            <w:r>
              <w:rPr>
                <w:rFonts w:hint="default" w:ascii="仿宋_GB2312" w:hAnsi="宋体" w:eastAsia="仿宋_GB2312" w:cs="仿宋_GB2312"/>
                <w:i w:val="0"/>
                <w:iCs w:val="0"/>
                <w:color w:val="auto"/>
                <w:kern w:val="0"/>
                <w:sz w:val="24"/>
                <w:szCs w:val="24"/>
                <w:highlight w:val="none"/>
                <w:u w:val="none"/>
                <w:lang w:eastAsia="zh-CN" w:bidi="ar"/>
              </w:rPr>
              <w:t>4</w:t>
            </w:r>
          </w:p>
        </w:tc>
        <w:tc>
          <w:tcPr>
            <w:tcW w:w="29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auto"/>
                <w:sz w:val="24"/>
                <w:szCs w:val="24"/>
                <w:highlight w:val="none"/>
                <w:u w:val="none"/>
              </w:rPr>
            </w:pPr>
            <w:r>
              <w:rPr>
                <w:rFonts w:hint="eastAsia" w:ascii="仿宋_GB2312" w:hAnsi="宋体" w:eastAsia="仿宋_GB2312" w:cs="仿宋_GB2312"/>
                <w:i w:val="0"/>
                <w:iCs w:val="0"/>
                <w:color w:val="auto"/>
                <w:kern w:val="0"/>
                <w:sz w:val="24"/>
                <w:szCs w:val="24"/>
                <w:highlight w:val="none"/>
                <w:u w:val="none"/>
                <w:lang w:val="en-US" w:eastAsia="zh-CN" w:bidi="ar"/>
              </w:rPr>
              <w:t>深圳市龙岗区政务服务中心中海信分中心</w:t>
            </w:r>
          </w:p>
        </w:tc>
        <w:tc>
          <w:tcPr>
            <w:tcW w:w="32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auto"/>
                <w:sz w:val="24"/>
                <w:szCs w:val="24"/>
                <w:highlight w:val="none"/>
                <w:u w:val="none"/>
              </w:rPr>
            </w:pPr>
            <w:r>
              <w:rPr>
                <w:rFonts w:hint="eastAsia" w:ascii="仿宋_GB2312" w:hAnsi="宋体" w:eastAsia="仿宋_GB2312" w:cs="仿宋_GB2312"/>
                <w:i w:val="0"/>
                <w:iCs w:val="0"/>
                <w:color w:val="auto"/>
                <w:kern w:val="0"/>
                <w:sz w:val="24"/>
                <w:szCs w:val="24"/>
                <w:highlight w:val="none"/>
                <w:u w:val="none"/>
                <w:lang w:val="en-US" w:eastAsia="zh-CN" w:bidi="ar"/>
              </w:rPr>
              <w:t>深圳市龙岗区吉华街道甘李三路中海信创新产业城19A栋2层</w:t>
            </w:r>
          </w:p>
        </w:tc>
        <w:tc>
          <w:tcPr>
            <w:tcW w:w="16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auto"/>
                <w:sz w:val="24"/>
                <w:szCs w:val="24"/>
                <w:highlight w:val="none"/>
                <w:u w:val="none"/>
              </w:rPr>
            </w:pPr>
            <w:r>
              <w:rPr>
                <w:rFonts w:hint="eastAsia" w:ascii="仿宋_GB2312" w:hAnsi="宋体" w:eastAsia="仿宋_GB2312" w:cs="仿宋_GB2312"/>
                <w:i w:val="0"/>
                <w:iCs w:val="0"/>
                <w:color w:val="auto"/>
                <w:kern w:val="0"/>
                <w:sz w:val="24"/>
                <w:szCs w:val="24"/>
                <w:highlight w:val="none"/>
                <w:u w:val="none"/>
                <w:lang w:val="en-US" w:eastAsia="zh-CN" w:bidi="ar"/>
              </w:rPr>
              <w:t>33112166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0" w:hRule="atLeast"/>
        </w:trPr>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auto"/>
                <w:sz w:val="24"/>
                <w:szCs w:val="24"/>
                <w:highlight w:val="none"/>
                <w:u w:val="none"/>
              </w:rPr>
            </w:pPr>
            <w:r>
              <w:rPr>
                <w:rFonts w:hint="default" w:ascii="仿宋_GB2312" w:hAnsi="宋体" w:eastAsia="仿宋_GB2312" w:cs="仿宋_GB2312"/>
                <w:i w:val="0"/>
                <w:iCs w:val="0"/>
                <w:color w:val="auto"/>
                <w:kern w:val="0"/>
                <w:sz w:val="24"/>
                <w:szCs w:val="24"/>
                <w:highlight w:val="none"/>
                <w:u w:val="none"/>
                <w:lang w:eastAsia="zh-CN" w:bidi="ar"/>
              </w:rPr>
              <w:t>5</w:t>
            </w:r>
          </w:p>
        </w:tc>
        <w:tc>
          <w:tcPr>
            <w:tcW w:w="29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auto"/>
                <w:sz w:val="24"/>
                <w:szCs w:val="24"/>
                <w:highlight w:val="none"/>
                <w:u w:val="none"/>
              </w:rPr>
            </w:pPr>
            <w:r>
              <w:rPr>
                <w:rFonts w:hint="eastAsia" w:ascii="仿宋_GB2312" w:hAnsi="宋体" w:eastAsia="仿宋_GB2312" w:cs="仿宋_GB2312"/>
                <w:i w:val="0"/>
                <w:iCs w:val="0"/>
                <w:color w:val="auto"/>
                <w:kern w:val="0"/>
                <w:sz w:val="24"/>
                <w:szCs w:val="24"/>
                <w:highlight w:val="none"/>
                <w:u w:val="none"/>
                <w:lang w:val="en-US" w:eastAsia="zh-CN" w:bidi="ar"/>
              </w:rPr>
              <w:t>深圳市龙岗区政务服务中心天安数码城分中心</w:t>
            </w:r>
          </w:p>
        </w:tc>
        <w:tc>
          <w:tcPr>
            <w:tcW w:w="32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auto"/>
                <w:sz w:val="24"/>
                <w:szCs w:val="24"/>
                <w:highlight w:val="none"/>
                <w:u w:val="none"/>
              </w:rPr>
            </w:pPr>
            <w:r>
              <w:rPr>
                <w:rFonts w:hint="eastAsia" w:ascii="仿宋_GB2312" w:hAnsi="宋体" w:eastAsia="仿宋_GB2312" w:cs="仿宋_GB2312"/>
                <w:i w:val="0"/>
                <w:iCs w:val="0"/>
                <w:color w:val="auto"/>
                <w:kern w:val="0"/>
                <w:sz w:val="24"/>
                <w:szCs w:val="24"/>
                <w:highlight w:val="none"/>
                <w:u w:val="none"/>
                <w:lang w:val="en-US" w:eastAsia="zh-CN" w:bidi="ar"/>
              </w:rPr>
              <w:t>深圳市龙岗区黄阁路天安数码城2栋a座1楼服务中心</w:t>
            </w:r>
          </w:p>
        </w:tc>
        <w:tc>
          <w:tcPr>
            <w:tcW w:w="16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auto"/>
                <w:sz w:val="24"/>
                <w:szCs w:val="24"/>
                <w:highlight w:val="none"/>
                <w:u w:val="none"/>
              </w:rPr>
            </w:pPr>
            <w:r>
              <w:rPr>
                <w:rFonts w:hint="eastAsia" w:ascii="仿宋_GB2312" w:hAnsi="宋体" w:eastAsia="仿宋_GB2312" w:cs="仿宋_GB2312"/>
                <w:i w:val="0"/>
                <w:iCs w:val="0"/>
                <w:color w:val="auto"/>
                <w:kern w:val="0"/>
                <w:sz w:val="24"/>
                <w:szCs w:val="24"/>
                <w:highlight w:val="none"/>
                <w:u w:val="none"/>
                <w:lang w:val="en-US" w:eastAsia="zh-CN" w:bidi="ar"/>
              </w:rPr>
              <w:t>89312333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0" w:hRule="atLeast"/>
        </w:trPr>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auto"/>
                <w:sz w:val="24"/>
                <w:szCs w:val="24"/>
                <w:highlight w:val="none"/>
                <w:u w:val="none"/>
              </w:rPr>
            </w:pPr>
            <w:r>
              <w:rPr>
                <w:rFonts w:hint="default" w:ascii="仿宋_GB2312" w:hAnsi="宋体" w:eastAsia="仿宋_GB2312" w:cs="仿宋_GB2312"/>
                <w:i w:val="0"/>
                <w:iCs w:val="0"/>
                <w:color w:val="auto"/>
                <w:kern w:val="0"/>
                <w:sz w:val="24"/>
                <w:szCs w:val="24"/>
                <w:highlight w:val="none"/>
                <w:u w:val="none"/>
                <w:lang w:eastAsia="zh-CN" w:bidi="ar"/>
              </w:rPr>
              <w:t>6</w:t>
            </w:r>
          </w:p>
        </w:tc>
        <w:tc>
          <w:tcPr>
            <w:tcW w:w="29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auto"/>
                <w:sz w:val="24"/>
                <w:szCs w:val="24"/>
                <w:highlight w:val="none"/>
                <w:u w:val="none"/>
              </w:rPr>
            </w:pPr>
            <w:r>
              <w:rPr>
                <w:rFonts w:hint="eastAsia" w:ascii="仿宋_GB2312" w:hAnsi="宋体" w:eastAsia="仿宋_GB2312" w:cs="仿宋_GB2312"/>
                <w:i w:val="0"/>
                <w:iCs w:val="0"/>
                <w:color w:val="auto"/>
                <w:kern w:val="0"/>
                <w:sz w:val="24"/>
                <w:szCs w:val="24"/>
                <w:highlight w:val="none"/>
                <w:u w:val="none"/>
                <w:lang w:val="en-US" w:eastAsia="zh-CN" w:bidi="ar"/>
              </w:rPr>
              <w:t>深圳市龙岗区政务服务中心宝龙分中心</w:t>
            </w:r>
          </w:p>
        </w:tc>
        <w:tc>
          <w:tcPr>
            <w:tcW w:w="32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auto"/>
                <w:sz w:val="24"/>
                <w:szCs w:val="24"/>
                <w:highlight w:val="none"/>
                <w:u w:val="none"/>
              </w:rPr>
            </w:pPr>
            <w:r>
              <w:rPr>
                <w:rFonts w:hint="eastAsia" w:ascii="仿宋_GB2312" w:hAnsi="宋体" w:eastAsia="仿宋_GB2312" w:cs="仿宋_GB2312"/>
                <w:i w:val="0"/>
                <w:iCs w:val="0"/>
                <w:color w:val="auto"/>
                <w:kern w:val="0"/>
                <w:sz w:val="24"/>
                <w:szCs w:val="24"/>
                <w:highlight w:val="none"/>
                <w:u w:val="none"/>
                <w:lang w:val="en-US" w:eastAsia="zh-CN" w:bidi="ar"/>
              </w:rPr>
              <w:t>深圳市龙岗区冬青路18号宝龙街道便民服务中心1楼</w:t>
            </w:r>
          </w:p>
        </w:tc>
        <w:tc>
          <w:tcPr>
            <w:tcW w:w="16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auto"/>
                <w:sz w:val="24"/>
                <w:szCs w:val="24"/>
                <w:highlight w:val="none"/>
                <w:u w:val="none"/>
              </w:rPr>
            </w:pPr>
            <w:r>
              <w:rPr>
                <w:rFonts w:hint="eastAsia" w:ascii="仿宋_GB2312" w:hAnsi="宋体" w:eastAsia="仿宋_GB2312" w:cs="仿宋_GB2312"/>
                <w:i w:val="0"/>
                <w:iCs w:val="0"/>
                <w:color w:val="auto"/>
                <w:kern w:val="0"/>
                <w:sz w:val="24"/>
                <w:szCs w:val="24"/>
                <w:highlight w:val="none"/>
                <w:u w:val="none"/>
                <w:lang w:val="en-US" w:eastAsia="zh-CN" w:bidi="ar"/>
              </w:rPr>
              <w:t>23255492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0" w:hRule="atLeast"/>
        </w:trPr>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auto"/>
                <w:sz w:val="24"/>
                <w:szCs w:val="24"/>
                <w:highlight w:val="none"/>
                <w:u w:val="none"/>
              </w:rPr>
            </w:pPr>
            <w:r>
              <w:rPr>
                <w:rFonts w:hint="default" w:ascii="仿宋_GB2312" w:hAnsi="宋体" w:eastAsia="仿宋_GB2312" w:cs="仿宋_GB2312"/>
                <w:i w:val="0"/>
                <w:iCs w:val="0"/>
                <w:color w:val="auto"/>
                <w:kern w:val="0"/>
                <w:sz w:val="24"/>
                <w:szCs w:val="24"/>
                <w:highlight w:val="none"/>
                <w:u w:val="none"/>
                <w:lang w:eastAsia="zh-CN" w:bidi="ar"/>
              </w:rPr>
              <w:t>7</w:t>
            </w:r>
          </w:p>
        </w:tc>
        <w:tc>
          <w:tcPr>
            <w:tcW w:w="29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auto"/>
                <w:sz w:val="24"/>
                <w:szCs w:val="24"/>
                <w:highlight w:val="none"/>
                <w:u w:val="none"/>
              </w:rPr>
            </w:pPr>
            <w:r>
              <w:rPr>
                <w:rFonts w:hint="eastAsia" w:ascii="仿宋_GB2312" w:hAnsi="宋体" w:eastAsia="仿宋_GB2312" w:cs="仿宋_GB2312"/>
                <w:i w:val="0"/>
                <w:iCs w:val="0"/>
                <w:color w:val="auto"/>
                <w:kern w:val="0"/>
                <w:sz w:val="24"/>
                <w:szCs w:val="24"/>
                <w:highlight w:val="none"/>
                <w:u w:val="none"/>
                <w:lang w:val="en-US" w:eastAsia="zh-CN" w:bidi="ar"/>
              </w:rPr>
              <w:t>深圳市龙岗区政务服务中心丰隆深港分中心（原启迪协信分中心）</w:t>
            </w:r>
          </w:p>
        </w:tc>
        <w:tc>
          <w:tcPr>
            <w:tcW w:w="32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auto"/>
                <w:sz w:val="24"/>
                <w:szCs w:val="24"/>
                <w:highlight w:val="none"/>
                <w:u w:val="none"/>
              </w:rPr>
            </w:pPr>
            <w:r>
              <w:rPr>
                <w:rFonts w:hint="eastAsia" w:ascii="仿宋_GB2312" w:hAnsi="宋体" w:eastAsia="仿宋_GB2312" w:cs="仿宋_GB2312"/>
                <w:i w:val="0"/>
                <w:iCs w:val="0"/>
                <w:color w:val="auto"/>
                <w:kern w:val="0"/>
                <w:sz w:val="24"/>
                <w:szCs w:val="24"/>
                <w:highlight w:val="none"/>
                <w:u w:val="none"/>
                <w:lang w:val="en-US" w:eastAsia="zh-CN" w:bidi="ar"/>
              </w:rPr>
              <w:t xml:space="preserve"> 深圳市龙岗区大运新城青春路与飞扬路交叉口丰隆深港科技园产业促进中心1楼政务服务中心</w:t>
            </w:r>
          </w:p>
        </w:tc>
        <w:tc>
          <w:tcPr>
            <w:tcW w:w="16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auto"/>
                <w:sz w:val="24"/>
                <w:szCs w:val="24"/>
                <w:highlight w:val="none"/>
                <w:u w:val="none"/>
              </w:rPr>
            </w:pPr>
            <w:r>
              <w:rPr>
                <w:rFonts w:hint="eastAsia" w:ascii="仿宋_GB2312" w:hAnsi="宋体" w:eastAsia="仿宋_GB2312" w:cs="仿宋_GB2312"/>
                <w:i w:val="0"/>
                <w:iCs w:val="0"/>
                <w:color w:val="auto"/>
                <w:kern w:val="0"/>
                <w:sz w:val="24"/>
                <w:szCs w:val="24"/>
                <w:highlight w:val="none"/>
                <w:u w:val="none"/>
                <w:lang w:val="en-US" w:eastAsia="zh-CN" w:bidi="ar"/>
              </w:rPr>
              <w:t>28399039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0" w:hRule="atLeast"/>
        </w:trPr>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auto"/>
                <w:sz w:val="24"/>
                <w:szCs w:val="24"/>
                <w:highlight w:val="none"/>
                <w:u w:val="none"/>
              </w:rPr>
            </w:pPr>
            <w:r>
              <w:rPr>
                <w:rFonts w:hint="default" w:ascii="仿宋_GB2312" w:hAnsi="宋体" w:eastAsia="仿宋_GB2312" w:cs="仿宋_GB2312"/>
                <w:i w:val="0"/>
                <w:iCs w:val="0"/>
                <w:color w:val="auto"/>
                <w:kern w:val="0"/>
                <w:sz w:val="24"/>
                <w:szCs w:val="24"/>
                <w:highlight w:val="none"/>
                <w:u w:val="none"/>
                <w:lang w:eastAsia="zh-CN" w:bidi="ar"/>
              </w:rPr>
              <w:t>8</w:t>
            </w:r>
          </w:p>
        </w:tc>
        <w:tc>
          <w:tcPr>
            <w:tcW w:w="29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auto"/>
                <w:sz w:val="24"/>
                <w:szCs w:val="24"/>
                <w:highlight w:val="none"/>
                <w:u w:val="none"/>
              </w:rPr>
            </w:pPr>
            <w:r>
              <w:rPr>
                <w:rFonts w:hint="eastAsia" w:ascii="仿宋_GB2312" w:hAnsi="宋体" w:eastAsia="仿宋_GB2312" w:cs="仿宋_GB2312"/>
                <w:i w:val="0"/>
                <w:iCs w:val="0"/>
                <w:color w:val="auto"/>
                <w:kern w:val="0"/>
                <w:sz w:val="24"/>
                <w:szCs w:val="24"/>
                <w:highlight w:val="none"/>
                <w:u w:val="none"/>
                <w:lang w:val="en-US" w:eastAsia="zh-CN" w:bidi="ar"/>
              </w:rPr>
              <w:t>深圳市龙岗区政务服务中心星河WORLD分中心</w:t>
            </w:r>
          </w:p>
        </w:tc>
        <w:tc>
          <w:tcPr>
            <w:tcW w:w="32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auto"/>
                <w:sz w:val="24"/>
                <w:szCs w:val="24"/>
                <w:highlight w:val="none"/>
                <w:u w:val="none"/>
              </w:rPr>
            </w:pPr>
            <w:r>
              <w:rPr>
                <w:rFonts w:hint="eastAsia" w:ascii="仿宋_GB2312" w:hAnsi="宋体" w:eastAsia="仿宋_GB2312" w:cs="仿宋_GB2312"/>
                <w:i w:val="0"/>
                <w:iCs w:val="0"/>
                <w:color w:val="auto"/>
                <w:kern w:val="0"/>
                <w:sz w:val="24"/>
                <w:szCs w:val="24"/>
                <w:highlight w:val="none"/>
                <w:u w:val="none"/>
                <w:lang w:val="en-US" w:eastAsia="zh-CN" w:bidi="ar"/>
              </w:rPr>
              <w:t>深圳市龙岗区坂田街道南坑社区雅星路8号IEO-3栋1楼</w:t>
            </w:r>
          </w:p>
        </w:tc>
        <w:tc>
          <w:tcPr>
            <w:tcW w:w="16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auto"/>
                <w:sz w:val="24"/>
                <w:szCs w:val="24"/>
                <w:highlight w:val="none"/>
                <w:u w:val="none"/>
              </w:rPr>
            </w:pPr>
            <w:r>
              <w:rPr>
                <w:rFonts w:hint="eastAsia" w:ascii="仿宋_GB2312" w:hAnsi="宋体" w:eastAsia="仿宋_GB2312" w:cs="仿宋_GB2312"/>
                <w:i w:val="0"/>
                <w:iCs w:val="0"/>
                <w:color w:val="auto"/>
                <w:kern w:val="0"/>
                <w:sz w:val="24"/>
                <w:szCs w:val="24"/>
                <w:highlight w:val="none"/>
                <w:u w:val="none"/>
                <w:lang w:val="en-US" w:eastAsia="zh-CN" w:bidi="ar"/>
              </w:rPr>
              <w:t>23952233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0" w:hRule="atLeast"/>
        </w:trPr>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auto"/>
                <w:sz w:val="24"/>
                <w:szCs w:val="24"/>
                <w:highlight w:val="none"/>
                <w:u w:val="none"/>
              </w:rPr>
            </w:pPr>
            <w:r>
              <w:rPr>
                <w:rFonts w:hint="default" w:ascii="仿宋_GB2312" w:hAnsi="宋体" w:eastAsia="仿宋_GB2312" w:cs="仿宋_GB2312"/>
                <w:i w:val="0"/>
                <w:iCs w:val="0"/>
                <w:color w:val="auto"/>
                <w:kern w:val="0"/>
                <w:sz w:val="24"/>
                <w:szCs w:val="24"/>
                <w:highlight w:val="none"/>
                <w:u w:val="none"/>
                <w:lang w:eastAsia="zh-CN" w:bidi="ar"/>
              </w:rPr>
              <w:t>9</w:t>
            </w:r>
          </w:p>
        </w:tc>
        <w:tc>
          <w:tcPr>
            <w:tcW w:w="29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auto"/>
                <w:sz w:val="24"/>
                <w:szCs w:val="24"/>
                <w:highlight w:val="none"/>
                <w:u w:val="none"/>
              </w:rPr>
            </w:pPr>
            <w:r>
              <w:rPr>
                <w:rFonts w:hint="eastAsia" w:ascii="仿宋_GB2312" w:hAnsi="宋体" w:eastAsia="仿宋_GB2312" w:cs="仿宋_GB2312"/>
                <w:i w:val="0"/>
                <w:iCs w:val="0"/>
                <w:color w:val="auto"/>
                <w:kern w:val="0"/>
                <w:sz w:val="24"/>
                <w:szCs w:val="24"/>
                <w:highlight w:val="none"/>
                <w:u w:val="none"/>
                <w:lang w:val="en-US" w:eastAsia="zh-CN" w:bidi="ar"/>
              </w:rPr>
              <w:t>深圳市龙岗区政务服务中心康利城分中心</w:t>
            </w:r>
          </w:p>
        </w:tc>
        <w:tc>
          <w:tcPr>
            <w:tcW w:w="32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宋体" w:eastAsia="仿宋_GB2312" w:cs="仿宋_GB2312"/>
                <w:i w:val="0"/>
                <w:iCs w:val="0"/>
                <w:color w:val="auto"/>
                <w:sz w:val="24"/>
                <w:szCs w:val="24"/>
                <w:highlight w:val="none"/>
                <w:u w:val="none"/>
              </w:rPr>
            </w:pPr>
            <w:r>
              <w:rPr>
                <w:rFonts w:hint="eastAsia" w:ascii="仿宋_GB2312" w:hAnsi="宋体" w:eastAsia="仿宋_GB2312" w:cs="仿宋_GB2312"/>
                <w:i w:val="0"/>
                <w:iCs w:val="0"/>
                <w:color w:val="auto"/>
                <w:kern w:val="0"/>
                <w:sz w:val="24"/>
                <w:szCs w:val="24"/>
                <w:highlight w:val="none"/>
                <w:u w:val="none"/>
                <w:lang w:val="en-US" w:eastAsia="zh-CN" w:bidi="ar"/>
              </w:rPr>
              <w:t>深圳市龙岗区南湾街道平吉大道66号康利城2栋1楼</w:t>
            </w:r>
          </w:p>
        </w:tc>
        <w:tc>
          <w:tcPr>
            <w:tcW w:w="16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auto"/>
                <w:sz w:val="24"/>
                <w:szCs w:val="24"/>
                <w:highlight w:val="none"/>
                <w:u w:val="none"/>
              </w:rPr>
            </w:pPr>
            <w:r>
              <w:rPr>
                <w:rFonts w:hint="eastAsia" w:ascii="仿宋_GB2312" w:hAnsi="宋体" w:eastAsia="仿宋_GB2312" w:cs="仿宋_GB2312"/>
                <w:i w:val="0"/>
                <w:iCs w:val="0"/>
                <w:color w:val="auto"/>
                <w:kern w:val="0"/>
                <w:sz w:val="24"/>
                <w:szCs w:val="24"/>
                <w:highlight w:val="none"/>
                <w:u w:val="none"/>
                <w:lang w:val="en-US" w:eastAsia="zh-CN" w:bidi="ar"/>
              </w:rPr>
              <w:t>28681209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0" w:hRule="atLeast"/>
        </w:trPr>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auto"/>
                <w:sz w:val="24"/>
                <w:szCs w:val="24"/>
                <w:highlight w:val="none"/>
                <w:u w:val="none"/>
              </w:rPr>
            </w:pPr>
            <w:r>
              <w:rPr>
                <w:rFonts w:hint="default" w:ascii="仿宋_GB2312" w:hAnsi="宋体" w:eastAsia="仿宋_GB2312" w:cs="仿宋_GB2312"/>
                <w:i w:val="0"/>
                <w:iCs w:val="0"/>
                <w:color w:val="auto"/>
                <w:kern w:val="0"/>
                <w:sz w:val="24"/>
                <w:szCs w:val="24"/>
                <w:highlight w:val="none"/>
                <w:u w:val="none"/>
                <w:lang w:eastAsia="zh-CN" w:bidi="ar"/>
              </w:rPr>
              <w:t>10</w:t>
            </w:r>
          </w:p>
        </w:tc>
        <w:tc>
          <w:tcPr>
            <w:tcW w:w="29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auto"/>
                <w:sz w:val="24"/>
                <w:szCs w:val="24"/>
                <w:highlight w:val="none"/>
                <w:u w:val="none"/>
              </w:rPr>
            </w:pPr>
            <w:r>
              <w:rPr>
                <w:rFonts w:hint="eastAsia" w:ascii="仿宋_GB2312" w:hAnsi="宋体" w:eastAsia="仿宋_GB2312" w:cs="仿宋_GB2312"/>
                <w:i w:val="0"/>
                <w:iCs w:val="0"/>
                <w:color w:val="auto"/>
                <w:kern w:val="0"/>
                <w:sz w:val="24"/>
                <w:szCs w:val="24"/>
                <w:highlight w:val="none"/>
                <w:u w:val="none"/>
                <w:lang w:val="en-US" w:eastAsia="zh-CN" w:bidi="ar"/>
              </w:rPr>
              <w:t>深圳市龙岗区政务服务中心华南城分中心</w:t>
            </w:r>
          </w:p>
        </w:tc>
        <w:tc>
          <w:tcPr>
            <w:tcW w:w="32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auto"/>
                <w:sz w:val="24"/>
                <w:szCs w:val="24"/>
                <w:highlight w:val="none"/>
                <w:u w:val="none"/>
              </w:rPr>
            </w:pPr>
            <w:r>
              <w:rPr>
                <w:rFonts w:hint="eastAsia" w:ascii="仿宋_GB2312" w:hAnsi="宋体" w:eastAsia="仿宋_GB2312" w:cs="仿宋_GB2312"/>
                <w:i w:val="0"/>
                <w:iCs w:val="0"/>
                <w:color w:val="auto"/>
                <w:kern w:val="0"/>
                <w:sz w:val="24"/>
                <w:szCs w:val="24"/>
                <w:highlight w:val="none"/>
                <w:u w:val="none"/>
                <w:lang w:val="en-US" w:eastAsia="zh-CN" w:bidi="ar"/>
              </w:rPr>
              <w:t>深圳市龙岗区平湖街道富安大道1号华南城招商中心一楼</w:t>
            </w:r>
          </w:p>
        </w:tc>
        <w:tc>
          <w:tcPr>
            <w:tcW w:w="16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auto"/>
                <w:sz w:val="24"/>
                <w:szCs w:val="24"/>
                <w:highlight w:val="none"/>
                <w:u w:val="none"/>
              </w:rPr>
            </w:pPr>
            <w:r>
              <w:rPr>
                <w:rFonts w:hint="eastAsia" w:ascii="仿宋_GB2312" w:hAnsi="宋体" w:eastAsia="仿宋_GB2312" w:cs="仿宋_GB2312"/>
                <w:i w:val="0"/>
                <w:iCs w:val="0"/>
                <w:color w:val="auto"/>
                <w:kern w:val="0"/>
                <w:sz w:val="24"/>
                <w:szCs w:val="24"/>
                <w:highlight w:val="none"/>
                <w:u w:val="none"/>
                <w:lang w:val="en-US" w:eastAsia="zh-CN" w:bidi="ar"/>
              </w:rPr>
              <w:t>28491235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0" w:hRule="atLeast"/>
        </w:trPr>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auto"/>
                <w:sz w:val="24"/>
                <w:szCs w:val="24"/>
                <w:highlight w:val="none"/>
                <w:u w:val="none"/>
              </w:rPr>
            </w:pPr>
            <w:r>
              <w:rPr>
                <w:rFonts w:hint="default" w:ascii="仿宋_GB2312" w:hAnsi="宋体" w:eastAsia="仿宋_GB2312" w:cs="仿宋_GB2312"/>
                <w:i w:val="0"/>
                <w:iCs w:val="0"/>
                <w:color w:val="auto"/>
                <w:kern w:val="0"/>
                <w:sz w:val="24"/>
                <w:szCs w:val="24"/>
                <w:highlight w:val="none"/>
                <w:u w:val="none"/>
                <w:lang w:eastAsia="zh-CN" w:bidi="ar"/>
              </w:rPr>
              <w:t>11</w:t>
            </w:r>
          </w:p>
        </w:tc>
        <w:tc>
          <w:tcPr>
            <w:tcW w:w="29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auto"/>
                <w:sz w:val="24"/>
                <w:szCs w:val="24"/>
                <w:highlight w:val="none"/>
                <w:u w:val="none"/>
              </w:rPr>
            </w:pPr>
            <w:r>
              <w:rPr>
                <w:rFonts w:hint="eastAsia" w:ascii="仿宋_GB2312" w:hAnsi="宋体" w:eastAsia="仿宋_GB2312" w:cs="仿宋_GB2312"/>
                <w:i w:val="0"/>
                <w:iCs w:val="0"/>
                <w:color w:val="auto"/>
                <w:kern w:val="0"/>
                <w:sz w:val="24"/>
                <w:szCs w:val="24"/>
                <w:highlight w:val="none"/>
                <w:u w:val="none"/>
                <w:lang w:val="en-US" w:eastAsia="zh-CN" w:bidi="ar"/>
              </w:rPr>
              <w:t>深圳市龙岗区政务服务中心大运AI小镇分中心</w:t>
            </w:r>
          </w:p>
        </w:tc>
        <w:tc>
          <w:tcPr>
            <w:tcW w:w="32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auto"/>
                <w:sz w:val="24"/>
                <w:szCs w:val="24"/>
                <w:highlight w:val="none"/>
                <w:u w:val="none"/>
              </w:rPr>
            </w:pPr>
            <w:r>
              <w:rPr>
                <w:rFonts w:hint="eastAsia" w:ascii="仿宋_GB2312" w:hAnsi="宋体" w:eastAsia="仿宋_GB2312" w:cs="仿宋_GB2312"/>
                <w:i w:val="0"/>
                <w:iCs w:val="0"/>
                <w:color w:val="auto"/>
                <w:kern w:val="0"/>
                <w:sz w:val="24"/>
                <w:szCs w:val="24"/>
                <w:highlight w:val="none"/>
                <w:u w:val="none"/>
                <w:lang w:val="en-US" w:eastAsia="zh-CN" w:bidi="ar"/>
              </w:rPr>
              <w:t>深圳市龙岗区横岗街道信义路大运AI小镇B01栋小镇客厅一层</w:t>
            </w:r>
          </w:p>
        </w:tc>
        <w:tc>
          <w:tcPr>
            <w:tcW w:w="16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auto"/>
                <w:sz w:val="24"/>
                <w:szCs w:val="24"/>
                <w:highlight w:val="none"/>
                <w:u w:val="none"/>
              </w:rPr>
            </w:pPr>
            <w:r>
              <w:rPr>
                <w:rFonts w:hint="eastAsia" w:ascii="仿宋_GB2312" w:hAnsi="宋体" w:eastAsia="仿宋_GB2312" w:cs="仿宋_GB2312"/>
                <w:i w:val="0"/>
                <w:iCs w:val="0"/>
                <w:color w:val="auto"/>
                <w:kern w:val="0"/>
                <w:sz w:val="24"/>
                <w:szCs w:val="24"/>
                <w:highlight w:val="none"/>
                <w:u w:val="none"/>
                <w:lang w:val="en-US" w:eastAsia="zh-CN" w:bidi="ar"/>
              </w:rPr>
              <w:t>89768806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0" w:hRule="atLeast"/>
        </w:trPr>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auto"/>
                <w:kern w:val="0"/>
                <w:sz w:val="24"/>
                <w:szCs w:val="24"/>
                <w:highlight w:val="none"/>
                <w:u w:val="none"/>
                <w:lang w:val="en-US" w:eastAsia="zh-CN" w:bidi="ar"/>
              </w:rPr>
            </w:pPr>
            <w:r>
              <w:rPr>
                <w:rFonts w:hint="default" w:ascii="仿宋_GB2312" w:hAnsi="宋体" w:eastAsia="仿宋_GB2312" w:cs="仿宋_GB2312"/>
                <w:i w:val="0"/>
                <w:iCs w:val="0"/>
                <w:color w:val="auto"/>
                <w:kern w:val="0"/>
                <w:sz w:val="24"/>
                <w:szCs w:val="24"/>
                <w:highlight w:val="none"/>
                <w:u w:val="none"/>
                <w:lang w:val="en-US" w:eastAsia="zh-CN" w:bidi="ar"/>
              </w:rPr>
              <w:t>12</w:t>
            </w:r>
          </w:p>
        </w:tc>
        <w:tc>
          <w:tcPr>
            <w:tcW w:w="29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auto"/>
                <w:kern w:val="0"/>
                <w:sz w:val="24"/>
                <w:szCs w:val="24"/>
                <w:highlight w:val="none"/>
                <w:u w:val="none"/>
                <w:lang w:val="en-US" w:eastAsia="zh-CN" w:bidi="ar"/>
              </w:rPr>
            </w:pPr>
            <w:r>
              <w:rPr>
                <w:rFonts w:hint="eastAsia" w:ascii="仿宋_GB2312" w:hAnsi="宋体" w:eastAsia="仿宋_GB2312" w:cs="仿宋_GB2312"/>
                <w:i w:val="0"/>
                <w:iCs w:val="0"/>
                <w:color w:val="auto"/>
                <w:kern w:val="0"/>
                <w:sz w:val="24"/>
                <w:szCs w:val="24"/>
                <w:highlight w:val="none"/>
                <w:u w:val="none"/>
                <w:lang w:val="en-US" w:eastAsia="zh-CN" w:bidi="ar"/>
              </w:rPr>
              <w:t>深圳市龙岗区政务服务中心宝龙专精特新产业园分中心</w:t>
            </w:r>
          </w:p>
        </w:tc>
        <w:tc>
          <w:tcPr>
            <w:tcW w:w="32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auto"/>
                <w:kern w:val="0"/>
                <w:sz w:val="24"/>
                <w:szCs w:val="24"/>
                <w:highlight w:val="none"/>
                <w:u w:val="none"/>
                <w:lang w:val="en-US" w:eastAsia="zh-CN" w:bidi="ar"/>
              </w:rPr>
            </w:pPr>
            <w:r>
              <w:rPr>
                <w:rFonts w:hint="eastAsia" w:ascii="仿宋_GB2312" w:hAnsi="宋体" w:eastAsia="仿宋_GB2312" w:cs="仿宋_GB2312"/>
                <w:i w:val="0"/>
                <w:iCs w:val="0"/>
                <w:color w:val="auto"/>
                <w:kern w:val="0"/>
                <w:sz w:val="24"/>
                <w:szCs w:val="24"/>
                <w:highlight w:val="none"/>
                <w:u w:val="none"/>
                <w:lang w:val="en-US" w:eastAsia="zh-CN" w:bidi="ar"/>
              </w:rPr>
              <w:t>深圳市龙岗区宝龙街道宝龙三路与新能源五路交汇处宝龙专精特新产业园企业服务中心</w:t>
            </w:r>
            <w:r>
              <w:rPr>
                <w:rFonts w:hint="eastAsia" w:ascii="仿宋_GB2312" w:hAnsi="宋体" w:eastAsia="仿宋_GB2312" w:cs="仿宋_GB2312"/>
                <w:i w:val="0"/>
                <w:iCs w:val="0"/>
                <w:color w:val="auto"/>
                <w:kern w:val="0"/>
                <w:sz w:val="24"/>
                <w:szCs w:val="24"/>
                <w:highlight w:val="none"/>
                <w:u w:val="none"/>
                <w:lang w:val="en-US" w:eastAsia="zh-CN" w:bidi="ar"/>
              </w:rPr>
              <w:tab/>
            </w:r>
          </w:p>
        </w:tc>
        <w:tc>
          <w:tcPr>
            <w:tcW w:w="16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auto"/>
                <w:kern w:val="0"/>
                <w:sz w:val="24"/>
                <w:szCs w:val="24"/>
                <w:highlight w:val="none"/>
                <w:u w:val="none"/>
                <w:lang w:val="en-US" w:eastAsia="zh-CN" w:bidi="ar"/>
              </w:rPr>
            </w:pPr>
            <w:r>
              <w:rPr>
                <w:rFonts w:hint="eastAsia" w:ascii="仿宋_GB2312" w:hAnsi="宋体" w:eastAsia="仿宋_GB2312" w:cs="仿宋_GB2312"/>
                <w:i w:val="0"/>
                <w:iCs w:val="0"/>
                <w:color w:val="auto"/>
                <w:kern w:val="0"/>
                <w:sz w:val="24"/>
                <w:szCs w:val="24"/>
                <w:highlight w:val="none"/>
                <w:u w:val="none"/>
                <w:lang w:val="en-US" w:eastAsia="zh-CN" w:bidi="ar"/>
              </w:rPr>
              <w:t>28226779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0" w:hRule="atLeast"/>
        </w:trPr>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auto"/>
                <w:kern w:val="0"/>
                <w:sz w:val="24"/>
                <w:szCs w:val="24"/>
                <w:highlight w:val="none"/>
                <w:u w:val="none"/>
                <w:lang w:val="en-US" w:eastAsia="zh-CN" w:bidi="ar"/>
              </w:rPr>
            </w:pPr>
            <w:r>
              <w:rPr>
                <w:rFonts w:hint="default" w:ascii="仿宋_GB2312" w:hAnsi="宋体" w:eastAsia="仿宋_GB2312" w:cs="仿宋_GB2312"/>
                <w:i w:val="0"/>
                <w:iCs w:val="0"/>
                <w:color w:val="auto"/>
                <w:kern w:val="0"/>
                <w:sz w:val="24"/>
                <w:szCs w:val="24"/>
                <w:highlight w:val="none"/>
                <w:u w:val="none"/>
                <w:lang w:val="en-US" w:eastAsia="zh-CN" w:bidi="ar"/>
              </w:rPr>
              <w:t>13</w:t>
            </w:r>
          </w:p>
        </w:tc>
        <w:tc>
          <w:tcPr>
            <w:tcW w:w="29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auto"/>
                <w:kern w:val="0"/>
                <w:sz w:val="24"/>
                <w:szCs w:val="24"/>
                <w:highlight w:val="none"/>
                <w:u w:val="none"/>
                <w:lang w:val="en-US" w:eastAsia="zh-CN" w:bidi="ar"/>
              </w:rPr>
            </w:pPr>
            <w:r>
              <w:rPr>
                <w:rFonts w:hint="eastAsia" w:ascii="仿宋_GB2312" w:hAnsi="宋体" w:eastAsia="仿宋_GB2312" w:cs="仿宋_GB2312"/>
                <w:i w:val="0"/>
                <w:iCs w:val="0"/>
                <w:color w:val="auto"/>
                <w:kern w:val="0"/>
                <w:sz w:val="24"/>
                <w:szCs w:val="24"/>
                <w:highlight w:val="none"/>
                <w:u w:val="none"/>
                <w:lang w:val="en-US" w:eastAsia="zh-CN" w:bidi="ar"/>
              </w:rPr>
              <w:t>深圳市龙岗区政务服务中心国际低碳城分中心</w:t>
            </w:r>
          </w:p>
          <w:p>
            <w:pPr>
              <w:keepNext w:val="0"/>
              <w:keepLines w:val="0"/>
              <w:widowControl/>
              <w:suppressLineNumbers w:val="0"/>
              <w:jc w:val="center"/>
              <w:textAlignment w:val="center"/>
              <w:rPr>
                <w:rFonts w:hint="eastAsia"/>
                <w:color w:val="auto"/>
                <w:highlight w:val="none"/>
              </w:rPr>
            </w:pPr>
          </w:p>
        </w:tc>
        <w:tc>
          <w:tcPr>
            <w:tcW w:w="32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auto"/>
                <w:kern w:val="0"/>
                <w:sz w:val="24"/>
                <w:szCs w:val="24"/>
                <w:highlight w:val="none"/>
                <w:u w:val="none"/>
                <w:lang w:val="en-US" w:eastAsia="zh-CN" w:bidi="ar"/>
              </w:rPr>
            </w:pPr>
            <w:r>
              <w:rPr>
                <w:rFonts w:hint="eastAsia" w:ascii="仿宋_GB2312" w:hAnsi="宋体" w:eastAsia="仿宋_GB2312" w:cs="仿宋_GB2312"/>
                <w:i w:val="0"/>
                <w:iCs w:val="0"/>
                <w:color w:val="auto"/>
                <w:kern w:val="0"/>
                <w:sz w:val="24"/>
                <w:szCs w:val="24"/>
                <w:highlight w:val="none"/>
                <w:u w:val="none"/>
                <w:lang w:val="en-US" w:eastAsia="zh-CN" w:bidi="ar"/>
              </w:rPr>
              <w:t>深圳市龙岗区坪地街道教育北路68号高桥社区党群服务中心一楼</w:t>
            </w:r>
          </w:p>
        </w:tc>
        <w:tc>
          <w:tcPr>
            <w:tcW w:w="16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auto"/>
                <w:kern w:val="0"/>
                <w:sz w:val="24"/>
                <w:szCs w:val="24"/>
                <w:highlight w:val="none"/>
                <w:u w:val="none"/>
                <w:lang w:val="en-US" w:eastAsia="zh-CN" w:bidi="ar"/>
              </w:rPr>
            </w:pPr>
            <w:r>
              <w:rPr>
                <w:rFonts w:hint="eastAsia" w:ascii="仿宋_GB2312" w:hAnsi="宋体" w:eastAsia="仿宋_GB2312" w:cs="仿宋_GB2312"/>
                <w:i w:val="0"/>
                <w:iCs w:val="0"/>
                <w:color w:val="auto"/>
                <w:kern w:val="0"/>
                <w:sz w:val="24"/>
                <w:szCs w:val="24"/>
                <w:highlight w:val="none"/>
                <w:u w:val="none"/>
                <w:lang w:val="en-US" w:eastAsia="zh-CN" w:bidi="ar"/>
              </w:rPr>
              <w:t>28919635</w:t>
            </w:r>
          </w:p>
        </w:tc>
      </w:tr>
    </w:tbl>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华文楷体" w:hAnsi="华文楷体" w:eastAsia="华文楷体" w:cs="华文楷体"/>
          <w:color w:val="auto"/>
          <w:kern w:val="0"/>
          <w:sz w:val="32"/>
          <w:szCs w:val="32"/>
          <w:highlight w:val="none"/>
          <w:lang w:val="en-US" w:eastAsia="en-US" w:bidi="ar-SA"/>
        </w:rPr>
      </w:pPr>
      <w:r>
        <w:rPr>
          <w:rFonts w:hint="eastAsia" w:ascii="华文楷体" w:hAnsi="华文楷体" w:eastAsia="华文楷体" w:cs="华文楷体"/>
          <w:color w:val="auto"/>
          <w:kern w:val="0"/>
          <w:sz w:val="32"/>
          <w:szCs w:val="32"/>
          <w:highlight w:val="none"/>
          <w:lang w:val="en-US" w:eastAsia="en-US" w:bidi="ar-SA"/>
        </w:rPr>
        <w:t>　　</w:t>
      </w:r>
      <w:r>
        <w:rPr>
          <w:rFonts w:hint="eastAsia" w:ascii="华文楷体" w:hAnsi="华文楷体" w:eastAsia="华文楷体" w:cs="华文楷体"/>
          <w:color w:val="auto"/>
          <w:kern w:val="0"/>
          <w:sz w:val="32"/>
          <w:szCs w:val="32"/>
          <w:highlight w:val="none"/>
          <w:lang w:val="en-US" w:eastAsia="zh-CN" w:bidi="ar-SA"/>
        </w:rPr>
        <w:t>（四）</w:t>
      </w:r>
      <w:r>
        <w:rPr>
          <w:rFonts w:hint="eastAsia" w:ascii="华文楷体" w:hAnsi="华文楷体" w:eastAsia="华文楷体" w:cs="华文楷体"/>
          <w:color w:val="auto"/>
          <w:kern w:val="0"/>
          <w:sz w:val="32"/>
          <w:szCs w:val="32"/>
          <w:highlight w:val="none"/>
          <w:lang w:val="en-US" w:eastAsia="en-US" w:bidi="ar-SA"/>
        </w:rPr>
        <w:t>申报时间</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仿宋_GB2312" w:hAnsi="仿宋_GB2312" w:eastAsia="仿宋_GB2312" w:cs="仿宋_GB2312"/>
          <w:color w:val="auto"/>
          <w:kern w:val="2"/>
          <w:sz w:val="32"/>
          <w:szCs w:val="36"/>
          <w:highlight w:val="none"/>
          <w:lang w:val="en-US" w:eastAsia="zh-CN" w:bidi="ar-SA"/>
        </w:rPr>
      </w:pPr>
      <w:r>
        <w:rPr>
          <w:rFonts w:hint="eastAsia" w:ascii="CESI仿宋-GB2312" w:hAnsi="CESI仿宋-GB2312" w:eastAsia="CESI仿宋-GB2312" w:cs="CESI仿宋-GB2312"/>
          <w:color w:val="auto"/>
          <w:sz w:val="32"/>
          <w:szCs w:val="32"/>
          <w:highlight w:val="none"/>
        </w:rPr>
        <w:t>　　</w:t>
      </w:r>
      <w:r>
        <w:rPr>
          <w:rFonts w:hint="eastAsia" w:ascii="仿宋_GB2312" w:hAnsi="仿宋_GB2312" w:eastAsia="仿宋_GB2312" w:cs="仿宋_GB2312"/>
          <w:color w:val="auto"/>
          <w:kern w:val="2"/>
          <w:sz w:val="32"/>
          <w:szCs w:val="36"/>
          <w:highlight w:val="none"/>
          <w:lang w:val="en-US" w:eastAsia="zh-CN" w:bidi="ar-SA"/>
        </w:rPr>
        <w:t>受理时间：2025年9月29日-10月29日，逾期视作放弃申请。</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华文楷体" w:hAnsi="华文楷体" w:eastAsia="华文楷体" w:cs="华文楷体"/>
          <w:color w:val="auto"/>
          <w:kern w:val="0"/>
          <w:sz w:val="32"/>
          <w:szCs w:val="32"/>
          <w:highlight w:val="none"/>
          <w:lang w:val="en-US" w:eastAsia="en-US" w:bidi="ar-SA"/>
        </w:rPr>
      </w:pPr>
      <w:r>
        <w:rPr>
          <w:rFonts w:hint="eastAsia" w:ascii="华文楷体" w:hAnsi="华文楷体" w:eastAsia="华文楷体" w:cs="华文楷体"/>
          <w:color w:val="auto"/>
          <w:kern w:val="0"/>
          <w:sz w:val="32"/>
          <w:szCs w:val="32"/>
          <w:highlight w:val="none"/>
          <w:lang w:val="en-US" w:eastAsia="en-US" w:bidi="ar-SA"/>
        </w:rPr>
        <w:t>　　</w:t>
      </w:r>
      <w:r>
        <w:rPr>
          <w:rFonts w:hint="eastAsia" w:ascii="华文楷体" w:hAnsi="华文楷体" w:eastAsia="华文楷体" w:cs="华文楷体"/>
          <w:color w:val="auto"/>
          <w:kern w:val="0"/>
          <w:sz w:val="32"/>
          <w:szCs w:val="32"/>
          <w:highlight w:val="none"/>
          <w:lang w:val="en-US" w:eastAsia="zh-CN" w:bidi="ar-SA"/>
        </w:rPr>
        <w:t>（五）</w:t>
      </w:r>
      <w:r>
        <w:rPr>
          <w:rFonts w:hint="eastAsia" w:ascii="华文楷体" w:hAnsi="华文楷体" w:eastAsia="华文楷体" w:cs="华文楷体"/>
          <w:color w:val="auto"/>
          <w:kern w:val="0"/>
          <w:sz w:val="32"/>
          <w:szCs w:val="32"/>
          <w:highlight w:val="none"/>
          <w:lang w:val="en-US" w:eastAsia="en-US" w:bidi="ar-SA"/>
        </w:rPr>
        <w:t>注意事项</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仿宋_GB2312" w:hAnsi="仿宋_GB2312" w:eastAsia="仿宋_GB2312" w:cs="仿宋_GB2312"/>
          <w:color w:val="auto"/>
          <w:kern w:val="2"/>
          <w:sz w:val="32"/>
          <w:szCs w:val="36"/>
          <w:highlight w:val="none"/>
          <w:lang w:val="en-US" w:eastAsia="zh-CN" w:bidi="ar-SA"/>
        </w:rPr>
      </w:pPr>
      <w:r>
        <w:rPr>
          <w:rFonts w:hint="eastAsia" w:ascii="CESI仿宋-GB2312" w:hAnsi="CESI仿宋-GB2312" w:eastAsia="CESI仿宋-GB2312" w:cs="CESI仿宋-GB2312"/>
          <w:color w:val="auto"/>
          <w:sz w:val="32"/>
          <w:szCs w:val="32"/>
          <w:highlight w:val="none"/>
        </w:rPr>
        <w:t>　</w:t>
      </w:r>
      <w:r>
        <w:rPr>
          <w:rFonts w:hint="eastAsia" w:ascii="仿宋_GB2312" w:hAnsi="仿宋_GB2312" w:eastAsia="仿宋_GB2312" w:cs="仿宋_GB2312"/>
          <w:color w:val="auto"/>
          <w:kern w:val="2"/>
          <w:sz w:val="32"/>
          <w:szCs w:val="36"/>
          <w:highlight w:val="none"/>
          <w:lang w:val="en-US" w:eastAsia="zh-CN" w:bidi="ar-SA"/>
        </w:rPr>
        <w:t>　1.申报时间为企业在龙岗区企业服务信息平台提交线上申请的期限，不含后续的修改以及提交纸质材料时间，但纸质材料必须在审核通过的5个工作日内提交，务必留意平台系统状态。逾期视为放弃申请。</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仿宋_GB2312" w:hAnsi="仿宋_GB2312" w:eastAsia="仿宋_GB2312" w:cs="仿宋_GB2312"/>
          <w:color w:val="auto"/>
          <w:kern w:val="2"/>
          <w:sz w:val="32"/>
          <w:szCs w:val="36"/>
          <w:highlight w:val="none"/>
          <w:lang w:val="en-US" w:eastAsia="zh-CN" w:bidi="ar-SA"/>
        </w:rPr>
      </w:pPr>
      <w:r>
        <w:rPr>
          <w:rFonts w:hint="eastAsia" w:ascii="仿宋_GB2312" w:hAnsi="仿宋_GB2312" w:eastAsia="仿宋_GB2312" w:cs="仿宋_GB2312"/>
          <w:color w:val="auto"/>
          <w:kern w:val="2"/>
          <w:sz w:val="32"/>
          <w:szCs w:val="36"/>
          <w:highlight w:val="none"/>
          <w:lang w:val="en-US" w:eastAsia="zh-CN" w:bidi="ar-SA"/>
        </w:rPr>
        <w:t>　　2.业务咨询电话：0755-89559551；平台技术支持电话：0755-23602720，QQ：2972069207。因涉及企业较多，请企业按申报系统流程操作即可，业务高峰期电话繁忙请多试几次，或者加技术支持QQ咨询问题。</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仿宋_GB2312" w:hAnsi="仿宋_GB2312" w:eastAsia="仿宋_GB2312" w:cs="仿宋_GB2312"/>
          <w:color w:val="auto"/>
          <w:kern w:val="2"/>
          <w:sz w:val="32"/>
          <w:szCs w:val="36"/>
          <w:highlight w:val="none"/>
          <w:lang w:val="en-US" w:eastAsia="zh-CN" w:bidi="ar-SA"/>
        </w:rPr>
      </w:pPr>
      <w:r>
        <w:rPr>
          <w:rFonts w:hint="eastAsia" w:ascii="仿宋_GB2312" w:hAnsi="仿宋_GB2312" w:eastAsia="仿宋_GB2312" w:cs="仿宋_GB2312"/>
          <w:color w:val="auto"/>
          <w:kern w:val="2"/>
          <w:sz w:val="32"/>
          <w:szCs w:val="36"/>
          <w:highlight w:val="none"/>
          <w:lang w:val="en-US" w:eastAsia="zh-CN" w:bidi="ar-SA"/>
        </w:rPr>
        <w:t>　　3.申请本项目支持的申报单位应保证其申报材料的完整性、真实性、准确性及合法性，并承担所提交的项目申报材料的相关法律责任，如有虚假或侵权等行为，该项目申请无效，如事后发现存在以上行为，本资金主管部门将保留依法追究其法律责任的权利。</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仿宋_GB2312" w:hAnsi="仿宋_GB2312" w:eastAsia="仿宋_GB2312" w:cs="仿宋_GB2312"/>
          <w:color w:val="auto"/>
          <w:kern w:val="2"/>
          <w:sz w:val="32"/>
          <w:szCs w:val="36"/>
          <w:highlight w:val="none"/>
          <w:lang w:val="en-US" w:eastAsia="zh-CN" w:bidi="ar-SA"/>
        </w:rPr>
      </w:pPr>
      <w:r>
        <w:rPr>
          <w:rFonts w:hint="eastAsia" w:ascii="仿宋_GB2312" w:hAnsi="仿宋_GB2312" w:eastAsia="仿宋_GB2312" w:cs="仿宋_GB2312"/>
          <w:color w:val="auto"/>
          <w:kern w:val="2"/>
          <w:sz w:val="32"/>
          <w:szCs w:val="36"/>
          <w:highlight w:val="none"/>
          <w:lang w:val="en-US" w:eastAsia="zh-CN" w:bidi="ar-SA"/>
        </w:rPr>
        <w:t>　　4.申报期结束后，区人工智能（机器人）署将按照规定程序进行后续工作，拟资助的企业名单将在区人工智能（机器人）署网站上公示。</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仿宋_GB2312" w:hAnsi="仿宋_GB2312" w:eastAsia="仿宋_GB2312" w:cs="仿宋_GB2312"/>
          <w:color w:val="auto"/>
          <w:kern w:val="2"/>
          <w:sz w:val="32"/>
          <w:szCs w:val="36"/>
          <w:highlight w:val="none"/>
          <w:lang w:val="en-US" w:eastAsia="zh-CN" w:bidi="ar-SA"/>
        </w:rPr>
      </w:pPr>
      <w:r>
        <w:rPr>
          <w:rFonts w:hint="eastAsia" w:ascii="仿宋_GB2312" w:hAnsi="仿宋_GB2312" w:eastAsia="仿宋_GB2312" w:cs="仿宋_GB2312"/>
          <w:color w:val="auto"/>
          <w:kern w:val="2"/>
          <w:sz w:val="32"/>
          <w:szCs w:val="36"/>
          <w:highlight w:val="none"/>
          <w:lang w:val="en-US" w:eastAsia="zh-CN" w:bidi="ar-SA"/>
        </w:rPr>
        <w:t>　　温馨提示：区人工智能（机器人）署从未委托任何单位或个人为企业代理资金扶持申报事宜，不接受第三方单位代为申报，请企业自主申报。区人工智能（机器人）署将严格按照有关标准和程序受理申请，不收取任何费用。如有任何机构或个人假借区人工智能（机器人）署的工作人员名义向企业收取费用的，请知情者向区人工智能（机器人）署举报。</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仿宋_GB2312" w:hAnsi="仿宋_GB2312" w:eastAsia="仿宋_GB2312" w:cs="仿宋_GB2312"/>
          <w:color w:val="auto"/>
          <w:kern w:val="2"/>
          <w:sz w:val="32"/>
          <w:szCs w:val="36"/>
          <w:highlight w:val="none"/>
          <w:lang w:val="en-US" w:eastAsia="zh-CN" w:bidi="ar-SA"/>
        </w:rPr>
      </w:pPr>
    </w:p>
    <w:p>
      <w:pPr>
        <w:keepNext w:val="0"/>
        <w:keepLines w:val="0"/>
        <w:pageBreakBefore w:val="0"/>
        <w:kinsoku/>
        <w:wordWrap/>
        <w:overflowPunct/>
        <w:topLinePunct w:val="0"/>
        <w:autoSpaceDE/>
        <w:autoSpaceDN/>
        <w:bidi w:val="0"/>
        <w:adjustRightInd/>
        <w:snapToGrid/>
        <w:spacing w:line="560" w:lineRule="exact"/>
        <w:textAlignment w:val="auto"/>
        <w:rPr>
          <w:rFonts w:hint="eastAsia" w:ascii="CESI仿宋-GB2312" w:hAnsi="CESI仿宋-GB2312" w:eastAsia="CESI仿宋-GB2312" w:cs="CESI仿宋-GB2312"/>
          <w:color w:val="auto"/>
          <w:sz w:val="32"/>
          <w:szCs w:val="32"/>
          <w:highlight w:val="none"/>
        </w:rPr>
      </w:pPr>
    </w:p>
    <w:p>
      <w:pPr>
        <w:keepNext w:val="0"/>
        <w:keepLines w:val="0"/>
        <w:pageBreakBefore w:val="0"/>
        <w:kinsoku/>
        <w:wordWrap/>
        <w:overflowPunct/>
        <w:topLinePunct w:val="0"/>
        <w:autoSpaceDE/>
        <w:autoSpaceDN/>
        <w:bidi w:val="0"/>
        <w:adjustRightInd/>
        <w:snapToGrid/>
        <w:spacing w:line="560" w:lineRule="exact"/>
        <w:textAlignment w:val="auto"/>
        <w:rPr>
          <w:rFonts w:hint="eastAsia" w:ascii="CESI仿宋-GB2312" w:hAnsi="CESI仿宋-GB2312" w:eastAsia="CESI仿宋-GB2312" w:cs="CESI仿宋-GB2312"/>
          <w:color w:val="auto"/>
          <w:sz w:val="32"/>
          <w:szCs w:val="32"/>
          <w:highlight w:val="none"/>
        </w:rPr>
      </w:pPr>
    </w:p>
    <w:p>
      <w:pPr>
        <w:keepNext w:val="0"/>
        <w:keepLines w:val="0"/>
        <w:pageBreakBefore w:val="0"/>
        <w:kinsoku/>
        <w:wordWrap/>
        <w:overflowPunct/>
        <w:topLinePunct w:val="0"/>
        <w:autoSpaceDE/>
        <w:autoSpaceDN/>
        <w:bidi w:val="0"/>
        <w:adjustRightInd/>
        <w:snapToGrid/>
        <w:spacing w:line="560" w:lineRule="exact"/>
        <w:textAlignment w:val="auto"/>
        <w:rPr>
          <w:rFonts w:hint="eastAsia" w:ascii="CESI仿宋-GB2312" w:hAnsi="CESI仿宋-GB2312" w:eastAsia="CESI仿宋-GB2312" w:cs="CESI仿宋-GB2312"/>
          <w:color w:val="auto"/>
          <w:sz w:val="32"/>
          <w:szCs w:val="32"/>
          <w:highlight w:val="none"/>
        </w:rPr>
      </w:pPr>
    </w:p>
    <w:p>
      <w:pPr>
        <w:keepNext w:val="0"/>
        <w:keepLines w:val="0"/>
        <w:pageBreakBefore w:val="0"/>
        <w:kinsoku/>
        <w:wordWrap/>
        <w:overflowPunct/>
        <w:topLinePunct w:val="0"/>
        <w:autoSpaceDE/>
        <w:autoSpaceDN/>
        <w:bidi w:val="0"/>
        <w:adjustRightInd/>
        <w:snapToGrid/>
        <w:spacing w:line="560" w:lineRule="exact"/>
        <w:textAlignment w:val="auto"/>
        <w:rPr>
          <w:rFonts w:hint="eastAsia" w:ascii="CESI仿宋-GB2312" w:hAnsi="CESI仿宋-GB2312" w:eastAsia="CESI仿宋-GB2312" w:cs="CESI仿宋-GB2312"/>
          <w:color w:val="auto"/>
          <w:sz w:val="32"/>
          <w:szCs w:val="32"/>
          <w:highlight w:val="none"/>
        </w:rPr>
      </w:pPr>
    </w:p>
    <w:p>
      <w:pPr>
        <w:keepNext w:val="0"/>
        <w:keepLines w:val="0"/>
        <w:pageBreakBefore w:val="0"/>
        <w:kinsoku/>
        <w:wordWrap/>
        <w:overflowPunct/>
        <w:topLinePunct w:val="0"/>
        <w:autoSpaceDE/>
        <w:autoSpaceDN/>
        <w:bidi w:val="0"/>
        <w:adjustRightInd/>
        <w:snapToGrid/>
        <w:spacing w:line="560" w:lineRule="exact"/>
        <w:textAlignment w:val="auto"/>
        <w:rPr>
          <w:rFonts w:hint="eastAsia" w:ascii="CESI仿宋-GB2312" w:hAnsi="CESI仿宋-GB2312" w:eastAsia="CESI仿宋-GB2312" w:cs="CESI仿宋-GB2312"/>
          <w:color w:val="auto"/>
          <w:sz w:val="32"/>
          <w:szCs w:val="32"/>
          <w:highlight w:val="none"/>
        </w:rPr>
      </w:pPr>
    </w:p>
    <w:p>
      <w:pPr>
        <w:keepNext w:val="0"/>
        <w:keepLines w:val="0"/>
        <w:pageBreakBefore w:val="0"/>
        <w:kinsoku/>
        <w:wordWrap/>
        <w:overflowPunct/>
        <w:topLinePunct w:val="0"/>
        <w:autoSpaceDE/>
        <w:autoSpaceDN/>
        <w:bidi w:val="0"/>
        <w:adjustRightInd/>
        <w:snapToGrid/>
        <w:spacing w:line="560" w:lineRule="exact"/>
        <w:textAlignment w:val="auto"/>
        <w:rPr>
          <w:rFonts w:hint="eastAsia" w:ascii="CESI仿宋-GB2312" w:hAnsi="CESI仿宋-GB2312" w:eastAsia="CESI仿宋-GB2312" w:cs="CESI仿宋-GB2312"/>
          <w:color w:val="auto"/>
          <w:sz w:val="32"/>
          <w:szCs w:val="32"/>
          <w:highlight w:val="none"/>
        </w:rPr>
      </w:pPr>
    </w:p>
    <w:p>
      <w:pPr>
        <w:keepNext w:val="0"/>
        <w:keepLines w:val="0"/>
        <w:pageBreakBefore w:val="0"/>
        <w:kinsoku/>
        <w:wordWrap/>
        <w:overflowPunct/>
        <w:topLinePunct w:val="0"/>
        <w:autoSpaceDE/>
        <w:autoSpaceDN/>
        <w:bidi w:val="0"/>
        <w:adjustRightInd/>
        <w:snapToGrid/>
        <w:spacing w:line="560" w:lineRule="exact"/>
        <w:textAlignment w:val="auto"/>
        <w:rPr>
          <w:rFonts w:hint="eastAsia" w:ascii="CESI仿宋-GB2312" w:hAnsi="CESI仿宋-GB2312" w:eastAsia="CESI仿宋-GB2312" w:cs="CESI仿宋-GB2312"/>
          <w:color w:val="auto"/>
          <w:sz w:val="32"/>
          <w:szCs w:val="32"/>
          <w:highlight w:val="none"/>
        </w:rPr>
      </w:pPr>
    </w:p>
    <w:p>
      <w:pPr>
        <w:keepNext w:val="0"/>
        <w:keepLines w:val="0"/>
        <w:pageBreakBefore w:val="0"/>
        <w:kinsoku/>
        <w:wordWrap/>
        <w:overflowPunct/>
        <w:topLinePunct w:val="0"/>
        <w:autoSpaceDE/>
        <w:autoSpaceDN/>
        <w:bidi w:val="0"/>
        <w:adjustRightInd/>
        <w:snapToGrid/>
        <w:spacing w:line="560" w:lineRule="exact"/>
        <w:textAlignment w:val="auto"/>
        <w:rPr>
          <w:rFonts w:hint="eastAsia" w:ascii="CESI仿宋-GB2312" w:hAnsi="CESI仿宋-GB2312" w:eastAsia="CESI仿宋-GB2312" w:cs="CESI仿宋-GB2312"/>
          <w:color w:val="auto"/>
          <w:sz w:val="32"/>
          <w:szCs w:val="32"/>
          <w:highlight w:val="none"/>
        </w:rPr>
      </w:pPr>
    </w:p>
    <w:p>
      <w:pPr>
        <w:keepNext w:val="0"/>
        <w:keepLines w:val="0"/>
        <w:pageBreakBefore w:val="0"/>
        <w:kinsoku/>
        <w:wordWrap/>
        <w:overflowPunct/>
        <w:topLinePunct w:val="0"/>
        <w:autoSpaceDE/>
        <w:autoSpaceDN/>
        <w:bidi w:val="0"/>
        <w:adjustRightInd/>
        <w:snapToGrid/>
        <w:spacing w:line="560" w:lineRule="exact"/>
        <w:textAlignment w:val="auto"/>
        <w:rPr>
          <w:rFonts w:hint="eastAsia" w:ascii="CESI仿宋-GB2312" w:hAnsi="CESI仿宋-GB2312" w:eastAsia="CESI仿宋-GB2312" w:cs="CESI仿宋-GB2312"/>
          <w:color w:val="auto"/>
          <w:sz w:val="32"/>
          <w:szCs w:val="32"/>
          <w:highlight w:val="none"/>
        </w:rPr>
      </w:pPr>
    </w:p>
    <w:p>
      <w:pPr>
        <w:keepNext w:val="0"/>
        <w:keepLines w:val="0"/>
        <w:pageBreakBefore w:val="0"/>
        <w:kinsoku/>
        <w:wordWrap/>
        <w:overflowPunct/>
        <w:topLinePunct w:val="0"/>
        <w:autoSpaceDE/>
        <w:autoSpaceDN/>
        <w:bidi w:val="0"/>
        <w:adjustRightInd/>
        <w:snapToGrid/>
        <w:spacing w:line="560" w:lineRule="exact"/>
        <w:textAlignment w:val="auto"/>
        <w:rPr>
          <w:rFonts w:hint="eastAsia" w:ascii="CESI仿宋-GB2312" w:hAnsi="CESI仿宋-GB2312" w:eastAsia="CESI仿宋-GB2312" w:cs="CESI仿宋-GB2312"/>
          <w:color w:val="auto"/>
          <w:sz w:val="32"/>
          <w:szCs w:val="32"/>
          <w:highlight w:val="none"/>
        </w:rPr>
      </w:pPr>
    </w:p>
    <w:sectPr>
      <w:footerReference r:id="rId3" w:type="default"/>
      <w:pgSz w:w="11906" w:h="16838"/>
      <w:pgMar w:top="1587" w:right="2041" w:bottom="1587" w:left="1984"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7A"/>
    <w:family w:val="auto"/>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FangSong_GB2312">
    <w:altName w:val="方正仿宋_GBK"/>
    <w:panose1 w:val="02010609030101010101"/>
    <w:charset w:val="00"/>
    <w:family w:val="modern"/>
    <w:pitch w:val="default"/>
    <w:sig w:usb0="00000000" w:usb1="00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CESI仿宋-GB2312">
    <w:panose1 w:val="02000500000000000000"/>
    <w:charset w:val="86"/>
    <w:family w:val="auto"/>
    <w:pitch w:val="default"/>
    <w:sig w:usb0="800002AF" w:usb1="084F6CF8" w:usb2="00000010" w:usb3="00000000" w:csb0="0004000F" w:csb1="00000000"/>
  </w:font>
  <w:font w:name="仿宋_GB2312">
    <w:altName w:val="方正仿宋_GBK"/>
    <w:panose1 w:val="02010609030101010101"/>
    <w:charset w:val="86"/>
    <w:family w:val="auto"/>
    <w:pitch w:val="default"/>
    <w:sig w:usb0="00000000" w:usb1="00000000" w:usb2="00000000" w:usb3="00000000" w:csb0="00040000" w:csb1="00000000"/>
  </w:font>
  <w:font w:name="华文楷体">
    <w:panose1 w:val="02010600040101010101"/>
    <w:charset w:val="86"/>
    <w:family w:val="auto"/>
    <w:pitch w:val="default"/>
    <w:sig w:usb0="00000287" w:usb1="080F0000" w:usb2="00000000" w:usb3="00000000" w:csb0="0004009F" w:csb1="DFD70000"/>
  </w:font>
  <w:font w:name="仿宋">
    <w:altName w:val="方正仿宋_GBK"/>
    <w:panose1 w:val="02010609060101010101"/>
    <w:charset w:val="86"/>
    <w:family w:val="auto"/>
    <w:pitch w:val="default"/>
    <w:sig w:usb0="00000000" w:usb1="00000000" w:usb2="00000016" w:usb3="00000000" w:csb0="00040001" w:csb1="00000000"/>
  </w:font>
  <w:font w:name="Arial">
    <w:altName w:val="DejaVu Sans"/>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WAAAAZHJzL1BLAQIUABQAAAAIAIdO4kCzSVju0AAAAAUBAAAPAAAAAAAAAAEAIAAAADgAAABk&#10;cnMvZG93bnJldi54bWxQSwECFAAUAAAACACHTuJAa4X5+zECAABhBAAADgAAAAAAAAABACAAAAA1&#10;AQAAZHJzL2Uyb0RvYy54bWxQSwUGAAAAAAYABgBZAQAA2AUAAAAA&#10;">
              <v:fill on="f" focussize="0,0"/>
              <v:stroke on="f" weight="0.5pt"/>
              <v:imagedata o:title=""/>
              <o:lock v:ext="edit" aspectratio="f"/>
              <v:textbox inset="0mm,0mm,0mm,0mm" style="mso-fit-shape-to-text:t;">
                <w:txbxContent>
                  <w:p>
                    <w:pPr>
                      <w:pStyle w:val="5"/>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0"/>
  <w:displayBackgroundShape w:val="1"/>
  <w:embedSystemFonts/>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5A24E5"/>
    <w:rsid w:val="02994018"/>
    <w:rsid w:val="03484207"/>
    <w:rsid w:val="0455059A"/>
    <w:rsid w:val="067D77AC"/>
    <w:rsid w:val="08AC0E08"/>
    <w:rsid w:val="098350DA"/>
    <w:rsid w:val="0AB8556E"/>
    <w:rsid w:val="0B476C1F"/>
    <w:rsid w:val="0C2E3359"/>
    <w:rsid w:val="10A122E9"/>
    <w:rsid w:val="17F453F5"/>
    <w:rsid w:val="19B6E7BF"/>
    <w:rsid w:val="1A7606F3"/>
    <w:rsid w:val="1B515AF1"/>
    <w:rsid w:val="1B5FBF99"/>
    <w:rsid w:val="1BA79CDC"/>
    <w:rsid w:val="1BB47375"/>
    <w:rsid w:val="1D8965DF"/>
    <w:rsid w:val="1F6706ED"/>
    <w:rsid w:val="1FED819C"/>
    <w:rsid w:val="213D1BBA"/>
    <w:rsid w:val="21E32762"/>
    <w:rsid w:val="23D305B4"/>
    <w:rsid w:val="277D9957"/>
    <w:rsid w:val="27EE6D51"/>
    <w:rsid w:val="27FF6CEE"/>
    <w:rsid w:val="293C03A1"/>
    <w:rsid w:val="295F4AB9"/>
    <w:rsid w:val="2A2B5644"/>
    <w:rsid w:val="2B006133"/>
    <w:rsid w:val="2F99C37D"/>
    <w:rsid w:val="367D4FF9"/>
    <w:rsid w:val="36D154B9"/>
    <w:rsid w:val="37DE3C9F"/>
    <w:rsid w:val="39E38617"/>
    <w:rsid w:val="39FD5F33"/>
    <w:rsid w:val="3A5402D2"/>
    <w:rsid w:val="3B7E465F"/>
    <w:rsid w:val="3B7F5941"/>
    <w:rsid w:val="3BDE13E8"/>
    <w:rsid w:val="3BEBC578"/>
    <w:rsid w:val="3D5FD812"/>
    <w:rsid w:val="3EBE72C0"/>
    <w:rsid w:val="3F3F54AD"/>
    <w:rsid w:val="3F8D54A2"/>
    <w:rsid w:val="3FDEF73E"/>
    <w:rsid w:val="3FF7E75F"/>
    <w:rsid w:val="42ED4D97"/>
    <w:rsid w:val="43E07956"/>
    <w:rsid w:val="44B042CE"/>
    <w:rsid w:val="46483E01"/>
    <w:rsid w:val="47395243"/>
    <w:rsid w:val="47E56984"/>
    <w:rsid w:val="49B74D2D"/>
    <w:rsid w:val="4C3E406E"/>
    <w:rsid w:val="4DD6AC44"/>
    <w:rsid w:val="4E2E44B5"/>
    <w:rsid w:val="4F7A8014"/>
    <w:rsid w:val="508F6E38"/>
    <w:rsid w:val="531445D8"/>
    <w:rsid w:val="565A22EB"/>
    <w:rsid w:val="56F6563D"/>
    <w:rsid w:val="58330577"/>
    <w:rsid w:val="590B1ADE"/>
    <w:rsid w:val="5A2D03CA"/>
    <w:rsid w:val="5CF43DA1"/>
    <w:rsid w:val="5D79399F"/>
    <w:rsid w:val="5DF748C4"/>
    <w:rsid w:val="5DFFFEB0"/>
    <w:rsid w:val="5E8CF660"/>
    <w:rsid w:val="5EA038B2"/>
    <w:rsid w:val="5EFF07BD"/>
    <w:rsid w:val="5F942D12"/>
    <w:rsid w:val="5FBE9B08"/>
    <w:rsid w:val="5FDC2F30"/>
    <w:rsid w:val="5FFE2E6F"/>
    <w:rsid w:val="5FFE3534"/>
    <w:rsid w:val="5FFFF88F"/>
    <w:rsid w:val="60F4333C"/>
    <w:rsid w:val="631F74BC"/>
    <w:rsid w:val="63E9680E"/>
    <w:rsid w:val="64817B3D"/>
    <w:rsid w:val="683C02AC"/>
    <w:rsid w:val="6B2F9C3E"/>
    <w:rsid w:val="6B841E8D"/>
    <w:rsid w:val="6E125199"/>
    <w:rsid w:val="6EB7CCBF"/>
    <w:rsid w:val="6FBFDE40"/>
    <w:rsid w:val="6FF7E679"/>
    <w:rsid w:val="72F90170"/>
    <w:rsid w:val="72FE7215"/>
    <w:rsid w:val="736DC0EF"/>
    <w:rsid w:val="76BE9F9C"/>
    <w:rsid w:val="76F5AB6F"/>
    <w:rsid w:val="7775C95F"/>
    <w:rsid w:val="77872C35"/>
    <w:rsid w:val="77F70F91"/>
    <w:rsid w:val="77FE67C0"/>
    <w:rsid w:val="78FF21B6"/>
    <w:rsid w:val="79EED6AF"/>
    <w:rsid w:val="7ABF9165"/>
    <w:rsid w:val="7AD85D51"/>
    <w:rsid w:val="7BFD5E74"/>
    <w:rsid w:val="7C7EECF1"/>
    <w:rsid w:val="7D8EEADD"/>
    <w:rsid w:val="7DBE72CD"/>
    <w:rsid w:val="7F5D406C"/>
    <w:rsid w:val="7F6892CD"/>
    <w:rsid w:val="7F6BBF37"/>
    <w:rsid w:val="7F75BF0B"/>
    <w:rsid w:val="7F7F5E58"/>
    <w:rsid w:val="7FCAE10B"/>
    <w:rsid w:val="7FDA1BEF"/>
    <w:rsid w:val="7FDF5309"/>
    <w:rsid w:val="7FFD98BE"/>
    <w:rsid w:val="8FAFEFEF"/>
    <w:rsid w:val="A1FD947C"/>
    <w:rsid w:val="A3E7464E"/>
    <w:rsid w:val="AF7B7952"/>
    <w:rsid w:val="AF9F8FCA"/>
    <w:rsid w:val="B7DF0942"/>
    <w:rsid w:val="B8EB41BC"/>
    <w:rsid w:val="BD7DC420"/>
    <w:rsid w:val="BE489A38"/>
    <w:rsid w:val="BEFD7B84"/>
    <w:rsid w:val="C2F50BC2"/>
    <w:rsid w:val="C4779D79"/>
    <w:rsid w:val="C6EF96BF"/>
    <w:rsid w:val="CDAFB7F2"/>
    <w:rsid w:val="CEF16418"/>
    <w:rsid w:val="CFC547A0"/>
    <w:rsid w:val="D97FD55E"/>
    <w:rsid w:val="DCFAAB5D"/>
    <w:rsid w:val="DD0F2569"/>
    <w:rsid w:val="DD9FEC49"/>
    <w:rsid w:val="DDECA757"/>
    <w:rsid w:val="DF7F9847"/>
    <w:rsid w:val="DFB3786F"/>
    <w:rsid w:val="E2FFFB61"/>
    <w:rsid w:val="E96F863A"/>
    <w:rsid w:val="EEC871C7"/>
    <w:rsid w:val="EF7F672B"/>
    <w:rsid w:val="EFCEDB15"/>
    <w:rsid w:val="F297A4D4"/>
    <w:rsid w:val="F35F078F"/>
    <w:rsid w:val="F6A18827"/>
    <w:rsid w:val="F73BC0E3"/>
    <w:rsid w:val="F74DA2EE"/>
    <w:rsid w:val="F7BFA59C"/>
    <w:rsid w:val="F7FBBD65"/>
    <w:rsid w:val="F9BF8FF5"/>
    <w:rsid w:val="FB4ED248"/>
    <w:rsid w:val="FBB6C733"/>
    <w:rsid w:val="FBF7BB84"/>
    <w:rsid w:val="FBF87B06"/>
    <w:rsid w:val="FD1752FB"/>
    <w:rsid w:val="FDFB112D"/>
    <w:rsid w:val="FEBF1651"/>
    <w:rsid w:val="FEE5CBF6"/>
    <w:rsid w:val="FEFB4F67"/>
    <w:rsid w:val="FEFE30B3"/>
    <w:rsid w:val="FF1DD433"/>
    <w:rsid w:val="FF56486A"/>
    <w:rsid w:val="FFB7806A"/>
    <w:rsid w:val="FFDDF856"/>
    <w:rsid w:val="FFDEADEB"/>
    <w:rsid w:val="FFF4C521"/>
    <w:rsid w:val="FFFD9611"/>
    <w:rsid w:val="FFFF4FF6"/>
    <w:rsid w:val="FFFFBAC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99"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Normal Indent"/>
    <w:basedOn w:val="1"/>
    <w:next w:val="3"/>
    <w:qFormat/>
    <w:uiPriority w:val="0"/>
    <w:pPr>
      <w:ind w:firstLine="420" w:firstLineChars="200"/>
    </w:pPr>
    <w:rPr>
      <w:rFonts w:ascii="Times New Roman" w:hAnsi="Times New Roman" w:eastAsia="宋体" w:cs="Times New Roman"/>
    </w:rPr>
  </w:style>
  <w:style w:type="paragraph" w:styleId="3">
    <w:name w:val="Body Text"/>
    <w:basedOn w:val="1"/>
    <w:next w:val="4"/>
    <w:qFormat/>
    <w:uiPriority w:val="1"/>
    <w:pPr>
      <w:ind w:left="138"/>
      <w:jc w:val="left"/>
    </w:pPr>
    <w:rPr>
      <w:rFonts w:ascii="宋体" w:hAnsi="宋体"/>
      <w:kern w:val="0"/>
      <w:sz w:val="24"/>
      <w:lang w:eastAsia="en-US"/>
    </w:rPr>
  </w:style>
  <w:style w:type="paragraph" w:styleId="4">
    <w:name w:val="Title"/>
    <w:basedOn w:val="1"/>
    <w:next w:val="1"/>
    <w:qFormat/>
    <w:uiPriority w:val="99"/>
    <w:pPr>
      <w:jc w:val="center"/>
    </w:pPr>
    <w:rPr>
      <w:rFonts w:ascii="方正小标宋简体" w:hAnsi="方正小标宋简体" w:eastAsia="方正小标宋简体" w:cs="方正小标宋简体"/>
      <w:sz w:val="44"/>
      <w:szCs w:val="44"/>
      <w:lang w:eastAsia="zh-CN" w:bidi="ar-SA"/>
    </w:rPr>
  </w:style>
  <w:style w:type="paragraph" w:styleId="5">
    <w:name w:val="footer"/>
    <w:basedOn w:val="1"/>
    <w:next w:val="6"/>
    <w:qFormat/>
    <w:uiPriority w:val="0"/>
    <w:pPr>
      <w:snapToGrid w:val="0"/>
      <w:jc w:val="left"/>
    </w:pPr>
    <w:rPr>
      <w:sz w:val="18"/>
      <w:szCs w:val="18"/>
    </w:rPr>
  </w:style>
  <w:style w:type="paragraph" w:customStyle="1" w:styleId="6">
    <w:name w:val="目录 91"/>
    <w:next w:val="1"/>
    <w:qFormat/>
    <w:uiPriority w:val="0"/>
    <w:pPr>
      <w:wordWrap w:val="0"/>
      <w:spacing w:after="200" w:line="276" w:lineRule="auto"/>
      <w:ind w:left="2975"/>
      <w:jc w:val="both"/>
    </w:pPr>
    <w:rPr>
      <w:rFonts w:ascii="Calibri" w:hAnsi="Calibri" w:eastAsia="宋体" w:cs="Calibri"/>
      <w:sz w:val="21"/>
      <w:szCs w:val="21"/>
      <w:lang w:val="en-US" w:eastAsia="zh-CN" w:bidi="ar-SA"/>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Normal (Web)"/>
    <w:basedOn w:val="1"/>
    <w:qFormat/>
    <w:uiPriority w:val="0"/>
    <w:pPr>
      <w:spacing w:before="0" w:beforeAutospacing="1" w:after="0" w:afterAutospacing="1"/>
      <w:ind w:left="0" w:right="0"/>
      <w:jc w:val="left"/>
    </w:pPr>
    <w:rPr>
      <w:kern w:val="0"/>
      <w:sz w:val="24"/>
      <w:lang w:val="en-US" w:eastAsia="zh-CN" w:bidi="ar"/>
    </w:rPr>
  </w:style>
  <w:style w:type="paragraph" w:customStyle="1" w:styleId="11">
    <w:name w:val="_Style 1"/>
    <w:basedOn w:val="1"/>
    <w:qFormat/>
    <w:uiPriority w:val="0"/>
    <w:pPr>
      <w:spacing w:before="0" w:beforeAutospacing="0" w:after="0"/>
      <w:ind w:firstLine="200" w:firstLineChars="200"/>
    </w:pPr>
    <w:rPr>
      <w:rFonts w:ascii="宋体" w:hAnsi="宋体" w:eastAsia="FangSong_GB2312" w:cs="Times New Roman"/>
      <w:sz w:val="32"/>
      <w:szCs w:val="32"/>
    </w:rPr>
  </w:style>
  <w:style w:type="paragraph" w:customStyle="1" w:styleId="12">
    <w:name w:val="纯文本1"/>
    <w:basedOn w:val="1"/>
    <w:qFormat/>
    <w:uiPriority w:val="0"/>
    <w:rPr>
      <w:rFonts w:ascii="宋体" w:hAnsi="Courier New" w:eastAsia="宋体" w:cs="Courier New"/>
    </w:rPr>
  </w:style>
  <w:style w:type="paragraph" w:customStyle="1" w:styleId="13">
    <w:name w:val="正文_0"/>
    <w:next w:val="3"/>
    <w:qFormat/>
    <w:uiPriority w:val="0"/>
    <w:pPr>
      <w:widowControl w:val="0"/>
      <w:jc w:val="both"/>
    </w:pPr>
    <w:rPr>
      <w:rFonts w:ascii="Calibri" w:hAnsi="Calibri" w:eastAsia="宋体" w:cs="Times New Roman"/>
      <w:kern w:val="2"/>
      <w:sz w:val="21"/>
      <w:szCs w:val="24"/>
      <w:lang w:val="en-US" w:eastAsia="zh-CN" w:bidi="ar-SA"/>
    </w:rPr>
  </w:style>
  <w:style w:type="table" w:customStyle="1" w:styleId="14">
    <w:name w:val="网格型1"/>
    <w:basedOn w:val="9"/>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3283</Words>
  <Characters>3609</Characters>
  <Lines>0</Lines>
  <Paragraphs>0</Paragraphs>
  <TotalTime>0</TotalTime>
  <ScaleCrop>false</ScaleCrop>
  <LinksUpToDate>false</LinksUpToDate>
  <CharactersWithSpaces>3664</CharactersWithSpaces>
  <Application>WPS Office_11.8.2.12128_F1E327BC-269C-435d-A152-05C5408002CA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2025-06-10T17:45:00Z</dcterms:created>
  <dc:creator>PC</dc:creator>
  <cp:lastModifiedBy>陈珏然</cp:lastModifiedBy>
  <dcterms:modified xsi:type="dcterms:W3CDTF">2025-09-29T11:43:28Z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2052-11.8.2.12128</vt:lpwstr>
  </property>
  <property fmtid="{D5CDD505-2E9C-101B-9397-08002B2CF9AE}" pid="3" name="ICV">
    <vt:lpwstr>1208AA8524D04B4C2DA93F6831C25D47</vt:lpwstr>
  </property>
  <property fmtid="{D5CDD505-2E9C-101B-9397-08002B2CF9AE}" pid="4" name="KSOTemplateDocerSaveRecord">
    <vt:lpwstr>eyJoZGlkIjoiNDAzNjM4Yzg0YTJjNmVlMDFmNDJlMjRkZGVkY2M5MGIiLCJ1c2VySWQiOiIxMzc4NjUxMzYxIn0=</vt:lpwstr>
  </property>
</Properties>
</file>