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9481A">
      <w:pPr>
        <w:bidi w:val="0"/>
      </w:pPr>
    </w:p>
    <w:p w14:paraId="0F90420D">
      <w:pPr>
        <w:widowControl w:val="0"/>
        <w:spacing w:line="560" w:lineRule="exact"/>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附件</w:t>
      </w:r>
      <w:r>
        <w:rPr>
          <w:rFonts w:hint="eastAsia" w:ascii="宋体" w:hAnsi="宋体" w:cs="宋体"/>
          <w:color w:val="auto"/>
          <w:kern w:val="2"/>
          <w:sz w:val="28"/>
          <w:szCs w:val="28"/>
          <w:highlight w:val="none"/>
          <w:lang w:val="en-US" w:eastAsia="zh-CN" w:bidi="ar-SA"/>
        </w:rPr>
        <w:t>2</w:t>
      </w:r>
      <w:r>
        <w:rPr>
          <w:rFonts w:hint="eastAsia" w:ascii="宋体" w:hAnsi="宋体" w:eastAsia="宋体" w:cs="宋体"/>
          <w:color w:val="auto"/>
          <w:kern w:val="2"/>
          <w:sz w:val="28"/>
          <w:szCs w:val="28"/>
          <w:highlight w:val="none"/>
          <w:lang w:val="en-US" w:eastAsia="zh-CN" w:bidi="ar-SA"/>
        </w:rPr>
        <w:t>.定标工作流程</w:t>
      </w:r>
    </w:p>
    <w:p w14:paraId="2F9D69B6">
      <w:pPr>
        <w:pStyle w:val="2"/>
        <w:rPr>
          <w:rFonts w:hint="eastAsia"/>
          <w:lang w:val="en-US" w:eastAsia="zh-CN"/>
        </w:rPr>
      </w:pPr>
    </w:p>
    <w:p w14:paraId="19B9DEDD">
      <w:pPr>
        <w:widowControl w:val="0"/>
        <w:spacing w:line="560" w:lineRule="exact"/>
        <w:jc w:val="center"/>
        <w:rPr>
          <w:rFonts w:hint="eastAsia" w:ascii="仿宋" w:hAnsi="仿宋" w:eastAsia="仿宋" w:cs="仿宋"/>
          <w:b/>
          <w:bCs/>
          <w:kern w:val="2"/>
          <w:sz w:val="44"/>
          <w:szCs w:val="44"/>
          <w:lang w:val="en-US" w:eastAsia="zh-CN" w:bidi="ar-SA"/>
        </w:rPr>
      </w:pPr>
      <w:r>
        <w:rPr>
          <w:rFonts w:hint="eastAsia" w:ascii="仿宋" w:hAnsi="仿宋" w:eastAsia="仿宋" w:cs="仿宋"/>
          <w:b/>
          <w:bCs/>
          <w:kern w:val="2"/>
          <w:sz w:val="36"/>
          <w:szCs w:val="36"/>
          <w:lang w:val="en-US" w:eastAsia="zh-CN" w:bidi="ar-SA"/>
        </w:rPr>
        <w:t>定标工作流程</w:t>
      </w:r>
    </w:p>
    <w:p w14:paraId="34D7E628">
      <w:pPr>
        <w:pStyle w:val="2"/>
        <w:rPr>
          <w:rFonts w:hint="eastAsia"/>
          <w:lang w:val="en-US" w:eastAsia="zh-CN"/>
        </w:rPr>
      </w:pPr>
    </w:p>
    <w:p w14:paraId="773EDAE9">
      <w:pPr>
        <w:pStyle w:val="3"/>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一、定标工作流程</w:t>
      </w:r>
    </w:p>
    <w:p w14:paraId="1C78943F">
      <w:pPr>
        <w:pStyle w:val="3"/>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（一）</w:t>
      </w:r>
      <w:r>
        <w:rPr>
          <w:rFonts w:hint="eastAsia" w:ascii="华文仿宋" w:hAnsi="华文仿宋" w:eastAsia="华文仿宋" w:cs="华文仿宋"/>
          <w:sz w:val="32"/>
          <w:szCs w:val="32"/>
        </w:rPr>
        <w:t>现我</w:t>
      </w:r>
      <w:r>
        <w:rPr>
          <w:rFonts w:hint="eastAsia" w:ascii="华文仿宋" w:hAnsi="华文仿宋" w:eastAsia="华文仿宋" w:cs="华文仿宋"/>
          <w:sz w:val="32"/>
          <w:szCs w:val="32"/>
          <w:lang w:eastAsia="zh-CN"/>
        </w:rPr>
        <w:t>局</w:t>
      </w:r>
      <w:r>
        <w:rPr>
          <w:rFonts w:hint="eastAsia" w:ascii="华文仿宋" w:hAnsi="华文仿宋" w:eastAsia="华文仿宋" w:cs="华文仿宋"/>
          <w:sz w:val="32"/>
          <w:szCs w:val="32"/>
        </w:rPr>
        <w:t>拟采用公开询价方式择优、集体议事法方式定标委托承包商</w:t>
      </w:r>
      <w:r>
        <w:rPr>
          <w:rFonts w:hint="eastAsia" w:ascii="华文仿宋" w:hAnsi="华文仿宋" w:eastAsia="华文仿宋" w:cs="华文仿宋"/>
          <w:sz w:val="32"/>
          <w:szCs w:val="32"/>
          <w:lang w:eastAsia="zh-CN"/>
        </w:rPr>
        <w:t>。</w:t>
      </w:r>
    </w:p>
    <w:p w14:paraId="3D883A5C">
      <w:pPr>
        <w:pStyle w:val="3"/>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（二）定标工作流程</w:t>
      </w:r>
    </w:p>
    <w:p w14:paraId="0DBD8D2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华文仿宋" w:hAnsi="华文仿宋" w:eastAsia="华文仿宋" w:cs="华文仿宋"/>
          <w:color w:val="auto"/>
          <w:sz w:val="32"/>
          <w:szCs w:val="32"/>
          <w:highlight w:val="none"/>
          <w:lang w:eastAsia="zh-CN"/>
        </w:rPr>
      </w:pPr>
      <w:r>
        <w:rPr>
          <w:rFonts w:hint="eastAsia" w:ascii="华文仿宋" w:hAnsi="华文仿宋" w:eastAsia="华文仿宋" w:cs="华文仿宋"/>
          <w:sz w:val="32"/>
          <w:szCs w:val="32"/>
          <w:lang w:val="en-US" w:eastAsia="zh-CN"/>
        </w:rPr>
        <w:t>1.第一步</w:t>
      </w:r>
      <w:r>
        <w:rPr>
          <w:rFonts w:hint="eastAsia" w:ascii="华文仿宋" w:hAnsi="华文仿宋" w:eastAsia="华文仿宋" w:cs="华文仿宋"/>
          <w:sz w:val="32"/>
          <w:szCs w:val="32"/>
        </w:rPr>
        <w:t>（价格切线竞价）：投标报价（根据《深圳市人民政府关于进一步规范建设工程招标投标活动的通知》（深府规[2024]8号）要求，具有通用技术、性能标准或者招标人对技术、性能没有特殊要求的项目，坚持低中选优原则。）</w:t>
      </w:r>
      <w:r>
        <w:rPr>
          <w:rFonts w:hint="eastAsia" w:ascii="华文仿宋" w:hAnsi="华文仿宋" w:eastAsia="华文仿宋" w:cs="华文仿宋"/>
          <w:color w:val="auto"/>
          <w:sz w:val="32"/>
          <w:szCs w:val="32"/>
          <w:highlight w:val="none"/>
          <w:lang w:eastAsia="zh-CN"/>
        </w:rPr>
        <w:t>如投标人的投标报价均相同不进行价格切线竞价。</w:t>
      </w:r>
    </w:p>
    <w:p w14:paraId="34A1E4FE">
      <w:pPr>
        <w:pStyle w:val="15"/>
        <w:keepNext w:val="0"/>
        <w:keepLines w:val="0"/>
        <w:pageBreakBefore w:val="0"/>
        <w:widowControl w:val="0"/>
        <w:kinsoku/>
        <w:wordWrap/>
        <w:overflowPunct/>
        <w:topLinePunct w:val="0"/>
        <w:autoSpaceDE/>
        <w:autoSpaceDN/>
        <w:bidi w:val="0"/>
        <w:spacing w:line="560"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sz w:val="32"/>
          <w:szCs w:val="32"/>
          <w:highlight w:val="none"/>
        </w:rPr>
        <w:t>投标人的投标人数量设为N。</w:t>
      </w:r>
    </w:p>
    <w:p w14:paraId="25C25DA4">
      <w:pPr>
        <w:pStyle w:val="15"/>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华文仿宋" w:hAnsi="华文仿宋" w:eastAsia="华文仿宋" w:cs="华文仿宋"/>
          <w:color w:val="000000"/>
          <w:sz w:val="32"/>
          <w:szCs w:val="32"/>
          <w:highlight w:val="none"/>
        </w:rPr>
      </w:pPr>
      <w:r>
        <w:rPr>
          <w:rFonts w:hint="eastAsia" w:ascii="华文仿宋" w:hAnsi="华文仿宋" w:eastAsia="华文仿宋" w:cs="华文仿宋"/>
          <w:color w:val="000000"/>
          <w:sz w:val="32"/>
          <w:szCs w:val="32"/>
          <w:highlight w:val="none"/>
          <w:lang w:eastAsia="zh-CN"/>
        </w:rPr>
        <w:t>（</w:t>
      </w:r>
      <w:r>
        <w:rPr>
          <w:rFonts w:hint="eastAsia" w:ascii="华文仿宋" w:hAnsi="华文仿宋" w:eastAsia="华文仿宋" w:cs="华文仿宋"/>
          <w:color w:val="000000"/>
          <w:sz w:val="32"/>
          <w:szCs w:val="32"/>
          <w:highlight w:val="none"/>
          <w:lang w:val="en-US" w:eastAsia="zh-CN"/>
        </w:rPr>
        <w:t>1</w:t>
      </w:r>
      <w:r>
        <w:rPr>
          <w:rFonts w:hint="eastAsia" w:ascii="华文仿宋" w:hAnsi="华文仿宋" w:eastAsia="华文仿宋" w:cs="华文仿宋"/>
          <w:color w:val="000000"/>
          <w:sz w:val="32"/>
          <w:szCs w:val="32"/>
          <w:highlight w:val="none"/>
          <w:lang w:eastAsia="zh-CN"/>
        </w:rPr>
        <w:t>）</w:t>
      </w:r>
      <w:r>
        <w:rPr>
          <w:rFonts w:hint="eastAsia" w:ascii="华文仿宋" w:hAnsi="华文仿宋" w:eastAsia="华文仿宋" w:cs="华文仿宋"/>
          <w:color w:val="000000"/>
          <w:sz w:val="32"/>
          <w:szCs w:val="32"/>
          <w:highlight w:val="none"/>
        </w:rPr>
        <w:t>当N=3时，不进行价格切线竞价。</w:t>
      </w:r>
    </w:p>
    <w:p w14:paraId="56C79974">
      <w:pPr>
        <w:pStyle w:val="15"/>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华文仿宋" w:hAnsi="华文仿宋" w:eastAsia="华文仿宋" w:cs="华文仿宋"/>
          <w:color w:val="000000"/>
          <w:sz w:val="32"/>
          <w:szCs w:val="32"/>
          <w:highlight w:val="none"/>
        </w:rPr>
      </w:pPr>
      <w:r>
        <w:rPr>
          <w:rFonts w:hint="eastAsia" w:ascii="华文仿宋" w:hAnsi="华文仿宋" w:eastAsia="华文仿宋" w:cs="华文仿宋"/>
          <w:color w:val="000000"/>
          <w:sz w:val="32"/>
          <w:szCs w:val="32"/>
          <w:highlight w:val="none"/>
          <w:lang w:eastAsia="zh-CN"/>
        </w:rPr>
        <w:t>（</w:t>
      </w:r>
      <w:r>
        <w:rPr>
          <w:rFonts w:hint="eastAsia" w:ascii="华文仿宋" w:hAnsi="华文仿宋" w:eastAsia="华文仿宋" w:cs="华文仿宋"/>
          <w:color w:val="000000"/>
          <w:sz w:val="32"/>
          <w:szCs w:val="32"/>
          <w:highlight w:val="none"/>
          <w:lang w:val="en-US" w:eastAsia="zh-CN"/>
        </w:rPr>
        <w:t>2</w:t>
      </w:r>
      <w:r>
        <w:rPr>
          <w:rFonts w:hint="eastAsia" w:ascii="华文仿宋" w:hAnsi="华文仿宋" w:eastAsia="华文仿宋" w:cs="华文仿宋"/>
          <w:color w:val="000000"/>
          <w:sz w:val="32"/>
          <w:szCs w:val="32"/>
          <w:highlight w:val="none"/>
          <w:lang w:eastAsia="zh-CN"/>
        </w:rPr>
        <w:t>）</w:t>
      </w:r>
      <w:r>
        <w:rPr>
          <w:rFonts w:hint="eastAsia" w:ascii="华文仿宋" w:hAnsi="华文仿宋" w:eastAsia="华文仿宋" w:cs="华文仿宋"/>
          <w:color w:val="000000"/>
          <w:sz w:val="32"/>
          <w:szCs w:val="32"/>
          <w:highlight w:val="none"/>
        </w:rPr>
        <w:t>当N=4时，进行价格切线竞价，剔除投标报价最高的1家投标人；</w:t>
      </w:r>
    </w:p>
    <w:p w14:paraId="5022E214">
      <w:pPr>
        <w:pStyle w:val="15"/>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华文仿宋" w:hAnsi="华文仿宋" w:eastAsia="华文仿宋" w:cs="华文仿宋"/>
          <w:color w:val="000000"/>
          <w:sz w:val="32"/>
          <w:szCs w:val="32"/>
          <w:highlight w:val="none"/>
        </w:rPr>
      </w:pPr>
      <w:r>
        <w:rPr>
          <w:rFonts w:hint="eastAsia" w:ascii="华文仿宋" w:hAnsi="华文仿宋" w:eastAsia="华文仿宋" w:cs="华文仿宋"/>
          <w:color w:val="000000"/>
          <w:sz w:val="32"/>
          <w:szCs w:val="32"/>
          <w:highlight w:val="none"/>
          <w:lang w:eastAsia="zh-CN"/>
        </w:rPr>
        <w:t>（</w:t>
      </w:r>
      <w:r>
        <w:rPr>
          <w:rFonts w:hint="eastAsia" w:ascii="华文仿宋" w:hAnsi="华文仿宋" w:eastAsia="华文仿宋" w:cs="华文仿宋"/>
          <w:color w:val="000000"/>
          <w:sz w:val="32"/>
          <w:szCs w:val="32"/>
          <w:highlight w:val="none"/>
          <w:lang w:val="en-US" w:eastAsia="zh-CN"/>
        </w:rPr>
        <w:t>3</w:t>
      </w:r>
      <w:r>
        <w:rPr>
          <w:rFonts w:hint="eastAsia" w:ascii="华文仿宋" w:hAnsi="华文仿宋" w:eastAsia="华文仿宋" w:cs="华文仿宋"/>
          <w:color w:val="000000"/>
          <w:sz w:val="32"/>
          <w:szCs w:val="32"/>
          <w:highlight w:val="none"/>
          <w:lang w:eastAsia="zh-CN"/>
        </w:rPr>
        <w:t>）</w:t>
      </w:r>
      <w:r>
        <w:rPr>
          <w:rFonts w:hint="eastAsia" w:ascii="华文仿宋" w:hAnsi="华文仿宋" w:eastAsia="华文仿宋" w:cs="华文仿宋"/>
          <w:color w:val="000000"/>
          <w:sz w:val="32"/>
          <w:szCs w:val="32"/>
          <w:highlight w:val="none"/>
        </w:rPr>
        <w:t>当N=5时，进行价格切线竞价，剔除投标报价最高的1家投标人和投标报价最低的1家投标人；</w:t>
      </w:r>
    </w:p>
    <w:p w14:paraId="451A625C">
      <w:pPr>
        <w:pStyle w:val="15"/>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华文仿宋" w:hAnsi="华文仿宋" w:eastAsia="华文仿宋" w:cs="华文仿宋"/>
          <w:color w:val="000000"/>
          <w:sz w:val="32"/>
          <w:szCs w:val="32"/>
          <w:highlight w:val="none"/>
        </w:rPr>
      </w:pPr>
      <w:r>
        <w:rPr>
          <w:rFonts w:hint="eastAsia" w:ascii="华文仿宋" w:hAnsi="华文仿宋" w:eastAsia="华文仿宋" w:cs="华文仿宋"/>
          <w:color w:val="000000"/>
          <w:sz w:val="32"/>
          <w:szCs w:val="32"/>
          <w:highlight w:val="none"/>
          <w:lang w:eastAsia="zh-CN"/>
        </w:rPr>
        <w:t>（</w:t>
      </w:r>
      <w:r>
        <w:rPr>
          <w:rFonts w:hint="eastAsia" w:ascii="华文仿宋" w:hAnsi="华文仿宋" w:eastAsia="华文仿宋" w:cs="华文仿宋"/>
          <w:color w:val="000000"/>
          <w:sz w:val="32"/>
          <w:szCs w:val="32"/>
          <w:highlight w:val="none"/>
          <w:lang w:val="en-US" w:eastAsia="zh-CN"/>
        </w:rPr>
        <w:t>4</w:t>
      </w:r>
      <w:r>
        <w:rPr>
          <w:rFonts w:hint="eastAsia" w:ascii="华文仿宋" w:hAnsi="华文仿宋" w:eastAsia="华文仿宋" w:cs="华文仿宋"/>
          <w:color w:val="000000"/>
          <w:sz w:val="32"/>
          <w:szCs w:val="32"/>
          <w:highlight w:val="none"/>
          <w:lang w:eastAsia="zh-CN"/>
        </w:rPr>
        <w:t>）</w:t>
      </w:r>
      <w:r>
        <w:rPr>
          <w:rFonts w:hint="eastAsia" w:ascii="华文仿宋" w:hAnsi="华文仿宋" w:eastAsia="华文仿宋" w:cs="华文仿宋"/>
          <w:color w:val="000000"/>
          <w:sz w:val="32"/>
          <w:szCs w:val="32"/>
          <w:highlight w:val="none"/>
        </w:rPr>
        <w:t>当N≥6时，进行价格切线竞价。以投标人的投标报价算数平均值作为基准价，保留Y家投标人（Y=N×2/3，若数量不为整数，则向上取整）进入下一步。保留投标人家数计算方法：其中，低于或等于基准价的，取Y×60%数量的投标人（若数量不为整数，则四舍五入），高于基准价的，取Y×40%数量的投标人（若数量不为整数，则四舍五入），合计保留投标人家数为Y。其余的投标人予以剔除。</w:t>
      </w:r>
    </w:p>
    <w:p w14:paraId="525C3E41">
      <w:pPr>
        <w:pStyle w:val="3"/>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华文仿宋" w:hAnsi="华文仿宋" w:eastAsia="华文仿宋" w:cs="华文仿宋"/>
          <w:color w:val="000000"/>
          <w:sz w:val="32"/>
          <w:szCs w:val="32"/>
          <w:highlight w:val="none"/>
        </w:rPr>
      </w:pPr>
      <w:r>
        <w:rPr>
          <w:rFonts w:hint="eastAsia" w:ascii="华文仿宋" w:hAnsi="华文仿宋" w:eastAsia="华文仿宋" w:cs="华文仿宋"/>
          <w:color w:val="000000"/>
          <w:sz w:val="32"/>
          <w:szCs w:val="32"/>
          <w:highlight w:val="none"/>
        </w:rPr>
        <w:t>备注：当保留末尾最后一家投标人出现投标报价相同导致保留投标人家数大于Y时，则将被剔除的相同报价的投标人一并保留，进入下一步。若N≥6时出现极端情况导致</w:t>
      </w:r>
      <w:r>
        <w:rPr>
          <w:rFonts w:hint="eastAsia" w:ascii="华文仿宋" w:hAnsi="华文仿宋" w:eastAsia="华文仿宋" w:cs="华文仿宋"/>
          <w:color w:val="000000"/>
          <w:sz w:val="32"/>
          <w:szCs w:val="32"/>
          <w:highlight w:val="none"/>
          <w:lang w:eastAsia="zh-CN"/>
        </w:rPr>
        <w:t>（</w:t>
      </w:r>
      <w:r>
        <w:rPr>
          <w:rFonts w:hint="eastAsia" w:ascii="华文仿宋" w:hAnsi="华文仿宋" w:eastAsia="华文仿宋" w:cs="华文仿宋"/>
          <w:color w:val="000000"/>
          <w:sz w:val="32"/>
          <w:szCs w:val="32"/>
          <w:highlight w:val="none"/>
          <w:lang w:val="en-US" w:eastAsia="zh-CN"/>
        </w:rPr>
        <w:t>4</w:t>
      </w:r>
      <w:r>
        <w:rPr>
          <w:rFonts w:hint="eastAsia" w:ascii="华文仿宋" w:hAnsi="华文仿宋" w:eastAsia="华文仿宋" w:cs="华文仿宋"/>
          <w:color w:val="000000"/>
          <w:sz w:val="32"/>
          <w:szCs w:val="32"/>
          <w:highlight w:val="none"/>
          <w:lang w:eastAsia="zh-CN"/>
        </w:rPr>
        <w:t>）</w:t>
      </w:r>
      <w:r>
        <w:rPr>
          <w:rFonts w:hint="eastAsia" w:ascii="华文仿宋" w:hAnsi="华文仿宋" w:eastAsia="华文仿宋" w:cs="华文仿宋"/>
          <w:color w:val="000000"/>
          <w:sz w:val="32"/>
          <w:szCs w:val="32"/>
          <w:highlight w:val="none"/>
        </w:rPr>
        <w:t>的价格切线竞价方式无法执行时，则将N家投标人投标报价由低到高排序，保留前Y家投标人（Y=N×2/3，若数量不为整数，则向上取整）进入下一步，其余的投标人予以剔除。</w:t>
      </w:r>
    </w:p>
    <w:p w14:paraId="70EE5112">
      <w:pPr>
        <w:pStyle w:val="3"/>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第二步（择优）</w:t>
      </w:r>
    </w:p>
    <w:p w14:paraId="2554B329">
      <w:pPr>
        <w:pStyle w:val="3"/>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sz w:val="32"/>
          <w:szCs w:val="32"/>
          <w:highlight w:val="none"/>
          <w:lang w:eastAsia="zh-CN"/>
        </w:rPr>
        <w:t>（</w:t>
      </w:r>
      <w:r>
        <w:rPr>
          <w:rFonts w:hint="eastAsia" w:ascii="华文仿宋" w:hAnsi="华文仿宋" w:eastAsia="华文仿宋" w:cs="华文仿宋"/>
          <w:color w:val="000000"/>
          <w:sz w:val="32"/>
          <w:szCs w:val="32"/>
          <w:highlight w:val="none"/>
          <w:lang w:val="en-US" w:eastAsia="zh-CN"/>
        </w:rPr>
        <w:t>1</w:t>
      </w:r>
      <w:r>
        <w:rPr>
          <w:rFonts w:hint="eastAsia" w:ascii="华文仿宋" w:hAnsi="华文仿宋" w:eastAsia="华文仿宋" w:cs="华文仿宋"/>
          <w:color w:val="000000"/>
          <w:sz w:val="32"/>
          <w:szCs w:val="32"/>
          <w:highlight w:val="none"/>
          <w:lang w:eastAsia="zh-CN"/>
        </w:rPr>
        <w:t>）</w:t>
      </w:r>
      <w:r>
        <w:rPr>
          <w:rFonts w:hint="eastAsia" w:ascii="华文仿宋" w:hAnsi="华文仿宋" w:eastAsia="华文仿宋" w:cs="华文仿宋"/>
          <w:sz w:val="32"/>
          <w:szCs w:val="32"/>
          <w:lang w:eastAsia="zh-CN"/>
        </w:rPr>
        <w:t>择优</w:t>
      </w:r>
      <w:r>
        <w:rPr>
          <w:rFonts w:hint="eastAsia" w:ascii="华文仿宋" w:hAnsi="华文仿宋" w:eastAsia="华文仿宋" w:cs="华文仿宋"/>
          <w:sz w:val="32"/>
          <w:szCs w:val="32"/>
        </w:rPr>
        <w:t>要素</w:t>
      </w:r>
    </w:p>
    <w:p w14:paraId="59ABF222">
      <w:pPr>
        <w:pStyle w:val="3"/>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华文仿宋" w:hAnsi="华文仿宋" w:eastAsia="华文仿宋" w:cs="华文仿宋"/>
          <w:color w:val="auto"/>
          <w:sz w:val="32"/>
          <w:szCs w:val="32"/>
          <w:lang w:val="en-US" w:eastAsia="zh-CN"/>
        </w:rPr>
      </w:pPr>
      <w:r>
        <w:rPr>
          <w:rFonts w:hint="eastAsia" w:ascii="华文仿宋" w:hAnsi="华文仿宋" w:eastAsia="华文仿宋" w:cs="华文仿宋"/>
          <w:sz w:val="32"/>
          <w:szCs w:val="32"/>
        </w:rPr>
        <w:t>①</w:t>
      </w:r>
      <w:r>
        <w:rPr>
          <w:rFonts w:hint="eastAsia" w:ascii="华文仿宋" w:hAnsi="华文仿宋" w:eastAsia="华文仿宋" w:cs="华文仿宋"/>
          <w:sz w:val="32"/>
          <w:szCs w:val="32"/>
          <w:lang w:eastAsia="zh-CN"/>
        </w:rPr>
        <w:t>资格等级；</w:t>
      </w:r>
      <w:r>
        <w:rPr>
          <w:rFonts w:hint="eastAsia" w:ascii="华文仿宋" w:hAnsi="华文仿宋" w:eastAsia="华文仿宋" w:cs="华文仿宋"/>
          <w:sz w:val="32"/>
          <w:szCs w:val="32"/>
          <w:lang w:val="en-US" w:eastAsia="zh-CN"/>
        </w:rPr>
        <w:t>②</w:t>
      </w:r>
      <w:r>
        <w:rPr>
          <w:rFonts w:hint="eastAsia" w:ascii="华文仿宋" w:hAnsi="华文仿宋" w:eastAsia="华文仿宋" w:cs="华文仿宋"/>
          <w:sz w:val="32"/>
          <w:szCs w:val="32"/>
        </w:rPr>
        <w:t>近</w:t>
      </w:r>
      <w:r>
        <w:rPr>
          <w:rFonts w:hint="eastAsia" w:ascii="华文仿宋" w:hAnsi="华文仿宋" w:eastAsia="华文仿宋" w:cs="华文仿宋"/>
          <w:sz w:val="32"/>
          <w:szCs w:val="32"/>
          <w:lang w:eastAsia="zh-CN"/>
        </w:rPr>
        <w:t>五</w:t>
      </w:r>
      <w:r>
        <w:rPr>
          <w:rFonts w:hint="eastAsia" w:ascii="华文仿宋" w:hAnsi="华文仿宋" w:eastAsia="华文仿宋" w:cs="华文仿宋"/>
          <w:sz w:val="32"/>
          <w:szCs w:val="32"/>
        </w:rPr>
        <w:t>年3项同类工程（服务）相关业绩（同类业绩为</w:t>
      </w:r>
      <w:r>
        <w:rPr>
          <w:rFonts w:hint="eastAsia" w:ascii="华文仿宋" w:hAnsi="华文仿宋" w:eastAsia="华文仿宋" w:cs="华文仿宋"/>
          <w:sz w:val="32"/>
          <w:szCs w:val="32"/>
          <w:lang w:eastAsia="zh-CN"/>
        </w:rPr>
        <w:t>水利工程设计</w:t>
      </w:r>
      <w:r>
        <w:rPr>
          <w:rFonts w:hint="eastAsia" w:ascii="华文仿宋" w:hAnsi="华文仿宋" w:eastAsia="华文仿宋" w:cs="华文仿宋"/>
          <w:sz w:val="32"/>
          <w:szCs w:val="32"/>
        </w:rPr>
        <w:t>业绩）</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③</w:t>
      </w:r>
      <w:r>
        <w:rPr>
          <w:rFonts w:hint="eastAsia" w:ascii="华文仿宋" w:hAnsi="华文仿宋" w:eastAsia="华文仿宋" w:cs="华文仿宋"/>
          <w:color w:val="auto"/>
          <w:sz w:val="32"/>
          <w:szCs w:val="32"/>
          <w:lang w:val="en-US" w:eastAsia="zh-CN"/>
        </w:rPr>
        <w:t>项目负责人近五年1项同类</w:t>
      </w:r>
      <w:r>
        <w:rPr>
          <w:rFonts w:hint="eastAsia" w:ascii="华文仿宋" w:hAnsi="华文仿宋" w:eastAsia="华文仿宋" w:cs="华文仿宋"/>
          <w:sz w:val="32"/>
          <w:szCs w:val="32"/>
        </w:rPr>
        <w:t>工程（服务）</w:t>
      </w:r>
      <w:r>
        <w:rPr>
          <w:rFonts w:hint="eastAsia" w:ascii="华文仿宋" w:hAnsi="华文仿宋" w:eastAsia="华文仿宋" w:cs="华文仿宋"/>
          <w:color w:val="auto"/>
          <w:sz w:val="32"/>
          <w:szCs w:val="32"/>
          <w:lang w:val="en-US" w:eastAsia="zh-CN"/>
        </w:rPr>
        <w:t>相关业绩（同类业绩为</w:t>
      </w:r>
      <w:r>
        <w:rPr>
          <w:rFonts w:hint="eastAsia" w:ascii="华文仿宋" w:hAnsi="华文仿宋" w:eastAsia="华文仿宋" w:cs="华文仿宋"/>
          <w:sz w:val="32"/>
          <w:szCs w:val="32"/>
          <w:lang w:eastAsia="zh-CN"/>
        </w:rPr>
        <w:t>水利工程设计</w:t>
      </w:r>
      <w:r>
        <w:rPr>
          <w:rFonts w:hint="eastAsia" w:ascii="华文仿宋" w:hAnsi="华文仿宋" w:eastAsia="华文仿宋" w:cs="华文仿宋"/>
          <w:color w:val="auto"/>
          <w:sz w:val="32"/>
          <w:szCs w:val="32"/>
          <w:lang w:val="en-US" w:eastAsia="zh-CN"/>
        </w:rPr>
        <w:t>业绩）</w:t>
      </w:r>
    </w:p>
    <w:p w14:paraId="005A5E2A">
      <w:pPr>
        <w:pStyle w:val="3"/>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（2）择优方法</w:t>
      </w:r>
    </w:p>
    <w:p w14:paraId="01D8A35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①招标人在编制定标方案时事先明确综合考量择优法的择优原则，并对该招标项目的择优因素设置比对标准，并将比对标准填入《定标择优因素比对标准表》</w:t>
      </w:r>
      <w:r>
        <w:rPr>
          <w:rFonts w:hint="eastAsia" w:ascii="华文仿宋" w:hAnsi="华文仿宋" w:eastAsia="华文仿宋" w:cs="华文仿宋"/>
          <w:sz w:val="32"/>
          <w:szCs w:val="32"/>
          <w:lang w:eastAsia="zh-CN"/>
        </w:rPr>
        <w:t>（详见附件</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w:t>
      </w:r>
    </w:p>
    <w:p w14:paraId="42B083F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②</w:t>
      </w:r>
      <w:r>
        <w:rPr>
          <w:rFonts w:hint="eastAsia" w:ascii="华文仿宋" w:hAnsi="华文仿宋" w:eastAsia="华文仿宋" w:cs="华文仿宋"/>
          <w:sz w:val="32"/>
          <w:szCs w:val="32"/>
        </w:rPr>
        <w:t>清标小组根据《定标择优因素比对标准表》对投标单位各择优因素进行分类，填写《定标投标人择优评定表》</w:t>
      </w:r>
      <w:r>
        <w:rPr>
          <w:rFonts w:hint="eastAsia" w:ascii="华文仿宋" w:hAnsi="华文仿宋" w:eastAsia="华文仿宋" w:cs="华文仿宋"/>
          <w:sz w:val="32"/>
          <w:szCs w:val="32"/>
          <w:lang w:eastAsia="zh-CN"/>
        </w:rPr>
        <w:t>（详见附件</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，对投标人择优因素类别进行汇总分析，并计算各投标人的评定等次。</w:t>
      </w:r>
    </w:p>
    <w:p w14:paraId="3742E23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③</w:t>
      </w:r>
      <w:r>
        <w:rPr>
          <w:rFonts w:hint="eastAsia" w:ascii="华文仿宋" w:hAnsi="华文仿宋" w:eastAsia="华文仿宋" w:cs="华文仿宋"/>
          <w:sz w:val="32"/>
          <w:szCs w:val="32"/>
        </w:rPr>
        <w:t>清标小组将各投标人的投标基本情况、优先参考的择优因素、评定等次等信息填入清标报告供定标委员会定标参考。各择优参考因素的评定等次仅供定标委员会能较直观地了解该投标人在某一方面的相对情况，最终投标人类别也仅为对各参考因素评定情况的事实汇总，供定标委员会定标时参考。</w:t>
      </w:r>
    </w:p>
    <w:p w14:paraId="307EB7A1">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fldChar w:fldCharType="begin"/>
      </w:r>
      <w:r>
        <w:rPr>
          <w:rFonts w:hint="eastAsia" w:ascii="华文仿宋" w:hAnsi="华文仿宋" w:eastAsia="华文仿宋" w:cs="华文仿宋"/>
          <w:sz w:val="32"/>
          <w:szCs w:val="32"/>
          <w:lang w:val="en-US" w:eastAsia="zh-CN"/>
        </w:rPr>
        <w:instrText xml:space="preserve"> = 4 \* GB3 \* MERGEFORMAT </w:instrText>
      </w:r>
      <w:r>
        <w:rPr>
          <w:rFonts w:hint="eastAsia" w:ascii="华文仿宋" w:hAnsi="华文仿宋" w:eastAsia="华文仿宋" w:cs="华文仿宋"/>
          <w:sz w:val="32"/>
          <w:szCs w:val="32"/>
          <w:lang w:val="en-US" w:eastAsia="zh-CN"/>
        </w:rPr>
        <w:fldChar w:fldCharType="separate"/>
      </w:r>
      <w:r>
        <w:rPr>
          <w:rFonts w:hint="eastAsia" w:ascii="华文仿宋" w:hAnsi="华文仿宋" w:eastAsia="华文仿宋" w:cs="华文仿宋"/>
          <w:sz w:val="32"/>
          <w:szCs w:val="32"/>
          <w:lang w:val="en-US" w:eastAsia="zh-CN"/>
        </w:rPr>
        <w:t>④</w:t>
      </w:r>
      <w:r>
        <w:rPr>
          <w:rFonts w:hint="eastAsia" w:ascii="华文仿宋" w:hAnsi="华文仿宋" w:eastAsia="华文仿宋" w:cs="华文仿宋"/>
          <w:sz w:val="32"/>
          <w:szCs w:val="32"/>
          <w:lang w:val="en-US" w:eastAsia="zh-CN"/>
        </w:rPr>
        <w:fldChar w:fldCharType="end"/>
      </w:r>
      <w:r>
        <w:rPr>
          <w:rFonts w:hint="eastAsia" w:ascii="华文仿宋" w:hAnsi="华文仿宋" w:eastAsia="华文仿宋" w:cs="华文仿宋"/>
          <w:sz w:val="32"/>
          <w:szCs w:val="32"/>
        </w:rPr>
        <w:t>定标委员会按照招标方案的择优因素择优原则进行综合考量择优确定1名中标候选人，</w:t>
      </w:r>
      <w:r>
        <w:rPr>
          <w:rFonts w:hint="eastAsia" w:ascii="华文仿宋" w:hAnsi="华文仿宋" w:eastAsia="华文仿宋" w:cs="华文仿宋"/>
          <w:sz w:val="32"/>
          <w:szCs w:val="32"/>
          <w:lang w:val="en-US" w:eastAsia="zh-CN"/>
        </w:rPr>
        <w:t>同等级条件下优先选择A类择优要素评定项数较多的投标人中标，其次优先选择投标报价较低的投标人中标。</w:t>
      </w:r>
    </w:p>
    <w:p w14:paraId="7624BC0B">
      <w:pPr>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sz w:val="21"/>
          <w:szCs w:val="21"/>
          <w:highlight w:val="none"/>
        </w:rPr>
        <w:t>定标择优因素比对标准表（样表）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1605"/>
        <w:gridCol w:w="1628"/>
        <w:gridCol w:w="1781"/>
        <w:gridCol w:w="1705"/>
      </w:tblGrid>
      <w:tr w14:paraId="0DB1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vMerge w:val="restart"/>
          </w:tcPr>
          <w:p w14:paraId="2715AF80">
            <w:pPr>
              <w:widowControl w:val="0"/>
              <w:ind w:left="0" w:leftChars="0" w:firstLine="0" w:firstLineChars="0"/>
              <w:jc w:val="left"/>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color w:val="auto"/>
                <w:kern w:val="2"/>
                <w:sz w:val="20"/>
                <w:szCs w:val="21"/>
                <w:highlight w:val="none"/>
                <w:lang w:val="en-US" w:eastAsia="zh-CN" w:bidi="ar-SA"/>
              </w:rPr>
              <w:t>择优因素</w:t>
            </w:r>
          </w:p>
          <w:p w14:paraId="72205C47">
            <w:pPr>
              <w:widowControl w:val="0"/>
              <w:ind w:left="0" w:leftChars="0" w:firstLine="0" w:firstLineChars="0"/>
              <w:jc w:val="left"/>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color w:val="auto"/>
                <w:kern w:val="2"/>
                <w:sz w:val="20"/>
                <w:szCs w:val="21"/>
                <w:highlight w:val="none"/>
                <w:lang w:val="en-US" w:eastAsia="zh-CN" w:bidi="ar-SA"/>
              </w:rPr>
              <w:t>名称</w:t>
            </w:r>
          </w:p>
        </w:tc>
        <w:tc>
          <w:tcPr>
            <w:tcW w:w="6719" w:type="dxa"/>
            <w:gridSpan w:val="4"/>
          </w:tcPr>
          <w:p w14:paraId="66E3EDBC">
            <w:pPr>
              <w:widowControl w:val="0"/>
              <w:ind w:left="0" w:leftChars="0" w:firstLine="0" w:firstLineChars="0"/>
              <w:jc w:val="left"/>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color w:val="auto"/>
                <w:kern w:val="2"/>
                <w:sz w:val="20"/>
                <w:szCs w:val="21"/>
                <w:highlight w:val="none"/>
                <w:lang w:val="en-US" w:eastAsia="zh-CN" w:bidi="ar-SA"/>
              </w:rPr>
              <w:t>择优因素分类</w:t>
            </w:r>
          </w:p>
        </w:tc>
      </w:tr>
      <w:tr w14:paraId="06495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vMerge w:val="continue"/>
          </w:tcPr>
          <w:p w14:paraId="0BCE94B2">
            <w:pPr>
              <w:widowControl w:val="0"/>
              <w:ind w:left="0" w:leftChars="0" w:firstLine="0" w:firstLineChars="0"/>
              <w:jc w:val="left"/>
              <w:rPr>
                <w:rFonts w:hint="eastAsia" w:ascii="宋体" w:hAnsi="宋体" w:eastAsia="宋体" w:cs="宋体"/>
                <w:color w:val="auto"/>
                <w:kern w:val="2"/>
                <w:sz w:val="20"/>
                <w:szCs w:val="21"/>
                <w:highlight w:val="none"/>
                <w:lang w:val="en-US" w:eastAsia="zh-CN" w:bidi="ar-SA"/>
              </w:rPr>
            </w:pPr>
          </w:p>
        </w:tc>
        <w:tc>
          <w:tcPr>
            <w:tcW w:w="1605" w:type="dxa"/>
          </w:tcPr>
          <w:p w14:paraId="568F6163">
            <w:pPr>
              <w:widowControl w:val="0"/>
              <w:ind w:left="0" w:leftChars="0" w:firstLine="0" w:firstLineChars="0"/>
              <w:jc w:val="left"/>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color w:val="auto"/>
                <w:kern w:val="2"/>
                <w:sz w:val="20"/>
                <w:szCs w:val="21"/>
                <w:highlight w:val="none"/>
                <w:lang w:val="en-US" w:eastAsia="zh-CN" w:bidi="ar-SA"/>
              </w:rPr>
              <w:t>A</w:t>
            </w:r>
          </w:p>
        </w:tc>
        <w:tc>
          <w:tcPr>
            <w:tcW w:w="1628" w:type="dxa"/>
          </w:tcPr>
          <w:p w14:paraId="4E99487E">
            <w:pPr>
              <w:widowControl w:val="0"/>
              <w:ind w:left="0" w:leftChars="0" w:firstLine="0" w:firstLineChars="0"/>
              <w:jc w:val="left"/>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color w:val="auto"/>
                <w:kern w:val="2"/>
                <w:sz w:val="20"/>
                <w:szCs w:val="21"/>
                <w:highlight w:val="none"/>
                <w:lang w:val="en-US" w:eastAsia="zh-CN" w:bidi="ar-SA"/>
              </w:rPr>
              <w:t>B</w:t>
            </w:r>
          </w:p>
        </w:tc>
        <w:tc>
          <w:tcPr>
            <w:tcW w:w="1781" w:type="dxa"/>
          </w:tcPr>
          <w:p w14:paraId="03F15DD5">
            <w:pPr>
              <w:widowControl w:val="0"/>
              <w:ind w:left="0" w:leftChars="0" w:firstLine="0" w:firstLineChars="0"/>
              <w:jc w:val="left"/>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color w:val="auto"/>
                <w:kern w:val="2"/>
                <w:sz w:val="20"/>
                <w:szCs w:val="21"/>
                <w:highlight w:val="none"/>
                <w:lang w:val="en-US" w:eastAsia="zh-CN" w:bidi="ar-SA"/>
              </w:rPr>
              <w:t>C</w:t>
            </w:r>
          </w:p>
        </w:tc>
        <w:tc>
          <w:tcPr>
            <w:tcW w:w="1705" w:type="dxa"/>
          </w:tcPr>
          <w:p w14:paraId="4C0ADFA1">
            <w:pPr>
              <w:widowControl w:val="0"/>
              <w:ind w:left="0" w:leftChars="0" w:firstLine="0" w:firstLineChars="0"/>
              <w:jc w:val="left"/>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color w:val="auto"/>
                <w:kern w:val="2"/>
                <w:sz w:val="20"/>
                <w:szCs w:val="21"/>
                <w:highlight w:val="none"/>
                <w:lang w:val="en-US" w:eastAsia="zh-CN" w:bidi="ar-SA"/>
              </w:rPr>
              <w:t>D</w:t>
            </w:r>
          </w:p>
        </w:tc>
      </w:tr>
      <w:tr w14:paraId="09BB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803" w:type="dxa"/>
          </w:tcPr>
          <w:p w14:paraId="512E27F6">
            <w:pPr>
              <w:widowControl w:val="0"/>
              <w:ind w:left="0" w:leftChars="0" w:firstLine="0" w:firstLineChars="0"/>
              <w:jc w:val="left"/>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color w:val="auto"/>
                <w:kern w:val="2"/>
                <w:sz w:val="20"/>
                <w:szCs w:val="21"/>
                <w:highlight w:val="none"/>
                <w:lang w:val="en-US" w:eastAsia="zh-CN" w:bidi="ar-SA"/>
              </w:rPr>
              <w:t>1.企业资质</w:t>
            </w:r>
          </w:p>
        </w:tc>
        <w:tc>
          <w:tcPr>
            <w:tcW w:w="1605" w:type="dxa"/>
          </w:tcPr>
          <w:p w14:paraId="0E67ADCA">
            <w:pPr>
              <w:widowControl w:val="0"/>
              <w:ind w:left="0" w:leftChars="0" w:firstLine="0" w:firstLineChars="0"/>
              <w:jc w:val="left"/>
              <w:rPr>
                <w:rFonts w:hint="eastAsia" w:ascii="宋体" w:hAnsi="宋体" w:eastAsia="宋体" w:cs="宋体"/>
                <w:color w:val="auto"/>
                <w:kern w:val="2"/>
                <w:sz w:val="20"/>
                <w:szCs w:val="21"/>
                <w:highlight w:val="none"/>
                <w:lang w:val="en-US" w:eastAsia="zh-CN" w:bidi="ar-SA"/>
              </w:rPr>
            </w:pPr>
          </w:p>
        </w:tc>
        <w:tc>
          <w:tcPr>
            <w:tcW w:w="1628" w:type="dxa"/>
          </w:tcPr>
          <w:p w14:paraId="5E946E03">
            <w:pPr>
              <w:widowControl w:val="0"/>
              <w:ind w:left="0" w:leftChars="0" w:firstLine="0" w:firstLineChars="0"/>
              <w:jc w:val="left"/>
              <w:rPr>
                <w:rFonts w:hint="eastAsia" w:ascii="宋体" w:hAnsi="宋体" w:eastAsia="宋体" w:cs="宋体"/>
                <w:color w:val="auto"/>
                <w:kern w:val="2"/>
                <w:sz w:val="20"/>
                <w:szCs w:val="21"/>
                <w:highlight w:val="none"/>
                <w:lang w:val="en-US" w:eastAsia="zh-CN" w:bidi="ar-SA"/>
              </w:rPr>
            </w:pPr>
          </w:p>
        </w:tc>
        <w:tc>
          <w:tcPr>
            <w:tcW w:w="1781" w:type="dxa"/>
          </w:tcPr>
          <w:p w14:paraId="0B970B90">
            <w:pPr>
              <w:widowControl w:val="0"/>
              <w:ind w:left="0" w:leftChars="0" w:firstLine="0" w:firstLineChars="0"/>
              <w:jc w:val="left"/>
              <w:rPr>
                <w:rFonts w:hint="eastAsia" w:ascii="宋体" w:hAnsi="宋体" w:eastAsia="宋体" w:cs="宋体"/>
                <w:color w:val="auto"/>
                <w:kern w:val="2"/>
                <w:sz w:val="20"/>
                <w:szCs w:val="21"/>
                <w:highlight w:val="none"/>
                <w:lang w:val="en-US" w:eastAsia="zh-CN" w:bidi="ar-SA"/>
              </w:rPr>
            </w:pPr>
          </w:p>
        </w:tc>
        <w:tc>
          <w:tcPr>
            <w:tcW w:w="1705" w:type="dxa"/>
          </w:tcPr>
          <w:p w14:paraId="2986EDBC">
            <w:pPr>
              <w:widowControl w:val="0"/>
              <w:ind w:left="0" w:leftChars="0" w:firstLine="0" w:firstLineChars="0"/>
              <w:jc w:val="left"/>
              <w:rPr>
                <w:rFonts w:hint="eastAsia" w:ascii="宋体" w:hAnsi="宋体" w:eastAsia="宋体" w:cs="宋体"/>
                <w:color w:val="auto"/>
                <w:kern w:val="2"/>
                <w:sz w:val="20"/>
                <w:szCs w:val="21"/>
                <w:highlight w:val="none"/>
                <w:lang w:val="en-US" w:eastAsia="zh-CN" w:bidi="ar-SA"/>
              </w:rPr>
            </w:pPr>
          </w:p>
        </w:tc>
      </w:tr>
      <w:tr w14:paraId="14AD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03" w:type="dxa"/>
          </w:tcPr>
          <w:p w14:paraId="020AC7FB">
            <w:pPr>
              <w:widowControl w:val="0"/>
              <w:ind w:left="0" w:leftChars="0" w:firstLine="0" w:firstLineChars="0"/>
              <w:jc w:val="left"/>
              <w:rPr>
                <w:rFonts w:hint="eastAsia" w:ascii="宋体" w:hAnsi="宋体" w:eastAsia="宋体" w:cs="宋体"/>
                <w:color w:val="auto"/>
                <w:kern w:val="2"/>
                <w:sz w:val="20"/>
                <w:szCs w:val="21"/>
                <w:highlight w:val="none"/>
                <w:lang w:val="en-US" w:eastAsia="zh-CN" w:bidi="ar-SA"/>
              </w:rPr>
            </w:pPr>
          </w:p>
          <w:p w14:paraId="3A1654AF">
            <w:pPr>
              <w:widowControl w:val="0"/>
              <w:ind w:left="0" w:leftChars="0" w:firstLine="0" w:firstLineChars="0"/>
              <w:jc w:val="left"/>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color w:val="auto"/>
                <w:kern w:val="2"/>
                <w:sz w:val="20"/>
                <w:szCs w:val="21"/>
                <w:highlight w:val="none"/>
                <w:lang w:val="en-US" w:eastAsia="zh-CN" w:bidi="ar-SA"/>
              </w:rPr>
              <w:t>2.同类工程业绩</w:t>
            </w:r>
          </w:p>
        </w:tc>
        <w:tc>
          <w:tcPr>
            <w:tcW w:w="1605" w:type="dxa"/>
          </w:tcPr>
          <w:p w14:paraId="068E5501">
            <w:pPr>
              <w:widowControl w:val="0"/>
              <w:ind w:left="0" w:leftChars="0" w:firstLine="0" w:firstLineChars="0"/>
              <w:jc w:val="left"/>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color w:val="auto"/>
                <w:kern w:val="2"/>
                <w:sz w:val="20"/>
                <w:szCs w:val="21"/>
                <w:highlight w:val="none"/>
                <w:lang w:val="en-US" w:eastAsia="zh-CN" w:bidi="ar-SA"/>
              </w:rPr>
              <w:t>有X个以上合同金额超过X万的同类工程业绩</w:t>
            </w:r>
          </w:p>
        </w:tc>
        <w:tc>
          <w:tcPr>
            <w:tcW w:w="1628" w:type="dxa"/>
          </w:tcPr>
          <w:p w14:paraId="1DAE9213">
            <w:pPr>
              <w:widowControl w:val="0"/>
              <w:ind w:left="0" w:leftChars="0" w:firstLine="0" w:firstLineChars="0"/>
              <w:jc w:val="left"/>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color w:val="auto"/>
                <w:kern w:val="2"/>
                <w:sz w:val="20"/>
                <w:szCs w:val="21"/>
                <w:highlight w:val="none"/>
                <w:lang w:val="en-US" w:eastAsia="zh-CN" w:bidi="ar-SA"/>
              </w:rPr>
              <w:t>有X个以上合同金额超过X万的同类工程业绩</w:t>
            </w:r>
          </w:p>
        </w:tc>
        <w:tc>
          <w:tcPr>
            <w:tcW w:w="1781" w:type="dxa"/>
          </w:tcPr>
          <w:p w14:paraId="4D63F3BD">
            <w:pPr>
              <w:widowControl w:val="0"/>
              <w:ind w:left="0" w:leftChars="0" w:firstLine="0" w:firstLineChars="0"/>
              <w:jc w:val="left"/>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color w:val="auto"/>
                <w:kern w:val="2"/>
                <w:sz w:val="20"/>
                <w:szCs w:val="21"/>
                <w:highlight w:val="none"/>
                <w:lang w:val="en-US" w:eastAsia="zh-CN" w:bidi="ar-SA"/>
              </w:rPr>
              <w:t>有X个以上合同金额超过X万的同类工程业绩</w:t>
            </w:r>
          </w:p>
        </w:tc>
        <w:tc>
          <w:tcPr>
            <w:tcW w:w="1705" w:type="dxa"/>
          </w:tcPr>
          <w:p w14:paraId="51F17FEA">
            <w:pPr>
              <w:widowControl w:val="0"/>
              <w:ind w:left="0" w:leftChars="0" w:firstLine="0" w:firstLineChars="0"/>
              <w:jc w:val="left"/>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color w:val="auto"/>
                <w:kern w:val="2"/>
                <w:sz w:val="20"/>
                <w:szCs w:val="21"/>
                <w:highlight w:val="none"/>
                <w:lang w:val="en-US" w:eastAsia="zh-CN" w:bidi="ar-SA"/>
              </w:rPr>
              <w:t>无合同金额超过X万的同类工程业绩</w:t>
            </w:r>
          </w:p>
        </w:tc>
      </w:tr>
      <w:tr w14:paraId="42EB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tcPr>
          <w:p w14:paraId="266A716A">
            <w:pPr>
              <w:widowControl w:val="0"/>
              <w:ind w:left="0" w:leftChars="0" w:firstLine="0" w:firstLineChars="0"/>
              <w:jc w:val="left"/>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color w:val="auto"/>
                <w:kern w:val="2"/>
                <w:sz w:val="20"/>
                <w:szCs w:val="21"/>
                <w:highlight w:val="none"/>
                <w:lang w:val="en-US" w:eastAsia="zh-CN" w:bidi="ar-SA"/>
              </w:rPr>
              <w:t>3.</w:t>
            </w:r>
            <w:r>
              <w:rPr>
                <w:rFonts w:hint="eastAsia" w:ascii="宋体" w:hAnsi="宋体" w:eastAsia="宋体" w:cs="宋体"/>
                <w:color w:val="auto"/>
                <w:kern w:val="0"/>
                <w:sz w:val="21"/>
                <w:szCs w:val="21"/>
                <w:highlight w:val="none"/>
              </w:rPr>
              <w:t>设计负责人</w:t>
            </w:r>
            <w:r>
              <w:rPr>
                <w:rFonts w:hint="eastAsia" w:ascii="宋体" w:hAnsi="宋体" w:eastAsia="宋体" w:cs="宋体"/>
                <w:color w:val="auto"/>
                <w:kern w:val="0"/>
                <w:sz w:val="21"/>
                <w:szCs w:val="21"/>
                <w:highlight w:val="none"/>
                <w:lang w:eastAsia="zh-CN"/>
              </w:rPr>
              <w:t>同类工程</w:t>
            </w:r>
            <w:r>
              <w:rPr>
                <w:rFonts w:hint="eastAsia" w:ascii="宋体" w:hAnsi="宋体" w:eastAsia="宋体" w:cs="宋体"/>
                <w:color w:val="auto"/>
                <w:kern w:val="0"/>
                <w:sz w:val="21"/>
                <w:szCs w:val="21"/>
                <w:highlight w:val="none"/>
              </w:rPr>
              <w:t>业绩</w:t>
            </w:r>
          </w:p>
        </w:tc>
        <w:tc>
          <w:tcPr>
            <w:tcW w:w="1605" w:type="dxa"/>
            <w:vAlign w:val="top"/>
          </w:tcPr>
          <w:p w14:paraId="21222F7C">
            <w:pPr>
              <w:widowControl w:val="0"/>
              <w:ind w:left="0" w:leftChars="0" w:firstLine="0" w:firstLineChars="0"/>
              <w:jc w:val="left"/>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color w:val="auto"/>
                <w:kern w:val="2"/>
                <w:sz w:val="20"/>
                <w:szCs w:val="21"/>
                <w:highlight w:val="none"/>
                <w:lang w:val="en-US" w:eastAsia="zh-CN" w:bidi="ar-SA"/>
              </w:rPr>
              <w:t>有X个以上合同金额超过X万的同类工程业绩</w:t>
            </w:r>
          </w:p>
        </w:tc>
        <w:tc>
          <w:tcPr>
            <w:tcW w:w="1628" w:type="dxa"/>
            <w:vAlign w:val="top"/>
          </w:tcPr>
          <w:p w14:paraId="06DE34AD">
            <w:pPr>
              <w:widowControl w:val="0"/>
              <w:ind w:left="0" w:leftChars="0" w:firstLine="0" w:firstLineChars="0"/>
              <w:jc w:val="left"/>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color w:val="auto"/>
                <w:kern w:val="2"/>
                <w:sz w:val="20"/>
                <w:szCs w:val="21"/>
                <w:highlight w:val="none"/>
                <w:lang w:val="en-US" w:eastAsia="zh-CN" w:bidi="ar-SA"/>
              </w:rPr>
              <w:t>有X个以上合同金额超过X万的同类工程业绩</w:t>
            </w:r>
          </w:p>
        </w:tc>
        <w:tc>
          <w:tcPr>
            <w:tcW w:w="1781" w:type="dxa"/>
            <w:vAlign w:val="top"/>
          </w:tcPr>
          <w:p w14:paraId="11FB2605">
            <w:pPr>
              <w:widowControl w:val="0"/>
              <w:ind w:left="0" w:leftChars="0" w:firstLine="0" w:firstLineChars="0"/>
              <w:jc w:val="left"/>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color w:val="auto"/>
                <w:kern w:val="2"/>
                <w:sz w:val="20"/>
                <w:szCs w:val="21"/>
                <w:highlight w:val="none"/>
                <w:lang w:val="en-US" w:eastAsia="zh-CN" w:bidi="ar-SA"/>
              </w:rPr>
              <w:t>有X个以上合同金额超过X万的同类工程业绩</w:t>
            </w:r>
          </w:p>
        </w:tc>
        <w:tc>
          <w:tcPr>
            <w:tcW w:w="1705" w:type="dxa"/>
            <w:vAlign w:val="top"/>
          </w:tcPr>
          <w:p w14:paraId="748B6E08">
            <w:pPr>
              <w:widowControl w:val="0"/>
              <w:ind w:left="0" w:leftChars="0" w:firstLine="0" w:firstLineChars="0"/>
              <w:jc w:val="left"/>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color w:val="auto"/>
                <w:kern w:val="2"/>
                <w:sz w:val="20"/>
                <w:szCs w:val="21"/>
                <w:highlight w:val="none"/>
                <w:lang w:val="en-US" w:eastAsia="zh-CN" w:bidi="ar-SA"/>
              </w:rPr>
              <w:t>无合同金额超过X万的同类工程业绩</w:t>
            </w:r>
          </w:p>
        </w:tc>
      </w:tr>
      <w:tr w14:paraId="13B4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03" w:type="dxa"/>
          </w:tcPr>
          <w:p w14:paraId="2816B19D">
            <w:pPr>
              <w:widowControl w:val="0"/>
              <w:ind w:left="0" w:leftChars="0" w:firstLine="0" w:firstLineChars="0"/>
              <w:jc w:val="left"/>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color w:val="auto"/>
                <w:kern w:val="2"/>
                <w:sz w:val="20"/>
                <w:szCs w:val="21"/>
                <w:highlight w:val="none"/>
                <w:lang w:val="en-US" w:eastAsia="zh-CN" w:bidi="ar-SA"/>
              </w:rPr>
              <w:t>12.其他</w:t>
            </w:r>
          </w:p>
        </w:tc>
        <w:tc>
          <w:tcPr>
            <w:tcW w:w="1605" w:type="dxa"/>
          </w:tcPr>
          <w:p w14:paraId="42A5BC0C">
            <w:pPr>
              <w:widowControl w:val="0"/>
              <w:ind w:left="0" w:leftChars="0" w:firstLine="0" w:firstLineChars="0"/>
              <w:jc w:val="left"/>
              <w:rPr>
                <w:rFonts w:hint="eastAsia" w:ascii="宋体" w:hAnsi="宋体" w:eastAsia="宋体" w:cs="宋体"/>
                <w:color w:val="auto"/>
                <w:kern w:val="2"/>
                <w:sz w:val="20"/>
                <w:szCs w:val="21"/>
                <w:highlight w:val="none"/>
                <w:lang w:val="en-US" w:eastAsia="zh-CN" w:bidi="ar-SA"/>
              </w:rPr>
            </w:pPr>
          </w:p>
        </w:tc>
        <w:tc>
          <w:tcPr>
            <w:tcW w:w="1628" w:type="dxa"/>
          </w:tcPr>
          <w:p w14:paraId="0D97B2B7">
            <w:pPr>
              <w:widowControl w:val="0"/>
              <w:ind w:left="0" w:leftChars="0" w:firstLine="0" w:firstLineChars="0"/>
              <w:jc w:val="left"/>
              <w:rPr>
                <w:rFonts w:hint="eastAsia" w:ascii="宋体" w:hAnsi="宋体" w:eastAsia="宋体" w:cs="宋体"/>
                <w:color w:val="auto"/>
                <w:kern w:val="2"/>
                <w:sz w:val="20"/>
                <w:szCs w:val="21"/>
                <w:highlight w:val="none"/>
                <w:lang w:val="en-US" w:eastAsia="zh-CN" w:bidi="ar-SA"/>
              </w:rPr>
            </w:pPr>
          </w:p>
        </w:tc>
        <w:tc>
          <w:tcPr>
            <w:tcW w:w="1781" w:type="dxa"/>
          </w:tcPr>
          <w:p w14:paraId="7018E628">
            <w:pPr>
              <w:widowControl w:val="0"/>
              <w:ind w:left="0" w:leftChars="0" w:firstLine="0" w:firstLineChars="0"/>
              <w:jc w:val="left"/>
              <w:rPr>
                <w:rFonts w:hint="eastAsia" w:ascii="宋体" w:hAnsi="宋体" w:eastAsia="宋体" w:cs="宋体"/>
                <w:color w:val="auto"/>
                <w:kern w:val="2"/>
                <w:sz w:val="20"/>
                <w:szCs w:val="21"/>
                <w:highlight w:val="none"/>
                <w:lang w:val="en-US" w:eastAsia="zh-CN" w:bidi="ar-SA"/>
              </w:rPr>
            </w:pPr>
          </w:p>
        </w:tc>
        <w:tc>
          <w:tcPr>
            <w:tcW w:w="1705" w:type="dxa"/>
          </w:tcPr>
          <w:p w14:paraId="5CDD5B5D">
            <w:pPr>
              <w:widowControl w:val="0"/>
              <w:ind w:left="0" w:leftChars="0" w:firstLine="0" w:firstLineChars="0"/>
              <w:jc w:val="left"/>
              <w:rPr>
                <w:rFonts w:hint="eastAsia" w:ascii="宋体" w:hAnsi="宋体" w:eastAsia="宋体" w:cs="宋体"/>
                <w:color w:val="auto"/>
                <w:kern w:val="2"/>
                <w:sz w:val="20"/>
                <w:szCs w:val="21"/>
                <w:highlight w:val="none"/>
                <w:lang w:val="en-US" w:eastAsia="zh-CN" w:bidi="ar-SA"/>
              </w:rPr>
            </w:pPr>
          </w:p>
        </w:tc>
      </w:tr>
    </w:tbl>
    <w:p w14:paraId="156283F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备注：上述择优因素</w:t>
      </w:r>
      <w:r>
        <w:rPr>
          <w:rFonts w:hint="eastAsia" w:ascii="宋体" w:hAnsi="宋体" w:eastAsia="宋体" w:cs="宋体"/>
          <w:b/>
          <w:bCs/>
          <w:color w:val="auto"/>
          <w:sz w:val="21"/>
          <w:szCs w:val="21"/>
          <w:highlight w:val="none"/>
          <w:lang w:eastAsia="zh-CN"/>
        </w:rPr>
        <w:t>由</w:t>
      </w:r>
      <w:r>
        <w:rPr>
          <w:rFonts w:hint="eastAsia" w:ascii="宋体" w:hAnsi="宋体" w:eastAsia="宋体" w:cs="宋体"/>
          <w:b/>
          <w:bCs/>
          <w:color w:val="auto"/>
          <w:sz w:val="21"/>
          <w:szCs w:val="21"/>
          <w:highlight w:val="none"/>
          <w:lang w:val="en-US" w:eastAsia="zh-CN"/>
        </w:rPr>
        <w:t>招标实施部门</w:t>
      </w:r>
      <w:r>
        <w:rPr>
          <w:rFonts w:hint="eastAsia" w:ascii="宋体" w:hAnsi="宋体" w:eastAsia="宋体" w:cs="宋体"/>
          <w:b/>
          <w:bCs/>
          <w:color w:val="auto"/>
          <w:sz w:val="21"/>
          <w:szCs w:val="21"/>
          <w:highlight w:val="none"/>
          <w:lang w:eastAsia="zh-CN"/>
        </w:rPr>
        <w:t>在制定方案时</w:t>
      </w:r>
      <w:r>
        <w:rPr>
          <w:rFonts w:hint="eastAsia" w:ascii="宋体" w:hAnsi="宋体" w:eastAsia="宋体" w:cs="宋体"/>
          <w:b/>
          <w:bCs/>
          <w:color w:val="auto"/>
          <w:sz w:val="21"/>
          <w:szCs w:val="21"/>
          <w:highlight w:val="none"/>
          <w:lang w:val="en-US" w:eastAsia="zh-CN"/>
        </w:rPr>
        <w:t>明确</w:t>
      </w:r>
      <w:r>
        <w:rPr>
          <w:rFonts w:hint="eastAsia" w:ascii="宋体" w:hAnsi="宋体" w:eastAsia="宋体" w:cs="宋体"/>
          <w:b/>
          <w:bCs/>
          <w:color w:val="auto"/>
          <w:sz w:val="21"/>
          <w:szCs w:val="21"/>
          <w:highlight w:val="none"/>
          <w:lang w:eastAsia="zh-CN"/>
        </w:rPr>
        <w:t>，顺序与前文一致。</w:t>
      </w:r>
    </w:p>
    <w:p w14:paraId="735286AD">
      <w:pPr>
        <w:spacing w:line="24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w:t>
      </w:r>
    </w:p>
    <w:p w14:paraId="0C96E3BD">
      <w:pPr>
        <w:spacing w:line="24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1.投标人在择优因素评定获得总择优因素个数三分之二或以上的A，且无择优因素评定为C,列入甲类（若数量不为整数，则向上取整）。</w:t>
      </w:r>
    </w:p>
    <w:p w14:paraId="26427EF4">
      <w:pPr>
        <w:spacing w:line="24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2.投标人在择优因素评定获得总择优因素个数一半或以上的A，且至多一个择优因素评定为C,列入乙类（若数量不为整数，</w:t>
      </w:r>
      <w:bookmarkStart w:id="0" w:name="_GoBack"/>
      <w:bookmarkEnd w:id="0"/>
      <w:r>
        <w:rPr>
          <w:rFonts w:hint="eastAsia" w:ascii="宋体" w:hAnsi="宋体" w:eastAsia="宋体" w:cs="宋体"/>
          <w:b w:val="0"/>
          <w:bCs w:val="0"/>
          <w:color w:val="auto"/>
          <w:sz w:val="21"/>
          <w:szCs w:val="21"/>
          <w:highlight w:val="none"/>
        </w:rPr>
        <w:t>则向上取整）。</w:t>
      </w:r>
    </w:p>
    <w:p w14:paraId="2C1F3D1D">
      <w:pPr>
        <w:spacing w:line="24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3.投标人在择优因素评定获得总择优因素个数三分之一及以下的A，或有两个择优因素及以上被评定为C，列入丙类（若数量不为整数，则向上取整）。</w:t>
      </w:r>
    </w:p>
    <w:p w14:paraId="306DA8FF">
      <w:pPr>
        <w:spacing w:line="240" w:lineRule="auto"/>
        <w:ind w:firstLine="420" w:firstLineChars="200"/>
        <w:rPr>
          <w:rFonts w:hint="eastAsia" w:ascii="仿宋_GB2312" w:hAnsi="仿宋_GB2312" w:eastAsia="仿宋_GB2312" w:cs="仿宋_GB2312"/>
          <w:b w:val="0"/>
          <w:bCs w:val="0"/>
          <w:sz w:val="24"/>
          <w:szCs w:val="24"/>
          <w:lang w:val="en-US" w:eastAsia="zh-CN"/>
        </w:rPr>
      </w:pPr>
      <w:r>
        <w:rPr>
          <w:rFonts w:hint="eastAsia" w:ascii="宋体" w:hAnsi="宋体" w:eastAsia="宋体" w:cs="宋体"/>
          <w:b w:val="0"/>
          <w:bCs w:val="0"/>
          <w:color w:val="auto"/>
          <w:sz w:val="21"/>
          <w:szCs w:val="21"/>
          <w:highlight w:val="none"/>
        </w:rPr>
        <w:t>4.任意择优因素被评定为D，则该投标人列入丁类。</w:t>
      </w:r>
    </w:p>
    <w:p w14:paraId="31121845">
      <w:pPr>
        <w:spacing w:line="24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以上表格中的择优参考因素，可以根据项目情况部分替换(替换不超过三项)。招标人在项目招标前，应根据项目实际情况及招标需求，审慎确定择优参考因素及各因素的评定标准。各择优参考因素可设置具体标准比对，也可在投标人中横向比较，各招标人根据实际情况设置。</w:t>
      </w:r>
    </w:p>
    <w:p w14:paraId="56373D10">
      <w:pPr>
        <w:spacing w:line="24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6.各择优参考因素的评定等次仅供定标委员会能较直观地了解该投标人在某一方面的相对情况，最终投标人类别也仅为对各参考因素评定情况的事实汇总，供定标委员会定标时参考。</w:t>
      </w:r>
    </w:p>
    <w:p w14:paraId="675ACC23">
      <w:pPr>
        <w:spacing w:line="24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7.建设工程服务、货物等定标也可参照上表设置择优参考因素。</w:t>
      </w:r>
    </w:p>
    <w:p w14:paraId="18BD1126">
      <w:pPr>
        <w:spacing w:line="24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8.择优参考因素仅</w:t>
      </w:r>
      <w:r>
        <w:rPr>
          <w:rFonts w:hint="eastAsia" w:ascii="宋体" w:hAnsi="宋体" w:cs="宋体"/>
          <w:b w:val="0"/>
          <w:bCs w:val="0"/>
          <w:color w:val="auto"/>
          <w:sz w:val="21"/>
          <w:szCs w:val="21"/>
          <w:highlight w:val="none"/>
          <w:lang w:val="en-US" w:eastAsia="zh-CN"/>
        </w:rPr>
        <w:t>作为</w:t>
      </w:r>
      <w:r>
        <w:rPr>
          <w:rFonts w:hint="eastAsia" w:ascii="宋体" w:hAnsi="宋体" w:eastAsia="宋体" w:cs="宋体"/>
          <w:b w:val="0"/>
          <w:bCs w:val="0"/>
          <w:color w:val="auto"/>
          <w:sz w:val="21"/>
          <w:szCs w:val="21"/>
          <w:highlight w:val="none"/>
          <w:lang w:val="en-US" w:eastAsia="zh-CN"/>
        </w:rPr>
        <w:t>招标人定标择优参考，不是本次招标的资格条件，不可</w:t>
      </w:r>
      <w:r>
        <w:rPr>
          <w:rFonts w:hint="eastAsia" w:ascii="宋体" w:hAnsi="宋体" w:cs="宋体"/>
          <w:b w:val="0"/>
          <w:bCs w:val="0"/>
          <w:color w:val="auto"/>
          <w:sz w:val="21"/>
          <w:szCs w:val="21"/>
          <w:highlight w:val="none"/>
          <w:lang w:val="en-US" w:eastAsia="zh-CN"/>
        </w:rPr>
        <w:t>作为</w:t>
      </w:r>
      <w:r>
        <w:rPr>
          <w:rFonts w:hint="eastAsia" w:ascii="宋体" w:hAnsi="宋体" w:eastAsia="宋体" w:cs="宋体"/>
          <w:b w:val="0"/>
          <w:bCs w:val="0"/>
          <w:color w:val="auto"/>
          <w:sz w:val="21"/>
          <w:szCs w:val="21"/>
          <w:highlight w:val="none"/>
          <w:lang w:val="en-US" w:eastAsia="zh-CN"/>
        </w:rPr>
        <w:t>招标的限制性条款排斥潜在投标人。</w:t>
      </w:r>
    </w:p>
    <w:p w14:paraId="0D8D07D8"/>
    <w:sectPr>
      <w:footerReference r:id="rId3" w:type="default"/>
      <w:pgSz w:w="11906" w:h="16838"/>
      <w:pgMar w:top="1440" w:right="1486"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C637ECD5-9673-4673-8BD3-D046F72AAFAC}"/>
  </w:font>
  <w:font w:name="仿宋">
    <w:panose1 w:val="02010609060101010101"/>
    <w:charset w:val="86"/>
    <w:family w:val="modern"/>
    <w:pitch w:val="default"/>
    <w:sig w:usb0="800002BF" w:usb1="38CF7CFA" w:usb2="00000016" w:usb3="00000000" w:csb0="00040001" w:csb1="00000000"/>
    <w:embedRegular r:id="rId2" w:fontKey="{211AA4E5-192B-4C8B-82A8-27C531627A85}"/>
  </w:font>
  <w:font w:name="华文仿宋">
    <w:panose1 w:val="02010600040101010101"/>
    <w:charset w:val="86"/>
    <w:family w:val="auto"/>
    <w:pitch w:val="default"/>
    <w:sig w:usb0="00000287" w:usb1="080F0000" w:usb2="00000000" w:usb3="00000000" w:csb0="0004009F" w:csb1="DFD70000"/>
    <w:embedRegular r:id="rId3" w:fontKey="{8973FEB0-209F-4337-BF3D-03BD93BAF7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AAF62">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ABF4AE">
                          <w:pPr>
                            <w:pStyle w:val="10"/>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CABF4AE">
                    <w:pPr>
                      <w:pStyle w:val="10"/>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C8155A"/>
    <w:multiLevelType w:val="singleLevel"/>
    <w:tmpl w:val="2FC8155A"/>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3MWM4MWMwODNmNWI3ZWFkOGEzMjE1Y2M3YzA3YzMifQ=="/>
    <w:docVar w:name="KSO_WPS_MARK_KEY" w:val="faafcf6f-a654-469e-884c-7d249584498a"/>
  </w:docVars>
  <w:rsids>
    <w:rsidRoot w:val="0BB96166"/>
    <w:rsid w:val="000E6BC8"/>
    <w:rsid w:val="0053219D"/>
    <w:rsid w:val="00621348"/>
    <w:rsid w:val="007E452A"/>
    <w:rsid w:val="008E6B74"/>
    <w:rsid w:val="00B31811"/>
    <w:rsid w:val="00C26734"/>
    <w:rsid w:val="00EE3E18"/>
    <w:rsid w:val="00F67196"/>
    <w:rsid w:val="00F949F7"/>
    <w:rsid w:val="014545C7"/>
    <w:rsid w:val="01BF37C7"/>
    <w:rsid w:val="01C76ADD"/>
    <w:rsid w:val="0217259F"/>
    <w:rsid w:val="02F569C3"/>
    <w:rsid w:val="03103FE2"/>
    <w:rsid w:val="034036E2"/>
    <w:rsid w:val="03791A4A"/>
    <w:rsid w:val="03E50FF2"/>
    <w:rsid w:val="05203050"/>
    <w:rsid w:val="052107B5"/>
    <w:rsid w:val="072D4D2F"/>
    <w:rsid w:val="07477839"/>
    <w:rsid w:val="08AD01D5"/>
    <w:rsid w:val="09450E28"/>
    <w:rsid w:val="097D1AB0"/>
    <w:rsid w:val="09C1235D"/>
    <w:rsid w:val="09D709F0"/>
    <w:rsid w:val="0A13403D"/>
    <w:rsid w:val="0BB96166"/>
    <w:rsid w:val="0BFBA3B6"/>
    <w:rsid w:val="0BFC428E"/>
    <w:rsid w:val="0CA02447"/>
    <w:rsid w:val="0DBA0D9D"/>
    <w:rsid w:val="0E5A2923"/>
    <w:rsid w:val="0ED168E7"/>
    <w:rsid w:val="0F581039"/>
    <w:rsid w:val="0F661726"/>
    <w:rsid w:val="0F9A6977"/>
    <w:rsid w:val="125C0BBE"/>
    <w:rsid w:val="1324792E"/>
    <w:rsid w:val="139C1402"/>
    <w:rsid w:val="166041CE"/>
    <w:rsid w:val="16920A0F"/>
    <w:rsid w:val="194B7296"/>
    <w:rsid w:val="19FE4072"/>
    <w:rsid w:val="1C710690"/>
    <w:rsid w:val="1CFA7DE6"/>
    <w:rsid w:val="1E51532B"/>
    <w:rsid w:val="1E6F3D8A"/>
    <w:rsid w:val="1EA0009D"/>
    <w:rsid w:val="1F2B0574"/>
    <w:rsid w:val="1F6F1DD1"/>
    <w:rsid w:val="1FD81ACE"/>
    <w:rsid w:val="20485C9B"/>
    <w:rsid w:val="224810DF"/>
    <w:rsid w:val="23497478"/>
    <w:rsid w:val="23FF4F24"/>
    <w:rsid w:val="257B4C0D"/>
    <w:rsid w:val="25D24051"/>
    <w:rsid w:val="26000675"/>
    <w:rsid w:val="277047AD"/>
    <w:rsid w:val="27A50598"/>
    <w:rsid w:val="27B617FB"/>
    <w:rsid w:val="27D15457"/>
    <w:rsid w:val="28057907"/>
    <w:rsid w:val="29626ABF"/>
    <w:rsid w:val="2AC602C5"/>
    <w:rsid w:val="2B340871"/>
    <w:rsid w:val="2B7A7EFF"/>
    <w:rsid w:val="2BD12AB5"/>
    <w:rsid w:val="2F3070C9"/>
    <w:rsid w:val="2F555BC5"/>
    <w:rsid w:val="2F6F19CE"/>
    <w:rsid w:val="2FE25E9E"/>
    <w:rsid w:val="30275F10"/>
    <w:rsid w:val="30EE63CD"/>
    <w:rsid w:val="313905F0"/>
    <w:rsid w:val="31B81BE5"/>
    <w:rsid w:val="32125E45"/>
    <w:rsid w:val="32D87995"/>
    <w:rsid w:val="32F25465"/>
    <w:rsid w:val="33386686"/>
    <w:rsid w:val="337FFB76"/>
    <w:rsid w:val="345A56D7"/>
    <w:rsid w:val="35051814"/>
    <w:rsid w:val="35293C8C"/>
    <w:rsid w:val="3575771D"/>
    <w:rsid w:val="35FD96C5"/>
    <w:rsid w:val="37283D74"/>
    <w:rsid w:val="3760354A"/>
    <w:rsid w:val="38207E14"/>
    <w:rsid w:val="387833DF"/>
    <w:rsid w:val="38F21F59"/>
    <w:rsid w:val="39AE2435"/>
    <w:rsid w:val="39B73AB0"/>
    <w:rsid w:val="3A560A90"/>
    <w:rsid w:val="3BDF091A"/>
    <w:rsid w:val="3C131002"/>
    <w:rsid w:val="3CCC2BD2"/>
    <w:rsid w:val="3D361E88"/>
    <w:rsid w:val="3DBF6697"/>
    <w:rsid w:val="3EEF0CE9"/>
    <w:rsid w:val="3EFC7411"/>
    <w:rsid w:val="3FCF2446"/>
    <w:rsid w:val="409F5F96"/>
    <w:rsid w:val="411617A1"/>
    <w:rsid w:val="411918A4"/>
    <w:rsid w:val="420C31E6"/>
    <w:rsid w:val="439A62FF"/>
    <w:rsid w:val="44F50E58"/>
    <w:rsid w:val="450A631F"/>
    <w:rsid w:val="47892549"/>
    <w:rsid w:val="4ACD555E"/>
    <w:rsid w:val="4AE31900"/>
    <w:rsid w:val="4B4C4280"/>
    <w:rsid w:val="4C4B3EEC"/>
    <w:rsid w:val="4DA05D99"/>
    <w:rsid w:val="4E8E097E"/>
    <w:rsid w:val="50E750E8"/>
    <w:rsid w:val="51E21083"/>
    <w:rsid w:val="523E1FA6"/>
    <w:rsid w:val="533763FE"/>
    <w:rsid w:val="545E4B59"/>
    <w:rsid w:val="547A0454"/>
    <w:rsid w:val="56045215"/>
    <w:rsid w:val="5692549D"/>
    <w:rsid w:val="56953AC3"/>
    <w:rsid w:val="57DB1E97"/>
    <w:rsid w:val="58693C3A"/>
    <w:rsid w:val="58B73A25"/>
    <w:rsid w:val="59110A39"/>
    <w:rsid w:val="59142C25"/>
    <w:rsid w:val="5A9215F2"/>
    <w:rsid w:val="5BEA4F2D"/>
    <w:rsid w:val="5D3962DA"/>
    <w:rsid w:val="5DB4DBE3"/>
    <w:rsid w:val="5DC008A8"/>
    <w:rsid w:val="5DC0337C"/>
    <w:rsid w:val="5DD833B1"/>
    <w:rsid w:val="5E0A6ACC"/>
    <w:rsid w:val="5E48400F"/>
    <w:rsid w:val="5F995D5E"/>
    <w:rsid w:val="60310561"/>
    <w:rsid w:val="607A0C2A"/>
    <w:rsid w:val="60BE0144"/>
    <w:rsid w:val="61407448"/>
    <w:rsid w:val="636649C5"/>
    <w:rsid w:val="639C60C9"/>
    <w:rsid w:val="65C92FEA"/>
    <w:rsid w:val="65DE77CB"/>
    <w:rsid w:val="664A663F"/>
    <w:rsid w:val="667D2BFF"/>
    <w:rsid w:val="66880CB0"/>
    <w:rsid w:val="669E4476"/>
    <w:rsid w:val="66F0DABB"/>
    <w:rsid w:val="677FCA9E"/>
    <w:rsid w:val="678628B1"/>
    <w:rsid w:val="67A949B8"/>
    <w:rsid w:val="67FBF99E"/>
    <w:rsid w:val="68BF1F88"/>
    <w:rsid w:val="68FC32AA"/>
    <w:rsid w:val="697F8E8A"/>
    <w:rsid w:val="69D10E5A"/>
    <w:rsid w:val="6A84029F"/>
    <w:rsid w:val="6AA47B81"/>
    <w:rsid w:val="6B3B6738"/>
    <w:rsid w:val="6B680BAF"/>
    <w:rsid w:val="6C5E0930"/>
    <w:rsid w:val="6CDF64BD"/>
    <w:rsid w:val="6CFD43DC"/>
    <w:rsid w:val="6D140B91"/>
    <w:rsid w:val="6D2C4F0C"/>
    <w:rsid w:val="6DAB34F7"/>
    <w:rsid w:val="6E1E7D37"/>
    <w:rsid w:val="6E3C4012"/>
    <w:rsid w:val="6EEFF001"/>
    <w:rsid w:val="6FD93C2C"/>
    <w:rsid w:val="6FDBD0FE"/>
    <w:rsid w:val="6FEAFFBE"/>
    <w:rsid w:val="6FFFF27B"/>
    <w:rsid w:val="70A6184B"/>
    <w:rsid w:val="71131DEF"/>
    <w:rsid w:val="712F7E09"/>
    <w:rsid w:val="71597204"/>
    <w:rsid w:val="72121E09"/>
    <w:rsid w:val="72A816C9"/>
    <w:rsid w:val="73003BCB"/>
    <w:rsid w:val="73AF381F"/>
    <w:rsid w:val="73F73418"/>
    <w:rsid w:val="73FEAAA8"/>
    <w:rsid w:val="748675E2"/>
    <w:rsid w:val="74F74B21"/>
    <w:rsid w:val="75237D06"/>
    <w:rsid w:val="77D7494A"/>
    <w:rsid w:val="77FF5C6A"/>
    <w:rsid w:val="793BCD52"/>
    <w:rsid w:val="7979678C"/>
    <w:rsid w:val="7BEAD871"/>
    <w:rsid w:val="7BFD70A3"/>
    <w:rsid w:val="7BFF3852"/>
    <w:rsid w:val="7BFF9C3E"/>
    <w:rsid w:val="7C7441CC"/>
    <w:rsid w:val="7D6FD5A3"/>
    <w:rsid w:val="7DCE57C2"/>
    <w:rsid w:val="7EFF44F5"/>
    <w:rsid w:val="7F3F4508"/>
    <w:rsid w:val="7F4F2AE3"/>
    <w:rsid w:val="7F63D4ED"/>
    <w:rsid w:val="7F7EEAF4"/>
    <w:rsid w:val="7F9BA48F"/>
    <w:rsid w:val="7FB97083"/>
    <w:rsid w:val="7FBA6876"/>
    <w:rsid w:val="7FCCC4CB"/>
    <w:rsid w:val="7FD7F607"/>
    <w:rsid w:val="7FEE7241"/>
    <w:rsid w:val="7FF3C90F"/>
    <w:rsid w:val="7FF79191"/>
    <w:rsid w:val="7FFB5D70"/>
    <w:rsid w:val="7FFF8D81"/>
    <w:rsid w:val="975A63D8"/>
    <w:rsid w:val="9EBF33EF"/>
    <w:rsid w:val="9FD35E67"/>
    <w:rsid w:val="9FEEEC97"/>
    <w:rsid w:val="AD4605BA"/>
    <w:rsid w:val="BB9EFD00"/>
    <w:rsid w:val="BC2D1580"/>
    <w:rsid w:val="BD9AB2B8"/>
    <w:rsid w:val="BF27C10E"/>
    <w:rsid w:val="BFBE571F"/>
    <w:rsid w:val="BFFF42B1"/>
    <w:rsid w:val="C5BF05B9"/>
    <w:rsid w:val="C7FE5378"/>
    <w:rsid w:val="CBCF28DB"/>
    <w:rsid w:val="CCAF954A"/>
    <w:rsid w:val="D0EF708C"/>
    <w:rsid w:val="DE7B78BA"/>
    <w:rsid w:val="DEF96C0A"/>
    <w:rsid w:val="E377A186"/>
    <w:rsid w:val="E7D19DD6"/>
    <w:rsid w:val="E9BFD369"/>
    <w:rsid w:val="EB3AEAF5"/>
    <w:rsid w:val="EB7E5BF9"/>
    <w:rsid w:val="EBDD8C91"/>
    <w:rsid w:val="EF529F08"/>
    <w:rsid w:val="EFF7C160"/>
    <w:rsid w:val="F62AB4BF"/>
    <w:rsid w:val="F7FB418A"/>
    <w:rsid w:val="F7FD2AAA"/>
    <w:rsid w:val="F9BC83D9"/>
    <w:rsid w:val="F9DEE467"/>
    <w:rsid w:val="FA83AC2A"/>
    <w:rsid w:val="FAEBA053"/>
    <w:rsid w:val="FB7DC274"/>
    <w:rsid w:val="FBFF08D1"/>
    <w:rsid w:val="FC5C594B"/>
    <w:rsid w:val="FDFD167D"/>
    <w:rsid w:val="FE7DBBB6"/>
    <w:rsid w:val="FE7FC541"/>
    <w:rsid w:val="FEE66B7B"/>
    <w:rsid w:val="FFDEAFB8"/>
    <w:rsid w:val="FFED9FE2"/>
    <w:rsid w:val="FFFB2C12"/>
    <w:rsid w:val="FFFDDAA6"/>
    <w:rsid w:val="FFFF31DD"/>
    <w:rsid w:val="FFFF6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cs="Times New Roman"/>
      <w:b/>
      <w:bCs/>
      <w:kern w:val="0"/>
      <w:sz w:val="36"/>
      <w:szCs w:val="36"/>
    </w:rPr>
  </w:style>
  <w:style w:type="paragraph" w:styleId="5">
    <w:name w:val="heading 3"/>
    <w:basedOn w:val="1"/>
    <w:next w:val="1"/>
    <w:unhideWhenUsed/>
    <w:qFormat/>
    <w:uiPriority w:val="9"/>
    <w:pPr>
      <w:keepNext/>
      <w:keepLines/>
      <w:spacing w:line="360" w:lineRule="auto"/>
      <w:jc w:val="left"/>
      <w:outlineLvl w:val="2"/>
    </w:pPr>
    <w:rPr>
      <w:rFonts w:ascii="宋体" w:hAnsi="宋体" w:cs="Times New Roman"/>
      <w:b/>
      <w:color w:val="000000"/>
      <w:kern w:val="20"/>
      <w:sz w:val="28"/>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cs="Times New Roman"/>
      <w:szCs w:val="20"/>
    </w:rPr>
  </w:style>
  <w:style w:type="paragraph" w:styleId="3">
    <w:name w:val="index 8"/>
    <w:basedOn w:val="1"/>
    <w:next w:val="1"/>
    <w:qFormat/>
    <w:uiPriority w:val="0"/>
    <w:pPr>
      <w:ind w:left="1400" w:leftChars="1400"/>
    </w:pPr>
    <w:rPr>
      <w:szCs w:val="24"/>
    </w:rPr>
  </w:style>
  <w:style w:type="paragraph" w:styleId="6">
    <w:name w:val="annotation text"/>
    <w:basedOn w:val="1"/>
    <w:qFormat/>
    <w:uiPriority w:val="0"/>
    <w:pPr>
      <w:jc w:val="left"/>
    </w:pPr>
  </w:style>
  <w:style w:type="paragraph" w:styleId="7">
    <w:name w:val="Body Text"/>
    <w:basedOn w:val="1"/>
    <w:semiHidden/>
    <w:unhideWhenUsed/>
    <w:qFormat/>
    <w:uiPriority w:val="99"/>
    <w:pPr>
      <w:spacing w:after="120"/>
    </w:pPr>
  </w:style>
  <w:style w:type="paragraph" w:styleId="8">
    <w:name w:val="Body Text Indent"/>
    <w:basedOn w:val="1"/>
    <w:qFormat/>
    <w:uiPriority w:val="0"/>
    <w:pPr>
      <w:ind w:firstLine="480"/>
    </w:pPr>
    <w:rPr>
      <w:kern w:val="24"/>
    </w:rPr>
  </w:style>
  <w:style w:type="paragraph" w:styleId="9">
    <w:name w:val="Balloon Text"/>
    <w:basedOn w:val="1"/>
    <w:link w:val="25"/>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pPr>
      <w:jc w:val="center"/>
    </w:pPr>
    <w:rPr>
      <w:rFonts w:ascii="宋体" w:hAnsi="宋体" w:cs="Times New Roman"/>
      <w:color w:val="3366FF"/>
      <w:sz w:val="24"/>
      <w:szCs w:val="22"/>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7"/>
    <w:unhideWhenUsed/>
    <w:qFormat/>
    <w:uiPriority w:val="99"/>
    <w:pPr>
      <w:ind w:firstLine="420" w:firstLineChars="100"/>
    </w:pPr>
    <w:rPr>
      <w:rFonts w:cs="宋体"/>
    </w:rPr>
  </w:style>
  <w:style w:type="paragraph" w:styleId="15">
    <w:name w:val="Body Text First Indent 2"/>
    <w:basedOn w:val="8"/>
    <w:qFormat/>
    <w:uiPriority w:val="0"/>
    <w:pPr>
      <w:ind w:firstLine="420" w:firstLineChars="200"/>
    </w:p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026E5" w:themeColor="hyperlink"/>
      <w:u w:val="single"/>
      <w14:textFill>
        <w14:solidFill>
          <w14:schemeClr w14:val="hlink"/>
        </w14:solidFill>
      </w14:textFill>
    </w:rPr>
  </w:style>
  <w:style w:type="character" w:styleId="20">
    <w:name w:val="annotation reference"/>
    <w:basedOn w:val="18"/>
    <w:qFormat/>
    <w:uiPriority w:val="0"/>
    <w:rPr>
      <w:sz w:val="21"/>
      <w:szCs w:val="21"/>
    </w:rPr>
  </w:style>
  <w:style w:type="character" w:customStyle="1" w:styleId="21">
    <w:name w:val="fontstyle01"/>
    <w:basedOn w:val="18"/>
    <w:qFormat/>
    <w:uiPriority w:val="0"/>
    <w:rPr>
      <w:rFonts w:ascii="仿宋_GB2312" w:hAnsi="仿宋_GB2312" w:eastAsia="仿宋_GB2312" w:cs="仿宋_GB2312"/>
      <w:color w:val="000000"/>
      <w:sz w:val="32"/>
      <w:szCs w:val="32"/>
    </w:rPr>
  </w:style>
  <w:style w:type="character" w:customStyle="1" w:styleId="22">
    <w:name w:val="font31"/>
    <w:basedOn w:val="18"/>
    <w:qFormat/>
    <w:uiPriority w:val="0"/>
    <w:rPr>
      <w:rFonts w:hint="eastAsia" w:ascii="宋体" w:hAnsi="宋体" w:eastAsia="宋体" w:cs="宋体"/>
      <w:b/>
      <w:bCs/>
      <w:color w:val="000000"/>
      <w:sz w:val="20"/>
      <w:szCs w:val="20"/>
      <w:u w:val="none"/>
    </w:rPr>
  </w:style>
  <w:style w:type="character" w:customStyle="1" w:styleId="23">
    <w:name w:val="font51"/>
    <w:basedOn w:val="18"/>
    <w:qFormat/>
    <w:uiPriority w:val="0"/>
    <w:rPr>
      <w:rFonts w:hint="eastAsia" w:ascii="宋体" w:hAnsi="宋体" w:eastAsia="宋体" w:cs="宋体"/>
      <w:b/>
      <w:bCs/>
      <w:color w:val="000000"/>
      <w:sz w:val="20"/>
      <w:szCs w:val="20"/>
      <w:u w:val="none"/>
    </w:rPr>
  </w:style>
  <w:style w:type="character" w:customStyle="1" w:styleId="24">
    <w:name w:val="font41"/>
    <w:basedOn w:val="18"/>
    <w:qFormat/>
    <w:uiPriority w:val="0"/>
    <w:rPr>
      <w:rFonts w:hint="eastAsia" w:ascii="宋体" w:hAnsi="宋体" w:eastAsia="宋体" w:cs="宋体"/>
      <w:color w:val="000000"/>
      <w:sz w:val="20"/>
      <w:szCs w:val="20"/>
      <w:u w:val="none"/>
    </w:rPr>
  </w:style>
  <w:style w:type="character" w:customStyle="1" w:styleId="25">
    <w:name w:val="批注框文本 字符"/>
    <w:basedOn w:val="18"/>
    <w:link w:val="9"/>
    <w:qFormat/>
    <w:uiPriority w:val="0"/>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1846</Words>
  <Characters>1887</Characters>
  <Lines>95</Lines>
  <Paragraphs>26</Paragraphs>
  <TotalTime>5</TotalTime>
  <ScaleCrop>false</ScaleCrop>
  <LinksUpToDate>false</LinksUpToDate>
  <CharactersWithSpaces>1887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2024-04-16T02:08:00Z</dcterms:created>
  <dc:creator>醉·九歌</dc:creator>
  <cp:lastModifiedBy>泥猫</cp:lastModifiedBy>
  <cp:lastPrinted>2026-06-11T03:07:00Z</cp:lastPrinted>
  <dcterms:modified xsi:type="dcterms:W3CDTF">2026-06-12T09:35:12Z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1A125F7628DE48CFAEC734BD5D4288F5_13</vt:lpwstr>
  </property>
  <property fmtid="{D5CDD505-2E9C-101B-9397-08002B2CF9AE}" pid="4" name="KSOTemplateDocerSaveRecord">
    <vt:lpwstr>eyJoZGlkIjoiYzNmOGM3MmQ3YTA4NTA3M2FmMTVkYWVjZGNjNGJjNWMiLCJ1c2VySWQiOiIyOTgxMjg5NjkifQ==</vt:lpwstr>
  </property>
</Properties>
</file>