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cs="仿宋"/>
          <w:sz w:val="28"/>
          <w:szCs w:val="28"/>
        </w:rPr>
      </w:pPr>
      <w:r>
        <w:rPr>
          <w:rFonts w:hint="eastAsia" w:ascii="仿宋" w:hAnsi="仿宋" w:eastAsia="仿宋" w:cs="仿宋"/>
          <w:sz w:val="32"/>
          <w:szCs w:val="32"/>
        </w:rPr>
        <w:t>附件：</w:t>
      </w:r>
      <w:r>
        <w:rPr>
          <w:rFonts w:hint="default" w:ascii="仿宋" w:hAnsi="仿宋" w:eastAsia="仿宋" w:cs="仿宋"/>
          <w:sz w:val="32"/>
          <w:szCs w:val="32"/>
          <w:lang w:val="en-US"/>
        </w:rPr>
        <w:t>1.</w:t>
      </w:r>
      <w:r>
        <w:rPr>
          <w:rFonts w:hint="eastAsia" w:ascii="仿宋" w:hAnsi="仿宋" w:eastAsia="仿宋" w:cs="仿宋"/>
          <w:sz w:val="32"/>
          <w:szCs w:val="32"/>
        </w:rPr>
        <w:t>报名资料格式</w:t>
      </w:r>
    </w:p>
    <w:p>
      <w:pPr>
        <w:jc w:val="center"/>
        <w:rPr>
          <w:rFonts w:ascii="仿宋" w:hAnsi="仿宋" w:eastAsia="仿宋" w:cs="仿宋"/>
          <w:sz w:val="28"/>
          <w:szCs w:val="28"/>
        </w:rPr>
      </w:pPr>
    </w:p>
    <w:p>
      <w:pPr>
        <w:spacing w:line="560" w:lineRule="exact"/>
        <w:jc w:val="center"/>
        <w:rPr>
          <w:rFonts w:ascii="仿宋" w:hAnsi="仿宋" w:eastAsia="仿宋" w:cs="仿宋"/>
          <w:sz w:val="44"/>
          <w:szCs w:val="44"/>
        </w:rPr>
      </w:pPr>
      <w:r>
        <w:rPr>
          <w:rFonts w:hint="eastAsia" w:ascii="仿宋" w:hAnsi="仿宋" w:eastAsia="仿宋" w:cs="仿宋"/>
          <w:sz w:val="44"/>
          <w:szCs w:val="44"/>
        </w:rPr>
        <w:t>深圳市龙岗区水务局关于龙岗区</w:t>
      </w:r>
      <w:r>
        <w:rPr>
          <w:rFonts w:hint="eastAsia" w:ascii="仿宋" w:hAnsi="仿宋" w:eastAsia="仿宋" w:cs="仿宋"/>
          <w:sz w:val="44"/>
          <w:szCs w:val="44"/>
          <w:lang w:eastAsia="zh-CN"/>
        </w:rPr>
        <w:t>观澜河</w:t>
      </w:r>
      <w:r>
        <w:rPr>
          <w:rFonts w:hint="eastAsia" w:ascii="仿宋" w:hAnsi="仿宋" w:eastAsia="仿宋" w:cs="仿宋"/>
          <w:sz w:val="44"/>
          <w:szCs w:val="44"/>
        </w:rPr>
        <w:t>流域排水管网系统完善工程涉原水管安全评估服务单位</w:t>
      </w:r>
    </w:p>
    <w:p>
      <w:pPr>
        <w:pStyle w:val="8"/>
        <w:rPr>
          <w:rFonts w:ascii="仿宋" w:hAnsi="仿宋" w:eastAsia="仿宋" w:cs="仿宋"/>
        </w:rPr>
      </w:pPr>
    </w:p>
    <w:p>
      <w:pPr>
        <w:ind w:firstLine="1760" w:firstLineChars="400"/>
        <w:jc w:val="center"/>
        <w:rPr>
          <w:rFonts w:ascii="仿宋" w:hAnsi="仿宋" w:eastAsia="仿宋" w:cs="仿宋"/>
          <w:sz w:val="44"/>
          <w:szCs w:val="44"/>
        </w:rPr>
      </w:pPr>
    </w:p>
    <w:p>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r>
        <w:rPr>
          <w:rFonts w:hint="eastAsia" w:ascii="仿宋" w:hAnsi="仿宋" w:eastAsia="仿宋" w:cs="仿宋"/>
          <w:sz w:val="32"/>
          <w:szCs w:val="32"/>
        </w:rPr>
        <w:t>报名单位（公章）：</w:t>
      </w:r>
    </w:p>
    <w:p>
      <w:pPr>
        <w:ind w:firstLine="645"/>
        <w:rPr>
          <w:rFonts w:ascii="仿宋" w:hAnsi="仿宋" w:eastAsia="仿宋" w:cs="仿宋"/>
          <w:sz w:val="32"/>
          <w:szCs w:val="32"/>
        </w:rPr>
      </w:pPr>
    </w:p>
    <w:p>
      <w:pPr>
        <w:ind w:firstLine="645"/>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三、承诺书</w:t>
      </w:r>
    </w:p>
    <w:p>
      <w:pPr>
        <w:jc w:val="center"/>
        <w:rPr>
          <w:rFonts w:ascii="仿宋" w:hAnsi="仿宋" w:eastAsia="仿宋" w:cs="仿宋"/>
          <w:sz w:val="44"/>
          <w:szCs w:val="44"/>
        </w:rPr>
      </w:pPr>
      <w:r>
        <w:rPr>
          <w:rFonts w:hint="eastAsia" w:ascii="仿宋" w:hAnsi="仿宋" w:eastAsia="仿宋" w:cs="仿宋"/>
          <w:sz w:val="44"/>
          <w:szCs w:val="44"/>
        </w:rPr>
        <w:t>承 诺 书</w:t>
      </w:r>
    </w:p>
    <w:p>
      <w:pPr>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21"/>
          <w:rFonts w:hint="eastAsia" w:ascii="仿宋" w:hAnsi="仿宋" w:eastAsia="仿宋" w:cs="仿宋"/>
          <w:color w:val="auto"/>
        </w:rPr>
        <w:t>龙岗区水务局关于</w:t>
      </w:r>
      <w:r>
        <w:rPr>
          <w:rFonts w:hint="eastAsia" w:ascii="仿宋" w:hAnsi="仿宋" w:eastAsia="仿宋" w:cs="仿宋"/>
          <w:sz w:val="32"/>
          <w:szCs w:val="32"/>
        </w:rPr>
        <w:t>龙岗区</w:t>
      </w:r>
      <w:r>
        <w:rPr>
          <w:rFonts w:hint="eastAsia" w:ascii="仿宋" w:hAnsi="仿宋" w:eastAsia="仿宋" w:cs="仿宋"/>
          <w:sz w:val="32"/>
          <w:szCs w:val="32"/>
          <w:lang w:eastAsia="zh-CN"/>
        </w:rPr>
        <w:t>观澜河</w:t>
      </w:r>
      <w:r>
        <w:rPr>
          <w:rFonts w:hint="eastAsia" w:ascii="仿宋" w:hAnsi="仿宋" w:eastAsia="仿宋" w:cs="仿宋"/>
          <w:sz w:val="32"/>
          <w:szCs w:val="32"/>
        </w:rPr>
        <w:t>流域排水管网系统完善工程涉原水管安全评估服务单位的报名，并承诺如下：</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二、我司认真阅读了关于龙岗区龙岗河流域排水管网系统完善工程涉原水管安全评估委托服务单位的方案内容，对此无任何异议。</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四、廉政承诺书</w:t>
      </w: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廉政责任承诺书</w:t>
      </w:r>
    </w:p>
    <w:p>
      <w:pPr>
        <w:pStyle w:val="8"/>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w:t>
      </w:r>
      <w:r>
        <w:rPr>
          <w:rStyle w:val="21"/>
          <w:rFonts w:hint="eastAsia" w:ascii="仿宋" w:hAnsi="仿宋" w:eastAsia="仿宋" w:cs="仿宋"/>
          <w:color w:val="auto"/>
        </w:rPr>
        <w:t>龙岗区</w:t>
      </w:r>
      <w:r>
        <w:rPr>
          <w:rStyle w:val="21"/>
          <w:rFonts w:hint="eastAsia" w:ascii="仿宋" w:hAnsi="仿宋" w:eastAsia="仿宋" w:cs="仿宋"/>
          <w:color w:val="auto"/>
          <w:lang w:eastAsia="zh-CN"/>
        </w:rPr>
        <w:t>观澜河</w:t>
      </w:r>
      <w:r>
        <w:rPr>
          <w:rStyle w:val="21"/>
          <w:rFonts w:hint="eastAsia" w:ascii="仿宋" w:hAnsi="仿宋" w:eastAsia="仿宋" w:cs="仿宋"/>
          <w:color w:val="auto"/>
        </w:rPr>
        <w:t>流域排水管网系统完善工程涉原水管安全评估</w:t>
      </w:r>
      <w:r>
        <w:rPr>
          <w:rFonts w:hint="eastAsia" w:ascii="仿宋" w:hAnsi="仿宋" w:eastAsia="仿宋" w:cs="仿宋"/>
          <w:sz w:val="32"/>
          <w:szCs w:val="32"/>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ascii="仿宋" w:hAnsi="仿宋" w:eastAsia="仿宋" w:cs="仿宋"/>
          <w:sz w:val="32"/>
          <w:szCs w:val="32"/>
          <w:u w:val="single"/>
        </w:rPr>
      </w:pPr>
    </w:p>
    <w:p>
      <w:pPr>
        <w:rPr>
          <w:rFonts w:hint="eastAsia" w:ascii="仿宋" w:hAnsi="仿宋" w:eastAsia="仿宋" w:cs="仿宋"/>
          <w:sz w:val="32"/>
          <w:szCs w:val="32"/>
          <w:lang w:val="en-US" w:eastAsia="zh-CN"/>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五、拟投入人员班子一览表</w:t>
      </w:r>
    </w:p>
    <w:p>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ascii="仿宋" w:hAnsi="仿宋" w:eastAsia="仿宋" w:cs="仿宋"/>
          <w:sz w:val="32"/>
          <w:szCs w:val="32"/>
        </w:rPr>
      </w:pPr>
      <w:r>
        <w:rPr>
          <w:rFonts w:hint="eastAsia" w:ascii="仿宋" w:hAnsi="仿宋" w:eastAsia="仿宋" w:cs="仿宋"/>
          <w:sz w:val="32"/>
          <w:szCs w:val="32"/>
        </w:rPr>
        <w:t>（一）投标报价：提供报价书；</w:t>
      </w:r>
    </w:p>
    <w:p>
      <w:pPr>
        <w:spacing w:before="100" w:after="159" w:afterLines="50" w:line="360" w:lineRule="auto"/>
        <w:jc w:val="center"/>
        <w:rPr>
          <w:rFonts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报价下浮率</w:t>
            </w:r>
          </w:p>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报价</w:t>
            </w:r>
          </w:p>
          <w:p>
            <w:pPr>
              <w:snapToGrid w:val="0"/>
              <w:jc w:val="center"/>
              <w:rPr>
                <w:rFonts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仿宋"/>
                <w:lang w:bidi="ar"/>
              </w:rPr>
            </w:pPr>
            <w:r>
              <w:rPr>
                <w:rFonts w:hint="eastAsia" w:ascii="仿宋" w:hAnsi="仿宋" w:eastAsia="仿宋" w:cs="仿宋"/>
                <w:lang w:bidi="ar"/>
              </w:rPr>
              <w:t>龙岗区</w:t>
            </w:r>
            <w:r>
              <w:rPr>
                <w:rFonts w:hint="eastAsia" w:ascii="仿宋" w:hAnsi="仿宋" w:eastAsia="仿宋" w:cs="仿宋"/>
                <w:lang w:eastAsia="zh-CN" w:bidi="ar"/>
              </w:rPr>
              <w:t>观澜河</w:t>
            </w:r>
            <w:r>
              <w:rPr>
                <w:rFonts w:hint="eastAsia" w:ascii="仿宋" w:hAnsi="仿宋" w:eastAsia="仿宋" w:cs="仿宋"/>
                <w:lang w:bidi="ar"/>
              </w:rPr>
              <w:t>流域排水管网系统完善工程涉原水管安全评估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default" w:ascii="仿宋" w:hAnsi="仿宋" w:eastAsia="仿宋" w:cs="仿宋"/>
                <w:lang w:val="en-US" w:eastAsia="zh-CN" w:bidi="ar"/>
              </w:rPr>
            </w:pPr>
            <w:r>
              <w:rPr>
                <w:rFonts w:hint="eastAsia" w:ascii="仿宋" w:hAnsi="仿宋" w:eastAsia="仿宋" w:cs="仿宋"/>
                <w:lang w:val="en-US" w:eastAsia="zh-CN" w:bidi="ar"/>
              </w:rPr>
              <w:t>11.73</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p>
        </w:tc>
      </w:tr>
    </w:tbl>
    <w:p>
      <w:pPr>
        <w:jc w:val="left"/>
        <w:rPr>
          <w:lang w:bidi="ar"/>
        </w:rPr>
      </w:pP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注：1.报名单位报价采用自主报价方式，仅报下浮率及投标总价，下浮率范围为≥0%，招标估价为</w:t>
      </w:r>
      <w:r>
        <w:rPr>
          <w:rFonts w:hint="eastAsia" w:ascii="仿宋" w:hAnsi="仿宋" w:eastAsia="仿宋" w:cs="仿宋"/>
          <w:lang w:val="en-US" w:eastAsia="zh-CN" w:bidi="ar"/>
        </w:rPr>
        <w:t>11.73</w:t>
      </w:r>
      <w:r>
        <w:rPr>
          <w:rFonts w:hint="eastAsia" w:ascii="仿宋" w:hAnsi="仿宋" w:eastAsia="仿宋" w:cs="仿宋"/>
          <w:snapToGrid w:val="0"/>
          <w:lang w:bidi="ar"/>
        </w:rPr>
        <w:t>万元，投标报价上限为</w:t>
      </w:r>
      <w:r>
        <w:rPr>
          <w:rFonts w:hint="eastAsia" w:ascii="仿宋" w:hAnsi="仿宋" w:eastAsia="仿宋" w:cs="仿宋"/>
          <w:snapToGrid w:val="0"/>
          <w:lang w:val="en-US" w:eastAsia="zh-CN" w:bidi="ar"/>
        </w:rPr>
        <w:t>11.73</w:t>
      </w:r>
      <w:r>
        <w:rPr>
          <w:rFonts w:hint="eastAsia" w:ascii="仿宋" w:hAnsi="仿宋" w:eastAsia="仿宋" w:cs="仿宋"/>
          <w:snapToGrid w:val="0"/>
          <w:lang w:bidi="ar"/>
        </w:rPr>
        <w:t>万元。投标人所报投标报价在发包估价</w:t>
      </w:r>
      <w:r>
        <w:rPr>
          <w:rFonts w:hint="eastAsia" w:ascii="仿宋" w:hAnsi="仿宋" w:eastAsia="仿宋" w:cs="仿宋"/>
          <w:lang w:val="en-US" w:eastAsia="zh-CN" w:bidi="ar"/>
        </w:rPr>
        <w:t>11.73</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lang w:bidi="ar"/>
        </w:rPr>
      </w:pPr>
    </w:p>
    <w:p>
      <w:pPr>
        <w:ind w:firstLine="640"/>
        <w:rPr>
          <w:rFonts w:ascii="仿宋" w:hAnsi="仿宋" w:eastAsia="仿宋" w:cs="仿宋"/>
          <w:snapToGrid w:val="0"/>
          <w:lang w:bidi="ar"/>
        </w:rPr>
      </w:pPr>
    </w:p>
    <w:p>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ascii="仿宋" w:hAnsi="仿宋" w:eastAsia="仿宋" w:cs="仿宋"/>
          <w:sz w:val="32"/>
          <w:szCs w:val="32"/>
        </w:rPr>
      </w:pPr>
      <w:r>
        <w:rPr>
          <w:rFonts w:hint="eastAsia" w:ascii="仿宋" w:hAnsi="仿宋" w:eastAsia="仿宋" w:cs="仿宋"/>
          <w:snapToGrid w:val="0"/>
          <w:kern w:val="0"/>
          <w:sz w:val="24"/>
          <w:szCs w:val="24"/>
          <w:lang w:bidi="ar"/>
        </w:rPr>
        <w:t>日期：202</w:t>
      </w:r>
      <w:r>
        <w:rPr>
          <w:rFonts w:hint="eastAsia" w:ascii="仿宋" w:hAnsi="仿宋" w:eastAsia="仿宋" w:cs="仿宋"/>
          <w:snapToGrid w:val="0"/>
          <w:kern w:val="0"/>
          <w:sz w:val="24"/>
          <w:szCs w:val="24"/>
          <w:lang w:val="en-US" w:eastAsia="zh-CN" w:bidi="ar"/>
        </w:rPr>
        <w:t>6</w:t>
      </w:r>
      <w:r>
        <w:rPr>
          <w:rFonts w:hint="eastAsia" w:ascii="仿宋" w:hAnsi="仿宋" w:eastAsia="仿宋" w:cs="仿宋"/>
          <w:snapToGrid w:val="0"/>
          <w:kern w:val="0"/>
          <w:sz w:val="24"/>
          <w:szCs w:val="24"/>
          <w:lang w:bidi="ar"/>
        </w:rPr>
        <w:t>年 月  日</w:t>
      </w:r>
    </w:p>
    <w:p>
      <w:pPr>
        <w:rPr>
          <w:rFonts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pPr>
        <w:pStyle w:val="8"/>
        <w:rPr>
          <w:rStyle w:val="21"/>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企业</w:t>
      </w:r>
      <w:r>
        <w:rPr>
          <w:rStyle w:val="21"/>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为涉原水管安全评估</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rPr>
        <w:t>近三年3项同类工程（服务）业绩情况汇总表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pStyle w:val="4"/>
        <w:widowControl/>
        <w:ind w:left="0" w:leftChars="0"/>
        <w:rPr>
          <w:rFonts w:hint="eastAsia" w:ascii="仿宋" w:hAnsi="仿宋" w:eastAsia="仿宋"/>
          <w:sz w:val="30"/>
          <w:szCs w:val="30"/>
        </w:rPr>
      </w:pPr>
      <w:r>
        <w:rPr>
          <w:rFonts w:hint="eastAsia" w:ascii="仿宋" w:hAnsi="仿宋" w:eastAsia="仿宋"/>
          <w:sz w:val="30"/>
          <w:szCs w:val="30"/>
        </w:rPr>
        <w:t>备注：1.业绩前3项情况按提供的业绩证明材料统计。2.同类工程（服务）业绩指涉原水管安全评估业绩。3.近三年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w:t>
      </w:r>
      <w:r>
        <w:rPr>
          <w:rFonts w:hint="eastAsia" w:ascii="仿宋" w:hAnsi="仿宋" w:eastAsia="仿宋"/>
          <w:sz w:val="30"/>
          <w:szCs w:val="30"/>
          <w:lang w:eastAsia="zh-CN"/>
        </w:rPr>
        <w:t>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涉原水管安全评估部分的金额；若所提供同类业绩为联合体方式承接的，合同中需清晰反映本项目投标人在该联合体业绩中所承担的涉原水管安全评估部分的金额）、签订时间、工作内容（涉原水管安全评估）。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r>
        <w:rPr>
          <w:rFonts w:hint="eastAsia" w:ascii="仿宋" w:hAnsi="仿宋" w:eastAsia="仿宋"/>
          <w:sz w:val="30"/>
          <w:szCs w:val="30"/>
        </w:rPr>
        <w:br w:type="page"/>
      </w:r>
    </w:p>
    <w:p>
      <w:pPr>
        <w:pStyle w:val="8"/>
        <w:rPr>
          <w:rStyle w:val="21"/>
          <w:rFonts w:ascii="仿宋" w:hAnsi="仿宋" w:eastAsia="仿宋" w:cs="仿宋"/>
          <w:color w:val="auto"/>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项目负责人</w:t>
      </w:r>
      <w:r>
        <w:rPr>
          <w:rStyle w:val="21"/>
          <w:rFonts w:hint="eastAsia" w:ascii="仿宋" w:hAnsi="仿宋" w:eastAsia="仿宋" w:cs="仿宋"/>
          <w:color w:val="auto"/>
        </w:rPr>
        <w:t>近三年</w:t>
      </w:r>
      <w:r>
        <w:rPr>
          <w:rStyle w:val="21"/>
          <w:rFonts w:hint="eastAsia" w:ascii="仿宋" w:hAnsi="仿宋" w:eastAsia="仿宋" w:cs="仿宋"/>
          <w:color w:val="auto"/>
          <w:lang w:val="en-US" w:eastAsia="zh-CN"/>
        </w:rPr>
        <w:t>1</w:t>
      </w:r>
      <w:r>
        <w:rPr>
          <w:rStyle w:val="21"/>
          <w:rFonts w:hint="eastAsia" w:ascii="仿宋" w:hAnsi="仿宋" w:eastAsia="仿宋" w:cs="仿宋"/>
          <w:color w:val="auto"/>
        </w:rPr>
        <w:t>项同类</w:t>
      </w:r>
      <w:r>
        <w:rPr>
          <w:rFonts w:hint="eastAsia" w:ascii="仿宋" w:hAnsi="仿宋" w:eastAsia="仿宋" w:cs="仿宋"/>
          <w:sz w:val="32"/>
          <w:szCs w:val="32"/>
        </w:rPr>
        <w:t>工程（服务）</w:t>
      </w:r>
      <w:r>
        <w:rPr>
          <w:rStyle w:val="21"/>
          <w:rFonts w:hint="eastAsia" w:ascii="仿宋" w:hAnsi="仿宋" w:eastAsia="仿宋" w:cs="仿宋"/>
          <w:color w:val="auto"/>
        </w:rPr>
        <w:t>相关业绩 （</w:t>
      </w:r>
      <w:r>
        <w:rPr>
          <w:rFonts w:hint="eastAsia" w:ascii="仿宋" w:hAnsi="仿宋" w:eastAsia="仿宋" w:cs="仿宋"/>
          <w:kern w:val="0"/>
          <w:sz w:val="32"/>
          <w:szCs w:val="32"/>
        </w:rPr>
        <w:t>同类业绩</w:t>
      </w:r>
      <w:r>
        <w:rPr>
          <w:rFonts w:hint="eastAsia" w:ascii="仿宋" w:hAnsi="仿宋" w:eastAsia="仿宋" w:cs="仿宋"/>
          <w:sz w:val="32"/>
          <w:szCs w:val="32"/>
        </w:rPr>
        <w:t>为涉原水管安全评估</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项同类工程（服务）业绩情况汇总表</w:t>
      </w:r>
    </w:p>
    <w:tbl>
      <w:tblPr>
        <w:tblStyle w:val="17"/>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ind w:firstLine="600" w:firstLineChars="200"/>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项情况按提供的业绩证明材料统计。2.同类工程（服务）业绩指</w:t>
      </w:r>
      <w:r>
        <w:rPr>
          <w:rFonts w:hint="default" w:ascii="仿宋" w:hAnsi="仿宋" w:eastAsia="仿宋"/>
          <w:sz w:val="30"/>
          <w:szCs w:val="30"/>
          <w:lang w:val="en-US"/>
        </w:rPr>
        <w:t>涉原水管安全评估</w:t>
      </w:r>
      <w:r>
        <w:rPr>
          <w:rFonts w:hint="eastAsia" w:ascii="仿宋" w:hAnsi="仿宋" w:eastAsia="仿宋"/>
          <w:sz w:val="30"/>
          <w:szCs w:val="30"/>
        </w:rPr>
        <w:t>业绩。3.近三年</w:t>
      </w:r>
      <w:r>
        <w:rPr>
          <w:rFonts w:hint="eastAsia" w:ascii="仿宋" w:hAnsi="仿宋" w:eastAsia="仿宋"/>
          <w:sz w:val="30"/>
          <w:szCs w:val="30"/>
          <w:lang w:val="en-US"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default" w:ascii="仿宋" w:hAnsi="仿宋" w:eastAsia="仿宋"/>
          <w:sz w:val="30"/>
          <w:szCs w:val="30"/>
          <w:lang w:val="en-US"/>
        </w:rPr>
        <w:t>涉原水管安全评估</w:t>
      </w:r>
      <w:r>
        <w:rPr>
          <w:rFonts w:hint="eastAsia" w:ascii="仿宋" w:hAnsi="仿宋" w:eastAsia="仿宋"/>
          <w:sz w:val="30"/>
          <w:szCs w:val="30"/>
        </w:rPr>
        <w:t>部分的金额）、签订时间、工作内容（</w:t>
      </w:r>
      <w:r>
        <w:rPr>
          <w:rFonts w:hint="default" w:ascii="仿宋" w:hAnsi="仿宋" w:eastAsia="仿宋"/>
          <w:sz w:val="30"/>
          <w:szCs w:val="30"/>
          <w:lang w:val="en-US"/>
        </w:rPr>
        <w:t>涉原水管安全评估</w:t>
      </w:r>
      <w:r>
        <w:rPr>
          <w:rFonts w:hint="eastAsia" w:ascii="仿宋" w:hAnsi="仿宋" w:eastAsia="仿宋"/>
          <w:sz w:val="30"/>
          <w:szCs w:val="30"/>
        </w:rPr>
        <w:t>）、项目负责人姓名、拟派项目负责人在该业绩担任职位。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ind w:left="2940"/>
        <w:rPr>
          <w:rFonts w:ascii="仿宋" w:hAnsi="仿宋" w:eastAsia="仿宋" w:cs="仿宋"/>
        </w:rPr>
      </w:pPr>
    </w:p>
    <w:p>
      <w:pPr>
        <w:sectPr>
          <w:pgSz w:w="16840" w:h="11900" w:orient="landscape"/>
          <w:pgMar w:top="1800" w:right="1440" w:bottom="1800" w:left="1440" w:header="851" w:footer="992" w:gutter="0"/>
          <w:cols w:space="425" w:num="1"/>
          <w:docGrid w:type="lines" w:linePitch="312" w:charSpace="0"/>
        </w:sectPr>
      </w:pPr>
    </w:p>
    <w:p>
      <w:pPr>
        <w:rPr>
          <w:rFonts w:ascii="仿宋" w:hAnsi="仿宋" w:eastAsia="仿宋" w:cs="仿宋"/>
          <w:sz w:val="32"/>
          <w:szCs w:val="32"/>
        </w:rPr>
      </w:pPr>
      <w:r>
        <w:rPr>
          <w:rFonts w:hint="eastAsia" w:ascii="仿宋" w:hAnsi="仿宋" w:eastAsia="仿宋" w:cs="仿宋"/>
          <w:sz w:val="32"/>
          <w:szCs w:val="32"/>
        </w:rPr>
        <w:t>附件2：费用测算说明</w:t>
      </w: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r>
        <w:drawing>
          <wp:anchor distT="0" distB="0" distL="114300" distR="114300" simplePos="0" relativeHeight="251660288" behindDoc="0" locked="0" layoutInCell="1" allowOverlap="1">
            <wp:simplePos x="0" y="0"/>
            <wp:positionH relativeFrom="column">
              <wp:posOffset>15875</wp:posOffset>
            </wp:positionH>
            <wp:positionV relativeFrom="paragraph">
              <wp:posOffset>49530</wp:posOffset>
            </wp:positionV>
            <wp:extent cx="5238750" cy="7419975"/>
            <wp:effectExtent l="12700" t="12700" r="25400" b="15875"/>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5238750" cy="7419975"/>
                    </a:xfrm>
                    <a:prstGeom prst="rect">
                      <a:avLst/>
                    </a:prstGeom>
                    <a:noFill/>
                    <a:ln w="12700" cmpd="sng">
                      <a:solidFill>
                        <a:schemeClr val="accent1">
                          <a:shade val="50000"/>
                        </a:schemeClr>
                      </a:solidFill>
                      <a:prstDash val="solid"/>
                    </a:ln>
                  </pic:spPr>
                </pic:pic>
              </a:graphicData>
            </a:graphic>
          </wp:anchor>
        </w:drawing>
      </w: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center"/>
        <w:rPr>
          <w:rFonts w:hint="default" w:ascii="仿宋" w:hAnsi="仿宋" w:eastAsia="仿宋" w:cs="仿宋"/>
          <w:lang w:val="en-US"/>
        </w:rPr>
      </w:pPr>
    </w:p>
    <w:p>
      <w:pPr>
        <w:pStyle w:val="6"/>
        <w:jc w:val="both"/>
        <w:rPr>
          <w:rFonts w:hint="default" w:ascii="仿宋" w:hAnsi="仿宋" w:eastAsia="仿宋" w:cs="仿宋"/>
          <w:lang w:val="en-US"/>
        </w:rPr>
      </w:pPr>
    </w:p>
    <w:p>
      <w:pPr>
        <w:ind w:firstLine="420" w:firstLineChars="200"/>
      </w:pPr>
    </w:p>
    <w:p>
      <w:pPr>
        <w:ind w:left="0" w:firstLine="0" w:firstLineChars="0"/>
        <w:jc w:val="center"/>
        <w:rPr>
          <w:rFonts w:ascii="仿宋" w:hAnsi="仿宋" w:eastAsia="仿宋" w:cs="仿宋"/>
        </w:rPr>
      </w:pPr>
      <w:r>
        <w:rPr>
          <w:rFonts w:ascii="仿宋" w:hAnsi="仿宋" w:eastAsia="仿宋" w:cs="仿宋"/>
        </w:rPr>
        <w:br w:type="page"/>
      </w:r>
    </w:p>
    <w:p>
      <w:pPr>
        <w:sectPr>
          <w:pgSz w:w="11900" w:h="16840"/>
          <w:pgMar w:top="1440" w:right="1800" w:bottom="1440" w:left="1800" w:header="851" w:footer="992" w:gutter="0"/>
          <w:cols w:space="0" w:num="1"/>
          <w:rtlGutter w:val="0"/>
          <w:docGrid w:type="lines" w:linePitch="312" w:charSpace="0"/>
        </w:sectPr>
      </w:pPr>
    </w:p>
    <w:p>
      <w:pPr>
        <w:pStyle w:val="8"/>
      </w:pPr>
      <w:bookmarkStart w:id="0" w:name="_GoBack"/>
      <w:r>
        <w:drawing>
          <wp:anchor distT="0" distB="0" distL="114300" distR="114300" simplePos="0" relativeHeight="251661312" behindDoc="0" locked="0" layoutInCell="1" allowOverlap="1">
            <wp:simplePos x="0" y="0"/>
            <wp:positionH relativeFrom="column">
              <wp:posOffset>262255</wp:posOffset>
            </wp:positionH>
            <wp:positionV relativeFrom="paragraph">
              <wp:posOffset>164465</wp:posOffset>
            </wp:positionV>
            <wp:extent cx="7858125" cy="5314950"/>
            <wp:effectExtent l="0" t="0" r="9525"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7858125" cy="5314950"/>
                    </a:xfrm>
                    <a:prstGeom prst="rect">
                      <a:avLst/>
                    </a:prstGeom>
                    <a:noFill/>
                    <a:ln>
                      <a:noFill/>
                    </a:ln>
                  </pic:spPr>
                </pic:pic>
              </a:graphicData>
            </a:graphic>
          </wp:anchor>
        </w:drawing>
      </w:r>
      <w:bookmarkEnd w:id="0"/>
      <w:r>
        <w:rPr>
          <w:rFonts w:hint="default"/>
          <w:lang w:val="en-US"/>
        </w:rPr>
        <w:drawing>
          <wp:inline distT="0" distB="0" distL="114300" distR="114300">
            <wp:extent cx="8348345" cy="5044440"/>
            <wp:effectExtent l="0" t="0" r="14605" b="3810"/>
            <wp:docPr id="10" name="图片 10" descr="区水务事务中心关于龙岗区龙岗河流域排水管网系统完善工程涉原水管安全评估招标方案（局网站公开询价）的请示_扫描版_page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区水务事务中心关于龙岗区龙岗河流域排水管网系统完善工程涉原水管安全评估招标方案（局网站公开询价）的请示_扫描版_page_16"/>
                    <pic:cNvPicPr>
                      <a:picLocks noChangeAspect="1"/>
                    </pic:cNvPicPr>
                  </pic:nvPicPr>
                  <pic:blipFill>
                    <a:blip r:embed="rId8"/>
                    <a:srcRect b="14067"/>
                    <a:stretch>
                      <a:fillRect/>
                    </a:stretch>
                  </pic:blipFill>
                  <pic:spPr>
                    <a:xfrm>
                      <a:off x="0" y="0"/>
                      <a:ext cx="8348345" cy="5044440"/>
                    </a:xfrm>
                    <a:prstGeom prst="rect">
                      <a:avLst/>
                    </a:prstGeom>
                  </pic:spPr>
                </pic:pic>
              </a:graphicData>
            </a:graphic>
          </wp:inline>
        </w:drawing>
      </w:r>
    </w:p>
    <w:sectPr>
      <w:footerReference r:id="rId4" w:type="default"/>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IRM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auSIJLpioxXafdsz25viDGLOdLPhLd/USL5lPjwwh2FAwXgu4R5LKQ2SmN6ipDLuy7/O&#10;Yzx6BC8lDYYrpxpviRL5XqN3AAyD4QZjPxj6qO4MphXtQC3JxAUX5GCWzqjPeEOrmAMupjky5TQM&#10;5l3oBhxvkIvVKgVh2iwLW72zPEJH8bxdHQMETLpGUToleq0wb6kz/duIA/3nPkU9/g+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YpCETCsCAABXBAAADgAAAAAAAAABACAAAAA1AQAAZHJz&#10;L2Uyb0RvYy54bWxQSwUGAAAAAAYABgBZAQAA0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621348"/>
    <w:rsid w:val="007E452A"/>
    <w:rsid w:val="00B31811"/>
    <w:rsid w:val="00EE3E18"/>
    <w:rsid w:val="014545C7"/>
    <w:rsid w:val="01BF37C7"/>
    <w:rsid w:val="01C76ADD"/>
    <w:rsid w:val="0217259F"/>
    <w:rsid w:val="02F569C3"/>
    <w:rsid w:val="03103FE2"/>
    <w:rsid w:val="034036E2"/>
    <w:rsid w:val="03E50FF2"/>
    <w:rsid w:val="05203050"/>
    <w:rsid w:val="072D4D2F"/>
    <w:rsid w:val="08AD01D5"/>
    <w:rsid w:val="09450E28"/>
    <w:rsid w:val="097D1AB0"/>
    <w:rsid w:val="09C1235D"/>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BDA5756"/>
    <w:rsid w:val="1C710690"/>
    <w:rsid w:val="1CFA7DE6"/>
    <w:rsid w:val="1E51532B"/>
    <w:rsid w:val="1EA0009D"/>
    <w:rsid w:val="1FD81ACE"/>
    <w:rsid w:val="20485C9B"/>
    <w:rsid w:val="224810DF"/>
    <w:rsid w:val="23497478"/>
    <w:rsid w:val="23FF4F24"/>
    <w:rsid w:val="25D24051"/>
    <w:rsid w:val="26000675"/>
    <w:rsid w:val="277047AD"/>
    <w:rsid w:val="27A50598"/>
    <w:rsid w:val="27B617FB"/>
    <w:rsid w:val="27D15457"/>
    <w:rsid w:val="28057907"/>
    <w:rsid w:val="2AC602C5"/>
    <w:rsid w:val="2B340871"/>
    <w:rsid w:val="2B7A7EFF"/>
    <w:rsid w:val="2F3070C9"/>
    <w:rsid w:val="2F555BC5"/>
    <w:rsid w:val="2F6F19CE"/>
    <w:rsid w:val="2FE25E9E"/>
    <w:rsid w:val="30275F10"/>
    <w:rsid w:val="30EE63CD"/>
    <w:rsid w:val="313905F0"/>
    <w:rsid w:val="31B81BE5"/>
    <w:rsid w:val="32125E45"/>
    <w:rsid w:val="32D87995"/>
    <w:rsid w:val="32F25465"/>
    <w:rsid w:val="33386686"/>
    <w:rsid w:val="345A56D7"/>
    <w:rsid w:val="35051814"/>
    <w:rsid w:val="3575771D"/>
    <w:rsid w:val="35FD96C5"/>
    <w:rsid w:val="37283D74"/>
    <w:rsid w:val="387833DF"/>
    <w:rsid w:val="38F21F59"/>
    <w:rsid w:val="39AE2435"/>
    <w:rsid w:val="39B73AB0"/>
    <w:rsid w:val="3A560A90"/>
    <w:rsid w:val="3BDF091A"/>
    <w:rsid w:val="3C131002"/>
    <w:rsid w:val="3CCC2BD2"/>
    <w:rsid w:val="3D361E88"/>
    <w:rsid w:val="3EFC7411"/>
    <w:rsid w:val="3FCF2446"/>
    <w:rsid w:val="409F5F96"/>
    <w:rsid w:val="411617A1"/>
    <w:rsid w:val="411918A4"/>
    <w:rsid w:val="420C31E6"/>
    <w:rsid w:val="439A62FF"/>
    <w:rsid w:val="44F50E58"/>
    <w:rsid w:val="450A631F"/>
    <w:rsid w:val="47892549"/>
    <w:rsid w:val="4ACD555E"/>
    <w:rsid w:val="4B4C4280"/>
    <w:rsid w:val="4C4B3EEC"/>
    <w:rsid w:val="4DA05D99"/>
    <w:rsid w:val="4E8E097E"/>
    <w:rsid w:val="50E750E8"/>
    <w:rsid w:val="51E21083"/>
    <w:rsid w:val="523E1FA6"/>
    <w:rsid w:val="545E4B59"/>
    <w:rsid w:val="547A0454"/>
    <w:rsid w:val="56045215"/>
    <w:rsid w:val="5692549D"/>
    <w:rsid w:val="56953AC3"/>
    <w:rsid w:val="57DB1E97"/>
    <w:rsid w:val="58693C3A"/>
    <w:rsid w:val="58B73A25"/>
    <w:rsid w:val="59110A39"/>
    <w:rsid w:val="59142C25"/>
    <w:rsid w:val="5A9215F2"/>
    <w:rsid w:val="5BEA4F2D"/>
    <w:rsid w:val="5BFECF4D"/>
    <w:rsid w:val="5D3962DA"/>
    <w:rsid w:val="5DB4DBE3"/>
    <w:rsid w:val="5DC0337C"/>
    <w:rsid w:val="5DD833B1"/>
    <w:rsid w:val="5E0A6ACC"/>
    <w:rsid w:val="5E48400F"/>
    <w:rsid w:val="5F995D5E"/>
    <w:rsid w:val="60310561"/>
    <w:rsid w:val="607A0C2A"/>
    <w:rsid w:val="61407448"/>
    <w:rsid w:val="636649C5"/>
    <w:rsid w:val="639C60C9"/>
    <w:rsid w:val="65C92FEA"/>
    <w:rsid w:val="65DE77CB"/>
    <w:rsid w:val="664A663F"/>
    <w:rsid w:val="66880CB0"/>
    <w:rsid w:val="669E4476"/>
    <w:rsid w:val="678628B1"/>
    <w:rsid w:val="67A949B8"/>
    <w:rsid w:val="68BF1F88"/>
    <w:rsid w:val="68FC32AA"/>
    <w:rsid w:val="6A84029F"/>
    <w:rsid w:val="6AA47B81"/>
    <w:rsid w:val="6B3B6738"/>
    <w:rsid w:val="6C5E0930"/>
    <w:rsid w:val="6CFD43DC"/>
    <w:rsid w:val="6D2C4F0C"/>
    <w:rsid w:val="6DAB34F7"/>
    <w:rsid w:val="6DDF2554"/>
    <w:rsid w:val="6E1E7D37"/>
    <w:rsid w:val="6FD93C2C"/>
    <w:rsid w:val="6FDBD0FE"/>
    <w:rsid w:val="6FEAFFBE"/>
    <w:rsid w:val="6FFE3D12"/>
    <w:rsid w:val="70A6184B"/>
    <w:rsid w:val="71131DEF"/>
    <w:rsid w:val="71597204"/>
    <w:rsid w:val="72121E09"/>
    <w:rsid w:val="72A816C9"/>
    <w:rsid w:val="73003BCB"/>
    <w:rsid w:val="737DC415"/>
    <w:rsid w:val="73AF381F"/>
    <w:rsid w:val="73F73418"/>
    <w:rsid w:val="748675E2"/>
    <w:rsid w:val="74F74B21"/>
    <w:rsid w:val="75237D06"/>
    <w:rsid w:val="77DDC726"/>
    <w:rsid w:val="77FF5C6A"/>
    <w:rsid w:val="7BEAD871"/>
    <w:rsid w:val="7BFF9C3E"/>
    <w:rsid w:val="7C7441CC"/>
    <w:rsid w:val="7D6FD5A3"/>
    <w:rsid w:val="7EFF44F5"/>
    <w:rsid w:val="7F4F2AE3"/>
    <w:rsid w:val="7F7EEAF4"/>
    <w:rsid w:val="7F9BA48F"/>
    <w:rsid w:val="7FB97083"/>
    <w:rsid w:val="7FBA6876"/>
    <w:rsid w:val="7FCCC4CB"/>
    <w:rsid w:val="7FD7F607"/>
    <w:rsid w:val="7FDBFCD2"/>
    <w:rsid w:val="7FEE7241"/>
    <w:rsid w:val="975A63D8"/>
    <w:rsid w:val="B31FCEF1"/>
    <w:rsid w:val="BFBE571F"/>
    <w:rsid w:val="BFEFD741"/>
    <w:rsid w:val="C5BF05B9"/>
    <w:rsid w:val="C7FE5378"/>
    <w:rsid w:val="CD7FDAC0"/>
    <w:rsid w:val="CFB44A87"/>
    <w:rsid w:val="D0EF708C"/>
    <w:rsid w:val="DEF5F458"/>
    <w:rsid w:val="E377A186"/>
    <w:rsid w:val="E9BFD369"/>
    <w:rsid w:val="EB7E5BF9"/>
    <w:rsid w:val="EF529F08"/>
    <w:rsid w:val="F7F6515F"/>
    <w:rsid w:val="F9BC83D9"/>
    <w:rsid w:val="FAEBA053"/>
    <w:rsid w:val="FB3BE299"/>
    <w:rsid w:val="FB7DC274"/>
    <w:rsid w:val="FBF8F4F4"/>
    <w:rsid w:val="FC5C594B"/>
    <w:rsid w:val="FDFD167D"/>
    <w:rsid w:val="FE7DBBB6"/>
    <w:rsid w:val="FFDF25E8"/>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3">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rPr>
      <w:szCs w:val="24"/>
    </w:rPr>
  </w:style>
  <w:style w:type="paragraph" w:styleId="5">
    <w:name w:val="annotation text"/>
    <w:basedOn w:val="1"/>
    <w:qFormat/>
    <w:uiPriority w:val="0"/>
    <w:pPr>
      <w:jc w:val="left"/>
    </w:pPr>
  </w:style>
  <w:style w:type="paragraph" w:styleId="6">
    <w:name w:val="Body Text"/>
    <w:basedOn w:val="1"/>
    <w:semiHidden/>
    <w:unhideWhenUsed/>
    <w:qFormat/>
    <w:uiPriority w:val="99"/>
    <w:pPr>
      <w:spacing w:after="120"/>
    </w:pPr>
  </w:style>
  <w:style w:type="paragraph" w:styleId="7">
    <w:name w:val="Body Text Indent"/>
    <w:basedOn w:val="1"/>
    <w:qFormat/>
    <w:uiPriority w:val="0"/>
    <w:pPr>
      <w:ind w:firstLine="480"/>
    </w:pPr>
    <w:rPr>
      <w:kern w:val="24"/>
    </w:rPr>
  </w:style>
  <w:style w:type="paragraph" w:styleId="8">
    <w:name w:val="Plain Text"/>
    <w:basedOn w:val="1"/>
    <w:next w:val="4"/>
    <w:qFormat/>
    <w:uiPriority w:val="0"/>
    <w:rPr>
      <w:rFonts w:ascii="宋体" w:hAnsi="Courier New" w:cs="Times New Roman"/>
      <w:szCs w:val="20"/>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unhideWhenUsed/>
    <w:qFormat/>
    <w:uiPriority w:val="99"/>
    <w:pPr>
      <w:ind w:firstLine="420" w:firstLineChars="100"/>
    </w:pPr>
    <w:rPr>
      <w:rFonts w:cs="宋体"/>
    </w:rPr>
  </w:style>
  <w:style w:type="paragraph" w:styleId="15">
    <w:name w:val="Body Text First Indent 2"/>
    <w:basedOn w:val="7"/>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11655</Words>
  <Characters>12056</Characters>
  <Lines>73</Lines>
  <Paragraphs>20</Paragraphs>
  <TotalTime>0</TotalTime>
  <ScaleCrop>false</ScaleCrop>
  <LinksUpToDate>false</LinksUpToDate>
  <CharactersWithSpaces>12282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2024-04-11T10:08:00Z</dcterms:created>
  <dc:creator>醉·九歌</dc:creator>
  <cp:lastModifiedBy>陈家锐</cp:lastModifiedBy>
  <cp:lastPrinted>2026-01-28T17:21:00Z</cp:lastPrinted>
  <dcterms:modified xsi:type="dcterms:W3CDTF">2026-04-09T10:42:46Z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936A696FACC3404DA7088B70552E7FF4_13</vt:lpwstr>
  </property>
  <property fmtid="{D5CDD505-2E9C-101B-9397-08002B2CF9AE}" pid="4" name="KSOTemplateDocerSaveRecord">
    <vt:lpwstr>eyJoZGlkIjoiYjc5YzIxNGNhMjRjNmUwMmM0YTczMzI2OWY4ZjM4YjEiLCJ1c2VySWQiOiIyNTE5MjM1MjMifQ==</vt:lpwstr>
  </property>
</Properties>
</file>