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黑体" w:hAnsi="黑体" w:eastAsia="黑体" w:cs="黑体"/>
          <w:color w:val="auto"/>
          <w:sz w:val="32"/>
          <w:szCs w:val="32"/>
        </w:rPr>
      </w:pPr>
      <w:r>
        <w:rPr>
          <w:rFonts w:hint="eastAsia" w:ascii="黑体" w:hAnsi="黑体" w:eastAsia="黑体" w:cs="黑体"/>
          <w:color w:val="auto"/>
          <w:sz w:val="32"/>
          <w:szCs w:val="32"/>
        </w:rPr>
        <w:t>附件</w:t>
      </w:r>
    </w:p>
    <w:p>
      <w:pPr>
        <w:spacing w:line="560" w:lineRule="exact"/>
        <w:rPr>
          <w:rFonts w:ascii="仿宋_GB2312" w:hAnsi="仿宋_GB2312" w:eastAsia="仿宋_GB2312" w:cs="仿宋_GB2312"/>
          <w:color w:val="auto"/>
          <w:sz w:val="32"/>
          <w:szCs w:val="32"/>
        </w:rPr>
      </w:pPr>
    </w:p>
    <w:p>
      <w:pPr>
        <w:spacing w:line="560" w:lineRule="exact"/>
        <w:jc w:val="center"/>
        <w:rPr>
          <w:rFonts w:ascii="宋体" w:hAnsi="宋体" w:cs="方正小标宋_GBK"/>
          <w:color w:val="auto"/>
          <w:sz w:val="44"/>
          <w:szCs w:val="44"/>
        </w:rPr>
      </w:pPr>
      <w:r>
        <w:rPr>
          <w:rFonts w:hint="eastAsia" w:ascii="宋体" w:hAnsi="宋体" w:cs="方正小标宋_GBK"/>
          <w:color w:val="auto"/>
          <w:sz w:val="44"/>
          <w:szCs w:val="44"/>
        </w:rPr>
        <w:t>深圳宝龙专精特新产业园基本情况及申请指南</w:t>
      </w:r>
    </w:p>
    <w:p>
      <w:pPr>
        <w:pStyle w:val="3"/>
        <w:rPr>
          <w:color w:val="auto"/>
        </w:rPr>
      </w:pPr>
    </w:p>
    <w:p>
      <w:pPr>
        <w:pStyle w:val="2"/>
        <w:rPr>
          <w:color w:val="auto"/>
        </w:rPr>
      </w:pP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为进一步保障优质成长型企业、上市和拟上市公司的空间需求，根据《深圳市优质产业空间供给试点改革方案》（深府函[2021]43号）（以下简称“该方案”）、</w:t>
      </w:r>
      <w:bookmarkStart w:id="0" w:name="_Hlk92729975"/>
      <w:bookmarkStart w:id="1" w:name="_Hlk92727327"/>
      <w:r>
        <w:rPr>
          <w:rFonts w:hint="eastAsia" w:ascii="仿宋_GB2312" w:hAnsi="黑体" w:eastAsia="仿宋_GB2312" w:cs="Times New Roman"/>
          <w:color w:val="auto"/>
          <w:sz w:val="32"/>
          <w:szCs w:val="32"/>
        </w:rPr>
        <w:t>《深圳市2</w:t>
      </w:r>
      <w:r>
        <w:rPr>
          <w:rFonts w:ascii="仿宋_GB2312" w:hAnsi="黑体" w:eastAsia="仿宋_GB2312" w:cs="Times New Roman"/>
          <w:color w:val="auto"/>
          <w:sz w:val="32"/>
          <w:szCs w:val="32"/>
        </w:rPr>
        <w:t>0</w:t>
      </w:r>
      <w:r>
        <w:rPr>
          <w:rFonts w:hint="eastAsia" w:ascii="仿宋_GB2312" w:hAnsi="黑体" w:eastAsia="仿宋_GB2312" w:cs="Times New Roman"/>
          <w:color w:val="auto"/>
          <w:sz w:val="32"/>
          <w:szCs w:val="32"/>
        </w:rPr>
        <w:t>大先进制造业园区空间布局规划》</w:t>
      </w:r>
      <w:bookmarkEnd w:id="0"/>
      <w:r>
        <w:rPr>
          <w:rFonts w:hint="eastAsia" w:ascii="仿宋_GB2312" w:hAnsi="黑体" w:eastAsia="仿宋_GB2312" w:cs="Times New Roman"/>
          <w:color w:val="auto"/>
          <w:sz w:val="32"/>
          <w:szCs w:val="32"/>
        </w:rPr>
        <w:t>，</w:t>
      </w:r>
      <w:bookmarkEnd w:id="1"/>
      <w:r>
        <w:rPr>
          <w:rFonts w:hint="eastAsia" w:ascii="仿宋_GB2312" w:hAnsi="黑体" w:eastAsia="仿宋_GB2312" w:cs="Times New Roman"/>
          <w:color w:val="auto"/>
          <w:sz w:val="32"/>
          <w:szCs w:val="32"/>
        </w:rPr>
        <w:t>龙岗区宝龙街道G02203-0022号宗地（[宝龙工业城地区]法定图则03-21-03、05-03-01、03-21-04、03-22-04、05-04-01地块）五宗用地作为首批试点项目用地。</w:t>
      </w:r>
      <w:bookmarkStart w:id="2" w:name="OLE_LINK1"/>
      <w:r>
        <w:rPr>
          <w:rFonts w:hint="eastAsia" w:ascii="仿宋_GB2312" w:hAnsi="黑体" w:eastAsia="仿宋_GB2312" w:cs="Times New Roman"/>
          <w:color w:val="auto"/>
          <w:sz w:val="32"/>
          <w:szCs w:val="32"/>
        </w:rPr>
        <w:t>项目情况如下：</w:t>
      </w:r>
    </w:p>
    <w:p>
      <w:pPr>
        <w:spacing w:line="560" w:lineRule="exact"/>
        <w:ind w:firstLine="640" w:firstLineChars="200"/>
        <w:jc w:val="left"/>
        <w:rPr>
          <w:rFonts w:ascii="黑体" w:hAnsi="黑体" w:eastAsia="黑体" w:cs="黑体"/>
          <w:color w:val="auto"/>
          <w:sz w:val="32"/>
          <w:szCs w:val="32"/>
        </w:rPr>
      </w:pPr>
      <w:r>
        <w:rPr>
          <w:rFonts w:hint="eastAsia" w:ascii="黑体" w:hAnsi="黑体" w:eastAsia="黑体" w:cs="黑体"/>
          <w:color w:val="auto"/>
          <w:sz w:val="32"/>
          <w:szCs w:val="32"/>
        </w:rPr>
        <w:t>一、项目概况</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深圳宝龙专精特新产业园试点项目（简称“宝龙试点项目”）位于深圳市龙岗区宝龙街道，地处南同大道与宝龙三路交汇处，包括03-21-03、05-03-01、03-21-04、03-22-04、05-04-01五个地块，土地用途为普通工业用地、商业用地、交通设施用地，用地面积为103707.87平方米，其中建设用地88404.32平方米（工业用地约83711.32平方米，商业用地约4693平方米）。</w:t>
      </w:r>
      <w:bookmarkEnd w:id="2"/>
      <w:r>
        <w:rPr>
          <w:rFonts w:hint="eastAsia" w:ascii="仿宋_GB2312" w:hAnsi="黑体" w:eastAsia="仿宋_GB2312" w:cs="Times New Roman"/>
          <w:color w:val="auto"/>
          <w:sz w:val="32"/>
          <w:szCs w:val="32"/>
        </w:rPr>
        <w:t>项目拟建的高标准制造业用房具备三大优势：</w:t>
      </w:r>
      <w:r>
        <w:rPr>
          <w:rFonts w:hint="eastAsia" w:ascii="仿宋_GB2312" w:hAnsi="黑体" w:eastAsia="仿宋_GB2312" w:cs="Times New Roman"/>
          <w:b/>
          <w:bCs/>
          <w:color w:val="auto"/>
          <w:sz w:val="32"/>
          <w:szCs w:val="32"/>
        </w:rPr>
        <w:t>一是</w:t>
      </w:r>
      <w:bookmarkStart w:id="3" w:name="_Hlk92730090"/>
      <w:r>
        <w:rPr>
          <w:rFonts w:hint="eastAsia" w:ascii="仿宋_GB2312" w:hAnsi="黑体" w:eastAsia="仿宋_GB2312" w:cs="Times New Roman"/>
          <w:color w:val="auto"/>
          <w:sz w:val="32"/>
          <w:szCs w:val="32"/>
        </w:rPr>
        <w:t>吸引优质先进制造业企业集聚，M1用地上建设的厂房全部用</w:t>
      </w:r>
      <w:bookmarkStart w:id="5" w:name="_GoBack"/>
      <w:bookmarkEnd w:id="5"/>
      <w:r>
        <w:rPr>
          <w:rFonts w:hint="eastAsia" w:ascii="仿宋_GB2312" w:hAnsi="黑体" w:eastAsia="仿宋_GB2312" w:cs="Times New Roman"/>
          <w:color w:val="auto"/>
          <w:sz w:val="32"/>
          <w:szCs w:val="32"/>
        </w:rPr>
        <w:t>于企业核心制造环节，企业的办公总部、传统模塑冲压、包装仓库、人力密集生产环节等可在地块周边配套解决</w:t>
      </w:r>
      <w:bookmarkEnd w:id="3"/>
      <w:r>
        <w:rPr>
          <w:rFonts w:hint="eastAsia" w:ascii="仿宋_GB2312" w:hAnsi="黑体" w:eastAsia="仿宋_GB2312" w:cs="Times New Roman"/>
          <w:color w:val="auto"/>
          <w:sz w:val="32"/>
          <w:szCs w:val="32"/>
        </w:rPr>
        <w:t>；</w:t>
      </w:r>
      <w:r>
        <w:rPr>
          <w:rFonts w:hint="eastAsia" w:ascii="仿宋_GB2312" w:hAnsi="黑体" w:eastAsia="仿宋_GB2312" w:cs="Times New Roman"/>
          <w:b/>
          <w:bCs/>
          <w:color w:val="auto"/>
          <w:sz w:val="32"/>
          <w:szCs w:val="32"/>
        </w:rPr>
        <w:t>二是</w:t>
      </w:r>
      <w:bookmarkStart w:id="4" w:name="_Hlk92730272"/>
      <w:r>
        <w:rPr>
          <w:rFonts w:hint="eastAsia" w:ascii="仿宋_GB2312" w:hAnsi="黑体" w:eastAsia="仿宋_GB2312" w:cs="Times New Roman"/>
          <w:color w:val="auto"/>
          <w:sz w:val="32"/>
          <w:szCs w:val="32"/>
        </w:rPr>
        <w:t>工业厂房按“标准化+定制化”建设，以标准厂房为主导、定制厂房为特色，满足企业的不同生产空间需求；</w:t>
      </w:r>
      <w:r>
        <w:rPr>
          <w:rFonts w:hint="eastAsia" w:ascii="仿宋_GB2312" w:hAnsi="黑体" w:eastAsia="仿宋_GB2312" w:cs="Times New Roman"/>
          <w:b/>
          <w:bCs/>
          <w:color w:val="auto"/>
          <w:sz w:val="32"/>
          <w:szCs w:val="32"/>
        </w:rPr>
        <w:t>三是</w:t>
      </w:r>
      <w:r>
        <w:rPr>
          <w:rFonts w:hint="eastAsia" w:ascii="仿宋_GB2312" w:hAnsi="黑体" w:eastAsia="仿宋_GB2312" w:cs="Times New Roman"/>
          <w:color w:val="auto"/>
          <w:sz w:val="32"/>
          <w:szCs w:val="32"/>
        </w:rPr>
        <w:t>厂房的建设标准高于深圳市工业区块线中厂房的标准，采用大平层、宽柱距，厂房总高度控制在70米以内。</w:t>
      </w:r>
      <w:bookmarkEnd w:id="4"/>
      <w:r>
        <w:rPr>
          <w:rFonts w:hint="eastAsia" w:ascii="仿宋_GB2312" w:hAnsi="黑体" w:eastAsia="仿宋_GB2312" w:cs="Times New Roman"/>
          <w:color w:val="auto"/>
          <w:sz w:val="32"/>
          <w:szCs w:val="32"/>
        </w:rPr>
        <w:t>项目首</w:t>
      </w:r>
      <w:r>
        <w:rPr>
          <w:rFonts w:hint="eastAsia" w:ascii="仿宋_GB2312" w:hAnsi="黑体" w:eastAsia="仿宋_GB2312" w:cs="Times New Roman"/>
          <w:color w:val="auto"/>
          <w:sz w:val="32"/>
          <w:szCs w:val="32"/>
          <w:lang w:val="en-US" w:eastAsia="zh-CN"/>
        </w:rPr>
        <w:t>期</w:t>
      </w:r>
      <w:r>
        <w:rPr>
          <w:rFonts w:hint="default" w:ascii="仿宋_GB2312" w:hAnsi="黑体" w:eastAsia="仿宋_GB2312" w:cs="Times New Roman"/>
          <w:color w:val="auto"/>
          <w:sz w:val="32"/>
          <w:szCs w:val="32"/>
        </w:rPr>
        <w:t>厂房</w:t>
      </w:r>
      <w:r>
        <w:rPr>
          <w:rFonts w:hint="eastAsia" w:ascii="仿宋_GB2312" w:hAnsi="黑体" w:eastAsia="仿宋_GB2312" w:cs="Times New Roman"/>
          <w:color w:val="auto"/>
          <w:sz w:val="32"/>
          <w:szCs w:val="32"/>
          <w:lang w:val="en-US" w:eastAsia="zh-CN"/>
        </w:rPr>
        <w:t>和二期厂房分别于</w:t>
      </w:r>
      <w:r>
        <w:rPr>
          <w:rFonts w:hint="eastAsia" w:ascii="仿宋_GB2312" w:hAnsi="黑体" w:eastAsia="仿宋_GB2312" w:cs="Times New Roman"/>
          <w:color w:val="auto"/>
          <w:sz w:val="32"/>
          <w:szCs w:val="32"/>
        </w:rPr>
        <w:t>2023年12月</w:t>
      </w:r>
      <w:r>
        <w:rPr>
          <w:rFonts w:hint="eastAsia" w:ascii="仿宋_GB2312" w:hAnsi="黑体" w:eastAsia="仿宋_GB2312" w:cs="Times New Roman"/>
          <w:color w:val="auto"/>
          <w:sz w:val="32"/>
          <w:szCs w:val="32"/>
          <w:lang w:eastAsia="zh-CN"/>
        </w:rPr>
        <w:t>、</w:t>
      </w:r>
      <w:r>
        <w:rPr>
          <w:rFonts w:hint="eastAsia" w:ascii="仿宋_GB2312" w:hAnsi="黑体" w:eastAsia="仿宋_GB2312" w:cs="Times New Roman"/>
          <w:color w:val="auto"/>
          <w:sz w:val="32"/>
          <w:szCs w:val="32"/>
          <w:lang w:val="en-US" w:eastAsia="zh-CN"/>
        </w:rPr>
        <w:t>2024年8月</w:t>
      </w:r>
      <w:r>
        <w:rPr>
          <w:rFonts w:hint="eastAsia" w:ascii="仿宋_GB2312" w:hAnsi="黑体" w:eastAsia="仿宋_GB2312" w:cs="Times New Roman"/>
          <w:color w:val="auto"/>
          <w:sz w:val="32"/>
          <w:szCs w:val="32"/>
        </w:rPr>
        <w:t>建成完工</w:t>
      </w:r>
      <w:r>
        <w:rPr>
          <w:rFonts w:hint="eastAsia" w:ascii="仿宋_GB2312" w:hAnsi="黑体" w:eastAsia="仿宋_GB2312" w:cs="Times New Roman"/>
          <w:color w:val="auto"/>
          <w:sz w:val="32"/>
          <w:szCs w:val="32"/>
          <w:lang w:eastAsia="zh-CN"/>
        </w:rPr>
        <w:t>，</w:t>
      </w:r>
      <w:r>
        <w:rPr>
          <w:rFonts w:hint="eastAsia" w:ascii="仿宋_GB2312" w:hAnsi="黑体" w:eastAsia="仿宋_GB2312" w:cs="Times New Roman"/>
          <w:color w:val="auto"/>
          <w:sz w:val="32"/>
          <w:szCs w:val="32"/>
          <w:lang w:val="en-US" w:eastAsia="zh-CN"/>
        </w:rPr>
        <w:t>配套宿舍预计2024年12月建成完工</w:t>
      </w:r>
      <w:r>
        <w:rPr>
          <w:rFonts w:hint="eastAsia" w:ascii="仿宋_GB2312" w:hAnsi="黑体" w:eastAsia="仿宋_GB2312" w:cs="Times New Roman"/>
          <w:color w:val="auto"/>
          <w:sz w:val="32"/>
          <w:szCs w:val="32"/>
        </w:rPr>
        <w:t>。</w:t>
      </w:r>
    </w:p>
    <w:p>
      <w:pP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5735955" cy="3225800"/>
            <wp:effectExtent l="0" t="0" r="17145" b="12700"/>
            <wp:docPr id="3" name="图片 1" descr="演示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演示文稿1_01"/>
                    <pic:cNvPicPr>
                      <a:picLocks noChangeAspect="1"/>
                    </pic:cNvPicPr>
                  </pic:nvPicPr>
                  <pic:blipFill>
                    <a:blip r:embed="rId5"/>
                    <a:stretch>
                      <a:fillRect/>
                    </a:stretch>
                  </pic:blipFill>
                  <pic:spPr>
                    <a:xfrm>
                      <a:off x="0" y="0"/>
                      <a:ext cx="5735955" cy="3225800"/>
                    </a:xfrm>
                    <a:prstGeom prst="rect">
                      <a:avLst/>
                    </a:prstGeom>
                    <a:noFill/>
                    <a:ln>
                      <a:noFill/>
                    </a:ln>
                  </pic:spPr>
                </pic:pic>
              </a:graphicData>
            </a:graphic>
          </wp:inline>
        </w:drawing>
      </w:r>
    </w:p>
    <w:p>
      <w:pPr>
        <w:spacing w:line="560" w:lineRule="exact"/>
        <w:ind w:firstLine="640" w:firstLineChars="200"/>
        <w:jc w:val="center"/>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（地块周边研发用房和住宅、人才用房分布图）</w:t>
      </w:r>
    </w:p>
    <w:p>
      <w:pPr>
        <w:spacing w:line="560" w:lineRule="exact"/>
        <w:ind w:firstLine="640" w:firstLineChars="200"/>
        <w:jc w:val="left"/>
        <w:rPr>
          <w:rFonts w:ascii="黑体" w:hAnsi="黑体" w:eastAsia="黑体" w:cs="黑体"/>
          <w:color w:val="auto"/>
          <w:sz w:val="32"/>
          <w:szCs w:val="32"/>
        </w:rPr>
      </w:pPr>
      <w:r>
        <w:rPr>
          <w:rFonts w:hint="eastAsia" w:ascii="黑体" w:hAnsi="黑体" w:eastAsia="黑体" w:cs="黑体"/>
          <w:color w:val="auto"/>
          <w:sz w:val="32"/>
          <w:szCs w:val="32"/>
        </w:rPr>
        <w:t>二、项目区位和产业优势</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龙岗区是深圳市的产业大区，地处深圳东部，是东进战略主战场，拥有雄厚的先进制造业和</w:t>
      </w:r>
      <w:r>
        <w:rPr>
          <w:rFonts w:hint="eastAsia" w:ascii="仿宋_GB2312" w:hAnsi="黑体" w:eastAsia="仿宋_GB2312" w:cs="Times New Roman"/>
          <w:color w:val="auto"/>
          <w:sz w:val="32"/>
          <w:szCs w:val="32"/>
          <w:lang w:eastAsia="zh-CN"/>
        </w:rPr>
        <w:t>战略性新兴产业</w:t>
      </w:r>
      <w:r>
        <w:rPr>
          <w:rFonts w:hint="eastAsia" w:ascii="仿宋_GB2312" w:hAnsi="黑体" w:eastAsia="仿宋_GB2312" w:cs="Times New Roman"/>
          <w:color w:val="auto"/>
          <w:sz w:val="32"/>
          <w:szCs w:val="32"/>
        </w:rPr>
        <w:t>基础，拥有现代化产业体系和现代服务业的战略潜力，已形成IT、BT、低碳三个涵盖制造业与服务业的产业集群，是深圳市实体经济的主要承载地。</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宝龙试点项目处于龙岗区宝龙街道宝龙科技城核心区范围。宝龙科技城作为龙岗区产业发展的“东核”，是由政府主导、规划建设的产业园区，总面积18.03平方公里，定位为国家级高新园区示范区、东部制造业主力企业集聚区及深圳生物药创新先导区。宝龙科技城产业基础良好，已形成了以新能源、新材料、新一代信息技术、生物医药产业为主导的产业格局。</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宝龙试点项目交通优势明显，东距坪山高铁站4.5公里，南接地铁14号线宝龙站，30分钟畅达福田等市中心区；东部过境高速经过片区南部，未来可实现15 分钟到达莲塘口岸；丹荷路、碧新路正在加快建设，与龙岗中心城、大运新城时间距离将进一步缩短。</w:t>
      </w:r>
    </w:p>
    <w:p>
      <w:pPr>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drawing>
          <wp:anchor distT="0" distB="0" distL="114300" distR="114300" simplePos="0" relativeHeight="251664384" behindDoc="0" locked="0" layoutInCell="1" allowOverlap="1">
            <wp:simplePos x="0" y="0"/>
            <wp:positionH relativeFrom="column">
              <wp:posOffset>504825</wp:posOffset>
            </wp:positionH>
            <wp:positionV relativeFrom="paragraph">
              <wp:posOffset>17780</wp:posOffset>
            </wp:positionV>
            <wp:extent cx="4518025" cy="2362835"/>
            <wp:effectExtent l="0" t="0" r="15875" b="18415"/>
            <wp:wrapSquare wrapText="bothSides"/>
            <wp:docPr id="5" name="图片 2" descr="18a144cbaaa17a4387178e8b6cc1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8a144cbaaa17a4387178e8b6cc136a"/>
                    <pic:cNvPicPr>
                      <a:picLocks noChangeAspect="1"/>
                    </pic:cNvPicPr>
                  </pic:nvPicPr>
                  <pic:blipFill>
                    <a:blip r:embed="rId6"/>
                    <a:srcRect t="7019"/>
                    <a:stretch>
                      <a:fillRect/>
                    </a:stretch>
                  </pic:blipFill>
                  <pic:spPr>
                    <a:xfrm>
                      <a:off x="0" y="0"/>
                      <a:ext cx="4518025" cy="2362835"/>
                    </a:xfrm>
                    <a:prstGeom prst="rect">
                      <a:avLst/>
                    </a:prstGeom>
                    <a:noFill/>
                    <a:ln>
                      <a:noFill/>
                    </a:ln>
                  </pic:spPr>
                </pic:pic>
              </a:graphicData>
            </a:graphic>
          </wp:anchor>
        </w:drawing>
      </w:r>
    </w:p>
    <w:p>
      <w:pPr>
        <w:spacing w:line="560" w:lineRule="exact"/>
        <w:ind w:firstLine="640" w:firstLineChars="200"/>
        <w:rPr>
          <w:rFonts w:ascii="仿宋" w:hAnsi="仿宋" w:eastAsia="仿宋" w:cs="仿宋"/>
          <w:color w:val="auto"/>
          <w:sz w:val="32"/>
          <w:szCs w:val="32"/>
        </w:rPr>
      </w:pPr>
    </w:p>
    <w:p>
      <w:pPr>
        <w:spacing w:line="560" w:lineRule="exact"/>
        <w:ind w:firstLine="640" w:firstLineChars="200"/>
        <w:rPr>
          <w:rFonts w:ascii="仿宋" w:hAnsi="仿宋" w:eastAsia="仿宋" w:cs="仿宋"/>
          <w:color w:val="auto"/>
          <w:sz w:val="32"/>
          <w:szCs w:val="32"/>
        </w:rPr>
      </w:pPr>
    </w:p>
    <w:p>
      <w:pPr>
        <w:spacing w:line="560" w:lineRule="exact"/>
        <w:ind w:firstLine="640" w:firstLineChars="200"/>
        <w:rPr>
          <w:rFonts w:ascii="仿宋" w:hAnsi="仿宋" w:eastAsia="仿宋" w:cs="仿宋"/>
          <w:color w:val="auto"/>
          <w:sz w:val="32"/>
          <w:szCs w:val="32"/>
        </w:rPr>
      </w:pPr>
    </w:p>
    <w:p>
      <w:pPr>
        <w:spacing w:line="560" w:lineRule="exact"/>
        <w:ind w:firstLine="640" w:firstLineChars="200"/>
        <w:rPr>
          <w:rFonts w:ascii="仿宋" w:hAnsi="仿宋" w:eastAsia="仿宋" w:cs="仿宋"/>
          <w:color w:val="auto"/>
          <w:sz w:val="32"/>
          <w:szCs w:val="32"/>
        </w:rPr>
      </w:pPr>
    </w:p>
    <w:p>
      <w:pPr>
        <w:spacing w:line="560" w:lineRule="exact"/>
        <w:ind w:firstLine="640" w:firstLineChars="200"/>
        <w:rPr>
          <w:rFonts w:ascii="仿宋" w:hAnsi="仿宋" w:eastAsia="仿宋" w:cs="仿宋"/>
          <w:color w:val="auto"/>
          <w:sz w:val="32"/>
          <w:szCs w:val="32"/>
        </w:rPr>
      </w:pPr>
    </w:p>
    <w:p>
      <w:pPr>
        <w:spacing w:line="560" w:lineRule="exact"/>
        <w:ind w:firstLine="640" w:firstLineChars="200"/>
        <w:rPr>
          <w:rFonts w:ascii="仿宋" w:hAnsi="仿宋" w:eastAsia="仿宋" w:cs="仿宋"/>
          <w:color w:val="auto"/>
          <w:sz w:val="32"/>
          <w:szCs w:val="32"/>
        </w:rPr>
      </w:pPr>
    </w:p>
    <w:p>
      <w:pPr>
        <w:spacing w:line="560" w:lineRule="exact"/>
        <w:ind w:firstLine="640" w:firstLineChars="200"/>
        <w:jc w:val="center"/>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项目区位交通图</w:t>
      </w:r>
    </w:p>
    <w:p>
      <w:pPr>
        <w:spacing w:line="56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三、项目规划</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项目建设时间： 2022年3月21日开始建设（土地摘牌日）；</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项目拟完成时间：首</w:t>
      </w:r>
      <w:r>
        <w:rPr>
          <w:rFonts w:hint="eastAsia" w:ascii="仿宋_GB2312" w:hAnsi="黑体" w:eastAsia="仿宋_GB2312" w:cs="Times New Roman"/>
          <w:color w:val="auto"/>
          <w:sz w:val="32"/>
          <w:szCs w:val="32"/>
          <w:lang w:val="en-US" w:eastAsia="zh-CN"/>
        </w:rPr>
        <w:t>期</w:t>
      </w:r>
      <w:r>
        <w:rPr>
          <w:rFonts w:hint="default" w:ascii="仿宋_GB2312" w:hAnsi="黑体" w:eastAsia="仿宋_GB2312" w:cs="Times New Roman"/>
          <w:color w:val="auto"/>
          <w:sz w:val="32"/>
          <w:szCs w:val="32"/>
        </w:rPr>
        <w:t>厂房</w:t>
      </w:r>
      <w:r>
        <w:rPr>
          <w:rFonts w:hint="eastAsia" w:ascii="仿宋_GB2312" w:hAnsi="黑体" w:eastAsia="仿宋_GB2312" w:cs="Times New Roman"/>
          <w:color w:val="auto"/>
          <w:sz w:val="32"/>
          <w:szCs w:val="32"/>
          <w:lang w:val="en-US" w:eastAsia="zh-CN"/>
        </w:rPr>
        <w:t>和二期厂房分别于</w:t>
      </w:r>
      <w:r>
        <w:rPr>
          <w:rFonts w:hint="eastAsia" w:ascii="仿宋_GB2312" w:hAnsi="黑体" w:eastAsia="仿宋_GB2312" w:cs="Times New Roman"/>
          <w:color w:val="auto"/>
          <w:sz w:val="32"/>
          <w:szCs w:val="32"/>
        </w:rPr>
        <w:t>2023年12月</w:t>
      </w:r>
      <w:r>
        <w:rPr>
          <w:rFonts w:hint="eastAsia" w:ascii="仿宋_GB2312" w:hAnsi="黑体" w:eastAsia="仿宋_GB2312" w:cs="Times New Roman"/>
          <w:color w:val="auto"/>
          <w:sz w:val="32"/>
          <w:szCs w:val="32"/>
          <w:lang w:eastAsia="zh-CN"/>
        </w:rPr>
        <w:t>、</w:t>
      </w:r>
      <w:r>
        <w:rPr>
          <w:rFonts w:hint="eastAsia" w:ascii="仿宋_GB2312" w:hAnsi="黑体" w:eastAsia="仿宋_GB2312" w:cs="Times New Roman"/>
          <w:color w:val="auto"/>
          <w:sz w:val="32"/>
          <w:szCs w:val="32"/>
          <w:lang w:val="en-US" w:eastAsia="zh-CN"/>
        </w:rPr>
        <w:t>2024年8月</w:t>
      </w:r>
      <w:r>
        <w:rPr>
          <w:rFonts w:hint="eastAsia" w:ascii="仿宋_GB2312" w:hAnsi="黑体" w:eastAsia="仿宋_GB2312" w:cs="Times New Roman"/>
          <w:color w:val="auto"/>
          <w:sz w:val="32"/>
          <w:szCs w:val="32"/>
        </w:rPr>
        <w:t>建成完工</w:t>
      </w:r>
      <w:r>
        <w:rPr>
          <w:rFonts w:hint="eastAsia" w:ascii="仿宋_GB2312" w:hAnsi="黑体" w:eastAsia="仿宋_GB2312" w:cs="Times New Roman"/>
          <w:color w:val="auto"/>
          <w:sz w:val="32"/>
          <w:szCs w:val="32"/>
          <w:lang w:eastAsia="zh-CN"/>
        </w:rPr>
        <w:t>，</w:t>
      </w:r>
      <w:r>
        <w:rPr>
          <w:rFonts w:hint="eastAsia" w:ascii="仿宋_GB2312" w:hAnsi="黑体" w:eastAsia="仿宋_GB2312" w:cs="Times New Roman"/>
          <w:color w:val="auto"/>
          <w:sz w:val="32"/>
          <w:szCs w:val="32"/>
          <w:lang w:val="en-US" w:eastAsia="zh-CN"/>
        </w:rPr>
        <w:t>配套宿舍预计2024年12月建成完工</w:t>
      </w:r>
      <w:r>
        <w:rPr>
          <w:rFonts w:hint="eastAsia" w:ascii="仿宋_GB2312" w:hAnsi="黑体" w:eastAsia="仿宋_GB2312" w:cs="Times New Roman"/>
          <w:color w:val="auto"/>
          <w:sz w:val="32"/>
          <w:szCs w:val="32"/>
        </w:rPr>
        <w:t>。</w:t>
      </w:r>
    </w:p>
    <w:p>
      <w:pPr>
        <w:pStyle w:val="3"/>
        <w:ind w:left="0"/>
        <w:rPr>
          <w:color w:val="auto"/>
        </w:rPr>
      </w:pPr>
    </w:p>
    <w:tbl>
      <w:tblPr>
        <w:tblStyle w:val="10"/>
        <w:tblW w:w="0" w:type="auto"/>
        <w:tblCellSpacing w:w="0"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35"/>
        <w:gridCol w:w="1729"/>
        <w:gridCol w:w="1686"/>
        <w:gridCol w:w="1714"/>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tblHeader/>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建筑指标项目</w:t>
            </w:r>
          </w:p>
        </w:tc>
        <w:tc>
          <w:tcPr>
            <w:tcW w:w="6847" w:type="dxa"/>
            <w:gridSpan w:val="4"/>
            <w:vAlign w:val="center"/>
          </w:tcPr>
          <w:p>
            <w:pPr>
              <w:widowControl/>
              <w:spacing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工业厂房地块、工业配套宿舍</w:t>
            </w:r>
          </w:p>
          <w:p>
            <w:pPr>
              <w:widowControl/>
              <w:spacing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（暂定，具体建筑指标调整以政府审批为准）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地块编号</w:t>
            </w:r>
          </w:p>
        </w:tc>
        <w:tc>
          <w:tcPr>
            <w:tcW w:w="1729" w:type="dxa"/>
            <w:tcMar>
              <w:top w:w="20" w:type="dxa"/>
              <w:left w:w="20" w:type="dxa"/>
              <w:bottom w:w="72" w:type="dxa"/>
              <w:right w:w="20" w:type="dxa"/>
            </w:tcMar>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03-21-03</w:t>
            </w:r>
          </w:p>
        </w:tc>
        <w:tc>
          <w:tcPr>
            <w:tcW w:w="1686" w:type="dxa"/>
            <w:tcMar>
              <w:top w:w="20" w:type="dxa"/>
              <w:left w:w="20" w:type="dxa"/>
              <w:bottom w:w="72" w:type="dxa"/>
              <w:right w:w="20" w:type="dxa"/>
            </w:tcMar>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05-04-01</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05-03-01</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03-22-04</w:t>
            </w:r>
            <w:r>
              <w:rPr>
                <w:rFonts w:ascii="仿宋" w:hAnsi="仿宋" w:eastAsia="仿宋" w:cs="仿宋"/>
                <w:color w:val="auto"/>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建筑面积（㎡）</w:t>
            </w:r>
          </w:p>
        </w:tc>
        <w:tc>
          <w:tcPr>
            <w:tcW w:w="1729" w:type="dxa"/>
            <w:tcMar>
              <w:top w:w="20" w:type="dxa"/>
              <w:left w:w="20" w:type="dxa"/>
              <w:bottom w:w="72" w:type="dxa"/>
              <w:right w:w="20" w:type="dxa"/>
            </w:tcMar>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101109.34</w:t>
            </w:r>
          </w:p>
        </w:tc>
        <w:tc>
          <w:tcPr>
            <w:tcW w:w="1686" w:type="dxa"/>
            <w:tcMar>
              <w:top w:w="20" w:type="dxa"/>
              <w:left w:w="20" w:type="dxa"/>
              <w:bottom w:w="72" w:type="dxa"/>
              <w:right w:w="20" w:type="dxa"/>
            </w:tcMar>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146090.42</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126796.76</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50642.39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建筑形态</w:t>
            </w:r>
          </w:p>
        </w:tc>
        <w:tc>
          <w:tcPr>
            <w:tcW w:w="1729"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10层厂房</w:t>
            </w:r>
          </w:p>
        </w:tc>
        <w:tc>
          <w:tcPr>
            <w:tcW w:w="1686"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10层厂房</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10层厂房</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7/26</w:t>
            </w:r>
            <w:r>
              <w:rPr>
                <w:rFonts w:hint="eastAsia" w:ascii="仿宋" w:hAnsi="仿宋" w:eastAsia="仿宋" w:cs="仿宋"/>
                <w:color w:val="auto"/>
                <w:sz w:val="28"/>
                <w:szCs w:val="28"/>
              </w:rPr>
              <w:t>层宿舍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有无地下室</w:t>
            </w:r>
          </w:p>
        </w:tc>
        <w:tc>
          <w:tcPr>
            <w:tcW w:w="1729"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局部有</w:t>
            </w:r>
          </w:p>
        </w:tc>
        <w:tc>
          <w:tcPr>
            <w:tcW w:w="1686"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局部有</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有</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标准层面积（㎡）</w:t>
            </w:r>
          </w:p>
        </w:tc>
        <w:tc>
          <w:tcPr>
            <w:tcW w:w="1729"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7800-11700</w:t>
            </w:r>
          </w:p>
        </w:tc>
        <w:tc>
          <w:tcPr>
            <w:tcW w:w="1686"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11600-16350</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9700-14850</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1000-1100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首层层高（m）</w:t>
            </w:r>
          </w:p>
        </w:tc>
        <w:tc>
          <w:tcPr>
            <w:tcW w:w="1729"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8</w:t>
            </w:r>
          </w:p>
        </w:tc>
        <w:tc>
          <w:tcPr>
            <w:tcW w:w="1686"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8</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8</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首层荷载（KG/㎡）</w:t>
            </w:r>
          </w:p>
        </w:tc>
        <w:tc>
          <w:tcPr>
            <w:tcW w:w="1729"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2000</w:t>
            </w:r>
          </w:p>
        </w:tc>
        <w:tc>
          <w:tcPr>
            <w:tcW w:w="1686"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2000</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2000</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2-</w:t>
            </w:r>
            <w:r>
              <w:rPr>
                <w:rFonts w:ascii="仿宋" w:hAnsi="仿宋" w:eastAsia="仿宋" w:cs="仿宋"/>
                <w:color w:val="auto"/>
                <w:sz w:val="28"/>
                <w:szCs w:val="28"/>
              </w:rPr>
              <w:t>4</w:t>
            </w:r>
            <w:r>
              <w:rPr>
                <w:rFonts w:hint="eastAsia" w:ascii="仿宋" w:hAnsi="仿宋" w:eastAsia="仿宋" w:cs="仿宋"/>
                <w:color w:val="auto"/>
                <w:sz w:val="28"/>
                <w:szCs w:val="28"/>
              </w:rPr>
              <w:t>层层高（m）</w:t>
            </w:r>
          </w:p>
        </w:tc>
        <w:tc>
          <w:tcPr>
            <w:tcW w:w="1729"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5.4</w:t>
            </w:r>
          </w:p>
        </w:tc>
        <w:tc>
          <w:tcPr>
            <w:tcW w:w="1686"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5.4</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5.4</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2-</w:t>
            </w:r>
            <w:r>
              <w:rPr>
                <w:rFonts w:ascii="仿宋" w:hAnsi="仿宋" w:eastAsia="仿宋" w:cs="仿宋"/>
                <w:color w:val="auto"/>
                <w:sz w:val="28"/>
                <w:szCs w:val="28"/>
              </w:rPr>
              <w:t>4</w:t>
            </w:r>
            <w:r>
              <w:rPr>
                <w:rFonts w:hint="eastAsia" w:ascii="仿宋" w:hAnsi="仿宋" w:eastAsia="仿宋" w:cs="仿宋"/>
                <w:color w:val="auto"/>
                <w:sz w:val="28"/>
                <w:szCs w:val="28"/>
              </w:rPr>
              <w:t>层荷载</w:t>
            </w:r>
          </w:p>
        </w:tc>
        <w:tc>
          <w:tcPr>
            <w:tcW w:w="1729"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1200</w:t>
            </w:r>
          </w:p>
        </w:tc>
        <w:tc>
          <w:tcPr>
            <w:tcW w:w="1686"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1200</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1200</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5-10</w:t>
            </w:r>
            <w:r>
              <w:rPr>
                <w:rFonts w:hint="eastAsia" w:ascii="仿宋" w:hAnsi="仿宋" w:eastAsia="仿宋" w:cs="仿宋"/>
                <w:color w:val="auto"/>
                <w:sz w:val="28"/>
                <w:szCs w:val="28"/>
              </w:rPr>
              <w:t>层层高</w:t>
            </w:r>
          </w:p>
        </w:tc>
        <w:tc>
          <w:tcPr>
            <w:tcW w:w="1729"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4.5</w:t>
            </w:r>
          </w:p>
        </w:tc>
        <w:tc>
          <w:tcPr>
            <w:tcW w:w="1686"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4.5</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4.5</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5-10</w:t>
            </w:r>
            <w:r>
              <w:rPr>
                <w:rFonts w:hint="eastAsia" w:ascii="仿宋" w:hAnsi="仿宋" w:eastAsia="仿宋" w:cs="仿宋"/>
                <w:color w:val="auto"/>
                <w:sz w:val="28"/>
                <w:szCs w:val="28"/>
              </w:rPr>
              <w:t>层荷载</w:t>
            </w:r>
          </w:p>
        </w:tc>
        <w:tc>
          <w:tcPr>
            <w:tcW w:w="1729"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800</w:t>
            </w:r>
          </w:p>
        </w:tc>
        <w:tc>
          <w:tcPr>
            <w:tcW w:w="1686"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800</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ascii="仿宋" w:hAnsi="仿宋" w:eastAsia="仿宋" w:cs="仿宋"/>
                <w:color w:val="auto"/>
                <w:sz w:val="28"/>
                <w:szCs w:val="28"/>
              </w:rPr>
              <w:t>800</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有无吊装口</w:t>
            </w:r>
          </w:p>
        </w:tc>
        <w:tc>
          <w:tcPr>
            <w:tcW w:w="1729"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有</w:t>
            </w:r>
          </w:p>
        </w:tc>
        <w:tc>
          <w:tcPr>
            <w:tcW w:w="1686"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有</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有</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无（宿舍）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tblCellSpacing w:w="0" w:type="dxa"/>
        </w:trPr>
        <w:tc>
          <w:tcPr>
            <w:tcW w:w="2235"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货梯配置</w:t>
            </w:r>
          </w:p>
        </w:tc>
        <w:tc>
          <w:tcPr>
            <w:tcW w:w="6847" w:type="dxa"/>
            <w:gridSpan w:val="4"/>
            <w:vAlign w:val="center"/>
          </w:tcPr>
          <w:p>
            <w:pPr>
              <w:pStyle w:val="9"/>
              <w:spacing w:before="0" w:beforeAutospacing="0" w:after="0" w:afterAutospacing="0" w:line="320" w:lineRule="exact"/>
              <w:jc w:val="both"/>
              <w:rPr>
                <w:rFonts w:ascii="仿宋" w:hAnsi="仿宋" w:eastAsia="仿宋" w:cs="仿宋"/>
                <w:color w:val="auto"/>
                <w:sz w:val="28"/>
                <w:szCs w:val="28"/>
              </w:rPr>
            </w:pPr>
            <w:r>
              <w:rPr>
                <w:rFonts w:hint="eastAsia" w:ascii="仿宋" w:hAnsi="仿宋" w:eastAsia="仿宋" w:cs="仿宋"/>
                <w:color w:val="auto"/>
                <w:sz w:val="28"/>
                <w:szCs w:val="28"/>
              </w:rPr>
              <w:t>每个标准层至少设2台</w:t>
            </w:r>
            <w:r>
              <w:rPr>
                <w:rFonts w:ascii="仿宋" w:hAnsi="仿宋" w:eastAsia="仿宋" w:cs="仿宋"/>
                <w:color w:val="auto"/>
                <w:sz w:val="28"/>
                <w:szCs w:val="28"/>
              </w:rPr>
              <w:t>3</w:t>
            </w:r>
            <w:r>
              <w:rPr>
                <w:rFonts w:hint="eastAsia" w:ascii="仿宋" w:hAnsi="仿宋" w:eastAsia="仿宋" w:cs="仿宋"/>
                <w:color w:val="auto"/>
                <w:sz w:val="28"/>
                <w:szCs w:val="28"/>
              </w:rPr>
              <w:t>吨以上货梯，且每个生产单元至少设置</w:t>
            </w:r>
            <w:r>
              <w:rPr>
                <w:rFonts w:ascii="仿宋" w:hAnsi="仿宋" w:eastAsia="仿宋" w:cs="仿宋"/>
                <w:color w:val="auto"/>
                <w:sz w:val="28"/>
                <w:szCs w:val="28"/>
              </w:rPr>
              <w:t>2</w:t>
            </w:r>
            <w:r>
              <w:rPr>
                <w:rFonts w:hint="eastAsia" w:ascii="仿宋" w:hAnsi="仿宋" w:eastAsia="仿宋" w:cs="仿宋"/>
                <w:color w:val="auto"/>
                <w:sz w:val="28"/>
                <w:szCs w:val="28"/>
              </w:rPr>
              <w:t>台</w:t>
            </w:r>
            <w:r>
              <w:rPr>
                <w:rFonts w:ascii="仿宋" w:hAnsi="仿宋" w:eastAsia="仿宋" w:cs="仿宋"/>
                <w:color w:val="auto"/>
                <w:sz w:val="28"/>
                <w:szCs w:val="28"/>
              </w:rPr>
              <w:t>3</w:t>
            </w:r>
            <w:r>
              <w:rPr>
                <w:rFonts w:hint="eastAsia" w:ascii="仿宋" w:hAnsi="仿宋" w:eastAsia="仿宋" w:cs="仿宋"/>
                <w:color w:val="auto"/>
                <w:sz w:val="28"/>
                <w:szCs w:val="28"/>
              </w:rPr>
              <w:t>吨以上货梯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blCellSpacing w:w="0" w:type="dxa"/>
        </w:trPr>
        <w:tc>
          <w:tcPr>
            <w:tcW w:w="2235" w:type="dxa"/>
            <w:tcMar>
              <w:top w:w="8" w:type="dxa"/>
              <w:left w:w="8" w:type="dxa"/>
              <w:right w:w="8" w:type="dxa"/>
            </w:tcMar>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竣 备(毛坯)</w:t>
            </w:r>
          </w:p>
        </w:tc>
        <w:tc>
          <w:tcPr>
            <w:tcW w:w="1729"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202</w:t>
            </w:r>
            <w:r>
              <w:rPr>
                <w:rFonts w:ascii="仿宋" w:hAnsi="仿宋" w:eastAsia="仿宋" w:cs="仿宋"/>
                <w:color w:val="auto"/>
                <w:sz w:val="28"/>
                <w:szCs w:val="28"/>
              </w:rPr>
              <w:t>4</w:t>
            </w:r>
            <w:r>
              <w:rPr>
                <w:rFonts w:hint="eastAsia" w:ascii="仿宋" w:hAnsi="仿宋" w:eastAsia="仿宋" w:cs="仿宋"/>
                <w:color w:val="auto"/>
                <w:sz w:val="28"/>
                <w:szCs w:val="28"/>
              </w:rPr>
              <w:t>/</w:t>
            </w:r>
            <w:r>
              <w:rPr>
                <w:rFonts w:ascii="仿宋" w:hAnsi="仿宋" w:eastAsia="仿宋" w:cs="仿宋"/>
                <w:color w:val="auto"/>
                <w:sz w:val="28"/>
                <w:szCs w:val="28"/>
              </w:rPr>
              <w:t>8</w:t>
            </w:r>
          </w:p>
        </w:tc>
        <w:tc>
          <w:tcPr>
            <w:tcW w:w="1686"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2023/</w:t>
            </w:r>
            <w:r>
              <w:rPr>
                <w:rFonts w:ascii="仿宋" w:hAnsi="仿宋" w:eastAsia="仿宋" w:cs="仿宋"/>
                <w:color w:val="auto"/>
                <w:sz w:val="28"/>
                <w:szCs w:val="28"/>
              </w:rPr>
              <w:t>12</w:t>
            </w:r>
          </w:p>
        </w:tc>
        <w:tc>
          <w:tcPr>
            <w:tcW w:w="1714"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2023/</w:t>
            </w:r>
            <w:r>
              <w:rPr>
                <w:rFonts w:ascii="仿宋" w:hAnsi="仿宋" w:eastAsia="仿宋" w:cs="仿宋"/>
                <w:color w:val="auto"/>
                <w:sz w:val="28"/>
                <w:szCs w:val="28"/>
              </w:rPr>
              <w:t>12</w:t>
            </w:r>
          </w:p>
        </w:tc>
        <w:tc>
          <w:tcPr>
            <w:tcW w:w="1718" w:type="dxa"/>
            <w:vAlign w:val="center"/>
          </w:tcPr>
          <w:p>
            <w:pPr>
              <w:pStyle w:val="9"/>
              <w:spacing w:before="0" w:beforeAutospacing="0" w:after="0" w:afterAutospacing="0" w:line="320" w:lineRule="exact"/>
              <w:jc w:val="center"/>
              <w:rPr>
                <w:rFonts w:ascii="仿宋" w:hAnsi="仿宋" w:eastAsia="仿宋" w:cs="仿宋"/>
                <w:color w:val="auto"/>
                <w:sz w:val="28"/>
                <w:szCs w:val="28"/>
              </w:rPr>
            </w:pPr>
            <w:r>
              <w:rPr>
                <w:rFonts w:hint="eastAsia" w:ascii="仿宋" w:hAnsi="仿宋" w:eastAsia="仿宋" w:cs="仿宋"/>
                <w:color w:val="auto"/>
                <w:sz w:val="28"/>
                <w:szCs w:val="28"/>
              </w:rPr>
              <w:t>202</w:t>
            </w:r>
            <w:r>
              <w:rPr>
                <w:rFonts w:ascii="仿宋" w:hAnsi="仿宋" w:eastAsia="仿宋" w:cs="仿宋"/>
                <w:color w:val="auto"/>
                <w:sz w:val="28"/>
                <w:szCs w:val="28"/>
              </w:rPr>
              <w:t>4</w:t>
            </w:r>
            <w:r>
              <w:rPr>
                <w:rFonts w:hint="eastAsia" w:ascii="仿宋" w:hAnsi="仿宋" w:eastAsia="仿宋" w:cs="仿宋"/>
                <w:color w:val="auto"/>
                <w:sz w:val="28"/>
                <w:szCs w:val="28"/>
              </w:rPr>
              <w:t>/11</w:t>
            </w:r>
          </w:p>
        </w:tc>
      </w:tr>
    </w:tbl>
    <w:p>
      <w:pPr>
        <w:spacing w:line="560" w:lineRule="exact"/>
        <w:rPr>
          <w:rFonts w:ascii="仿宋_GB2312" w:hAnsi="仿宋_GB2312" w:eastAsia="仿宋_GB2312" w:cs="仿宋_GB2312"/>
          <w:color w:val="auto"/>
          <w:sz w:val="32"/>
          <w:szCs w:val="32"/>
        </w:rPr>
      </w:pPr>
    </w:p>
    <w:p>
      <w:pPr>
        <w:spacing w:line="560" w:lineRule="exact"/>
        <w:rPr>
          <w:rFonts w:ascii="仿宋_GB2312" w:hAnsi="仿宋_GB2312" w:eastAsia="仿宋_GB2312" w:cs="仿宋_GB2312"/>
          <w:color w:val="auto"/>
          <w:sz w:val="32"/>
          <w:szCs w:val="32"/>
        </w:rPr>
      </w:pPr>
    </w:p>
    <w:p>
      <w:pPr>
        <w:pStyle w:val="2"/>
        <w:rPr>
          <w:rFonts w:ascii="仿宋_GB2312" w:hAnsi="仿宋_GB2312" w:eastAsia="仿宋_GB2312" w:cs="仿宋_GB2312"/>
          <w:color w:val="auto"/>
          <w:sz w:val="32"/>
          <w:szCs w:val="32"/>
        </w:rPr>
      </w:pPr>
    </w:p>
    <w:p>
      <w:pPr>
        <w:pStyle w:val="3"/>
        <w:rPr>
          <w:rFonts w:ascii="仿宋_GB2312" w:hAnsi="仿宋_GB2312" w:eastAsia="仿宋_GB2312" w:cs="仿宋_GB2312"/>
          <w:color w:val="auto"/>
          <w:sz w:val="32"/>
          <w:szCs w:val="32"/>
        </w:rPr>
      </w:pPr>
    </w:p>
    <w:p>
      <w:pPr>
        <w:jc w:val="center"/>
        <w:rPr>
          <w:rFonts w:ascii="仿宋_GB2312" w:hAnsi="仿宋_GB2312" w:eastAsia="仿宋_GB2312" w:cs="仿宋_GB2312"/>
          <w:color w:val="auto"/>
          <w:sz w:val="32"/>
          <w:szCs w:val="32"/>
        </w:rPr>
      </w:pPr>
      <w:r>
        <w:rPr>
          <w:color w:val="auto"/>
        </w:rPr>
        <w:drawing>
          <wp:inline distT="0" distB="0" distL="114300" distR="114300">
            <wp:extent cx="3287395" cy="3505200"/>
            <wp:effectExtent l="0" t="0" r="825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7"/>
                    <a:stretch>
                      <a:fillRect/>
                    </a:stretch>
                  </pic:blipFill>
                  <pic:spPr>
                    <a:xfrm>
                      <a:off x="0" y="0"/>
                      <a:ext cx="3287395" cy="3505200"/>
                    </a:xfrm>
                    <a:prstGeom prst="rect">
                      <a:avLst/>
                    </a:prstGeom>
                    <a:noFill/>
                    <a:ln>
                      <a:noFill/>
                    </a:ln>
                  </pic:spPr>
                </pic:pic>
              </a:graphicData>
            </a:graphic>
          </wp:inline>
        </w:drawing>
      </w:r>
    </w:p>
    <w:p>
      <w:pPr>
        <w:spacing w:line="560" w:lineRule="exact"/>
        <w:ind w:firstLine="640" w:firstLineChars="200"/>
        <w:jc w:val="center"/>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（项目空间布局示意图）</w:t>
      </w:r>
    </w:p>
    <w:p>
      <w:pPr>
        <w:spacing w:line="56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四、申请条件</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入选企业范围包括：深圳市内外符合先进制造业要求的优质成长型企业、上市及拟上市企业</w:t>
      </w:r>
      <w:r>
        <w:rPr>
          <w:rFonts w:hint="eastAsia" w:ascii="仿宋_GB2312" w:hAnsi="黑体" w:eastAsia="仿宋_GB2312" w:cs="Times New Roman"/>
          <w:color w:val="auto"/>
          <w:sz w:val="32"/>
          <w:szCs w:val="32"/>
          <w:lang w:eastAsia="zh-CN"/>
        </w:rPr>
        <w:t>，</w:t>
      </w:r>
      <w:r>
        <w:rPr>
          <w:rFonts w:hint="eastAsia" w:ascii="仿宋_GB2312" w:hAnsi="黑体" w:eastAsia="仿宋_GB2312" w:cs="Times New Roman"/>
          <w:color w:val="auto"/>
          <w:sz w:val="32"/>
          <w:szCs w:val="32"/>
          <w:lang w:val="en-US" w:eastAsia="zh-CN"/>
        </w:rPr>
        <w:t>以及</w:t>
      </w:r>
      <w:r>
        <w:rPr>
          <w:rFonts w:hint="eastAsia" w:ascii="仿宋_GB2312" w:hAnsi="黑体" w:eastAsia="仿宋_GB2312" w:cs="Times New Roman"/>
          <w:color w:val="auto"/>
          <w:sz w:val="32"/>
          <w:szCs w:val="32"/>
          <w:lang w:eastAsia="zh-CN"/>
        </w:rPr>
        <w:t>为上述单位提供服务的现代服务业企业(机构)</w:t>
      </w:r>
      <w:r>
        <w:rPr>
          <w:rFonts w:hint="eastAsia" w:ascii="仿宋_GB2312" w:hAnsi="黑体" w:eastAsia="仿宋_GB2312" w:cs="Times New Roman"/>
          <w:color w:val="auto"/>
          <w:sz w:val="32"/>
          <w:szCs w:val="32"/>
        </w:rPr>
        <w:t>。为打造专业化先进制造业园区，优先引进IT产业、BT产业和低碳产业内的半导体与集成电路、新能源、生物医药、超高清视频显示、安全节能环保产业集群内的企业；为符合深圳市产业发展定位，引进属于深圳市20个战略性新兴产业集群和8大未来产业集群的企业。具体要求如下（符合以下条件之一）：</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1.优质成长型企业（符合以下条件之一）：①经政府部门认定的创新型中小企业、专精特新中小企业和专精特新“小巨人”企业、</w:t>
      </w:r>
      <w:r>
        <w:rPr>
          <w:rFonts w:hint="eastAsia" w:ascii="仿宋_GB2312" w:hAnsi="黑体" w:eastAsia="仿宋_GB2312" w:cs="Times New Roman"/>
          <w:color w:val="auto"/>
          <w:sz w:val="32"/>
          <w:szCs w:val="32"/>
          <w:highlight w:val="none"/>
        </w:rPr>
        <w:t>国家高新技术制造业企业</w:t>
      </w:r>
      <w:r>
        <w:rPr>
          <w:rFonts w:hint="eastAsia" w:ascii="仿宋_GB2312" w:hAnsi="黑体" w:eastAsia="仿宋_GB2312" w:cs="Times New Roman"/>
          <w:color w:val="auto"/>
          <w:sz w:val="32"/>
          <w:szCs w:val="32"/>
        </w:rPr>
        <w:t>、</w:t>
      </w:r>
      <w:r>
        <w:rPr>
          <w:rFonts w:hint="default" w:ascii="仿宋_GB2312" w:hAnsi="黑体" w:eastAsia="仿宋_GB2312" w:cs="Times New Roman"/>
          <w:color w:val="auto"/>
          <w:sz w:val="32"/>
          <w:szCs w:val="32"/>
        </w:rPr>
        <w:t>深圳</w:t>
      </w:r>
      <w:r>
        <w:rPr>
          <w:rFonts w:hint="eastAsia" w:ascii="仿宋_GB2312" w:hAnsi="黑体" w:eastAsia="仿宋_GB2312" w:cs="Times New Roman"/>
          <w:color w:val="auto"/>
          <w:sz w:val="32"/>
          <w:szCs w:val="32"/>
        </w:rPr>
        <w:t>市“链长制”重点产业链重点企业名单企业</w:t>
      </w:r>
      <w:r>
        <w:rPr>
          <w:rFonts w:hint="eastAsia" w:ascii="仿宋_GB2312" w:hAnsi="黑体" w:eastAsia="仿宋_GB2312" w:cs="Times New Roman"/>
          <w:color w:val="auto"/>
          <w:sz w:val="32"/>
          <w:szCs w:val="32"/>
          <w:lang w:eastAsia="zh-CN"/>
        </w:rPr>
        <w:t>及</w:t>
      </w:r>
      <w:r>
        <w:rPr>
          <w:rFonts w:hint="default" w:ascii="仿宋_GB2312" w:hAnsi="黑体" w:eastAsia="仿宋_GB2312" w:cs="Times New Roman"/>
          <w:color w:val="auto"/>
          <w:sz w:val="32"/>
          <w:szCs w:val="32"/>
        </w:rPr>
        <w:t>上述</w:t>
      </w:r>
      <w:r>
        <w:rPr>
          <w:rFonts w:hint="eastAsia" w:ascii="仿宋_GB2312" w:hAnsi="黑体" w:eastAsia="仿宋_GB2312" w:cs="Times New Roman"/>
          <w:color w:val="auto"/>
          <w:sz w:val="32"/>
          <w:szCs w:val="32"/>
        </w:rPr>
        <w:t>企业</w:t>
      </w:r>
      <w:r>
        <w:rPr>
          <w:rFonts w:hint="eastAsia" w:ascii="仿宋_GB2312" w:hAnsi="黑体" w:eastAsia="仿宋_GB2312" w:cs="Times New Roman"/>
          <w:color w:val="auto"/>
          <w:sz w:val="32"/>
          <w:szCs w:val="32"/>
          <w:highlight w:val="none"/>
        </w:rPr>
        <w:t>控股子公司</w:t>
      </w:r>
      <w:r>
        <w:rPr>
          <w:rFonts w:hint="eastAsia" w:ascii="仿宋_GB2312" w:hAnsi="黑体" w:eastAsia="仿宋_GB2312" w:cs="Times New Roman"/>
          <w:color w:val="auto"/>
          <w:sz w:val="32"/>
          <w:szCs w:val="32"/>
        </w:rPr>
        <w:t>；②</w:t>
      </w:r>
      <w:r>
        <w:rPr>
          <w:rFonts w:hint="eastAsia" w:ascii="仿宋_GB2312" w:hAnsi="黑体" w:eastAsia="仿宋_GB2312" w:cs="Times New Roman"/>
          <w:color w:val="auto"/>
          <w:sz w:val="32"/>
          <w:szCs w:val="32"/>
          <w:lang w:val="en-US" w:eastAsia="zh-CN"/>
        </w:rPr>
        <w:t>近一</w:t>
      </w:r>
      <w:r>
        <w:rPr>
          <w:rFonts w:hint="eastAsia" w:ascii="仿宋_GB2312" w:hAnsi="黑体" w:eastAsia="仿宋_GB2312" w:cs="Times New Roman"/>
          <w:color w:val="auto"/>
          <w:sz w:val="32"/>
          <w:szCs w:val="32"/>
        </w:rPr>
        <w:t>年主营业务收入超过</w:t>
      </w:r>
      <w:r>
        <w:rPr>
          <w:rFonts w:hint="eastAsia" w:ascii="仿宋_GB2312" w:hAnsi="黑体" w:eastAsia="仿宋_GB2312" w:cs="Times New Roman"/>
          <w:color w:val="auto"/>
          <w:sz w:val="32"/>
          <w:szCs w:val="32"/>
          <w:lang w:val="en-US" w:eastAsia="zh-CN"/>
        </w:rPr>
        <w:t>10</w:t>
      </w:r>
      <w:r>
        <w:rPr>
          <w:rFonts w:hint="eastAsia" w:ascii="仿宋_GB2312" w:hAnsi="黑体" w:eastAsia="仿宋_GB2312" w:cs="Times New Roman"/>
          <w:color w:val="auto"/>
          <w:sz w:val="32"/>
          <w:szCs w:val="32"/>
        </w:rPr>
        <w:t>00万元的制造业企业。</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2.上市企业：挂牌上市的制造业企业</w:t>
      </w:r>
      <w:r>
        <w:rPr>
          <w:rFonts w:hint="eastAsia" w:ascii="仿宋_GB2312" w:hAnsi="黑体" w:eastAsia="仿宋_GB2312" w:cs="Times New Roman"/>
          <w:color w:val="auto"/>
          <w:sz w:val="32"/>
          <w:szCs w:val="32"/>
          <w:lang w:eastAsia="zh-CN"/>
        </w:rPr>
        <w:t>或其参股比例不低于20%（含本数）的子公司</w:t>
      </w:r>
      <w:r>
        <w:rPr>
          <w:rFonts w:hint="eastAsia" w:ascii="仿宋_GB2312" w:hAnsi="黑体" w:eastAsia="仿宋_GB2312" w:cs="Times New Roman"/>
          <w:color w:val="auto"/>
          <w:sz w:val="32"/>
          <w:szCs w:val="32"/>
        </w:rPr>
        <w:t>。</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3.拟上市企业：公司有明确的上市计划且会计师、律师、券商等中介机构已确定并签署辅导协议的拟上市制造业企业。</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4.龙岗区内由于城市更新、土地整备等改造项目需要安置的企业。</w:t>
      </w:r>
    </w:p>
    <w:p>
      <w:pPr>
        <w:spacing w:line="560" w:lineRule="exact"/>
        <w:ind w:firstLine="640" w:firstLineChars="200"/>
        <w:rPr>
          <w:rFonts w:hint="eastAsia" w:ascii="仿宋_GB2312" w:hAnsi="黑体" w:eastAsia="仿宋_GB2312" w:cs="Times New Roman"/>
          <w:color w:val="auto"/>
          <w:sz w:val="32"/>
          <w:szCs w:val="32"/>
        </w:rPr>
      </w:pPr>
      <w:r>
        <w:rPr>
          <w:rFonts w:hint="eastAsia" w:ascii="仿宋_GB2312" w:hAnsi="黑体" w:eastAsia="仿宋_GB2312" w:cs="Times New Roman"/>
          <w:color w:val="auto"/>
          <w:sz w:val="32"/>
          <w:szCs w:val="32"/>
        </w:rPr>
        <w:t>5.</w:t>
      </w:r>
      <w:r>
        <w:rPr>
          <w:rFonts w:hint="eastAsia" w:ascii="仿宋_GB2312" w:hAnsi="黑体" w:eastAsia="仿宋_GB2312" w:cs="Times New Roman"/>
          <w:color w:val="auto"/>
          <w:sz w:val="32"/>
          <w:szCs w:val="32"/>
          <w:highlight w:val="none"/>
        </w:rPr>
        <w:t>龙岗区政府认定</w:t>
      </w:r>
      <w:r>
        <w:rPr>
          <w:rFonts w:hint="eastAsia" w:ascii="仿宋_GB2312" w:hAnsi="黑体" w:eastAsia="仿宋_GB2312" w:cs="Times New Roman"/>
          <w:color w:val="auto"/>
          <w:sz w:val="32"/>
          <w:szCs w:val="32"/>
        </w:rPr>
        <w:t>对解决“卡脖子”关键技术或进口替代意义重大的企业。</w:t>
      </w:r>
    </w:p>
    <w:p>
      <w:pPr>
        <w:pStyle w:val="2"/>
        <w:ind w:firstLine="640" w:firstLineChars="200"/>
        <w:rPr>
          <w:color w:val="auto"/>
        </w:rPr>
      </w:pPr>
      <w:r>
        <w:rPr>
          <w:rFonts w:hint="eastAsia" w:ascii="仿宋_GB2312" w:hAnsi="黑体" w:eastAsia="仿宋_GB2312" w:cs="Times New Roman"/>
          <w:color w:val="auto"/>
          <w:sz w:val="32"/>
          <w:szCs w:val="32"/>
          <w:lang w:val="en-US" w:eastAsia="zh-CN"/>
        </w:rPr>
        <w:t>6.</w:t>
      </w:r>
      <w:r>
        <w:rPr>
          <w:rFonts w:hint="eastAsia" w:ascii="仿宋_GB2312" w:hAnsi="黑体" w:eastAsia="仿宋_GB2312" w:cs="Times New Roman"/>
          <w:color w:val="auto"/>
          <w:sz w:val="32"/>
          <w:szCs w:val="32"/>
          <w:lang w:eastAsia="zh-CN"/>
        </w:rPr>
        <w:t>为上述单位提供服务的现代服务业企业(机构)</w:t>
      </w:r>
    </w:p>
    <w:p>
      <w:pPr>
        <w:pStyle w:val="2"/>
        <w:ind w:firstLine="642" w:firstLineChars="200"/>
        <w:rPr>
          <w:rFonts w:ascii="仿宋_GB2312" w:hAnsi="黑体" w:eastAsia="仿宋_GB2312" w:cs="Times New Roman"/>
          <w:b/>
          <w:bCs/>
          <w:color w:val="auto"/>
          <w:sz w:val="32"/>
          <w:szCs w:val="32"/>
        </w:rPr>
      </w:pPr>
      <w:r>
        <w:rPr>
          <w:rFonts w:hint="eastAsia" w:ascii="仿宋_GB2312" w:hAnsi="黑体" w:eastAsia="仿宋_GB2312" w:cs="Times New Roman"/>
          <w:b/>
          <w:bCs/>
          <w:color w:val="auto"/>
          <w:sz w:val="32"/>
          <w:szCs w:val="32"/>
        </w:rPr>
        <w:t>企业存在严重违法失信行为的一律不予通过。</w:t>
      </w:r>
    </w:p>
    <w:p>
      <w:pPr>
        <w:spacing w:line="560" w:lineRule="exact"/>
        <w:ind w:firstLine="640" w:firstLineChars="200"/>
        <w:rPr>
          <w:rFonts w:ascii="黑体" w:hAnsi="黑体" w:eastAsia="黑体" w:cs="黑体"/>
          <w:color w:val="auto"/>
          <w:sz w:val="32"/>
          <w:szCs w:val="32"/>
        </w:rPr>
      </w:pPr>
      <w:r>
        <w:rPr>
          <w:rFonts w:ascii="黑体" w:hAnsi="黑体" w:eastAsia="黑体" w:cs="黑体"/>
          <w:color w:val="auto"/>
          <w:sz w:val="32"/>
          <w:szCs w:val="32"/>
        </w:rPr>
        <w:t>五</w:t>
      </w:r>
      <w:r>
        <w:rPr>
          <w:rFonts w:hint="eastAsia" w:ascii="黑体" w:hAnsi="黑体" w:eastAsia="黑体" w:cs="黑体"/>
          <w:color w:val="auto"/>
          <w:sz w:val="32"/>
          <w:szCs w:val="32"/>
        </w:rPr>
        <w:t>、</w:t>
      </w:r>
      <w:r>
        <w:rPr>
          <w:rFonts w:ascii="黑体" w:hAnsi="黑体" w:eastAsia="黑体" w:cs="黑体"/>
          <w:color w:val="auto"/>
          <w:sz w:val="32"/>
          <w:szCs w:val="32"/>
        </w:rPr>
        <w:t>申报材料</w:t>
      </w:r>
    </w:p>
    <w:p>
      <w:pPr>
        <w:spacing w:line="560" w:lineRule="exact"/>
        <w:ind w:firstLine="640" w:firstLineChars="200"/>
        <w:rPr>
          <w:rFonts w:ascii="楷体" w:hAnsi="楷体" w:eastAsia="楷体" w:cs="Times New Roman"/>
          <w:color w:val="auto"/>
          <w:sz w:val="32"/>
          <w:szCs w:val="32"/>
        </w:rPr>
      </w:pPr>
      <w:r>
        <w:rPr>
          <w:rFonts w:hint="eastAsia" w:ascii="楷体" w:hAnsi="楷体" w:eastAsia="楷体" w:cs="Times New Roman"/>
          <w:color w:val="auto"/>
          <w:sz w:val="32"/>
          <w:szCs w:val="32"/>
        </w:rPr>
        <w:t>（一）预审阶段提交资料</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深圳宝龙专精特新产业园产业用房需求报名申请表（附件</w:t>
      </w:r>
      <w:r>
        <w:rPr>
          <w:rFonts w:ascii="仿宋_GB2312" w:hAnsi="黑体" w:eastAsia="仿宋_GB2312" w:cs="Times New Roman"/>
          <w:color w:val="auto"/>
          <w:sz w:val="32"/>
          <w:szCs w:val="32"/>
        </w:rPr>
        <w:t>1</w:t>
      </w:r>
      <w:r>
        <w:rPr>
          <w:rFonts w:hint="eastAsia" w:ascii="仿宋_GB2312" w:hAnsi="黑体" w:eastAsia="仿宋_GB2312" w:cs="Times New Roman"/>
          <w:color w:val="auto"/>
          <w:sz w:val="32"/>
          <w:szCs w:val="32"/>
        </w:rPr>
        <w:t>-1）</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此文件请于本公告报名期内提交，填写后发送至邮箱：lgcykjbzk@lg.gov.cn。预审通过后，龙岗区工业和信息化局将通知企业进入遴选企业库，并提交以下评审资料。</w:t>
      </w:r>
    </w:p>
    <w:p>
      <w:pPr>
        <w:spacing w:line="560" w:lineRule="exact"/>
        <w:ind w:firstLine="640" w:firstLineChars="200"/>
        <w:rPr>
          <w:rFonts w:ascii="楷体" w:hAnsi="楷体" w:eastAsia="楷体" w:cs="Times New Roman"/>
          <w:color w:val="auto"/>
          <w:sz w:val="32"/>
          <w:szCs w:val="32"/>
        </w:rPr>
      </w:pPr>
      <w:r>
        <w:rPr>
          <w:rFonts w:hint="eastAsia" w:ascii="楷体" w:hAnsi="楷体" w:eastAsia="楷体" w:cs="Times New Roman"/>
          <w:color w:val="auto"/>
          <w:sz w:val="32"/>
          <w:szCs w:val="32"/>
        </w:rPr>
        <w:t>（二）进入遴选企业库后提交评审资料</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1.企业基本情况。申请报告应包括但不限于以下内容：</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（1）产业导向：产业导向参照附件</w:t>
      </w:r>
      <w:r>
        <w:rPr>
          <w:rFonts w:ascii="仿宋_GB2312" w:hAnsi="黑体" w:eastAsia="仿宋_GB2312" w:cs="Times New Roman"/>
          <w:color w:val="auto"/>
          <w:sz w:val="32"/>
          <w:szCs w:val="32"/>
        </w:rPr>
        <w:t>1</w:t>
      </w:r>
      <w:r>
        <w:rPr>
          <w:rFonts w:hint="eastAsia" w:ascii="仿宋_GB2312" w:hAnsi="黑体" w:eastAsia="仿宋_GB2312" w:cs="Times New Roman"/>
          <w:color w:val="auto"/>
          <w:sz w:val="32"/>
          <w:szCs w:val="32"/>
        </w:rPr>
        <w:t>-2，按企业所属实际产业报。</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（2）企业情况：生产厂房和研发办公用房的面积，人员数量及结构；是否是“专精特新企业”、“小巨人”企业、</w:t>
      </w:r>
      <w:r>
        <w:rPr>
          <w:rFonts w:hint="eastAsia" w:ascii="仿宋_GB2312" w:hAnsi="黑体" w:eastAsia="仿宋_GB2312" w:cs="Times New Roman"/>
          <w:color w:val="auto"/>
          <w:sz w:val="32"/>
          <w:szCs w:val="32"/>
          <w:highlight w:val="none"/>
        </w:rPr>
        <w:t>国家高新技术制造业企业</w:t>
      </w:r>
      <w:r>
        <w:rPr>
          <w:rFonts w:hint="eastAsia" w:ascii="仿宋_GB2312" w:hAnsi="黑体" w:eastAsia="仿宋_GB2312" w:cs="Times New Roman"/>
          <w:color w:val="auto"/>
          <w:sz w:val="32"/>
          <w:szCs w:val="32"/>
        </w:rPr>
        <w:t>、市“链长制”重点产业链重点企业名单的企业；获得信用认定、质量管理体系认证等；</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（3）经营状况：20</w:t>
      </w:r>
      <w:r>
        <w:rPr>
          <w:rFonts w:hint="eastAsia" w:ascii="仿宋_GB2312" w:hAnsi="黑体" w:eastAsia="仿宋_GB2312" w:cs="Times New Roman"/>
          <w:color w:val="auto"/>
          <w:sz w:val="32"/>
          <w:szCs w:val="32"/>
          <w:lang w:val="en-US" w:eastAsia="zh-CN"/>
        </w:rPr>
        <w:t>21</w:t>
      </w:r>
      <w:r>
        <w:rPr>
          <w:rFonts w:hint="eastAsia" w:ascii="仿宋_GB2312" w:hAnsi="黑体" w:eastAsia="仿宋_GB2312" w:cs="Times New Roman"/>
          <w:color w:val="auto"/>
          <w:sz w:val="32"/>
          <w:szCs w:val="32"/>
        </w:rPr>
        <w:t>-202</w:t>
      </w:r>
      <w:r>
        <w:rPr>
          <w:rFonts w:hint="eastAsia" w:ascii="仿宋_GB2312" w:hAnsi="黑体" w:eastAsia="仿宋_GB2312" w:cs="Times New Roman"/>
          <w:color w:val="auto"/>
          <w:sz w:val="32"/>
          <w:szCs w:val="32"/>
          <w:lang w:val="en-US" w:eastAsia="zh-CN"/>
        </w:rPr>
        <w:t>3</w:t>
      </w:r>
      <w:r>
        <w:rPr>
          <w:rFonts w:hint="eastAsia" w:ascii="仿宋_GB2312" w:hAnsi="黑体" w:eastAsia="仿宋_GB2312" w:cs="Times New Roman"/>
          <w:color w:val="auto"/>
          <w:sz w:val="32"/>
          <w:szCs w:val="32"/>
        </w:rPr>
        <w:t>年营业收入及纳税情况、区内外产业分布和深圳市外设立关联企业情况；</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2.营业执照复印件</w:t>
      </w:r>
      <w:r>
        <w:rPr>
          <w:rFonts w:hint="eastAsia" w:ascii="仿宋_GB2312" w:hAnsi="黑体" w:eastAsia="仿宋_GB2312" w:cs="Times New Roman"/>
          <w:color w:val="auto"/>
          <w:sz w:val="32"/>
          <w:szCs w:val="32"/>
          <w:lang w:eastAsia="zh-CN"/>
        </w:rPr>
        <w:t>、</w:t>
      </w:r>
      <w:r>
        <w:rPr>
          <w:rFonts w:hint="eastAsia" w:ascii="仿宋_GB2312" w:hAnsi="黑体" w:eastAsia="仿宋_GB2312" w:cs="Times New Roman"/>
          <w:color w:val="auto"/>
          <w:sz w:val="32"/>
          <w:szCs w:val="32"/>
          <w:lang w:val="en-US" w:eastAsia="zh-CN"/>
        </w:rPr>
        <w:t>股权关系说明</w:t>
      </w:r>
      <w:r>
        <w:rPr>
          <w:rFonts w:hint="eastAsia" w:ascii="仿宋_GB2312" w:hAnsi="黑体" w:eastAsia="仿宋_GB2312" w:cs="Times New Roman"/>
          <w:color w:val="auto"/>
          <w:sz w:val="32"/>
          <w:szCs w:val="32"/>
        </w:rPr>
        <w:t>；</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3.法定代表人身份证复印件、授权代理人身份证复印件（验原件）及授权委托书；</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4.商事主体登记及备案信息查询单或社会组织信息公开查询单；</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5.公司章程复印件；</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lang w:val="en-US" w:eastAsia="zh-CN"/>
        </w:rPr>
        <w:t>6</w:t>
      </w:r>
      <w:r>
        <w:rPr>
          <w:rFonts w:hint="eastAsia" w:ascii="仿宋_GB2312" w:hAnsi="黑体" w:eastAsia="仿宋_GB2312" w:cs="Times New Roman"/>
          <w:color w:val="auto"/>
          <w:sz w:val="32"/>
          <w:szCs w:val="32"/>
        </w:rPr>
        <w:t>.企业自用承诺书；</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温馨提示：</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1.商事主体登记及备案信息查询单及社会组织信息公开查询单报送要求：</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注册地在龙岗区外深圳市内的企业</w:t>
      </w:r>
      <w:r>
        <w:rPr>
          <w:rFonts w:hint="default" w:ascii="仿宋_GB2312" w:hAnsi="黑体" w:eastAsia="仿宋_GB2312" w:cs="Times New Roman"/>
          <w:color w:val="auto"/>
          <w:sz w:val="32"/>
          <w:szCs w:val="32"/>
        </w:rPr>
        <w:t>需</w:t>
      </w:r>
      <w:r>
        <w:rPr>
          <w:rFonts w:hint="eastAsia" w:ascii="仿宋_GB2312" w:hAnsi="黑体" w:eastAsia="仿宋_GB2312" w:cs="Times New Roman"/>
          <w:color w:val="auto"/>
          <w:sz w:val="32"/>
          <w:szCs w:val="32"/>
        </w:rPr>
        <w:t>在深圳市市场监督管理局官网（网址：http://amr.sz.gov.cn/）查询并打印基本信息、许可经营信息、股东信息、严重违法失信信息等内容；注册地在龙岗区内企业除打印上述信息外，还</w:t>
      </w:r>
      <w:r>
        <w:rPr>
          <w:rFonts w:hint="default" w:ascii="仿宋_GB2312" w:hAnsi="黑体" w:eastAsia="仿宋_GB2312" w:cs="Times New Roman"/>
          <w:color w:val="auto"/>
          <w:sz w:val="32"/>
          <w:szCs w:val="32"/>
        </w:rPr>
        <w:t>需登录</w:t>
      </w:r>
      <w:r>
        <w:rPr>
          <w:rFonts w:hint="eastAsia" w:ascii="仿宋_GB2312" w:hAnsi="黑体" w:eastAsia="仿宋_GB2312" w:cs="Times New Roman"/>
          <w:color w:val="auto"/>
          <w:sz w:val="32"/>
          <w:szCs w:val="32"/>
        </w:rPr>
        <w:t>龙岗诚信网（网址：http://www.credit.lg.gov.cn/）打印企业诚信信息；注册地在深圳市外的企业</w:t>
      </w:r>
      <w:r>
        <w:rPr>
          <w:rFonts w:hint="default" w:ascii="仿宋_GB2312" w:hAnsi="黑体" w:eastAsia="仿宋_GB2312" w:cs="Times New Roman"/>
          <w:color w:val="auto"/>
          <w:sz w:val="32"/>
          <w:szCs w:val="32"/>
        </w:rPr>
        <w:t>需登录</w:t>
      </w:r>
      <w:r>
        <w:rPr>
          <w:rFonts w:hint="eastAsia" w:ascii="仿宋_GB2312" w:hAnsi="黑体" w:eastAsia="仿宋_GB2312" w:cs="Times New Roman"/>
          <w:color w:val="auto"/>
          <w:sz w:val="32"/>
          <w:szCs w:val="32"/>
        </w:rPr>
        <w:t>中国信用网（网址：http://www.zgxyw.org.cn/）并打印基础信息、严重违法失信（黑名单）信息。</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2.申报材料</w:t>
      </w:r>
      <w:r>
        <w:rPr>
          <w:rFonts w:hint="default" w:ascii="仿宋_GB2312" w:hAnsi="黑体" w:eastAsia="仿宋_GB2312" w:cs="Times New Roman"/>
          <w:color w:val="auto"/>
          <w:sz w:val="32"/>
          <w:szCs w:val="32"/>
        </w:rPr>
        <w:t>需</w:t>
      </w:r>
      <w:r>
        <w:rPr>
          <w:rFonts w:hint="eastAsia" w:ascii="仿宋_GB2312" w:hAnsi="黑体" w:eastAsia="仿宋_GB2312" w:cs="Times New Roman"/>
          <w:color w:val="auto"/>
          <w:sz w:val="32"/>
          <w:szCs w:val="32"/>
        </w:rPr>
        <w:t>提供一式</w:t>
      </w:r>
      <w:r>
        <w:rPr>
          <w:rFonts w:hint="default" w:ascii="仿宋_GB2312" w:hAnsi="黑体" w:eastAsia="仿宋_GB2312" w:cs="Times New Roman"/>
          <w:color w:val="auto"/>
          <w:sz w:val="32"/>
          <w:szCs w:val="32"/>
        </w:rPr>
        <w:t>2</w:t>
      </w:r>
      <w:r>
        <w:rPr>
          <w:rFonts w:hint="eastAsia" w:ascii="仿宋_GB2312" w:hAnsi="黑体" w:eastAsia="仿宋_GB2312" w:cs="Times New Roman"/>
          <w:color w:val="auto"/>
          <w:sz w:val="32"/>
          <w:szCs w:val="32"/>
        </w:rPr>
        <w:t>份。申请报告</w:t>
      </w:r>
      <w:r>
        <w:rPr>
          <w:rFonts w:hint="default" w:ascii="仿宋_GB2312" w:hAnsi="黑体" w:eastAsia="仿宋_GB2312" w:cs="Times New Roman"/>
          <w:color w:val="auto"/>
          <w:sz w:val="32"/>
          <w:szCs w:val="32"/>
        </w:rPr>
        <w:t>需</w:t>
      </w:r>
      <w:r>
        <w:rPr>
          <w:rFonts w:hint="eastAsia" w:ascii="仿宋_GB2312" w:hAnsi="黑体" w:eastAsia="仿宋_GB2312" w:cs="Times New Roman"/>
          <w:color w:val="auto"/>
          <w:sz w:val="32"/>
          <w:szCs w:val="32"/>
        </w:rPr>
        <w:t>由法定代表人签字，官网截图打印资料</w:t>
      </w:r>
      <w:r>
        <w:rPr>
          <w:rFonts w:hint="default" w:ascii="仿宋_GB2312" w:hAnsi="黑体" w:eastAsia="仿宋_GB2312" w:cs="Times New Roman"/>
          <w:color w:val="auto"/>
          <w:sz w:val="32"/>
          <w:szCs w:val="32"/>
        </w:rPr>
        <w:t>需</w:t>
      </w:r>
      <w:r>
        <w:rPr>
          <w:rFonts w:hint="eastAsia" w:ascii="仿宋_GB2312" w:hAnsi="黑体" w:eastAsia="仿宋_GB2312" w:cs="Times New Roman"/>
          <w:color w:val="auto"/>
          <w:sz w:val="32"/>
          <w:szCs w:val="32"/>
        </w:rPr>
        <w:t>包含所查询网址，所有申报材料</w:t>
      </w:r>
      <w:r>
        <w:rPr>
          <w:rFonts w:hint="default" w:ascii="仿宋_GB2312" w:hAnsi="黑体" w:eastAsia="仿宋_GB2312" w:cs="Times New Roman"/>
          <w:color w:val="auto"/>
          <w:sz w:val="32"/>
          <w:szCs w:val="32"/>
        </w:rPr>
        <w:t>需</w:t>
      </w:r>
      <w:r>
        <w:rPr>
          <w:rFonts w:hint="eastAsia" w:ascii="仿宋_GB2312" w:hAnsi="黑体" w:eastAsia="仿宋_GB2312" w:cs="Times New Roman"/>
          <w:color w:val="auto"/>
          <w:sz w:val="32"/>
          <w:szCs w:val="32"/>
        </w:rPr>
        <w:t>加盖申报主体公章。A4纸正反面打印/复印，非空白页需连续编写页码，装订成册（胶装）。文件请送达海关大厦西座10楼</w:t>
      </w:r>
      <w:r>
        <w:rPr>
          <w:rFonts w:hint="default" w:ascii="仿宋_GB2312" w:hAnsi="黑体" w:eastAsia="仿宋_GB2312" w:cs="Times New Roman"/>
          <w:color w:val="auto"/>
          <w:sz w:val="32"/>
          <w:szCs w:val="32"/>
        </w:rPr>
        <w:t>1056</w:t>
      </w:r>
      <w:r>
        <w:rPr>
          <w:rFonts w:hint="eastAsia" w:ascii="仿宋_GB2312" w:hAnsi="黑体" w:eastAsia="仿宋_GB2312" w:cs="Times New Roman"/>
          <w:color w:val="auto"/>
          <w:sz w:val="32"/>
          <w:szCs w:val="32"/>
        </w:rPr>
        <w:t>办公室。</w:t>
      </w:r>
    </w:p>
    <w:p>
      <w:pPr>
        <w:spacing w:line="560" w:lineRule="exact"/>
        <w:ind w:firstLine="640" w:firstLineChars="200"/>
        <w:rPr>
          <w:rFonts w:ascii="黑体" w:hAnsi="黑体" w:eastAsia="黑体" w:cs="黑体"/>
          <w:color w:val="auto"/>
          <w:sz w:val="32"/>
          <w:szCs w:val="32"/>
        </w:rPr>
      </w:pPr>
      <w:r>
        <w:rPr>
          <w:rFonts w:ascii="黑体" w:hAnsi="黑体" w:eastAsia="黑体" w:cs="黑体"/>
          <w:color w:val="auto"/>
          <w:sz w:val="32"/>
          <w:szCs w:val="32"/>
        </w:rPr>
        <w:t>六、企业遴选</w:t>
      </w:r>
    </w:p>
    <w:p>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shd w:val="clear" w:color="auto" w:fill="FFFFFF"/>
        </w:rPr>
        <w:t>区工业和信息化局联合深圳市特区建工集团有限公司组建专家评审小组，对</w:t>
      </w:r>
      <w:r>
        <w:rPr>
          <w:rFonts w:hint="eastAsia" w:ascii="仿宋_GB2312" w:hAnsi="仿宋_GB2312" w:eastAsia="仿宋_GB2312" w:cs="仿宋_GB2312"/>
          <w:color w:val="auto"/>
          <w:sz w:val="32"/>
          <w:szCs w:val="32"/>
          <w:highlight w:val="none"/>
          <w:shd w:val="clear" w:color="auto" w:fill="FFFFFF"/>
          <w:lang w:val="en-US" w:eastAsia="zh-CN"/>
        </w:rPr>
        <w:t>参选</w:t>
      </w:r>
      <w:r>
        <w:rPr>
          <w:rFonts w:hint="eastAsia" w:ascii="仿宋_GB2312" w:hAnsi="仿宋_GB2312" w:eastAsia="仿宋_GB2312" w:cs="仿宋_GB2312"/>
          <w:color w:val="auto"/>
          <w:sz w:val="32"/>
          <w:szCs w:val="32"/>
          <w:highlight w:val="none"/>
          <w:shd w:val="clear" w:color="auto" w:fill="FFFFFF"/>
        </w:rPr>
        <w:t>企业进行专家评审</w:t>
      </w:r>
      <w:r>
        <w:rPr>
          <w:rFonts w:hint="eastAsia" w:ascii="仿宋_GB2312" w:hAnsi="仿宋_GB2312" w:eastAsia="仿宋_GB2312" w:cs="仿宋_GB2312"/>
          <w:color w:val="auto"/>
          <w:sz w:val="32"/>
          <w:szCs w:val="32"/>
          <w:highlight w:val="none"/>
          <w:shd w:val="clear" w:color="auto" w:fill="FFFFFF"/>
          <w:lang w:val="en-US" w:eastAsia="zh-CN"/>
        </w:rPr>
        <w:t>给出是否符合准入门槛要求的意见</w:t>
      </w:r>
      <w:r>
        <w:rPr>
          <w:rFonts w:hint="eastAsia" w:ascii="仿宋_GB2312" w:hAnsi="仿宋_GB2312" w:eastAsia="仿宋_GB2312" w:cs="仿宋_GB2312"/>
          <w:color w:val="auto"/>
          <w:sz w:val="32"/>
          <w:szCs w:val="32"/>
          <w:highlight w:val="none"/>
        </w:rPr>
        <w:t>。</w:t>
      </w:r>
      <w:r>
        <w:rPr>
          <w:rFonts w:hint="default" w:ascii="仿宋_GB2312" w:hAnsi="仿宋_GB2312" w:eastAsia="仿宋_GB2312" w:cs="仿宋_GB2312"/>
          <w:color w:val="auto"/>
          <w:sz w:val="32"/>
          <w:szCs w:val="32"/>
          <w:highlight w:val="none"/>
        </w:rPr>
        <w:t>经专家评审后，</w:t>
      </w:r>
      <w:r>
        <w:rPr>
          <w:rFonts w:hint="eastAsia" w:ascii="仿宋_GB2312" w:hAnsi="仿宋_GB2312" w:eastAsia="仿宋_GB2312" w:cs="仿宋_GB2312"/>
          <w:color w:val="auto"/>
          <w:sz w:val="32"/>
          <w:szCs w:val="32"/>
          <w:highlight w:val="none"/>
          <w:shd w:val="clear" w:color="auto" w:fill="FFFFFF"/>
        </w:rPr>
        <w:t>深圳市特区建工集团有限公司</w:t>
      </w:r>
      <w:r>
        <w:rPr>
          <w:rFonts w:hint="default" w:ascii="仿宋_GB2312" w:hAnsi="仿宋_GB2312" w:eastAsia="仿宋_GB2312" w:cs="仿宋_GB2312"/>
          <w:color w:val="auto"/>
          <w:sz w:val="32"/>
          <w:szCs w:val="32"/>
          <w:highlight w:val="none"/>
          <w:shd w:val="clear" w:color="auto" w:fill="FFFFFF"/>
        </w:rPr>
        <w:t>需将</w:t>
      </w:r>
      <w:r>
        <w:rPr>
          <w:rFonts w:hint="default" w:ascii="仿宋_GB2312" w:hAnsi="仿宋_GB2312" w:eastAsia="仿宋_GB2312" w:cs="仿宋_GB2312"/>
          <w:color w:val="auto"/>
          <w:sz w:val="32"/>
          <w:szCs w:val="32"/>
          <w:highlight w:val="none"/>
          <w:lang w:eastAsia="zh-CN"/>
        </w:rPr>
        <w:t>遴选结果报备</w:t>
      </w:r>
      <w:r>
        <w:rPr>
          <w:rFonts w:hint="eastAsia" w:ascii="仿宋_GB2312" w:hAnsi="仿宋_GB2312" w:eastAsia="仿宋_GB2312" w:cs="仿宋_GB2312"/>
          <w:color w:val="auto"/>
          <w:sz w:val="32"/>
          <w:szCs w:val="32"/>
          <w:highlight w:val="none"/>
          <w:shd w:val="clear" w:color="auto" w:fill="FFFFFF"/>
        </w:rPr>
        <w:t>区工业和信息化局</w:t>
      </w:r>
      <w:r>
        <w:rPr>
          <w:rFonts w:hint="eastAsia" w:ascii="仿宋_GB2312" w:hAnsi="仿宋_GB2312" w:eastAsia="仿宋_GB2312" w:cs="仿宋_GB2312"/>
          <w:color w:val="auto"/>
          <w:sz w:val="32"/>
          <w:szCs w:val="32"/>
          <w:highlight w:val="none"/>
        </w:rPr>
        <w:t>，</w:t>
      </w:r>
      <w:r>
        <w:rPr>
          <w:rFonts w:hint="default" w:ascii="仿宋_GB2312" w:hAnsi="仿宋_GB2312" w:eastAsia="仿宋_GB2312" w:cs="仿宋_GB2312"/>
          <w:color w:val="auto"/>
          <w:sz w:val="32"/>
          <w:szCs w:val="32"/>
          <w:highlight w:val="none"/>
        </w:rPr>
        <w:t>由</w:t>
      </w:r>
      <w:r>
        <w:rPr>
          <w:rFonts w:hint="eastAsia" w:ascii="仿宋_GB2312" w:hAnsi="仿宋_GB2312" w:eastAsia="仿宋_GB2312" w:cs="仿宋_GB2312"/>
          <w:color w:val="auto"/>
          <w:sz w:val="32"/>
          <w:szCs w:val="32"/>
          <w:highlight w:val="none"/>
          <w:shd w:val="clear" w:color="auto" w:fill="FFFFFF"/>
        </w:rPr>
        <w:t>区工业和信息化局</w:t>
      </w:r>
      <w:r>
        <w:rPr>
          <w:rFonts w:hint="default" w:ascii="仿宋_GB2312" w:hAnsi="仿宋_GB2312" w:eastAsia="仿宋_GB2312" w:cs="仿宋_GB2312"/>
          <w:color w:val="auto"/>
          <w:sz w:val="32"/>
          <w:szCs w:val="32"/>
          <w:highlight w:val="none"/>
          <w:shd w:val="clear" w:color="auto" w:fill="FFFFFF"/>
        </w:rPr>
        <w:t>对遴选结果进行公示</w:t>
      </w:r>
      <w:r>
        <w:rPr>
          <w:rFonts w:hint="default" w:ascii="仿宋_GB2312" w:hAnsi="仿宋_GB2312" w:eastAsia="仿宋_GB2312" w:cs="仿宋_GB2312"/>
          <w:color w:val="auto"/>
          <w:sz w:val="32"/>
          <w:szCs w:val="32"/>
          <w:highlight w:val="none"/>
        </w:rPr>
        <w:t>。</w:t>
      </w:r>
    </w:p>
    <w:p>
      <w:pPr>
        <w:spacing w:line="560" w:lineRule="exact"/>
        <w:ind w:firstLine="642"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七、宿舍供应原则</w:t>
      </w:r>
    </w:p>
    <w:p>
      <w:pPr>
        <w:spacing w:line="560" w:lineRule="exact"/>
        <w:rPr>
          <w:rFonts w:ascii="仿宋_GB2312" w:hAnsi="黑体" w:eastAsia="仿宋_GB2312" w:cs="Times New Roman"/>
          <w:color w:val="auto"/>
          <w:sz w:val="32"/>
          <w:szCs w:val="32"/>
        </w:rPr>
      </w:pPr>
      <w:r>
        <w:rPr>
          <w:rFonts w:hint="eastAsia" w:ascii="仿宋_GB2312" w:hAnsi="仿宋_GB2312" w:eastAsia="仿宋_GB2312" w:cs="仿宋_GB2312"/>
          <w:color w:val="auto"/>
          <w:sz w:val="32"/>
          <w:szCs w:val="32"/>
          <w:shd w:val="clear" w:color="auto" w:fill="FFFFFF"/>
        </w:rPr>
        <w:t xml:space="preserve">   </w:t>
      </w:r>
      <w:r>
        <w:rPr>
          <w:rFonts w:hint="eastAsia" w:ascii="仿宋_GB2312" w:hAnsi="仿宋_GB2312" w:eastAsia="仿宋_GB2312" w:cs="仿宋_GB2312"/>
          <w:color w:val="auto"/>
          <w:sz w:val="32"/>
          <w:szCs w:val="32"/>
        </w:rPr>
        <w:t xml:space="preserve"> 由于本项目的宿舍与工业厂房建筑面积比约为1：10，原则上购置宿舍不得超过企业购置工业厂房建筑面积的12%。对企业有特殊要求的，可申请的配套宿舍面积原则按照《深圳市人民政府办</w:t>
      </w:r>
      <w:r>
        <w:rPr>
          <w:rFonts w:hint="eastAsia" w:ascii="仿宋_GB2312" w:hAnsi="黑体" w:eastAsia="仿宋_GB2312" w:cs="Times New Roman"/>
          <w:color w:val="auto"/>
          <w:sz w:val="32"/>
          <w:szCs w:val="32"/>
        </w:rPr>
        <w:t>公厅关于印发深圳市工业厂房及配套用房转让管理办法的通知》（深府办规〔2020〕2号）执行，即持有工业配套宿舍的建筑面积不得超过该企业所在行政区内持有工业厂房建筑面积的30%。具体宿舍供应将结合遴选企业的实际需求进行适当调整。</w:t>
      </w:r>
    </w:p>
    <w:p>
      <w:pPr>
        <w:spacing w:line="560" w:lineRule="exact"/>
        <w:ind w:firstLine="640" w:firstLineChars="200"/>
        <w:rPr>
          <w:rFonts w:ascii="黑体" w:hAnsi="黑体" w:eastAsia="黑体" w:cs="黑体"/>
          <w:color w:val="auto"/>
          <w:sz w:val="32"/>
          <w:szCs w:val="32"/>
        </w:rPr>
      </w:pPr>
      <w:r>
        <w:rPr>
          <w:rFonts w:ascii="黑体" w:hAnsi="黑体" w:eastAsia="黑体" w:cs="黑体"/>
          <w:color w:val="auto"/>
          <w:sz w:val="32"/>
          <w:szCs w:val="32"/>
        </w:rPr>
        <w:t>八、销售价格</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高标准制造业厂房按“总成本+微利”的确定，具体售价结合楼层、朝向等因素综合考虑。企业有定制化和地下空间额外需求的，差额由企业承担。出卖人（建设单位）取得预售许可证后，与购置工业厂房与配套宿舍的企业（下称购房企业）签订《产业用房及配套用房买卖合同》，购房企业需自签订合同之日起7天内支付首期购房款（首期购房款具体比例由银行根据企业实际情况制定按揭贷款方案），并于签订合同之日起90天内办理银行贷款并向出卖人（建设单位）缴齐全款。支持购房企业一次性付款。</w:t>
      </w:r>
    </w:p>
    <w:p>
      <w:pPr>
        <w:spacing w:line="560" w:lineRule="exact"/>
        <w:ind w:firstLine="640" w:firstLineChars="200"/>
        <w:rPr>
          <w:rFonts w:ascii="黑体" w:hAnsi="黑体" w:eastAsia="黑体" w:cs="黑体"/>
          <w:color w:val="auto"/>
          <w:sz w:val="32"/>
          <w:szCs w:val="32"/>
        </w:rPr>
      </w:pPr>
      <w:r>
        <w:rPr>
          <w:rFonts w:ascii="黑体" w:hAnsi="黑体" w:eastAsia="黑体" w:cs="黑体"/>
          <w:color w:val="auto"/>
          <w:sz w:val="32"/>
          <w:szCs w:val="32"/>
        </w:rPr>
        <w:t>九、核心商务条款</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产业发展监管协议：购房企业购置工业厂房时</w:t>
      </w:r>
      <w:r>
        <w:rPr>
          <w:rFonts w:hint="default" w:ascii="仿宋_GB2312" w:hAnsi="黑体" w:eastAsia="仿宋_GB2312" w:cs="Times New Roman"/>
          <w:color w:val="auto"/>
          <w:sz w:val="32"/>
          <w:szCs w:val="32"/>
        </w:rPr>
        <w:t>需</w:t>
      </w:r>
      <w:r>
        <w:rPr>
          <w:rFonts w:hint="eastAsia" w:ascii="仿宋_GB2312" w:hAnsi="黑体" w:eastAsia="仿宋_GB2312" w:cs="Times New Roman"/>
          <w:color w:val="auto"/>
          <w:sz w:val="32"/>
          <w:szCs w:val="32"/>
        </w:rPr>
        <w:t>与龙岗区工业和信息化局、深圳市特区建工集团有限公司共同签订三方产业发展监管协议。产业发展监管协议的内容包括但不限于产业准入条件、产出效率、经济贡献、节能环保、二次转让条件、退出机制、抵押限制、强制执行、违约责任、失信行为惩戒等相关条款。</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个性化定制：龙岗区工业和信息化局和深圳市特区建工集团有限公司在建设单位签订土地出让合同后，可组织经遴选确定的意向销售对象与其签订《产业用房定制协议书》，约定产业用房需求面积、建设标准及双方应尽的权利义务等。</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递补机制：意向销售对象在签订《产业用房及配套用房买卖合同》前，若因自身原因终止购买工业厂房的，</w:t>
      </w:r>
      <w:r>
        <w:rPr>
          <w:rFonts w:hint="default" w:ascii="仿宋_GB2312" w:hAnsi="黑体" w:eastAsia="仿宋_GB2312" w:cs="Times New Roman"/>
          <w:color w:val="auto"/>
          <w:sz w:val="32"/>
          <w:szCs w:val="32"/>
        </w:rPr>
        <w:t>需</w:t>
      </w:r>
      <w:r>
        <w:rPr>
          <w:rFonts w:hint="eastAsia" w:ascii="仿宋_GB2312" w:hAnsi="黑体" w:eastAsia="仿宋_GB2312" w:cs="Times New Roman"/>
          <w:color w:val="auto"/>
          <w:sz w:val="32"/>
          <w:szCs w:val="32"/>
        </w:rPr>
        <w:t>依据已签订的《产业用房定制协议书》中的约定向平台企业支付违约金，并承担相应的违约责任。递补企业由龙岗区工业和信息化局和深圳市特区建工集团有限公司从</w:t>
      </w:r>
      <w:r>
        <w:rPr>
          <w:rFonts w:hint="eastAsia" w:ascii="仿宋_GB2312" w:hAnsi="黑体" w:eastAsia="仿宋_GB2312" w:cs="Times New Roman"/>
          <w:color w:val="auto"/>
          <w:sz w:val="32"/>
          <w:szCs w:val="32"/>
          <w:lang w:val="en-US" w:eastAsia="zh-CN"/>
        </w:rPr>
        <w:t>参选</w:t>
      </w:r>
      <w:r>
        <w:rPr>
          <w:rFonts w:hint="eastAsia" w:ascii="仿宋_GB2312" w:hAnsi="黑体" w:eastAsia="仿宋_GB2312" w:cs="Times New Roman"/>
          <w:color w:val="auto"/>
          <w:sz w:val="32"/>
          <w:szCs w:val="32"/>
        </w:rPr>
        <w:t>企业中按程序选取确定。意向销售对象在签订《产业用房及配套用房买卖合同》后，</w:t>
      </w:r>
      <w:r>
        <w:rPr>
          <w:rFonts w:hint="default" w:ascii="仿宋_GB2312" w:hAnsi="黑体" w:eastAsia="仿宋_GB2312" w:cs="Times New Roman"/>
          <w:color w:val="auto"/>
          <w:sz w:val="32"/>
          <w:szCs w:val="32"/>
        </w:rPr>
        <w:t>需</w:t>
      </w:r>
      <w:r>
        <w:rPr>
          <w:rFonts w:hint="eastAsia" w:ascii="仿宋_GB2312" w:hAnsi="黑体" w:eastAsia="仿宋_GB2312" w:cs="Times New Roman"/>
          <w:color w:val="auto"/>
          <w:sz w:val="32"/>
          <w:szCs w:val="32"/>
        </w:rPr>
        <w:t>按合同规定履行相关权利义务。</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产业空间的二次转让：自购房企业完成不动产登记之日起未满5年的产业空间，原则上不允许转让。因不可抗力或重大政策调整造成购房企业无法继续经营发展的，可参照下述规定执行。</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自购房企业完成不动产登记之日起，5年累计达到《产业发展监管协议书》中约定的收入法增加值规模、税收规模、产值能耗等相关要求的购房企业，可申请将其名下的产业用房及配套宿舍进行转让，转让价格不得高于购置价格，不得以其他名义收取额外费用，区政府或其指定单位享有优先购买权。区政府及其指定单位放弃购买的，由龙岗区工业和信息化局和深圳市特区建工集团有限公司从</w:t>
      </w:r>
      <w:r>
        <w:rPr>
          <w:rFonts w:hint="eastAsia" w:ascii="仿宋_GB2312" w:hAnsi="黑体" w:eastAsia="仿宋_GB2312" w:cs="Times New Roman"/>
          <w:color w:val="auto"/>
          <w:sz w:val="32"/>
          <w:szCs w:val="32"/>
          <w:lang w:val="en-US" w:eastAsia="zh-CN"/>
        </w:rPr>
        <w:t>参选企业</w:t>
      </w:r>
      <w:r>
        <w:rPr>
          <w:rFonts w:hint="eastAsia" w:ascii="仿宋_GB2312" w:hAnsi="黑体" w:eastAsia="仿宋_GB2312" w:cs="Times New Roman"/>
          <w:color w:val="auto"/>
          <w:sz w:val="32"/>
          <w:szCs w:val="32"/>
        </w:rPr>
        <w:t>中按程序选取次受让主体开展转让工作，次受让主体应与区龙岗区工业和信息化局、深圳市特区建工集团有限公司重新签订产业发展监管协议。转让涉及的税费按照现行不动产转移登记的相关法律法规执行。</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强制退出：自完成不动产登记之日起，5年累计未达到《产业发展监管协议书》中约定的收入法增加值规模、税收规模、产值能耗等相关要求的企业，</w:t>
      </w:r>
      <w:r>
        <w:rPr>
          <w:rFonts w:hint="default" w:ascii="仿宋_GB2312" w:hAnsi="黑体" w:eastAsia="仿宋_GB2312" w:cs="Times New Roman"/>
          <w:color w:val="auto"/>
          <w:sz w:val="32"/>
          <w:szCs w:val="32"/>
        </w:rPr>
        <w:t>需</w:t>
      </w:r>
      <w:r>
        <w:rPr>
          <w:rFonts w:hint="eastAsia" w:ascii="仿宋_GB2312" w:hAnsi="黑体" w:eastAsia="仿宋_GB2312" w:cs="Times New Roman"/>
          <w:color w:val="auto"/>
          <w:sz w:val="32"/>
          <w:szCs w:val="32"/>
        </w:rPr>
        <w:t>按规定缴纳违约金后强制退出，在规定时间内退还其购买的产业用房及配套宿舍，且一年内不得入选遴选企业库。退出后的产业用房及配套宿舍优先由区政府或其指定单位回购，回购价以购置价格为原值折旧后计算确定。</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强制执行：购房企业因人民法院强制执行拍卖或者变卖房屋（构筑物）所有权的，次受让主体应当符合原受让主体资格条件，并应当承接原《产业用房及配套用房买卖合同》及《产业发展监管协议书》规定的受让主体责任及义务。人民法院强制执行又无符合条件的次受让主体的，其建（构）筑物由各区政府或其指定单位回购。</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二次转让的分割限制：购房企业购买的产业用房及配套宿舍在进行二次转让时，应按企业办理产业用房与配套宿舍不动产登记时的证载面积为单位整体转让，不可分割转让。</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抵押限制：购房企业购买的产业用房及配套宿舍允许抵押，但抵押金额不得超过不动产剩余年期的建（构）筑物残值。</w:t>
      </w:r>
    </w:p>
    <w:p>
      <w:pPr>
        <w:spacing w:line="560" w:lineRule="exact"/>
        <w:ind w:firstLine="640" w:firstLineChars="200"/>
        <w:rPr>
          <w:rFonts w:ascii="黑体" w:hAnsi="黑体" w:eastAsia="黑体" w:cs="黑体"/>
          <w:color w:val="auto"/>
          <w:sz w:val="32"/>
          <w:szCs w:val="32"/>
        </w:rPr>
      </w:pPr>
      <w:r>
        <w:rPr>
          <w:rFonts w:ascii="黑体" w:hAnsi="黑体" w:eastAsia="黑体" w:cs="黑体"/>
          <w:color w:val="auto"/>
          <w:sz w:val="32"/>
          <w:szCs w:val="32"/>
        </w:rPr>
        <w:t>十、违约责任</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购房企业与建设单位签署《产业用房定制协议书》，企业在房屋交付前申请退出或违反协议规定的，原则上不予退还定制保证金。</w:t>
      </w:r>
    </w:p>
    <w:p>
      <w:pPr>
        <w:spacing w:line="560" w:lineRule="exact"/>
        <w:ind w:firstLine="640" w:firstLineChars="200"/>
        <w:rPr>
          <w:rFonts w:ascii="仿宋" w:hAnsi="仿宋" w:eastAsia="仿宋" w:cs="仿宋"/>
          <w:color w:val="auto"/>
          <w:kern w:val="0"/>
          <w:sz w:val="31"/>
          <w:szCs w:val="31"/>
          <w:lang w:bidi="ar"/>
        </w:rPr>
      </w:pPr>
      <w:r>
        <w:rPr>
          <w:rFonts w:hint="eastAsia" w:ascii="仿宋_GB2312" w:hAnsi="黑体" w:eastAsia="仿宋_GB2312" w:cs="Times New Roman"/>
          <w:color w:val="auto"/>
          <w:sz w:val="32"/>
          <w:szCs w:val="32"/>
        </w:rPr>
        <w:t>购房企业购买的试点项目产业用房及配套宿舍限定自用，购房企业签订《产业用房定制协议书》或《产业用房及配套用房买卖合同》后无故退出，或在使用期间出现违规出租、出售、改变其原有使用功能等不按合同或协议书约定使用产业用房及配套宿舍行为的，5年内不得租赁或购买我市政策性产业用房。已购买试点项目产业空间的，需在规定时间内退还其购买的产业用房及配套宿舍，退出后的产业用房及配套宿舍优先由区政府或其指定单位回购，回购价以购置价格为原值折旧后计算确定。</w:t>
      </w:r>
    </w:p>
    <w:p>
      <w:pPr>
        <w:spacing w:line="560" w:lineRule="exact"/>
        <w:ind w:firstLine="640" w:firstLineChars="200"/>
        <w:rPr>
          <w:rFonts w:ascii="黑体" w:hAnsi="黑体" w:eastAsia="黑体" w:cs="黑体"/>
          <w:color w:val="auto"/>
          <w:sz w:val="32"/>
          <w:szCs w:val="32"/>
        </w:rPr>
      </w:pPr>
      <w:r>
        <w:rPr>
          <w:rFonts w:ascii="黑体" w:hAnsi="黑体" w:eastAsia="黑体" w:cs="黑体"/>
          <w:color w:val="auto"/>
          <w:sz w:val="32"/>
          <w:szCs w:val="32"/>
        </w:rPr>
        <w:t>十一、退出条件</w:t>
      </w: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有下列情形之一的，建设单位应及时终止《产业用房定制协议书》，并对申请主体作退出处理：</w:t>
      </w:r>
    </w:p>
    <w:p>
      <w:pPr>
        <w:spacing w:line="560" w:lineRule="exact"/>
        <w:ind w:firstLine="640" w:firstLineChars="200"/>
        <w:rPr>
          <w:rFonts w:hint="eastAsia" w:ascii="仿宋_GB2312" w:hAnsi="黑体" w:eastAsia="仿宋_GB2312" w:cs="Times New Roman"/>
          <w:color w:val="auto"/>
          <w:sz w:val="32"/>
          <w:szCs w:val="32"/>
        </w:rPr>
      </w:pPr>
      <w:r>
        <w:rPr>
          <w:rFonts w:hint="eastAsia" w:ascii="仿宋_GB2312" w:hAnsi="黑体" w:eastAsia="仿宋_GB2312" w:cs="Times New Roman"/>
          <w:color w:val="auto"/>
          <w:sz w:val="32"/>
          <w:szCs w:val="32"/>
        </w:rPr>
        <w:t>（一）将注册地、纳税地、统计地迁离龙岗区的；</w:t>
      </w:r>
    </w:p>
    <w:p>
      <w:pPr>
        <w:spacing w:line="560" w:lineRule="exact"/>
        <w:ind w:firstLine="640" w:firstLineChars="200"/>
        <w:rPr>
          <w:rFonts w:hint="eastAsia" w:ascii="仿宋_GB2312" w:hAnsi="黑体" w:eastAsia="仿宋_GB2312" w:cs="Times New Roman"/>
          <w:color w:val="auto"/>
          <w:sz w:val="32"/>
          <w:szCs w:val="32"/>
        </w:rPr>
      </w:pPr>
      <w:r>
        <w:rPr>
          <w:rFonts w:hint="eastAsia" w:ascii="仿宋_GB2312" w:hAnsi="黑体" w:eastAsia="仿宋_GB2312" w:cs="Times New Roman"/>
          <w:color w:val="auto"/>
          <w:sz w:val="32"/>
          <w:szCs w:val="32"/>
        </w:rPr>
        <w:t>（二）申报主体有隐瞒真实情况、伪造证明等骗租行为的；</w:t>
      </w:r>
    </w:p>
    <w:p>
      <w:pPr>
        <w:spacing w:line="560" w:lineRule="exact"/>
        <w:ind w:firstLine="640" w:firstLineChars="200"/>
        <w:rPr>
          <w:rFonts w:hint="eastAsia" w:ascii="仿宋_GB2312" w:hAnsi="黑体" w:eastAsia="仿宋_GB2312" w:cs="Times New Roman"/>
          <w:color w:val="auto"/>
          <w:sz w:val="32"/>
          <w:szCs w:val="32"/>
        </w:rPr>
      </w:pPr>
      <w:r>
        <w:rPr>
          <w:rFonts w:hint="eastAsia" w:ascii="仿宋_GB2312" w:hAnsi="黑体" w:eastAsia="仿宋_GB2312" w:cs="Times New Roman"/>
          <w:color w:val="auto"/>
          <w:sz w:val="32"/>
          <w:szCs w:val="32"/>
        </w:rPr>
        <w:t>（三）入驻主体被列入失信名单的。</w:t>
      </w:r>
    </w:p>
    <w:p>
      <w:pPr>
        <w:widowControl/>
        <w:spacing w:line="560" w:lineRule="exact"/>
        <w:ind w:firstLine="640" w:firstLineChars="200"/>
        <w:rPr>
          <w:rFonts w:hint="default" w:ascii="仿宋_GB2312" w:hAnsi="黑体" w:eastAsia="仿宋_GB2312" w:cs="Times New Roman"/>
          <w:color w:val="auto"/>
          <w:sz w:val="32"/>
          <w:szCs w:val="32"/>
        </w:rPr>
      </w:pPr>
      <w:r>
        <w:rPr>
          <w:rFonts w:hint="default" w:ascii="仿宋_GB2312" w:hAnsi="黑体" w:eastAsia="仿宋_GB2312" w:cs="Times New Roman"/>
          <w:color w:val="auto"/>
          <w:sz w:val="32"/>
          <w:szCs w:val="32"/>
        </w:rPr>
        <w:t>本指南由深圳市龙岗区工业和信息化局负责解释。</w:t>
      </w:r>
    </w:p>
    <w:p>
      <w:pPr>
        <w:spacing w:line="560" w:lineRule="exact"/>
        <w:ind w:firstLine="640" w:firstLineChars="200"/>
        <w:rPr>
          <w:rFonts w:ascii="仿宋_GB2312" w:hAnsi="黑体" w:eastAsia="仿宋_GB2312" w:cs="Times New Roman"/>
          <w:color w:val="auto"/>
          <w:sz w:val="32"/>
          <w:szCs w:val="32"/>
        </w:rPr>
      </w:pPr>
    </w:p>
    <w:p>
      <w:pPr>
        <w:pStyle w:val="2"/>
        <w:rPr>
          <w:color w:val="auto"/>
        </w:rPr>
      </w:pPr>
    </w:p>
    <w:p>
      <w:pPr>
        <w:spacing w:line="560" w:lineRule="exact"/>
        <w:ind w:firstLine="640" w:firstLineChars="200"/>
        <w:rPr>
          <w:rFonts w:ascii="仿宋_GB2312" w:hAnsi="黑体" w:eastAsia="仿宋_GB2312" w:cs="Times New Roman"/>
          <w:color w:val="auto"/>
          <w:sz w:val="32"/>
          <w:szCs w:val="32"/>
        </w:rPr>
      </w:pPr>
      <w:r>
        <w:rPr>
          <w:rFonts w:hint="eastAsia" w:ascii="仿宋_GB2312" w:hAnsi="黑体" w:eastAsia="仿宋_GB2312" w:cs="Times New Roman"/>
          <w:color w:val="auto"/>
          <w:sz w:val="32"/>
          <w:szCs w:val="32"/>
        </w:rPr>
        <w:t>附件：</w:t>
      </w:r>
      <w:r>
        <w:rPr>
          <w:rFonts w:ascii="仿宋_GB2312" w:hAnsi="黑体" w:eastAsia="仿宋_GB2312" w:cs="Times New Roman"/>
          <w:color w:val="auto"/>
          <w:sz w:val="32"/>
          <w:szCs w:val="32"/>
        </w:rPr>
        <w:t>1</w:t>
      </w:r>
      <w:r>
        <w:rPr>
          <w:rFonts w:hint="eastAsia" w:ascii="仿宋_GB2312" w:hAnsi="黑体" w:eastAsia="仿宋_GB2312" w:cs="Times New Roman"/>
          <w:color w:val="auto"/>
          <w:sz w:val="32"/>
          <w:szCs w:val="32"/>
        </w:rPr>
        <w:t>-1产业用房需求报名申请表</w:t>
      </w:r>
    </w:p>
    <w:p>
      <w:pPr>
        <w:spacing w:line="560" w:lineRule="exact"/>
        <w:ind w:firstLine="1600" w:firstLineChars="500"/>
        <w:rPr>
          <w:rFonts w:ascii="仿宋_GB2312" w:hAnsi="黑体" w:eastAsia="仿宋_GB2312" w:cs="Times New Roman"/>
          <w:color w:val="auto"/>
          <w:sz w:val="32"/>
          <w:szCs w:val="32"/>
        </w:rPr>
      </w:pPr>
      <w:r>
        <w:rPr>
          <w:rFonts w:ascii="仿宋_GB2312" w:hAnsi="黑体" w:eastAsia="仿宋_GB2312" w:cs="Times New Roman"/>
          <w:color w:val="auto"/>
          <w:sz w:val="32"/>
          <w:szCs w:val="32"/>
        </w:rPr>
        <w:t>1</w:t>
      </w:r>
      <w:r>
        <w:rPr>
          <w:rFonts w:hint="eastAsia" w:ascii="仿宋_GB2312" w:hAnsi="黑体" w:eastAsia="仿宋_GB2312" w:cs="Times New Roman"/>
          <w:color w:val="auto"/>
          <w:sz w:val="32"/>
          <w:szCs w:val="32"/>
        </w:rPr>
        <w:t>-2产业导向</w:t>
      </w:r>
    </w:p>
    <w:p>
      <w:pPr>
        <w:spacing w:line="560" w:lineRule="exact"/>
        <w:ind w:firstLine="1600" w:firstLineChars="500"/>
        <w:rPr>
          <w:rFonts w:ascii="仿宋_GB2312" w:hAnsi="黑体" w:eastAsia="仿宋_GB2312" w:cs="Times New Roman"/>
          <w:color w:val="auto"/>
          <w:sz w:val="32"/>
          <w:szCs w:val="32"/>
        </w:rPr>
      </w:pPr>
      <w:r>
        <w:rPr>
          <w:rFonts w:ascii="仿宋_GB2312" w:hAnsi="黑体" w:eastAsia="仿宋_GB2312" w:cs="Times New Roman"/>
          <w:color w:val="auto"/>
          <w:sz w:val="32"/>
          <w:szCs w:val="32"/>
        </w:rPr>
        <w:t>1</w:t>
      </w:r>
      <w:r>
        <w:rPr>
          <w:rFonts w:hint="eastAsia" w:ascii="仿宋_GB2312" w:hAnsi="黑体" w:eastAsia="仿宋_GB2312" w:cs="Times New Roman"/>
          <w:color w:val="auto"/>
          <w:sz w:val="32"/>
          <w:szCs w:val="32"/>
        </w:rPr>
        <w:t>-3产业用房申请流程图</w:t>
      </w:r>
    </w:p>
    <w:p>
      <w:pPr>
        <w:rPr>
          <w:rFonts w:ascii="仿宋" w:hAnsi="仿宋" w:eastAsia="仿宋"/>
          <w:color w:val="auto"/>
          <w:sz w:val="32"/>
          <w:szCs w:val="32"/>
        </w:rPr>
      </w:pPr>
      <w:r>
        <w:rPr>
          <w:rFonts w:hint="eastAsia" w:ascii="仿宋" w:hAnsi="仿宋" w:eastAsia="仿宋"/>
          <w:color w:val="auto"/>
          <w:sz w:val="32"/>
          <w:szCs w:val="32"/>
        </w:rPr>
        <w:br w:type="page"/>
      </w:r>
    </w:p>
    <w:p>
      <w:pPr>
        <w:spacing w:line="560" w:lineRule="exact"/>
        <w:rPr>
          <w:rFonts w:ascii="黑体" w:hAnsi="黑体" w:eastAsia="黑体" w:cs="黑体"/>
          <w:color w:val="auto"/>
          <w:sz w:val="32"/>
          <w:szCs w:val="32"/>
        </w:rPr>
      </w:pPr>
      <w:r>
        <w:rPr>
          <w:rFonts w:hint="eastAsia" w:ascii="黑体" w:hAnsi="黑体" w:eastAsia="黑体" w:cs="黑体"/>
          <w:color w:val="auto"/>
          <w:sz w:val="32"/>
          <w:szCs w:val="32"/>
        </w:rPr>
        <w:t>附件：</w:t>
      </w:r>
      <w:r>
        <w:rPr>
          <w:rFonts w:ascii="黑体" w:hAnsi="黑体" w:eastAsia="黑体" w:cs="黑体"/>
          <w:color w:val="auto"/>
          <w:sz w:val="32"/>
          <w:szCs w:val="32"/>
        </w:rPr>
        <w:t>1</w:t>
      </w:r>
      <w:r>
        <w:rPr>
          <w:rFonts w:hint="eastAsia" w:ascii="黑体" w:hAnsi="黑体" w:eastAsia="黑体" w:cs="黑体"/>
          <w:color w:val="auto"/>
          <w:sz w:val="32"/>
          <w:szCs w:val="32"/>
        </w:rPr>
        <w:t>-</w:t>
      </w:r>
      <w:r>
        <w:rPr>
          <w:rFonts w:ascii="黑体" w:hAnsi="黑体" w:eastAsia="黑体" w:cs="黑体"/>
          <w:color w:val="auto"/>
          <w:sz w:val="32"/>
          <w:szCs w:val="32"/>
        </w:rPr>
        <w:t>1</w:t>
      </w:r>
    </w:p>
    <w:p>
      <w:pPr>
        <w:spacing w:line="560" w:lineRule="exact"/>
        <w:jc w:val="center"/>
        <w:rPr>
          <w:rFonts w:ascii="仿宋" w:hAnsi="仿宋" w:eastAsia="仿宋"/>
          <w:b/>
          <w:bCs/>
          <w:color w:val="auto"/>
          <w:kern w:val="0"/>
          <w:sz w:val="44"/>
          <w:szCs w:val="44"/>
        </w:rPr>
      </w:pPr>
    </w:p>
    <w:p>
      <w:pPr>
        <w:spacing w:line="560" w:lineRule="exact"/>
        <w:jc w:val="center"/>
        <w:rPr>
          <w:rFonts w:ascii="仿宋" w:hAnsi="仿宋" w:eastAsia="仿宋"/>
          <w:b w:val="0"/>
          <w:bCs w:val="0"/>
          <w:color w:val="auto"/>
          <w:kern w:val="0"/>
          <w:sz w:val="44"/>
          <w:szCs w:val="44"/>
        </w:rPr>
      </w:pPr>
      <w:r>
        <w:rPr>
          <w:rFonts w:hint="eastAsia" w:ascii="仿宋" w:hAnsi="仿宋" w:eastAsia="仿宋"/>
          <w:b w:val="0"/>
          <w:bCs w:val="0"/>
          <w:color w:val="auto"/>
          <w:kern w:val="0"/>
          <w:sz w:val="44"/>
          <w:szCs w:val="44"/>
        </w:rPr>
        <w:t>深圳宝龙专精特新产业园产业用房需求报名申请表</w:t>
      </w:r>
    </w:p>
    <w:p>
      <w:pPr>
        <w:spacing w:line="560" w:lineRule="exact"/>
        <w:jc w:val="center"/>
        <w:rPr>
          <w:rFonts w:ascii="仿宋" w:hAnsi="仿宋" w:eastAsia="仿宋" w:cs="仿宋"/>
          <w:color w:val="auto"/>
          <w:sz w:val="32"/>
          <w:szCs w:val="32"/>
        </w:rPr>
      </w:pPr>
      <w:r>
        <w:rPr>
          <w:rFonts w:hint="eastAsia" w:ascii="仿宋" w:hAnsi="仿宋" w:eastAsia="仿宋" w:cs="仿宋"/>
          <w:color w:val="auto"/>
          <w:sz w:val="32"/>
          <w:szCs w:val="32"/>
        </w:rPr>
        <w:t xml:space="preserve"> </w:t>
      </w:r>
      <w:r>
        <w:rPr>
          <w:rFonts w:ascii="仿宋" w:hAnsi="仿宋" w:eastAsia="仿宋" w:cs="仿宋"/>
          <w:color w:val="auto"/>
          <w:sz w:val="32"/>
          <w:szCs w:val="32"/>
        </w:rPr>
        <w:t xml:space="preserve">                                          </w:t>
      </w:r>
      <w:r>
        <w:rPr>
          <w:rFonts w:hint="eastAsia" w:ascii="仿宋" w:hAnsi="仿宋" w:eastAsia="仿宋" w:cs="仿宋"/>
          <w:color w:val="auto"/>
          <w:sz w:val="32"/>
          <w:szCs w:val="32"/>
        </w:rPr>
        <w:t>单位：万元</w:t>
      </w:r>
    </w:p>
    <w:tbl>
      <w:tblPr>
        <w:tblStyle w:val="10"/>
        <w:tblpPr w:leftFromText="180" w:rightFromText="180" w:vertAnchor="text" w:horzAnchor="page" w:tblpX="1080" w:tblpY="624"/>
        <w:tblOverlap w:val="never"/>
        <w:tblW w:w="10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7"/>
        <w:gridCol w:w="2663"/>
        <w:gridCol w:w="438"/>
        <w:gridCol w:w="1292"/>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企业名称</w:t>
            </w:r>
          </w:p>
        </w:tc>
        <w:tc>
          <w:tcPr>
            <w:tcW w:w="6928" w:type="dxa"/>
            <w:gridSpan w:val="4"/>
          </w:tcPr>
          <w:p>
            <w:pPr>
              <w:jc w:val="center"/>
              <w:rPr>
                <w:rFonts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注册地址</w:t>
            </w:r>
          </w:p>
        </w:tc>
        <w:tc>
          <w:tcPr>
            <w:tcW w:w="6928" w:type="dxa"/>
            <w:gridSpan w:val="4"/>
          </w:tcPr>
          <w:p>
            <w:pPr>
              <w:jc w:val="left"/>
              <w:rPr>
                <w:rFonts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所属行业</w:t>
            </w:r>
          </w:p>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24"/>
              </w:rPr>
              <w:t>（参考附件1-2）</w:t>
            </w:r>
          </w:p>
        </w:tc>
        <w:tc>
          <w:tcPr>
            <w:tcW w:w="6928" w:type="dxa"/>
            <w:gridSpan w:val="4"/>
          </w:tcPr>
          <w:p>
            <w:pPr>
              <w:spacing w:line="40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分类一：□新一代信息技术  □生物医药 □绿色低碳</w:t>
            </w:r>
          </w:p>
          <w:p>
            <w:pPr>
              <w:spacing w:line="40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分类二：□深圳市20个战略性新兴产业集群和8大未来产业集群</w:t>
            </w:r>
          </w:p>
          <w:p>
            <w:pPr>
              <w:spacing w:line="40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分类三：□其他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07" w:type="dxa"/>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成立时间</w:t>
            </w:r>
          </w:p>
        </w:tc>
        <w:tc>
          <w:tcPr>
            <w:tcW w:w="2663" w:type="dxa"/>
          </w:tcPr>
          <w:p>
            <w:pPr>
              <w:jc w:val="center"/>
              <w:rPr>
                <w:rFonts w:ascii="仿宋_GB2312" w:hAnsi="仿宋_GB2312" w:eastAsia="仿宋_GB2312" w:cs="仿宋_GB2312"/>
                <w:color w:val="auto"/>
                <w:sz w:val="32"/>
                <w:szCs w:val="32"/>
              </w:rPr>
            </w:pPr>
          </w:p>
        </w:tc>
        <w:tc>
          <w:tcPr>
            <w:tcW w:w="1730" w:type="dxa"/>
            <w:gridSpan w:val="2"/>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注册资本</w:t>
            </w:r>
          </w:p>
        </w:tc>
        <w:tc>
          <w:tcPr>
            <w:tcW w:w="2535" w:type="dxa"/>
          </w:tcPr>
          <w:p>
            <w:pPr>
              <w:jc w:val="left"/>
              <w:rPr>
                <w:rFonts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07" w:type="dxa"/>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法定代表人</w:t>
            </w:r>
          </w:p>
        </w:tc>
        <w:tc>
          <w:tcPr>
            <w:tcW w:w="2663" w:type="dxa"/>
          </w:tcPr>
          <w:p>
            <w:pPr>
              <w:jc w:val="center"/>
              <w:rPr>
                <w:rFonts w:ascii="仿宋_GB2312" w:hAnsi="仿宋_GB2312" w:eastAsia="仿宋_GB2312" w:cs="仿宋_GB2312"/>
                <w:color w:val="auto"/>
                <w:sz w:val="32"/>
                <w:szCs w:val="32"/>
              </w:rPr>
            </w:pPr>
          </w:p>
        </w:tc>
        <w:tc>
          <w:tcPr>
            <w:tcW w:w="1730" w:type="dxa"/>
            <w:gridSpan w:val="2"/>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手机号码</w:t>
            </w:r>
          </w:p>
        </w:tc>
        <w:tc>
          <w:tcPr>
            <w:tcW w:w="2535" w:type="dxa"/>
          </w:tcPr>
          <w:p>
            <w:pPr>
              <w:jc w:val="left"/>
              <w:rPr>
                <w:rFonts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单位联系人</w:t>
            </w:r>
          </w:p>
        </w:tc>
        <w:tc>
          <w:tcPr>
            <w:tcW w:w="2663" w:type="dxa"/>
          </w:tcPr>
          <w:p>
            <w:pPr>
              <w:jc w:val="center"/>
              <w:rPr>
                <w:rFonts w:ascii="仿宋_GB2312" w:hAnsi="仿宋_GB2312" w:eastAsia="仿宋_GB2312" w:cs="仿宋_GB2312"/>
                <w:color w:val="auto"/>
                <w:sz w:val="32"/>
                <w:szCs w:val="32"/>
              </w:rPr>
            </w:pPr>
          </w:p>
        </w:tc>
        <w:tc>
          <w:tcPr>
            <w:tcW w:w="1730" w:type="dxa"/>
            <w:gridSpan w:val="2"/>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手机号码</w:t>
            </w:r>
          </w:p>
        </w:tc>
        <w:tc>
          <w:tcPr>
            <w:tcW w:w="2535" w:type="dxa"/>
          </w:tcPr>
          <w:p>
            <w:pPr>
              <w:jc w:val="left"/>
              <w:rPr>
                <w:rFonts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3107" w:type="dxa"/>
            <w:vAlign w:val="center"/>
          </w:tcPr>
          <w:p>
            <w:pP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企业简介</w:t>
            </w:r>
            <w:r>
              <w:rPr>
                <w:color w:val="auto"/>
              </w:rPr>
              <w:t>：</w:t>
            </w:r>
            <w:r>
              <w:rPr>
                <w:rFonts w:hint="eastAsia" w:ascii="仿宋_GB2312" w:hAnsi="仿宋_GB2312" w:eastAsia="仿宋_GB2312" w:cs="仿宋_GB2312"/>
                <w:color w:val="auto"/>
                <w:sz w:val="24"/>
              </w:rPr>
              <w:t>（主营业务范围、产品和技术、市场及客户、品牌建设、核心竞争力及成长性等。300 字 以内）</w:t>
            </w:r>
          </w:p>
        </w:tc>
        <w:tc>
          <w:tcPr>
            <w:tcW w:w="6928" w:type="dxa"/>
            <w:gridSpan w:val="4"/>
            <w:vAlign w:val="center"/>
          </w:tcPr>
          <w:p>
            <w:pPr>
              <w:spacing w:line="400" w:lineRule="exact"/>
              <w:jc w:val="left"/>
              <w:rPr>
                <w:rFonts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107" w:type="dxa"/>
            <w:vAlign w:val="center"/>
          </w:tcPr>
          <w:p>
            <w:pPr>
              <w:spacing w:line="40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产品品质</w:t>
            </w:r>
          </w:p>
        </w:tc>
        <w:tc>
          <w:tcPr>
            <w:tcW w:w="6928" w:type="dxa"/>
            <w:gridSpan w:val="4"/>
            <w:vAlign w:val="center"/>
          </w:tcPr>
          <w:p>
            <w:pPr>
              <w:spacing w:line="40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□质量管理体系：     </w:t>
            </w:r>
          </w:p>
          <w:p>
            <w:pPr>
              <w:spacing w:line="40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□知识产权管理体系：</w:t>
            </w:r>
          </w:p>
          <w:p>
            <w:pPr>
              <w:spacing w:line="40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□自主品牌名称：</w:t>
            </w:r>
          </w:p>
          <w:p>
            <w:pPr>
              <w:spacing w:line="40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□执行国际标准（最重要的）：</w:t>
            </w:r>
          </w:p>
          <w:p>
            <w:pPr>
              <w:spacing w:line="40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□执行国内标准（最重要的）：</w:t>
            </w:r>
          </w:p>
          <w:p>
            <w:pPr>
              <w:spacing w:line="40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□国际标准协会行业认证：</w:t>
            </w:r>
          </w:p>
          <w:p>
            <w:pPr>
              <w:spacing w:line="40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□建立产品追溯体系：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107" w:type="dxa"/>
            <w:vMerge w:val="restart"/>
            <w:vAlign w:val="center"/>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股权结构</w:t>
            </w:r>
          </w:p>
        </w:tc>
        <w:tc>
          <w:tcPr>
            <w:tcW w:w="3101" w:type="dxa"/>
            <w:gridSpan w:val="2"/>
            <w:vAlign w:val="center"/>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股东名称（前三位）</w:t>
            </w:r>
          </w:p>
        </w:tc>
        <w:tc>
          <w:tcPr>
            <w:tcW w:w="3827" w:type="dxa"/>
            <w:gridSpan w:val="2"/>
            <w:vAlign w:val="center"/>
          </w:tcPr>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股权比例（%）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107" w:type="dxa"/>
            <w:vMerge w:val="continue"/>
            <w:vAlign w:val="center"/>
          </w:tcPr>
          <w:p>
            <w:pPr>
              <w:jc w:val="center"/>
              <w:rPr>
                <w:rFonts w:ascii="仿宋_GB2312" w:hAnsi="仿宋_GB2312" w:eastAsia="仿宋_GB2312" w:cs="仿宋_GB2312"/>
                <w:color w:val="auto"/>
                <w:sz w:val="32"/>
                <w:szCs w:val="32"/>
              </w:rPr>
            </w:pPr>
          </w:p>
        </w:tc>
        <w:tc>
          <w:tcPr>
            <w:tcW w:w="3101" w:type="dxa"/>
            <w:gridSpan w:val="2"/>
            <w:vAlign w:val="center"/>
          </w:tcPr>
          <w:p>
            <w:pPr>
              <w:jc w:val="center"/>
              <w:rPr>
                <w:rFonts w:ascii="仿宋_GB2312" w:hAnsi="仿宋_GB2312" w:eastAsia="仿宋_GB2312" w:cs="仿宋_GB2312"/>
                <w:color w:val="auto"/>
                <w:sz w:val="32"/>
                <w:szCs w:val="32"/>
              </w:rPr>
            </w:pPr>
          </w:p>
        </w:tc>
        <w:tc>
          <w:tcPr>
            <w:tcW w:w="3827" w:type="dxa"/>
            <w:gridSpan w:val="2"/>
            <w:vAlign w:val="center"/>
          </w:tcPr>
          <w:p>
            <w:pPr>
              <w:jc w:val="center"/>
              <w:rPr>
                <w:rFonts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107" w:type="dxa"/>
            <w:vMerge w:val="continue"/>
            <w:vAlign w:val="center"/>
          </w:tcPr>
          <w:p>
            <w:pPr>
              <w:jc w:val="center"/>
              <w:rPr>
                <w:rFonts w:ascii="仿宋_GB2312" w:hAnsi="仿宋_GB2312" w:eastAsia="仿宋_GB2312" w:cs="仿宋_GB2312"/>
                <w:color w:val="auto"/>
                <w:sz w:val="32"/>
                <w:szCs w:val="32"/>
              </w:rPr>
            </w:pPr>
          </w:p>
        </w:tc>
        <w:tc>
          <w:tcPr>
            <w:tcW w:w="3101" w:type="dxa"/>
            <w:gridSpan w:val="2"/>
            <w:vAlign w:val="center"/>
          </w:tcPr>
          <w:p>
            <w:pPr>
              <w:jc w:val="center"/>
              <w:rPr>
                <w:rFonts w:ascii="仿宋_GB2312" w:hAnsi="仿宋_GB2312" w:eastAsia="仿宋_GB2312" w:cs="仿宋_GB2312"/>
                <w:color w:val="auto"/>
                <w:sz w:val="32"/>
                <w:szCs w:val="32"/>
              </w:rPr>
            </w:pPr>
          </w:p>
        </w:tc>
        <w:tc>
          <w:tcPr>
            <w:tcW w:w="3827" w:type="dxa"/>
            <w:gridSpan w:val="2"/>
            <w:vAlign w:val="center"/>
          </w:tcPr>
          <w:p>
            <w:pPr>
              <w:jc w:val="center"/>
              <w:rPr>
                <w:rFonts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107" w:type="dxa"/>
            <w:vMerge w:val="continue"/>
            <w:vAlign w:val="center"/>
          </w:tcPr>
          <w:p>
            <w:pPr>
              <w:jc w:val="center"/>
              <w:rPr>
                <w:rFonts w:ascii="仿宋_GB2312" w:hAnsi="仿宋_GB2312" w:eastAsia="仿宋_GB2312" w:cs="仿宋_GB2312"/>
                <w:color w:val="auto"/>
                <w:sz w:val="32"/>
                <w:szCs w:val="32"/>
              </w:rPr>
            </w:pPr>
          </w:p>
        </w:tc>
        <w:tc>
          <w:tcPr>
            <w:tcW w:w="3101" w:type="dxa"/>
            <w:gridSpan w:val="2"/>
            <w:vAlign w:val="center"/>
          </w:tcPr>
          <w:p>
            <w:pPr>
              <w:jc w:val="center"/>
              <w:rPr>
                <w:rFonts w:ascii="仿宋_GB2312" w:hAnsi="仿宋_GB2312" w:eastAsia="仿宋_GB2312" w:cs="仿宋_GB2312"/>
                <w:color w:val="auto"/>
                <w:sz w:val="32"/>
                <w:szCs w:val="32"/>
              </w:rPr>
            </w:pPr>
          </w:p>
        </w:tc>
        <w:tc>
          <w:tcPr>
            <w:tcW w:w="3827" w:type="dxa"/>
            <w:gridSpan w:val="2"/>
            <w:vAlign w:val="center"/>
          </w:tcPr>
          <w:p>
            <w:pPr>
              <w:jc w:val="center"/>
              <w:rPr>
                <w:rFonts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0035" w:type="dxa"/>
            <w:gridSpan w:val="5"/>
            <w:vAlign w:val="center"/>
          </w:tcPr>
          <w:p>
            <w:pPr>
              <w:spacing w:line="400" w:lineRule="exact"/>
              <w:jc w:val="left"/>
              <w:rPr>
                <w:rFonts w:ascii="仿宋" w:hAnsi="仿宋" w:eastAsia="仿宋" w:cs="仿宋"/>
                <w:color w:val="auto"/>
                <w:sz w:val="32"/>
                <w:szCs w:val="32"/>
              </w:rPr>
            </w:pPr>
            <w:r>
              <w:rPr>
                <w:rFonts w:hint="eastAsia" w:ascii="仿宋_GB2312" w:hAnsi="仿宋_GB2312" w:eastAsia="仿宋_GB2312" w:cs="仿宋_GB2312"/>
                <w:color w:val="auto"/>
                <w:sz w:val="32"/>
                <w:szCs w:val="32"/>
              </w:rPr>
              <w:t xml:space="preserve">优质成长型企业：□创新型中小企业  </w:t>
            </w:r>
            <w:r>
              <w:rPr>
                <w:rFonts w:hint="eastAsia" w:ascii="仿宋" w:hAnsi="仿宋" w:eastAsia="仿宋" w:cs="仿宋"/>
                <w:color w:val="auto"/>
                <w:sz w:val="32"/>
                <w:szCs w:val="32"/>
              </w:rPr>
              <w:t xml:space="preserve">   </w:t>
            </w:r>
          </w:p>
          <w:p>
            <w:pPr>
              <w:spacing w:line="400" w:lineRule="exact"/>
              <w:ind w:firstLine="2560" w:firstLineChars="800"/>
              <w:jc w:val="left"/>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专精特新中小企业</w:t>
            </w:r>
          </w:p>
          <w:p>
            <w:pPr>
              <w:spacing w:line="400" w:lineRule="exact"/>
              <w:ind w:firstLine="2560" w:firstLineChars="800"/>
              <w:jc w:val="left"/>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 xml:space="preserve">专精特新“小巨人”企业   </w:t>
            </w:r>
          </w:p>
          <w:p>
            <w:pPr>
              <w:spacing w:line="400" w:lineRule="exact"/>
              <w:ind w:firstLine="2560" w:firstLineChars="800"/>
              <w:jc w:val="left"/>
              <w:rPr>
                <w:rFonts w:hint="eastAsia" w:ascii="仿宋_GB2312" w:hAnsi="仿宋_GB2312" w:eastAsia="仿宋_GB2312" w:cs="仿宋_GB2312"/>
                <w:color w:val="auto"/>
                <w:sz w:val="32"/>
                <w:szCs w:val="32"/>
              </w:rPr>
            </w:pP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国家高新技术制造业企业</w:t>
            </w:r>
          </w:p>
          <w:p>
            <w:pPr>
              <w:spacing w:line="400" w:lineRule="exact"/>
              <w:ind w:firstLine="2560" w:firstLineChars="800"/>
              <w:jc w:val="left"/>
              <w:rPr>
                <w:rFonts w:hint="eastAsia" w:ascii="仿宋_GB2312" w:hAnsi="仿宋_GB2312" w:eastAsia="仿宋_GB2312" w:cs="仿宋_GB2312"/>
                <w:color w:val="auto"/>
                <w:sz w:val="32"/>
                <w:szCs w:val="32"/>
              </w:rPr>
            </w:pP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深圳市“链长制”重点产业链重点企业名单企业</w:t>
            </w:r>
          </w:p>
          <w:p>
            <w:pPr>
              <w:spacing w:line="400" w:lineRule="exact"/>
              <w:ind w:left="2873" w:leftChars="1216" w:hanging="320" w:hangingChars="100"/>
              <w:jc w:val="left"/>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 xml:space="preserve">上述企业控股子公司   </w:t>
            </w:r>
          </w:p>
          <w:p>
            <w:pPr>
              <w:spacing w:line="400" w:lineRule="exact"/>
              <w:ind w:firstLine="2560" w:firstLineChars="800"/>
              <w:jc w:val="left"/>
              <w:rPr>
                <w:rFonts w:hint="eastAsia" w:ascii="仿宋_GB2312" w:hAnsi="仿宋_GB2312" w:eastAsia="仿宋_GB2312" w:cs="仿宋_GB2312"/>
                <w:color w:val="auto"/>
                <w:sz w:val="32"/>
                <w:szCs w:val="32"/>
              </w:rPr>
            </w:pP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近一</w:t>
            </w:r>
            <w:r>
              <w:rPr>
                <w:rFonts w:hint="eastAsia" w:ascii="仿宋_GB2312" w:hAnsi="仿宋_GB2312" w:eastAsia="仿宋_GB2312" w:cs="仿宋_GB2312"/>
                <w:color w:val="auto"/>
                <w:sz w:val="32"/>
                <w:szCs w:val="32"/>
              </w:rPr>
              <w:t>年主营业务收入超过</w:t>
            </w:r>
            <w:r>
              <w:rPr>
                <w:rFonts w:hint="eastAsia" w:ascii="仿宋_GB2312" w:hAnsi="仿宋_GB2312" w:eastAsia="仿宋_GB2312" w:cs="仿宋_GB2312"/>
                <w:color w:val="auto"/>
                <w:sz w:val="32"/>
                <w:szCs w:val="32"/>
                <w:lang w:val="en-US" w:eastAsia="zh-CN"/>
              </w:rPr>
              <w:t>10</w:t>
            </w:r>
            <w:r>
              <w:rPr>
                <w:rFonts w:ascii="仿宋_GB2312" w:hAnsi="仿宋_GB2312" w:eastAsia="仿宋_GB2312" w:cs="仿宋_GB2312"/>
                <w:color w:val="auto"/>
                <w:sz w:val="32"/>
                <w:szCs w:val="32"/>
              </w:rPr>
              <w:t>00</w:t>
            </w:r>
            <w:r>
              <w:rPr>
                <w:rFonts w:hint="eastAsia" w:ascii="仿宋_GB2312" w:hAnsi="仿宋_GB2312" w:eastAsia="仿宋_GB2312" w:cs="仿宋_GB2312"/>
                <w:color w:val="auto"/>
                <w:sz w:val="32"/>
                <w:szCs w:val="32"/>
              </w:rPr>
              <w:t>万元</w:t>
            </w:r>
          </w:p>
          <w:p>
            <w:pPr>
              <w:pStyle w:val="2"/>
              <w:ind w:firstLine="2560" w:firstLineChars="8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黑体" w:eastAsia="仿宋_GB2312" w:cs="Times New Roman"/>
                <w:color w:val="auto"/>
                <w:sz w:val="32"/>
                <w:szCs w:val="32"/>
                <w:lang w:eastAsia="zh-CN"/>
              </w:rPr>
              <w:t>为上述单位提供服务的现代服务业企业(机构)。</w:t>
            </w:r>
            <w:r>
              <w:rPr>
                <w:rFonts w:hint="eastAsia" w:ascii="仿宋_GB2312" w:hAnsi="仿宋_GB2312" w:eastAsia="仿宋_GB2312" w:cs="仿宋_GB2312"/>
                <w:color w:val="auto"/>
                <w:sz w:val="32"/>
                <w:szCs w:val="32"/>
                <w:lang w:val="en-US" w:eastAsia="zh-CN"/>
              </w:rPr>
              <w:t xml:space="preserve">                        </w:t>
            </w:r>
          </w:p>
          <w:p>
            <w:pPr>
              <w:pStyle w:val="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0035" w:type="dxa"/>
            <w:gridSpan w:val="5"/>
            <w:vAlign w:val="center"/>
          </w:tcPr>
          <w:p>
            <w:pPr>
              <w:spacing w:line="400" w:lineRule="exact"/>
              <w:jc w:val="left"/>
              <w:rPr>
                <w:rFonts w:ascii="仿宋" w:hAnsi="仿宋" w:eastAsia="仿宋" w:cs="仿宋"/>
                <w:color w:val="auto"/>
                <w:sz w:val="32"/>
                <w:szCs w:val="32"/>
              </w:rPr>
            </w:pPr>
            <w:r>
              <w:rPr>
                <w:rFonts w:hint="eastAsia" w:ascii="仿宋" w:hAnsi="仿宋" w:eastAsia="仿宋" w:cs="仿宋"/>
                <w:color w:val="auto"/>
                <w:sz w:val="32"/>
                <w:szCs w:val="32"/>
              </w:rPr>
              <w:t>上市及拟上市企业：</w:t>
            </w:r>
          </w:p>
          <w:p>
            <w:pPr>
              <w:spacing w:line="400" w:lineRule="exact"/>
              <w:ind w:left="1597" w:leftChars="608" w:hanging="320" w:hangingChars="1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□挂牌上市的制造业企业</w:t>
            </w:r>
            <w:r>
              <w:rPr>
                <w:rFonts w:hint="eastAsia" w:ascii="仿宋_GB2312" w:hAnsi="黑体" w:eastAsia="仿宋_GB2312" w:cs="Times New Roman"/>
                <w:color w:val="auto"/>
                <w:sz w:val="32"/>
                <w:szCs w:val="32"/>
                <w:lang w:val="en-US" w:eastAsia="zh-CN"/>
              </w:rPr>
              <w:t>以及制造业配套服务企业</w:t>
            </w:r>
            <w:r>
              <w:rPr>
                <w:rFonts w:hint="eastAsia" w:ascii="仿宋_GB2312" w:hAnsi="仿宋_GB2312" w:eastAsia="仿宋_GB2312" w:cs="仿宋_GB2312"/>
                <w:color w:val="auto"/>
                <w:sz w:val="32"/>
                <w:szCs w:val="32"/>
              </w:rPr>
              <w:t>或其参股的子公司</w:t>
            </w:r>
          </w:p>
          <w:p>
            <w:pPr>
              <w:spacing w:line="400" w:lineRule="exact"/>
              <w:ind w:left="1597" w:leftChars="608" w:hanging="320" w:hangingChars="1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□公司有明确的上市计划且会计师、律师、券商等中介机构已确定并签署辅导协议的拟上市制造业企业</w:t>
            </w:r>
            <w:r>
              <w:rPr>
                <w:rFonts w:hint="eastAsia" w:ascii="仿宋_GB2312" w:hAnsi="黑体" w:eastAsia="仿宋_GB2312" w:cs="Times New Roman"/>
                <w:color w:val="auto"/>
                <w:sz w:val="32"/>
                <w:szCs w:val="32"/>
                <w:lang w:val="en-US" w:eastAsia="zh-CN"/>
              </w:rPr>
              <w:t>以及制造业配套服务企业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107" w:type="dxa"/>
            <w:vAlign w:val="center"/>
          </w:tcPr>
          <w:p>
            <w:pPr>
              <w:spacing w:line="4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近三年主营业务收入情况</w:t>
            </w:r>
          </w:p>
        </w:tc>
        <w:tc>
          <w:tcPr>
            <w:tcW w:w="6928" w:type="dxa"/>
            <w:gridSpan w:val="4"/>
            <w:vAlign w:val="center"/>
          </w:tcPr>
          <w:p>
            <w:pPr>
              <w:spacing w:line="4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21</w:t>
            </w:r>
            <w:r>
              <w:rPr>
                <w:rFonts w:hint="eastAsia" w:ascii="仿宋_GB2312" w:hAnsi="仿宋_GB2312" w:eastAsia="仿宋_GB2312" w:cs="仿宋_GB2312"/>
                <w:color w:val="auto"/>
                <w:sz w:val="32"/>
                <w:szCs w:val="32"/>
              </w:rPr>
              <w:t>年主营业务收入：</w:t>
            </w:r>
          </w:p>
          <w:p>
            <w:pPr>
              <w:spacing w:line="4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22</w:t>
            </w:r>
            <w:r>
              <w:rPr>
                <w:rFonts w:hint="eastAsia" w:ascii="仿宋_GB2312" w:hAnsi="仿宋_GB2312" w:eastAsia="仿宋_GB2312" w:cs="仿宋_GB2312"/>
                <w:color w:val="auto"/>
                <w:sz w:val="32"/>
                <w:szCs w:val="32"/>
              </w:rPr>
              <w:t>年主营业务收入：</w:t>
            </w:r>
          </w:p>
          <w:p>
            <w:pPr>
              <w:spacing w:line="4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年主营业务收入：</w:t>
            </w:r>
          </w:p>
          <w:p>
            <w:pPr>
              <w:spacing w:line="440" w:lineRule="exac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3107" w:type="dxa"/>
            <w:vAlign w:val="center"/>
          </w:tcPr>
          <w:p>
            <w:pPr>
              <w:spacing w:line="40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近三年企业纳税情况</w:t>
            </w:r>
            <w:r>
              <w:rPr>
                <w:rFonts w:hint="eastAsia" w:ascii="仿宋_GB2312" w:hAnsi="仿宋_GB2312" w:eastAsia="仿宋_GB2312" w:cs="仿宋_GB2312"/>
                <w:color w:val="auto"/>
                <w:sz w:val="24"/>
              </w:rPr>
              <w:t>（按税务部门出具的纳税证明填写）</w:t>
            </w:r>
          </w:p>
        </w:tc>
        <w:tc>
          <w:tcPr>
            <w:tcW w:w="6928" w:type="dxa"/>
            <w:gridSpan w:val="4"/>
            <w:vAlign w:val="center"/>
          </w:tcPr>
          <w:p>
            <w:pPr>
              <w:spacing w:line="4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21</w:t>
            </w:r>
            <w:r>
              <w:rPr>
                <w:rFonts w:hint="eastAsia" w:ascii="仿宋_GB2312" w:hAnsi="仿宋_GB2312" w:eastAsia="仿宋_GB2312" w:cs="仿宋_GB2312"/>
                <w:color w:val="auto"/>
                <w:sz w:val="32"/>
                <w:szCs w:val="32"/>
              </w:rPr>
              <w:t>年纳税额：</w:t>
            </w:r>
          </w:p>
          <w:p>
            <w:pPr>
              <w:spacing w:line="4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年纳税额：</w:t>
            </w:r>
          </w:p>
          <w:p>
            <w:pPr>
              <w:spacing w:line="440" w:lineRule="exact"/>
              <w:rPr>
                <w:color w:val="auto"/>
              </w:rPr>
            </w:pP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年纳税额：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107" w:type="dxa"/>
            <w:vAlign w:val="center"/>
          </w:tcPr>
          <w:p>
            <w:pPr>
              <w:spacing w:line="40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职工人数</w:t>
            </w:r>
            <w:r>
              <w:rPr>
                <w:rFonts w:hint="eastAsia" w:ascii="仿宋_GB2312" w:hAnsi="仿宋_GB2312" w:eastAsia="仿宋_GB2312" w:cs="仿宋_GB2312"/>
                <w:color w:val="auto"/>
                <w:sz w:val="24"/>
              </w:rPr>
              <w:t>（按实发工资的人数填写）</w:t>
            </w:r>
          </w:p>
        </w:tc>
        <w:tc>
          <w:tcPr>
            <w:tcW w:w="6928" w:type="dxa"/>
            <w:gridSpan w:val="4"/>
            <w:vAlign w:val="center"/>
          </w:tcPr>
          <w:p>
            <w:pPr>
              <w:spacing w:line="4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总人数：   人；本科及以上：    人；</w:t>
            </w:r>
          </w:p>
          <w:p>
            <w:pPr>
              <w:spacing w:line="4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大专：    人；研发人员：   人，从事生</w:t>
            </w:r>
          </w:p>
          <w:p>
            <w:pPr>
              <w:spacing w:line="440" w:lineRule="exact"/>
              <w:rPr>
                <w:rFonts w:ascii="仿宋" w:hAnsi="仿宋" w:eastAsia="仿宋" w:cs="仿宋"/>
                <w:color w:val="auto"/>
                <w:sz w:val="32"/>
                <w:szCs w:val="32"/>
              </w:rPr>
            </w:pPr>
            <w:r>
              <w:rPr>
                <w:rFonts w:hint="eastAsia" w:ascii="仿宋_GB2312" w:hAnsi="仿宋_GB2312" w:eastAsia="仿宋_GB2312" w:cs="仿宋_GB2312"/>
                <w:color w:val="auto"/>
                <w:sz w:val="32"/>
                <w:szCs w:val="32"/>
              </w:rPr>
              <w:t>产人数：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107" w:type="dxa"/>
            <w:vAlign w:val="center"/>
          </w:tcPr>
          <w:p>
            <w:pPr>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现有物业情况</w:t>
            </w:r>
          </w:p>
        </w:tc>
        <w:tc>
          <w:tcPr>
            <w:tcW w:w="6928" w:type="dxa"/>
            <w:gridSpan w:val="4"/>
            <w:vAlign w:val="top"/>
          </w:tcPr>
          <w:p>
            <w:pPr>
              <w:spacing w:line="440" w:lineRule="exact"/>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□本公司及关联公司已在</w:t>
            </w:r>
            <w:r>
              <w:rPr>
                <w:rFonts w:hint="eastAsia" w:ascii="仿宋_GB2312" w:hAnsi="仿宋_GB2312" w:eastAsia="仿宋_GB2312" w:cs="仿宋_GB2312"/>
                <w:color w:val="auto"/>
                <w:sz w:val="32"/>
                <w:szCs w:val="32"/>
                <w:u w:val="single"/>
              </w:rPr>
              <w:t xml:space="preserve">                 </w:t>
            </w:r>
          </w:p>
          <w:p>
            <w:pPr>
              <w:spacing w:line="4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（省市及具体地点）购地</w:t>
            </w:r>
          </w:p>
          <w:p>
            <w:pPr>
              <w:spacing w:line="44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□本公司未购地，现租赁厂房</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万平方米，研发（办公）用房</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万平方米，宿舍      万平方米（其中，公寓</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间，集体宿舍</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间）</w:t>
            </w:r>
          </w:p>
        </w:tc>
      </w:tr>
    </w:tbl>
    <w:p>
      <w:pPr>
        <w:pStyle w:val="2"/>
        <w:rPr>
          <w:rFonts w:ascii="仿宋" w:hAnsi="仿宋" w:eastAsia="仿宋"/>
          <w:color w:val="auto"/>
          <w:kern w:val="0"/>
          <w:sz w:val="32"/>
          <w:szCs w:val="32"/>
        </w:rPr>
      </w:pPr>
    </w:p>
    <w:p>
      <w:pPr>
        <w:pStyle w:val="3"/>
        <w:ind w:left="0"/>
        <w:rPr>
          <w:rFonts w:ascii="仿宋" w:hAnsi="仿宋" w:eastAsia="仿宋"/>
          <w:color w:val="auto"/>
          <w:kern w:val="0"/>
          <w:sz w:val="32"/>
          <w:szCs w:val="32"/>
        </w:rPr>
      </w:pPr>
    </w:p>
    <w:p>
      <w:pPr>
        <w:pageBreakBefore/>
        <w:spacing w:line="560" w:lineRule="exact"/>
        <w:rPr>
          <w:rFonts w:ascii="黑体" w:hAnsi="黑体" w:eastAsia="黑体" w:cs="黑体"/>
          <w:color w:val="auto"/>
          <w:sz w:val="32"/>
          <w:szCs w:val="32"/>
        </w:rPr>
      </w:pPr>
      <w:r>
        <w:rPr>
          <w:rFonts w:hint="eastAsia" w:ascii="黑体" w:hAnsi="黑体" w:eastAsia="黑体" w:cs="黑体"/>
          <w:color w:val="auto"/>
          <w:sz w:val="32"/>
          <w:szCs w:val="32"/>
        </w:rPr>
        <w:t>附件</w:t>
      </w:r>
      <w:r>
        <w:rPr>
          <w:rFonts w:ascii="黑体" w:hAnsi="黑体" w:eastAsia="黑体" w:cs="黑体"/>
          <w:color w:val="auto"/>
          <w:sz w:val="32"/>
          <w:szCs w:val="32"/>
        </w:rPr>
        <w:t>1</w:t>
      </w:r>
      <w:r>
        <w:rPr>
          <w:rFonts w:hint="eastAsia" w:ascii="黑体" w:hAnsi="黑体" w:eastAsia="黑体" w:cs="黑体"/>
          <w:color w:val="auto"/>
          <w:sz w:val="32"/>
          <w:szCs w:val="32"/>
        </w:rPr>
        <w:t>-2</w:t>
      </w:r>
    </w:p>
    <w:p>
      <w:pPr>
        <w:spacing w:line="560" w:lineRule="exact"/>
        <w:jc w:val="center"/>
        <w:rPr>
          <w:rFonts w:ascii="宋体" w:hAnsi="宋体" w:cs="方正小标宋_GBK"/>
          <w:color w:val="auto"/>
          <w:sz w:val="44"/>
          <w:szCs w:val="44"/>
        </w:rPr>
      </w:pPr>
    </w:p>
    <w:p>
      <w:pPr>
        <w:spacing w:line="560" w:lineRule="exact"/>
        <w:jc w:val="center"/>
        <w:rPr>
          <w:rFonts w:ascii="宋体" w:hAnsi="宋体" w:cs="方正小标宋_GBK"/>
          <w:color w:val="auto"/>
          <w:sz w:val="44"/>
          <w:szCs w:val="44"/>
        </w:rPr>
      </w:pPr>
      <w:r>
        <w:rPr>
          <w:rFonts w:hint="eastAsia" w:ascii="宋体" w:hAnsi="宋体" w:cs="方正小标宋_GBK"/>
          <w:color w:val="auto"/>
          <w:sz w:val="44"/>
          <w:szCs w:val="44"/>
        </w:rPr>
        <w:t>产业导向</w:t>
      </w:r>
    </w:p>
    <w:p>
      <w:pPr>
        <w:spacing w:line="560" w:lineRule="exact"/>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（参考《深圳市国民经济和社会发展第十四个五年规划和二〇三五年远景目标纲要》和《深圳市人民政府关于发展壮大战略性新兴产业集群和培育发展未来产业的意见》）</w:t>
      </w:r>
    </w:p>
    <w:p>
      <w:pPr>
        <w:spacing w:line="560" w:lineRule="exact"/>
        <w:rPr>
          <w:rFonts w:ascii="仿宋" w:hAnsi="仿宋" w:eastAsia="仿宋"/>
          <w:color w:val="auto"/>
          <w:kern w:val="0"/>
          <w:sz w:val="32"/>
          <w:szCs w:val="32"/>
        </w:rPr>
      </w:pPr>
    </w:p>
    <w:p>
      <w:pPr>
        <w:spacing w:line="56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分类一：</w:t>
      </w:r>
    </w:p>
    <w:p>
      <w:pPr>
        <w:pStyle w:val="9"/>
        <w:spacing w:before="0" w:beforeAutospacing="0" w:after="0" w:afterAutospacing="0" w:line="560" w:lineRule="exact"/>
        <w:ind w:firstLine="642"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b/>
          <w:bCs/>
          <w:color w:val="auto"/>
          <w:kern w:val="2"/>
          <w:sz w:val="32"/>
          <w:szCs w:val="32"/>
        </w:rPr>
        <w:t>一、IT（新一代信息技术）：</w:t>
      </w:r>
      <w:r>
        <w:rPr>
          <w:rFonts w:hint="eastAsia" w:ascii="仿宋_GB2312" w:hAnsi="仿宋_GB2312" w:eastAsia="仿宋_GB2312" w:cs="仿宋_GB2312"/>
          <w:color w:val="auto"/>
          <w:kern w:val="2"/>
          <w:sz w:val="32"/>
          <w:szCs w:val="32"/>
        </w:rPr>
        <w:t>集成电路、5G、人工智能、新型显示、物联网、柔性电子、量子信息；高端电子化学品、第三代半导体材料、功能性有机发光材料。</w:t>
      </w:r>
    </w:p>
    <w:p>
      <w:pPr>
        <w:pStyle w:val="9"/>
        <w:spacing w:before="0" w:beforeAutospacing="0" w:after="0" w:afterAutospacing="0" w:line="560" w:lineRule="exact"/>
        <w:ind w:firstLine="642" w:firstLineChars="200"/>
        <w:jc w:val="both"/>
        <w:rPr>
          <w:rFonts w:ascii="仿宋_GB2312" w:hAnsi="仿宋_GB2312" w:eastAsia="仿宋_GB2312" w:cs="仿宋_GB2312"/>
          <w:b/>
          <w:bCs/>
          <w:color w:val="auto"/>
          <w:kern w:val="2"/>
          <w:sz w:val="32"/>
          <w:szCs w:val="32"/>
        </w:rPr>
      </w:pPr>
      <w:r>
        <w:rPr>
          <w:rFonts w:hint="eastAsia" w:ascii="仿宋_GB2312" w:hAnsi="仿宋_GB2312" w:eastAsia="仿宋_GB2312" w:cs="仿宋_GB2312"/>
          <w:b/>
          <w:bCs/>
          <w:color w:val="auto"/>
          <w:kern w:val="2"/>
          <w:sz w:val="32"/>
          <w:szCs w:val="32"/>
        </w:rPr>
        <w:t>二、BT（生物医药）：</w:t>
      </w:r>
      <w:r>
        <w:rPr>
          <w:rFonts w:hint="eastAsia" w:ascii="仿宋_GB2312" w:hAnsi="仿宋_GB2312" w:eastAsia="仿宋_GB2312" w:cs="仿宋_GB2312"/>
          <w:color w:val="auto"/>
          <w:kern w:val="2"/>
          <w:sz w:val="32"/>
          <w:szCs w:val="32"/>
        </w:rPr>
        <w:t>新型抗体等生物药和干细胞等生物治疗产品，医学影像设备、体外诊断设备等高端医疗器械设备，高通量测序技术、基因组DNA序列分析技术、精准医学成像；生物医学材料、生物医学高分子材料。</w:t>
      </w:r>
    </w:p>
    <w:p>
      <w:pPr>
        <w:pStyle w:val="9"/>
        <w:spacing w:before="0" w:beforeAutospacing="0" w:after="0" w:afterAutospacing="0" w:line="560" w:lineRule="exact"/>
        <w:ind w:firstLine="642" w:firstLineChars="200"/>
        <w:jc w:val="both"/>
        <w:rPr>
          <w:rFonts w:ascii="仿宋" w:hAnsi="仿宋" w:eastAsia="仿宋" w:cs="Arial"/>
          <w:color w:val="auto"/>
          <w:sz w:val="32"/>
          <w:szCs w:val="32"/>
        </w:rPr>
      </w:pPr>
      <w:r>
        <w:rPr>
          <w:rFonts w:hint="eastAsia" w:ascii="仿宋_GB2312" w:hAnsi="仿宋_GB2312" w:eastAsia="仿宋_GB2312" w:cs="仿宋_GB2312"/>
          <w:b/>
          <w:bCs/>
          <w:color w:val="auto"/>
          <w:kern w:val="2"/>
          <w:sz w:val="32"/>
          <w:szCs w:val="32"/>
        </w:rPr>
        <w:t>三、绿色低碳：</w:t>
      </w:r>
      <w:r>
        <w:rPr>
          <w:rFonts w:hint="eastAsia" w:ascii="仿宋_GB2312" w:hAnsi="仿宋_GB2312" w:eastAsia="仿宋_GB2312" w:cs="仿宋_GB2312"/>
          <w:color w:val="auto"/>
          <w:kern w:val="2"/>
          <w:sz w:val="32"/>
          <w:szCs w:val="32"/>
        </w:rPr>
        <w:t>新能源汽车产业、核电、可再生能源、高效储能、氢能与燃料电池、智能电网、智慧能源、先进适用环保技术装备；高性能储能、先进节能环保材料。</w:t>
      </w:r>
    </w:p>
    <w:p>
      <w:pPr>
        <w:pStyle w:val="9"/>
        <w:spacing w:before="0" w:beforeAutospacing="0" w:after="0" w:afterAutospacing="0" w:line="560" w:lineRule="exact"/>
        <w:ind w:firstLine="642" w:firstLineChars="200"/>
        <w:jc w:val="both"/>
        <w:rPr>
          <w:rFonts w:ascii="仿宋" w:hAnsi="仿宋" w:eastAsia="仿宋" w:cs="Arial"/>
          <w:b/>
          <w:bCs/>
          <w:color w:val="auto"/>
          <w:sz w:val="32"/>
          <w:szCs w:val="32"/>
        </w:rPr>
      </w:pPr>
    </w:p>
    <w:p>
      <w:pPr>
        <w:spacing w:line="56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分类二：深圳市20个战略性新兴产业集群和8大未来产业集群</w:t>
      </w:r>
    </w:p>
    <w:p>
      <w:pPr>
        <w:spacing w:line="560" w:lineRule="exact"/>
        <w:ind w:firstLine="642" w:firstLine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一、二十大战略性新兴产业</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w:t>
      </w:r>
      <w:r>
        <w:rPr>
          <w:rFonts w:ascii="仿宋_GB2312" w:hAnsi="仿宋_GB2312" w:eastAsia="仿宋_GB2312" w:cs="仿宋_GB2312"/>
          <w:b/>
          <w:bCs/>
          <w:color w:val="auto"/>
          <w:sz w:val="32"/>
          <w:szCs w:val="32"/>
        </w:rPr>
        <w:t>网络与通信产业集群。</w:t>
      </w:r>
      <w:r>
        <w:rPr>
          <w:rFonts w:ascii="仿宋_GB2312" w:hAnsi="仿宋_GB2312" w:eastAsia="仿宋_GB2312" w:cs="仿宋_GB2312"/>
          <w:color w:val="auto"/>
          <w:sz w:val="32"/>
          <w:szCs w:val="32"/>
        </w:rPr>
        <w:t>固网通信、移动通信和卫星通信，网络通信芯片、关键元器件与模组</w:t>
      </w:r>
      <w:r>
        <w:rPr>
          <w:rFonts w:hint="eastAsia" w:ascii="仿宋_GB2312" w:hAnsi="仿宋_GB2312" w:eastAsia="仿宋_GB2312" w:cs="仿宋_GB2312"/>
          <w:color w:val="auto"/>
          <w:sz w:val="32"/>
          <w:szCs w:val="32"/>
        </w:rPr>
        <w:t>，国家5G中高频器件，未来网络试验设施</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2.半导体与集成电路产业集群。</w:t>
      </w:r>
      <w:r>
        <w:rPr>
          <w:rFonts w:hint="eastAsia" w:ascii="仿宋_GB2312" w:hAnsi="仿宋_GB2312" w:eastAsia="仿宋_GB2312" w:cs="仿宋_GB2312"/>
          <w:color w:val="auto"/>
          <w:sz w:val="32"/>
          <w:szCs w:val="32"/>
        </w:rPr>
        <w:t>集成电路设计、制造和封测，EDA工具软件、半导体材料、高端芯片和专用芯片设计</w:t>
      </w:r>
    </w:p>
    <w:p>
      <w:pPr>
        <w:spacing w:line="560" w:lineRule="exact"/>
        <w:ind w:firstLine="642" w:firstLineChars="200"/>
        <w:jc w:val="left"/>
        <w:rPr>
          <w:rFonts w:ascii="仿宋" w:hAnsi="仿宋" w:eastAsia="仿宋" w:cs="Arial"/>
          <w:b/>
          <w:bCs/>
          <w:color w:val="auto"/>
          <w:kern w:val="0"/>
          <w:sz w:val="32"/>
          <w:szCs w:val="32"/>
          <w:lang w:bidi="ar"/>
        </w:rPr>
      </w:pPr>
      <w:r>
        <w:rPr>
          <w:rFonts w:hint="eastAsia" w:ascii="仿宋_GB2312" w:hAnsi="仿宋_GB2312" w:eastAsia="仿宋_GB2312" w:cs="仿宋_GB2312"/>
          <w:b/>
          <w:bCs/>
          <w:color w:val="auto"/>
          <w:sz w:val="32"/>
          <w:szCs w:val="32"/>
        </w:rPr>
        <w:t>3.</w:t>
      </w:r>
      <w:r>
        <w:rPr>
          <w:rFonts w:ascii="仿宋_GB2312" w:hAnsi="仿宋_GB2312" w:eastAsia="仿宋_GB2312" w:cs="仿宋_GB2312"/>
          <w:b/>
          <w:bCs/>
          <w:color w:val="auto"/>
          <w:sz w:val="32"/>
          <w:szCs w:val="32"/>
        </w:rPr>
        <w:t>超高清视频显示产业集群。</w:t>
      </w:r>
      <w:r>
        <w:rPr>
          <w:rFonts w:ascii="仿宋_GB2312" w:hAnsi="仿宋_GB2312" w:eastAsia="仿宋_GB2312" w:cs="仿宋_GB2312"/>
          <w:color w:val="auto"/>
          <w:sz w:val="32"/>
          <w:szCs w:val="32"/>
        </w:rPr>
        <w:t>新型显示器件、</w:t>
      </w:r>
      <w:r>
        <w:rPr>
          <w:rFonts w:hint="eastAsia" w:ascii="仿宋_GB2312" w:hAnsi="仿宋_GB2312" w:eastAsia="仿宋_GB2312" w:cs="仿宋_GB2312"/>
          <w:color w:val="auto"/>
          <w:sz w:val="32"/>
          <w:szCs w:val="32"/>
        </w:rPr>
        <w:t>显示</w:t>
      </w:r>
      <w:r>
        <w:rPr>
          <w:rFonts w:ascii="仿宋_GB2312" w:hAnsi="仿宋_GB2312" w:eastAsia="仿宋_GB2312" w:cs="仿宋_GB2312"/>
          <w:color w:val="auto"/>
          <w:sz w:val="32"/>
          <w:szCs w:val="32"/>
        </w:rPr>
        <w:t>面板、终</w:t>
      </w:r>
      <w:r>
        <w:rPr>
          <w:rFonts w:ascii="仿宋" w:hAnsi="仿宋" w:eastAsia="仿宋" w:cs="Arial"/>
          <w:color w:val="auto"/>
          <w:kern w:val="0"/>
          <w:sz w:val="32"/>
          <w:szCs w:val="32"/>
          <w:lang w:bidi="ar"/>
        </w:rPr>
        <w:t>端制造和应用，4K/8K视频采集器</w:t>
      </w:r>
      <w:r>
        <w:rPr>
          <w:rFonts w:hint="eastAsia" w:ascii="仿宋" w:hAnsi="仿宋" w:eastAsia="仿宋" w:cs="Arial"/>
          <w:color w:val="auto"/>
          <w:kern w:val="0"/>
          <w:sz w:val="32"/>
          <w:szCs w:val="32"/>
          <w:lang w:bidi="ar"/>
        </w:rPr>
        <w:t>和</w:t>
      </w:r>
      <w:r>
        <w:rPr>
          <w:rFonts w:ascii="仿宋" w:hAnsi="仿宋" w:eastAsia="仿宋" w:cs="Arial"/>
          <w:color w:val="auto"/>
          <w:kern w:val="0"/>
          <w:sz w:val="32"/>
          <w:szCs w:val="32"/>
          <w:lang w:bidi="ar"/>
        </w:rPr>
        <w:t>核心基础材料</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4.</w:t>
      </w:r>
      <w:r>
        <w:rPr>
          <w:rFonts w:ascii="仿宋_GB2312" w:hAnsi="仿宋_GB2312" w:eastAsia="仿宋_GB2312" w:cs="仿宋_GB2312"/>
          <w:b/>
          <w:bCs/>
          <w:color w:val="auto"/>
          <w:sz w:val="32"/>
          <w:szCs w:val="32"/>
        </w:rPr>
        <w:t>智能终端产业集群。</w:t>
      </w:r>
      <w:r>
        <w:rPr>
          <w:rFonts w:ascii="仿宋_GB2312" w:hAnsi="仿宋_GB2312" w:eastAsia="仿宋_GB2312" w:cs="仿宋_GB2312"/>
          <w:color w:val="auto"/>
          <w:sz w:val="32"/>
          <w:szCs w:val="32"/>
        </w:rPr>
        <w:t>智能手机、个人电脑、VR/AR、智能可穿戴设备、智能车机、智能家电等智能终端产品</w:t>
      </w:r>
      <w:r>
        <w:rPr>
          <w:rFonts w:hint="eastAsia" w:ascii="仿宋_GB2312" w:hAnsi="仿宋_GB2312" w:eastAsia="仿宋_GB2312" w:cs="仿宋_GB2312"/>
          <w:color w:val="auto"/>
          <w:sz w:val="32"/>
          <w:szCs w:val="32"/>
        </w:rPr>
        <w:t>，以及</w:t>
      </w:r>
      <w:r>
        <w:rPr>
          <w:rFonts w:ascii="仿宋_GB2312" w:hAnsi="仿宋_GB2312" w:eastAsia="仿宋_GB2312" w:cs="仿宋_GB2312"/>
          <w:color w:val="auto"/>
          <w:sz w:val="32"/>
          <w:szCs w:val="32"/>
        </w:rPr>
        <w:t>关键核心元器件</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应用软件</w:t>
      </w:r>
      <w:r>
        <w:rPr>
          <w:rFonts w:hint="eastAsia" w:ascii="仿宋_GB2312" w:hAnsi="仿宋_GB2312" w:eastAsia="仿宋_GB2312" w:cs="仿宋_GB2312"/>
          <w:color w:val="auto"/>
          <w:sz w:val="32"/>
          <w:szCs w:val="32"/>
        </w:rPr>
        <w:t>和</w:t>
      </w:r>
      <w:r>
        <w:rPr>
          <w:rFonts w:ascii="仿宋_GB2312" w:hAnsi="仿宋_GB2312" w:eastAsia="仿宋_GB2312" w:cs="仿宋_GB2312"/>
          <w:color w:val="auto"/>
          <w:sz w:val="32"/>
          <w:szCs w:val="32"/>
        </w:rPr>
        <w:t>核心器件</w:t>
      </w:r>
      <w:r>
        <w:rPr>
          <w:rFonts w:hint="eastAsia" w:ascii="仿宋_GB2312" w:hAnsi="仿宋_GB2312" w:eastAsia="仿宋_GB2312" w:cs="仿宋_GB2312"/>
          <w:color w:val="auto"/>
          <w:sz w:val="32"/>
          <w:szCs w:val="32"/>
        </w:rPr>
        <w:t>等</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5.</w:t>
      </w:r>
      <w:r>
        <w:rPr>
          <w:rFonts w:ascii="仿宋_GB2312" w:hAnsi="仿宋_GB2312" w:eastAsia="仿宋_GB2312" w:cs="仿宋_GB2312"/>
          <w:b/>
          <w:bCs/>
          <w:color w:val="auto"/>
          <w:sz w:val="32"/>
          <w:szCs w:val="32"/>
        </w:rPr>
        <w:t>智能传感器产业集群。</w:t>
      </w:r>
      <w:r>
        <w:rPr>
          <w:rFonts w:ascii="仿宋_GB2312" w:hAnsi="仿宋_GB2312" w:eastAsia="仿宋_GB2312" w:cs="仿宋_GB2312"/>
          <w:color w:val="auto"/>
          <w:sz w:val="32"/>
          <w:szCs w:val="32"/>
        </w:rPr>
        <w:t>智能传感器设计、制造、封测、装备材料等，新型传感器材料、CMOS-MEMS集成技术、先进封装工艺</w:t>
      </w:r>
    </w:p>
    <w:p>
      <w:pPr>
        <w:spacing w:line="560" w:lineRule="exact"/>
        <w:ind w:firstLine="642" w:firstLineChars="200"/>
        <w:rPr>
          <w:rFonts w:ascii="仿宋_GB2312" w:hAnsi="仿宋_GB2312" w:eastAsia="仿宋_GB2312" w:cs="仿宋_GB2312"/>
          <w:color w:val="auto"/>
          <w:sz w:val="32"/>
          <w:szCs w:val="32"/>
        </w:rPr>
      </w:pPr>
      <w:r>
        <w:rPr>
          <w:rFonts w:ascii="仿宋_GB2312" w:hAnsi="仿宋_GB2312" w:eastAsia="仿宋_GB2312" w:cs="仿宋_GB2312"/>
          <w:b/>
          <w:bCs/>
          <w:color w:val="auto"/>
          <w:sz w:val="32"/>
          <w:szCs w:val="32"/>
        </w:rPr>
        <w:t>6.软件与信息服务产业集群。</w:t>
      </w:r>
      <w:r>
        <w:rPr>
          <w:rFonts w:ascii="仿宋_GB2312" w:hAnsi="仿宋_GB2312" w:eastAsia="仿宋_GB2312" w:cs="仿宋_GB2312"/>
          <w:color w:val="auto"/>
          <w:sz w:val="32"/>
          <w:szCs w:val="32"/>
        </w:rPr>
        <w:t>操作系统、数据库、中间件、办公套件、低代码开发平台等关键性基础软件</w:t>
      </w:r>
      <w:r>
        <w:rPr>
          <w:rFonts w:hint="eastAsia" w:ascii="仿宋_GB2312" w:hAnsi="仿宋_GB2312" w:eastAsia="仿宋_GB2312" w:cs="仿宋_GB2312"/>
          <w:color w:val="auto"/>
          <w:sz w:val="32"/>
          <w:szCs w:val="32"/>
        </w:rPr>
        <w:t>，以及</w:t>
      </w:r>
      <w:r>
        <w:rPr>
          <w:rFonts w:ascii="仿宋_GB2312" w:hAnsi="仿宋_GB2312" w:eastAsia="仿宋_GB2312" w:cs="仿宋_GB2312"/>
          <w:color w:val="auto"/>
          <w:sz w:val="32"/>
          <w:szCs w:val="32"/>
        </w:rPr>
        <w:t>CAD、CAE、BIM、CIM等工具软件</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7.数字创意产业集群。</w:t>
      </w:r>
      <w:r>
        <w:rPr>
          <w:rFonts w:hint="eastAsia" w:ascii="仿宋_GB2312" w:hAnsi="仿宋_GB2312" w:eastAsia="仿宋_GB2312" w:cs="仿宋_GB2312"/>
          <w:color w:val="auto"/>
          <w:sz w:val="32"/>
          <w:szCs w:val="32"/>
        </w:rPr>
        <w:t>创意设计、数字文化装备、影视制作、动漫游戏等，数字内容原创IP，数字创意与文化旅游产品</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8.现代时尚产业集群。</w:t>
      </w:r>
      <w:r>
        <w:rPr>
          <w:rFonts w:hint="eastAsia" w:ascii="仿宋_GB2312" w:hAnsi="仿宋_GB2312" w:eastAsia="仿宋_GB2312" w:cs="仿宋_GB2312"/>
          <w:color w:val="auto"/>
          <w:sz w:val="32"/>
          <w:szCs w:val="32"/>
        </w:rPr>
        <w:t>服装、家具、黄金珠宝、钟表等优势传统产业时尚化，服装功能面料、家具智能芯片、钟表机</w:t>
      </w:r>
      <w:r>
        <w:rPr>
          <w:rFonts w:hint="eastAsia" w:ascii="仿宋_GB2312" w:hAnsi="仿宋_GB2312" w:eastAsia="仿宋_GB2312" w:cs="仿宋_GB2312"/>
          <w:color w:val="auto"/>
          <w:sz w:val="32"/>
          <w:szCs w:val="32"/>
          <w:lang w:eastAsia="zh-CN"/>
        </w:rPr>
        <w:t>芯</w:t>
      </w:r>
      <w:r>
        <w:rPr>
          <w:rFonts w:hint="eastAsia" w:ascii="仿宋_GB2312" w:hAnsi="仿宋_GB2312" w:eastAsia="仿宋_GB2312" w:cs="仿宋_GB2312"/>
          <w:color w:val="auto"/>
          <w:sz w:val="32"/>
          <w:szCs w:val="32"/>
        </w:rPr>
        <w:t>等技术攻关，时尚产业互联网平台、珠宝玉石综合贸易平台</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9.工业母机产业集群。</w:t>
      </w:r>
      <w:r>
        <w:rPr>
          <w:rFonts w:hint="eastAsia" w:ascii="仿宋_GB2312" w:hAnsi="仿宋_GB2312" w:eastAsia="仿宋_GB2312" w:cs="仿宋_GB2312"/>
          <w:color w:val="auto"/>
          <w:sz w:val="32"/>
          <w:szCs w:val="32"/>
        </w:rPr>
        <w:t>数控机床、锂电池制造装备、半导体制造装备、显示面板制造装备等重点领域，主轴、丝杠导轨等关键零部件制造，装备数字化技术攻关</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10.智能机器人产业集群。</w:t>
      </w:r>
      <w:r>
        <w:rPr>
          <w:rFonts w:hint="eastAsia" w:ascii="仿宋_GB2312" w:hAnsi="仿宋_GB2312" w:eastAsia="仿宋_GB2312" w:cs="仿宋_GB2312"/>
          <w:color w:val="auto"/>
          <w:sz w:val="32"/>
          <w:szCs w:val="32"/>
        </w:rPr>
        <w:t>工业机器人、服务机器人、特种机器人、无人机（船）等领域，减速器、控制器、伺服系统等关键零部件和集成应用技术，电子信息制造、汽车、航空航天等智能机器人应用</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11.激光与增材制造产业集群。</w:t>
      </w:r>
      <w:r>
        <w:rPr>
          <w:rFonts w:hint="eastAsia" w:ascii="仿宋_GB2312" w:hAnsi="仿宋_GB2312" w:eastAsia="仿宋_GB2312" w:cs="仿宋_GB2312"/>
          <w:color w:val="auto"/>
          <w:sz w:val="32"/>
          <w:szCs w:val="32"/>
        </w:rPr>
        <w:t>高功率超快激光器与装备、增材制造装备与系统，特种光纤、高功率光栅、高功率激光芯片、高性能激光器等</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12.精密仪器设备产业集群。</w:t>
      </w:r>
      <w:r>
        <w:rPr>
          <w:rFonts w:hint="eastAsia" w:ascii="仿宋_GB2312" w:hAnsi="仿宋_GB2312" w:eastAsia="仿宋_GB2312" w:cs="仿宋_GB2312"/>
          <w:color w:val="auto"/>
          <w:sz w:val="32"/>
          <w:szCs w:val="32"/>
        </w:rPr>
        <w:t>自动化测控仪器与系统、信息计测与电测仪器、科学测试分析仪器，探测器、传感器、高端示波器、频谱分析仪</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13.新能源产业集群。</w:t>
      </w:r>
      <w:r>
        <w:rPr>
          <w:rFonts w:hint="eastAsia" w:ascii="仿宋_GB2312" w:hAnsi="仿宋_GB2312" w:eastAsia="仿宋_GB2312" w:cs="仿宋_GB2312"/>
          <w:color w:val="auto"/>
          <w:sz w:val="32"/>
          <w:szCs w:val="32"/>
        </w:rPr>
        <w:t>智能电网、分布式光伏、氢能、海上风电，高效燃气轮机、高能量密度储能、燃料电池，虚拟电厂</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14.安全节能环保产业集群。</w:t>
      </w:r>
      <w:r>
        <w:rPr>
          <w:rFonts w:hint="eastAsia" w:ascii="仿宋_GB2312" w:hAnsi="仿宋_GB2312" w:eastAsia="仿宋_GB2312" w:cs="仿宋_GB2312"/>
          <w:color w:val="auto"/>
          <w:sz w:val="32"/>
          <w:szCs w:val="32"/>
        </w:rPr>
        <w:t>监测预警技术装备、应急处置救援技术装备、高效节能技术装备、先进环保装备，固体废弃物综合利用，安全节能环保服务</w:t>
      </w:r>
    </w:p>
    <w:p>
      <w:pPr>
        <w:spacing w:line="560" w:lineRule="exact"/>
        <w:ind w:firstLine="642" w:firstLine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15.智能网联汽车产业集群。</w:t>
      </w:r>
      <w:r>
        <w:rPr>
          <w:rFonts w:hint="eastAsia" w:ascii="仿宋_GB2312" w:hAnsi="仿宋_GB2312" w:eastAsia="仿宋_GB2312" w:cs="仿宋_GB2312"/>
          <w:color w:val="auto"/>
          <w:sz w:val="32"/>
          <w:szCs w:val="32"/>
        </w:rPr>
        <w:t>重点发展智能感知系统、车载计算平台、车用无线通信、云服务终端、动力电池、电机电控、快速充电设施等细分领域，突破感知设备、线控底盘、智能驾驶操作系统</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16.新材料产业集群。</w:t>
      </w:r>
      <w:r>
        <w:rPr>
          <w:rFonts w:hint="eastAsia" w:ascii="仿宋_GB2312" w:hAnsi="仿宋_GB2312" w:eastAsia="仿宋_GB2312" w:cs="仿宋_GB2312"/>
          <w:color w:val="auto"/>
          <w:sz w:val="32"/>
          <w:szCs w:val="32"/>
        </w:rPr>
        <w:t>电子信息材料、新能源材料、生物医用材料、高分子材料、绿色建筑材料、前沿新材料等，高端锂离子电池负极材料、超高模量透明聚酰亚胺薄膜工程化</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17.高端医疗器械产业集群。</w:t>
      </w:r>
      <w:r>
        <w:rPr>
          <w:rFonts w:hint="eastAsia" w:ascii="仿宋_GB2312" w:hAnsi="仿宋_GB2312" w:eastAsia="仿宋_GB2312" w:cs="仿宋_GB2312"/>
          <w:color w:val="auto"/>
          <w:sz w:val="32"/>
          <w:szCs w:val="32"/>
        </w:rPr>
        <w:t>新型医学影像、生命监测与生命支持、高端植介入产品等，高端影像系统、手术机器人、新型体外诊断设备、高通量基因测序仪等重大装备、关键零部件</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18.生物医药产业集群。</w:t>
      </w:r>
      <w:r>
        <w:rPr>
          <w:rFonts w:hint="eastAsia" w:ascii="仿宋_GB2312" w:hAnsi="仿宋_GB2312" w:eastAsia="仿宋_GB2312" w:cs="仿宋_GB2312"/>
          <w:color w:val="auto"/>
          <w:sz w:val="32"/>
          <w:szCs w:val="32"/>
        </w:rPr>
        <w:t>化学创新药、全新剂型及高端制剂、现代中药、先进制药设备以及数字化医疗等，新型基因治疗载体研发、工程细胞构建、抗体工程优化、人工智能辅助药物设计</w:t>
      </w:r>
    </w:p>
    <w:p>
      <w:pPr>
        <w:spacing w:line="560" w:lineRule="exact"/>
        <w:ind w:firstLine="642" w:firstLineChars="200"/>
        <w:jc w:val="left"/>
        <w:rPr>
          <w:rFonts w:ascii="仿宋" w:hAnsi="仿宋" w:eastAsia="仿宋" w:cs="Arial"/>
          <w:color w:val="auto"/>
          <w:kern w:val="0"/>
          <w:sz w:val="32"/>
          <w:szCs w:val="32"/>
          <w:lang w:bidi="ar"/>
        </w:rPr>
      </w:pPr>
      <w:r>
        <w:rPr>
          <w:rFonts w:hint="eastAsia" w:ascii="仿宋_GB2312" w:hAnsi="仿宋_GB2312" w:eastAsia="仿宋_GB2312" w:cs="仿宋_GB2312"/>
          <w:b/>
          <w:bCs/>
          <w:color w:val="auto"/>
          <w:sz w:val="32"/>
          <w:szCs w:val="32"/>
        </w:rPr>
        <w:t>19.大健康产业集群。</w:t>
      </w:r>
      <w:r>
        <w:rPr>
          <w:rFonts w:hint="eastAsia" w:ascii="仿宋_GB2312" w:hAnsi="仿宋_GB2312" w:eastAsia="仿宋_GB2312" w:cs="仿宋_GB2312"/>
          <w:color w:val="auto"/>
          <w:sz w:val="32"/>
          <w:szCs w:val="32"/>
        </w:rPr>
        <w:t>精准医疗、康复养老、现代农产品、医疗美容、化妆品等，再生医美材料、康复器具、种质资源与基因发掘、精准药物开发</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20.海洋产业集群。</w:t>
      </w:r>
      <w:r>
        <w:rPr>
          <w:rFonts w:hint="eastAsia" w:ascii="仿宋_GB2312" w:hAnsi="仿宋_GB2312" w:eastAsia="仿宋_GB2312" w:cs="仿宋_GB2312"/>
          <w:color w:val="auto"/>
          <w:sz w:val="32"/>
          <w:szCs w:val="32"/>
        </w:rPr>
        <w:t>海洋交通运输业、滨海旅游业、海洋能源与矿产业、海洋渔业等，海洋工程和装备业、海洋电子信息业、海洋生物医药业、海洋现代服务业</w:t>
      </w:r>
    </w:p>
    <w:p>
      <w:pPr>
        <w:spacing w:line="560" w:lineRule="exact"/>
        <w:ind w:firstLine="642" w:firstLine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二、八大未来产业</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1.合成生物。</w:t>
      </w:r>
      <w:r>
        <w:rPr>
          <w:rFonts w:hint="eastAsia" w:ascii="仿宋_GB2312" w:hAnsi="仿宋_GB2312" w:eastAsia="仿宋_GB2312" w:cs="仿宋_GB2312"/>
          <w:color w:val="auto"/>
          <w:sz w:val="32"/>
          <w:szCs w:val="32"/>
        </w:rPr>
        <w:t>合成生物底层技术、定量合成生物技术、生物创制等，人工噬菌体、人工肿瘤治疗等</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2.区块链。</w:t>
      </w:r>
      <w:r>
        <w:rPr>
          <w:rFonts w:hint="eastAsia" w:ascii="仿宋_GB2312" w:hAnsi="仿宋_GB2312" w:eastAsia="仿宋_GB2312" w:cs="仿宋_GB2312"/>
          <w:color w:val="auto"/>
          <w:sz w:val="32"/>
          <w:szCs w:val="32"/>
        </w:rPr>
        <w:t>底层平台技术、区块链+金融、区块链+智能制造、区块链+供应链等</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3.细胞与基因。</w:t>
      </w:r>
      <w:r>
        <w:rPr>
          <w:rFonts w:hint="eastAsia" w:ascii="仿宋_GB2312" w:hAnsi="仿宋_GB2312" w:eastAsia="仿宋_GB2312" w:cs="仿宋_GB2312"/>
          <w:color w:val="auto"/>
          <w:sz w:val="32"/>
          <w:szCs w:val="32"/>
        </w:rPr>
        <w:t>细胞技术、基因技术、细胞与基因治疗技术、生物育种技术</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4.空天技术。</w:t>
      </w:r>
      <w:r>
        <w:rPr>
          <w:rFonts w:hint="eastAsia" w:ascii="仿宋_GB2312" w:hAnsi="仿宋_GB2312" w:eastAsia="仿宋_GB2312" w:cs="仿宋_GB2312"/>
          <w:color w:val="auto"/>
          <w:sz w:val="32"/>
          <w:szCs w:val="32"/>
        </w:rPr>
        <w:t>空天信息技术、先进遥感技术、导航定位技术、空天装备制造</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5.脑科学与类脑智能。</w:t>
      </w:r>
      <w:r>
        <w:rPr>
          <w:rFonts w:hint="eastAsia" w:ascii="仿宋_GB2312" w:hAnsi="仿宋_GB2312" w:eastAsia="仿宋_GB2312" w:cs="仿宋_GB2312"/>
          <w:color w:val="auto"/>
          <w:sz w:val="32"/>
          <w:szCs w:val="32"/>
        </w:rPr>
        <w:t>脑图谱技术、脑诊治技术、类脑智能等，类脑算法基础理论研究与前沿技术开发</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6.深地深海。</w:t>
      </w:r>
      <w:r>
        <w:rPr>
          <w:rFonts w:hint="eastAsia" w:ascii="仿宋_GB2312" w:hAnsi="仿宋_GB2312" w:eastAsia="仿宋_GB2312" w:cs="仿宋_GB2312"/>
          <w:color w:val="auto"/>
          <w:sz w:val="32"/>
          <w:szCs w:val="32"/>
        </w:rPr>
        <w:t>深地矿产和地热资源开发利用、城市地下空间开发利用、深海高端装备、深海智能感知、深海信息</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7.可见光通信与光计算。</w:t>
      </w:r>
      <w:r>
        <w:rPr>
          <w:rFonts w:hint="eastAsia" w:ascii="仿宋_GB2312" w:hAnsi="仿宋_GB2312" w:eastAsia="仿宋_GB2312" w:cs="仿宋_GB2312"/>
          <w:color w:val="auto"/>
          <w:sz w:val="32"/>
          <w:szCs w:val="32"/>
        </w:rPr>
        <w:t>重点发展可见光通信技术、光计算技术</w:t>
      </w:r>
    </w:p>
    <w:p>
      <w:pPr>
        <w:spacing w:line="560" w:lineRule="exact"/>
        <w:ind w:firstLine="642" w:firstLine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8.量子信息。</w:t>
      </w:r>
      <w:r>
        <w:rPr>
          <w:rFonts w:hint="eastAsia" w:ascii="仿宋_GB2312" w:hAnsi="仿宋_GB2312" w:eastAsia="仿宋_GB2312" w:cs="仿宋_GB2312"/>
          <w:color w:val="auto"/>
          <w:sz w:val="32"/>
          <w:szCs w:val="32"/>
        </w:rPr>
        <w:t>量子计算、量子通信、量子测量</w:t>
      </w:r>
    </w:p>
    <w:p>
      <w:pPr>
        <w:spacing w:line="560" w:lineRule="exact"/>
        <w:ind w:firstLine="642" w:firstLineChars="200"/>
        <w:jc w:val="left"/>
        <w:rPr>
          <w:rFonts w:ascii="仿宋" w:hAnsi="仿宋" w:eastAsia="仿宋" w:cs="Arial"/>
          <w:b/>
          <w:bCs/>
          <w:color w:val="auto"/>
          <w:kern w:val="0"/>
          <w:sz w:val="32"/>
          <w:szCs w:val="32"/>
          <w:lang w:bidi="ar"/>
        </w:rPr>
      </w:pPr>
    </w:p>
    <w:p>
      <w:pPr>
        <w:spacing w:line="56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分类三：</w:t>
      </w:r>
    </w:p>
    <w:p>
      <w:pPr>
        <w:spacing w:line="560" w:lineRule="exact"/>
        <w:ind w:firstLine="640" w:firstLineChars="200"/>
        <w:jc w:val="left"/>
        <w:rPr>
          <w:rFonts w:ascii="仿宋" w:hAnsi="仿宋" w:eastAsia="仿宋" w:cs="Arial"/>
          <w:color w:val="auto"/>
          <w:kern w:val="0"/>
          <w:sz w:val="32"/>
          <w:szCs w:val="32"/>
          <w:lang w:bidi="ar"/>
        </w:rPr>
      </w:pPr>
      <w:r>
        <w:rPr>
          <w:rFonts w:hint="eastAsia" w:ascii="仿宋" w:hAnsi="仿宋" w:eastAsia="仿宋" w:cs="Arial"/>
          <w:color w:val="auto"/>
          <w:kern w:val="0"/>
          <w:sz w:val="32"/>
          <w:szCs w:val="32"/>
          <w:lang w:bidi="ar"/>
        </w:rPr>
        <w:t>不属于分类一和分类二的其他行业</w:t>
      </w:r>
    </w:p>
    <w:p>
      <w:pPr>
        <w:spacing w:line="560" w:lineRule="exact"/>
        <w:rPr>
          <w:color w:val="auto"/>
        </w:rPr>
      </w:pPr>
    </w:p>
    <w:p>
      <w:pPr>
        <w:pStyle w:val="9"/>
        <w:spacing w:before="0" w:beforeAutospacing="0" w:after="0" w:afterAutospacing="0" w:line="560" w:lineRule="exact"/>
        <w:ind w:firstLine="640" w:firstLineChars="200"/>
        <w:jc w:val="both"/>
        <w:rPr>
          <w:rFonts w:ascii="仿宋" w:hAnsi="仿宋" w:eastAsia="仿宋" w:cs="Arial"/>
          <w:color w:val="auto"/>
          <w:sz w:val="32"/>
          <w:szCs w:val="32"/>
        </w:rPr>
      </w:pPr>
      <w:r>
        <w:rPr>
          <w:rFonts w:hint="eastAsia" w:ascii="仿宋" w:hAnsi="仿宋" w:eastAsia="仿宋" w:cs="Arial"/>
          <w:color w:val="auto"/>
          <w:sz w:val="32"/>
          <w:szCs w:val="32"/>
        </w:rPr>
        <w:br w:type="page"/>
      </w:r>
    </w:p>
    <w:p>
      <w:pPr>
        <w:pageBreakBefore/>
        <w:spacing w:line="560" w:lineRule="exact"/>
        <w:rPr>
          <w:rFonts w:ascii="黑体" w:hAnsi="黑体" w:eastAsia="黑体" w:cs="黑体"/>
          <w:color w:val="auto"/>
          <w:sz w:val="32"/>
          <w:szCs w:val="32"/>
        </w:rPr>
      </w:pPr>
      <w:r>
        <w:rPr>
          <w:rFonts w:hint="eastAsia" w:ascii="黑体" w:hAnsi="黑体" w:eastAsia="黑体" w:cs="黑体"/>
          <w:color w:val="auto"/>
          <w:sz w:val="32"/>
          <w:szCs w:val="32"/>
        </w:rPr>
        <w:t>附件</w:t>
      </w:r>
      <w:r>
        <w:rPr>
          <w:rFonts w:ascii="黑体" w:hAnsi="黑体" w:eastAsia="黑体" w:cs="黑体"/>
          <w:color w:val="auto"/>
          <w:sz w:val="32"/>
          <w:szCs w:val="32"/>
        </w:rPr>
        <w:t>1</w:t>
      </w:r>
      <w:r>
        <w:rPr>
          <w:rFonts w:hint="eastAsia" w:ascii="黑体" w:hAnsi="黑体" w:eastAsia="黑体" w:cs="黑体"/>
          <w:color w:val="auto"/>
          <w:sz w:val="32"/>
          <w:szCs w:val="32"/>
        </w:rPr>
        <w:t>-3</w:t>
      </w:r>
    </w:p>
    <w:p>
      <w:pPr>
        <w:spacing w:line="560" w:lineRule="exact"/>
        <w:jc w:val="left"/>
        <w:rPr>
          <w:rFonts w:ascii="仿宋" w:hAnsi="仿宋" w:eastAsia="仿宋" w:cs="Arial"/>
          <w:color w:val="auto"/>
          <w:kern w:val="0"/>
          <w:sz w:val="32"/>
          <w:szCs w:val="32"/>
        </w:rPr>
      </w:pPr>
    </w:p>
    <w:p>
      <w:pPr>
        <w:spacing w:line="560" w:lineRule="exact"/>
        <w:jc w:val="center"/>
        <w:rPr>
          <w:rFonts w:ascii="仿宋" w:hAnsi="仿宋" w:eastAsia="仿宋" w:cs="Arial"/>
          <w:b w:val="0"/>
          <w:bCs w:val="0"/>
          <w:color w:val="auto"/>
          <w:kern w:val="0"/>
          <w:sz w:val="44"/>
          <w:szCs w:val="44"/>
        </w:rPr>
      </w:pPr>
      <w:r>
        <w:rPr>
          <w:rFonts w:hint="eastAsia" w:ascii="仿宋" w:hAnsi="仿宋" w:eastAsia="仿宋" w:cs="Arial"/>
          <w:b w:val="0"/>
          <w:bCs w:val="0"/>
          <w:color w:val="auto"/>
          <w:kern w:val="0"/>
          <w:sz w:val="44"/>
          <w:szCs w:val="44"/>
        </w:rPr>
        <w:t>深圳宝龙专精特新产业园产业用房申请流程图</w:t>
      </w:r>
    </w:p>
    <w:p>
      <w:pPr>
        <w:rPr>
          <w:rFonts w:ascii="Calibri" w:hAnsi="Calibri" w:eastAsia="宋体" w:cs="Times New Roman"/>
          <w:color w:val="auto"/>
          <w:sz w:val="24"/>
        </w:rPr>
      </w:pPr>
    </w:p>
    <w:p>
      <w:pPr>
        <w:rPr>
          <w:rFonts w:ascii="Calibri" w:hAnsi="Calibri" w:eastAsia="宋体" w:cs="Times New Roman"/>
          <w:color w:val="auto"/>
          <w:sz w:val="24"/>
        </w:rPr>
      </w:pPr>
      <w:r>
        <w:rPr>
          <w:color w:val="auto"/>
          <w:sz w:val="24"/>
        </w:rPr>
        <mc:AlternateContent>
          <mc:Choice Requires="wpg">
            <w:drawing>
              <wp:anchor distT="0" distB="0" distL="114300" distR="114300" simplePos="0" relativeHeight="251662336" behindDoc="0" locked="0" layoutInCell="1" allowOverlap="1">
                <wp:simplePos x="0" y="0"/>
                <wp:positionH relativeFrom="column">
                  <wp:posOffset>-311150</wp:posOffset>
                </wp:positionH>
                <wp:positionV relativeFrom="paragraph">
                  <wp:posOffset>74295</wp:posOffset>
                </wp:positionV>
                <wp:extent cx="6049010" cy="5111750"/>
                <wp:effectExtent l="0" t="4445" r="8890" b="8255"/>
                <wp:wrapNone/>
                <wp:docPr id="2" name="组合 2"/>
                <wp:cNvGraphicFramePr/>
                <a:graphic xmlns:a="http://schemas.openxmlformats.org/drawingml/2006/main">
                  <a:graphicData uri="http://schemas.microsoft.com/office/word/2010/wordprocessingGroup">
                    <wpg:wgp>
                      <wpg:cNvGrpSpPr/>
                      <wpg:grpSpPr>
                        <a:xfrm>
                          <a:off x="0" y="0"/>
                          <a:ext cx="6049010" cy="5111750"/>
                          <a:chOff x="6775" y="244574"/>
                          <a:chExt cx="9526" cy="8050"/>
                        </a:xfrm>
                      </wpg:grpSpPr>
                      <wps:wsp>
                        <wps:cNvPr id="4" name="文本框 4"/>
                        <wps:cNvSpPr txBox="1"/>
                        <wps:spPr>
                          <a:xfrm>
                            <a:off x="10377" y="245841"/>
                            <a:ext cx="3233" cy="456"/>
                          </a:xfrm>
                          <a:prstGeom prst="rect">
                            <a:avLst/>
                          </a:prstGeom>
                          <a:noFill/>
                          <a:ln>
                            <a:noFill/>
                          </a:ln>
                        </wps:spPr>
                        <wps:txbx>
                          <w:txbxContent>
                            <w:p>
                              <w:pPr>
                                <w:rPr>
                                  <w:rFonts w:ascii="Calibri" w:hAnsi="Calibri" w:eastAsia="宋体" w:cs="Times New Roman"/>
                                  <w:sz w:val="18"/>
                                  <w:szCs w:val="18"/>
                                  <w:highlight w:val="yellow"/>
                                </w:rPr>
                              </w:pPr>
                              <w:r>
                                <w:rPr>
                                  <w:rFonts w:hint="eastAsia" w:ascii="Calibri" w:hAnsi="Calibri" w:eastAsia="宋体" w:cs="Times New Roman"/>
                                  <w:sz w:val="18"/>
                                  <w:szCs w:val="18"/>
                                </w:rPr>
                                <w:t>审核通过，进入遴选企业库</w:t>
                              </w:r>
                            </w:p>
                          </w:txbxContent>
                        </wps:txbx>
                        <wps:bodyPr wrap="square" upright="1">
                          <a:spAutoFit/>
                        </wps:bodyPr>
                      </wps:wsp>
                      <wpg:grpSp>
                        <wpg:cNvPr id="49" name="组合 49"/>
                        <wpg:cNvGrpSpPr/>
                        <wpg:grpSpPr>
                          <a:xfrm rot="0">
                            <a:off x="6775" y="244574"/>
                            <a:ext cx="9526" cy="8050"/>
                            <a:chOff x="7379" y="2779"/>
                            <a:chExt cx="9526" cy="8050"/>
                          </a:xfrm>
                        </wpg:grpSpPr>
                        <wps:wsp>
                          <wps:cNvPr id="8" name="直接箭头连接符 8"/>
                          <wps:cNvCnPr/>
                          <wps:spPr>
                            <a:xfrm flipH="1">
                              <a:off x="10935" y="6665"/>
                              <a:ext cx="29" cy="1647"/>
                            </a:xfrm>
                            <a:prstGeom prst="straightConnector1">
                              <a:avLst/>
                            </a:prstGeom>
                            <a:ln w="9525" cap="flat" cmpd="sng">
                              <a:solidFill>
                                <a:srgbClr val="000000"/>
                              </a:solidFill>
                              <a:prstDash val="solid"/>
                              <a:round/>
                              <a:headEnd type="none" w="med" len="med"/>
                              <a:tailEnd type="triangle" w="med" len="med"/>
                            </a:ln>
                          </wps:spPr>
                          <wps:bodyPr/>
                        </wps:wsp>
                        <wpg:grpSp>
                          <wpg:cNvPr id="48" name="组合 48"/>
                          <wpg:cNvGrpSpPr/>
                          <wpg:grpSpPr>
                            <a:xfrm>
                              <a:off x="7379" y="2779"/>
                              <a:ext cx="9526" cy="8050"/>
                              <a:chOff x="7394" y="2794"/>
                              <a:chExt cx="9526" cy="8050"/>
                            </a:xfrm>
                          </wpg:grpSpPr>
                          <wps:wsp>
                            <wps:cNvPr id="9" name="直接箭头连接符 9"/>
                            <wps:cNvCnPr/>
                            <wps:spPr>
                              <a:xfrm>
                                <a:off x="10966" y="4964"/>
                                <a:ext cx="0" cy="397"/>
                              </a:xfrm>
                              <a:prstGeom prst="straightConnector1">
                                <a:avLst/>
                              </a:prstGeom>
                              <a:ln w="9525" cap="flat" cmpd="sng">
                                <a:solidFill>
                                  <a:srgbClr val="000000"/>
                                </a:solidFill>
                                <a:prstDash val="solid"/>
                                <a:round/>
                                <a:headEnd type="none" w="med" len="med"/>
                                <a:tailEnd type="triangle" w="med" len="med"/>
                              </a:ln>
                            </wps:spPr>
                            <wps:bodyPr/>
                          </wps:wsp>
                          <wps:wsp>
                            <wps:cNvPr id="10" name="流程图: 决策 10"/>
                            <wps:cNvSpPr/>
                            <wps:spPr>
                              <a:xfrm>
                                <a:off x="8845" y="5391"/>
                                <a:ext cx="4242" cy="1271"/>
                              </a:xfrm>
                              <a:prstGeom prst="flowChartDecision">
                                <a:avLst/>
                              </a:prstGeom>
                              <a:noFill/>
                              <a:ln w="9525" cap="flat" cmpd="sng">
                                <a:solidFill>
                                  <a:srgbClr val="000000"/>
                                </a:solidFill>
                                <a:prstDash val="solid"/>
                                <a:miter/>
                                <a:headEnd type="none" w="med" len="med"/>
                                <a:tailEnd type="none" w="med" len="med"/>
                              </a:ln>
                            </wps:spPr>
                            <wps:txbx>
                              <w:txbxContent>
                                <w:p>
                                  <w:pPr>
                                    <w:spacing w:line="240" w:lineRule="exact"/>
                                    <w:jc w:val="center"/>
                                    <w:rPr>
                                      <w:rFonts w:ascii="Calibri" w:hAnsi="Calibri" w:eastAsia="宋体" w:cs="Times New Roman"/>
                                    </w:rPr>
                                  </w:pPr>
                                  <w:r>
                                    <w:rPr>
                                      <w:rFonts w:hint="eastAsia" w:ascii="Calibri" w:hAnsi="Calibri" w:eastAsia="宋体" w:cs="Times New Roman"/>
                                    </w:rPr>
                                    <w:t>申请材料是否</w:t>
                                  </w:r>
                                </w:p>
                                <w:p>
                                  <w:pPr>
                                    <w:spacing w:line="240" w:lineRule="exact"/>
                                    <w:jc w:val="center"/>
                                    <w:rPr>
                                      <w:rFonts w:ascii="Calibri" w:hAnsi="Calibri" w:eastAsia="宋体" w:cs="Times New Roman"/>
                                    </w:rPr>
                                  </w:pPr>
                                  <w:r>
                                    <w:rPr>
                                      <w:rFonts w:hint="eastAsia" w:ascii="Calibri" w:hAnsi="Calibri" w:eastAsia="宋体" w:cs="Times New Roman"/>
                                    </w:rPr>
                                    <w:t>符合要求？</w:t>
                                  </w:r>
                                </w:p>
                                <w:p>
                                  <w:pPr>
                                    <w:rPr>
                                      <w:rFonts w:ascii="Calibri" w:hAnsi="Calibri" w:eastAsia="宋体" w:cs="Times New Roman"/>
                                    </w:rPr>
                                  </w:pPr>
                                </w:p>
                              </w:txbxContent>
                            </wps:txbx>
                            <wps:bodyPr upright="1"/>
                          </wps:wsp>
                          <wps:wsp>
                            <wps:cNvPr id="11" name="流程图: 过程 11"/>
                            <wps:cNvSpPr/>
                            <wps:spPr>
                              <a:xfrm>
                                <a:off x="9224" y="2794"/>
                                <a:ext cx="3416" cy="45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rPr>
                                  </w:pPr>
                                  <w:r>
                                    <w:rPr>
                                      <w:rFonts w:hint="eastAsia" w:ascii="Calibri" w:hAnsi="Calibri" w:eastAsia="宋体" w:cs="Times New Roman"/>
                                    </w:rPr>
                                    <w:t>申报主体</w:t>
                                  </w:r>
                                  <w:r>
                                    <w:rPr>
                                      <w:rFonts w:hint="eastAsia" w:cs="Times New Roman"/>
                                    </w:rPr>
                                    <w:t>填写</w:t>
                                  </w:r>
                                  <w:r>
                                    <w:rPr>
                                      <w:rFonts w:hint="eastAsia" w:ascii="Calibri" w:hAnsi="Calibri" w:eastAsia="宋体" w:cs="Times New Roman"/>
                                    </w:rPr>
                                    <w:t>申请</w:t>
                                  </w:r>
                                  <w:r>
                                    <w:rPr>
                                      <w:rFonts w:hint="eastAsia" w:cs="Times New Roman"/>
                                    </w:rPr>
                                    <w:t>表</w:t>
                                  </w:r>
                                </w:p>
                              </w:txbxContent>
                            </wps:txbx>
                            <wps:bodyPr upright="1"/>
                          </wps:wsp>
                          <wps:wsp>
                            <wps:cNvPr id="12" name="直接箭头连接符 12"/>
                            <wps:cNvCnPr/>
                            <wps:spPr>
                              <a:xfrm>
                                <a:off x="10951" y="3248"/>
                                <a:ext cx="0" cy="397"/>
                              </a:xfrm>
                              <a:prstGeom prst="straightConnector1">
                                <a:avLst/>
                              </a:prstGeom>
                              <a:ln w="9525" cap="flat" cmpd="sng">
                                <a:solidFill>
                                  <a:srgbClr val="000000"/>
                                </a:solidFill>
                                <a:prstDash val="solid"/>
                                <a:round/>
                                <a:headEnd type="none" w="med" len="med"/>
                                <a:tailEnd type="triangle" w="med" len="med"/>
                              </a:ln>
                            </wps:spPr>
                            <wps:bodyPr/>
                          </wps:wsp>
                          <wps:wsp>
                            <wps:cNvPr id="13" name="流程图: 过程 13"/>
                            <wps:cNvSpPr/>
                            <wps:spPr>
                              <a:xfrm>
                                <a:off x="9258" y="3646"/>
                                <a:ext cx="3476" cy="45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rPr>
                                  </w:pPr>
                                  <w:r>
                                    <w:rPr>
                                      <w:rFonts w:hint="eastAsia" w:ascii="Calibri" w:hAnsi="Calibri" w:eastAsia="宋体" w:cs="Times New Roman"/>
                                      <w:sz w:val="18"/>
                                      <w:szCs w:val="18"/>
                                    </w:rPr>
                                    <w:t>初步审核</w:t>
                                  </w:r>
                                </w:p>
                              </w:txbxContent>
                            </wps:txbx>
                            <wps:bodyPr upright="1"/>
                          </wps:wsp>
                          <wps:wsp>
                            <wps:cNvPr id="14" name="直接箭头连接符 14"/>
                            <wps:cNvCnPr/>
                            <wps:spPr>
                              <a:xfrm>
                                <a:off x="10951" y="4104"/>
                                <a:ext cx="0" cy="397"/>
                              </a:xfrm>
                              <a:prstGeom prst="straightConnector1">
                                <a:avLst/>
                              </a:prstGeom>
                              <a:ln w="9525" cap="flat" cmpd="sng">
                                <a:solidFill>
                                  <a:srgbClr val="000000"/>
                                </a:solidFill>
                                <a:prstDash val="solid"/>
                                <a:round/>
                                <a:headEnd type="none" w="med" len="med"/>
                                <a:tailEnd type="triangle" w="med" len="med"/>
                              </a:ln>
                            </wps:spPr>
                            <wps:bodyPr/>
                          </wps:wsp>
                          <wps:wsp>
                            <wps:cNvPr id="15" name="流程图: 过程 15"/>
                            <wps:cNvSpPr/>
                            <wps:spPr>
                              <a:xfrm>
                                <a:off x="9407" y="4487"/>
                                <a:ext cx="3613" cy="45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sz w:val="18"/>
                                      <w:szCs w:val="18"/>
                                    </w:rPr>
                                  </w:pPr>
                                  <w:r>
                                    <w:rPr>
                                      <w:rFonts w:hint="eastAsia" w:ascii="Calibri" w:hAnsi="Calibri" w:eastAsia="宋体" w:cs="Times New Roman"/>
                                      <w:sz w:val="18"/>
                                      <w:szCs w:val="18"/>
                                    </w:rPr>
                                    <w:t>申报主体线下提交申请材料</w:t>
                                  </w:r>
                                </w:p>
                              </w:txbxContent>
                            </wps:txbx>
                            <wps:bodyPr upright="1"/>
                          </wps:wsp>
                          <wpg:grpSp>
                            <wpg:cNvPr id="20" name="组合 20"/>
                            <wpg:cNvGrpSpPr/>
                            <wpg:grpSpPr>
                              <a:xfrm>
                                <a:off x="7394" y="4421"/>
                                <a:ext cx="2352" cy="1662"/>
                                <a:chOff x="2381" y="3780"/>
                                <a:chExt cx="2352" cy="1662"/>
                              </a:xfrm>
                            </wpg:grpSpPr>
                            <wps:wsp>
                              <wps:cNvPr id="16" name="文本框 16"/>
                              <wps:cNvSpPr txBox="1"/>
                              <wps:spPr>
                                <a:xfrm>
                                  <a:off x="3215" y="4981"/>
                                  <a:ext cx="1285" cy="461"/>
                                </a:xfrm>
                                <a:prstGeom prst="rect">
                                  <a:avLst/>
                                </a:prstGeom>
                                <a:noFill/>
                                <a:ln>
                                  <a:noFill/>
                                </a:ln>
                              </wps:spPr>
                              <wps:txbx>
                                <w:txbxContent>
                                  <w:p>
                                    <w:pPr>
                                      <w:rPr>
                                        <w:rFonts w:ascii="Calibri" w:hAnsi="Calibri" w:eastAsia="宋体" w:cs="Times New Roman"/>
                                        <w:sz w:val="18"/>
                                        <w:szCs w:val="18"/>
                                      </w:rPr>
                                    </w:pPr>
                                    <w:r>
                                      <w:rPr>
                                        <w:rFonts w:hint="eastAsia" w:ascii="Calibri" w:hAnsi="Calibri" w:eastAsia="宋体" w:cs="Times New Roman"/>
                                        <w:sz w:val="18"/>
                                        <w:szCs w:val="18"/>
                                      </w:rPr>
                                      <w:t>否</w:t>
                                    </w:r>
                                  </w:p>
                                </w:txbxContent>
                              </wps:txbx>
                              <wps:bodyPr upright="1">
                                <a:spAutoFit/>
                              </wps:bodyPr>
                            </wps:wsp>
                            <wps:wsp>
                              <wps:cNvPr id="17" name="肘形连接符 17"/>
                              <wps:cNvCnPr/>
                              <wps:spPr>
                                <a:xfrm flipV="1">
                                  <a:off x="2432" y="4172"/>
                                  <a:ext cx="1930" cy="1187"/>
                                </a:xfrm>
                                <a:prstGeom prst="bentConnector3">
                                  <a:avLst>
                                    <a:gd name="adj1" fmla="val 255"/>
                                  </a:avLst>
                                </a:prstGeom>
                                <a:ln w="9525" cap="flat" cmpd="sng">
                                  <a:solidFill>
                                    <a:srgbClr val="000000"/>
                                  </a:solidFill>
                                  <a:prstDash val="solid"/>
                                  <a:miter/>
                                  <a:headEnd type="none" w="med" len="med"/>
                                  <a:tailEnd type="triangle" w="med" len="med"/>
                                </a:ln>
                              </wps:spPr>
                              <wps:bodyPr/>
                            </wps:wsp>
                            <wps:wsp>
                              <wps:cNvPr id="18" name="直接箭头连接符 18"/>
                              <wps:cNvCnPr/>
                              <wps:spPr>
                                <a:xfrm>
                                  <a:off x="2432" y="5374"/>
                                  <a:ext cx="1417" cy="0"/>
                                </a:xfrm>
                                <a:prstGeom prst="straightConnector1">
                                  <a:avLst/>
                                </a:prstGeom>
                                <a:ln w="9525" cap="flat" cmpd="sng">
                                  <a:solidFill>
                                    <a:srgbClr val="000000"/>
                                  </a:solidFill>
                                  <a:prstDash val="solid"/>
                                  <a:round/>
                                  <a:headEnd type="none" w="med" len="med"/>
                                  <a:tailEnd type="none" w="med" len="med"/>
                                </a:ln>
                              </wps:spPr>
                              <wps:bodyPr/>
                            </wps:wsp>
                            <wps:wsp>
                              <wps:cNvPr id="19" name="文本框 19"/>
                              <wps:cNvSpPr txBox="1"/>
                              <wps:spPr>
                                <a:xfrm>
                                  <a:off x="2381" y="3780"/>
                                  <a:ext cx="2352" cy="594"/>
                                </a:xfrm>
                                <a:prstGeom prst="rect">
                                  <a:avLst/>
                                </a:prstGeom>
                                <a:noFill/>
                                <a:ln>
                                  <a:noFill/>
                                </a:ln>
                              </wps:spPr>
                              <wps:txbx>
                                <w:txbxContent>
                                  <w:p>
                                    <w:pPr>
                                      <w:rPr>
                                        <w:rFonts w:ascii="Calibri" w:hAnsi="Calibri" w:eastAsia="宋体" w:cs="Times New Roman"/>
                                        <w:szCs w:val="21"/>
                                      </w:rPr>
                                    </w:pPr>
                                    <w:r>
                                      <w:rPr>
                                        <w:rFonts w:hint="eastAsia" w:ascii="Calibri" w:hAnsi="Calibri" w:eastAsia="宋体" w:cs="Times New Roman"/>
                                        <w:szCs w:val="21"/>
                                      </w:rPr>
                                      <w:t>告知所需材料要求</w:t>
                                    </w:r>
                                  </w:p>
                                </w:txbxContent>
                              </wps:txbx>
                              <wps:bodyPr upright="1"/>
                            </wps:wsp>
                          </wpg:grpSp>
                          <wps:wsp>
                            <wps:cNvPr id="21" name="肘形连接符 21"/>
                            <wps:cNvCnPr/>
                            <wps:spPr>
                              <a:xfrm rot="16200000" flipH="1">
                                <a:off x="12197" y="5340"/>
                                <a:ext cx="6180" cy="3265"/>
                              </a:xfrm>
                              <a:prstGeom prst="bentConnector3">
                                <a:avLst>
                                  <a:gd name="adj1" fmla="val 50000"/>
                                </a:avLst>
                              </a:prstGeom>
                              <a:ln w="9525" cap="flat" cmpd="sng">
                                <a:solidFill>
                                  <a:srgbClr val="000000"/>
                                </a:solidFill>
                                <a:prstDash val="solid"/>
                                <a:miter/>
                                <a:headEnd type="none" w="med" len="med"/>
                                <a:tailEnd type="none" w="med" len="med"/>
                              </a:ln>
                            </wps:spPr>
                            <wps:bodyPr/>
                          </wps:wsp>
                          <wps:wsp>
                            <wps:cNvPr id="22" name="文本框 22"/>
                            <wps:cNvSpPr txBox="1"/>
                            <wps:spPr>
                              <a:xfrm>
                                <a:off x="12442" y="5478"/>
                                <a:ext cx="1320" cy="464"/>
                              </a:xfrm>
                              <a:prstGeom prst="rect">
                                <a:avLst/>
                              </a:prstGeom>
                              <a:noFill/>
                              <a:ln>
                                <a:noFill/>
                              </a:ln>
                            </wps:spPr>
                            <wps:txbx>
                              <w:txbxContent>
                                <w:p>
                                  <w:pPr>
                                    <w:rPr>
                                      <w:rFonts w:ascii="Calibri" w:hAnsi="Calibri" w:eastAsia="宋体" w:cs="Times New Roman"/>
                                      <w:sz w:val="18"/>
                                      <w:szCs w:val="18"/>
                                    </w:rPr>
                                  </w:pPr>
                                  <w:r>
                                    <w:rPr>
                                      <w:rFonts w:hint="eastAsia" w:ascii="Calibri" w:hAnsi="Calibri" w:eastAsia="宋体" w:cs="Times New Roman"/>
                                      <w:sz w:val="18"/>
                                      <w:szCs w:val="18"/>
                                    </w:rPr>
                                    <w:t>评审未通过</w:t>
                                  </w:r>
                                </w:p>
                                <w:p>
                                  <w:pPr>
                                    <w:rPr>
                                      <w:rFonts w:ascii="Calibri" w:hAnsi="Calibri" w:eastAsia="宋体" w:cs="Times New Roman"/>
                                    </w:rPr>
                                  </w:pPr>
                                </w:p>
                              </w:txbxContent>
                            </wps:txbx>
                            <wps:bodyPr upright="1"/>
                          </wps:wsp>
                          <wpg:grpSp>
                            <wpg:cNvPr id="37" name="组合 37"/>
                            <wpg:cNvGrpSpPr/>
                            <wpg:grpSpPr>
                              <a:xfrm>
                                <a:off x="13573" y="10050"/>
                                <a:ext cx="3344" cy="749"/>
                                <a:chOff x="9334" y="13630"/>
                                <a:chExt cx="3344" cy="749"/>
                              </a:xfrm>
                            </wpg:grpSpPr>
                            <wps:wsp>
                              <wps:cNvPr id="25" name="肘形连接符 25"/>
                              <wps:cNvCnPr/>
                              <wps:spPr>
                                <a:xfrm rot="10800000" flipV="1">
                                  <a:off x="11493" y="13630"/>
                                  <a:ext cx="1185" cy="206"/>
                                </a:xfrm>
                                <a:prstGeom prst="bentConnector3">
                                  <a:avLst>
                                    <a:gd name="adj1" fmla="val 100167"/>
                                  </a:avLst>
                                </a:prstGeom>
                                <a:ln w="9525" cap="flat" cmpd="sng">
                                  <a:solidFill>
                                    <a:srgbClr val="000000"/>
                                  </a:solidFill>
                                  <a:prstDash val="solid"/>
                                  <a:miter/>
                                  <a:headEnd type="none" w="med" len="med"/>
                                  <a:tailEnd type="triangle" w="med" len="med"/>
                                </a:ln>
                              </wps:spPr>
                              <wps:bodyPr/>
                            </wps:wsp>
                            <wps:wsp>
                              <wps:cNvPr id="30" name="流程图: 过程 30"/>
                              <wps:cNvSpPr/>
                              <wps:spPr>
                                <a:xfrm>
                                  <a:off x="9334" y="13836"/>
                                  <a:ext cx="3118" cy="543"/>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rPr>
                                    </w:pPr>
                                    <w:r>
                                      <w:rPr>
                                        <w:rFonts w:hint="eastAsia" w:ascii="Calibri" w:hAnsi="Calibri" w:eastAsia="宋体" w:cs="Times New Roman"/>
                                      </w:rPr>
                                      <w:t>告知申报主体审核结果</w:t>
                                    </w:r>
                                  </w:p>
                                </w:txbxContent>
                              </wps:txbx>
                              <wps:bodyPr upright="1"/>
                            </wps:wsp>
                          </wpg:grpSp>
                          <wps:wsp>
                            <wps:cNvPr id="38" name="流程图: 过程 38"/>
                            <wps:cNvSpPr/>
                            <wps:spPr>
                              <a:xfrm>
                                <a:off x="9270" y="8427"/>
                                <a:ext cx="3495" cy="763"/>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Calibri" w:hAnsi="Calibri" w:eastAsia="宋体" w:cs="Times New Roman"/>
                                      <w:color w:val="auto"/>
                                    </w:rPr>
                                  </w:pPr>
                                  <w:r>
                                    <w:rPr>
                                      <w:rFonts w:hint="default" w:cs="Times New Roman"/>
                                      <w:color w:val="auto"/>
                                    </w:rPr>
                                    <w:t>遴选结果报备深圳市龙岗区工业化和信息局</w:t>
                                  </w:r>
                                </w:p>
                              </w:txbxContent>
                            </wps:txbx>
                            <wps:bodyPr upright="1"/>
                          </wps:wsp>
                          <wps:wsp>
                            <wps:cNvPr id="39" name="直接箭头连接符 39"/>
                            <wps:cNvCnPr/>
                            <wps:spPr>
                              <a:xfrm>
                                <a:off x="10991" y="9224"/>
                                <a:ext cx="12" cy="1056"/>
                              </a:xfrm>
                              <a:prstGeom prst="straightConnector1">
                                <a:avLst/>
                              </a:prstGeom>
                              <a:ln w="9525" cap="flat" cmpd="sng">
                                <a:solidFill>
                                  <a:srgbClr val="000000"/>
                                </a:solidFill>
                                <a:prstDash val="solid"/>
                                <a:round/>
                                <a:headEnd type="none" w="med" len="med"/>
                                <a:tailEnd type="triangle" w="med" len="med"/>
                              </a:ln>
                            </wps:spPr>
                            <wps:bodyPr/>
                          </wps:wsp>
                          <wps:wsp>
                            <wps:cNvPr id="43" name="流程图: 过程 43"/>
                            <wps:cNvSpPr/>
                            <wps:spPr>
                              <a:xfrm>
                                <a:off x="9453" y="10268"/>
                                <a:ext cx="3118" cy="576"/>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Calibri" w:hAnsi="Calibri" w:cs="Times New Roman"/>
                                    </w:rPr>
                                  </w:pPr>
                                  <w:r>
                                    <w:rPr>
                                      <w:rFonts w:hint="eastAsia" w:cs="Times New Roman"/>
                                    </w:rPr>
                                    <w:t>完成遴选，</w:t>
                                  </w:r>
                                  <w:r>
                                    <w:rPr>
                                      <w:rFonts w:hint="default" w:cs="Times New Roman"/>
                                    </w:rPr>
                                    <w:t>结果公示</w:t>
                                  </w:r>
                                </w:p>
                                <w:p>
                                  <w:pPr>
                                    <w:rPr>
                                      <w:rFonts w:ascii="Calibri" w:hAnsi="Calibri" w:eastAsia="宋体" w:cs="Times New Roman"/>
                                    </w:rPr>
                                  </w:pPr>
                                </w:p>
                              </w:txbxContent>
                            </wps:txbx>
                            <wps:bodyPr upright="1"/>
                          </wps:wsp>
                        </wpg:grpSp>
                      </wpg:grpSp>
                    </wpg:wgp>
                  </a:graphicData>
                </a:graphic>
              </wp:anchor>
            </w:drawing>
          </mc:Choice>
          <mc:Fallback>
            <w:pict>
              <v:group id="_x0000_s1026" o:spid="_x0000_s1026" o:spt="203" style="position:absolute;left:0pt;margin-left:-24.5pt;margin-top:5.85pt;height:402.5pt;width:476.3pt;z-index:251662336;mso-width-relative:page;mso-height-relative:page;" coordorigin="6775,244574" coordsize="9526,8050" o:gfxdata="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">
                <o:lock v:ext="edit" aspectratio="f"/>
                <v:shape id="_x0000_s1026" o:spid="_x0000_s1026" o:spt="202" type="#_x0000_t202" style="position:absolute;left:10377;top:245841;height:456;width:3233;" filled="f" stroked="f" coordsize="21600,21600" o:gfxdata="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">
                  <v:fill on="f" focussize="0,0"/>
                  <v:stroke on="f"/>
                  <v:imagedata o:title=""/>
                  <o:lock v:ext="edit" aspectratio="f"/>
                  <v:textbox style="mso-fit-shape-to-text:t;">
                    <w:txbxContent>
                      <w:p>
                        <w:pPr>
                          <w:rPr>
                            <w:rFonts w:ascii="Calibri" w:hAnsi="Calibri" w:eastAsia="宋体" w:cs="Times New Roman"/>
                            <w:sz w:val="18"/>
                            <w:szCs w:val="18"/>
                            <w:highlight w:val="yellow"/>
                          </w:rPr>
                        </w:pPr>
                        <w:r>
                          <w:rPr>
                            <w:rFonts w:hint="eastAsia" w:ascii="Calibri" w:hAnsi="Calibri" w:eastAsia="宋体" w:cs="Times New Roman"/>
                            <w:sz w:val="18"/>
                            <w:szCs w:val="18"/>
                          </w:rPr>
                          <w:t>审核通过，进入遴选企业库</w:t>
                        </w:r>
                      </w:p>
                    </w:txbxContent>
                  </v:textbox>
                </v:shape>
                <v:group id="_x0000_s1026" o:spid="_x0000_s1026" o:spt="203" style="position:absolute;left:6775;top:244574;height:8050;width:9526;" coordorigin="7379,2779" coordsize="9526,8050" o:gfxdata="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">
                  <o:lock v:ext="edit" aspectratio="f"/>
                  <v:shape id="_x0000_s1026" o:spid="_x0000_s1026" o:spt="32" type="#_x0000_t32" style="position:absolute;left:10935;top:6665;flip:x;height:1647;width:29;" filled="f" stroked="t" coordsize="21600,21600" o:gfxdata="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">
                    <v:fill on="f" focussize="0,0"/>
                    <v:stroke color="#000000" joinstyle="round" endarrow="block"/>
                    <v:imagedata o:title=""/>
                    <o:lock v:ext="edit" aspectratio="f"/>
                  </v:shape>
                  <v:group id="_x0000_s1026" o:spid="_x0000_s1026" o:spt="203" style="position:absolute;left:7379;top:2779;height:8050;width:9526;" coordorigin="7394,2794" coordsize="9526,8050" o:gfxdata="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">
                    <o:lock v:ext="edit" aspectratio="f"/>
                    <v:shape id="_x0000_s1026" o:spid="_x0000_s1026" o:spt="32" type="#_x0000_t32" style="position:absolute;left:10966;top:4964;height:397;width:0;" filled="f" stroked="t" coordsize="21600,21600" o:gfxdata="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">
                      <v:fill on="f" focussize="0,0"/>
                      <v:stroke color="#000000" joinstyle="round" endarrow="block"/>
                      <v:imagedata o:title=""/>
                      <o:lock v:ext="edit" aspectratio="f"/>
                    </v:shape>
                    <v:shape id="_x0000_s1026" o:spid="_x0000_s1026" o:spt="110" type="#_x0000_t110" style="position:absolute;left:8845;top:5391;height:1271;width:4242;" filled="f" stroked="t" coordsize="21600,21600" o:gfxdata="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">
                      <v:fill on="f" focussize="0,0"/>
                      <v:stroke color="#000000" joinstyle="miter"/>
                      <v:imagedata o:title=""/>
                      <o:lock v:ext="edit" aspectratio="f"/>
                      <v:textbox>
                        <w:txbxContent>
                          <w:p>
                            <w:pPr>
                              <w:spacing w:line="240" w:lineRule="exact"/>
                              <w:jc w:val="center"/>
                              <w:rPr>
                                <w:rFonts w:ascii="Calibri" w:hAnsi="Calibri" w:eastAsia="宋体" w:cs="Times New Roman"/>
                              </w:rPr>
                            </w:pPr>
                            <w:r>
                              <w:rPr>
                                <w:rFonts w:hint="eastAsia" w:ascii="Calibri" w:hAnsi="Calibri" w:eastAsia="宋体" w:cs="Times New Roman"/>
                              </w:rPr>
                              <w:t>申请材料是否</w:t>
                            </w:r>
                          </w:p>
                          <w:p>
                            <w:pPr>
                              <w:spacing w:line="240" w:lineRule="exact"/>
                              <w:jc w:val="center"/>
                              <w:rPr>
                                <w:rFonts w:ascii="Calibri" w:hAnsi="Calibri" w:eastAsia="宋体" w:cs="Times New Roman"/>
                              </w:rPr>
                            </w:pPr>
                            <w:r>
                              <w:rPr>
                                <w:rFonts w:hint="eastAsia" w:ascii="Calibri" w:hAnsi="Calibri" w:eastAsia="宋体" w:cs="Times New Roman"/>
                              </w:rPr>
                              <w:t>符合要求？</w:t>
                            </w:r>
                          </w:p>
                          <w:p>
                            <w:pPr>
                              <w:rPr>
                                <w:rFonts w:ascii="Calibri" w:hAnsi="Calibri" w:eastAsia="宋体" w:cs="Times New Roman"/>
                              </w:rPr>
                            </w:pPr>
                          </w:p>
                        </w:txbxContent>
                      </v:textbox>
                    </v:shape>
                    <v:shape id="_x0000_s1026" o:spid="_x0000_s1026" o:spt="109" type="#_x0000_t109" style="position:absolute;left:9224;top:2794;height:454;width:3416;" filled="f" stroked="t" coordsize="21600,21600" o:gfxdata="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">
                      <v:fill on="f"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rPr>
                              <w:t>申报主体</w:t>
                            </w:r>
                            <w:r>
                              <w:rPr>
                                <w:rFonts w:hint="eastAsia" w:cs="Times New Roman"/>
                              </w:rPr>
                              <w:t>填写</w:t>
                            </w:r>
                            <w:r>
                              <w:rPr>
                                <w:rFonts w:hint="eastAsia" w:ascii="Calibri" w:hAnsi="Calibri" w:eastAsia="宋体" w:cs="Times New Roman"/>
                              </w:rPr>
                              <w:t>申请</w:t>
                            </w:r>
                            <w:r>
                              <w:rPr>
                                <w:rFonts w:hint="eastAsia" w:cs="Times New Roman"/>
                              </w:rPr>
                              <w:t>表</w:t>
                            </w:r>
                          </w:p>
                        </w:txbxContent>
                      </v:textbox>
                    </v:shape>
                    <v:shape id="_x0000_s1026" o:spid="_x0000_s1026" o:spt="32" type="#_x0000_t32" style="position:absolute;left:10951;top:3248;height:397;width:0;" filled="f" stroked="t" coordsize="21600,21600" o:gfxdata="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">
                      <v:fill on="f" focussize="0,0"/>
                      <v:stroke color="#000000" joinstyle="round" endarrow="block"/>
                      <v:imagedata o:title=""/>
                      <o:lock v:ext="edit" aspectratio="f"/>
                    </v:shape>
                    <v:shape id="_x0000_s1026" o:spid="_x0000_s1026" o:spt="109" type="#_x0000_t109" style="position:absolute;left:9258;top:3646;height:454;width:3476;" filled="f" stroked="t" coordsize="21600,21600" o:gfxdata="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&#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">
                      <v:fill on="f"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sz w:val="18"/>
                                <w:szCs w:val="18"/>
                              </w:rPr>
                              <w:t>初步审核</w:t>
                            </w:r>
                          </w:p>
                        </w:txbxContent>
                      </v:textbox>
                    </v:shape>
                    <v:shape id="_x0000_s1026" o:spid="_x0000_s1026" o:spt="32" type="#_x0000_t32" style="position:absolute;left:10951;top:4104;height:397;width:0;" filled="f" stroked="t" coordsize="21600,21600" o:gfxdata="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">
                      <v:fill on="f" focussize="0,0"/>
                      <v:stroke color="#000000" joinstyle="round" endarrow="block"/>
                      <v:imagedata o:title=""/>
                      <o:lock v:ext="edit" aspectratio="f"/>
                    </v:shape>
                    <v:shape id="_x0000_s1026" o:spid="_x0000_s1026" o:spt="109" type="#_x0000_t109" style="position:absolute;left:9407;top:4487;height:454;width:3613;" filled="f" stroked="t" coordsize="21600,21600" o:gfxdata="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&#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">
                      <v:fill on="f" focussize="0,0"/>
                      <v:stroke color="#000000" joinstyle="miter"/>
                      <v:imagedata o:title=""/>
                      <o:lock v:ext="edit" aspectratio="f"/>
                      <v:textbox>
                        <w:txbxContent>
                          <w:p>
                            <w:pPr>
                              <w:jc w:val="center"/>
                              <w:rPr>
                                <w:rFonts w:ascii="Calibri" w:hAnsi="Calibri" w:eastAsia="宋体" w:cs="Times New Roman"/>
                                <w:sz w:val="18"/>
                                <w:szCs w:val="18"/>
                              </w:rPr>
                            </w:pPr>
                            <w:r>
                              <w:rPr>
                                <w:rFonts w:hint="eastAsia" w:ascii="Calibri" w:hAnsi="Calibri" w:eastAsia="宋体" w:cs="Times New Roman"/>
                                <w:sz w:val="18"/>
                                <w:szCs w:val="18"/>
                              </w:rPr>
                              <w:t>申报主体线下提交申请材料</w:t>
                            </w:r>
                          </w:p>
                        </w:txbxContent>
                      </v:textbox>
                    </v:shape>
                    <v:group id="_x0000_s1026" o:spid="_x0000_s1026" o:spt="203" style="position:absolute;left:7394;top:4421;height:1662;width:2352;" coordorigin="2381,3780" coordsize="2352,1662" o:gfxdata="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">
                      <o:lock v:ext="edit" aspectratio="f"/>
                      <v:shape id="_x0000_s1026" o:spid="_x0000_s1026" o:spt="202" type="#_x0000_t202" style="position:absolute;left:3215;top:4981;height:461;width:1285;" filled="f" stroked="f" coordsize="21600,21600" o:gfxdata="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&#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">
                        <v:fill on="f" focussize="0,0"/>
                        <v:stroke on="f"/>
                        <v:imagedata o:title=""/>
                        <o:lock v:ext="edit" aspectratio="f"/>
                        <v:textbox style="mso-fit-shape-to-text:t;">
                          <w:txbxContent>
                            <w:p>
                              <w:pPr>
                                <w:rPr>
                                  <w:rFonts w:ascii="Calibri" w:hAnsi="Calibri" w:eastAsia="宋体" w:cs="Times New Roman"/>
                                  <w:sz w:val="18"/>
                                  <w:szCs w:val="18"/>
                                </w:rPr>
                              </w:pPr>
                              <w:r>
                                <w:rPr>
                                  <w:rFonts w:hint="eastAsia" w:ascii="Calibri" w:hAnsi="Calibri" w:eastAsia="宋体" w:cs="Times New Roman"/>
                                  <w:sz w:val="18"/>
                                  <w:szCs w:val="18"/>
                                </w:rPr>
                                <w:t>否</w:t>
                              </w:r>
                            </w:p>
                          </w:txbxContent>
                        </v:textbox>
                      </v:shape>
                      <v:shape id="_x0000_s1026" o:spid="_x0000_s1026" o:spt="34" type="#_x0000_t34" style="position:absolute;left:2432;top:4172;flip:y;height:1187;width:1930;" filled="f" stroked="t" coordsize="21600,21600" o:gfxdata="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" adj="55">
                        <v:fill on="f" focussize="0,0"/>
                        <v:stroke color="#000000" joinstyle="miter" endarrow="block"/>
                        <v:imagedata o:title=""/>
                        <o:lock v:ext="edit" aspectratio="f"/>
                      </v:shape>
                      <v:shape id="_x0000_s1026" o:spid="_x0000_s1026" o:spt="32" type="#_x0000_t32" style="position:absolute;left:2432;top:5374;height:0;width:1417;" filled="f" stroked="t" coordsize="21600,21600" o:gfxdata="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">
                        <v:fill on="f" focussize="0,0"/>
                        <v:stroke color="#000000" joinstyle="round"/>
                        <v:imagedata o:title=""/>
                        <o:lock v:ext="edit" aspectratio="f"/>
                      </v:shape>
                      <v:shape id="_x0000_s1026" o:spid="_x0000_s1026" o:spt="202" type="#_x0000_t202" style="position:absolute;left:2381;top:3780;height:594;width:2352;" filled="f" stroked="f" coordsize="21600,21600" o:gfxdata="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">
                        <v:fill on="f" focussize="0,0"/>
                        <v:stroke on="f"/>
                        <v:imagedata o:title=""/>
                        <o:lock v:ext="edit" aspectratio="f"/>
                        <v:textbox>
                          <w:txbxContent>
                            <w:p>
                              <w:pPr>
                                <w:rPr>
                                  <w:rFonts w:ascii="Calibri" w:hAnsi="Calibri" w:eastAsia="宋体" w:cs="Times New Roman"/>
                                  <w:szCs w:val="21"/>
                                </w:rPr>
                              </w:pPr>
                              <w:r>
                                <w:rPr>
                                  <w:rFonts w:hint="eastAsia" w:ascii="Calibri" w:hAnsi="Calibri" w:eastAsia="宋体" w:cs="Times New Roman"/>
                                  <w:szCs w:val="21"/>
                                </w:rPr>
                                <w:t>告知所需材料要求</w:t>
                              </w:r>
                            </w:p>
                          </w:txbxContent>
                        </v:textbox>
                      </v:shape>
                    </v:group>
                    <v:shape id="_x0000_s1026" o:spid="_x0000_s1026" o:spt="34" type="#_x0000_t34" style="position:absolute;left:12197;top:5340;flip:x;height:3265;width:6180;rotation:5898240f;" filled="f" stroked="t" coordsize="21600,21600" o:gfxdata="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" adj="10800">
                      <v:fill on="f" focussize="0,0"/>
                      <v:stroke color="#000000" joinstyle="miter"/>
                      <v:imagedata o:title=""/>
                      <o:lock v:ext="edit" aspectratio="f"/>
                    </v:shape>
                    <v:shape id="_x0000_s1026" o:spid="_x0000_s1026" o:spt="202" type="#_x0000_t202" style="position:absolute;left:12442;top:5478;height:464;width:1320;" filled="f" stroked="f" coordsize="21600,21600" o:gfxdata="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">
                      <v:fill on="f" focussize="0,0"/>
                      <v:stroke on="f"/>
                      <v:imagedata o:title=""/>
                      <o:lock v:ext="edit" aspectratio="f"/>
                      <v:textbox>
                        <w:txbxContent>
                          <w:p>
                            <w:pPr>
                              <w:rPr>
                                <w:rFonts w:ascii="Calibri" w:hAnsi="Calibri" w:eastAsia="宋体" w:cs="Times New Roman"/>
                                <w:sz w:val="18"/>
                                <w:szCs w:val="18"/>
                              </w:rPr>
                            </w:pPr>
                            <w:r>
                              <w:rPr>
                                <w:rFonts w:hint="eastAsia" w:ascii="Calibri" w:hAnsi="Calibri" w:eastAsia="宋体" w:cs="Times New Roman"/>
                                <w:sz w:val="18"/>
                                <w:szCs w:val="18"/>
                              </w:rPr>
                              <w:t>评审未通过</w:t>
                            </w:r>
                          </w:p>
                          <w:p>
                            <w:pPr>
                              <w:rPr>
                                <w:rFonts w:ascii="Calibri" w:hAnsi="Calibri" w:eastAsia="宋体" w:cs="Times New Roman"/>
                              </w:rPr>
                            </w:pPr>
                          </w:p>
                        </w:txbxContent>
                      </v:textbox>
                    </v:shape>
                    <v:group id="_x0000_s1026" o:spid="_x0000_s1026" o:spt="203" style="position:absolute;left:13573;top:10050;height:749;width:3344;" coordorigin="9334,13630" coordsize="3344,749" o:gfxdata="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">
                      <o:lock v:ext="edit" aspectratio="f"/>
                      <v:shape id="_x0000_s1026" o:spid="_x0000_s1026" o:spt="34" type="#_x0000_t34" style="position:absolute;left:11493;top:13630;flip:y;height:206;width:1185;rotation:11796480f;" filled="f" stroked="t" coordsize="21600,21600" o:gfxdata="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" adj="21636">
                        <v:fill on="f" focussize="0,0"/>
                        <v:stroke color="#000000" joinstyle="miter" endarrow="block"/>
                        <v:imagedata o:title=""/>
                        <o:lock v:ext="edit" aspectratio="f"/>
                      </v:shape>
                      <v:shape id="_x0000_s1026" o:spid="_x0000_s1026" o:spt="109" type="#_x0000_t109" style="position:absolute;left:9334;top:13836;height:543;width:3118;" filled="f" stroked="t" coordsize="21600,21600" o:gfxdata="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">
                        <v:fill on="f"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rPr>
                                <w:t>告知申报主体审核结果</w:t>
                              </w:r>
                            </w:p>
                          </w:txbxContent>
                        </v:textbox>
                      </v:shape>
                    </v:group>
                    <v:shape id="_x0000_s1026" o:spid="_x0000_s1026" o:spt="109" type="#_x0000_t109" style="position:absolute;left:9270;top:8427;height:763;width:3495;" filled="f" stroked="t" coordsize="21600,21600" o:gfxdata="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">
                      <v:fill on="f" focussize="0,0"/>
                      <v:stroke color="#000000" joinstyle="miter"/>
                      <v:imagedata o:title=""/>
                      <o:lock v:ext="edit" aspectratio="f"/>
                      <v:textbox>
                        <w:txbxContent>
                          <w:p>
                            <w:pPr>
                              <w:jc w:val="center"/>
                              <w:rPr>
                                <w:rFonts w:hint="default" w:ascii="Calibri" w:hAnsi="Calibri" w:eastAsia="宋体" w:cs="Times New Roman"/>
                                <w:color w:val="auto"/>
                              </w:rPr>
                            </w:pPr>
                            <w:r>
                              <w:rPr>
                                <w:rFonts w:hint="default" w:cs="Times New Roman"/>
                                <w:color w:val="auto"/>
                              </w:rPr>
                              <w:t>遴选结果报备深圳市龙岗区工业化和信息局</w:t>
                            </w:r>
                          </w:p>
                        </w:txbxContent>
                      </v:textbox>
                    </v:shape>
                    <v:shape id="_x0000_s1026" o:spid="_x0000_s1026" o:spt="32" type="#_x0000_t32" style="position:absolute;left:10991;top:9224;height:1056;width:12;" filled="f" stroked="t" coordsize="21600,21600" o:gfxdata="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">
                      <v:fill on="f" focussize="0,0"/>
                      <v:stroke color="#000000" joinstyle="round" endarrow="block"/>
                      <v:imagedata o:title=""/>
                      <o:lock v:ext="edit" aspectratio="f"/>
                    </v:shape>
                    <v:shape id="_x0000_s1026" o:spid="_x0000_s1026" o:spt="109" type="#_x0000_t109" style="position:absolute;left:9453;top:10268;height:576;width:3118;" filled="f" stroked="t" coordsize="21600,21600" o:gfxdata="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">
                      <v:fill on="f" focussize="0,0"/>
                      <v:stroke color="#000000" joinstyle="miter"/>
                      <v:imagedata o:title=""/>
                      <o:lock v:ext="edit" aspectratio="f"/>
                      <v:textbox>
                        <w:txbxContent>
                          <w:p>
                            <w:pPr>
                              <w:jc w:val="center"/>
                              <w:rPr>
                                <w:rFonts w:hint="default" w:ascii="Calibri" w:hAnsi="Calibri" w:cs="Times New Roman"/>
                              </w:rPr>
                            </w:pPr>
                            <w:r>
                              <w:rPr>
                                <w:rFonts w:hint="eastAsia" w:cs="Times New Roman"/>
                              </w:rPr>
                              <w:t>完成遴选，</w:t>
                            </w:r>
                            <w:r>
                              <w:rPr>
                                <w:rFonts w:hint="default" w:cs="Times New Roman"/>
                              </w:rPr>
                              <w:t>结果公示</w:t>
                            </w:r>
                          </w:p>
                          <w:p>
                            <w:pPr>
                              <w:rPr>
                                <w:rFonts w:ascii="Calibri" w:hAnsi="Calibri" w:eastAsia="宋体" w:cs="Times New Roman"/>
                              </w:rPr>
                            </w:pPr>
                          </w:p>
                        </w:txbxContent>
                      </v:textbox>
                    </v:shape>
                  </v:group>
                </v:group>
              </v:group>
            </w:pict>
          </mc:Fallback>
        </mc:AlternateContent>
      </w:r>
    </w:p>
    <w:p>
      <w:pPr>
        <w:jc w:val="center"/>
        <w:rPr>
          <w:rFonts w:ascii="Calibri" w:hAnsi="Calibri" w:eastAsia="宋体" w:cs="Times New Roman"/>
          <w:color w:val="auto"/>
          <w:sz w:val="24"/>
        </w:rPr>
      </w:pPr>
    </w:p>
    <w:p>
      <w:pPr>
        <w:rPr>
          <w:rFonts w:ascii="Calibri" w:hAnsi="Calibri" w:eastAsia="宋体" w:cs="Times New Roman"/>
          <w:color w:val="auto"/>
          <w:sz w:val="24"/>
        </w:rPr>
      </w:pPr>
      <w:r>
        <w:rPr>
          <w:rFonts w:ascii="Calibri" w:hAnsi="Calibri" w:eastAsia="宋体" w:cs="Times New Roman"/>
          <w:color w:val="auto"/>
          <w:sz w:val="24"/>
        </w:rPr>
        <mc:AlternateContent>
          <mc:Choice Requires="wps">
            <w:drawing>
              <wp:anchor distT="0" distB="0" distL="114300" distR="114300" simplePos="0" relativeHeight="251659264" behindDoc="0" locked="0" layoutInCell="1" allowOverlap="1">
                <wp:simplePos x="0" y="0"/>
                <wp:positionH relativeFrom="column">
                  <wp:posOffset>3030855</wp:posOffset>
                </wp:positionH>
                <wp:positionV relativeFrom="paragraph">
                  <wp:posOffset>87630</wp:posOffset>
                </wp:positionV>
                <wp:extent cx="814705" cy="29908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814705" cy="299085"/>
                        </a:xfrm>
                        <a:prstGeom prst="rect">
                          <a:avLst/>
                        </a:prstGeom>
                        <a:noFill/>
                        <a:ln>
                          <a:noFill/>
                        </a:ln>
                        <a:effectLst/>
                      </wps:spPr>
                      <wps:txbx>
                        <w:txbxContent>
                          <w:p>
                            <w:pPr>
                              <w:rPr>
                                <w:rFonts w:ascii="Calibri" w:hAnsi="Calibri" w:eastAsia="宋体" w:cs="Times New Roman"/>
                                <w:sz w:val="18"/>
                                <w:szCs w:val="18"/>
                              </w:rPr>
                            </w:pPr>
                            <w:r>
                              <w:rPr>
                                <w:rFonts w:hint="eastAsia" w:ascii="Calibri" w:hAnsi="Calibri" w:eastAsia="宋体" w:cs="Times New Roman"/>
                                <w:sz w:val="18"/>
                                <w:szCs w:val="18"/>
                              </w:rPr>
                              <w:t>审核未通过</w:t>
                            </w:r>
                          </w:p>
                        </w:txbxContent>
                      </wps:txbx>
                      <wps:bodyPr upright="1"/>
                    </wps:wsp>
                  </a:graphicData>
                </a:graphic>
              </wp:anchor>
            </w:drawing>
          </mc:Choice>
          <mc:Fallback>
            <w:pict>
              <v:shape id="_x0000_s1026" o:spid="_x0000_s1026" o:spt="202" type="#_x0000_t202" style="position:absolute;left:0pt;margin-left:238.65pt;margin-top:6.9pt;height:23.55pt;width:64.15pt;z-index:251659264;mso-width-relative:page;mso-height-relative:page;" filled="f" stroked="f" coordsize="21600,21600" o:gfxdata="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">
                <v:fill on="f" focussize="0,0"/>
                <v:stroke on="f"/>
                <v:imagedata o:title=""/>
                <o:lock v:ext="edit" aspectratio="f"/>
                <v:textbox>
                  <w:txbxContent>
                    <w:p>
                      <w:pPr>
                        <w:rPr>
                          <w:rFonts w:ascii="Calibri" w:hAnsi="Calibri" w:eastAsia="宋体" w:cs="Times New Roman"/>
                          <w:sz w:val="18"/>
                          <w:szCs w:val="18"/>
                        </w:rPr>
                      </w:pPr>
                      <w:r>
                        <w:rPr>
                          <w:rFonts w:hint="eastAsia" w:ascii="Calibri" w:hAnsi="Calibri" w:eastAsia="宋体" w:cs="Times New Roman"/>
                          <w:sz w:val="18"/>
                          <w:szCs w:val="18"/>
                        </w:rPr>
                        <w:t>审核未通过</w:t>
                      </w:r>
                    </w:p>
                  </w:txbxContent>
                </v:textbox>
              </v:shape>
            </w:pict>
          </mc:Fallback>
        </mc:AlternateContent>
      </w:r>
    </w:p>
    <w:p>
      <w:pPr>
        <w:rPr>
          <w:rFonts w:ascii="Calibri" w:hAnsi="Calibri" w:eastAsia="宋体" w:cs="Times New Roman"/>
          <w:color w:val="auto"/>
          <w:sz w:val="24"/>
        </w:rPr>
      </w:pPr>
      <w:r>
        <w:rPr>
          <w:rFonts w:ascii="Calibri" w:hAnsi="Calibri" w:eastAsia="宋体"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3079115</wp:posOffset>
                </wp:positionH>
                <wp:positionV relativeFrom="paragraph">
                  <wp:posOffset>167640</wp:posOffset>
                </wp:positionV>
                <wp:extent cx="593725" cy="8255"/>
                <wp:effectExtent l="0" t="0" r="0" b="0"/>
                <wp:wrapNone/>
                <wp:docPr id="36" name="直接连接符 36"/>
                <wp:cNvGraphicFramePr/>
                <a:graphic xmlns:a="http://schemas.openxmlformats.org/drawingml/2006/main">
                  <a:graphicData uri="http://schemas.microsoft.com/office/word/2010/wordprocessingShape">
                    <wps:wsp>
                      <wps:cNvCnPr/>
                      <wps:spPr>
                        <a:xfrm>
                          <a:off x="0" y="0"/>
                          <a:ext cx="593871" cy="83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2.45pt;margin-top:13.2pt;height:0.65pt;width:46.75pt;z-index:251661312;mso-width-relative:page;mso-height-relative:page;" filled="f" stroked="t" coordsize="21600,21600" o:gfxdata="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">
                <v:fill on="f" focussize="0,0"/>
                <v:stroke color="#000000 [3213]" joinstyle="round"/>
                <v:imagedata o:title=""/>
                <o:lock v:ext="edit" aspectratio="f"/>
              </v:line>
            </w:pict>
          </mc:Fallback>
        </mc:AlternateContent>
      </w:r>
    </w:p>
    <w:p>
      <w:pPr>
        <w:rPr>
          <w:rFonts w:ascii="Calibri" w:hAnsi="Calibri" w:eastAsia="宋体" w:cs="Times New Roman"/>
          <w:color w:val="auto"/>
          <w:sz w:val="24"/>
        </w:rPr>
      </w:pPr>
    </w:p>
    <w:p>
      <w:pPr>
        <w:rPr>
          <w:rFonts w:ascii="Calibri" w:hAnsi="Calibri" w:eastAsia="宋体" w:cs="Times New Roman"/>
          <w:color w:val="auto"/>
          <w:sz w:val="24"/>
        </w:rPr>
      </w:pPr>
    </w:p>
    <w:p>
      <w:pPr>
        <w:jc w:val="center"/>
        <w:rPr>
          <w:rFonts w:ascii="Calibri" w:hAnsi="Calibri" w:eastAsia="宋体" w:cs="Times New Roman"/>
          <w:color w:val="auto"/>
          <w:sz w:val="24"/>
        </w:rPr>
      </w:pPr>
      <w:r>
        <w:rPr>
          <w:rFonts w:hint="eastAsia" w:ascii="Calibri" w:hAnsi="Calibri" w:eastAsia="宋体" w:cs="Times New Roman"/>
          <w:color w:val="auto"/>
          <w:sz w:val="24"/>
        </w:rPr>
        <w:t xml:space="preserve"> </w:t>
      </w: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r>
        <w:rPr>
          <w:rFonts w:ascii="Calibri" w:hAnsi="Calibri" w:eastAsia="宋体"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3263900</wp:posOffset>
                </wp:positionH>
                <wp:positionV relativeFrom="paragraph">
                  <wp:posOffset>133350</wp:posOffset>
                </wp:positionV>
                <wp:extent cx="378460" cy="6350"/>
                <wp:effectExtent l="0" t="36830" r="2540" b="33020"/>
                <wp:wrapNone/>
                <wp:docPr id="52" name="直接箭头连接符 52"/>
                <wp:cNvGraphicFramePr/>
                <a:graphic xmlns:a="http://schemas.openxmlformats.org/drawingml/2006/main">
                  <a:graphicData uri="http://schemas.microsoft.com/office/word/2010/wordprocessingShape">
                    <wps:wsp>
                      <wps:cNvCnPr/>
                      <wps:spPr>
                        <a:xfrm flipV="1">
                          <a:off x="0" y="0"/>
                          <a:ext cx="37846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7pt;margin-top:10.5pt;height:0.5pt;width:29.8pt;z-index:251663360;mso-width-relative:page;mso-height-relative:page;" filled="f" stroked="t" coordsize="21600,21600" o:gfxdata="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">
                <v:fill on="f" focussize="0,0"/>
                <v:stroke color="#000000 [3213]" joinstyle="round" endarrow="block"/>
                <v:imagedata o:title=""/>
                <o:lock v:ext="edit" aspectratio="f"/>
              </v:shape>
            </w:pict>
          </mc:Fallback>
        </mc:AlternateContent>
      </w: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r>
        <w:rPr>
          <w:rFonts w:ascii="Calibri" w:hAnsi="Calibri" w:eastAsia="宋体"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2064385</wp:posOffset>
                </wp:positionH>
                <wp:positionV relativeFrom="paragraph">
                  <wp:posOffset>29845</wp:posOffset>
                </wp:positionV>
                <wp:extent cx="815975" cy="29273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815975" cy="292735"/>
                        </a:xfrm>
                        <a:prstGeom prst="rect">
                          <a:avLst/>
                        </a:prstGeom>
                        <a:noFill/>
                        <a:ln>
                          <a:noFill/>
                        </a:ln>
                        <a:effectLst/>
                      </wps:spPr>
                      <wps:txbx>
                        <w:txbxContent>
                          <w:p>
                            <w:pPr>
                              <w:rPr>
                                <w:rFonts w:ascii="Calibri" w:hAnsi="Calibri" w:eastAsia="宋体" w:cs="Times New Roman"/>
                                <w:sz w:val="18"/>
                                <w:szCs w:val="18"/>
                              </w:rPr>
                            </w:pPr>
                            <w:r>
                              <w:rPr>
                                <w:rFonts w:hint="eastAsia" w:ascii="Calibri" w:hAnsi="Calibri" w:eastAsia="宋体" w:cs="Times New Roman"/>
                                <w:sz w:val="18"/>
                                <w:szCs w:val="18"/>
                              </w:rPr>
                              <w:t>是</w:t>
                            </w:r>
                          </w:p>
                        </w:txbxContent>
                      </wps:txbx>
                      <wps:bodyPr upright="1">
                        <a:spAutoFit/>
                      </wps:bodyPr>
                    </wps:wsp>
                  </a:graphicData>
                </a:graphic>
              </wp:anchor>
            </w:drawing>
          </mc:Choice>
          <mc:Fallback>
            <w:pict>
              <v:shape id="_x0000_s1026" o:spid="_x0000_s1026" o:spt="202" type="#_x0000_t202" style="position:absolute;left:0pt;margin-left:162.55pt;margin-top:2.35pt;height:23.05pt;width:64.25pt;z-index:251660288;mso-width-relative:page;mso-height-relative:page;" filled="f" stroked="f" coordsize="21600,21600" o:gfxdata="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">
                <v:fill on="f" focussize="0,0"/>
                <v:stroke on="f"/>
                <v:imagedata o:title=""/>
                <o:lock v:ext="edit" aspectratio="f"/>
                <v:textbox style="mso-fit-shape-to-text:t;">
                  <w:txbxContent>
                    <w:p>
                      <w:pPr>
                        <w:rPr>
                          <w:rFonts w:ascii="Calibri" w:hAnsi="Calibri" w:eastAsia="宋体" w:cs="Times New Roman"/>
                          <w:sz w:val="18"/>
                          <w:szCs w:val="18"/>
                        </w:rPr>
                      </w:pPr>
                      <w:r>
                        <w:rPr>
                          <w:rFonts w:hint="eastAsia" w:ascii="Calibri" w:hAnsi="Calibri" w:eastAsia="宋体" w:cs="Times New Roman"/>
                          <w:sz w:val="18"/>
                          <w:szCs w:val="18"/>
                        </w:rPr>
                        <w:t>是</w:t>
                      </w:r>
                    </w:p>
                  </w:txbxContent>
                </v:textbox>
              </v:shape>
            </w:pict>
          </mc:Fallback>
        </mc:AlternateContent>
      </w: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jc w:val="center"/>
        <w:rPr>
          <w:rFonts w:ascii="Calibri" w:hAnsi="Calibri" w:eastAsia="宋体" w:cs="Times New Roman"/>
          <w:color w:val="auto"/>
          <w:sz w:val="24"/>
        </w:rPr>
      </w:pPr>
    </w:p>
    <w:p>
      <w:pPr>
        <w:rPr>
          <w:color w:val="auto"/>
        </w:rPr>
      </w:pPr>
    </w:p>
    <w:p>
      <w:pPr>
        <w:rPr>
          <w:color w:val="auto"/>
        </w:rPr>
      </w:pPr>
    </w:p>
    <w:p>
      <w:pPr>
        <w:rPr>
          <w:color w:val="auto"/>
        </w:rPr>
      </w:pPr>
    </w:p>
    <w:p>
      <w:pPr>
        <w:rPr>
          <w:color w:val="auto"/>
        </w:rPr>
      </w:pPr>
    </w:p>
    <w:p>
      <w:pPr>
        <w:jc w:val="left"/>
        <w:rPr>
          <w:rFonts w:ascii="仿宋_GB2312" w:hAnsi="仿宋_GB2312" w:eastAsia="仿宋_GB2312" w:cs="仿宋_GB2312"/>
          <w:color w:val="auto"/>
          <w:sz w:val="32"/>
          <w:szCs w:val="32"/>
        </w:rPr>
      </w:pPr>
    </w:p>
    <w:p>
      <w:pPr>
        <w:pStyle w:val="2"/>
        <w:rPr>
          <w:color w:val="auto"/>
        </w:rPr>
      </w:pPr>
    </w:p>
    <w:sectPr>
      <w:footerReference r:id="rId3" w:type="default"/>
      <w:pgSz w:w="11906" w:h="16838"/>
      <w:pgMar w:top="1928" w:right="1474" w:bottom="1984" w:left="1587" w:header="851" w:footer="1474"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- 10 -</w:t>
                          </w:r>
                          <w:r>
                            <w:rPr>
                              <w:rFonts w:hint="eastAsia" w:ascii="宋体" w:hAnsi="宋体" w:cs="宋体"/>
                              <w:sz w:val="28"/>
                              <w:szCs w:val="28"/>
                            </w:rP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">
              <v:fill on="f" focussize="0,0"/>
              <v:stroke on="f"/>
              <v:imagedata o:title=""/>
              <o:lock v:ext="edit" aspectratio="f"/>
              <v:textbox inset="0mm,0mm,0mm,0mm" style="mso-fit-shape-to-text:t;">
                <w:txbxContent>
                  <w:p>
                    <w:pPr>
                      <w:pStyle w:val="6"/>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- 10 -</w:t>
                    </w:r>
                    <w:r>
                      <w:rPr>
                        <w:rFonts w:hint="eastAsia" w:ascii="宋体" w:hAnsi="宋体" w:cs="宋体"/>
                        <w:sz w:val="28"/>
                        <w:szCs w:val="28"/>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8E19A7"/>
    <w:rsid w:val="00107093"/>
    <w:rsid w:val="008E19A7"/>
    <w:rsid w:val="00F83487"/>
    <w:rsid w:val="041F20D1"/>
    <w:rsid w:val="0424791F"/>
    <w:rsid w:val="067377D2"/>
    <w:rsid w:val="10482E38"/>
    <w:rsid w:val="17FB2C27"/>
    <w:rsid w:val="1A9D4028"/>
    <w:rsid w:val="1DFC618F"/>
    <w:rsid w:val="1FDD2B0F"/>
    <w:rsid w:val="1FED8A75"/>
    <w:rsid w:val="1FFCC834"/>
    <w:rsid w:val="23020C42"/>
    <w:rsid w:val="2BF9B188"/>
    <w:rsid w:val="2CF5459F"/>
    <w:rsid w:val="2FEFA3AA"/>
    <w:rsid w:val="308C7D26"/>
    <w:rsid w:val="317B6818"/>
    <w:rsid w:val="34EF03FF"/>
    <w:rsid w:val="37BDA64E"/>
    <w:rsid w:val="3F7FFC1D"/>
    <w:rsid w:val="3FF8FEFD"/>
    <w:rsid w:val="453360A1"/>
    <w:rsid w:val="46FEDDD1"/>
    <w:rsid w:val="47654C2C"/>
    <w:rsid w:val="4980344E"/>
    <w:rsid w:val="4DB07082"/>
    <w:rsid w:val="4EFD66BC"/>
    <w:rsid w:val="53D50CFF"/>
    <w:rsid w:val="54DD9299"/>
    <w:rsid w:val="57ACDA4C"/>
    <w:rsid w:val="599261D0"/>
    <w:rsid w:val="5B7BD078"/>
    <w:rsid w:val="5B7F3078"/>
    <w:rsid w:val="5BF590CD"/>
    <w:rsid w:val="5D41020E"/>
    <w:rsid w:val="5F0D55DB"/>
    <w:rsid w:val="5F5F533D"/>
    <w:rsid w:val="5FB15E96"/>
    <w:rsid w:val="5FE708F6"/>
    <w:rsid w:val="5FFB962B"/>
    <w:rsid w:val="63C6D43E"/>
    <w:rsid w:val="63D61CEB"/>
    <w:rsid w:val="64411049"/>
    <w:rsid w:val="65B02611"/>
    <w:rsid w:val="66CF3807"/>
    <w:rsid w:val="67BD1A87"/>
    <w:rsid w:val="68CBB611"/>
    <w:rsid w:val="6AAF71AB"/>
    <w:rsid w:val="6FBB76DF"/>
    <w:rsid w:val="6FBF2BFB"/>
    <w:rsid w:val="6FC21DB9"/>
    <w:rsid w:val="6FF73FF9"/>
    <w:rsid w:val="72C267D6"/>
    <w:rsid w:val="77EFB531"/>
    <w:rsid w:val="79F662F0"/>
    <w:rsid w:val="7AB7AB75"/>
    <w:rsid w:val="7B392EC2"/>
    <w:rsid w:val="7B546A6C"/>
    <w:rsid w:val="7B7FA5AF"/>
    <w:rsid w:val="7BFB5B8B"/>
    <w:rsid w:val="7CF3C3E4"/>
    <w:rsid w:val="7DE71963"/>
    <w:rsid w:val="7E8FA9FB"/>
    <w:rsid w:val="7F3FB88C"/>
    <w:rsid w:val="7F77E994"/>
    <w:rsid w:val="7F96CA2F"/>
    <w:rsid w:val="7F9DA561"/>
    <w:rsid w:val="7FBB1CA9"/>
    <w:rsid w:val="9BCE62D5"/>
    <w:rsid w:val="9DBC67C3"/>
    <w:rsid w:val="BAE6FD8A"/>
    <w:rsid w:val="BBD2B6E8"/>
    <w:rsid w:val="BE5B96AF"/>
    <w:rsid w:val="BEF65DDF"/>
    <w:rsid w:val="BFEB564B"/>
    <w:rsid w:val="C5BB745A"/>
    <w:rsid w:val="CBFFDDD4"/>
    <w:rsid w:val="DDD34731"/>
    <w:rsid w:val="DE9FAD5F"/>
    <w:rsid w:val="DED6B1B3"/>
    <w:rsid w:val="E7AFB7CA"/>
    <w:rsid w:val="EBF7D338"/>
    <w:rsid w:val="EE52DA0A"/>
    <w:rsid w:val="EFEDBFB4"/>
    <w:rsid w:val="EFFB386E"/>
    <w:rsid w:val="F2FE86CF"/>
    <w:rsid w:val="F39A9BA8"/>
    <w:rsid w:val="F7BFC39C"/>
    <w:rsid w:val="F9F94019"/>
    <w:rsid w:val="FB5FC491"/>
    <w:rsid w:val="FBBA5FB3"/>
    <w:rsid w:val="FC77662A"/>
    <w:rsid w:val="FD7FD834"/>
    <w:rsid w:val="FDBF9885"/>
    <w:rsid w:val="FDF7E46D"/>
    <w:rsid w:val="FEBEBF44"/>
    <w:rsid w:val="FF1EBD9F"/>
    <w:rsid w:val="FF7D8DB5"/>
    <w:rsid w:val="FFBFB74C"/>
    <w:rsid w:val="FFC2509F"/>
    <w:rsid w:val="FFDE781D"/>
    <w:rsid w:val="FFE7F609"/>
    <w:rsid w:val="FFFBD89A"/>
    <w:rsid w:val="FFFD0682"/>
    <w:rsid w:val="FFFD4A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kern w:val="2"/>
      <w:sz w:val="21"/>
      <w:szCs w:val="24"/>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cs="Times New Roman"/>
      <w:b/>
      <w:bCs/>
      <w:kern w:val="44"/>
      <w:sz w:val="48"/>
      <w:szCs w:val="4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PlainText"/>
    <w:basedOn w:val="1"/>
    <w:next w:val="3"/>
    <w:qFormat/>
    <w:uiPriority w:val="0"/>
    <w:rPr>
      <w:rFonts w:hAnsi="Courier New"/>
    </w:rPr>
  </w:style>
  <w:style w:type="paragraph" w:customStyle="1" w:styleId="3">
    <w:name w:val="Index8"/>
    <w:basedOn w:val="1"/>
    <w:next w:val="1"/>
    <w:qFormat/>
    <w:uiPriority w:val="0"/>
    <w:pPr>
      <w:ind w:left="2940"/>
    </w:pPr>
    <w:rPr>
      <w:rFonts w:ascii="Times New Roman" w:hAnsi="Times New Roman"/>
    </w:rPr>
  </w:style>
  <w:style w:type="paragraph" w:styleId="5">
    <w:name w:val="Balloon Text"/>
    <w:basedOn w:val="1"/>
    <w:link w:val="15"/>
    <w:qFormat/>
    <w:uiPriority w:val="0"/>
    <w:rPr>
      <w:rFonts w:ascii="宋体"/>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jc w:val="left"/>
    </w:pPr>
    <w:rPr>
      <w:rFonts w:cs="Times New Roman"/>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qFormat/>
    <w:uiPriority w:val="0"/>
    <w:rPr>
      <w:color w:val="0000FF"/>
      <w:u w:val="single"/>
    </w:rPr>
  </w:style>
  <w:style w:type="character" w:customStyle="1" w:styleId="15">
    <w:name w:val="批注框文本 字符"/>
    <w:basedOn w:val="12"/>
    <w:link w:val="5"/>
    <w:qFormat/>
    <w:uiPriority w:val="0"/>
    <w:rPr>
      <w:rFonts w:ascii="宋体" w:hAnsi="Calibri" w:cs="Arial"/>
      <w:kern w:val="2"/>
      <w:sz w:val="18"/>
      <w:szCs w:val="18"/>
    </w:rPr>
  </w:style>
  <w:style w:type="paragraph" w:customStyle="1" w:styleId="16">
    <w:name w:val="Revision"/>
    <w:hidden/>
    <w:semiHidden/>
    <w:qFormat/>
    <w:uiPriority w:val="99"/>
    <w:rPr>
      <w:rFonts w:ascii="Calibri" w:hAnsi="Calibri" w:eastAsia="宋体" w:cs="Arial"/>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2910</Words>
  <Characters>3475</Characters>
  <Lines>12</Lines>
  <Paragraphs>3</Paragraphs>
  <TotalTime>34</TotalTime>
  <ScaleCrop>false</ScaleCrop>
  <LinksUpToDate>false</LinksUpToDate>
  <CharactersWithSpaces>3538</CharactersWithSpaces>
  <Application>WPS Office_11.8.2.11681_F1E327BC-269C-435d-A152-05C5408002CA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2023-02-09T12:04:00Z</dcterms:created>
  <dc:creator>Elva_wong</dc:creator>
  <cp:lastModifiedBy>minwin</cp:lastModifiedBy>
  <cp:lastPrinted>2023-08-13T16:52:00Z</cp:lastPrinted>
  <dcterms:modified xsi:type="dcterms:W3CDTF">2024-11-22T14:26:52Z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2052-11.8.2.11681</vt:lpwstr>
  </property>
  <property fmtid="{D5CDD505-2E9C-101B-9397-08002B2CF9AE}" pid="3" name="ICV">
    <vt:lpwstr>A4E356A95C26C6E178234067B0F261D6</vt:lpwstr>
  </property>
</Properties>
</file>