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方正小标宋简体" w:hAnsi="方正小标宋简体" w:eastAsia="方正小标宋简体" w:cs="方正小标宋简体"/>
          <w:color w:val="auto"/>
          <w:sz w:val="32"/>
          <w:szCs w:val="32"/>
          <w:highlight w:val="none"/>
          <w:lang w:val="en-US" w:eastAsia="zh-CN"/>
        </w:rPr>
      </w:pPr>
      <w:bookmarkStart w:id="0" w:name="_GoBack"/>
      <w:bookmarkEnd w:id="0"/>
      <w:r>
        <w:rPr>
          <w:rFonts w:hint="eastAsia" w:ascii="方正小标宋简体" w:hAnsi="方正小标宋简体" w:eastAsia="方正小标宋简体" w:cs="方正小标宋简体"/>
          <w:color w:val="auto"/>
          <w:sz w:val="32"/>
          <w:szCs w:val="32"/>
          <w:highlight w:val="none"/>
          <w:lang w:val="en-US" w:eastAsia="zh-CN"/>
        </w:rPr>
        <w:t>附件2</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default"/>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napToGrid w:val="0"/>
          <w:kern w:val="0"/>
          <w:sz w:val="44"/>
          <w:szCs w:val="44"/>
          <w:highlight w:val="none"/>
          <w:lang w:eastAsia="zh-Hans"/>
        </w:rPr>
      </w:pPr>
      <w:r>
        <w:rPr>
          <w:rFonts w:hint="eastAsia" w:ascii="方正小标宋简体" w:hAnsi="方正小标宋简体" w:eastAsia="方正小标宋简体" w:cs="方正小标宋简体"/>
          <w:snapToGrid w:val="0"/>
          <w:kern w:val="0"/>
          <w:sz w:val="44"/>
          <w:szCs w:val="44"/>
          <w:highlight w:val="none"/>
          <w:lang w:eastAsia="zh-Hans"/>
        </w:rPr>
        <w:t>《深圳市龙岗区工业和信息化产业发展专项资金关于支持人工智能产业引领高质量发展</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napToGrid w:val="0"/>
          <w:kern w:val="0"/>
          <w:sz w:val="44"/>
          <w:szCs w:val="44"/>
          <w:highlight w:val="none"/>
          <w:lang w:eastAsia="zh-Hans"/>
        </w:rPr>
        <w:t>实施细则》</w:t>
      </w:r>
      <w:r>
        <w:rPr>
          <w:rFonts w:hint="eastAsia" w:ascii="方正小标宋简体" w:hAnsi="方正小标宋简体" w:eastAsia="方正小标宋简体" w:cs="方正小标宋简体"/>
          <w:sz w:val="44"/>
          <w:szCs w:val="44"/>
          <w:highlight w:val="none"/>
        </w:rPr>
        <w:t>起草说明</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color w:val="000000" w:themeColor="text1"/>
          <w:kern w:val="0"/>
          <w:sz w:val="32"/>
          <w:szCs w:val="32"/>
          <w:highlight w:val="none"/>
          <w:lang w:eastAsia="zh-CN" w:bidi="ar"/>
          <w14:textFill>
            <w14:solidFill>
              <w14:schemeClr w14:val="tx1"/>
            </w14:solidFill>
          </w14:textFill>
        </w:rPr>
      </w:pPr>
      <w:r>
        <w:rPr>
          <w:rFonts w:hint="eastAsia" w:ascii="仿宋_GB2312" w:hAnsi="黑体" w:eastAsia="仿宋_GB2312" w:cs="黑体"/>
          <w:color w:val="000000" w:themeColor="text1"/>
          <w:kern w:val="0"/>
          <w:sz w:val="32"/>
          <w:szCs w:val="32"/>
          <w:highlight w:val="none"/>
          <w:lang w:eastAsia="zh-CN" w:bidi="ar"/>
          <w14:textFill>
            <w14:solidFill>
              <w14:schemeClr w14:val="tx1"/>
            </w14:solidFill>
          </w14:textFill>
        </w:rPr>
        <w:t>为推动龙岗区人工智能产业高质量发展，将龙岗打造成为计算产业全球“制高点”、全球人工智能创新性应用“首发地”，全力创建人工智能全域全时应用示范区，</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根据</w:t>
      </w:r>
      <w:r>
        <w:rPr>
          <w:rFonts w:hint="eastAsia" w:ascii="仿宋_GB2312" w:hAnsi="黑体" w:eastAsia="仿宋_GB2312" w:cs="黑体"/>
          <w:color w:val="000000" w:themeColor="text1"/>
          <w:kern w:val="0"/>
          <w:sz w:val="32"/>
          <w:szCs w:val="32"/>
          <w:highlight w:val="none"/>
          <w:lang w:eastAsia="zh-CN" w:bidi="ar"/>
          <w14:textFill>
            <w14:solidFill>
              <w14:schemeClr w14:val="tx1"/>
            </w14:solidFill>
          </w14:textFill>
        </w:rPr>
        <w:t>《深圳市龙岗区创建人工智能全域全时应用示范区的行动方案（2024—2025年）》(深龙府函〔2024〕22号)、《深圳市龙岗区关于支持人工智能产业引领高质量发展</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若干措施（送审稿）</w:t>
      </w:r>
      <w:r>
        <w:rPr>
          <w:rFonts w:hint="eastAsia" w:ascii="仿宋_GB2312" w:hAnsi="黑体" w:eastAsia="仿宋_GB2312" w:cs="黑体"/>
          <w:color w:val="000000" w:themeColor="text1"/>
          <w:kern w:val="0"/>
          <w:sz w:val="32"/>
          <w:szCs w:val="32"/>
          <w:highlight w:val="none"/>
          <w:lang w:eastAsia="zh-CN" w:bidi="ar"/>
          <w14:textFill>
            <w14:solidFill>
              <w14:schemeClr w14:val="tx1"/>
            </w14:solidFill>
          </w14:textFill>
        </w:rPr>
        <w:t>》、《深圳市龙岗区区级财政专项资金管理办法》（深龙府规〔2021〕1号）、《深圳市龙岗区工业和信息化产业发展专项资金管理办法》（深龙工信规〔2022〕5号）等文件要求，</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结合工作实际，区</w:t>
      </w:r>
      <w:r>
        <w:rPr>
          <w:rFonts w:hint="eastAsia" w:ascii="仿宋_GB2312" w:hAnsi="黑体" w:eastAsia="仿宋_GB2312" w:cs="黑体"/>
          <w:color w:val="000000" w:themeColor="text1"/>
          <w:kern w:val="0"/>
          <w:sz w:val="32"/>
          <w:szCs w:val="32"/>
          <w:highlight w:val="none"/>
          <w:lang w:eastAsia="zh-CN" w:bidi="ar"/>
          <w14:textFill>
            <w14:solidFill>
              <w14:schemeClr w14:val="tx1"/>
            </w14:solidFill>
          </w14:textFill>
        </w:rPr>
        <w:t>工业和信息化局经认真组织研究，</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草拟了</w:t>
      </w:r>
      <w:r>
        <w:rPr>
          <w:rFonts w:hint="eastAsia" w:ascii="仿宋_GB2312" w:hAnsi="黑体" w:eastAsia="仿宋_GB2312" w:cs="黑体"/>
          <w:color w:val="000000" w:themeColor="text1"/>
          <w:kern w:val="0"/>
          <w:sz w:val="32"/>
          <w:szCs w:val="32"/>
          <w:highlight w:val="none"/>
          <w:lang w:eastAsia="zh-CN" w:bidi="ar"/>
          <w14:textFill>
            <w14:solidFill>
              <w14:schemeClr w14:val="tx1"/>
            </w14:solidFill>
          </w14:textFill>
        </w:rPr>
        <w:t>《深圳市龙岗区关于支持人工智能产业引领高质量发展实施细则》（以下简称《实施细则》）。现就</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起草情况</w:t>
      </w:r>
      <w:r>
        <w:rPr>
          <w:rFonts w:hint="eastAsia" w:ascii="仿宋_GB2312" w:hAnsi="黑体" w:eastAsia="仿宋_GB2312" w:cs="黑体"/>
          <w:color w:val="000000" w:themeColor="text1"/>
          <w:kern w:val="0"/>
          <w:sz w:val="32"/>
          <w:szCs w:val="32"/>
          <w:highlight w:val="none"/>
          <w:lang w:eastAsia="zh-CN" w:bidi="ar"/>
          <w14:textFill>
            <w14:solidFill>
              <w14:schemeClr w14:val="tx1"/>
            </w14:solidFill>
          </w14:textFill>
        </w:rPr>
        <w:t>说明如下：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编制</w:t>
      </w:r>
      <w:r>
        <w:rPr>
          <w:rFonts w:hint="eastAsia" w:ascii="黑体" w:hAnsi="黑体" w:eastAsia="黑体" w:cs="黑体"/>
          <w:sz w:val="32"/>
          <w:szCs w:val="32"/>
          <w:highlight w:val="none"/>
        </w:rPr>
        <w:t>背景</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黑体" w:eastAsia="仿宋_GB2312" w:cs="黑体"/>
          <w:color w:val="000000" w:themeColor="text1"/>
          <w:kern w:val="0"/>
          <w:sz w:val="32"/>
          <w:szCs w:val="32"/>
          <w:highlight w:val="none"/>
          <w:lang w:eastAsia="zh-CN" w:bidi="ar"/>
          <w14:textFill>
            <w14:solidFill>
              <w14:schemeClr w14:val="tx1"/>
            </w14:solidFill>
          </w14:textFill>
        </w:rPr>
      </w:pPr>
      <w:r>
        <w:rPr>
          <w:rFonts w:hint="eastAsia" w:ascii="仿宋_GB2312" w:hAnsi="黑体" w:eastAsia="仿宋_GB2312" w:cs="黑体"/>
          <w:b/>
          <w:bCs/>
          <w:color w:val="000000" w:themeColor="text1"/>
          <w:kern w:val="0"/>
          <w:sz w:val="32"/>
          <w:szCs w:val="32"/>
          <w:highlight w:val="none"/>
          <w:lang w:eastAsia="zh-CN" w:bidi="ar"/>
          <w14:textFill>
            <w14:solidFill>
              <w14:schemeClr w14:val="tx1"/>
            </w14:solidFill>
          </w14:textFill>
        </w:rPr>
        <w:t>（</w:t>
      </w: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一</w:t>
      </w:r>
      <w:r>
        <w:rPr>
          <w:rFonts w:hint="eastAsia" w:ascii="仿宋_GB2312" w:hAnsi="黑体" w:eastAsia="仿宋_GB2312" w:cs="黑体"/>
          <w:b/>
          <w:bCs/>
          <w:color w:val="000000" w:themeColor="text1"/>
          <w:kern w:val="0"/>
          <w:sz w:val="32"/>
          <w:szCs w:val="32"/>
          <w:highlight w:val="none"/>
          <w:lang w:eastAsia="zh-CN" w:bidi="ar"/>
          <w14:textFill>
            <w14:solidFill>
              <w14:schemeClr w14:val="tx1"/>
            </w14:solidFill>
          </w14:textFill>
        </w:rPr>
        <w:t>）</w:t>
      </w: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落实国家发展新一代人工智能的决策部署。</w:t>
      </w:r>
      <w:r>
        <w:rPr>
          <w:rFonts w:hint="default" w:ascii="仿宋_GB2312" w:hAnsi="黑体" w:eastAsia="仿宋_GB2312" w:cs="黑体"/>
          <w:color w:val="000000" w:themeColor="text1"/>
          <w:kern w:val="0"/>
          <w:sz w:val="32"/>
          <w:szCs w:val="32"/>
          <w:highlight w:val="none"/>
          <w:lang w:eastAsia="zh-CN" w:bidi="ar"/>
          <w14:textFill>
            <w14:solidFill>
              <w14:schemeClr w14:val="tx1"/>
            </w14:solidFill>
          </w14:textFill>
        </w:rPr>
        <w:t>习近平总书记指出，加快发展新一代人工智能是我们赢得全球科技竞争主动权的重要战略抓手，是推动我国科技跨越发展、产业优化升级、生产力整体跃升的重要战略资源。随着人工智能技术的发展，以AI推动生产力整体跃升、加快形成新质生产力的路径越发明晰。疏通当前AI产业发展存在的堵点，对于加快发展新质生产力、推动我国经济社会高质量发展具有重要意义。</w:t>
      </w:r>
    </w:p>
    <w:p>
      <w:pPr>
        <w:pStyle w:val="5"/>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黑体" w:eastAsia="仿宋_GB2312" w:cs="黑体"/>
          <w:b/>
          <w:bCs/>
          <w:color w:val="000000" w:themeColor="text1"/>
          <w:kern w:val="0"/>
          <w:sz w:val="32"/>
          <w:szCs w:val="32"/>
          <w:highlight w:val="none"/>
          <w:lang w:eastAsia="zh-CN" w:bidi="ar"/>
          <w14:textFill>
            <w14:solidFill>
              <w14:schemeClr w14:val="tx1"/>
            </w14:solidFill>
          </w14:textFill>
        </w:rPr>
        <w:t>（</w:t>
      </w: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二</w:t>
      </w:r>
      <w:r>
        <w:rPr>
          <w:rFonts w:hint="eastAsia" w:ascii="仿宋_GB2312" w:hAnsi="黑体" w:eastAsia="仿宋_GB2312" w:cs="黑体"/>
          <w:b/>
          <w:bCs/>
          <w:color w:val="000000" w:themeColor="text1"/>
          <w:kern w:val="0"/>
          <w:sz w:val="32"/>
          <w:szCs w:val="32"/>
          <w:highlight w:val="none"/>
          <w:lang w:eastAsia="zh-CN" w:bidi="ar"/>
          <w14:textFill>
            <w14:solidFill>
              <w14:schemeClr w14:val="tx1"/>
            </w14:solidFill>
          </w14:textFill>
        </w:rPr>
        <w:t>）</w:t>
      </w: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夯实龙岗人工智能领域领先优势。</w:t>
      </w:r>
      <w:r>
        <w:rPr>
          <w:rFonts w:hint="default" w:ascii="仿宋_GB2312" w:hAnsi="黑体" w:eastAsia="仿宋_GB2312" w:cs="黑体"/>
          <w:color w:val="000000" w:themeColor="text1"/>
          <w:kern w:val="0"/>
          <w:sz w:val="32"/>
          <w:szCs w:val="32"/>
          <w:highlight w:val="none"/>
          <w:lang w:eastAsia="zh-CN" w:bidi="ar"/>
          <w14:textFill>
            <w14:solidFill>
              <w14:schemeClr w14:val="tx1"/>
            </w14:solidFill>
          </w14:textFill>
        </w:rPr>
        <w:t>2023年5月，</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深圳市出台《深圳市加快推动人工智能高质量发展高水平应用行动方案（2023-2024年）》，旨在通过政策支持和产业引导，打造人工智能先锋城市。</w:t>
      </w:r>
      <w:r>
        <w:rPr>
          <w:rFonts w:hint="default" w:ascii="仿宋_GB2312" w:hAnsi="黑体" w:eastAsia="仿宋_GB2312" w:cs="黑体"/>
          <w:color w:val="000000" w:themeColor="text1"/>
          <w:kern w:val="0"/>
          <w:sz w:val="32"/>
          <w:szCs w:val="32"/>
          <w:highlight w:val="none"/>
          <w:lang w:eastAsia="zh-CN" w:bidi="ar"/>
          <w14:textFill>
            <w14:solidFill>
              <w14:schemeClr w14:val="tx1"/>
            </w14:solidFill>
          </w14:textFill>
        </w:rPr>
        <w:t>龙</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岗</w:t>
      </w:r>
      <w:r>
        <w:rPr>
          <w:rFonts w:hint="default" w:ascii="仿宋_GB2312" w:hAnsi="黑体" w:eastAsia="仿宋_GB2312" w:cs="黑体"/>
          <w:color w:val="000000" w:themeColor="text1"/>
          <w:kern w:val="0"/>
          <w:sz w:val="32"/>
          <w:szCs w:val="32"/>
          <w:highlight w:val="none"/>
          <w:lang w:eastAsia="zh-CN" w:bidi="ar"/>
          <w14:textFill>
            <w14:solidFill>
              <w14:schemeClr w14:val="tx1"/>
            </w14:solidFill>
          </w14:textFill>
        </w:rPr>
        <w:t>区</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是全市人工智能产业集群重点布局区之一，区内已全产业链集聚人工智能企业200余家，以华为、云天励飞引领全栈布局，已全链布局人工智能芯片、模型、硬件和应用，2024年一季度人工智能产业集群增加值</w:t>
      </w:r>
      <w:r>
        <w:rPr>
          <w:rFonts w:hint="default" w:ascii="仿宋_GB2312" w:hAnsi="黑体" w:eastAsia="仿宋_GB2312" w:cs="黑体"/>
          <w:color w:val="000000" w:themeColor="text1"/>
          <w:kern w:val="0"/>
          <w:sz w:val="32"/>
          <w:szCs w:val="32"/>
          <w:highlight w:val="none"/>
          <w:lang w:eastAsia="zh-CN" w:bidi="ar"/>
          <w14:textFill>
            <w14:solidFill>
              <w14:schemeClr w14:val="tx1"/>
            </w14:solidFill>
          </w14:textFill>
        </w:rPr>
        <w:t>约</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9.58亿元。在产业扶持政策方面，南山、前海等兄弟区已率先出台人工智能专项政策，重点扶持辖区内人工智能企业，相较之下，我区需加快出台专项政策，持续夯实龙岗在人工智能领域的领先优势。</w:t>
      </w:r>
    </w:p>
    <w:p>
      <w:pPr>
        <w:pStyle w:val="5"/>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color w:val="0000FF"/>
          <w:highlight w:val="none"/>
          <w:lang w:val="en-US" w:eastAsia="zh-CN"/>
        </w:rPr>
      </w:pP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（三）锚定龙岗人工智能重点发力方向。</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为推动人工智能高质量发展和全域全时高水平应用，本措施进一步聚焦三大发力方向：</w:t>
      </w: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一是</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聚焦视觉大模型，全力做强视觉大模型，加快视觉感知、视觉认知等核心技术布局，做优“视觉+”的智能硬件，做大“+视觉”行业应用，打造“视觉+”先锋城区。</w:t>
      </w: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二是</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聚焦算力，突破要素供给瓶颈，围绕算力供应建立全区数据世界的产业空间，引导运营商及企业加快智能算力基础建设。</w:t>
      </w: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三是</w:t>
      </w:r>
      <w:r>
        <w:rPr>
          <w:rFonts w:hint="eastAsia" w:ascii="仿宋_GB2312" w:hAnsi="黑体" w:eastAsia="仿宋_GB2312" w:cs="黑体"/>
          <w:color w:val="000000" w:themeColor="text1"/>
          <w:kern w:val="0"/>
          <w:sz w:val="32"/>
          <w:szCs w:val="32"/>
          <w:highlight w:val="none"/>
          <w:lang w:val="en-US" w:eastAsia="zh-CN" w:bidi="ar"/>
          <w14:textFill>
            <w14:solidFill>
              <w14:schemeClr w14:val="tx1"/>
            </w14:solidFill>
          </w14:textFill>
        </w:rPr>
        <w:t>聚焦产业生态，推动“孵化基地+专业社区+专业园区+集聚片区”递进式集聚布局，推动政府产业基金与市场化基金联动。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sz w:val="32"/>
          <w:szCs w:val="32"/>
          <w:highlight w:val="none"/>
        </w:rPr>
        <w:t>起草依据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贯彻落实</w:t>
      </w:r>
      <w:r>
        <w:rPr>
          <w:rFonts w:hint="eastAsia" w:ascii="仿宋_GB2312" w:hAnsi="仿宋_GB2312" w:eastAsia="仿宋_GB2312" w:cs="仿宋_GB2312"/>
          <w:b w:val="0"/>
          <w:bCs w:val="0"/>
          <w:kern w:val="2"/>
          <w:sz w:val="32"/>
          <w:szCs w:val="32"/>
          <w:highlight w:val="none"/>
          <w:lang w:val="en-US" w:eastAsia="zh-CN" w:bidi="ar-SA"/>
        </w:rPr>
        <w:t>《广东省人民政府关于加快建设通用人工智能产业创新引领地的实施意见》</w:t>
      </w:r>
      <w:r>
        <w:rPr>
          <w:rFonts w:hint="default" w:ascii="仿宋_GB2312" w:hAnsi="仿宋_GB2312" w:eastAsia="仿宋_GB2312" w:cs="仿宋_GB2312"/>
          <w:b w:val="0"/>
          <w:bCs w:val="0"/>
          <w:kern w:val="2"/>
          <w:sz w:val="32"/>
          <w:szCs w:val="32"/>
          <w:highlight w:val="none"/>
          <w:lang w:eastAsia="zh-CN" w:bidi="ar-SA"/>
        </w:rPr>
        <w:t>（粤府〔2023〕90号）、</w:t>
      </w:r>
      <w:r>
        <w:rPr>
          <w:rFonts w:hint="eastAsia" w:ascii="仿宋_GB2312" w:hAnsi="仿宋_GB2312" w:eastAsia="仿宋_GB2312" w:cs="仿宋_GB2312"/>
          <w:b w:val="0"/>
          <w:bCs w:val="0"/>
          <w:kern w:val="2"/>
          <w:sz w:val="32"/>
          <w:szCs w:val="32"/>
          <w:highlight w:val="none"/>
          <w:lang w:val="en-US" w:eastAsia="zh-CN" w:bidi="ar-SA"/>
        </w:rPr>
        <w:t>《深圳市加快推动人工智能高质量发展高水平应用行动方案（2023-2024年）》</w:t>
      </w:r>
      <w:r>
        <w:rPr>
          <w:rFonts w:hint="eastAsia" w:ascii="仿宋_GB2312" w:hAnsi="仿宋_GB2312" w:eastAsia="仿宋_GB2312" w:cs="仿宋_GB2312"/>
          <w:sz w:val="32"/>
          <w:szCs w:val="32"/>
          <w:highlight w:val="none"/>
          <w:lang w:val="en-US" w:eastAsia="zh-CN"/>
        </w:rPr>
        <w:t>等文件精神和要求；</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根据</w:t>
      </w:r>
      <w:r>
        <w:rPr>
          <w:rFonts w:hint="eastAsia" w:ascii="仿宋_GB2312" w:hAnsi="宋体" w:eastAsia="仿宋_GB2312"/>
          <w:b w:val="0"/>
          <w:bCs w:val="0"/>
          <w:spacing w:val="-2"/>
          <w:sz w:val="32"/>
          <w:szCs w:val="32"/>
          <w:highlight w:val="none"/>
        </w:rPr>
        <w:t>《深圳市龙岗区创建人工智能全域全时应用示范区的行动方案（2024</w:t>
      </w:r>
      <w:r>
        <w:rPr>
          <w:rFonts w:hint="eastAsia" w:ascii="仿宋_GB2312" w:hAnsi="宋体" w:eastAsia="仿宋_GB2312"/>
          <w:b w:val="0"/>
          <w:bCs w:val="0"/>
          <w:spacing w:val="-2"/>
          <w:sz w:val="32"/>
          <w:szCs w:val="32"/>
          <w:highlight w:val="none"/>
          <w:lang w:eastAsia="zh-CN"/>
        </w:rPr>
        <w:t>—</w:t>
      </w:r>
      <w:r>
        <w:rPr>
          <w:rFonts w:hint="eastAsia" w:ascii="仿宋_GB2312" w:hAnsi="宋体" w:eastAsia="仿宋_GB2312"/>
          <w:b w:val="0"/>
          <w:bCs w:val="0"/>
          <w:spacing w:val="-2"/>
          <w:sz w:val="32"/>
          <w:szCs w:val="32"/>
          <w:highlight w:val="none"/>
        </w:rPr>
        <w:t>2025年）》</w:t>
      </w:r>
      <w:r>
        <w:rPr>
          <w:rFonts w:hint="eastAsia" w:ascii="仿宋_GB2312" w:hAnsi="仿宋_GB2312" w:eastAsia="仿宋_GB2312" w:cs="仿宋_GB2312"/>
          <w:sz w:val="32"/>
          <w:szCs w:val="32"/>
          <w:highlight w:val="none"/>
        </w:rPr>
        <w:t>（深龙府</w:t>
      </w:r>
      <w:r>
        <w:rPr>
          <w:rFonts w:hint="default" w:ascii="仿宋_GB2312" w:hAnsi="仿宋_GB2312" w:eastAsia="仿宋_GB2312" w:cs="仿宋_GB2312"/>
          <w:sz w:val="32"/>
          <w:szCs w:val="32"/>
          <w:highlight w:val="none"/>
        </w:rPr>
        <w:t>函</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22</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《深圳市龙岗区关于支持人工智能产业引领高质量发展若干措施（送审稿）》</w:t>
      </w:r>
      <w:r>
        <w:rPr>
          <w:rFonts w:hint="eastAsia" w:ascii="仿宋_GB2312" w:hAnsi="仿宋_GB2312" w:eastAsia="仿宋_GB2312" w:cs="仿宋_GB2312"/>
          <w:sz w:val="32"/>
          <w:szCs w:val="32"/>
          <w:highlight w:val="none"/>
          <w:lang w:val="en-US" w:eastAsia="zh-CN"/>
        </w:rPr>
        <w:t>文件要求，明确政策扶持的重点方向，加快落地见效；</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依据</w:t>
      </w:r>
      <w:r>
        <w:rPr>
          <w:rFonts w:hint="eastAsia" w:ascii="仿宋_GB2312" w:hAnsi="仿宋_GB2312" w:eastAsia="仿宋_GB2312" w:cs="仿宋_GB2312"/>
          <w:sz w:val="32"/>
          <w:szCs w:val="32"/>
          <w:highlight w:val="none"/>
        </w:rPr>
        <w:t>《深圳市龙岗区区级财政专项资金管理办法》（深龙府规〔2021〕1号）</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《深圳市龙岗区工业和信息化产业发展专项资金管理办法》</w:t>
      </w:r>
      <w:r>
        <w:rPr>
          <w:rFonts w:hint="default" w:ascii="仿宋_GB2312" w:hAnsi="仿宋_GB2312" w:eastAsia="仿宋_GB2312" w:cs="仿宋_GB2312"/>
          <w:sz w:val="32"/>
          <w:szCs w:val="32"/>
          <w:highlight w:val="none"/>
        </w:rPr>
        <w:t>（深龙工信规〔2022〕5号）</w:t>
      </w:r>
      <w:r>
        <w:rPr>
          <w:rFonts w:hint="eastAsia" w:ascii="仿宋_GB2312" w:hAnsi="仿宋_GB2312" w:eastAsia="仿宋_GB2312" w:cs="仿宋_GB2312"/>
          <w:sz w:val="32"/>
          <w:szCs w:val="32"/>
          <w:highlight w:val="none"/>
          <w:lang w:val="en-US" w:eastAsia="zh-CN"/>
        </w:rPr>
        <w:t>等文件要求，</w:t>
      </w:r>
      <w:r>
        <w:rPr>
          <w:rFonts w:hint="eastAsia" w:ascii="仿宋_GB2312" w:hAnsi="仿宋_GB2312" w:eastAsia="仿宋_GB2312" w:cs="仿宋_GB2312"/>
          <w:sz w:val="32"/>
          <w:szCs w:val="32"/>
          <w:highlight w:val="none"/>
        </w:rPr>
        <w:t>起草</w:t>
      </w:r>
      <w:r>
        <w:rPr>
          <w:rFonts w:hint="eastAsia" w:ascii="仿宋_GB2312" w:hAnsi="仿宋_GB2312" w:eastAsia="仿宋_GB2312" w:cs="仿宋_GB2312"/>
          <w:sz w:val="32"/>
          <w:szCs w:val="32"/>
          <w:highlight w:val="none"/>
          <w:lang w:val="en-US" w:eastAsia="zh-CN"/>
        </w:rPr>
        <w:t>《实施细则》</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default" w:ascii="黑体" w:hAnsi="黑体" w:eastAsia="黑体" w:cs="黑体"/>
          <w:sz w:val="32"/>
          <w:szCs w:val="32"/>
          <w:highlight w:val="none"/>
        </w:rPr>
        <w:t>三、</w:t>
      </w:r>
      <w:r>
        <w:rPr>
          <w:rFonts w:hint="eastAsia" w:ascii="黑体" w:hAnsi="黑体" w:eastAsia="黑体" w:cs="黑体"/>
          <w:sz w:val="32"/>
          <w:szCs w:val="32"/>
          <w:highlight w:val="none"/>
        </w:rPr>
        <w:t>起草过程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kern w:val="2"/>
          <w:sz w:val="32"/>
          <w:szCs w:val="32"/>
          <w:highlight w:val="none"/>
          <w:lang w:val="en-US" w:eastAsia="zh-CN"/>
        </w:rPr>
      </w:pPr>
      <w:r>
        <w:rPr>
          <w:rFonts w:hint="eastAsia" w:ascii="楷体_GB2312" w:hAnsi="楷体_GB2312" w:eastAsia="楷体_GB2312" w:cs="楷体_GB2312"/>
          <w:b/>
          <w:bCs/>
          <w:sz w:val="32"/>
          <w:szCs w:val="32"/>
          <w:highlight w:val="none"/>
        </w:rPr>
        <w:t>（一）调研走访情况：</w:t>
      </w:r>
      <w:r>
        <w:rPr>
          <w:rFonts w:hint="eastAsia" w:ascii="仿宋_GB2312" w:hAnsi="仿宋_GB2312" w:eastAsia="仿宋_GB2312" w:cs="Times New Roman"/>
          <w:sz w:val="32"/>
          <w:szCs w:val="32"/>
          <w:highlight w:val="none"/>
        </w:rPr>
        <w:t>根据</w:t>
      </w:r>
      <w:r>
        <w:rPr>
          <w:rFonts w:hint="default" w:ascii="仿宋_GB2312" w:hAnsi="仿宋_GB2312" w:eastAsia="仿宋_GB2312" w:cs="Times New Roman"/>
          <w:sz w:val="32"/>
          <w:szCs w:val="32"/>
          <w:highlight w:val="none"/>
        </w:rPr>
        <w:t>锡权书记、</w:t>
      </w:r>
      <w:r>
        <w:rPr>
          <w:rFonts w:hint="eastAsia" w:ascii="仿宋_GB2312" w:hAnsi="仿宋_GB2312" w:eastAsia="仿宋_GB2312" w:cs="Times New Roman"/>
          <w:sz w:val="32"/>
          <w:szCs w:val="32"/>
          <w:highlight w:val="none"/>
        </w:rPr>
        <w:t>策飞区长、平原副区长的指示要求，</w:t>
      </w:r>
      <w:r>
        <w:rPr>
          <w:rFonts w:hint="eastAsia" w:ascii="仿宋_GB2312" w:hAnsi="仿宋_GB2312" w:eastAsia="仿宋_GB2312" w:cs="仿宋_GB2312"/>
          <w:color w:val="auto"/>
          <w:kern w:val="2"/>
          <w:sz w:val="32"/>
          <w:szCs w:val="32"/>
          <w:highlight w:val="none"/>
          <w:lang w:val="en-US" w:eastAsia="zh-CN"/>
        </w:rPr>
        <w:t>区工业和信息化局结合《深圳市龙岗区关于支持人工智能产业引领高质量发展若干措施》（以下简称《若干措施》）的编制工作，同期开展《实施细则》的梳理研究工作。于3月20日向社会公开征集人工智能应用场景，</w:t>
      </w:r>
      <w:r>
        <w:rPr>
          <w:rFonts w:hint="default" w:ascii="仿宋_GB2312" w:hAnsi="仿宋_GB2312" w:eastAsia="仿宋_GB2312" w:cs="仿宋_GB2312"/>
          <w:color w:val="auto"/>
          <w:kern w:val="2"/>
          <w:sz w:val="32"/>
          <w:szCs w:val="32"/>
          <w:highlight w:val="none"/>
          <w:lang w:eastAsia="zh-CN"/>
        </w:rPr>
        <w:t>收集企业反馈诉求；</w:t>
      </w:r>
      <w:r>
        <w:rPr>
          <w:rFonts w:hint="eastAsia" w:ascii="仿宋_GB2312" w:hAnsi="仿宋_GB2312" w:eastAsia="仿宋_GB2312" w:cs="仿宋_GB2312"/>
          <w:color w:val="auto"/>
          <w:kern w:val="2"/>
          <w:sz w:val="32"/>
          <w:szCs w:val="32"/>
          <w:highlight w:val="none"/>
          <w:lang w:val="en-US" w:eastAsia="zh-CN"/>
        </w:rPr>
        <w:t>4月10日实地走访深圳市大数据研究院</w:t>
      </w:r>
      <w:r>
        <w:rPr>
          <w:rFonts w:hint="default"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5月15日再次公开征集人工智能应用场景及算力需求</w:t>
      </w:r>
      <w:r>
        <w:rPr>
          <w:rFonts w:hint="default"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5月22日与云天励飞等区内多家人工智能企业机构和社会团体开展座谈，8月1日与市软件、人工智能协会以及华为等多家人工智能企业机构和社会团体开展座谈，广泛听取人工智能各类创新和产业主体的相关意见和建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sz w:val="32"/>
          <w:szCs w:val="32"/>
          <w:highlight w:val="none"/>
        </w:rPr>
      </w:pPr>
      <w:r>
        <w:rPr>
          <w:rFonts w:hint="eastAsia" w:ascii="楷体_GB2312" w:hAnsi="楷体_GB2312" w:eastAsia="楷体_GB2312" w:cs="楷体_GB2312"/>
          <w:b/>
          <w:bCs/>
          <w:sz w:val="32"/>
          <w:szCs w:val="32"/>
          <w:highlight w:val="none"/>
        </w:rPr>
        <w:t>（二）文稿起草情况：</w:t>
      </w:r>
      <w:r>
        <w:rPr>
          <w:rFonts w:hint="eastAsia" w:ascii="仿宋_GB2312" w:hAnsi="仿宋_GB2312" w:eastAsia="仿宋_GB2312" w:cs="Times New Roman"/>
          <w:sz w:val="32"/>
          <w:szCs w:val="32"/>
          <w:highlight w:val="none"/>
        </w:rPr>
        <w:t>区工业和信息化局</w:t>
      </w:r>
      <w:r>
        <w:rPr>
          <w:rFonts w:hint="eastAsia" w:ascii="仿宋_GB2312" w:hAnsi="仿宋_GB2312" w:eastAsia="仿宋_GB2312" w:cs="Times New Roman"/>
          <w:sz w:val="32"/>
          <w:szCs w:val="32"/>
          <w:highlight w:val="none"/>
          <w:lang w:val="en-US" w:eastAsia="zh-CN"/>
        </w:rPr>
        <w:t>结合《若干措施》内容，</w:t>
      </w:r>
      <w:r>
        <w:rPr>
          <w:rFonts w:hint="default" w:ascii="仿宋_GB2312" w:hAnsi="仿宋_GB2312" w:eastAsia="仿宋_GB2312" w:cs="Times New Roman"/>
          <w:sz w:val="32"/>
          <w:szCs w:val="32"/>
          <w:highlight w:val="none"/>
        </w:rPr>
        <w:t>于2024年</w:t>
      </w:r>
      <w:r>
        <w:rPr>
          <w:rFonts w:hint="eastAsia" w:ascii="仿宋_GB2312" w:hAnsi="Calibri"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月</w:t>
      </w:r>
      <w:r>
        <w:rPr>
          <w:rFonts w:hint="eastAsia" w:ascii="仿宋_GB2312" w:hAnsi="Calibri" w:eastAsia="仿宋_GB2312" w:cs="Times New Roman"/>
          <w:sz w:val="32"/>
          <w:szCs w:val="32"/>
          <w:highlight w:val="none"/>
          <w:lang w:val="en-US" w:eastAsia="zh-CN"/>
        </w:rPr>
        <w:t>7</w:t>
      </w:r>
      <w:r>
        <w:rPr>
          <w:rFonts w:hint="eastAsia" w:ascii="仿宋_GB2312" w:hAnsi="Calibri" w:eastAsia="仿宋_GB2312" w:cs="Times New Roman"/>
          <w:sz w:val="32"/>
          <w:szCs w:val="32"/>
          <w:highlight w:val="none"/>
        </w:rPr>
        <w:t>日形成</w:t>
      </w:r>
      <w:r>
        <w:rPr>
          <w:rFonts w:hint="eastAsia" w:ascii="仿宋_GB2312" w:hAnsi="Calibri" w:eastAsia="仿宋_GB2312" w:cs="Times New Roman"/>
          <w:sz w:val="32"/>
          <w:szCs w:val="32"/>
          <w:highlight w:val="none"/>
          <w:lang w:eastAsia="zh-CN"/>
        </w:rPr>
        <w:t>《</w:t>
      </w:r>
      <w:r>
        <w:rPr>
          <w:rFonts w:hint="eastAsia" w:ascii="仿宋_GB2312" w:hAnsi="Calibri" w:eastAsia="仿宋_GB2312" w:cs="Times New Roman"/>
          <w:sz w:val="32"/>
          <w:szCs w:val="32"/>
          <w:highlight w:val="none"/>
          <w:lang w:val="en-US" w:eastAsia="zh-CN"/>
        </w:rPr>
        <w:t>实施细则</w:t>
      </w:r>
      <w:r>
        <w:rPr>
          <w:rFonts w:hint="eastAsia" w:ascii="仿宋_GB2312" w:hAnsi="Calibri" w:eastAsia="仿宋_GB2312" w:cs="Times New Roman"/>
          <w:sz w:val="32"/>
          <w:szCs w:val="32"/>
          <w:highlight w:val="none"/>
          <w:lang w:eastAsia="zh-CN"/>
        </w:rPr>
        <w:t>》</w:t>
      </w:r>
      <w:r>
        <w:rPr>
          <w:rFonts w:hint="eastAsia" w:ascii="仿宋_GB2312" w:hAnsi="Calibri" w:eastAsia="仿宋_GB2312" w:cs="Times New Roman"/>
          <w:sz w:val="32"/>
          <w:szCs w:val="32"/>
          <w:highlight w:val="none"/>
          <w:lang w:val="en-US" w:eastAsia="zh-CN"/>
        </w:rPr>
        <w:t>草拟稿，结合专项政策编制工作，多次</w:t>
      </w:r>
      <w:r>
        <w:rPr>
          <w:rFonts w:hint="eastAsia" w:ascii="仿宋_GB2312" w:hAnsi="仿宋_GB2312" w:eastAsia="仿宋_GB2312" w:cs="仿宋_GB2312"/>
          <w:color w:val="auto"/>
          <w:kern w:val="2"/>
          <w:sz w:val="32"/>
          <w:szCs w:val="32"/>
          <w:highlight w:val="none"/>
          <w:lang w:val="en-US" w:eastAsia="zh-CN"/>
        </w:rPr>
        <w:t>与龙头企业、研究机构开展座谈沟通，综合采纳相关意见建议，经综合研究完善，于6月24日形成《实施细则》初稿。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sz w:val="32"/>
          <w:szCs w:val="32"/>
          <w:highlight w:val="none"/>
        </w:rPr>
      </w:pPr>
      <w:r>
        <w:rPr>
          <w:rFonts w:hint="eastAsia" w:ascii="楷体_GB2312" w:hAnsi="楷体_GB2312" w:eastAsia="楷体_GB2312" w:cs="楷体_GB2312"/>
          <w:b/>
          <w:bCs/>
          <w:sz w:val="32"/>
          <w:szCs w:val="32"/>
          <w:highlight w:val="none"/>
        </w:rPr>
        <w:t>（三）集体研究情况：</w:t>
      </w:r>
      <w:r>
        <w:rPr>
          <w:rFonts w:hint="eastAsia" w:ascii="仿宋_GB2312" w:hAnsi="仿宋_GB2312" w:eastAsia="仿宋_GB2312" w:cs="仿宋_GB2312"/>
          <w:color w:val="auto"/>
          <w:kern w:val="2"/>
          <w:sz w:val="32"/>
          <w:szCs w:val="32"/>
          <w:highlight w:val="none"/>
          <w:lang w:val="en-US" w:eastAsia="zh-CN"/>
        </w:rPr>
        <w:t>分管区领导平原同志从3月26日起，多次召开一次专题会议进行研究，6月28日起，结合每周召开的“人工智能+数据要素×”联席会议机制，数次对制定完善《若干措施》提出了意见建议。期间，我局局领导多次组织研究修订完善，于7月末形成《实施细则》征求意见稿</w:t>
      </w:r>
      <w:r>
        <w:rPr>
          <w:rFonts w:hint="eastAsia" w:ascii="仿宋_GB2312" w:hAnsi="仿宋_GB2312" w:eastAsia="仿宋_GB2312" w:cs="仿宋_GB2312"/>
          <w:color w:val="auto"/>
          <w:kern w:val="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仿宋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（四）征求意见情况：</w:t>
      </w:r>
      <w:r>
        <w:rPr>
          <w:rFonts w:hint="default" w:ascii="仿宋_GB2312" w:hAnsi="Calibri" w:eastAsia="仿宋_GB2312" w:cs="Times New Roman"/>
          <w:sz w:val="32"/>
          <w:szCs w:val="32"/>
          <w:highlight w:val="none"/>
        </w:rPr>
        <w:t>2024年</w:t>
      </w:r>
      <w:r>
        <w:rPr>
          <w:rFonts w:hint="eastAsia" w:ascii="仿宋_GB2312" w:hAnsi="Calibri" w:eastAsia="仿宋_GB2312" w:cs="Times New Roman"/>
          <w:sz w:val="32"/>
          <w:szCs w:val="32"/>
          <w:highlight w:val="none"/>
          <w:lang w:val="en-US" w:eastAsia="zh-CN"/>
        </w:rPr>
        <w:t>8</w:t>
      </w:r>
      <w:r>
        <w:rPr>
          <w:rFonts w:hint="eastAsia" w:ascii="仿宋_GB2312" w:hAnsi="Calibri" w:eastAsia="仿宋_GB2312" w:cs="Times New Roman"/>
          <w:sz w:val="32"/>
          <w:szCs w:val="32"/>
          <w:highlight w:val="none"/>
        </w:rPr>
        <w:t>月</w:t>
      </w:r>
      <w:r>
        <w:rPr>
          <w:rFonts w:hint="eastAsia" w:ascii="仿宋_GB2312" w:hAnsi="Calibri" w:eastAsia="仿宋_GB2312" w:cs="Times New Roman"/>
          <w:sz w:val="32"/>
          <w:szCs w:val="32"/>
          <w:highlight w:val="none"/>
          <w:lang w:val="en-US" w:eastAsia="zh-CN"/>
        </w:rPr>
        <w:t>2</w:t>
      </w:r>
      <w:r>
        <w:rPr>
          <w:rFonts w:hint="eastAsia" w:ascii="仿宋_GB2312" w:hAnsi="Calibri" w:eastAsia="仿宋_GB2312" w:cs="Times New Roman"/>
          <w:sz w:val="32"/>
          <w:szCs w:val="32"/>
          <w:highlight w:val="none"/>
        </w:rPr>
        <w:t>日，区工业和信息化局</w:t>
      </w:r>
      <w:r>
        <w:rPr>
          <w:rFonts w:hint="eastAsia" w:ascii="仿宋_GB2312" w:hAnsi="Calibri" w:eastAsia="仿宋_GB2312" w:cs="Times New Roman"/>
          <w:sz w:val="32"/>
          <w:szCs w:val="32"/>
          <w:highlight w:val="none"/>
          <w:lang w:eastAsia="zh-CN"/>
        </w:rPr>
        <w:t>拟挂网</w:t>
      </w:r>
      <w:r>
        <w:rPr>
          <w:rFonts w:hint="default" w:ascii="仿宋_GB2312" w:hAnsi="Calibri" w:eastAsia="仿宋_GB2312" w:cs="Times New Roman"/>
          <w:sz w:val="32"/>
          <w:szCs w:val="32"/>
          <w:highlight w:val="none"/>
        </w:rPr>
        <w:t>公开征求社会公众意见，公示期自</w:t>
      </w:r>
      <w:r>
        <w:rPr>
          <w:rFonts w:hint="eastAsia" w:ascii="仿宋_GB2312" w:hAnsi="Calibri" w:eastAsia="仿宋_GB2312" w:cs="Times New Roman"/>
          <w:sz w:val="32"/>
          <w:szCs w:val="32"/>
          <w:highlight w:val="none"/>
          <w:lang w:val="en-US" w:eastAsia="zh-CN"/>
        </w:rPr>
        <w:t>8</w:t>
      </w:r>
      <w:r>
        <w:rPr>
          <w:rFonts w:hint="default" w:ascii="仿宋_GB2312" w:hAnsi="Calibri" w:eastAsia="仿宋_GB2312" w:cs="Times New Roman"/>
          <w:sz w:val="32"/>
          <w:szCs w:val="32"/>
          <w:highlight w:val="none"/>
        </w:rPr>
        <w:t>月</w:t>
      </w:r>
      <w:r>
        <w:rPr>
          <w:rFonts w:hint="eastAsia" w:ascii="仿宋_GB2312" w:hAnsi="Calibri" w:eastAsia="仿宋_GB2312" w:cs="Times New Roman"/>
          <w:sz w:val="32"/>
          <w:szCs w:val="32"/>
          <w:highlight w:val="none"/>
          <w:lang w:val="en-US" w:eastAsia="zh-CN"/>
        </w:rPr>
        <w:t>3</w:t>
      </w:r>
      <w:r>
        <w:rPr>
          <w:rFonts w:hint="default" w:ascii="仿宋_GB2312" w:hAnsi="Calibri" w:eastAsia="仿宋_GB2312" w:cs="Times New Roman"/>
          <w:sz w:val="32"/>
          <w:szCs w:val="32"/>
          <w:highlight w:val="none"/>
        </w:rPr>
        <w:t>日至</w:t>
      </w:r>
      <w:r>
        <w:rPr>
          <w:rFonts w:hint="eastAsia" w:ascii="仿宋_GB2312" w:hAnsi="Calibri" w:eastAsia="仿宋_GB2312" w:cs="Times New Roman"/>
          <w:sz w:val="32"/>
          <w:szCs w:val="32"/>
          <w:highlight w:val="none"/>
          <w:lang w:val="en-US" w:eastAsia="zh-CN"/>
        </w:rPr>
        <w:t>9</w:t>
      </w:r>
      <w:r>
        <w:rPr>
          <w:rFonts w:hint="default" w:ascii="仿宋_GB2312" w:hAnsi="Calibri" w:eastAsia="仿宋_GB2312" w:cs="Times New Roman"/>
          <w:sz w:val="32"/>
          <w:szCs w:val="32"/>
          <w:highlight w:val="none"/>
        </w:rPr>
        <w:t>月</w:t>
      </w:r>
      <w:r>
        <w:rPr>
          <w:rFonts w:hint="eastAsia" w:ascii="仿宋_GB2312" w:hAnsi="Calibri" w:eastAsia="仿宋_GB2312" w:cs="Times New Roman"/>
          <w:sz w:val="32"/>
          <w:szCs w:val="32"/>
          <w:highlight w:val="none"/>
          <w:lang w:val="en-US" w:eastAsia="zh-CN"/>
        </w:rPr>
        <w:t>1</w:t>
      </w:r>
      <w:r>
        <w:rPr>
          <w:rFonts w:hint="default" w:ascii="仿宋_GB2312" w:hAnsi="Calibri" w:eastAsia="仿宋_GB2312" w:cs="Times New Roman"/>
          <w:sz w:val="32"/>
          <w:szCs w:val="32"/>
          <w:highlight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Calibri" w:eastAsia="仿宋_GB2312" w:cs="Times New Roman"/>
          <w:sz w:val="32"/>
          <w:szCs w:val="32"/>
          <w:highlight w:val="none"/>
        </w:rPr>
      </w:pPr>
      <w:r>
        <w:rPr>
          <w:rFonts w:hint="eastAsia" w:ascii="楷体_GB2312" w:hAnsi="楷体_GB2312" w:eastAsia="楷体_GB2312" w:cs="楷体_GB2312"/>
          <w:b/>
          <w:bCs/>
          <w:sz w:val="32"/>
          <w:szCs w:val="32"/>
          <w:highlight w:val="none"/>
        </w:rPr>
        <w:t>（五）法治审核情况：</w:t>
      </w:r>
      <w:r>
        <w:rPr>
          <w:rFonts w:hint="default" w:ascii="仿宋_GB2312" w:hAnsi="Calibri" w:eastAsia="仿宋_GB2312" w:cs="Times New Roman"/>
          <w:sz w:val="32"/>
          <w:szCs w:val="32"/>
          <w:highlight w:val="none"/>
        </w:rPr>
        <w:t>暂未开展。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sz w:val="32"/>
          <w:szCs w:val="32"/>
          <w:highlight w:val="none"/>
        </w:rPr>
      </w:pPr>
      <w:r>
        <w:rPr>
          <w:rFonts w:hint="eastAsia" w:ascii="楷体_GB2312" w:hAnsi="楷体_GB2312" w:eastAsia="楷体_GB2312" w:cs="楷体_GB2312"/>
          <w:b/>
          <w:bCs/>
          <w:sz w:val="32"/>
          <w:szCs w:val="32"/>
          <w:highlight w:val="none"/>
        </w:rPr>
        <w:t>（六）集体决策情况：</w:t>
      </w:r>
      <w:r>
        <w:rPr>
          <w:rFonts w:hint="default" w:ascii="仿宋_GB2312" w:hAnsi="Calibri" w:eastAsia="仿宋_GB2312" w:cs="Times New Roman"/>
          <w:sz w:val="32"/>
          <w:szCs w:val="32"/>
          <w:highlight w:val="none"/>
        </w:rPr>
        <w:t>暂未开展。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highlight w:val="none"/>
        </w:rPr>
      </w:pPr>
      <w:r>
        <w:rPr>
          <w:rFonts w:hint="default" w:ascii="黑体" w:hAnsi="黑体" w:eastAsia="黑体" w:cs="黑体"/>
          <w:sz w:val="32"/>
          <w:szCs w:val="32"/>
          <w:highlight w:val="none"/>
        </w:rPr>
        <w:t>四</w:t>
      </w:r>
      <w:r>
        <w:rPr>
          <w:rFonts w:hint="eastAsia" w:ascii="黑体" w:hAnsi="黑体" w:eastAsia="黑体" w:cs="黑体"/>
          <w:sz w:val="32"/>
          <w:szCs w:val="32"/>
          <w:highlight w:val="none"/>
        </w:rPr>
        <w:t>、主要内容</w:t>
      </w:r>
    </w:p>
    <w:p>
      <w:pPr>
        <w:widowControl w:val="0"/>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highlight w:val="none"/>
          <w:lang w:val="en-US" w:eastAsia="zh-CN" w:bidi="en-US"/>
        </w:rPr>
      </w:pPr>
      <w:r>
        <w:rPr>
          <w:rFonts w:hint="eastAsia" w:ascii="仿宋_GB2312" w:hAnsi="仿宋_GB2312" w:eastAsia="仿宋_GB2312" w:cs="仿宋_GB2312"/>
          <w:b w:val="0"/>
          <w:bCs w:val="0"/>
          <w:kern w:val="2"/>
          <w:sz w:val="32"/>
          <w:szCs w:val="32"/>
          <w:highlight w:val="none"/>
          <w:lang w:val="en-US" w:eastAsia="zh-CN" w:bidi="en-US"/>
        </w:rPr>
        <w:t>《实施细则》共二十七条，主要包括以下五个方面：</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总则</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val="0"/>
          <w:bCs w:val="0"/>
          <w:sz w:val="32"/>
          <w:szCs w:val="32"/>
          <w:highlight w:val="none"/>
          <w:lang w:val="en-US" w:eastAsia="zh-CN"/>
        </w:rPr>
        <w:t>明确了《实施细则》的政策依据、资金来源、适用范围、实施部门等。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rPr>
        <w:t>（二）扶持范围、标准和核准方式。</w:t>
      </w:r>
      <w:r>
        <w:rPr>
          <w:rFonts w:hint="eastAsia" w:ascii="仿宋_GB2312" w:hAnsi="仿宋_GB2312" w:eastAsia="仿宋_GB2312" w:cs="仿宋_GB2312"/>
          <w:b w:val="0"/>
          <w:bCs w:val="0"/>
          <w:color w:val="auto"/>
          <w:kern w:val="2"/>
          <w:sz w:val="32"/>
          <w:szCs w:val="32"/>
          <w:highlight w:val="none"/>
          <w:lang w:val="en-US" w:eastAsia="zh-CN"/>
        </w:rPr>
        <w:t>详述人工智能算力扶持等10条申报项目的具体扶持范围、扶持方式和标准，以及适用的审核方式（包含核准制和评审制）和证明材料。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rPr>
        <w:t>（三）申报条件。</w:t>
      </w:r>
      <w:r>
        <w:rPr>
          <w:rFonts w:hint="eastAsia" w:ascii="仿宋_GB2312" w:hAnsi="仿宋_GB2312" w:eastAsia="仿宋_GB2312" w:cs="仿宋_GB2312"/>
          <w:b w:val="0"/>
          <w:bCs w:val="0"/>
          <w:color w:val="auto"/>
          <w:kern w:val="2"/>
          <w:sz w:val="32"/>
          <w:szCs w:val="32"/>
          <w:highlight w:val="none"/>
          <w:lang w:val="en-US" w:eastAsia="zh-CN"/>
        </w:rPr>
        <w:t>项目单位是在龙岗区行政区域内依法登记注册、具有独立法人资格且符合要求的法人企业或民办非企业单位、社会团体，其中，对于法人企业要求纳税地、统计地在龙岗区。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rPr>
        <w:t>（四）项目申报和审核。</w:t>
      </w:r>
      <w:r>
        <w:rPr>
          <w:rFonts w:hint="eastAsia" w:ascii="仿宋_GB2312" w:hAnsi="仿宋_GB2312" w:eastAsia="仿宋_GB2312" w:cs="仿宋_GB2312"/>
          <w:b w:val="0"/>
          <w:bCs w:val="0"/>
          <w:color w:val="auto"/>
          <w:kern w:val="2"/>
          <w:sz w:val="32"/>
          <w:szCs w:val="32"/>
          <w:highlight w:val="none"/>
          <w:lang w:val="en-US" w:eastAsia="zh-CN"/>
        </w:rPr>
        <w:t>项目单位根据申报指南要求，在规定时间内如实填报项目信息，提交相关材料。区工业和信息化局组织对申报项目进行审核。</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rPr>
        <w:t>（五）附则。</w:t>
      </w:r>
      <w:r>
        <w:rPr>
          <w:rFonts w:hint="eastAsia" w:ascii="仿宋_GB2312" w:hAnsi="仿宋_GB2312" w:eastAsia="仿宋_GB2312" w:cs="仿宋_GB2312"/>
          <w:b w:val="0"/>
          <w:bCs w:val="0"/>
          <w:color w:val="auto"/>
          <w:kern w:val="2"/>
          <w:sz w:val="32"/>
          <w:szCs w:val="32"/>
          <w:highlight w:val="none"/>
          <w:lang w:val="en-US" w:eastAsia="zh-CN"/>
        </w:rPr>
        <w:t>明确《实施细则》解释权、资助额及比例、项目日期以及有效期问题。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highlight w:val="none"/>
        </w:rPr>
      </w:pPr>
      <w:r>
        <w:rPr>
          <w:rFonts w:ascii="黑体" w:hAnsi="黑体" w:eastAsia="黑体" w:cs="黑体"/>
          <w:sz w:val="32"/>
          <w:szCs w:val="32"/>
          <w:highlight w:val="none"/>
        </w:rPr>
        <w:t>五</w:t>
      </w:r>
      <w:r>
        <w:rPr>
          <w:rFonts w:hint="eastAsia" w:ascii="黑体" w:hAnsi="黑体" w:eastAsia="黑体" w:cs="黑体"/>
          <w:sz w:val="32"/>
          <w:szCs w:val="32"/>
          <w:highlight w:val="none"/>
        </w:rPr>
        <w:t>、经费测算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实施细则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三年</w:t>
      </w:r>
      <w:r>
        <w:rPr>
          <w:rFonts w:ascii="仿宋_GB2312" w:hAnsi="仿宋_GB2312" w:eastAsia="仿宋_GB2312" w:cs="仿宋_GB2312"/>
          <w:sz w:val="32"/>
          <w:szCs w:val="32"/>
          <w:highlight w:val="none"/>
        </w:rPr>
        <w:t>所需资金预估约为</w:t>
      </w:r>
      <w:r>
        <w:rPr>
          <w:rFonts w:hint="default" w:ascii="仿宋_GB2312" w:hAnsi="仿宋_GB2312" w:eastAsia="仿宋_GB2312" w:cs="仿宋_GB2312"/>
          <w:sz w:val="32"/>
          <w:szCs w:val="32"/>
          <w:highlight w:val="yellow"/>
          <w:lang w:val="en-US" w:eastAsia="zh-CN"/>
        </w:rPr>
        <w:t>47</w:t>
      </w:r>
      <w:r>
        <w:rPr>
          <w:rFonts w:hint="eastAsia" w:ascii="仿宋_GB2312" w:hAnsi="仿宋_GB2312" w:eastAsia="仿宋_GB2312" w:cs="仿宋_GB2312"/>
          <w:sz w:val="32"/>
          <w:szCs w:val="32"/>
          <w:highlight w:val="yellow"/>
          <w:lang w:val="en-US" w:eastAsia="zh-CN"/>
        </w:rPr>
        <w:t>520</w:t>
      </w:r>
      <w:r>
        <w:rPr>
          <w:rFonts w:hint="eastAsia" w:ascii="仿宋_GB2312" w:hAnsi="仿宋_GB2312" w:eastAsia="仿宋_GB2312" w:cs="仿宋_GB2312"/>
          <w:sz w:val="32"/>
          <w:szCs w:val="32"/>
          <w:highlight w:val="yellow"/>
          <w:lang w:eastAsia="zh-CN"/>
        </w:rPr>
        <w:t>万</w:t>
      </w:r>
      <w:r>
        <w:rPr>
          <w:rFonts w:hint="eastAsia" w:ascii="仿宋_GB2312" w:hAnsi="仿宋_GB2312" w:eastAsia="仿宋_GB2312" w:cs="仿宋_GB2312"/>
          <w:sz w:val="32"/>
          <w:szCs w:val="32"/>
          <w:highlight w:val="yellow"/>
        </w:rPr>
        <w:t>元</w:t>
      </w:r>
      <w:r>
        <w:rPr>
          <w:rFonts w:ascii="仿宋_GB2312" w:hAnsi="仿宋_GB2312" w:eastAsia="仿宋_GB2312" w:cs="仿宋_GB2312"/>
          <w:sz w:val="32"/>
          <w:szCs w:val="32"/>
          <w:highlight w:val="yellow"/>
        </w:rPr>
        <w:t>。</w:t>
      </w:r>
      <w:r>
        <w:rPr>
          <w:rFonts w:hint="eastAsia" w:ascii="仿宋_GB2312" w:hAnsi="仿宋_GB2312" w:eastAsia="仿宋_GB2312" w:cs="仿宋_GB2312"/>
          <w:sz w:val="32"/>
          <w:szCs w:val="32"/>
          <w:highlight w:val="yellow"/>
        </w:rPr>
        <w:t>根据2024年人工智能发展情况，初步测算需财政资金</w:t>
      </w:r>
      <w:r>
        <w:rPr>
          <w:rFonts w:hint="eastAsia" w:ascii="仿宋_GB2312" w:hAnsi="仿宋_GB2312" w:eastAsia="仿宋_GB2312" w:cs="仿宋_GB2312"/>
          <w:sz w:val="32"/>
          <w:szCs w:val="32"/>
          <w:highlight w:val="yellow"/>
          <w:lang w:val="en-US" w:eastAsia="zh-CN"/>
        </w:rPr>
        <w:t>15390</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元，其中，实际新增财政资金</w:t>
      </w:r>
      <w:r>
        <w:rPr>
          <w:rFonts w:hint="eastAsia" w:ascii="仿宋_GB2312" w:hAnsi="仿宋_GB2312" w:eastAsia="仿宋_GB2312" w:cs="仿宋_GB2312"/>
          <w:sz w:val="32"/>
          <w:szCs w:val="32"/>
          <w:highlight w:val="none"/>
          <w:lang w:val="en-US" w:eastAsia="zh-CN"/>
        </w:rPr>
        <w:t>15390</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元；各部门现有政策资金统筹支持</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w:t>
      </w:r>
    </w:p>
    <w:p>
      <w:pPr>
        <w:widowControl w:val="0"/>
        <w:adjustRightInd w:val="0"/>
        <w:snapToGrid w:val="0"/>
        <w:spacing w:line="560" w:lineRule="exact"/>
        <w:ind w:firstLine="0" w:firstLineChars="0"/>
        <w:jc w:val="center"/>
        <w:rPr>
          <w:rFonts w:hint="eastAsia" w:ascii="黑体" w:hAnsi="黑体" w:eastAsia="黑体" w:cs="仿宋_GB2312"/>
          <w:kern w:val="2"/>
          <w:sz w:val="28"/>
          <w:szCs w:val="28"/>
          <w:highlight w:val="none"/>
          <w:lang w:val="en-US" w:eastAsia="zh-CN" w:bidi="en-US"/>
        </w:rPr>
      </w:pPr>
      <w:r>
        <w:rPr>
          <w:rFonts w:hint="eastAsia" w:ascii="黑体" w:hAnsi="黑体" w:eastAsia="黑体" w:cs="仿宋_GB2312"/>
          <w:kern w:val="2"/>
          <w:sz w:val="28"/>
          <w:szCs w:val="28"/>
          <w:highlight w:val="none"/>
          <w:lang w:val="en-US" w:eastAsia="zh-CN" w:bidi="en-US"/>
        </w:rPr>
        <w:t>表1 《实施细则》未来三年所需资金测算表（万元）</w:t>
      </w:r>
    </w:p>
    <w:tbl>
      <w:tblPr>
        <w:tblStyle w:val="14"/>
        <w:tblW w:w="885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4317"/>
        <w:gridCol w:w="1349"/>
        <w:gridCol w:w="1233"/>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highlight w:val="none"/>
                <w:u w:val="none"/>
                <w:lang w:val="en-US"/>
              </w:rPr>
            </w:pPr>
            <w:r>
              <w:rPr>
                <w:rFonts w:hint="eastAsia" w:ascii="黑体" w:hAnsi="宋体" w:eastAsia="黑体" w:cs="黑体"/>
                <w:i w:val="0"/>
                <w:iCs w:val="0"/>
                <w:color w:val="000000"/>
                <w:kern w:val="0"/>
                <w:sz w:val="24"/>
                <w:szCs w:val="24"/>
                <w:highlight w:val="none"/>
                <w:u w:val="none"/>
                <w:lang w:val="en-US" w:eastAsia="zh-CN" w:bidi="ar"/>
              </w:rPr>
              <w:t>项目名称</w:t>
            </w:r>
          </w:p>
        </w:tc>
        <w:tc>
          <w:tcPr>
            <w:tcW w:w="134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2024年</w:t>
            </w:r>
          </w:p>
        </w:tc>
        <w:tc>
          <w:tcPr>
            <w:tcW w:w="12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2025年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人工智能算力扶持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大模型自主开发扶持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3</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highlight w:val="none"/>
                <w:u w:val="none"/>
                <w:lang w:bidi="ar"/>
              </w:rPr>
              <w:t>调用大模型开发应用扶持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rPr>
              <w:t>具身智能机器人应用扶持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sz w:val="24"/>
                <w:highlight w:val="none"/>
                <w:u w:val="none"/>
              </w:rPr>
              <w:t>智能产品创新发展扶持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color w:val="000000"/>
                <w:sz w:val="24"/>
                <w:highlight w:val="none"/>
                <w:u w:val="none"/>
              </w:rPr>
              <w:t>人工智能应用场景示范项目扶持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7</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sz w:val="24"/>
                <w:highlight w:val="none"/>
                <w:u w:val="none"/>
              </w:rPr>
              <w:t>公共技术服务平台扶持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8</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sz w:val="24"/>
                <w:highlight w:val="none"/>
                <w:u w:val="none"/>
              </w:rPr>
              <w:t>公共技术服务平台运营扶持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9</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rPr>
              <w:t>产业空间租金扶持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10</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重大活动项目扶持</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总计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15390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15950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16180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绩效目标</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6"/>
        </w:rPr>
        <w:t>推动龙岗区人工智能产业高质量发展，将龙岗打造成为计算产业全球“制高点”、全球人工智能创新性应用“首发地”，全力创建人工智能全域全时应用示范区，</w:t>
      </w:r>
      <w:r>
        <w:rPr>
          <w:rFonts w:hint="eastAsia" w:ascii="仿宋_GB2312" w:hAnsi="仿宋_GB2312" w:eastAsia="仿宋_GB2312" w:cs="仿宋_GB2312"/>
          <w:sz w:val="32"/>
          <w:szCs w:val="36"/>
          <w:lang w:val="en-US" w:eastAsia="zh-CN"/>
        </w:rPr>
        <w:t>争取到</w:t>
      </w:r>
      <w:r>
        <w:rPr>
          <w:rFonts w:hint="eastAsia" w:ascii="仿宋_GB2312" w:hAnsi="仿宋_GB2312" w:eastAsia="仿宋_GB2312" w:cs="仿宋_GB2312"/>
          <w:sz w:val="32"/>
          <w:szCs w:val="36"/>
        </w:rPr>
        <w:t>2026年新增人工智能企业20家，建成人工智能产业空间5万平方米，带动人工智能产业超1000亿元规模。</w:t>
      </w:r>
    </w:p>
    <w:p>
      <w:pPr>
        <w:pStyle w:val="5"/>
        <w:ind w:firstLine="420" w:firstLineChars="200"/>
        <w:rPr>
          <w:rFonts w:hint="default"/>
          <w:highlight w:val="none"/>
        </w:rPr>
      </w:pPr>
    </w:p>
    <w:sectPr>
      <w:headerReference r:id="rId3" w:type="default"/>
      <w:footerReference r:id="rId4" w:type="default"/>
      <w:pgSz w:w="11906" w:h="16838"/>
      <w:pgMar w:top="1701" w:right="1474" w:bottom="1701"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25A91E-98EE-4B5F-9C36-BA09714BA8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899845D-E4B9-4DB2-A399-E6939EAAC5B3}"/>
  </w:font>
  <w:font w:name="仿宋_GB2312">
    <w:panose1 w:val="02010609030101010101"/>
    <w:charset w:val="86"/>
    <w:family w:val="modern"/>
    <w:pitch w:val="default"/>
    <w:sig w:usb0="00000001" w:usb1="080E0000" w:usb2="00000000" w:usb3="00000000" w:csb0="00040000" w:csb1="00000000"/>
    <w:embedRegular r:id="rId3" w:fontKey="{5847F76E-F565-4226-B966-91F79EBB048B}"/>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embedRegular r:id="rId4" w:fontKey="{3DC9BECD-0C0F-46D0-B4BE-59B685229F9E}"/>
  </w:font>
  <w:font w:name="楷体_GB2312">
    <w:altName w:val="楷体"/>
    <w:panose1 w:val="02010609030101010101"/>
    <w:charset w:val="86"/>
    <w:family w:val="modern"/>
    <w:pitch w:val="default"/>
    <w:sig w:usb0="00000000" w:usb1="00000000" w:usb2="00000000" w:usb3="00000000" w:csb0="00040000" w:csb1="00000000"/>
    <w:embedRegular r:id="rId5" w:fontKey="{A75F04AB-FECA-4E2F-A274-458A94C2183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WM5MzFjNzIwOWM0MzYxNmFlNTNjZmU5NDdhNjIifQ=="/>
  </w:docVars>
  <w:rsids>
    <w:rsidRoot w:val="001C6BE8"/>
    <w:rsid w:val="001C6BE8"/>
    <w:rsid w:val="003C7783"/>
    <w:rsid w:val="00403B5C"/>
    <w:rsid w:val="005E31AF"/>
    <w:rsid w:val="00691EA2"/>
    <w:rsid w:val="006E6572"/>
    <w:rsid w:val="00833790"/>
    <w:rsid w:val="009754F6"/>
    <w:rsid w:val="00BE6ED3"/>
    <w:rsid w:val="00CB7444"/>
    <w:rsid w:val="00CD0D44"/>
    <w:rsid w:val="00E81D51"/>
    <w:rsid w:val="00F657C6"/>
    <w:rsid w:val="019127B6"/>
    <w:rsid w:val="035C1C72"/>
    <w:rsid w:val="03A52548"/>
    <w:rsid w:val="0480444E"/>
    <w:rsid w:val="05066DF9"/>
    <w:rsid w:val="05D82903"/>
    <w:rsid w:val="0676641E"/>
    <w:rsid w:val="06A44D39"/>
    <w:rsid w:val="07F77F32"/>
    <w:rsid w:val="0B33CD74"/>
    <w:rsid w:val="0B6A43CA"/>
    <w:rsid w:val="0CE5DC87"/>
    <w:rsid w:val="0D2632D8"/>
    <w:rsid w:val="0D49663A"/>
    <w:rsid w:val="10070F3C"/>
    <w:rsid w:val="11647D06"/>
    <w:rsid w:val="11926F8D"/>
    <w:rsid w:val="11A961D4"/>
    <w:rsid w:val="123F000C"/>
    <w:rsid w:val="124A7A8E"/>
    <w:rsid w:val="13C7475D"/>
    <w:rsid w:val="14CE710D"/>
    <w:rsid w:val="170A5472"/>
    <w:rsid w:val="17D862B7"/>
    <w:rsid w:val="18F733EE"/>
    <w:rsid w:val="19921369"/>
    <w:rsid w:val="1ABD1B91"/>
    <w:rsid w:val="1AD65695"/>
    <w:rsid w:val="1B3F6312"/>
    <w:rsid w:val="1BBED705"/>
    <w:rsid w:val="1BDF106C"/>
    <w:rsid w:val="1C5677CC"/>
    <w:rsid w:val="1C6E1C1A"/>
    <w:rsid w:val="1D7A3F9F"/>
    <w:rsid w:val="1DC2224F"/>
    <w:rsid w:val="1DD97567"/>
    <w:rsid w:val="1DF63C75"/>
    <w:rsid w:val="1FE92E72"/>
    <w:rsid w:val="22031056"/>
    <w:rsid w:val="2374390F"/>
    <w:rsid w:val="2463402E"/>
    <w:rsid w:val="248875F1"/>
    <w:rsid w:val="25EF3DCB"/>
    <w:rsid w:val="26F60C27"/>
    <w:rsid w:val="27A260A2"/>
    <w:rsid w:val="27AF8FCB"/>
    <w:rsid w:val="29CB06AB"/>
    <w:rsid w:val="29F32418"/>
    <w:rsid w:val="2A5F4F42"/>
    <w:rsid w:val="2B870602"/>
    <w:rsid w:val="2BD26D05"/>
    <w:rsid w:val="2DD3573D"/>
    <w:rsid w:val="2DD41AF8"/>
    <w:rsid w:val="2EC7AE9D"/>
    <w:rsid w:val="301F34FF"/>
    <w:rsid w:val="30CB5A1E"/>
    <w:rsid w:val="30D62F8D"/>
    <w:rsid w:val="314A45AB"/>
    <w:rsid w:val="32075FF9"/>
    <w:rsid w:val="32F976BF"/>
    <w:rsid w:val="32FC7B27"/>
    <w:rsid w:val="35092088"/>
    <w:rsid w:val="3529272A"/>
    <w:rsid w:val="354513BC"/>
    <w:rsid w:val="35FD6E15"/>
    <w:rsid w:val="36795557"/>
    <w:rsid w:val="367D4D02"/>
    <w:rsid w:val="36E25286"/>
    <w:rsid w:val="376EBAB9"/>
    <w:rsid w:val="37EDDD5A"/>
    <w:rsid w:val="3968653F"/>
    <w:rsid w:val="399F745E"/>
    <w:rsid w:val="39BBAF0C"/>
    <w:rsid w:val="3A7C154E"/>
    <w:rsid w:val="3A7FEE33"/>
    <w:rsid w:val="3A8A77C7"/>
    <w:rsid w:val="3B563B4D"/>
    <w:rsid w:val="3B5FD653"/>
    <w:rsid w:val="3BBD3DE6"/>
    <w:rsid w:val="3BC66F24"/>
    <w:rsid w:val="3C6669CD"/>
    <w:rsid w:val="3CC7376C"/>
    <w:rsid w:val="3D2842E1"/>
    <w:rsid w:val="3D6A1BBD"/>
    <w:rsid w:val="3E2148E6"/>
    <w:rsid w:val="3EFBAFE4"/>
    <w:rsid w:val="3F200698"/>
    <w:rsid w:val="3FFD3F62"/>
    <w:rsid w:val="3FFDBDE8"/>
    <w:rsid w:val="41CB2902"/>
    <w:rsid w:val="41D349E5"/>
    <w:rsid w:val="43790D20"/>
    <w:rsid w:val="43C20235"/>
    <w:rsid w:val="454546F6"/>
    <w:rsid w:val="45A2455E"/>
    <w:rsid w:val="45BB4837"/>
    <w:rsid w:val="45EA4C65"/>
    <w:rsid w:val="46054AED"/>
    <w:rsid w:val="46C97D0E"/>
    <w:rsid w:val="47090484"/>
    <w:rsid w:val="47BE4F54"/>
    <w:rsid w:val="49B52245"/>
    <w:rsid w:val="49F8583E"/>
    <w:rsid w:val="4AA33143"/>
    <w:rsid w:val="4AC310CA"/>
    <w:rsid w:val="4AF79B0D"/>
    <w:rsid w:val="4C2A4F8D"/>
    <w:rsid w:val="4D2D232C"/>
    <w:rsid w:val="4D75724F"/>
    <w:rsid w:val="4E2B0F8A"/>
    <w:rsid w:val="4F424336"/>
    <w:rsid w:val="4FADDDA3"/>
    <w:rsid w:val="4FDF3BBF"/>
    <w:rsid w:val="4FFFE0E0"/>
    <w:rsid w:val="50F173E5"/>
    <w:rsid w:val="52F1442F"/>
    <w:rsid w:val="531B07E1"/>
    <w:rsid w:val="53456529"/>
    <w:rsid w:val="53680C7C"/>
    <w:rsid w:val="538C5F06"/>
    <w:rsid w:val="53C153C5"/>
    <w:rsid w:val="53FB4F58"/>
    <w:rsid w:val="5499337A"/>
    <w:rsid w:val="564018E2"/>
    <w:rsid w:val="57521214"/>
    <w:rsid w:val="57E91811"/>
    <w:rsid w:val="57EF4DEB"/>
    <w:rsid w:val="57F347A6"/>
    <w:rsid w:val="57F85602"/>
    <w:rsid w:val="58F86605"/>
    <w:rsid w:val="59F68DCB"/>
    <w:rsid w:val="5A1E6F2A"/>
    <w:rsid w:val="5AA8634D"/>
    <w:rsid w:val="5AB13E50"/>
    <w:rsid w:val="5B1C7E9E"/>
    <w:rsid w:val="5B5A4B3C"/>
    <w:rsid w:val="5B7C4AB2"/>
    <w:rsid w:val="5CC96ED0"/>
    <w:rsid w:val="5D7A2842"/>
    <w:rsid w:val="5DEF3C61"/>
    <w:rsid w:val="5DFF13D9"/>
    <w:rsid w:val="5E4203A2"/>
    <w:rsid w:val="5ECA3D86"/>
    <w:rsid w:val="5EDD526F"/>
    <w:rsid w:val="5EDDD4E6"/>
    <w:rsid w:val="5EF71CE3"/>
    <w:rsid w:val="5EFF3CE6"/>
    <w:rsid w:val="5FEB63B6"/>
    <w:rsid w:val="61355E2F"/>
    <w:rsid w:val="613876CD"/>
    <w:rsid w:val="61497B2C"/>
    <w:rsid w:val="61C807BC"/>
    <w:rsid w:val="621041A6"/>
    <w:rsid w:val="634D18BA"/>
    <w:rsid w:val="651772B2"/>
    <w:rsid w:val="67D77C40"/>
    <w:rsid w:val="67E3D2A0"/>
    <w:rsid w:val="67F71B49"/>
    <w:rsid w:val="69DAEE0F"/>
    <w:rsid w:val="6AFC7EB3"/>
    <w:rsid w:val="6B884E2A"/>
    <w:rsid w:val="6BB8DF5E"/>
    <w:rsid w:val="6BD7165D"/>
    <w:rsid w:val="6CB26586"/>
    <w:rsid w:val="6D3724F2"/>
    <w:rsid w:val="6D3F01D2"/>
    <w:rsid w:val="6DDF66AD"/>
    <w:rsid w:val="6E2E47C2"/>
    <w:rsid w:val="6E364F94"/>
    <w:rsid w:val="6E697118"/>
    <w:rsid w:val="6E89072E"/>
    <w:rsid w:val="6E9D543A"/>
    <w:rsid w:val="6EAFBF34"/>
    <w:rsid w:val="6FFBE426"/>
    <w:rsid w:val="6FFCFAC8"/>
    <w:rsid w:val="6FFF1F5C"/>
    <w:rsid w:val="71EA83E2"/>
    <w:rsid w:val="72FC5CC5"/>
    <w:rsid w:val="73372E9E"/>
    <w:rsid w:val="736DE1B7"/>
    <w:rsid w:val="73D40E8C"/>
    <w:rsid w:val="73EBD04B"/>
    <w:rsid w:val="74FB68E4"/>
    <w:rsid w:val="7594060E"/>
    <w:rsid w:val="759F88A3"/>
    <w:rsid w:val="75AB44BA"/>
    <w:rsid w:val="75D92DD5"/>
    <w:rsid w:val="7636A100"/>
    <w:rsid w:val="774B26E3"/>
    <w:rsid w:val="775FFD24"/>
    <w:rsid w:val="77942FB2"/>
    <w:rsid w:val="77AFF702"/>
    <w:rsid w:val="77BFF01D"/>
    <w:rsid w:val="77ED7ED8"/>
    <w:rsid w:val="77FFD446"/>
    <w:rsid w:val="78BFA2FB"/>
    <w:rsid w:val="78E81581"/>
    <w:rsid w:val="797D9A9E"/>
    <w:rsid w:val="7981580B"/>
    <w:rsid w:val="79DD36BF"/>
    <w:rsid w:val="7A9D2F80"/>
    <w:rsid w:val="7AB3CDE8"/>
    <w:rsid w:val="7AFBC78B"/>
    <w:rsid w:val="7B160627"/>
    <w:rsid w:val="7B1E1867"/>
    <w:rsid w:val="7B5D2CAD"/>
    <w:rsid w:val="7B775D12"/>
    <w:rsid w:val="7B7E3A23"/>
    <w:rsid w:val="7B7E6CF4"/>
    <w:rsid w:val="7BCFAFD6"/>
    <w:rsid w:val="7BDBB1BB"/>
    <w:rsid w:val="7BEFD2BC"/>
    <w:rsid w:val="7C2823C0"/>
    <w:rsid w:val="7C507B69"/>
    <w:rsid w:val="7CEC7892"/>
    <w:rsid w:val="7CFEBDBA"/>
    <w:rsid w:val="7D3E5C13"/>
    <w:rsid w:val="7D6EBF5D"/>
    <w:rsid w:val="7DDFBB7B"/>
    <w:rsid w:val="7DEFA824"/>
    <w:rsid w:val="7E2C4AFF"/>
    <w:rsid w:val="7E3819C4"/>
    <w:rsid w:val="7E6C1B17"/>
    <w:rsid w:val="7E7F90A8"/>
    <w:rsid w:val="7EA62974"/>
    <w:rsid w:val="7EDE993E"/>
    <w:rsid w:val="7EFF16E1"/>
    <w:rsid w:val="7F33FD75"/>
    <w:rsid w:val="7F3E8C1A"/>
    <w:rsid w:val="7F5D3DDB"/>
    <w:rsid w:val="7F6F756B"/>
    <w:rsid w:val="7F722B37"/>
    <w:rsid w:val="7F77F093"/>
    <w:rsid w:val="7F7FA0DF"/>
    <w:rsid w:val="7F9D235B"/>
    <w:rsid w:val="7FB738AC"/>
    <w:rsid w:val="7FD7DA41"/>
    <w:rsid w:val="7FDD1E70"/>
    <w:rsid w:val="7FDF4C2B"/>
    <w:rsid w:val="7FDF6B8D"/>
    <w:rsid w:val="7FDFD60C"/>
    <w:rsid w:val="7FEF21B2"/>
    <w:rsid w:val="7FEF34CB"/>
    <w:rsid w:val="7FFB4ED4"/>
    <w:rsid w:val="7FFC3189"/>
    <w:rsid w:val="7FFDB259"/>
    <w:rsid w:val="86DF9433"/>
    <w:rsid w:val="8DBFD5D2"/>
    <w:rsid w:val="93D3A9F0"/>
    <w:rsid w:val="995F7614"/>
    <w:rsid w:val="9F52E705"/>
    <w:rsid w:val="9FAB02F7"/>
    <w:rsid w:val="9FDB1AE3"/>
    <w:rsid w:val="AB3B1638"/>
    <w:rsid w:val="AB8DE2FC"/>
    <w:rsid w:val="AC7F7620"/>
    <w:rsid w:val="AFA39DA6"/>
    <w:rsid w:val="AFFF1752"/>
    <w:rsid w:val="AFFF9F6E"/>
    <w:rsid w:val="B67F210F"/>
    <w:rsid w:val="B6FF9630"/>
    <w:rsid w:val="B7EFDE57"/>
    <w:rsid w:val="B7F74251"/>
    <w:rsid w:val="B9BEB600"/>
    <w:rsid w:val="BB2F9508"/>
    <w:rsid w:val="BBAF9B19"/>
    <w:rsid w:val="BBEB68C5"/>
    <w:rsid w:val="BCB3B427"/>
    <w:rsid w:val="BEF7A3C4"/>
    <w:rsid w:val="BFEF2AC2"/>
    <w:rsid w:val="BFFEF728"/>
    <w:rsid w:val="C7DBFDBD"/>
    <w:rsid w:val="C7FD882E"/>
    <w:rsid w:val="CEF2581B"/>
    <w:rsid w:val="CFFD3613"/>
    <w:rsid w:val="D6F6B1A0"/>
    <w:rsid w:val="D93FC0D9"/>
    <w:rsid w:val="D9723C84"/>
    <w:rsid w:val="D9995E6E"/>
    <w:rsid w:val="DCE74316"/>
    <w:rsid w:val="DD3F385B"/>
    <w:rsid w:val="DD972377"/>
    <w:rsid w:val="DDF76AD5"/>
    <w:rsid w:val="DE6DC5F4"/>
    <w:rsid w:val="DF2DB5B3"/>
    <w:rsid w:val="DF3E7CB0"/>
    <w:rsid w:val="DF9F534E"/>
    <w:rsid w:val="DFD2DF4C"/>
    <w:rsid w:val="DFDBF284"/>
    <w:rsid w:val="DFFB65E6"/>
    <w:rsid w:val="E5FD22A5"/>
    <w:rsid w:val="E7F34F5F"/>
    <w:rsid w:val="E83E3C9E"/>
    <w:rsid w:val="E9F3BA44"/>
    <w:rsid w:val="EAF09211"/>
    <w:rsid w:val="EBFDF5B0"/>
    <w:rsid w:val="ECFF5579"/>
    <w:rsid w:val="ECFFF48C"/>
    <w:rsid w:val="EDBD08CC"/>
    <w:rsid w:val="EEBE5986"/>
    <w:rsid w:val="EEDF8973"/>
    <w:rsid w:val="EEF7F3BE"/>
    <w:rsid w:val="EFEAAE0F"/>
    <w:rsid w:val="EFF9B3C3"/>
    <w:rsid w:val="F0F3347B"/>
    <w:rsid w:val="F1FAA401"/>
    <w:rsid w:val="F4EFA6A6"/>
    <w:rsid w:val="F57FCC7B"/>
    <w:rsid w:val="F62E0F5F"/>
    <w:rsid w:val="F63F215B"/>
    <w:rsid w:val="F6FEF952"/>
    <w:rsid w:val="F7150612"/>
    <w:rsid w:val="F7EFA2C4"/>
    <w:rsid w:val="F8DFE884"/>
    <w:rsid w:val="F94C8965"/>
    <w:rsid w:val="F9FED25E"/>
    <w:rsid w:val="FA3F75ED"/>
    <w:rsid w:val="FB7CA698"/>
    <w:rsid w:val="FB858E0C"/>
    <w:rsid w:val="FBDEFBD4"/>
    <w:rsid w:val="FBFDE344"/>
    <w:rsid w:val="FCDB4577"/>
    <w:rsid w:val="FDBBBE89"/>
    <w:rsid w:val="FDC7D882"/>
    <w:rsid w:val="FDF701BE"/>
    <w:rsid w:val="FE7F7041"/>
    <w:rsid w:val="FEDE9692"/>
    <w:rsid w:val="FF1B00EE"/>
    <w:rsid w:val="FF1FA72E"/>
    <w:rsid w:val="FF45233F"/>
    <w:rsid w:val="FF67FD17"/>
    <w:rsid w:val="FF72996F"/>
    <w:rsid w:val="FF9473F2"/>
    <w:rsid w:val="FFBFB747"/>
    <w:rsid w:val="FFCCC2C4"/>
    <w:rsid w:val="FFF3F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Times New Roman" w:hAnsi="Times New Roman" w:eastAsia="宋体" w:cs="Times New Roman"/>
    </w:rPr>
  </w:style>
  <w:style w:type="paragraph" w:styleId="4">
    <w:name w:val="Body Text"/>
    <w:basedOn w:val="1"/>
    <w:link w:val="19"/>
    <w:unhideWhenUsed/>
    <w:qFormat/>
    <w:uiPriority w:val="99"/>
    <w:pPr>
      <w:spacing w:after="120"/>
    </w:pPr>
  </w:style>
  <w:style w:type="paragraph" w:styleId="5">
    <w:name w:val="Plain Text"/>
    <w:basedOn w:val="1"/>
    <w:next w:val="3"/>
    <w:link w:val="17"/>
    <w:unhideWhenUsed/>
    <w:qFormat/>
    <w:uiPriority w:val="99"/>
    <w:rPr>
      <w:rFonts w:hAnsi="Courier New" w:cs="Courier New" w:asciiTheme="minorEastAsia"/>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pPr>
      <w:spacing w:line="540" w:lineRule="exact"/>
      <w:ind w:right="-85" w:rightChars="-27" w:firstLine="200" w:firstLineChars="200"/>
    </w:pPr>
    <w:rPr>
      <w:rFonts w:ascii="仿宋_GB2312" w:hAnsi="仿宋_GB2312" w:eastAsia="黑体" w:cs="仿宋_GB2312"/>
      <w:sz w:val="28"/>
    </w:rPr>
  </w:style>
  <w:style w:type="paragraph" w:styleId="9">
    <w:name w:val="footnote text"/>
    <w:qFormat/>
    <w:uiPriority w:val="0"/>
    <w:pPr>
      <w:widowControl w:val="0"/>
      <w:snapToGrid w:val="0"/>
      <w:jc w:val="left"/>
    </w:pPr>
    <w:rPr>
      <w:rFonts w:asciiTheme="minorHAnsi" w:hAnsiTheme="minorHAnsi" w:eastAsiaTheme="minorEastAsia" w:cstheme="minorBidi"/>
      <w:kern w:val="2"/>
      <w:sz w:val="18"/>
      <w:szCs w:val="24"/>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next w:val="1"/>
    <w:qFormat/>
    <w:uiPriority w:val="10"/>
    <w:pPr>
      <w:widowControl w:val="0"/>
      <w:spacing w:before="240" w:after="60"/>
      <w:jc w:val="center"/>
      <w:outlineLvl w:val="0"/>
    </w:pPr>
    <w:rPr>
      <w:rFonts w:ascii="Cambria" w:hAnsi="Cambria" w:eastAsia="宋体" w:cs="Times New Roman"/>
      <w:b/>
      <w:bCs/>
      <w:kern w:val="2"/>
      <w:sz w:val="21"/>
      <w:szCs w:val="24"/>
      <w:lang w:val="en-US" w:eastAsia="zh-CN" w:bidi="ar-SA"/>
    </w:rPr>
  </w:style>
  <w:style w:type="paragraph" w:styleId="13">
    <w:name w:val="Body Text First Indent"/>
    <w:basedOn w:val="4"/>
    <w:qFormat/>
    <w:uiPriority w:val="0"/>
    <w:pPr>
      <w:ind w:firstLine="420" w:firstLineChars="100"/>
    </w:pPr>
  </w:style>
  <w:style w:type="character" w:styleId="16">
    <w:name w:val="footnote reference"/>
    <w:qFormat/>
    <w:uiPriority w:val="0"/>
    <w:rPr>
      <w:vertAlign w:val="superscript"/>
    </w:rPr>
  </w:style>
  <w:style w:type="character" w:customStyle="1" w:styleId="17">
    <w:name w:val="纯文本 字符"/>
    <w:basedOn w:val="15"/>
    <w:link w:val="5"/>
    <w:qFormat/>
    <w:uiPriority w:val="99"/>
    <w:rPr>
      <w:rFonts w:hAnsi="Courier New" w:cs="Courier New" w:asciiTheme="minorEastAsia" w:eastAsiaTheme="minorEastAsia"/>
      <w:kern w:val="2"/>
      <w:sz w:val="21"/>
      <w:szCs w:val="22"/>
    </w:rPr>
  </w:style>
  <w:style w:type="character" w:customStyle="1" w:styleId="18">
    <w:name w:val="fontstyle01"/>
    <w:basedOn w:val="15"/>
    <w:qFormat/>
    <w:uiPriority w:val="0"/>
    <w:rPr>
      <w:rFonts w:hint="eastAsia" w:ascii="仿宋_GB2312" w:eastAsia="仿宋_GB2312"/>
      <w:color w:val="000000"/>
      <w:sz w:val="32"/>
      <w:szCs w:val="32"/>
    </w:rPr>
  </w:style>
  <w:style w:type="character" w:customStyle="1" w:styleId="19">
    <w:name w:val="正文文本 字符"/>
    <w:basedOn w:val="15"/>
    <w:link w:val="4"/>
    <w:qFormat/>
    <w:uiPriority w:val="99"/>
    <w:rPr>
      <w:rFonts w:asciiTheme="minorHAnsi" w:hAnsiTheme="minorHAnsi" w:eastAsiaTheme="minorEastAsia" w:cstheme="minorBidi"/>
      <w:kern w:val="2"/>
      <w:sz w:val="21"/>
      <w:szCs w:val="24"/>
    </w:rPr>
  </w:style>
  <w:style w:type="paragraph" w:customStyle="1" w:styleId="20">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2653</Words>
  <Characters>2846</Characters>
  <Lines>36</Lines>
  <Paragraphs>10</Paragraphs>
  <TotalTime>0</TotalTime>
  <ScaleCrop>false</ScaleCrop>
  <LinksUpToDate>false</LinksUpToDate>
  <CharactersWithSpaces>2848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2023-08-26T06:46:00Z</dcterms:created>
  <dc:creator>PC</dc:creator>
  <cp:lastModifiedBy>zhouhl</cp:lastModifiedBy>
  <cp:lastPrinted>2024-07-26T13:58:00Z</cp:lastPrinted>
  <dcterms:modified xsi:type="dcterms:W3CDTF">2024-08-02T07:37:04Z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A9A1393C47724707BFFD6A9637013E02_13</vt:lpwstr>
  </property>
</Properties>
</file>