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b/>
          <w:sz w:val="24"/>
        </w:rPr>
      </w:pPr>
      <w:bookmarkStart w:id="0" w:name="OLE_LINK12"/>
      <w:r>
        <w:rPr>
          <w:rFonts w:hint="eastAsia" w:ascii="仿宋_GB2312" w:hAnsi="仿宋_GB2312" w:eastAsia="仿宋_GB2312" w:cs="仿宋_GB2312"/>
          <w:b/>
          <w:sz w:val="24"/>
        </w:rPr>
        <w:t>附件二：</w:t>
      </w:r>
    </w:p>
    <w:p>
      <w:pPr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深圳城市轨道地下空间智算中心暨AI推理应用产业园规划调整研究</w:t>
      </w:r>
      <w:bookmarkEnd w:id="0"/>
      <w:r>
        <w:rPr>
          <w:rFonts w:hint="eastAsia" w:ascii="微软雅黑" w:hAnsi="微软雅黑" w:eastAsia="微软雅黑"/>
          <w:b/>
          <w:sz w:val="44"/>
          <w:szCs w:val="44"/>
        </w:rPr>
        <w:t>工作任务书</w:t>
      </w:r>
    </w:p>
    <w:p>
      <w:pPr>
        <w:adjustRightInd w:val="0"/>
        <w:snapToGrid w:val="0"/>
        <w:spacing w:line="560" w:lineRule="exact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一、项目背景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深圳城市轨道地下空间智算中心暨AI推理应用产业园(暂定名，以下简称“项目”)拟选址位于龙岗区宝龙街道，周边主要以高尔夫+住宅区+工业园区为主，初步意向选址用地面积约 0.8公顷，拟建内容包括设备用房、研发用房、配套用房等，拟建设规模约 2.0万平方米。</w:t>
      </w:r>
    </w:p>
    <w:p>
      <w:pPr>
        <w:adjustRightInd w:val="0"/>
        <w:snapToGrid w:val="0"/>
        <w:spacing w:line="560" w:lineRule="exact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二、工作内容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项目选址范围、用地功能及建设规模需求，结合项目周边建设条件、土地征转情况等，开展法定图则调整工作，确定合理的项目规划用地功能、容积率、配套设施、空间控制等要求；按照法定图则调整编制技术指引要求，开展交通影响、市政承载力专项分析；负责法定图则调整各阶段报审材料制作及技术对接工作；负责法定图则调整公众展示；负责法定图则调整各阶段成果数字化汇交工作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主要内容如下：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530"/>
        <w:gridCol w:w="1785"/>
        <w:gridCol w:w="44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国标仿宋-GB/T 2312" w:hAnsi="国标仿宋-GB/T 2312" w:eastAsia="国标仿宋-GB/T 2312" w:cs="国标仿宋-GB/T 2312"/>
                <w:b/>
                <w:bCs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color w:val="000000"/>
                <w:kern w:val="0"/>
                <w:sz w:val="24"/>
                <w:lang w:bidi="ar"/>
              </w:rPr>
              <w:t>阶段</w:t>
            </w:r>
          </w:p>
        </w:tc>
        <w:tc>
          <w:tcPr>
            <w:tcW w:w="153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国标仿宋-GB/T 2312" w:hAnsi="国标仿宋-GB/T 2312" w:eastAsia="国标仿宋-GB/T 2312" w:cs="国标仿宋-GB/T 2312"/>
                <w:b/>
                <w:bCs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color w:val="000000"/>
                <w:kern w:val="0"/>
                <w:sz w:val="24"/>
                <w:lang w:bidi="ar"/>
              </w:rPr>
              <w:t>核心目标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国标仿宋-GB/T 2312" w:hAnsi="国标仿宋-GB/T 2312" w:eastAsia="国标仿宋-GB/T 2312" w:cs="国标仿宋-GB/T 2312"/>
                <w:b/>
                <w:bCs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color w:val="000000"/>
                <w:kern w:val="0"/>
                <w:sz w:val="24"/>
                <w:lang w:bidi="ar"/>
              </w:rPr>
              <w:t>主要工作</w:t>
            </w:r>
          </w:p>
        </w:tc>
        <w:tc>
          <w:tcPr>
            <w:tcW w:w="440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国标仿宋-GB/T 2312" w:hAnsi="国标仿宋-GB/T 2312" w:eastAsia="国标仿宋-GB/T 2312" w:cs="国标仿宋-GB/T 2312"/>
                <w:b/>
                <w:bCs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b/>
                <w:bCs/>
                <w:color w:val="000000"/>
                <w:kern w:val="0"/>
                <w:sz w:val="24"/>
                <w:lang w:bidi="ar"/>
              </w:rPr>
              <w:t>服务内容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>规划调整</w:t>
            </w:r>
          </w:p>
          <w:p>
            <w:pPr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</w:p>
        </w:tc>
        <w:tc>
          <w:tcPr>
            <w:tcW w:w="153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>确定规划、用地指标</w:t>
            </w:r>
          </w:p>
          <w:p>
            <w:pPr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</w:p>
        </w:tc>
        <w:tc>
          <w:tcPr>
            <w:tcW w:w="17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>编制规划调整报告、启动规划调整、征求意见、公众展示、规划批复</w:t>
            </w:r>
          </w:p>
        </w:tc>
        <w:tc>
          <w:tcPr>
            <w:tcW w:w="4401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 xml:space="preserve">1.负责编制规划调整研究报告； 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 xml:space="preserve">2.负责法定图则调整各阶段报审材料制作及技术对接工作； 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>3.按照《法定图则调整编制技术指引》要求，开展交通影响、市政承载力专项分析；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 xml:space="preserve">4.负责规划调整过程中各职能部门意见的处理与解释工作； 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>5.负责规划调整各阶段空间数据汇交处理及汇交工作；</w:t>
            </w:r>
          </w:p>
          <w:p>
            <w:pPr>
              <w:widowControl/>
              <w:adjustRightInd w:val="0"/>
              <w:snapToGrid w:val="0"/>
              <w:spacing w:line="240" w:lineRule="auto"/>
              <w:jc w:val="both"/>
              <w:rPr>
                <w:rFonts w:ascii="国标仿宋-GB/T 2312" w:hAnsi="国标仿宋-GB/T 2312" w:eastAsia="国标仿宋-GB/T 2312" w:cs="国标仿宋-GB/T 2312"/>
                <w:sz w:val="24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color w:val="000000"/>
                <w:kern w:val="0"/>
                <w:sz w:val="24"/>
                <w:lang w:bidi="ar"/>
              </w:rPr>
              <w:t>6.负责协调规划调整公众展示工作。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2" w:firstLineChars="20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三、工作成果</w:t>
      </w:r>
    </w:p>
    <w:p>
      <w:pPr>
        <w:adjustRightInd w:val="0"/>
        <w:snapToGrid w:val="0"/>
        <w:spacing w:line="560" w:lineRule="exact"/>
        <w:ind w:firstLine="640" w:firstLineChars="200"/>
      </w:pPr>
      <w:bookmarkStart w:id="1" w:name="OLE_LINK4"/>
      <w:r>
        <w:rPr>
          <w:rFonts w:hint="eastAsia" w:ascii="Times New Roman" w:hAnsi="Times New Roman" w:eastAsia="仿宋_GB2312" w:cs="仿宋_GB2312"/>
          <w:sz w:val="32"/>
          <w:szCs w:val="32"/>
        </w:rPr>
        <w:t>所有成果应满足深圳市相关法规及标准规范的要求，应符合城市规划行政主管部门有关规划成果报批和管理的要求。各阶段提交成果除政府相关部门需要数量外需另提供委托方不少于1套纸质文件及一份电子文件，其中最终成果文件应不少于4套纸质文件及1份电子文件。</w:t>
      </w:r>
    </w:p>
    <w:bookmarkEnd w:id="1"/>
    <w:p>
      <w:pPr>
        <w:adjustRightInd w:val="0"/>
        <w:snapToGrid w:val="0"/>
        <w:spacing w:line="560" w:lineRule="exact"/>
        <w:ind w:firstLine="642" w:firstLineChars="20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四、服务期限要求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合同签署后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个月内完成工作成果的交付与验收（不包括政府主管部门排会和审查时间），具体工作节点以委托方及各主管部门要求为准。服务方需密切配合委托方，根据委托方需求及时提交相关文件，配合委托方与政府相关部门协调沟通。</w:t>
      </w:r>
    </w:p>
    <w:p>
      <w:pPr>
        <w:adjustRightInd w:val="0"/>
        <w:snapToGrid w:val="0"/>
        <w:spacing w:line="560" w:lineRule="exact"/>
        <w:ind w:firstLine="642" w:firstLineChars="200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五、费用支付与履约考核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highlight w:val="none"/>
        </w:rPr>
        <w:t>合同签订完成后，乙方提交初步成果并经甲方认可后，乙方提交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书面付款</w:t>
      </w:r>
      <w:r>
        <w:rPr>
          <w:rFonts w:hint="eastAsia" w:ascii="仿宋" w:hAnsi="仿宋" w:eastAsia="仿宋"/>
          <w:sz w:val="32"/>
          <w:szCs w:val="32"/>
          <w:highlight w:val="none"/>
        </w:rPr>
        <w:t>申请，甲方支付合同总金额的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highlight w:val="none"/>
        </w:rPr>
        <w:t>0%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2.乙方向甲方提交修改后的成果并通过龙岗区规资局专题会审议后，</w:t>
      </w:r>
      <w:r>
        <w:rPr>
          <w:rFonts w:hint="eastAsia" w:ascii="仿宋" w:hAnsi="仿宋" w:eastAsia="仿宋"/>
          <w:sz w:val="32"/>
          <w:szCs w:val="32"/>
          <w:highlight w:val="none"/>
        </w:rPr>
        <w:t>乙方提交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书面付款</w:t>
      </w:r>
      <w:r>
        <w:rPr>
          <w:rFonts w:hint="eastAsia" w:ascii="仿宋" w:hAnsi="仿宋" w:eastAsia="仿宋"/>
          <w:sz w:val="32"/>
          <w:szCs w:val="32"/>
          <w:highlight w:val="none"/>
        </w:rPr>
        <w:t>申请，甲方支付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至</w:t>
      </w:r>
      <w:r>
        <w:rPr>
          <w:rFonts w:hint="eastAsia" w:ascii="仿宋" w:hAnsi="仿宋" w:eastAsia="仿宋"/>
          <w:sz w:val="32"/>
          <w:szCs w:val="32"/>
          <w:highlight w:val="none"/>
        </w:rPr>
        <w:t>合同总金额的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50%。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3.最终成果通过政府主管部门审批后（具体审批程序和主管部门审批层级以项目推进实际需要为准），乙方向甲方提交最终成果并提出书面付款申请，甲方确认后支付至合同总金额的90%。</w:t>
      </w:r>
      <w:bookmarkStart w:id="2" w:name="_GoBack"/>
      <w:bookmarkEnd w:id="2"/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  <w:highlight w:val="none"/>
        </w:rPr>
        <w:t>.剩余合同价的10%为履约考核评价费</w:t>
      </w:r>
      <w:r>
        <w:rPr>
          <w:rFonts w:hint="eastAsia" w:ascii="仿宋" w:hAnsi="仿宋" w:eastAsia="仿宋"/>
          <w:sz w:val="32"/>
          <w:szCs w:val="32"/>
        </w:rPr>
        <w:t>，根据履约考核评价结果进行支付，在服务完成后启动履约评价，根据履约评价得分支付，履约考核评价为合格或以上等级的，支付全部；履约考核评价为不合格的，不予支付。服务方参与投标、签订合同视为接受委托方的单方履约评价结果，同意由委托方根据单方履约评价结果支付履约考核评价费。</w:t>
      </w:r>
    </w:p>
    <w:p>
      <w:pPr>
        <w:pStyle w:val="2"/>
        <w:adjustRightInd w:val="0"/>
        <w:snapToGrid w:val="0"/>
        <w:spacing w:line="560" w:lineRule="exact"/>
        <w:ind w:firstLine="642" w:firstLineChars="200"/>
      </w:pPr>
      <w:r>
        <w:rPr>
          <w:rFonts w:hint="eastAsia" w:ascii="仿宋" w:hAnsi="仿宋" w:eastAsia="仿宋"/>
          <w:b/>
          <w:bCs/>
          <w:sz w:val="32"/>
          <w:szCs w:val="32"/>
        </w:rPr>
        <w:t>备注</w:t>
      </w:r>
      <w:r>
        <w:rPr>
          <w:rFonts w:hint="eastAsia" w:ascii="仿宋" w:hAnsi="仿宋" w:eastAsia="仿宋"/>
          <w:sz w:val="32"/>
          <w:szCs w:val="32"/>
        </w:rPr>
        <w:t>：公示费（若</w:t>
      </w:r>
      <w:r>
        <w:rPr>
          <w:rFonts w:hint="eastAsia" w:ascii="仿宋" w:hAnsi="仿宋" w:eastAsia="仿宋"/>
          <w:sz w:val="32"/>
          <w:szCs w:val="32"/>
          <w:lang w:eastAsia="zh-CN"/>
        </w:rPr>
        <w:t>需</w:t>
      </w:r>
      <w:r>
        <w:rPr>
          <w:rFonts w:hint="eastAsia" w:ascii="仿宋" w:hAnsi="仿宋" w:eastAsia="仿宋"/>
          <w:sz w:val="32"/>
          <w:szCs w:val="32"/>
        </w:rPr>
        <w:t>）包含在报价内；在合同履行期间，如因委托方需要或项目推进要求，需对相关阶段性成果或最终成果组织专家评审的，相关评审费用（若有）包含在报价之内，委托方不另行支付。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129"/>
    <w:rsid w:val="000205CE"/>
    <w:rsid w:val="000C6CA5"/>
    <w:rsid w:val="00146BB0"/>
    <w:rsid w:val="00287129"/>
    <w:rsid w:val="003619A0"/>
    <w:rsid w:val="0049061A"/>
    <w:rsid w:val="00490E9B"/>
    <w:rsid w:val="006915EE"/>
    <w:rsid w:val="00711D95"/>
    <w:rsid w:val="008533D3"/>
    <w:rsid w:val="00924E7B"/>
    <w:rsid w:val="00934BAD"/>
    <w:rsid w:val="009D2084"/>
    <w:rsid w:val="00D15A52"/>
    <w:rsid w:val="00F635AE"/>
    <w:rsid w:val="07FFFF00"/>
    <w:rsid w:val="0DDEEC26"/>
    <w:rsid w:val="0DFD6F9D"/>
    <w:rsid w:val="0FFC1522"/>
    <w:rsid w:val="10EFFBA7"/>
    <w:rsid w:val="12FB59A2"/>
    <w:rsid w:val="17B7CF04"/>
    <w:rsid w:val="17CF44CC"/>
    <w:rsid w:val="19F4639A"/>
    <w:rsid w:val="1BEF0FDF"/>
    <w:rsid w:val="1BFBD205"/>
    <w:rsid w:val="1FCEA588"/>
    <w:rsid w:val="23BA04B3"/>
    <w:rsid w:val="23EF241A"/>
    <w:rsid w:val="253FC92D"/>
    <w:rsid w:val="272C2677"/>
    <w:rsid w:val="27BF0785"/>
    <w:rsid w:val="2C8FD1B7"/>
    <w:rsid w:val="2DBEA5E7"/>
    <w:rsid w:val="2F1FDF3C"/>
    <w:rsid w:val="2FB70AC1"/>
    <w:rsid w:val="2FDA7F50"/>
    <w:rsid w:val="367E0B70"/>
    <w:rsid w:val="37310EC4"/>
    <w:rsid w:val="377B3225"/>
    <w:rsid w:val="377F71EF"/>
    <w:rsid w:val="39FFF084"/>
    <w:rsid w:val="3BE77657"/>
    <w:rsid w:val="3BFD779F"/>
    <w:rsid w:val="3BFDB313"/>
    <w:rsid w:val="3CF3AB4D"/>
    <w:rsid w:val="3F3F22C3"/>
    <w:rsid w:val="3F6AF106"/>
    <w:rsid w:val="3FB3B239"/>
    <w:rsid w:val="3FB7B781"/>
    <w:rsid w:val="3FBEA9A0"/>
    <w:rsid w:val="3FDD545F"/>
    <w:rsid w:val="3FFA3B02"/>
    <w:rsid w:val="3FFB1101"/>
    <w:rsid w:val="46BF0B32"/>
    <w:rsid w:val="46EF8A48"/>
    <w:rsid w:val="4DECEE48"/>
    <w:rsid w:val="4F7D0E80"/>
    <w:rsid w:val="4F7F087B"/>
    <w:rsid w:val="4FDF997C"/>
    <w:rsid w:val="53EF0CC2"/>
    <w:rsid w:val="55F180A8"/>
    <w:rsid w:val="56FE640C"/>
    <w:rsid w:val="57A4CB66"/>
    <w:rsid w:val="599FF5DA"/>
    <w:rsid w:val="5AF71B04"/>
    <w:rsid w:val="5AFEB324"/>
    <w:rsid w:val="5BF736E5"/>
    <w:rsid w:val="5BFEB1AD"/>
    <w:rsid w:val="5DDD6060"/>
    <w:rsid w:val="5DEC3FCA"/>
    <w:rsid w:val="5DED8543"/>
    <w:rsid w:val="5EBCCF36"/>
    <w:rsid w:val="5F6B1ED0"/>
    <w:rsid w:val="5F7FE7B3"/>
    <w:rsid w:val="5F91468C"/>
    <w:rsid w:val="5F95F507"/>
    <w:rsid w:val="5F96C225"/>
    <w:rsid w:val="5FA9277B"/>
    <w:rsid w:val="5FBB075B"/>
    <w:rsid w:val="5FDADF98"/>
    <w:rsid w:val="5FDB193D"/>
    <w:rsid w:val="5FDF0DBA"/>
    <w:rsid w:val="5FF985A7"/>
    <w:rsid w:val="5FFA76D6"/>
    <w:rsid w:val="60B72CDC"/>
    <w:rsid w:val="639F8220"/>
    <w:rsid w:val="63E330CA"/>
    <w:rsid w:val="65DF058E"/>
    <w:rsid w:val="669FCBD2"/>
    <w:rsid w:val="66F67D09"/>
    <w:rsid w:val="66F73084"/>
    <w:rsid w:val="67027561"/>
    <w:rsid w:val="67FFD3C1"/>
    <w:rsid w:val="69EF2263"/>
    <w:rsid w:val="6AB5CA04"/>
    <w:rsid w:val="6AED2F95"/>
    <w:rsid w:val="6B8FE7CC"/>
    <w:rsid w:val="6BDF7F63"/>
    <w:rsid w:val="6BFBC691"/>
    <w:rsid w:val="6C7FBBDC"/>
    <w:rsid w:val="6EBF0366"/>
    <w:rsid w:val="6EDF6D6A"/>
    <w:rsid w:val="6F7C840D"/>
    <w:rsid w:val="6F87FD76"/>
    <w:rsid w:val="6FF4BBFB"/>
    <w:rsid w:val="709F1BB2"/>
    <w:rsid w:val="72DF143E"/>
    <w:rsid w:val="73BE1221"/>
    <w:rsid w:val="73FF9CDD"/>
    <w:rsid w:val="7567F228"/>
    <w:rsid w:val="75D3BE12"/>
    <w:rsid w:val="75F262C9"/>
    <w:rsid w:val="763BEBC9"/>
    <w:rsid w:val="766FCBE8"/>
    <w:rsid w:val="76FB1722"/>
    <w:rsid w:val="777DD775"/>
    <w:rsid w:val="77DF9989"/>
    <w:rsid w:val="77E7767F"/>
    <w:rsid w:val="77FF4BBB"/>
    <w:rsid w:val="7917E98A"/>
    <w:rsid w:val="79FBC847"/>
    <w:rsid w:val="7B141E90"/>
    <w:rsid w:val="7B5B0E02"/>
    <w:rsid w:val="7B635B18"/>
    <w:rsid w:val="7B984DD0"/>
    <w:rsid w:val="7BD38249"/>
    <w:rsid w:val="7BEB697E"/>
    <w:rsid w:val="7BFAE467"/>
    <w:rsid w:val="7BFF35D2"/>
    <w:rsid w:val="7BFF5789"/>
    <w:rsid w:val="7BFF6280"/>
    <w:rsid w:val="7C7E0254"/>
    <w:rsid w:val="7C9C6E51"/>
    <w:rsid w:val="7CB7F4D4"/>
    <w:rsid w:val="7CF27551"/>
    <w:rsid w:val="7CFB368C"/>
    <w:rsid w:val="7D2BF6C7"/>
    <w:rsid w:val="7DBDD27E"/>
    <w:rsid w:val="7DBEDABC"/>
    <w:rsid w:val="7DFB4E90"/>
    <w:rsid w:val="7DFD482A"/>
    <w:rsid w:val="7DFE6ED8"/>
    <w:rsid w:val="7DFFFE75"/>
    <w:rsid w:val="7E1684BA"/>
    <w:rsid w:val="7E709732"/>
    <w:rsid w:val="7EDE04AA"/>
    <w:rsid w:val="7EFAB117"/>
    <w:rsid w:val="7EFF2716"/>
    <w:rsid w:val="7EFF67E7"/>
    <w:rsid w:val="7F59EB01"/>
    <w:rsid w:val="7F5FDB27"/>
    <w:rsid w:val="7F6D033D"/>
    <w:rsid w:val="7FBEFEC0"/>
    <w:rsid w:val="7FBF3D2B"/>
    <w:rsid w:val="7FCB10A4"/>
    <w:rsid w:val="7FCF50A3"/>
    <w:rsid w:val="7FD706AF"/>
    <w:rsid w:val="7FDFD540"/>
    <w:rsid w:val="7FE733D9"/>
    <w:rsid w:val="7FEB63C8"/>
    <w:rsid w:val="7FEF3AA0"/>
    <w:rsid w:val="7FEF662F"/>
    <w:rsid w:val="7FF5E3B6"/>
    <w:rsid w:val="7FF5F70B"/>
    <w:rsid w:val="7FFA4E0B"/>
    <w:rsid w:val="7FFA5BAA"/>
    <w:rsid w:val="7FFBB709"/>
    <w:rsid w:val="7FFC532C"/>
    <w:rsid w:val="7FFD53E4"/>
    <w:rsid w:val="7FFD7E23"/>
    <w:rsid w:val="7FFE28BD"/>
    <w:rsid w:val="7FFF5106"/>
    <w:rsid w:val="7FFF6727"/>
    <w:rsid w:val="7FFFDC27"/>
    <w:rsid w:val="7FFFFB82"/>
    <w:rsid w:val="8B23B96E"/>
    <w:rsid w:val="8CFEA056"/>
    <w:rsid w:val="8DE9C46E"/>
    <w:rsid w:val="8FF3B6BF"/>
    <w:rsid w:val="8FFD725E"/>
    <w:rsid w:val="93E69E12"/>
    <w:rsid w:val="95A33ADB"/>
    <w:rsid w:val="96CD79E2"/>
    <w:rsid w:val="975BC3A8"/>
    <w:rsid w:val="99FF1031"/>
    <w:rsid w:val="9E7D5449"/>
    <w:rsid w:val="9FFF39E0"/>
    <w:rsid w:val="A6FB4013"/>
    <w:rsid w:val="A7EF6F5F"/>
    <w:rsid w:val="AD6F3B35"/>
    <w:rsid w:val="ADADA0C5"/>
    <w:rsid w:val="ADB77AC0"/>
    <w:rsid w:val="B2FB5005"/>
    <w:rsid w:val="B4DFA2B7"/>
    <w:rsid w:val="B6FD107D"/>
    <w:rsid w:val="B7EF6441"/>
    <w:rsid w:val="B7FFF500"/>
    <w:rsid w:val="BB778919"/>
    <w:rsid w:val="BBDAC1EE"/>
    <w:rsid w:val="BBF135B0"/>
    <w:rsid w:val="BBFB1A97"/>
    <w:rsid w:val="BBFFAD28"/>
    <w:rsid w:val="BCFF62F1"/>
    <w:rsid w:val="BDF707B7"/>
    <w:rsid w:val="BEFE6230"/>
    <w:rsid w:val="BF1F3441"/>
    <w:rsid w:val="BF3A3DA5"/>
    <w:rsid w:val="BF9F55F1"/>
    <w:rsid w:val="BFCF8781"/>
    <w:rsid w:val="BFDBA371"/>
    <w:rsid w:val="BFDEBBFD"/>
    <w:rsid w:val="BFFF8CD7"/>
    <w:rsid w:val="C7FAEAC6"/>
    <w:rsid w:val="CF7BBD68"/>
    <w:rsid w:val="CFCF837E"/>
    <w:rsid w:val="CFE64508"/>
    <w:rsid w:val="CFFF4439"/>
    <w:rsid w:val="D69FEFAA"/>
    <w:rsid w:val="D77B43A1"/>
    <w:rsid w:val="D7B7A614"/>
    <w:rsid w:val="D7E7D849"/>
    <w:rsid w:val="D7FA2D55"/>
    <w:rsid w:val="D7FE0D7B"/>
    <w:rsid w:val="DA7FC3D9"/>
    <w:rsid w:val="DBF9CDE4"/>
    <w:rsid w:val="DBFE1F97"/>
    <w:rsid w:val="DBFF7EA7"/>
    <w:rsid w:val="DDEE382D"/>
    <w:rsid w:val="DDFCD298"/>
    <w:rsid w:val="DF56BD9E"/>
    <w:rsid w:val="DF791631"/>
    <w:rsid w:val="DFBB875E"/>
    <w:rsid w:val="DFBF08FF"/>
    <w:rsid w:val="DFCABCD3"/>
    <w:rsid w:val="DFDB3480"/>
    <w:rsid w:val="DFDDD2CE"/>
    <w:rsid w:val="DFDF2E58"/>
    <w:rsid w:val="DFEE1F97"/>
    <w:rsid w:val="E7770040"/>
    <w:rsid w:val="E9E39C6A"/>
    <w:rsid w:val="E9FF7274"/>
    <w:rsid w:val="EBA7BE88"/>
    <w:rsid w:val="EBFB336F"/>
    <w:rsid w:val="EBFDE846"/>
    <w:rsid w:val="ED2F0304"/>
    <w:rsid w:val="EDFF4EB5"/>
    <w:rsid w:val="EF199BB2"/>
    <w:rsid w:val="EF3AD89E"/>
    <w:rsid w:val="EF6F8CCC"/>
    <w:rsid w:val="EF7F6509"/>
    <w:rsid w:val="EF7FE78B"/>
    <w:rsid w:val="EF997614"/>
    <w:rsid w:val="EFBBA3DC"/>
    <w:rsid w:val="EFC78D67"/>
    <w:rsid w:val="EFDFD69D"/>
    <w:rsid w:val="EFF1A19F"/>
    <w:rsid w:val="EFFB41B1"/>
    <w:rsid w:val="EFFFB8D4"/>
    <w:rsid w:val="EFFFDC23"/>
    <w:rsid w:val="F34D2D28"/>
    <w:rsid w:val="F3ECFCE8"/>
    <w:rsid w:val="F45A93A1"/>
    <w:rsid w:val="F5BD4097"/>
    <w:rsid w:val="F5E77C45"/>
    <w:rsid w:val="F5F29614"/>
    <w:rsid w:val="F67F8657"/>
    <w:rsid w:val="F6DDB1F1"/>
    <w:rsid w:val="F72DCC31"/>
    <w:rsid w:val="F76E4644"/>
    <w:rsid w:val="F7BA8DA8"/>
    <w:rsid w:val="F7D9EF9C"/>
    <w:rsid w:val="F7DEFAA6"/>
    <w:rsid w:val="F7DF4727"/>
    <w:rsid w:val="F7EA5E20"/>
    <w:rsid w:val="F7FDAC49"/>
    <w:rsid w:val="F86791DA"/>
    <w:rsid w:val="F8AF2BA1"/>
    <w:rsid w:val="F8FB40CE"/>
    <w:rsid w:val="F9EFAAAE"/>
    <w:rsid w:val="FBAEFE61"/>
    <w:rsid w:val="FBEC4CD7"/>
    <w:rsid w:val="FBEE4544"/>
    <w:rsid w:val="FBEEB13A"/>
    <w:rsid w:val="FBF7DF17"/>
    <w:rsid w:val="FBFA4115"/>
    <w:rsid w:val="FBFF5C45"/>
    <w:rsid w:val="FC7B68BC"/>
    <w:rsid w:val="FCCFD9B2"/>
    <w:rsid w:val="FCFC1D94"/>
    <w:rsid w:val="FD0A872E"/>
    <w:rsid w:val="FD3FA801"/>
    <w:rsid w:val="FD5968C5"/>
    <w:rsid w:val="FD7B485D"/>
    <w:rsid w:val="FDC58D5A"/>
    <w:rsid w:val="FDCF0DD3"/>
    <w:rsid w:val="FDD3BD60"/>
    <w:rsid w:val="FDEF643C"/>
    <w:rsid w:val="FDF7761C"/>
    <w:rsid w:val="FDFCE680"/>
    <w:rsid w:val="FDFE48F5"/>
    <w:rsid w:val="FEB785EF"/>
    <w:rsid w:val="FEC72192"/>
    <w:rsid w:val="FEDE8671"/>
    <w:rsid w:val="FEDF62D6"/>
    <w:rsid w:val="FEEB4CFB"/>
    <w:rsid w:val="FEF3A2BE"/>
    <w:rsid w:val="FEFCF243"/>
    <w:rsid w:val="FEFDE943"/>
    <w:rsid w:val="FF2B451F"/>
    <w:rsid w:val="FF2F5F5F"/>
    <w:rsid w:val="FF6CA34B"/>
    <w:rsid w:val="FF7671D8"/>
    <w:rsid w:val="FF7A8C4B"/>
    <w:rsid w:val="FF7E55DC"/>
    <w:rsid w:val="FF9F4368"/>
    <w:rsid w:val="FFABE5EB"/>
    <w:rsid w:val="FFBCA574"/>
    <w:rsid w:val="FFBEE062"/>
    <w:rsid w:val="FFDBD400"/>
    <w:rsid w:val="FFDD0373"/>
    <w:rsid w:val="FFDED365"/>
    <w:rsid w:val="FFDEF803"/>
    <w:rsid w:val="FFF48C0A"/>
    <w:rsid w:val="FFFE6801"/>
    <w:rsid w:val="FFFEFFC1"/>
    <w:rsid w:val="FFFFB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5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6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7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8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9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10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0"/>
    <w:rPr>
      <w:rFonts w:ascii="宋体" w:hAnsi="Courier New"/>
      <w:kern w:val="0"/>
      <w:sz w:val="20"/>
      <w:szCs w:val="21"/>
    </w:rPr>
  </w:style>
  <w:style w:type="paragraph" w:styleId="3">
    <w:name w:val="index 8"/>
    <w:basedOn w:val="1"/>
    <w:next w:val="1"/>
    <w:semiHidden/>
    <w:qFormat/>
    <w:uiPriority w:val="0"/>
    <w:pPr>
      <w:ind w:left="1680" w:hanging="210"/>
    </w:pPr>
    <w:rPr>
      <w:sz w:val="20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1 字符"/>
    <w:basedOn w:val="19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9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9"/>
    <w:link w:val="6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9"/>
    <w:link w:val="7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9"/>
    <w:link w:val="8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9"/>
    <w:link w:val="9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9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9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9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9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9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9"/>
    <w:link w:val="14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9">
    <w:name w:val="页脚 字符"/>
    <w:basedOn w:val="19"/>
    <w:link w:val="13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184</Words>
  <Characters>1053</Characters>
  <Lines>8</Lines>
  <Paragraphs>2</Paragraphs>
  <TotalTime>25</TotalTime>
  <ScaleCrop>false</ScaleCrop>
  <LinksUpToDate>false</LinksUpToDate>
  <CharactersWithSpaces>1235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2026-08-13T18:00:00Z</dcterms:created>
  <dc:creator>x</dc:creator>
  <cp:lastModifiedBy>罗淑华</cp:lastModifiedBy>
  <dcterms:modified xsi:type="dcterms:W3CDTF">2026-10-30T14:16:06Z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74D5FD777F435FA584104E6A1160908A</vt:lpwstr>
  </property>
</Properties>
</file>