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9D09B">
      <w:pPr>
        <w:ind w:firstLine="3654" w:firstLineChars="1300"/>
        <w:rPr>
          <w:rFonts w:hint="eastAsia" w:ascii="宋体" w:hAnsi="宋体" w:eastAsia="黑体"/>
          <w:b/>
          <w:bCs/>
          <w:color w:val="auto"/>
          <w:kern w:val="44"/>
          <w:sz w:val="28"/>
          <w:szCs w:val="44"/>
        </w:rPr>
      </w:pPr>
      <w:bookmarkStart w:id="0" w:name="_Hlk71456902"/>
      <w:r>
        <w:rPr>
          <w:rFonts w:hint="eastAsia" w:ascii="宋体" w:hAnsi="宋体" w:eastAsia="黑体"/>
          <w:b/>
          <w:bCs/>
          <w:color w:val="auto"/>
          <w:kern w:val="44"/>
          <w:sz w:val="28"/>
          <w:szCs w:val="44"/>
          <w:lang w:val="en-US" w:eastAsia="zh-CN"/>
        </w:rPr>
        <w:t>特别</w:t>
      </w:r>
      <w:r>
        <w:rPr>
          <w:rFonts w:hint="eastAsia" w:ascii="宋体" w:hAnsi="宋体" w:eastAsia="黑体"/>
          <w:b/>
          <w:bCs/>
          <w:color w:val="auto"/>
          <w:kern w:val="44"/>
          <w:sz w:val="28"/>
          <w:szCs w:val="44"/>
        </w:rPr>
        <w:t>警示条款</w:t>
      </w:r>
    </w:p>
    <w:p w14:paraId="6FA56A97">
      <w:pPr>
        <w:pStyle w:val="39"/>
        <w:rPr>
          <w:color w:val="auto"/>
        </w:rPr>
      </w:pPr>
    </w:p>
    <w:p w14:paraId="3362E6E7">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ind w:firstLine="422" w:firstLineChars="200"/>
        <w:jc w:val="both"/>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2"/>
        <w:gridCol w:w="8502"/>
      </w:tblGrid>
      <w:tr w14:paraId="447A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0758E8FC">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序号</w:t>
            </w:r>
          </w:p>
        </w:tc>
        <w:tc>
          <w:tcPr>
            <w:tcW w:w="4524" w:type="pct"/>
            <w:tcBorders>
              <w:tl2br w:val="nil"/>
              <w:tr2bl w:val="nil"/>
            </w:tcBorders>
            <w:noWrap w:val="0"/>
            <w:vAlign w:val="center"/>
          </w:tcPr>
          <w:p w14:paraId="50F0187A">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b/>
                <w:bCs/>
                <w:color w:val="auto"/>
                <w:kern w:val="2"/>
                <w:sz w:val="21"/>
                <w:szCs w:val="21"/>
                <w:highlight w:val="none"/>
                <w:lang w:val="en-US" w:eastAsia="zh-CN"/>
              </w:rPr>
              <w:t>供应商参与投标禁止情形</w:t>
            </w:r>
          </w:p>
        </w:tc>
      </w:tr>
      <w:tr w14:paraId="2F814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07F9D3B0">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1</w:t>
            </w:r>
          </w:p>
        </w:tc>
        <w:tc>
          <w:tcPr>
            <w:tcW w:w="4524" w:type="pct"/>
            <w:tcBorders>
              <w:tl2br w:val="nil"/>
              <w:tr2bl w:val="nil"/>
            </w:tcBorders>
            <w:noWrap w:val="0"/>
            <w:vAlign w:val="center"/>
          </w:tcPr>
          <w:p w14:paraId="3CD55882">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与其他投标供应商的法定代表人、主要经营负责人、投标授权代表人、项目负责人、主要技术人员为</w:t>
            </w:r>
            <w:r>
              <w:rPr>
                <w:rFonts w:hint="eastAsia" w:ascii="宋体" w:hAnsi="宋体" w:eastAsia="宋体" w:cs="宋体"/>
                <w:b/>
                <w:bCs/>
                <w:color w:val="auto"/>
                <w:kern w:val="2"/>
                <w:sz w:val="21"/>
                <w:szCs w:val="21"/>
                <w:highlight w:val="none"/>
                <w:lang w:val="en-US" w:eastAsia="zh-CN"/>
              </w:rPr>
              <w:t>同一人、属同一单位或者在同一单位缴纳社会保险</w:t>
            </w:r>
            <w:r>
              <w:rPr>
                <w:rFonts w:hint="eastAsia" w:ascii="宋体" w:hAnsi="宋体" w:eastAsia="宋体" w:cs="宋体"/>
                <w:color w:val="auto"/>
                <w:kern w:val="2"/>
                <w:sz w:val="21"/>
                <w:szCs w:val="21"/>
                <w:highlight w:val="none"/>
                <w:lang w:val="en-US" w:eastAsia="zh-CN"/>
              </w:rPr>
              <w:t>。</w:t>
            </w:r>
          </w:p>
        </w:tc>
      </w:tr>
      <w:tr w14:paraId="36B37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7B2E64AD">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2</w:t>
            </w:r>
          </w:p>
        </w:tc>
        <w:tc>
          <w:tcPr>
            <w:tcW w:w="4524" w:type="pct"/>
            <w:tcBorders>
              <w:tl2br w:val="nil"/>
              <w:tr2bl w:val="nil"/>
            </w:tcBorders>
            <w:noWrap w:val="0"/>
            <w:vAlign w:val="center"/>
          </w:tcPr>
          <w:p w14:paraId="282B4F6D">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参与本项目政府采购活动时，与其他投标供应商存在单位负责人为</w:t>
            </w:r>
            <w:r>
              <w:rPr>
                <w:rFonts w:hint="eastAsia" w:ascii="宋体" w:hAnsi="宋体" w:eastAsia="宋体" w:cs="宋体"/>
                <w:b/>
                <w:bCs/>
                <w:color w:val="auto"/>
                <w:kern w:val="2"/>
                <w:sz w:val="21"/>
                <w:szCs w:val="21"/>
                <w:highlight w:val="none"/>
                <w:lang w:val="en-US" w:eastAsia="zh-CN"/>
              </w:rPr>
              <w:t>同一人或直接控股、管理关系</w:t>
            </w:r>
            <w:r>
              <w:rPr>
                <w:rFonts w:hint="eastAsia" w:ascii="宋体" w:hAnsi="宋体" w:eastAsia="宋体" w:cs="宋体"/>
                <w:color w:val="auto"/>
                <w:kern w:val="2"/>
                <w:sz w:val="21"/>
                <w:szCs w:val="21"/>
                <w:highlight w:val="none"/>
                <w:lang w:val="en-US" w:eastAsia="zh-CN"/>
              </w:rPr>
              <w:t>。</w:t>
            </w:r>
          </w:p>
        </w:tc>
      </w:tr>
      <w:tr w14:paraId="1A39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01ECAE74">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3</w:t>
            </w:r>
          </w:p>
        </w:tc>
        <w:tc>
          <w:tcPr>
            <w:tcW w:w="4524" w:type="pct"/>
            <w:tcBorders>
              <w:tl2br w:val="nil"/>
              <w:tr2bl w:val="nil"/>
            </w:tcBorders>
            <w:noWrap w:val="0"/>
            <w:vAlign w:val="center"/>
          </w:tcPr>
          <w:p w14:paraId="611F48A9">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与其他投标供应商的投标文件或部分投标文件</w:t>
            </w:r>
            <w:r>
              <w:rPr>
                <w:rFonts w:hint="eastAsia" w:ascii="宋体" w:hAnsi="宋体" w:eastAsia="宋体" w:cs="宋体"/>
                <w:b/>
                <w:bCs/>
                <w:color w:val="auto"/>
                <w:kern w:val="2"/>
                <w:sz w:val="21"/>
                <w:szCs w:val="21"/>
                <w:highlight w:val="none"/>
                <w:lang w:val="en-US" w:eastAsia="zh-CN"/>
              </w:rPr>
              <w:t>相互混装或存在非正常一致</w:t>
            </w:r>
            <w:r>
              <w:rPr>
                <w:rFonts w:hint="eastAsia" w:ascii="宋体" w:hAnsi="宋体" w:eastAsia="宋体" w:cs="宋体"/>
                <w:color w:val="auto"/>
                <w:kern w:val="2"/>
                <w:sz w:val="21"/>
                <w:szCs w:val="21"/>
                <w:highlight w:val="none"/>
                <w:lang w:val="en-US" w:eastAsia="zh-CN"/>
              </w:rPr>
              <w:t>。</w:t>
            </w:r>
          </w:p>
        </w:tc>
      </w:tr>
      <w:tr w14:paraId="08B56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700CEF77">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4</w:t>
            </w:r>
          </w:p>
        </w:tc>
        <w:tc>
          <w:tcPr>
            <w:tcW w:w="4524" w:type="pct"/>
            <w:tcBorders>
              <w:tl2br w:val="nil"/>
              <w:tr2bl w:val="nil"/>
            </w:tcBorders>
            <w:noWrap w:val="0"/>
            <w:vAlign w:val="center"/>
          </w:tcPr>
          <w:p w14:paraId="201CEC1A">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rPr>
              <w:t>与其他投标供应商的投标文件由</w:t>
            </w:r>
            <w:r>
              <w:rPr>
                <w:rFonts w:hint="eastAsia" w:ascii="宋体" w:hAnsi="宋体" w:eastAsia="宋体" w:cs="宋体"/>
                <w:b/>
                <w:bCs/>
                <w:color w:val="auto"/>
                <w:kern w:val="2"/>
                <w:sz w:val="21"/>
                <w:szCs w:val="21"/>
                <w:highlight w:val="none"/>
                <w:lang w:val="en-US" w:eastAsia="zh-CN"/>
              </w:rPr>
              <w:t>同一单位或者同一人编制</w:t>
            </w:r>
            <w:r>
              <w:rPr>
                <w:rFonts w:hint="eastAsia" w:ascii="宋体" w:hAnsi="宋体" w:eastAsia="宋体" w:cs="宋体"/>
                <w:color w:val="auto"/>
                <w:kern w:val="2"/>
                <w:sz w:val="21"/>
                <w:szCs w:val="21"/>
                <w:highlight w:val="none"/>
                <w:lang w:val="en-US" w:eastAsia="zh-CN"/>
              </w:rPr>
              <w:t>，或者使用</w:t>
            </w:r>
            <w:r>
              <w:rPr>
                <w:rFonts w:hint="eastAsia" w:ascii="宋体" w:hAnsi="宋体" w:eastAsia="宋体" w:cs="宋体"/>
                <w:b/>
                <w:bCs/>
                <w:color w:val="auto"/>
                <w:kern w:val="2"/>
                <w:sz w:val="21"/>
                <w:szCs w:val="21"/>
                <w:highlight w:val="none"/>
                <w:lang w:val="en-US" w:eastAsia="zh-CN"/>
              </w:rPr>
              <w:t>同一设备编制</w:t>
            </w:r>
            <w:r>
              <w:rPr>
                <w:rFonts w:hint="eastAsia" w:ascii="宋体" w:hAnsi="宋体" w:eastAsia="宋体" w:cs="宋体"/>
                <w:color w:val="auto"/>
                <w:kern w:val="2"/>
                <w:sz w:val="21"/>
                <w:szCs w:val="21"/>
                <w:highlight w:val="none"/>
                <w:lang w:val="en-US" w:eastAsia="zh-CN"/>
              </w:rPr>
              <w:t>（</w:t>
            </w:r>
            <w:r>
              <w:rPr>
                <w:rFonts w:hint="eastAsia" w:ascii="宋体" w:hAnsi="宋体" w:cs="宋体"/>
                <w:color w:val="auto"/>
                <w:kern w:val="2"/>
                <w:sz w:val="21"/>
                <w:szCs w:val="21"/>
                <w:highlight w:val="none"/>
                <w:lang w:val="en-US" w:eastAsia="zh-CN"/>
              </w:rPr>
              <w:t>IP地址</w:t>
            </w:r>
            <w:r>
              <w:rPr>
                <w:rFonts w:hint="eastAsia" w:ascii="宋体" w:hAnsi="宋体" w:eastAsia="宋体" w:cs="宋体"/>
                <w:color w:val="auto"/>
                <w:kern w:val="2"/>
                <w:sz w:val="21"/>
                <w:szCs w:val="21"/>
                <w:highlight w:val="none"/>
                <w:lang w:val="en-US" w:eastAsia="zh-CN"/>
              </w:rPr>
              <w:t>一致）。</w:t>
            </w:r>
          </w:p>
        </w:tc>
      </w:tr>
      <w:tr w14:paraId="4F8FA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2CA87405">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5</w:t>
            </w:r>
          </w:p>
        </w:tc>
        <w:tc>
          <w:tcPr>
            <w:tcW w:w="4524" w:type="pct"/>
            <w:tcBorders>
              <w:tl2br w:val="nil"/>
              <w:tr2bl w:val="nil"/>
            </w:tcBorders>
            <w:noWrap w:val="0"/>
            <w:vAlign w:val="center"/>
          </w:tcPr>
          <w:p w14:paraId="77D03C15">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提供</w:t>
            </w:r>
            <w:r>
              <w:rPr>
                <w:rFonts w:hint="eastAsia" w:ascii="宋体" w:hAnsi="宋体" w:eastAsia="宋体" w:cs="宋体"/>
                <w:b/>
                <w:bCs/>
                <w:color w:val="auto"/>
                <w:kern w:val="2"/>
                <w:sz w:val="21"/>
                <w:szCs w:val="21"/>
                <w:highlight w:val="none"/>
                <w:lang w:val="en-US" w:eastAsia="zh-CN"/>
              </w:rPr>
              <w:t>未经出具机构核实</w:t>
            </w:r>
            <w:r>
              <w:rPr>
                <w:rFonts w:hint="eastAsia" w:ascii="宋体" w:hAnsi="宋体" w:eastAsia="宋体" w:cs="宋体"/>
                <w:color w:val="auto"/>
                <w:kern w:val="2"/>
                <w:sz w:val="21"/>
                <w:szCs w:val="21"/>
                <w:highlight w:val="none"/>
                <w:lang w:val="en-US" w:eastAsia="zh-CN"/>
              </w:rPr>
              <w:t>的虚假的检验检测报告、业绩材料、社保缴纳证明、学历学位证书、职称认证证书等材料。</w:t>
            </w:r>
          </w:p>
        </w:tc>
      </w:tr>
      <w:tr w14:paraId="2C95F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75" w:type="pct"/>
            <w:tcBorders>
              <w:tl2br w:val="nil"/>
              <w:tr2bl w:val="nil"/>
            </w:tcBorders>
            <w:noWrap w:val="0"/>
            <w:vAlign w:val="center"/>
          </w:tcPr>
          <w:p w14:paraId="3458FAAE">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lang w:val="en-US" w:eastAsia="zh-CN"/>
              </w:rPr>
              <w:t>6</w:t>
            </w:r>
          </w:p>
        </w:tc>
        <w:tc>
          <w:tcPr>
            <w:tcW w:w="4524" w:type="pct"/>
            <w:tcBorders>
              <w:tl2br w:val="nil"/>
              <w:tr2bl w:val="nil"/>
            </w:tcBorders>
            <w:noWrap w:val="0"/>
            <w:vAlign w:val="center"/>
          </w:tcPr>
          <w:p w14:paraId="372FEBCB">
            <w:pPr>
              <w:keepNext w:val="0"/>
              <w:keepLines w:val="0"/>
              <w:pageBreakBefore w:val="0"/>
              <w:widowControl w:val="0"/>
              <w:suppressLineNumbers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0" w:beforeAutospacing="0" w:after="0" w:afterAutospacing="0" w:line="240" w:lineRule="auto"/>
              <w:ind w:left="0" w:right="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rPr>
              <w:t>擅自将投标</w:t>
            </w:r>
            <w:r>
              <w:rPr>
                <w:rFonts w:hint="eastAsia" w:ascii="宋体" w:hAnsi="宋体" w:cs="宋体"/>
                <w:color w:val="auto"/>
                <w:kern w:val="2"/>
                <w:sz w:val="21"/>
                <w:szCs w:val="21"/>
                <w:highlight w:val="none"/>
                <w:lang w:val="en-US" w:eastAsia="zh-CN"/>
              </w:rPr>
              <w:t>账号</w:t>
            </w:r>
            <w:r>
              <w:rPr>
                <w:rFonts w:hint="eastAsia" w:ascii="宋体" w:hAnsi="宋体" w:eastAsia="宋体" w:cs="宋体"/>
                <w:color w:val="auto"/>
                <w:kern w:val="2"/>
                <w:sz w:val="21"/>
                <w:szCs w:val="21"/>
                <w:highlight w:val="none"/>
                <w:lang w:val="en-US" w:eastAsia="zh-CN"/>
              </w:rPr>
              <w:t>出借他人使用或未妥善保管。</w:t>
            </w:r>
          </w:p>
        </w:tc>
      </w:tr>
    </w:tbl>
    <w:p w14:paraId="69E90B0F">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一、</w:t>
      </w:r>
      <w:r>
        <w:rPr>
          <w:rFonts w:hint="eastAsia" w:ascii="宋体" w:hAnsi="宋体"/>
          <w:b/>
          <w:bCs/>
          <w:color w:val="auto"/>
          <w:sz w:val="20"/>
          <w:szCs w:val="20"/>
        </w:rPr>
        <w:t>《深圳经济特区政府采购条例》第五十七条</w:t>
      </w:r>
      <w:r>
        <w:rPr>
          <w:rFonts w:hint="eastAsia" w:ascii="宋体" w:hAnsi="宋体"/>
          <w:color w:val="auto"/>
          <w:sz w:val="20"/>
          <w:szCs w:val="20"/>
        </w:rPr>
        <w:t xml:space="preserve"> 供应商在政府采购中，有下列行为之一的，一至三年内禁止其参与本市政府采购，并由主管部门记入供应商诚信档案，处采购金额千分之十以上千分之二十以下的罚款；情节严重的，取消其参与本市政府采购资格，处采购金额千分之二十以上千分之三十以下的罚款，并由市场监管部门依法吊销其营业执照；给他人造成损失的，依法承担赔偿责任；构成犯罪的，依法追究刑事责任：</w:t>
      </w:r>
    </w:p>
    <w:p w14:paraId="22A0D6F4">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（一）在采购活动中应当回避而未回避的；</w:t>
      </w:r>
    </w:p>
    <w:p w14:paraId="4248E922">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（二）未按本条例规定签订、履行采购合同，造成严重后果的；</w:t>
      </w:r>
    </w:p>
    <w:p w14:paraId="084FB41D">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（三）隐瞒真实情况，提供虚假资料的；</w:t>
      </w:r>
    </w:p>
    <w:p w14:paraId="3BF134CB">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（四）以非法手段排斥其他供应商参与竞争的；</w:t>
      </w:r>
    </w:p>
    <w:p w14:paraId="2A2B55C1">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（五）与其他采购参加人串通投标的；</w:t>
      </w:r>
    </w:p>
    <w:p w14:paraId="02C6EC0A">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（六）恶意投诉的；</w:t>
      </w:r>
    </w:p>
    <w:p w14:paraId="5AFEDABD">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（七）向采购项目相关人行贿或者提供其他不当利益的；</w:t>
      </w:r>
    </w:p>
    <w:p w14:paraId="00A6A9B0">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（八）阻碍、抗拒主管部门监督检查的；</w:t>
      </w:r>
    </w:p>
    <w:p w14:paraId="2DEFAD4D">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（九）其他违反本条例规定的行为。</w:t>
      </w:r>
    </w:p>
    <w:p w14:paraId="799EF2A4">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2" w:firstLineChars="200"/>
        <w:textAlignment w:val="auto"/>
        <w:rPr>
          <w:rFonts w:hint="eastAsia" w:ascii="宋体" w:hAnsi="宋体"/>
          <w:b/>
          <w:bCs/>
          <w:color w:val="auto"/>
          <w:sz w:val="20"/>
          <w:szCs w:val="20"/>
        </w:rPr>
      </w:pPr>
    </w:p>
    <w:p w14:paraId="0D011D64">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2" w:firstLineChars="200"/>
        <w:textAlignment w:val="auto"/>
        <w:rPr>
          <w:rFonts w:ascii="宋体" w:hAnsi="宋体"/>
          <w:color w:val="auto"/>
          <w:sz w:val="20"/>
          <w:szCs w:val="20"/>
        </w:rPr>
      </w:pPr>
      <w:r>
        <w:rPr>
          <w:rFonts w:hint="eastAsia" w:ascii="宋体" w:hAnsi="宋体"/>
          <w:b/>
          <w:bCs/>
          <w:color w:val="auto"/>
          <w:sz w:val="20"/>
          <w:szCs w:val="20"/>
        </w:rPr>
        <w:t>二、《深圳经济特区政府采购条例实施细则》第七十五条</w:t>
      </w:r>
      <w:r>
        <w:rPr>
          <w:rFonts w:hint="eastAsia" w:ascii="宋体" w:hAnsi="宋体"/>
          <w:b/>
          <w:bCs/>
          <w:color w:val="auto"/>
          <w:sz w:val="20"/>
          <w:szCs w:val="20"/>
          <w:lang w:val="en-US" w:eastAsia="zh-CN"/>
        </w:rPr>
        <w:t xml:space="preserve"> </w:t>
      </w:r>
      <w:r>
        <w:rPr>
          <w:rFonts w:hint="eastAsia" w:ascii="宋体" w:hAnsi="宋体"/>
          <w:color w:val="auto"/>
          <w:sz w:val="20"/>
          <w:szCs w:val="20"/>
        </w:rPr>
        <w:t>供应商有下列情形</w:t>
      </w:r>
      <w:r>
        <w:rPr>
          <w:rFonts w:hint="eastAsia" w:ascii="宋体" w:hAnsi="宋体"/>
          <w:color w:val="auto"/>
          <w:sz w:val="20"/>
          <w:szCs w:val="20"/>
          <w:lang w:val="en-US" w:eastAsia="zh-CN"/>
        </w:rPr>
        <w:t>之一</w:t>
      </w:r>
      <w:r>
        <w:rPr>
          <w:rFonts w:hint="eastAsia" w:ascii="宋体" w:hAnsi="宋体"/>
          <w:color w:val="auto"/>
          <w:sz w:val="20"/>
          <w:szCs w:val="20"/>
        </w:rPr>
        <w:t>的，属于采购条例所称的串通投标行为，按照采购条例第五十七条有关规定处理：（一）投标供应商之间相互约定给予未中标的供应商利益补偿</w:t>
      </w:r>
      <w:r>
        <w:rPr>
          <w:rFonts w:hint="eastAsia" w:ascii="宋体" w:hAnsi="宋体"/>
          <w:color w:val="auto"/>
          <w:sz w:val="20"/>
          <w:szCs w:val="20"/>
          <w:lang w:eastAsia="zh-CN"/>
        </w:rPr>
        <w:t>。</w:t>
      </w:r>
      <w:r>
        <w:rPr>
          <w:rFonts w:hint="eastAsia" w:ascii="宋体" w:hAnsi="宋体"/>
          <w:color w:val="auto"/>
          <w:sz w:val="20"/>
          <w:szCs w:val="20"/>
        </w:rPr>
        <w:t>（二）不同投标供应商的法定代表人、主要经营负责人、项目投标授权代表人、项目负责人、主要技术人员为同一人、属同一单位或者在同一单位缴纳社会保险</w:t>
      </w:r>
      <w:r>
        <w:rPr>
          <w:rFonts w:hint="eastAsia" w:ascii="宋体" w:hAnsi="宋体"/>
          <w:color w:val="auto"/>
          <w:sz w:val="20"/>
          <w:szCs w:val="20"/>
          <w:lang w:eastAsia="zh-CN"/>
        </w:rPr>
        <w:t>。</w:t>
      </w:r>
      <w:r>
        <w:rPr>
          <w:rFonts w:hint="eastAsia" w:ascii="宋体" w:hAnsi="宋体"/>
          <w:color w:val="auto"/>
          <w:sz w:val="20"/>
          <w:szCs w:val="20"/>
        </w:rPr>
        <w:t>（三）不同投标供应商的投标文件由同一单位或者同一人编制，或者由同一人分阶段参与编制的</w:t>
      </w:r>
      <w:r>
        <w:rPr>
          <w:rFonts w:hint="eastAsia" w:ascii="宋体" w:hAnsi="宋体"/>
          <w:color w:val="auto"/>
          <w:sz w:val="20"/>
          <w:szCs w:val="20"/>
          <w:lang w:eastAsia="zh-CN"/>
        </w:rPr>
        <w:t>。</w:t>
      </w:r>
      <w:r>
        <w:rPr>
          <w:rFonts w:hint="eastAsia" w:ascii="宋体" w:hAnsi="宋体"/>
          <w:color w:val="auto"/>
          <w:sz w:val="20"/>
          <w:szCs w:val="20"/>
        </w:rPr>
        <w:t>（四）不同投标供应商的投标文件或部分投标文件相互混装</w:t>
      </w:r>
      <w:r>
        <w:rPr>
          <w:rFonts w:hint="eastAsia" w:ascii="宋体" w:hAnsi="宋体"/>
          <w:color w:val="auto"/>
          <w:sz w:val="20"/>
          <w:szCs w:val="20"/>
          <w:lang w:eastAsia="zh-CN"/>
        </w:rPr>
        <w:t>。</w:t>
      </w:r>
      <w:r>
        <w:rPr>
          <w:rFonts w:hint="eastAsia" w:ascii="宋体" w:hAnsi="宋体"/>
          <w:color w:val="auto"/>
          <w:sz w:val="20"/>
          <w:szCs w:val="20"/>
        </w:rPr>
        <w:t>（五）不同投标供应商的投标文件内容存在非正常一致</w:t>
      </w:r>
      <w:r>
        <w:rPr>
          <w:rFonts w:hint="eastAsia" w:ascii="宋体" w:hAnsi="宋体"/>
          <w:color w:val="auto"/>
          <w:sz w:val="20"/>
          <w:szCs w:val="20"/>
          <w:lang w:eastAsia="zh-CN"/>
        </w:rPr>
        <w:t>。</w:t>
      </w:r>
      <w:r>
        <w:rPr>
          <w:rFonts w:hint="eastAsia" w:ascii="宋体" w:hAnsi="宋体"/>
          <w:color w:val="auto"/>
          <w:sz w:val="20"/>
          <w:szCs w:val="20"/>
        </w:rPr>
        <w:t>（六）由同一单位工作人员为两家以上（含两家）供应商进行同一项投标活动的</w:t>
      </w:r>
      <w:r>
        <w:rPr>
          <w:rFonts w:hint="eastAsia" w:ascii="宋体" w:hAnsi="宋体"/>
          <w:color w:val="auto"/>
          <w:sz w:val="20"/>
          <w:szCs w:val="20"/>
          <w:lang w:eastAsia="zh-CN"/>
        </w:rPr>
        <w:t>。</w:t>
      </w:r>
      <w:r>
        <w:rPr>
          <w:rFonts w:hint="eastAsia" w:ascii="宋体" w:hAnsi="宋体"/>
          <w:color w:val="auto"/>
          <w:sz w:val="20"/>
          <w:szCs w:val="20"/>
        </w:rPr>
        <w:t>（七）主管部门依照法律、法规认定的其他情形。</w:t>
      </w:r>
    </w:p>
    <w:p w14:paraId="2782E86D">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2" w:firstLineChars="200"/>
        <w:textAlignment w:val="auto"/>
        <w:rPr>
          <w:rFonts w:hint="eastAsia" w:ascii="宋体" w:hAnsi="宋体"/>
          <w:b/>
          <w:bCs/>
          <w:color w:val="auto"/>
          <w:sz w:val="20"/>
          <w:szCs w:val="20"/>
        </w:rPr>
      </w:pPr>
    </w:p>
    <w:p w14:paraId="09B294EF">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2" w:firstLineChars="200"/>
        <w:textAlignment w:val="auto"/>
        <w:rPr>
          <w:rFonts w:ascii="宋体" w:hAnsi="宋体"/>
          <w:color w:val="auto"/>
          <w:sz w:val="20"/>
          <w:szCs w:val="20"/>
        </w:rPr>
      </w:pPr>
      <w:r>
        <w:rPr>
          <w:rFonts w:hint="eastAsia" w:ascii="宋体" w:hAnsi="宋体"/>
          <w:b/>
          <w:bCs/>
          <w:color w:val="auto"/>
          <w:sz w:val="20"/>
          <w:szCs w:val="20"/>
        </w:rPr>
        <w:t>三、《深圳经济特区政府采购条例实施细则》第七十七条</w:t>
      </w:r>
      <w:r>
        <w:rPr>
          <w:rFonts w:hint="eastAsia" w:ascii="宋体" w:hAnsi="宋体"/>
          <w:b/>
          <w:bCs/>
          <w:color w:val="auto"/>
          <w:sz w:val="20"/>
          <w:szCs w:val="20"/>
          <w:lang w:val="en-US" w:eastAsia="zh-CN"/>
        </w:rPr>
        <w:t xml:space="preserve"> </w:t>
      </w:r>
      <w:r>
        <w:rPr>
          <w:rFonts w:hint="eastAsia" w:ascii="宋体" w:hAnsi="宋体"/>
          <w:color w:val="auto"/>
          <w:sz w:val="20"/>
          <w:szCs w:val="20"/>
        </w:rPr>
        <w:t>供应商有下列情形之一的，属于隐瞒真实情况，提供虚假资料，按照采购条例第五十七</w:t>
      </w:r>
      <w:r>
        <w:rPr>
          <w:rFonts w:hint="eastAsia" w:ascii="宋体" w:hAnsi="宋体"/>
          <w:color w:val="auto"/>
          <w:sz w:val="20"/>
          <w:szCs w:val="20"/>
          <w:lang w:val="en-US" w:eastAsia="zh-CN"/>
        </w:rPr>
        <w:t>条</w:t>
      </w:r>
      <w:r>
        <w:rPr>
          <w:rFonts w:hint="eastAsia" w:ascii="宋体" w:hAnsi="宋体"/>
          <w:color w:val="auto"/>
          <w:sz w:val="20"/>
          <w:szCs w:val="20"/>
        </w:rPr>
        <w:t>的有关规定处理：（一）通过转让或者租借等方式从其他单位获取资格或者资质证书投标的</w:t>
      </w:r>
      <w:r>
        <w:rPr>
          <w:rFonts w:hint="eastAsia" w:ascii="宋体" w:hAnsi="宋体"/>
          <w:color w:val="auto"/>
          <w:sz w:val="20"/>
          <w:szCs w:val="20"/>
          <w:lang w:eastAsia="zh-CN"/>
        </w:rPr>
        <w:t>。</w:t>
      </w:r>
      <w:r>
        <w:rPr>
          <w:rFonts w:hint="eastAsia" w:ascii="宋体" w:hAnsi="宋体"/>
          <w:color w:val="auto"/>
          <w:sz w:val="20"/>
          <w:szCs w:val="20"/>
        </w:rPr>
        <w:t>（二）由其他单位或者其他单位负责人在投标供应商编制的投标文件上加盖印章或者签字的</w:t>
      </w:r>
      <w:r>
        <w:rPr>
          <w:rFonts w:hint="eastAsia" w:ascii="宋体" w:hAnsi="宋体"/>
          <w:color w:val="auto"/>
          <w:sz w:val="20"/>
          <w:szCs w:val="20"/>
          <w:lang w:eastAsia="zh-CN"/>
        </w:rPr>
        <w:t>。</w:t>
      </w:r>
      <w:r>
        <w:rPr>
          <w:rFonts w:hint="eastAsia" w:ascii="宋体" w:hAnsi="宋体"/>
          <w:color w:val="auto"/>
          <w:sz w:val="20"/>
          <w:szCs w:val="20"/>
        </w:rPr>
        <w:t>（三）项目负责人或者主要技术人员不是本单位人员的</w:t>
      </w:r>
      <w:r>
        <w:rPr>
          <w:rFonts w:hint="eastAsia" w:ascii="宋体" w:hAnsi="宋体"/>
          <w:color w:val="auto"/>
          <w:sz w:val="20"/>
          <w:szCs w:val="20"/>
          <w:lang w:eastAsia="zh-CN"/>
        </w:rPr>
        <w:t>。</w:t>
      </w:r>
      <w:r>
        <w:rPr>
          <w:rFonts w:hint="eastAsia" w:ascii="宋体" w:hAnsi="宋体"/>
          <w:color w:val="auto"/>
          <w:sz w:val="20"/>
          <w:szCs w:val="20"/>
        </w:rPr>
        <w:t>（四）投标保证金不是从投标供应商基本账户转出的</w:t>
      </w:r>
      <w:r>
        <w:rPr>
          <w:rFonts w:hint="eastAsia" w:ascii="宋体" w:hAnsi="宋体"/>
          <w:color w:val="auto"/>
          <w:sz w:val="20"/>
          <w:szCs w:val="20"/>
          <w:lang w:eastAsia="zh-CN"/>
        </w:rPr>
        <w:t>。</w:t>
      </w:r>
      <w:r>
        <w:rPr>
          <w:rFonts w:hint="eastAsia" w:ascii="宋体" w:hAnsi="宋体"/>
          <w:color w:val="auto"/>
          <w:sz w:val="20"/>
          <w:szCs w:val="20"/>
        </w:rPr>
        <w:t>（五）其他隐瞒真实情况、提供虚假资料的行为。</w:t>
      </w:r>
    </w:p>
    <w:p w14:paraId="158AB627">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ascii="宋体" w:hAnsi="宋体"/>
          <w:color w:val="auto"/>
          <w:sz w:val="20"/>
          <w:szCs w:val="20"/>
        </w:rPr>
      </w:pPr>
      <w:r>
        <w:rPr>
          <w:rFonts w:hint="eastAsia" w:ascii="宋体" w:hAnsi="宋体"/>
          <w:color w:val="auto"/>
          <w:sz w:val="20"/>
          <w:szCs w:val="20"/>
        </w:rPr>
        <w:t>投标供应商不能提供项目负责人或者主要技术人员的劳动合同、社会保险等劳动关系证明材料的，视为存在前款第（三）项规定的情形。</w:t>
      </w:r>
    </w:p>
    <w:p w14:paraId="2947CA55">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hint="eastAsia"/>
          <w:b w:val="0"/>
          <w:bCs/>
          <w:color w:val="auto"/>
          <w:sz w:val="20"/>
          <w:szCs w:val="20"/>
          <w:lang w:val="en-US" w:eastAsia="zh-CN"/>
        </w:rPr>
      </w:pPr>
    </w:p>
    <w:p w14:paraId="125D9452">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hint="eastAsia"/>
          <w:b w:val="0"/>
          <w:bCs/>
          <w:color w:val="auto"/>
          <w:sz w:val="20"/>
          <w:szCs w:val="20"/>
          <w:lang w:val="en-US" w:eastAsia="zh-CN"/>
        </w:rPr>
      </w:pPr>
      <w:r>
        <w:rPr>
          <w:rFonts w:hint="eastAsia"/>
          <w:b w:val="0"/>
          <w:bCs/>
          <w:color w:val="auto"/>
          <w:sz w:val="20"/>
          <w:szCs w:val="20"/>
          <w:lang w:val="en-US" w:eastAsia="zh-CN"/>
        </w:rPr>
        <w:t>四、</w:t>
      </w:r>
      <w:r>
        <w:rPr>
          <w:rFonts w:hint="eastAsia" w:ascii="Times New Roman" w:eastAsia="宋体"/>
          <w:b w:val="0"/>
          <w:bCs/>
          <w:color w:val="auto"/>
          <w:sz w:val="20"/>
          <w:szCs w:val="20"/>
          <w:lang w:val="en-US" w:eastAsia="zh-CN"/>
        </w:rPr>
        <w:t>为避免出现不同供应商投标文件的文件制作机器码、文件创建标识码、IP地址一致的异常情况，建议各供应商编制、上传投标文件时不要使用公共电脑设备或公共网络。</w:t>
      </w:r>
    </w:p>
    <w:p w14:paraId="5724C4C6">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00" w:firstLineChars="200"/>
        <w:textAlignment w:val="auto"/>
        <w:rPr>
          <w:rFonts w:hint="eastAsia" w:ascii="Times New Roman" w:eastAsia="宋体"/>
          <w:b w:val="0"/>
          <w:bCs/>
          <w:color w:val="auto"/>
          <w:sz w:val="20"/>
          <w:szCs w:val="20"/>
          <w:lang w:val="en-US" w:eastAsia="zh-CN"/>
        </w:rPr>
      </w:pPr>
      <w:r>
        <w:rPr>
          <w:rFonts w:hint="eastAsia" w:ascii="Times New Roman" w:eastAsia="宋体"/>
          <w:b w:val="0"/>
          <w:bCs/>
          <w:color w:val="auto"/>
          <w:sz w:val="20"/>
          <w:szCs w:val="20"/>
          <w:lang w:val="en-US" w:eastAsia="zh-CN"/>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w:t>
      </w:r>
      <w:r>
        <w:rPr>
          <w:rFonts w:hint="eastAsia" w:ascii="宋体" w:hAnsi="宋体"/>
          <w:color w:val="auto"/>
          <w:sz w:val="20"/>
          <w:szCs w:val="20"/>
        </w:rPr>
        <w:t>取消参与本市政府采购资格</w:t>
      </w:r>
      <w:r>
        <w:rPr>
          <w:rFonts w:hint="eastAsia" w:hAnsi="宋体"/>
          <w:color w:val="auto"/>
          <w:sz w:val="20"/>
          <w:szCs w:val="20"/>
          <w:lang w:eastAsia="zh-CN"/>
        </w:rPr>
        <w:t>、</w:t>
      </w:r>
      <w:r>
        <w:rPr>
          <w:rFonts w:hint="eastAsia" w:ascii="宋体" w:hAnsi="宋体"/>
          <w:color w:val="auto"/>
          <w:sz w:val="20"/>
          <w:szCs w:val="20"/>
        </w:rPr>
        <w:t>依法吊销其营业</w:t>
      </w:r>
      <w:r>
        <w:rPr>
          <w:rFonts w:hint="eastAsia" w:hAnsi="宋体"/>
          <w:color w:val="auto"/>
          <w:sz w:val="20"/>
          <w:szCs w:val="20"/>
          <w:lang w:val="en-US" w:eastAsia="zh-CN"/>
        </w:rPr>
        <w:t>执照等行政处罚，</w:t>
      </w:r>
      <w:r>
        <w:rPr>
          <w:rFonts w:hint="eastAsia" w:ascii="宋体" w:hAnsi="宋体"/>
          <w:color w:val="auto"/>
          <w:sz w:val="20"/>
          <w:szCs w:val="20"/>
        </w:rPr>
        <w:t>构成犯罪的，依法追究刑事责任</w:t>
      </w:r>
      <w:r>
        <w:rPr>
          <w:rFonts w:hint="eastAsia" w:ascii="Times New Roman" w:eastAsia="宋体"/>
          <w:b w:val="0"/>
          <w:bCs/>
          <w:color w:val="auto"/>
          <w:sz w:val="20"/>
          <w:szCs w:val="20"/>
          <w:lang w:val="en-US" w:eastAsia="zh-CN"/>
        </w:rPr>
        <w:t>，请各供应商独立编制、上传投标文件，妥善保管和使用</w:t>
      </w:r>
      <w:r>
        <w:rPr>
          <w:rFonts w:hint="eastAsia"/>
          <w:b w:val="0"/>
          <w:bCs/>
          <w:color w:val="auto"/>
          <w:sz w:val="20"/>
          <w:szCs w:val="20"/>
          <w:lang w:val="en-US" w:eastAsia="zh-CN"/>
        </w:rPr>
        <w:t>投标账号</w:t>
      </w:r>
      <w:r>
        <w:rPr>
          <w:rFonts w:hint="eastAsia" w:ascii="Times New Roman" w:eastAsia="宋体"/>
          <w:b w:val="0"/>
          <w:bCs/>
          <w:color w:val="auto"/>
          <w:sz w:val="20"/>
          <w:szCs w:val="20"/>
          <w:lang w:val="en-US" w:eastAsia="zh-CN"/>
        </w:rPr>
        <w:t>。</w:t>
      </w:r>
    </w:p>
    <w:p w14:paraId="78813B7B">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82" w:firstLineChars="200"/>
        <w:textAlignment w:val="auto"/>
        <w:rPr>
          <w:rFonts w:hint="eastAsia"/>
          <w:b/>
          <w:color w:val="auto"/>
          <w:lang w:val="en-US" w:eastAsia="zh-CN"/>
        </w:rPr>
      </w:pPr>
    </w:p>
    <w:p w14:paraId="75075611">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82" w:firstLineChars="200"/>
        <w:textAlignment w:val="auto"/>
        <w:rPr>
          <w:rFonts w:hint="eastAsia"/>
          <w:b/>
          <w:color w:val="auto"/>
          <w:lang w:val="en-US" w:eastAsia="zh-CN"/>
        </w:rPr>
      </w:pPr>
      <w:r>
        <w:rPr>
          <w:rFonts w:hint="eastAsia"/>
          <w:b/>
          <w:color w:val="auto"/>
          <w:lang w:val="en-US" w:eastAsia="zh-CN"/>
        </w:rPr>
        <w:t>五、</w:t>
      </w:r>
      <w:r>
        <w:rPr>
          <w:rFonts w:hint="eastAsia"/>
          <w:b/>
          <w:color w:val="auto"/>
        </w:rPr>
        <w:t>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b/>
          <w:color w:val="auto"/>
          <w:lang w:eastAsia="zh-CN"/>
        </w:rPr>
        <w:t>。</w:t>
      </w:r>
    </w:p>
    <w:p w14:paraId="3D58F4EB">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beforeAutospacing="0" w:afterAutospacing="0"/>
        <w:ind w:firstLine="482" w:firstLineChars="200"/>
        <w:textAlignment w:val="auto"/>
        <w:rPr>
          <w:rFonts w:hint="eastAsia"/>
          <w:b/>
          <w:color w:val="FF0000"/>
          <w:lang w:val="en-US" w:eastAsia="zh-CN"/>
        </w:rPr>
      </w:pPr>
    </w:p>
    <w:p w14:paraId="163D39B4">
      <w:pPr>
        <w:rPr>
          <w:rFonts w:hint="eastAsia"/>
          <w:b/>
          <w:bCs/>
          <w:sz w:val="40"/>
          <w:szCs w:val="40"/>
        </w:rPr>
      </w:pPr>
      <w:r>
        <w:rPr>
          <w:rFonts w:hint="eastAsia"/>
          <w:b/>
          <w:bCs/>
          <w:sz w:val="40"/>
          <w:szCs w:val="40"/>
        </w:rPr>
        <w:br w:type="page"/>
      </w:r>
    </w:p>
    <w:p w14:paraId="4347E98E">
      <w:pPr>
        <w:pStyle w:val="15"/>
        <w:spacing w:before="454" w:after="454"/>
        <w:ind w:right="454"/>
        <w:jc w:val="both"/>
        <w:outlineLvl w:val="0"/>
        <w:rPr>
          <w:rFonts w:hint="eastAsia"/>
          <w:b/>
          <w:bCs/>
          <w:sz w:val="40"/>
          <w:szCs w:val="40"/>
        </w:rPr>
      </w:pPr>
    </w:p>
    <w:p w14:paraId="45FD6C3F">
      <w:pPr>
        <w:widowControl/>
        <w:spacing w:beforeAutospacing="1" w:afterAutospacing="1"/>
        <w:jc w:val="center"/>
        <w:outlineLvl w:val="1"/>
        <w:rPr>
          <w:rFonts w:hint="eastAsia"/>
          <w:b/>
          <w:bCs/>
          <w:sz w:val="40"/>
          <w:szCs w:val="40"/>
        </w:rPr>
      </w:pPr>
      <w:r>
        <w:rPr>
          <w:rFonts w:hint="eastAsia"/>
          <w:b/>
          <w:bCs/>
          <w:sz w:val="40"/>
          <w:szCs w:val="40"/>
        </w:rPr>
        <w:t>深圳市龙岗区耳鼻咽喉医院动物房显示设备及控制系统配套设备采购项目</w:t>
      </w:r>
    </w:p>
    <w:p w14:paraId="2F55123C">
      <w:pPr>
        <w:pStyle w:val="15"/>
        <w:ind w:right="454"/>
        <w:jc w:val="center"/>
        <w:outlineLvl w:val="0"/>
        <w:rPr>
          <w:rFonts w:hint="eastAsia" w:ascii="黑体" w:hAnsi="宋体" w:eastAsia="黑体" w:cs="黑体"/>
          <w:sz w:val="40"/>
          <w:szCs w:val="40"/>
        </w:rPr>
      </w:pPr>
      <w:r>
        <w:rPr>
          <w:rFonts w:hint="eastAsia" w:ascii="黑体" w:hAnsi="宋体" w:eastAsia="黑体" w:cs="黑体"/>
          <w:sz w:val="40"/>
          <w:szCs w:val="40"/>
        </w:rPr>
        <w:t>招标文件信息</w:t>
      </w:r>
    </w:p>
    <w:p w14:paraId="7AB77517">
      <w:pPr>
        <w:pStyle w:val="15"/>
        <w:ind w:right="454"/>
        <w:jc w:val="center"/>
        <w:outlineLvl w:val="0"/>
        <w:rPr>
          <w:rFonts w:hint="eastAsia" w:ascii="黑体" w:hAnsi="宋体" w:eastAsia="黑体" w:cs="黑体"/>
          <w:sz w:val="40"/>
          <w:szCs w:val="40"/>
        </w:rPr>
      </w:pPr>
    </w:p>
    <w:tbl>
      <w:tblPr>
        <w:tblStyle w:val="19"/>
        <w:tblW w:w="7943" w:type="dxa"/>
        <w:jc w:val="center"/>
        <w:tblCellSpacing w:w="0" w:type="dxa"/>
        <w:tblLayout w:type="autofit"/>
        <w:tblCellMar>
          <w:top w:w="45" w:type="dxa"/>
          <w:left w:w="45" w:type="dxa"/>
          <w:bottom w:w="45" w:type="dxa"/>
          <w:right w:w="45" w:type="dxa"/>
        </w:tblCellMar>
      </w:tblPr>
      <w:tblGrid>
        <w:gridCol w:w="2723"/>
        <w:gridCol w:w="5220"/>
      </w:tblGrid>
      <w:tr w14:paraId="29B69753">
        <w:tblPrEx>
          <w:tblCellMar>
            <w:top w:w="45" w:type="dxa"/>
            <w:left w:w="45" w:type="dxa"/>
            <w:bottom w:w="45" w:type="dxa"/>
            <w:right w:w="45" w:type="dxa"/>
          </w:tblCellMar>
        </w:tblPrEx>
        <w:trPr>
          <w:trHeight w:val="845" w:hRule="atLeast"/>
          <w:tblCellSpacing w:w="0" w:type="dxa"/>
          <w:jc w:val="center"/>
        </w:trPr>
        <w:tc>
          <w:tcPr>
            <w:tcW w:w="2723" w:type="dxa"/>
            <w:shd w:val="clear" w:color="auto" w:fill="auto"/>
            <w:vAlign w:val="center"/>
          </w:tcPr>
          <w:p w14:paraId="02DFA975">
            <w:pPr>
              <w:jc w:val="center"/>
              <w:rPr>
                <w:rFonts w:hint="default" w:eastAsiaTheme="minorEastAsia"/>
                <w:sz w:val="30"/>
                <w:szCs w:val="30"/>
                <w:lang w:val="en-US" w:eastAsia="zh-CN"/>
              </w:rPr>
            </w:pPr>
            <w:r>
              <w:rPr>
                <w:rFonts w:hint="eastAsia" w:ascii="宋体" w:hAnsi="宋体" w:cs="宋体"/>
                <w:sz w:val="30"/>
                <w:szCs w:val="30"/>
                <w:lang w:val="en-US" w:eastAsia="zh-CN" w:bidi="ar"/>
              </w:rPr>
              <w:t xml:space="preserve">     </w:t>
            </w:r>
            <w:r>
              <w:rPr>
                <w:rFonts w:ascii="宋体" w:hAnsi="宋体" w:cs="宋体"/>
                <w:sz w:val="30"/>
                <w:szCs w:val="30"/>
                <w:lang w:bidi="ar"/>
              </w:rPr>
              <w:t>项目编号</w:t>
            </w:r>
            <w:r>
              <w:rPr>
                <w:rFonts w:hint="eastAsia" w:ascii="宋体" w:hAnsi="宋体" w:cs="宋体"/>
                <w:sz w:val="30"/>
                <w:szCs w:val="30"/>
                <w:lang w:val="en-US" w:eastAsia="zh-CN" w:bidi="ar"/>
              </w:rPr>
              <w:t>:</w:t>
            </w:r>
          </w:p>
        </w:tc>
        <w:tc>
          <w:tcPr>
            <w:tcW w:w="5220" w:type="dxa"/>
            <w:shd w:val="clear" w:color="auto" w:fill="auto"/>
            <w:vAlign w:val="center"/>
          </w:tcPr>
          <w:p w14:paraId="10E96662">
            <w:pPr>
              <w:jc w:val="both"/>
              <w:rPr>
                <w:rFonts w:hint="default" w:eastAsiaTheme="minorEastAsia"/>
                <w:sz w:val="30"/>
                <w:szCs w:val="30"/>
                <w:lang w:val="en-US" w:eastAsia="zh-CN"/>
              </w:rPr>
            </w:pPr>
            <w:r>
              <w:rPr>
                <w:rFonts w:hint="eastAsia"/>
                <w:sz w:val="30"/>
                <w:szCs w:val="30"/>
                <w:lang w:val="en-US" w:eastAsia="zh-CN"/>
              </w:rPr>
              <w:t>ENT202610-002</w:t>
            </w:r>
          </w:p>
        </w:tc>
      </w:tr>
      <w:tr w14:paraId="5FB1C3DB">
        <w:tblPrEx>
          <w:tblCellMar>
            <w:top w:w="45" w:type="dxa"/>
            <w:left w:w="45" w:type="dxa"/>
            <w:bottom w:w="45" w:type="dxa"/>
            <w:right w:w="45" w:type="dxa"/>
          </w:tblCellMar>
        </w:tblPrEx>
        <w:trPr>
          <w:trHeight w:val="845" w:hRule="atLeast"/>
          <w:tblCellSpacing w:w="0" w:type="dxa"/>
          <w:jc w:val="center"/>
        </w:trPr>
        <w:tc>
          <w:tcPr>
            <w:tcW w:w="2723" w:type="dxa"/>
            <w:shd w:val="clear" w:color="auto" w:fill="auto"/>
            <w:vAlign w:val="center"/>
          </w:tcPr>
          <w:p w14:paraId="12364B67">
            <w:pPr>
              <w:rPr>
                <w:sz w:val="30"/>
                <w:szCs w:val="30"/>
                <w:highlight w:val="red"/>
                <w:u w:val="single"/>
              </w:rPr>
            </w:pPr>
            <w:r>
              <w:rPr>
                <w:rFonts w:hint="eastAsia" w:ascii="宋体" w:hAnsi="宋体" w:cs="宋体"/>
                <w:sz w:val="30"/>
                <w:szCs w:val="30"/>
                <w:lang w:bidi="ar"/>
              </w:rPr>
              <w:t xml:space="preserve">       项目名称：</w:t>
            </w:r>
          </w:p>
        </w:tc>
        <w:tc>
          <w:tcPr>
            <w:tcW w:w="5220" w:type="dxa"/>
            <w:shd w:val="clear" w:color="auto" w:fill="auto"/>
            <w:vAlign w:val="center"/>
          </w:tcPr>
          <w:p w14:paraId="5092EF54">
            <w:pPr>
              <w:rPr>
                <w:rFonts w:hint="eastAsia" w:eastAsia="宋体"/>
                <w:sz w:val="30"/>
                <w:szCs w:val="30"/>
                <w:highlight w:val="yellow"/>
                <w:u w:val="single"/>
                <w:lang w:eastAsia="zh-CN"/>
              </w:rPr>
            </w:pPr>
            <w:r>
              <w:rPr>
                <w:rFonts w:hint="eastAsia" w:eastAsia="宋体"/>
                <w:sz w:val="30"/>
                <w:szCs w:val="30"/>
                <w:highlight w:val="none"/>
                <w:u w:val="single"/>
              </w:rPr>
              <w:t>动物房显示设备及控制系统配套设备</w:t>
            </w:r>
            <w:r>
              <w:rPr>
                <w:rFonts w:hint="eastAsia" w:eastAsia="宋体"/>
                <w:sz w:val="30"/>
                <w:szCs w:val="30"/>
                <w:highlight w:val="none"/>
                <w:u w:val="single"/>
                <w:lang w:eastAsia="zh-CN"/>
              </w:rPr>
              <w:t>（</w:t>
            </w:r>
            <w:r>
              <w:rPr>
                <w:rFonts w:hint="eastAsia" w:eastAsia="宋体"/>
                <w:sz w:val="30"/>
                <w:szCs w:val="30"/>
                <w:highlight w:val="none"/>
                <w:u w:val="single"/>
                <w:lang w:val="en-US" w:eastAsia="zh-CN"/>
              </w:rPr>
              <w:t>三次招标</w:t>
            </w:r>
            <w:r>
              <w:rPr>
                <w:rFonts w:hint="eastAsia" w:eastAsia="宋体"/>
                <w:sz w:val="30"/>
                <w:szCs w:val="30"/>
                <w:highlight w:val="none"/>
                <w:u w:val="single"/>
                <w:lang w:eastAsia="zh-CN"/>
              </w:rPr>
              <w:t>）</w:t>
            </w:r>
          </w:p>
        </w:tc>
      </w:tr>
      <w:tr w14:paraId="63EA2078">
        <w:tblPrEx>
          <w:tblCellMar>
            <w:top w:w="45" w:type="dxa"/>
            <w:left w:w="45" w:type="dxa"/>
            <w:bottom w:w="45" w:type="dxa"/>
            <w:right w:w="45" w:type="dxa"/>
          </w:tblCellMar>
        </w:tblPrEx>
        <w:trPr>
          <w:trHeight w:val="845" w:hRule="atLeast"/>
          <w:tblCellSpacing w:w="0" w:type="dxa"/>
          <w:jc w:val="center"/>
        </w:trPr>
        <w:tc>
          <w:tcPr>
            <w:tcW w:w="2723" w:type="dxa"/>
            <w:shd w:val="clear" w:color="auto" w:fill="auto"/>
            <w:vAlign w:val="center"/>
          </w:tcPr>
          <w:p w14:paraId="2D40CF82">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项目类型：</w:t>
            </w:r>
          </w:p>
        </w:tc>
        <w:tc>
          <w:tcPr>
            <w:tcW w:w="5220" w:type="dxa"/>
            <w:shd w:val="clear" w:color="auto" w:fill="auto"/>
            <w:vAlign w:val="center"/>
          </w:tcPr>
          <w:p w14:paraId="39A924C6">
            <w:pPr>
              <w:rPr>
                <w:sz w:val="30"/>
                <w:szCs w:val="30"/>
              </w:rPr>
            </w:pPr>
            <w:r>
              <w:rPr>
                <w:rFonts w:ascii="宋体" w:hAnsi="宋体" w:cs="宋体"/>
                <w:sz w:val="30"/>
                <w:szCs w:val="30"/>
                <w:lang w:bidi="ar"/>
              </w:rPr>
              <w:t>货物类</w:t>
            </w:r>
          </w:p>
        </w:tc>
      </w:tr>
      <w:tr w14:paraId="76EF6E6A">
        <w:tblPrEx>
          <w:tblCellMar>
            <w:top w:w="45" w:type="dxa"/>
            <w:left w:w="45" w:type="dxa"/>
            <w:bottom w:w="45" w:type="dxa"/>
            <w:right w:w="45" w:type="dxa"/>
          </w:tblCellMar>
        </w:tblPrEx>
        <w:trPr>
          <w:trHeight w:val="845" w:hRule="atLeast"/>
          <w:tblCellSpacing w:w="0" w:type="dxa"/>
          <w:jc w:val="center"/>
        </w:trPr>
        <w:tc>
          <w:tcPr>
            <w:tcW w:w="2723" w:type="dxa"/>
            <w:shd w:val="clear" w:color="auto" w:fill="auto"/>
            <w:vAlign w:val="center"/>
          </w:tcPr>
          <w:p w14:paraId="30DA36BF">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采购方式：</w:t>
            </w:r>
          </w:p>
        </w:tc>
        <w:tc>
          <w:tcPr>
            <w:tcW w:w="5220" w:type="dxa"/>
            <w:shd w:val="clear" w:color="auto" w:fill="auto"/>
            <w:vAlign w:val="center"/>
          </w:tcPr>
          <w:p w14:paraId="6386C170">
            <w:pPr>
              <w:rPr>
                <w:sz w:val="30"/>
                <w:szCs w:val="30"/>
              </w:rPr>
            </w:pPr>
            <w:r>
              <w:rPr>
                <w:rFonts w:ascii="宋体" w:hAnsi="宋体" w:cs="宋体"/>
                <w:sz w:val="30"/>
                <w:szCs w:val="30"/>
                <w:lang w:bidi="ar"/>
              </w:rPr>
              <w:t>公开招标</w:t>
            </w:r>
          </w:p>
        </w:tc>
      </w:tr>
      <w:tr w14:paraId="67EF8942">
        <w:tblPrEx>
          <w:tblCellMar>
            <w:top w:w="45" w:type="dxa"/>
            <w:left w:w="45" w:type="dxa"/>
            <w:bottom w:w="45" w:type="dxa"/>
            <w:right w:w="45" w:type="dxa"/>
          </w:tblCellMar>
        </w:tblPrEx>
        <w:trPr>
          <w:trHeight w:val="845" w:hRule="atLeast"/>
          <w:tblCellSpacing w:w="0" w:type="dxa"/>
          <w:jc w:val="center"/>
        </w:trPr>
        <w:tc>
          <w:tcPr>
            <w:tcW w:w="2723" w:type="dxa"/>
            <w:shd w:val="clear" w:color="auto" w:fill="auto"/>
            <w:vAlign w:val="center"/>
          </w:tcPr>
          <w:p w14:paraId="0683F1C2">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货币类型：</w:t>
            </w:r>
          </w:p>
        </w:tc>
        <w:tc>
          <w:tcPr>
            <w:tcW w:w="5220" w:type="dxa"/>
            <w:shd w:val="clear" w:color="auto" w:fill="auto"/>
            <w:vAlign w:val="center"/>
          </w:tcPr>
          <w:p w14:paraId="0FFA962E">
            <w:pPr>
              <w:rPr>
                <w:sz w:val="30"/>
                <w:szCs w:val="30"/>
              </w:rPr>
            </w:pPr>
            <w:r>
              <w:rPr>
                <w:rFonts w:ascii="宋体" w:hAnsi="宋体" w:cs="宋体"/>
                <w:sz w:val="30"/>
                <w:szCs w:val="30"/>
                <w:lang w:bidi="ar"/>
              </w:rPr>
              <w:t>人民币</w:t>
            </w:r>
          </w:p>
        </w:tc>
      </w:tr>
      <w:tr w14:paraId="1A27ABCD">
        <w:tblPrEx>
          <w:tblCellMar>
            <w:top w:w="45" w:type="dxa"/>
            <w:left w:w="45" w:type="dxa"/>
            <w:bottom w:w="45" w:type="dxa"/>
            <w:right w:w="45" w:type="dxa"/>
          </w:tblCellMar>
        </w:tblPrEx>
        <w:trPr>
          <w:trHeight w:val="845" w:hRule="atLeast"/>
          <w:tblCellSpacing w:w="0" w:type="dxa"/>
          <w:jc w:val="center"/>
        </w:trPr>
        <w:tc>
          <w:tcPr>
            <w:tcW w:w="2723" w:type="dxa"/>
            <w:shd w:val="clear" w:color="auto" w:fill="auto"/>
            <w:vAlign w:val="center"/>
          </w:tcPr>
          <w:p w14:paraId="0D2531EE">
            <w:pPr>
              <w:jc w:val="center"/>
              <w:rPr>
                <w:sz w:val="30"/>
                <w:szCs w:val="30"/>
              </w:rPr>
            </w:pPr>
            <w:r>
              <w:rPr>
                <w:rFonts w:hint="eastAsia" w:ascii="宋体" w:hAnsi="宋体" w:cs="宋体"/>
                <w:sz w:val="30"/>
                <w:szCs w:val="30"/>
                <w:lang w:bidi="ar"/>
              </w:rPr>
              <w:t xml:space="preserve">      </w:t>
            </w:r>
            <w:r>
              <w:rPr>
                <w:rFonts w:ascii="宋体" w:hAnsi="宋体" w:cs="宋体"/>
                <w:sz w:val="30"/>
                <w:szCs w:val="30"/>
                <w:lang w:bidi="ar"/>
              </w:rPr>
              <w:t>评标方法：</w:t>
            </w:r>
          </w:p>
        </w:tc>
        <w:tc>
          <w:tcPr>
            <w:tcW w:w="5220" w:type="dxa"/>
            <w:shd w:val="clear" w:color="auto" w:fill="auto"/>
            <w:vAlign w:val="center"/>
          </w:tcPr>
          <w:p w14:paraId="6AE0618F">
            <w:pPr>
              <w:rPr>
                <w:sz w:val="30"/>
                <w:szCs w:val="30"/>
              </w:rPr>
            </w:pPr>
            <w:r>
              <w:rPr>
                <w:rFonts w:ascii="宋体" w:hAnsi="宋体" w:cs="宋体"/>
                <w:sz w:val="30"/>
                <w:szCs w:val="30"/>
                <w:lang w:bidi="ar"/>
              </w:rPr>
              <w:t>综合评分法</w:t>
            </w:r>
          </w:p>
        </w:tc>
      </w:tr>
      <w:bookmarkEnd w:id="0"/>
    </w:tbl>
    <w:p w14:paraId="1940D930">
      <w:pPr>
        <w:spacing w:line="580" w:lineRule="exact"/>
        <w:rPr>
          <w:rFonts w:ascii="宋体" w:hAnsi="宋体" w:eastAsia="宋体" w:cs="宋体"/>
          <w:b/>
          <w:bCs/>
          <w:sz w:val="21"/>
          <w:szCs w:val="21"/>
        </w:rPr>
      </w:pPr>
    </w:p>
    <w:p w14:paraId="0CEEAD15">
      <w:pPr>
        <w:spacing w:line="360" w:lineRule="auto"/>
        <w:ind w:firstLine="1687" w:firstLineChars="800"/>
        <w:rPr>
          <w:rFonts w:ascii="宋体" w:hAnsi="宋体" w:eastAsia="宋体" w:cs="宋体"/>
          <w:b/>
          <w:sz w:val="21"/>
          <w:szCs w:val="21"/>
        </w:rPr>
      </w:pPr>
    </w:p>
    <w:p w14:paraId="1E36993B">
      <w:pPr>
        <w:pStyle w:val="5"/>
        <w:ind w:firstLine="422"/>
        <w:rPr>
          <w:rFonts w:ascii="宋体" w:hAnsi="宋体" w:eastAsia="宋体" w:cs="宋体"/>
          <w:b/>
          <w:sz w:val="21"/>
          <w:szCs w:val="21"/>
        </w:rPr>
      </w:pPr>
    </w:p>
    <w:p w14:paraId="532DC0F5">
      <w:pPr>
        <w:pStyle w:val="2"/>
        <w:rPr>
          <w:rFonts w:ascii="宋体" w:hAnsi="宋体" w:eastAsia="宋体" w:cs="宋体"/>
          <w:b/>
          <w:sz w:val="21"/>
          <w:szCs w:val="21"/>
        </w:rPr>
      </w:pPr>
    </w:p>
    <w:p w14:paraId="29F9E7D2">
      <w:pPr>
        <w:pStyle w:val="16"/>
        <w:rPr>
          <w:rFonts w:ascii="宋体" w:hAnsi="宋体" w:eastAsia="宋体" w:cs="宋体"/>
          <w:sz w:val="21"/>
          <w:szCs w:val="21"/>
        </w:rPr>
      </w:pPr>
    </w:p>
    <w:p w14:paraId="430E041A">
      <w:pPr>
        <w:rPr>
          <w:rFonts w:ascii="宋体" w:hAnsi="宋体" w:eastAsia="宋体" w:cs="宋体"/>
          <w:b/>
          <w:sz w:val="21"/>
          <w:szCs w:val="21"/>
        </w:rPr>
      </w:pPr>
    </w:p>
    <w:p w14:paraId="3FD62E0F">
      <w:pPr>
        <w:pStyle w:val="5"/>
        <w:ind w:firstLine="422"/>
        <w:rPr>
          <w:rFonts w:ascii="宋体" w:hAnsi="宋体" w:eastAsia="宋体" w:cs="宋体"/>
          <w:b/>
          <w:sz w:val="21"/>
          <w:szCs w:val="21"/>
        </w:rPr>
      </w:pPr>
    </w:p>
    <w:p w14:paraId="4BC436ED">
      <w:pPr>
        <w:pStyle w:val="2"/>
        <w:rPr>
          <w:rFonts w:ascii="宋体" w:hAnsi="宋体" w:eastAsia="宋体" w:cs="宋体"/>
          <w:b/>
          <w:sz w:val="21"/>
          <w:szCs w:val="21"/>
        </w:rPr>
      </w:pPr>
    </w:p>
    <w:p w14:paraId="4E812B61"/>
    <w:p w14:paraId="7F8564F8">
      <w:pPr>
        <w:pStyle w:val="16"/>
        <w:rPr>
          <w:rFonts w:ascii="宋体" w:hAnsi="宋体" w:eastAsia="宋体" w:cs="宋体"/>
          <w:sz w:val="21"/>
          <w:szCs w:val="21"/>
        </w:rPr>
      </w:pPr>
    </w:p>
    <w:p w14:paraId="0D3064AE">
      <w:pPr>
        <w:rPr>
          <w:rFonts w:ascii="宋体" w:hAnsi="宋体" w:eastAsia="宋体" w:cs="宋体"/>
          <w:b/>
          <w:sz w:val="21"/>
          <w:szCs w:val="21"/>
        </w:rPr>
      </w:pPr>
    </w:p>
    <w:p w14:paraId="7A8EF7C6">
      <w:pPr>
        <w:pStyle w:val="15"/>
        <w:jc w:val="center"/>
        <w:outlineLvl w:val="1"/>
        <w:rPr>
          <w:rFonts w:ascii="黑体" w:hAnsi="宋体" w:eastAsia="黑体" w:cs="黑体"/>
          <w:sz w:val="40"/>
          <w:szCs w:val="40"/>
        </w:rPr>
      </w:pPr>
    </w:p>
    <w:p w14:paraId="5F6BA92A">
      <w:pPr>
        <w:pStyle w:val="15"/>
        <w:jc w:val="center"/>
        <w:outlineLvl w:val="1"/>
        <w:rPr>
          <w:rFonts w:ascii="黑体" w:hAnsi="宋体" w:eastAsia="黑体" w:cs="黑体"/>
          <w:sz w:val="40"/>
          <w:szCs w:val="40"/>
        </w:rPr>
      </w:pPr>
      <w:r>
        <w:rPr>
          <w:rFonts w:hint="eastAsia" w:ascii="黑体" w:hAnsi="宋体" w:eastAsia="黑体" w:cs="黑体"/>
          <w:sz w:val="40"/>
          <w:szCs w:val="40"/>
        </w:rPr>
        <w:t>资格性审查表</w:t>
      </w:r>
    </w:p>
    <w:tbl>
      <w:tblPr>
        <w:tblStyle w:val="19"/>
        <w:tblW w:w="499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821"/>
        <w:gridCol w:w="8573"/>
      </w:tblGrid>
      <w:tr w14:paraId="2E1BBF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jc w:val="center"/>
        </w:trPr>
        <w:tc>
          <w:tcPr>
            <w:tcW w:w="437"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291EB10A">
            <w:pPr>
              <w:jc w:val="center"/>
              <w:rPr>
                <w:sz w:val="28"/>
                <w:szCs w:val="28"/>
              </w:rPr>
            </w:pPr>
            <w:r>
              <w:rPr>
                <w:rFonts w:ascii="宋体" w:hAnsi="宋体" w:cs="宋体"/>
                <w:sz w:val="28"/>
                <w:szCs w:val="28"/>
              </w:rPr>
              <w:t>序号</w:t>
            </w:r>
          </w:p>
        </w:tc>
        <w:tc>
          <w:tcPr>
            <w:tcW w:w="4562"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4D7AB248">
            <w:pPr>
              <w:jc w:val="center"/>
              <w:rPr>
                <w:sz w:val="28"/>
                <w:szCs w:val="28"/>
              </w:rPr>
            </w:pPr>
            <w:r>
              <w:rPr>
                <w:rFonts w:ascii="宋体" w:hAnsi="宋体" w:cs="宋体"/>
                <w:sz w:val="28"/>
                <w:szCs w:val="28"/>
              </w:rPr>
              <w:t>内容</w:t>
            </w:r>
          </w:p>
        </w:tc>
      </w:tr>
      <w:tr w14:paraId="5A92F9D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7" w:type="pct"/>
            <w:tcBorders>
              <w:top w:val="single" w:color="000000" w:sz="8" w:space="0"/>
              <w:left w:val="single" w:color="000000" w:sz="8" w:space="0"/>
              <w:bottom w:val="single" w:color="000000" w:sz="8" w:space="0"/>
              <w:right w:val="single" w:color="000000" w:sz="8" w:space="0"/>
            </w:tcBorders>
            <w:shd w:val="clear" w:color="auto" w:fill="auto"/>
          </w:tcPr>
          <w:p w14:paraId="43A22F29">
            <w:pPr>
              <w:ind w:firstLine="240" w:firstLineChars="100"/>
              <w:jc w:val="both"/>
              <w:textAlignment w:val="top"/>
              <w:rPr>
                <w:szCs w:val="21"/>
              </w:rPr>
            </w:pPr>
            <w:r>
              <w:rPr>
                <w:rFonts w:ascii="宋体" w:hAnsi="宋体" w:cs="宋体"/>
                <w:szCs w:val="21"/>
              </w:rPr>
              <w:t>1</w:t>
            </w:r>
          </w:p>
        </w:tc>
        <w:tc>
          <w:tcPr>
            <w:tcW w:w="4562" w:type="pct"/>
            <w:tcBorders>
              <w:top w:val="single" w:color="000000" w:sz="8" w:space="0"/>
              <w:left w:val="single" w:color="000000" w:sz="8" w:space="0"/>
              <w:bottom w:val="single" w:color="000000" w:sz="8" w:space="0"/>
              <w:right w:val="single" w:color="000000" w:sz="8" w:space="0"/>
            </w:tcBorders>
            <w:shd w:val="clear" w:color="auto" w:fill="auto"/>
          </w:tcPr>
          <w:p w14:paraId="31C9CDE4">
            <w:pPr>
              <w:textAlignment w:val="top"/>
              <w:rPr>
                <w:szCs w:val="21"/>
              </w:rPr>
            </w:pPr>
            <w:r>
              <w:rPr>
                <w:rFonts w:ascii="宋体" w:hAnsi="宋体" w:cs="宋体"/>
                <w:szCs w:val="21"/>
              </w:rPr>
              <w:t>投标人不</w:t>
            </w:r>
            <w:r>
              <w:rPr>
                <w:rFonts w:hint="eastAsia" w:ascii="宋体" w:hAnsi="宋体" w:cs="宋体"/>
                <w:szCs w:val="21"/>
              </w:rPr>
              <w:t>符合</w:t>
            </w:r>
            <w:r>
              <w:rPr>
                <w:rFonts w:ascii="宋体" w:hAnsi="宋体" w:cs="宋体"/>
                <w:szCs w:val="21"/>
              </w:rPr>
              <w:t>资格要求，或未提交相应的资格证明资料（详见招标公告</w:t>
            </w:r>
            <w:r>
              <w:rPr>
                <w:rFonts w:hint="eastAsia" w:ascii="宋体" w:hAnsi="宋体"/>
                <w:szCs w:val="21"/>
              </w:rPr>
              <w:t>投标人资格要求，即申请人的资格要求</w:t>
            </w:r>
            <w:r>
              <w:rPr>
                <w:rFonts w:ascii="宋体" w:hAnsi="宋体" w:cs="宋体"/>
                <w:szCs w:val="21"/>
              </w:rPr>
              <w:t>）</w:t>
            </w:r>
          </w:p>
        </w:tc>
      </w:tr>
    </w:tbl>
    <w:p w14:paraId="6930F0AB">
      <w:pPr>
        <w:pStyle w:val="27"/>
        <w:rPr>
          <w:rFonts w:ascii="Calibri" w:hAnsi="Calibri" w:eastAsia="宋体"/>
          <w:b/>
          <w:bCs/>
          <w:kern w:val="2"/>
          <w:sz w:val="32"/>
          <w:szCs w:val="40"/>
        </w:rPr>
      </w:pPr>
    </w:p>
    <w:p w14:paraId="4812049A">
      <w:pPr>
        <w:pStyle w:val="15"/>
        <w:spacing w:before="280"/>
        <w:jc w:val="center"/>
        <w:outlineLvl w:val="1"/>
        <w:rPr>
          <w:rFonts w:ascii="黑体" w:hAnsi="宋体" w:eastAsia="黑体" w:cs="黑体"/>
          <w:sz w:val="40"/>
          <w:szCs w:val="40"/>
        </w:rPr>
      </w:pPr>
      <w:r>
        <w:rPr>
          <w:rFonts w:hint="eastAsia" w:ascii="黑体" w:hAnsi="宋体" w:eastAsia="黑体" w:cs="黑体"/>
          <w:sz w:val="40"/>
          <w:szCs w:val="40"/>
        </w:rPr>
        <w:t>符合性审查表</w:t>
      </w:r>
    </w:p>
    <w:tbl>
      <w:tblPr>
        <w:tblStyle w:val="19"/>
        <w:tblW w:w="4995"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819"/>
        <w:gridCol w:w="8568"/>
      </w:tblGrid>
      <w:tr w14:paraId="77BA443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5EC4446B">
            <w:pPr>
              <w:jc w:val="center"/>
              <w:rPr>
                <w:rFonts w:ascii="宋体" w:hAnsi="宋体" w:eastAsia="宋体" w:cs="宋体"/>
                <w:sz w:val="28"/>
                <w:szCs w:val="28"/>
              </w:rPr>
            </w:pPr>
            <w:r>
              <w:rPr>
                <w:rFonts w:hint="eastAsia" w:ascii="宋体" w:hAnsi="宋体" w:eastAsia="宋体" w:cs="宋体"/>
                <w:sz w:val="28"/>
                <w:szCs w:val="28"/>
              </w:rPr>
              <w:t>序号</w:t>
            </w:r>
          </w:p>
        </w:tc>
        <w:tc>
          <w:tcPr>
            <w:tcW w:w="4563"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07D7E9CD">
            <w:pPr>
              <w:jc w:val="center"/>
              <w:rPr>
                <w:rFonts w:ascii="宋体" w:hAnsi="宋体" w:eastAsia="宋体" w:cs="宋体"/>
                <w:sz w:val="28"/>
                <w:szCs w:val="28"/>
              </w:rPr>
            </w:pPr>
            <w:r>
              <w:rPr>
                <w:rFonts w:hint="eastAsia" w:ascii="宋体" w:hAnsi="宋体" w:eastAsia="宋体" w:cs="宋体"/>
                <w:sz w:val="28"/>
                <w:szCs w:val="28"/>
              </w:rPr>
              <w:t>内容</w:t>
            </w:r>
          </w:p>
        </w:tc>
      </w:tr>
      <w:tr w14:paraId="0405CF8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58096DE5">
            <w:pPr>
              <w:textAlignment w:val="top"/>
              <w:rPr>
                <w:rFonts w:ascii="宋体" w:hAnsi="宋体" w:cs="宋体"/>
                <w:szCs w:val="21"/>
              </w:rPr>
            </w:pPr>
            <w:r>
              <w:rPr>
                <w:rFonts w:hint="eastAsia" w:ascii="宋体" w:hAnsi="宋体" w:cs="宋体"/>
                <w:szCs w:val="21"/>
              </w:rPr>
              <w:t>1</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46EF1AF2">
            <w:pPr>
              <w:textAlignment w:val="top"/>
              <w:rPr>
                <w:rFonts w:ascii="宋体" w:hAnsi="宋体" w:cs="宋体"/>
                <w:szCs w:val="21"/>
              </w:rPr>
            </w:pPr>
            <w:r>
              <w:rPr>
                <w:rFonts w:hint="eastAsia" w:ascii="宋体" w:hAnsi="宋体" w:cs="宋体"/>
                <w:szCs w:val="21"/>
              </w:rPr>
              <w:t>不得将一个包的内容拆开投标；</w:t>
            </w:r>
          </w:p>
        </w:tc>
      </w:tr>
      <w:tr w14:paraId="22A5DE1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0ACA58AA">
            <w:pPr>
              <w:textAlignment w:val="top"/>
              <w:rPr>
                <w:rFonts w:ascii="宋体" w:hAnsi="宋体" w:cs="宋体"/>
                <w:szCs w:val="21"/>
              </w:rPr>
            </w:pPr>
            <w:r>
              <w:rPr>
                <w:rFonts w:hint="eastAsia" w:ascii="宋体" w:hAnsi="宋体" w:cs="宋体"/>
                <w:szCs w:val="21"/>
              </w:rPr>
              <w:t>2</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7B00034B">
            <w:pPr>
              <w:textAlignment w:val="top"/>
              <w:rPr>
                <w:rFonts w:ascii="宋体" w:hAnsi="宋体" w:cs="宋体"/>
                <w:szCs w:val="21"/>
              </w:rPr>
            </w:pPr>
            <w:r>
              <w:rPr>
                <w:rFonts w:hint="eastAsia" w:ascii="宋体" w:hAnsi="宋体" w:cs="宋体"/>
                <w:szCs w:val="21"/>
              </w:rPr>
              <w:t>对同一项目投标时，不得提供两套以上的投标方案（招标文件另有规定的除外）；</w:t>
            </w:r>
          </w:p>
        </w:tc>
      </w:tr>
      <w:tr w14:paraId="6F6141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2EF13586">
            <w:pPr>
              <w:textAlignment w:val="top"/>
              <w:rPr>
                <w:rFonts w:ascii="宋体" w:hAnsi="宋体" w:cs="宋体"/>
                <w:szCs w:val="21"/>
              </w:rPr>
            </w:pPr>
          </w:p>
          <w:p w14:paraId="251090CA">
            <w:pPr>
              <w:textAlignment w:val="top"/>
              <w:rPr>
                <w:rFonts w:ascii="宋体" w:hAnsi="宋体" w:cs="宋体"/>
                <w:szCs w:val="21"/>
              </w:rPr>
            </w:pPr>
          </w:p>
          <w:p w14:paraId="276E8106">
            <w:pPr>
              <w:textAlignment w:val="top"/>
              <w:rPr>
                <w:rFonts w:ascii="宋体" w:hAnsi="宋体" w:cs="宋体"/>
                <w:szCs w:val="21"/>
              </w:rPr>
            </w:pPr>
          </w:p>
          <w:p w14:paraId="62A85614">
            <w:pPr>
              <w:textAlignment w:val="top"/>
              <w:rPr>
                <w:rFonts w:ascii="宋体" w:hAnsi="宋体" w:cs="宋体"/>
                <w:szCs w:val="21"/>
              </w:rPr>
            </w:pPr>
            <w:r>
              <w:rPr>
                <w:rFonts w:hint="eastAsia" w:ascii="宋体" w:hAnsi="宋体" w:cs="宋体"/>
                <w:szCs w:val="21"/>
              </w:rPr>
              <w:t>3</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411C42B3">
            <w:pPr>
              <w:textAlignment w:val="top"/>
              <w:rPr>
                <w:rFonts w:ascii="宋体" w:hAnsi="宋体" w:cs="宋体"/>
                <w:szCs w:val="21"/>
              </w:rPr>
            </w:pPr>
            <w:r>
              <w:rPr>
                <w:rFonts w:hint="eastAsia" w:ascii="宋体" w:hAnsi="宋体" w:cs="宋体"/>
                <w:szCs w:val="21"/>
              </w:rPr>
              <w:t>投标报价：</w:t>
            </w:r>
          </w:p>
          <w:p w14:paraId="0BACD178">
            <w:pPr>
              <w:textAlignment w:val="top"/>
              <w:rPr>
                <w:rFonts w:ascii="宋体" w:hAnsi="宋体" w:cs="宋体"/>
                <w:szCs w:val="21"/>
              </w:rPr>
            </w:pPr>
            <w:r>
              <w:rPr>
                <w:rFonts w:hint="eastAsia" w:ascii="宋体" w:hAnsi="宋体" w:cs="宋体"/>
                <w:szCs w:val="21"/>
              </w:rPr>
              <w:t>（1）分项报价或投标总价不得高于相应预算金额（或设定的预算金额下的最高限价）；</w:t>
            </w:r>
          </w:p>
          <w:p w14:paraId="7D0B0E28">
            <w:pPr>
              <w:textAlignment w:val="top"/>
              <w:rPr>
                <w:rFonts w:ascii="宋体" w:hAnsi="宋体" w:cs="宋体"/>
                <w:szCs w:val="21"/>
              </w:rPr>
            </w:pPr>
            <w:r>
              <w:rPr>
                <w:rFonts w:hint="eastAsia" w:ascii="宋体" w:hAnsi="宋体" w:cs="宋体"/>
                <w:szCs w:val="21"/>
              </w:rPr>
              <w:t>（2）投标人的报价明显低于其他通过符合性审查投标人的报价，有可能影响产品质量或者不能诚信履约的，投标人不能在合理的时间内提供书面说明或者无法提交相关证明材料；不能证明其报价合理性的（若评审委员会成员对投标人提供的说明材料判断不一致的，按照“少数服从多数”的原则确定评审委员会的意见）；</w:t>
            </w:r>
          </w:p>
          <w:p w14:paraId="50C818EA">
            <w:pPr>
              <w:textAlignment w:val="top"/>
              <w:rPr>
                <w:rFonts w:ascii="宋体" w:hAnsi="宋体" w:cs="宋体"/>
                <w:szCs w:val="21"/>
              </w:rPr>
            </w:pPr>
            <w:r>
              <w:rPr>
                <w:rFonts w:hint="eastAsia" w:ascii="宋体" w:hAnsi="宋体" w:cs="宋体"/>
                <w:szCs w:val="21"/>
              </w:rPr>
              <w:t>（3）投标报价有缺漏项目,或者对招标文件规定的项目需求内容或者需求数量进行修改，评审委员会判定投标响应不满足采购需求；</w:t>
            </w:r>
          </w:p>
        </w:tc>
      </w:tr>
      <w:tr w14:paraId="595478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7A97337A">
            <w:pPr>
              <w:textAlignment w:val="top"/>
              <w:rPr>
                <w:rFonts w:ascii="宋体" w:hAnsi="宋体" w:cs="宋体"/>
                <w:szCs w:val="21"/>
              </w:rPr>
            </w:pPr>
            <w:r>
              <w:rPr>
                <w:rFonts w:hint="eastAsia" w:ascii="宋体" w:hAnsi="宋体" w:cs="宋体"/>
                <w:szCs w:val="21"/>
              </w:rPr>
              <w:t>4</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54B55D71">
            <w:pPr>
              <w:textAlignment w:val="top"/>
              <w:rPr>
                <w:rFonts w:ascii="宋体" w:hAnsi="宋体" w:cs="宋体"/>
                <w:szCs w:val="21"/>
              </w:rPr>
            </w:pPr>
            <w:r>
              <w:rPr>
                <w:rFonts w:hint="eastAsia" w:ascii="宋体" w:hAnsi="宋体" w:cs="宋体"/>
                <w:szCs w:val="21"/>
              </w:rPr>
              <w:t>未按招标文件对投标文件组成的要求提供投标文件；</w:t>
            </w:r>
          </w:p>
        </w:tc>
      </w:tr>
      <w:tr w14:paraId="729DA9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6701C930">
            <w:pPr>
              <w:textAlignment w:val="top"/>
              <w:rPr>
                <w:rFonts w:ascii="宋体" w:hAnsi="宋体" w:cs="宋体"/>
                <w:szCs w:val="21"/>
              </w:rPr>
            </w:pPr>
            <w:r>
              <w:rPr>
                <w:rFonts w:hint="eastAsia" w:ascii="宋体" w:hAnsi="宋体" w:cs="宋体"/>
                <w:szCs w:val="21"/>
              </w:rPr>
              <w:t>5</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0BC93E14">
            <w:pPr>
              <w:textAlignment w:val="top"/>
              <w:rPr>
                <w:rFonts w:ascii="宋体" w:hAnsi="宋体" w:cs="宋体"/>
                <w:szCs w:val="21"/>
              </w:rPr>
            </w:pPr>
            <w:r>
              <w:rPr>
                <w:rFonts w:hint="eastAsia" w:ascii="宋体" w:hAnsi="宋体" w:cs="宋体"/>
                <w:szCs w:val="21"/>
              </w:rPr>
              <w:t>未按招标文件规定要求签署、盖章；</w:t>
            </w:r>
          </w:p>
        </w:tc>
      </w:tr>
      <w:tr w14:paraId="379D6E6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5FA7C99B">
            <w:pPr>
              <w:textAlignment w:val="top"/>
              <w:rPr>
                <w:rFonts w:ascii="宋体" w:hAnsi="宋体" w:cs="宋体"/>
                <w:szCs w:val="21"/>
              </w:rPr>
            </w:pPr>
            <w:r>
              <w:rPr>
                <w:rFonts w:hint="eastAsia" w:ascii="宋体" w:hAnsi="宋体" w:cs="宋体"/>
                <w:szCs w:val="21"/>
              </w:rPr>
              <w:t>6</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6749763B">
            <w:pPr>
              <w:textAlignment w:val="top"/>
              <w:rPr>
                <w:rFonts w:ascii="宋体" w:hAnsi="宋体" w:cs="宋体"/>
                <w:szCs w:val="21"/>
              </w:rPr>
            </w:pPr>
            <w:r>
              <w:rPr>
                <w:rFonts w:hint="eastAsia" w:ascii="宋体" w:hAnsi="宋体" w:cs="宋体"/>
                <w:szCs w:val="21"/>
              </w:rPr>
              <w:t>投标人不得对实质性技术与商务的（即标注★号条款）条款产生偏离；</w:t>
            </w:r>
          </w:p>
        </w:tc>
      </w:tr>
      <w:tr w14:paraId="2E3CB71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jc w:val="center"/>
        </w:trPr>
        <w:tc>
          <w:tcPr>
            <w:tcW w:w="436" w:type="pct"/>
            <w:tcBorders>
              <w:top w:val="single" w:color="000000" w:sz="8" w:space="0"/>
              <w:left w:val="single" w:color="000000" w:sz="8" w:space="0"/>
              <w:bottom w:val="single" w:color="000000" w:sz="8" w:space="0"/>
              <w:right w:val="single" w:color="000000" w:sz="8" w:space="0"/>
            </w:tcBorders>
            <w:shd w:val="clear" w:color="auto" w:fill="auto"/>
          </w:tcPr>
          <w:p w14:paraId="27D17F0F">
            <w:pPr>
              <w:textAlignment w:val="top"/>
              <w:rPr>
                <w:rFonts w:ascii="宋体" w:hAnsi="宋体" w:cs="宋体"/>
                <w:szCs w:val="21"/>
              </w:rPr>
            </w:pPr>
            <w:r>
              <w:rPr>
                <w:rFonts w:hint="eastAsia" w:ascii="宋体" w:hAnsi="宋体" w:cs="宋体"/>
                <w:szCs w:val="21"/>
              </w:rPr>
              <w:t>7</w:t>
            </w:r>
          </w:p>
        </w:tc>
        <w:tc>
          <w:tcPr>
            <w:tcW w:w="4563" w:type="pct"/>
            <w:tcBorders>
              <w:top w:val="single" w:color="000000" w:sz="8" w:space="0"/>
              <w:left w:val="single" w:color="000000" w:sz="8" w:space="0"/>
              <w:bottom w:val="single" w:color="000000" w:sz="8" w:space="0"/>
              <w:right w:val="single" w:color="000000" w:sz="8" w:space="0"/>
            </w:tcBorders>
            <w:shd w:val="clear" w:color="auto" w:fill="auto"/>
          </w:tcPr>
          <w:p w14:paraId="0CEB4F48">
            <w:pPr>
              <w:textAlignment w:val="top"/>
              <w:rPr>
                <w:rFonts w:ascii="宋体" w:hAnsi="宋体" w:cs="宋体"/>
                <w:szCs w:val="21"/>
              </w:rPr>
            </w:pPr>
            <w:r>
              <w:rPr>
                <w:rFonts w:hint="eastAsia" w:ascii="宋体" w:hAnsi="宋体" w:cs="宋体"/>
                <w:szCs w:val="21"/>
              </w:rPr>
              <w:t>法律、法规、规章、规范性文件规定的其他情形。</w:t>
            </w:r>
          </w:p>
        </w:tc>
      </w:tr>
    </w:tbl>
    <w:p w14:paraId="037E6F2B">
      <w:pPr>
        <w:widowControl w:val="0"/>
        <w:tabs>
          <w:tab w:val="left" w:pos="562"/>
          <w:tab w:val="left" w:pos="3372"/>
          <w:tab w:val="left" w:pos="3653"/>
        </w:tabs>
        <w:spacing w:line="360" w:lineRule="auto"/>
        <w:jc w:val="both"/>
        <w:rPr>
          <w:rFonts w:ascii="Calibri" w:hAnsi="Calibri" w:eastAsia="宋体"/>
          <w:b/>
          <w:bCs/>
          <w:kern w:val="2"/>
        </w:rPr>
      </w:pPr>
      <w:r>
        <w:rPr>
          <w:rFonts w:hint="eastAsia" w:asciiTheme="minorEastAsia" w:hAnsiTheme="minorEastAsia" w:cstheme="minorEastAsia"/>
          <w:b/>
          <w:bCs/>
          <w:kern w:val="2"/>
          <w:sz w:val="21"/>
          <w:szCs w:val="21"/>
        </w:rPr>
        <w:t>注：</w:t>
      </w:r>
    </w:p>
    <w:p w14:paraId="7992FA39">
      <w:pPr>
        <w:widowControl w:val="0"/>
        <w:tabs>
          <w:tab w:val="left" w:pos="562"/>
          <w:tab w:val="left" w:pos="3372"/>
          <w:tab w:val="left" w:pos="3653"/>
        </w:tabs>
        <w:spacing w:line="360" w:lineRule="auto"/>
        <w:jc w:val="both"/>
        <w:rPr>
          <w:rFonts w:asciiTheme="minorEastAsia" w:hAnsiTheme="minorEastAsia" w:cstheme="minorEastAsia"/>
          <w:b/>
        </w:rPr>
      </w:pPr>
      <w:r>
        <w:rPr>
          <w:rFonts w:hint="eastAsia" w:asciiTheme="minorEastAsia" w:hAnsiTheme="minorEastAsia" w:cstheme="minorEastAsia"/>
          <w:b/>
          <w:bCs/>
          <w:kern w:val="2"/>
        </w:rPr>
        <w:t>投标人必须严格按照《符合性审查表》的评审内容的要求如实提供证明材料并应加盖投标人公章，对缺漏或不符合项将直接导致无效投标。</w:t>
      </w:r>
    </w:p>
    <w:p w14:paraId="49967C18">
      <w:pPr>
        <w:jc w:val="center"/>
        <w:rPr>
          <w:rFonts w:asciiTheme="minorEastAsia" w:hAnsiTheme="minorEastAsia" w:cstheme="minorEastAsia"/>
          <w:b/>
        </w:rPr>
      </w:pPr>
    </w:p>
    <w:p w14:paraId="7D1E9BCE">
      <w:pPr>
        <w:rPr>
          <w:rFonts w:asciiTheme="minorEastAsia" w:hAnsiTheme="minorEastAsia" w:cstheme="minorEastAsia"/>
          <w:b/>
          <w:sz w:val="40"/>
          <w:szCs w:val="40"/>
        </w:rPr>
      </w:pPr>
      <w:r>
        <w:rPr>
          <w:rFonts w:hint="eastAsia" w:asciiTheme="minorEastAsia" w:hAnsiTheme="minorEastAsia" w:cstheme="minorEastAsia"/>
          <w:b/>
          <w:sz w:val="40"/>
          <w:szCs w:val="40"/>
        </w:rPr>
        <w:br w:type="page"/>
      </w:r>
    </w:p>
    <w:p w14:paraId="6191E3F1">
      <w:pPr>
        <w:jc w:val="center"/>
        <w:rPr>
          <w:rFonts w:asciiTheme="minorEastAsia" w:hAnsiTheme="minorEastAsia" w:cstheme="minorEastAsia"/>
          <w:b/>
          <w:sz w:val="40"/>
          <w:szCs w:val="40"/>
        </w:rPr>
      </w:pPr>
      <w:r>
        <w:rPr>
          <w:rFonts w:hint="eastAsia" w:asciiTheme="minorEastAsia" w:hAnsiTheme="minorEastAsia" w:cstheme="minorEastAsia"/>
          <w:b/>
          <w:sz w:val="40"/>
          <w:szCs w:val="40"/>
        </w:rPr>
        <w:t>评分信息</w:t>
      </w:r>
    </w:p>
    <w:p w14:paraId="1B70130B">
      <w:pPr>
        <w:spacing w:line="340" w:lineRule="exact"/>
        <w:ind w:firstLine="2409" w:firstLineChars="1000"/>
        <w:rPr>
          <w:rFonts w:asciiTheme="minorEastAsia" w:hAnsiTheme="minorEastAsia" w:cstheme="minorEastAsia"/>
          <w:b/>
        </w:rPr>
      </w:pPr>
    </w:p>
    <w:tbl>
      <w:tblPr>
        <w:tblStyle w:val="19"/>
        <w:tblW w:w="9072" w:type="dxa"/>
        <w:jc w:val="center"/>
        <w:tblCellSpacing w:w="0" w:type="dxa"/>
        <w:tblLayout w:type="autofit"/>
        <w:tblCellMar>
          <w:top w:w="45" w:type="dxa"/>
          <w:left w:w="45" w:type="dxa"/>
          <w:bottom w:w="45" w:type="dxa"/>
          <w:right w:w="45" w:type="dxa"/>
        </w:tblCellMar>
      </w:tblPr>
      <w:tblGrid>
        <w:gridCol w:w="9072"/>
      </w:tblGrid>
      <w:tr w14:paraId="531DD844">
        <w:trPr>
          <w:tblCellSpacing w:w="0" w:type="dxa"/>
          <w:jc w:val="center"/>
        </w:trPr>
        <w:tc>
          <w:tcPr>
            <w:tcW w:w="0" w:type="auto"/>
            <w:tcBorders>
              <w:top w:val="nil"/>
              <w:left w:val="nil"/>
              <w:bottom w:val="nil"/>
              <w:right w:val="nil"/>
            </w:tcBorders>
            <w:shd w:val="clear" w:color="auto" w:fill="auto"/>
            <w:vAlign w:val="center"/>
          </w:tcPr>
          <w:p w14:paraId="13EF4AA4">
            <w:pPr>
              <w:keepNext w:val="0"/>
              <w:keepLines w:val="0"/>
              <w:suppressLineNumbers w:val="0"/>
              <w:spacing w:before="0" w:beforeAutospacing="0" w:after="0" w:afterAutospacing="0"/>
              <w:ind w:left="0" w:leftChars="0" w:right="0" w:rightChars="0"/>
              <w:jc w:val="left"/>
              <w:rPr>
                <w:rFonts w:hint="default" w:ascii="宋体" w:hAnsi="Times New Roman" w:cs="Times New Roman" w:eastAsiaTheme="minorEastAsia"/>
                <w:b/>
                <w:bCs/>
                <w:sz w:val="24"/>
                <w:szCs w:val="24"/>
                <w:lang w:val="en-US" w:eastAsia="zh-CN" w:bidi="ar-SA"/>
              </w:rPr>
            </w:pPr>
            <w:r>
              <w:rPr>
                <w:rFonts w:hint="default"/>
                <w:b/>
                <w:bCs/>
              </w:rPr>
              <w:t>评标方法：综合评分法</w:t>
            </w:r>
          </w:p>
        </w:tc>
      </w:tr>
      <w:tr w14:paraId="7FC78061">
        <w:tblPrEx>
          <w:tblCellMar>
            <w:top w:w="45" w:type="dxa"/>
            <w:left w:w="45" w:type="dxa"/>
            <w:bottom w:w="45" w:type="dxa"/>
            <w:right w:w="45" w:type="dxa"/>
          </w:tblCellMar>
        </w:tblPrEx>
        <w:trPr>
          <w:tblCellSpacing w:w="0" w:type="dxa"/>
          <w:jc w:val="center"/>
        </w:trPr>
        <w:tc>
          <w:tcPr>
            <w:tcW w:w="0" w:type="auto"/>
            <w:shd w:val="clear" w:color="auto" w:fill="auto"/>
            <w:vAlign w:val="center"/>
          </w:tcPr>
          <w:p w14:paraId="159738B9">
            <w:pPr>
              <w:pStyle w:val="15"/>
              <w:ind w:left="420"/>
              <w:rPr>
                <w:rFonts w:hint="eastAsia" w:eastAsia="宋体"/>
                <w:szCs w:val="21"/>
                <w:lang w:eastAsia="zh-CN"/>
              </w:rPr>
            </w:pPr>
            <w:r>
              <w:rPr>
                <w:rFonts w:hint="default"/>
                <w:szCs w:val="21"/>
              </w:rPr>
              <w:t>综合评分法，</w:t>
            </w:r>
            <w:r>
              <w:rPr>
                <w:rFonts w:hint="eastAsia"/>
                <w:szCs w:val="21"/>
              </w:rPr>
              <w:t>是指投标文件满足招标文件全部实质性要求，且按照评审因素的量化指标评审得分</w:t>
            </w:r>
            <w:r>
              <w:rPr>
                <w:rFonts w:hint="eastAsia"/>
                <w:szCs w:val="21"/>
                <w:lang w:val="en-US" w:eastAsia="zh-CN"/>
              </w:rPr>
              <w:t>排名前列</w:t>
            </w:r>
            <w:r>
              <w:rPr>
                <w:rFonts w:hint="default"/>
                <w:szCs w:val="21"/>
              </w:rPr>
              <w:t>的投标人为中标候选人的评标方法。</w:t>
            </w:r>
          </w:p>
          <w:p w14:paraId="6DEC7A54">
            <w:pPr>
              <w:pStyle w:val="15"/>
              <w:ind w:left="420"/>
              <w:rPr>
                <w:rFonts w:hint="default"/>
              </w:rPr>
            </w:pPr>
          </w:p>
          <w:p w14:paraId="552209DB">
            <w:pPr>
              <w:pStyle w:val="15"/>
              <w:ind w:left="420"/>
              <w:rPr>
                <w:rFonts w:hint="default"/>
                <w:szCs w:val="21"/>
              </w:rPr>
            </w:pPr>
            <w:r>
              <w:rPr>
                <w:rFonts w:hint="default"/>
                <w:szCs w:val="21"/>
              </w:rPr>
              <w:t>价格分计算方法：</w:t>
            </w:r>
          </w:p>
          <w:p w14:paraId="7F6DCFEC">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采用低价优先法计算，即满足招标文件要求且投标价格最低的投标报价为评标基准价，其价格分为满分。其他投标人的价格分统一按照下列公式计算： </w:t>
            </w:r>
          </w:p>
          <w:p w14:paraId="45760340">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投标报价得分=(评标基准价／投标报价)×100 </w:t>
            </w:r>
          </w:p>
          <w:p w14:paraId="34037898">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评标总得分＝F1×A1＋F2×A2＋……＋Fn×An </w:t>
            </w:r>
          </w:p>
          <w:p w14:paraId="7F01468D">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F1、F2……Fn分别为各项评审因素的得分； </w:t>
            </w:r>
          </w:p>
          <w:p w14:paraId="67664D49">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eastAsia" w:eastAsia="宋体"/>
                <w:kern w:val="2"/>
                <w:sz w:val="21"/>
                <w:szCs w:val="21"/>
                <w:lang w:eastAsia="zh-CN"/>
              </w:rPr>
            </w:pPr>
            <w:r>
              <w:rPr>
                <w:rFonts w:hint="default"/>
                <w:kern w:val="2"/>
                <w:sz w:val="21"/>
                <w:szCs w:val="21"/>
              </w:rPr>
              <w:t xml:space="preserve">A1、A2、……An 分别为各项评审因素所占的权重(A1＋A2＋……＋An＝1)。 </w:t>
            </w:r>
          </w:p>
          <w:p w14:paraId="4D9D91A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right="0"/>
              <w:textAlignment w:val="auto"/>
              <w:rPr>
                <w:rFonts w:hint="default"/>
                <w:kern w:val="2"/>
                <w:sz w:val="21"/>
                <w:szCs w:val="21"/>
              </w:rPr>
            </w:pPr>
            <w:r>
              <w:rPr>
                <w:rFonts w:hint="default"/>
                <w:kern w:val="2"/>
                <w:sz w:val="21"/>
                <w:szCs w:val="21"/>
              </w:rPr>
              <w:t>评标过程中，不得去掉报价中的最高报价和最低报价。</w:t>
            </w:r>
          </w:p>
          <w:p w14:paraId="47B2F225">
            <w:pPr>
              <w:pStyle w:val="1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420" w:leftChars="0" w:right="0" w:rightChars="0"/>
              <w:textAlignment w:val="auto"/>
              <w:rPr>
                <w:rFonts w:hint="default" w:ascii="Times New Roman" w:hAnsi="Times New Roman" w:cs="Times New Roman" w:eastAsiaTheme="minorEastAsia"/>
                <w:sz w:val="24"/>
                <w:szCs w:val="24"/>
                <w:lang w:val="en-US" w:eastAsia="zh-CN" w:bidi="ar-SA"/>
              </w:rPr>
            </w:pPr>
            <w:r>
              <w:rPr>
                <w:rFonts w:hint="eastAsia"/>
                <w:kern w:val="2"/>
                <w:sz w:val="21"/>
                <w:szCs w:val="21"/>
              </w:rPr>
              <w:t>因落实政府采购政策进行价格调整的，以调整后的价格计算评标基准价和投标报价。</w:t>
            </w:r>
          </w:p>
        </w:tc>
      </w:tr>
    </w:tbl>
    <w:p w14:paraId="7BE85D6F">
      <w:pPr>
        <w:numPr>
          <w:ilvl w:val="-1"/>
          <w:numId w:val="0"/>
        </w:numPr>
        <w:tabs>
          <w:tab w:val="left" w:pos="360"/>
        </w:tabs>
        <w:spacing w:line="460" w:lineRule="exact"/>
        <w:ind w:firstLine="0" w:firstLineChars="0"/>
        <w:jc w:val="both"/>
        <w:rPr>
          <w:rFonts w:asciiTheme="minorEastAsia" w:hAnsiTheme="minorEastAsia" w:cstheme="minorEastAsia"/>
        </w:rPr>
      </w:pPr>
    </w:p>
    <w:tbl>
      <w:tblPr>
        <w:tblStyle w:val="19"/>
        <w:tblW w:w="5480"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20" w:type="dxa"/>
          <w:left w:w="108" w:type="dxa"/>
          <w:bottom w:w="20" w:type="dxa"/>
          <w:right w:w="108" w:type="dxa"/>
        </w:tblCellMar>
      </w:tblPr>
      <w:tblGrid>
        <w:gridCol w:w="469"/>
        <w:gridCol w:w="536"/>
        <w:gridCol w:w="2478"/>
        <w:gridCol w:w="5453"/>
        <w:gridCol w:w="1362"/>
      </w:tblGrid>
      <w:tr w14:paraId="2CC0BCB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238B6982">
            <w:pPr>
              <w:wordWrap w:val="0"/>
              <w:jc w:val="center"/>
              <w:rPr>
                <w:rFonts w:ascii="宋体" w:hAnsi="宋体" w:eastAsia="宋体" w:cs="宋体"/>
                <w:b/>
                <w:bCs/>
                <w:color w:val="auto"/>
                <w:sz w:val="21"/>
                <w:szCs w:val="21"/>
              </w:rPr>
            </w:pPr>
            <w:r>
              <w:rPr>
                <w:rFonts w:hint="eastAsia" w:ascii="宋体" w:hAnsi="宋体" w:eastAsia="宋体" w:cs="宋体"/>
                <w:b/>
                <w:bCs/>
                <w:color w:val="auto"/>
                <w:sz w:val="21"/>
                <w:szCs w:val="21"/>
              </w:rPr>
              <w:t>序号</w:t>
            </w:r>
          </w:p>
        </w:tc>
        <w:tc>
          <w:tcPr>
            <w:tcW w:w="4110" w:type="pct"/>
            <w:gridSpan w:val="3"/>
            <w:tcBorders>
              <w:top w:val="single" w:color="000000" w:sz="8" w:space="0"/>
              <w:left w:val="single" w:color="000000" w:sz="8" w:space="0"/>
              <w:bottom w:val="single" w:color="000000" w:sz="8" w:space="0"/>
              <w:right w:val="single" w:color="000000" w:sz="8" w:space="0"/>
            </w:tcBorders>
            <w:shd w:val="clear" w:color="auto" w:fill="E6EFFA"/>
            <w:vAlign w:val="center"/>
          </w:tcPr>
          <w:p w14:paraId="607378AA">
            <w:pPr>
              <w:wordWrap w:val="0"/>
              <w:jc w:val="center"/>
              <w:rPr>
                <w:rFonts w:ascii="宋体" w:hAnsi="宋体" w:eastAsia="宋体" w:cs="宋体"/>
                <w:b/>
                <w:bCs/>
                <w:color w:val="auto"/>
                <w:sz w:val="21"/>
                <w:szCs w:val="21"/>
              </w:rPr>
            </w:pPr>
            <w:r>
              <w:rPr>
                <w:b/>
                <w:bCs/>
                <w:color w:val="auto"/>
              </w:rPr>
              <w:t>评分项</w:t>
            </w:r>
          </w:p>
        </w:tc>
        <w:tc>
          <w:tcPr>
            <w:tcW w:w="661" w:type="pct"/>
            <w:tcBorders>
              <w:top w:val="single" w:color="000000" w:sz="8" w:space="0"/>
              <w:left w:val="single" w:color="000000" w:sz="8" w:space="0"/>
              <w:bottom w:val="single" w:color="000000" w:sz="8" w:space="0"/>
              <w:right w:val="single" w:color="000000" w:sz="8" w:space="0"/>
            </w:tcBorders>
            <w:shd w:val="clear" w:color="auto" w:fill="E6EFFA"/>
            <w:vAlign w:val="center"/>
          </w:tcPr>
          <w:p w14:paraId="0EE23E7C">
            <w:pPr>
              <w:wordWrap w:val="0"/>
              <w:jc w:val="center"/>
              <w:rPr>
                <w:rFonts w:ascii="宋体" w:hAnsi="宋体" w:eastAsia="宋体" w:cs="宋体"/>
                <w:b/>
                <w:bCs/>
                <w:color w:val="auto"/>
                <w:sz w:val="21"/>
                <w:szCs w:val="21"/>
              </w:rPr>
            </w:pPr>
            <w:r>
              <w:rPr>
                <w:rFonts w:hint="eastAsia" w:ascii="宋体" w:hAnsi="宋体" w:eastAsia="宋体" w:cs="宋体"/>
                <w:b/>
                <w:bCs/>
                <w:color w:val="auto"/>
                <w:sz w:val="21"/>
                <w:szCs w:val="21"/>
              </w:rPr>
              <w:t>权重(%)</w:t>
            </w:r>
          </w:p>
        </w:tc>
      </w:tr>
      <w:tr w14:paraId="28D176E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431" w:hRule="atLeast"/>
          <w:jc w:val="center"/>
        </w:trPr>
        <w:tc>
          <w:tcPr>
            <w:tcW w:w="228" w:type="pct"/>
            <w:vMerge w:val="restart"/>
            <w:tcBorders>
              <w:top w:val="single" w:color="000000" w:sz="8" w:space="0"/>
              <w:left w:val="single" w:color="000000" w:sz="8" w:space="0"/>
              <w:right w:val="single" w:color="000000" w:sz="8" w:space="0"/>
            </w:tcBorders>
            <w:vAlign w:val="center"/>
          </w:tcPr>
          <w:p w14:paraId="646D801D">
            <w:pPr>
              <w:wordWrap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1</w:t>
            </w:r>
          </w:p>
        </w:tc>
        <w:tc>
          <w:tcPr>
            <w:tcW w:w="4110" w:type="pct"/>
            <w:gridSpan w:val="3"/>
            <w:tcBorders>
              <w:top w:val="single" w:color="000000" w:sz="8" w:space="0"/>
              <w:left w:val="single" w:color="000000" w:sz="8" w:space="0"/>
              <w:bottom w:val="single" w:color="000000" w:sz="8" w:space="0"/>
              <w:right w:val="single" w:color="000000" w:sz="8" w:space="0"/>
            </w:tcBorders>
          </w:tcPr>
          <w:p w14:paraId="1FFF0370">
            <w:pPr>
              <w:wordWrap w:val="0"/>
              <w:jc w:val="center"/>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rPr>
              <w:t>价格</w:t>
            </w:r>
            <w:r>
              <w:rPr>
                <w:rFonts w:hint="eastAsia" w:ascii="宋体" w:hAnsi="宋体" w:eastAsia="宋体" w:cs="宋体"/>
                <w:b/>
                <w:bCs/>
                <w:color w:val="auto"/>
                <w:sz w:val="21"/>
                <w:szCs w:val="21"/>
                <w:lang w:val="en-US" w:eastAsia="zh-CN"/>
              </w:rPr>
              <w:t>部分</w:t>
            </w:r>
          </w:p>
        </w:tc>
        <w:tc>
          <w:tcPr>
            <w:tcW w:w="661" w:type="pct"/>
            <w:vMerge w:val="restart"/>
            <w:tcBorders>
              <w:top w:val="single" w:color="000000" w:sz="8" w:space="0"/>
              <w:left w:val="single" w:color="000000" w:sz="8" w:space="0"/>
              <w:right w:val="single" w:color="000000" w:sz="8" w:space="0"/>
            </w:tcBorders>
            <w:vAlign w:val="center"/>
          </w:tcPr>
          <w:p w14:paraId="5B96A8B1">
            <w:pPr>
              <w:adjustRightInd w:val="0"/>
              <w:spacing w:line="260" w:lineRule="exact"/>
              <w:jc w:val="center"/>
              <w:textAlignment w:val="baseline"/>
              <w:rPr>
                <w:rFonts w:hint="eastAsia" w:ascii="宋体" w:hAnsi="宋体" w:eastAsia="宋体" w:cs="宋体"/>
                <w:b/>
                <w:bCs/>
                <w:color w:val="auto"/>
                <w:sz w:val="21"/>
                <w:szCs w:val="21"/>
              </w:rPr>
            </w:pPr>
            <w:r>
              <w:rPr>
                <w:rFonts w:hint="eastAsia" w:ascii="宋体" w:hAnsi="宋体" w:eastAsia="宋体" w:cs="宋体"/>
                <w:b/>
                <w:bCs/>
                <w:color w:val="auto"/>
                <w:sz w:val="21"/>
                <w:szCs w:val="21"/>
              </w:rPr>
              <w:t>30</w:t>
            </w:r>
          </w:p>
        </w:tc>
      </w:tr>
      <w:tr w14:paraId="1B91A3F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275" w:hRule="atLeast"/>
          <w:jc w:val="center"/>
        </w:trPr>
        <w:tc>
          <w:tcPr>
            <w:tcW w:w="228" w:type="pct"/>
            <w:vMerge w:val="restart"/>
            <w:tcBorders>
              <w:top w:val="single" w:color="000000" w:sz="8" w:space="0"/>
              <w:left w:val="single" w:color="000000" w:sz="8" w:space="0"/>
              <w:right w:val="single" w:color="000000" w:sz="8" w:space="0"/>
            </w:tcBorders>
            <w:vAlign w:val="center"/>
          </w:tcPr>
          <w:p w14:paraId="26AF41F4">
            <w:pPr>
              <w:wordWrap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2</w:t>
            </w:r>
          </w:p>
        </w:tc>
        <w:tc>
          <w:tcPr>
            <w:tcW w:w="4110" w:type="pct"/>
            <w:gridSpan w:val="3"/>
            <w:tcBorders>
              <w:top w:val="single" w:color="000000" w:sz="8" w:space="0"/>
              <w:left w:val="single" w:color="000000" w:sz="8" w:space="0"/>
              <w:bottom w:val="single" w:color="000000" w:sz="8" w:space="0"/>
              <w:right w:val="single" w:color="000000" w:sz="8" w:space="0"/>
            </w:tcBorders>
          </w:tcPr>
          <w:p w14:paraId="62685C15">
            <w:pPr>
              <w:wordWrap w:val="0"/>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技术部分</w:t>
            </w:r>
          </w:p>
        </w:tc>
        <w:tc>
          <w:tcPr>
            <w:tcW w:w="661" w:type="pct"/>
            <w:tcBorders>
              <w:top w:val="single" w:color="000000" w:sz="8" w:space="0"/>
              <w:left w:val="single" w:color="000000" w:sz="8" w:space="0"/>
              <w:bottom w:val="single" w:color="000000" w:sz="8" w:space="0"/>
              <w:right w:val="single" w:color="000000" w:sz="8" w:space="0"/>
            </w:tcBorders>
            <w:vAlign w:val="center"/>
          </w:tcPr>
          <w:p w14:paraId="5AF408E3">
            <w:pPr>
              <w:wordWrap w:val="0"/>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56</w:t>
            </w:r>
          </w:p>
        </w:tc>
      </w:tr>
      <w:tr w14:paraId="61058F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275" w:hRule="atLeast"/>
          <w:jc w:val="center"/>
        </w:trPr>
        <w:tc>
          <w:tcPr>
            <w:tcW w:w="228" w:type="pct"/>
            <w:vMerge w:val="continue"/>
            <w:tcBorders>
              <w:left w:val="single" w:color="000000" w:sz="8" w:space="0"/>
              <w:right w:val="single" w:color="000000" w:sz="8" w:space="0"/>
            </w:tcBorders>
            <w:vAlign w:val="center"/>
          </w:tcPr>
          <w:p w14:paraId="5FD90840">
            <w:pPr>
              <w:wordWrap w:val="0"/>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282AE78E">
            <w:pPr>
              <w:wordWrap w:val="0"/>
              <w:jc w:val="center"/>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val="en-US" w:eastAsia="zh-CN"/>
              </w:rPr>
              <w:t>序号</w:t>
            </w:r>
          </w:p>
        </w:tc>
        <w:tc>
          <w:tcPr>
            <w:tcW w:w="1203"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2C4BE26B">
            <w:pPr>
              <w:wordWrap w:val="0"/>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评分因素</w:t>
            </w:r>
          </w:p>
        </w:tc>
        <w:tc>
          <w:tcPr>
            <w:tcW w:w="2646"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6B05C2D7">
            <w:pPr>
              <w:wordWrap w:val="0"/>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评分准则</w:t>
            </w:r>
          </w:p>
        </w:tc>
        <w:tc>
          <w:tcPr>
            <w:tcW w:w="661"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2D589060">
            <w:pPr>
              <w:wordWrap w:val="0"/>
              <w:jc w:val="center"/>
              <w:rPr>
                <w:rFonts w:hint="default"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权重</w:t>
            </w:r>
          </w:p>
        </w:tc>
      </w:tr>
      <w:tr w14:paraId="216386A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4670" w:hRule="atLeast"/>
          <w:jc w:val="center"/>
        </w:trPr>
        <w:tc>
          <w:tcPr>
            <w:tcW w:w="228" w:type="pct"/>
            <w:vMerge w:val="continue"/>
            <w:tcBorders>
              <w:left w:val="single" w:color="000000" w:sz="8" w:space="0"/>
              <w:right w:val="single" w:color="000000" w:sz="8" w:space="0"/>
            </w:tcBorders>
            <w:shd w:val="clear" w:color="auto" w:fill="E6EFFA"/>
            <w:vAlign w:val="center"/>
          </w:tcPr>
          <w:p w14:paraId="0C120C24">
            <w:pPr>
              <w:jc w:val="center"/>
              <w:rPr>
                <w:rFonts w:hint="eastAsia" w:ascii="宋体" w:hAnsi="宋体" w:eastAsia="宋体" w:cs="宋体"/>
                <w:b/>
                <w:bCs/>
                <w:color w:val="auto"/>
                <w:sz w:val="21"/>
                <w:szCs w:val="21"/>
              </w:rPr>
            </w:pPr>
          </w:p>
        </w:tc>
        <w:tc>
          <w:tcPr>
            <w:tcW w:w="260" w:type="pct"/>
            <w:tcBorders>
              <w:top w:val="outset" w:color="000000" w:sz="6" w:space="0"/>
              <w:left w:val="outset" w:color="000000" w:sz="6" w:space="0"/>
              <w:bottom w:val="outset" w:color="000000" w:sz="6" w:space="0"/>
              <w:right w:val="outset" w:color="000000" w:sz="6" w:space="0"/>
            </w:tcBorders>
            <w:shd w:val="clear" w:color="auto" w:fill="auto"/>
            <w:vAlign w:val="center"/>
          </w:tcPr>
          <w:p w14:paraId="41E4F36C">
            <w:pPr>
              <w:wordWrap w:val="0"/>
              <w:jc w:val="center"/>
              <w:rPr>
                <w:rFonts w:hint="eastAsia" w:ascii="宋体" w:hAnsi="宋体" w:eastAsia="宋体" w:cs="宋体"/>
                <w:color w:val="auto"/>
                <w:sz w:val="21"/>
                <w:szCs w:val="21"/>
                <w:shd w:val="clear" w:color="FFFFFF" w:fill="D9D9D9"/>
                <w:lang w:val="en-US" w:eastAsia="zh-CN"/>
              </w:rPr>
            </w:pPr>
            <w:r>
              <w:rPr>
                <w:rFonts w:hint="eastAsia" w:ascii="宋体" w:hAnsi="宋体" w:eastAsia="宋体" w:cs="宋体"/>
                <w:color w:val="auto"/>
                <w:sz w:val="21"/>
                <w:szCs w:val="21"/>
                <w:shd w:val="clear" w:color="auto" w:fill="auto"/>
                <w:lang w:val="en-US" w:eastAsia="zh-CN"/>
              </w:rPr>
              <w:t>1</w:t>
            </w:r>
          </w:p>
        </w:tc>
        <w:tc>
          <w:tcPr>
            <w:tcW w:w="1203" w:type="pct"/>
            <w:tcBorders>
              <w:top w:val="outset" w:color="000000" w:sz="6" w:space="0"/>
              <w:left w:val="outset" w:color="000000" w:sz="6" w:space="0"/>
              <w:bottom w:val="outset" w:color="000000" w:sz="6" w:space="0"/>
              <w:right w:val="outset" w:color="000000" w:sz="6" w:space="0"/>
            </w:tcBorders>
            <w:shd w:val="clear" w:color="auto" w:fill="auto"/>
            <w:vAlign w:val="center"/>
          </w:tcPr>
          <w:p w14:paraId="79CB31E1">
            <w:pPr>
              <w:wordWrap w:val="0"/>
              <w:jc w:val="center"/>
              <w:rPr>
                <w:rFonts w:hint="eastAsia" w:ascii="宋体" w:hAnsi="宋体" w:eastAsia="宋体" w:cs="宋体"/>
                <w:color w:val="auto"/>
                <w:sz w:val="21"/>
                <w:szCs w:val="21"/>
                <w:shd w:val="clear" w:color="FFFFFF" w:fill="D9D9D9"/>
                <w:lang w:val="en-US" w:eastAsia="zh-CN"/>
              </w:rPr>
            </w:pPr>
            <w:r>
              <w:rPr>
                <w:rFonts w:hint="eastAsia" w:ascii="宋体" w:hAnsi="宋体" w:eastAsia="宋体" w:cs="宋体"/>
                <w:color w:val="auto"/>
                <w:sz w:val="21"/>
                <w:szCs w:val="21"/>
                <w:shd w:val="clear" w:color="auto" w:fill="auto"/>
                <w:lang w:val="en-US" w:eastAsia="zh-CN"/>
              </w:rPr>
              <w:t>设备技术参数指标</w:t>
            </w:r>
          </w:p>
        </w:tc>
        <w:tc>
          <w:tcPr>
            <w:tcW w:w="2646" w:type="pct"/>
            <w:tcBorders>
              <w:top w:val="outset" w:color="000000" w:sz="6" w:space="0"/>
              <w:left w:val="outset" w:color="000000" w:sz="6" w:space="0"/>
              <w:bottom w:val="outset" w:color="000000" w:sz="6" w:space="0"/>
              <w:right w:val="outset" w:color="000000" w:sz="6" w:space="0"/>
            </w:tcBorders>
            <w:shd w:val="clear" w:color="auto" w:fill="auto"/>
            <w:vAlign w:val="center"/>
          </w:tcPr>
          <w:p w14:paraId="35EC0BBC">
            <w:pPr>
              <w:wordWrap/>
              <w:adjustRightInd w:val="0"/>
              <w:spacing w:line="260" w:lineRule="exact"/>
              <w:textAlignment w:val="baseline"/>
              <w:rPr>
                <w:rFonts w:hint="eastAsia" w:ascii="宋体" w:hAnsi="宋体" w:eastAsia="宋体" w:cs="宋体"/>
                <w:b/>
                <w:bCs/>
              </w:rPr>
            </w:pPr>
            <w:r>
              <w:rPr>
                <w:rFonts w:hint="eastAsia" w:ascii="宋体" w:hAnsi="宋体" w:eastAsia="宋体" w:cs="宋体"/>
                <w:b/>
                <w:bCs/>
              </w:rPr>
              <w:t>（一）评审内容：</w:t>
            </w:r>
          </w:p>
          <w:p w14:paraId="4275BAA3">
            <w:pPr>
              <w:wordWrap/>
              <w:adjustRightInd w:val="0"/>
              <w:spacing w:line="260" w:lineRule="exact"/>
              <w:jc w:val="left"/>
              <w:textAlignment w:val="baseline"/>
              <w:rPr>
                <w:rFonts w:hint="eastAsia" w:ascii="宋体" w:hAnsi="宋体" w:eastAsia="宋体" w:cs="宋体"/>
                <w:color w:val="auto"/>
                <w:kern w:val="0"/>
                <w:sz w:val="21"/>
                <w:szCs w:val="21"/>
              </w:rPr>
            </w:pPr>
            <w:r>
              <w:rPr>
                <w:rFonts w:hint="eastAsia" w:ascii="宋体" w:hAnsi="宋体" w:eastAsia="宋体" w:cs="宋体"/>
                <w:sz w:val="22"/>
                <w:szCs w:val="22"/>
              </w:rPr>
              <w:t>投标人应如实填写《技术规格偏离表》，</w:t>
            </w:r>
            <w:r>
              <w:rPr>
                <w:rFonts w:hint="eastAsia" w:ascii="宋体" w:hAnsi="宋体" w:eastAsia="宋体" w:cs="宋体"/>
                <w:color w:val="auto"/>
                <w:kern w:val="0"/>
                <w:sz w:val="21"/>
                <w:szCs w:val="21"/>
              </w:rPr>
              <w:t>完全响应招标</w:t>
            </w:r>
            <w:r>
              <w:rPr>
                <w:rFonts w:hint="eastAsia" w:ascii="宋体" w:hAnsi="宋体" w:eastAsia="宋体" w:cs="宋体"/>
                <w:color w:val="auto"/>
                <w:kern w:val="0"/>
                <w:sz w:val="21"/>
                <w:szCs w:val="21"/>
                <w:lang w:val="en-US" w:eastAsia="zh-CN"/>
              </w:rPr>
              <w:t>文件技术参数要求</w:t>
            </w:r>
            <w:r>
              <w:rPr>
                <w:rFonts w:hint="eastAsia" w:ascii="宋体" w:hAnsi="宋体" w:eastAsia="宋体" w:cs="宋体"/>
                <w:color w:val="auto"/>
                <w:kern w:val="0"/>
                <w:sz w:val="21"/>
                <w:szCs w:val="21"/>
              </w:rPr>
              <w:t>中所有指标的得</w:t>
            </w:r>
            <w:r>
              <w:rPr>
                <w:rFonts w:hint="eastAsia" w:ascii="宋体" w:hAnsi="宋体" w:eastAsia="宋体" w:cs="宋体"/>
                <w:color w:val="auto"/>
                <w:kern w:val="0"/>
                <w:sz w:val="21"/>
                <w:szCs w:val="21"/>
                <w:lang w:val="en-US" w:eastAsia="zh-CN"/>
              </w:rPr>
              <w:t>30</w:t>
            </w:r>
            <w:r>
              <w:rPr>
                <w:rFonts w:hint="eastAsia" w:ascii="宋体" w:hAnsi="宋体" w:eastAsia="宋体" w:cs="宋体"/>
                <w:color w:val="auto"/>
                <w:kern w:val="0"/>
                <w:sz w:val="21"/>
                <w:szCs w:val="21"/>
              </w:rPr>
              <w:t>分；</w:t>
            </w:r>
            <w:r>
              <w:rPr>
                <w:rFonts w:hint="eastAsia" w:ascii="宋体" w:hAnsi="宋体" w:eastAsia="宋体" w:cs="宋体"/>
                <w:color w:val="auto"/>
                <w:kern w:val="0"/>
                <w:sz w:val="21"/>
                <w:szCs w:val="21"/>
                <w:lang w:val="en-US" w:eastAsia="zh-CN"/>
              </w:rPr>
              <w:t>其中，</w:t>
            </w:r>
            <w:r>
              <w:rPr>
                <w:rFonts w:hint="eastAsia" w:ascii="宋体" w:hAnsi="宋体" w:eastAsia="宋体" w:cs="宋体"/>
                <w:color w:val="auto"/>
                <w:kern w:val="0"/>
                <w:sz w:val="21"/>
                <w:szCs w:val="21"/>
              </w:rPr>
              <w:t>标“▲”的指标，每负偏离一条扣3分；</w:t>
            </w:r>
            <w:r>
              <w:rPr>
                <w:rFonts w:hint="eastAsia" w:ascii="宋体" w:hAnsi="宋体" w:eastAsia="宋体" w:cs="宋体"/>
                <w:color w:val="auto"/>
                <w:kern w:val="0"/>
                <w:sz w:val="21"/>
                <w:szCs w:val="21"/>
                <w:lang w:val="en-US" w:eastAsia="zh-CN"/>
              </w:rPr>
              <w:t>其余</w:t>
            </w:r>
            <w:r>
              <w:rPr>
                <w:rFonts w:hint="eastAsia" w:ascii="宋体" w:hAnsi="宋体" w:eastAsia="宋体" w:cs="宋体"/>
                <w:color w:val="auto"/>
                <w:kern w:val="0"/>
                <w:sz w:val="21"/>
                <w:szCs w:val="21"/>
              </w:rPr>
              <w:t>指标，每负偏离一条扣1分，扣完</w:t>
            </w:r>
            <w:r>
              <w:rPr>
                <w:rFonts w:hint="eastAsia" w:ascii="宋体" w:hAnsi="宋体" w:eastAsia="宋体" w:cs="宋体"/>
                <w:color w:val="auto"/>
                <w:kern w:val="0"/>
                <w:sz w:val="21"/>
                <w:szCs w:val="21"/>
                <w:lang w:val="en-US" w:eastAsia="zh-CN"/>
              </w:rPr>
              <w:t>30分</w:t>
            </w:r>
            <w:r>
              <w:rPr>
                <w:rFonts w:hint="eastAsia" w:ascii="宋体" w:hAnsi="宋体" w:eastAsia="宋体" w:cs="宋体"/>
                <w:color w:val="auto"/>
                <w:kern w:val="0"/>
                <w:sz w:val="21"/>
                <w:szCs w:val="21"/>
              </w:rPr>
              <w:t>为止。</w:t>
            </w:r>
          </w:p>
          <w:p w14:paraId="5884427E">
            <w:pPr>
              <w:wordWrap/>
              <w:adjustRightInd w:val="0"/>
              <w:spacing w:line="260" w:lineRule="exact"/>
              <w:jc w:val="left"/>
              <w:textAlignment w:val="baseline"/>
              <w:rPr>
                <w:rFonts w:hint="eastAsia" w:ascii="宋体" w:hAnsi="宋体" w:eastAsia="宋体" w:cs="宋体"/>
                <w:sz w:val="22"/>
                <w:szCs w:val="22"/>
              </w:rPr>
            </w:pPr>
            <w:r>
              <w:rPr>
                <w:rFonts w:hint="eastAsia" w:ascii="宋体" w:hAnsi="宋体" w:eastAsia="宋体" w:cs="宋体"/>
                <w:b/>
                <w:bCs/>
              </w:rPr>
              <w:t>（二）评审依据：</w:t>
            </w:r>
          </w:p>
          <w:p w14:paraId="5583C5BD">
            <w:pPr>
              <w:wordWrap/>
              <w:adjustRightInd w:val="0"/>
              <w:spacing w:line="260" w:lineRule="exact"/>
              <w:jc w:val="both"/>
              <w:textAlignment w:val="baseline"/>
              <w:rPr>
                <w:rFonts w:hint="eastAsia" w:ascii="宋体" w:hAnsi="宋体" w:eastAsia="宋体" w:cs="宋体"/>
                <w:color w:val="auto"/>
                <w:kern w:val="0"/>
                <w:sz w:val="21"/>
                <w:szCs w:val="21"/>
                <w:lang w:val="en-US" w:eastAsia="zh-CN"/>
              </w:rPr>
            </w:pPr>
            <w:r>
              <w:rPr>
                <w:rFonts w:hint="eastAsia" w:ascii="宋体" w:hAnsi="宋体" w:eastAsia="宋体" w:cs="宋体"/>
                <w:sz w:val="22"/>
                <w:szCs w:val="22"/>
              </w:rPr>
              <w:t>以投标文件《技术规格偏离表》为评分依据，投标人按招标文件要求提供相应的证明材料复印件或扫描件加盖投标人公章，并注明证明材料在投标文件中的具体位置。未提供有效证明材料或未注明证明材料在投标文件中的具体位置或提供的证明资料显示不符合招标文件要求、模糊不清无法判断或未显示是否满足招标文件参数的，该项技术指标按负偏离处理。</w:t>
            </w:r>
          </w:p>
        </w:tc>
        <w:tc>
          <w:tcPr>
            <w:tcW w:w="661" w:type="pct"/>
            <w:tcBorders>
              <w:top w:val="outset" w:color="000000" w:sz="6" w:space="0"/>
              <w:left w:val="outset" w:color="000000" w:sz="6" w:space="0"/>
              <w:bottom w:val="outset" w:color="000000" w:sz="6" w:space="0"/>
              <w:right w:val="outset" w:color="000000" w:sz="6" w:space="0"/>
            </w:tcBorders>
            <w:shd w:val="clear" w:color="auto" w:fill="auto"/>
            <w:vAlign w:val="center"/>
          </w:tcPr>
          <w:p w14:paraId="329A8D97">
            <w:pPr>
              <w:adjustRightInd w:val="0"/>
              <w:spacing w:line="260" w:lineRule="exact"/>
              <w:jc w:val="center"/>
              <w:textAlignment w:val="baseline"/>
              <w:rPr>
                <w:rFonts w:hint="eastAsia" w:ascii="宋体" w:hAnsi="宋体" w:eastAsia="宋体" w:cs="宋体"/>
                <w:color w:val="auto"/>
                <w:sz w:val="21"/>
                <w:szCs w:val="21"/>
                <w:shd w:val="clear" w:color="FFFFFF" w:fill="D9D9D9"/>
              </w:rPr>
            </w:pPr>
            <w:r>
              <w:rPr>
                <w:rFonts w:hint="eastAsia" w:ascii="宋体" w:hAnsi="宋体" w:eastAsia="宋体" w:cs="宋体"/>
                <w:color w:val="auto"/>
                <w:sz w:val="21"/>
                <w:szCs w:val="21"/>
                <w:shd w:val="clear" w:color="auto" w:fill="auto"/>
                <w:lang w:val="en-US" w:eastAsia="zh-CN"/>
              </w:rPr>
              <w:t>30</w:t>
            </w:r>
          </w:p>
        </w:tc>
      </w:tr>
      <w:tr w14:paraId="44696A4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trHeight w:val="3322" w:hRule="atLeast"/>
          <w:jc w:val="center"/>
        </w:trPr>
        <w:tc>
          <w:tcPr>
            <w:tcW w:w="228" w:type="pct"/>
            <w:vMerge w:val="continue"/>
            <w:tcBorders>
              <w:left w:val="single" w:color="000000" w:sz="8" w:space="0"/>
              <w:right w:val="single" w:color="000000" w:sz="8" w:space="0"/>
            </w:tcBorders>
            <w:vAlign w:val="center"/>
          </w:tcPr>
          <w:p w14:paraId="5F36320F">
            <w:pPr>
              <w:jc w:val="center"/>
              <w:rPr>
                <w:rFonts w:hint="eastAsia" w:ascii="宋体" w:hAnsi="宋体" w:eastAsia="宋体" w:cs="宋体"/>
                <w:b/>
                <w:bCs/>
                <w:color w:val="auto"/>
                <w:sz w:val="21"/>
                <w:szCs w:val="21"/>
              </w:rPr>
            </w:pPr>
          </w:p>
        </w:tc>
        <w:tc>
          <w:tcPr>
            <w:tcW w:w="260" w:type="pct"/>
            <w:vMerge w:val="restart"/>
            <w:tcBorders>
              <w:left w:val="single" w:color="000000" w:sz="8" w:space="0"/>
              <w:right w:val="single" w:color="000000" w:sz="8" w:space="0"/>
            </w:tcBorders>
            <w:shd w:val="clear" w:color="auto" w:fill="auto"/>
            <w:vAlign w:val="center"/>
          </w:tcPr>
          <w:p w14:paraId="3F219455">
            <w:pPr>
              <w:widowControl w:val="0"/>
              <w:spacing w:line="360" w:lineRule="exact"/>
              <w:jc w:val="center"/>
              <w:rPr>
                <w:rFonts w:hint="eastAsia" w:ascii="宋体" w:hAnsi="宋体" w:eastAsia="宋体" w:cs="宋体"/>
                <w:color w:val="auto"/>
                <w:sz w:val="21"/>
                <w:szCs w:val="21"/>
                <w:lang w:val="en-US" w:eastAsia="zh-CN" w:bidi="ar-SA"/>
              </w:rPr>
            </w:pPr>
            <w:r>
              <w:rPr>
                <w:rFonts w:hint="eastAsia" w:ascii="宋体" w:hAnsi="宋体" w:eastAsia="宋体" w:cs="宋体"/>
                <w:color w:val="auto"/>
                <w:sz w:val="21"/>
                <w:szCs w:val="21"/>
                <w:lang w:val="en-US" w:eastAsia="zh-CN"/>
              </w:rPr>
              <w:t>2</w:t>
            </w:r>
          </w:p>
        </w:tc>
        <w:tc>
          <w:tcPr>
            <w:tcW w:w="1203" w:type="pct"/>
            <w:vMerge w:val="restart"/>
            <w:tcBorders>
              <w:left w:val="single" w:color="000000" w:sz="8" w:space="0"/>
              <w:right w:val="single" w:color="000000" w:sz="8" w:space="0"/>
            </w:tcBorders>
            <w:shd w:val="clear" w:color="auto" w:fill="auto"/>
            <w:vAlign w:val="center"/>
          </w:tcPr>
          <w:p w14:paraId="2A9A8380">
            <w:pPr>
              <w:wordWrap w:val="0"/>
              <w:jc w:val="center"/>
              <w:rPr>
                <w:rFonts w:hint="eastAsia" w:ascii="宋体" w:hAnsi="宋体" w:eastAsia="宋体" w:cs="宋体"/>
                <w:color w:val="auto"/>
                <w:sz w:val="21"/>
                <w:szCs w:val="21"/>
                <w:lang w:val="en-US" w:eastAsia="zh-CN" w:bidi="ar-SA"/>
              </w:rPr>
            </w:pPr>
            <w:r>
              <w:rPr>
                <w:rFonts w:hint="eastAsia" w:ascii="宋体" w:hAnsi="宋体" w:eastAsia="宋体" w:cs="宋体"/>
                <w:color w:val="auto"/>
                <w:kern w:val="0"/>
                <w:sz w:val="21"/>
                <w:szCs w:val="21"/>
              </w:rPr>
              <w:t>设备配置的完整性、操作性能、供货保障方案、质量保障措施</w:t>
            </w:r>
          </w:p>
        </w:tc>
        <w:tc>
          <w:tcPr>
            <w:tcW w:w="2646" w:type="pct"/>
            <w:tcBorders>
              <w:left w:val="single" w:color="000000" w:sz="8" w:space="0"/>
              <w:right w:val="single" w:color="000000" w:sz="8" w:space="0"/>
            </w:tcBorders>
            <w:shd w:val="clear" w:color="auto" w:fill="auto"/>
            <w:vAlign w:val="center"/>
          </w:tcPr>
          <w:p w14:paraId="077499CA">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（一）评审内容：</w:t>
            </w:r>
          </w:p>
          <w:p w14:paraId="621C0E2B">
            <w:pPr>
              <w:adjustRightInd w:val="0"/>
              <w:spacing w:line="260" w:lineRule="exact"/>
              <w:textAlignment w:val="baseline"/>
              <w:rPr>
                <w:rFonts w:ascii="宋体" w:hAnsi="宋体" w:eastAsia="宋体"/>
                <w:b w:val="0"/>
                <w:sz w:val="21"/>
              </w:rPr>
            </w:pPr>
            <w:r>
              <w:rPr>
                <w:rFonts w:ascii="宋体" w:hAnsi="宋体" w:eastAsia="宋体"/>
                <w:b w:val="0"/>
                <w:sz w:val="21"/>
              </w:rPr>
              <w:t>考察所投设备操作性能：</w:t>
            </w:r>
          </w:p>
          <w:p w14:paraId="2C0F78D1">
            <w:pPr>
              <w:adjustRightInd w:val="0"/>
              <w:spacing w:line="260" w:lineRule="exact"/>
              <w:textAlignment w:val="baseline"/>
              <w:rPr>
                <w:rFonts w:ascii="宋体" w:hAnsi="宋体" w:eastAsia="宋体"/>
                <w:b w:val="0"/>
                <w:sz w:val="21"/>
              </w:rPr>
            </w:pPr>
            <w:r>
              <w:rPr>
                <w:rFonts w:ascii="宋体" w:hAnsi="宋体" w:eastAsia="宋体"/>
                <w:b w:val="0"/>
                <w:sz w:val="21"/>
              </w:rPr>
              <w:t>1.监控界面友好、功能完善，可实时显示温度、湿度、压差等参数并支持历史曲线显示与打印；</w:t>
            </w:r>
          </w:p>
          <w:p w14:paraId="3E90E735">
            <w:pPr>
              <w:adjustRightInd w:val="0"/>
              <w:spacing w:line="260" w:lineRule="exact"/>
              <w:textAlignment w:val="baseline"/>
              <w:rPr>
                <w:rFonts w:ascii="宋体" w:hAnsi="宋体" w:eastAsia="宋体"/>
                <w:b w:val="0"/>
                <w:sz w:val="21"/>
              </w:rPr>
            </w:pPr>
            <w:r>
              <w:rPr>
                <w:rFonts w:ascii="宋体" w:hAnsi="宋体" w:eastAsia="宋体"/>
                <w:b w:val="0"/>
                <w:sz w:val="21"/>
              </w:rPr>
              <w:t>2.系统运行稳定可靠，具备故障报警及远程报警功能，可支持连续运行；</w:t>
            </w:r>
          </w:p>
          <w:p w14:paraId="790A69A1">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3.设备兼容性与可扩展性良好，可与现有自控系统无缝兼容。</w:t>
            </w:r>
          </w:p>
          <w:p w14:paraId="430D2DED">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（二）评分要求：</w:t>
            </w:r>
          </w:p>
          <w:p w14:paraId="64A1BBA0">
            <w:pPr>
              <w:adjustRightInd w:val="0"/>
              <w:spacing w:line="260" w:lineRule="exact"/>
              <w:textAlignment w:val="baseline"/>
              <w:rPr>
                <w:rFonts w:hint="eastAsia" w:ascii="宋体" w:hAnsi="宋体" w:eastAsia="宋体" w:cs="宋体"/>
                <w:color w:val="auto"/>
                <w:sz w:val="21"/>
                <w:szCs w:val="21"/>
                <w:lang w:val="en-US" w:eastAsia="zh-CN"/>
              </w:rPr>
            </w:pPr>
            <w:r>
              <w:rPr>
                <w:rFonts w:hint="eastAsia" w:ascii="宋体" w:hAnsi="宋体" w:eastAsia="宋体"/>
                <w:b/>
                <w:bCs/>
                <w:color w:val="FF0000"/>
                <w:sz w:val="21"/>
                <w:lang w:val="en-US" w:eastAsia="zh-CN"/>
              </w:rPr>
              <w:t>投标人提供类似项目的实施案例和监控界面截图作为评分依据。</w:t>
            </w:r>
            <w:r>
              <w:rPr>
                <w:rFonts w:ascii="宋体" w:hAnsi="宋体" w:eastAsia="宋体"/>
                <w:b w:val="0"/>
                <w:sz w:val="21"/>
              </w:rPr>
              <w:t>所投设备操作性能完全满足上述评审要点，功能完善、运行稳定可靠的，得3分；基本满足上述评审要点，功能较完善、整体性能良好的，得2分；部分满足上述评审要点，功能基本可用但存在明显不足的，得1分；其他情况不得分。</w:t>
            </w:r>
          </w:p>
        </w:tc>
        <w:tc>
          <w:tcPr>
            <w:tcW w:w="661" w:type="pct"/>
            <w:tcBorders>
              <w:left w:val="single" w:color="000000" w:sz="8" w:space="0"/>
              <w:right w:val="single" w:color="000000" w:sz="8" w:space="0"/>
            </w:tcBorders>
            <w:shd w:val="clear" w:color="auto" w:fill="auto"/>
            <w:vAlign w:val="center"/>
          </w:tcPr>
          <w:p w14:paraId="0399DC84">
            <w:pPr>
              <w:adjustRightInd w:val="0"/>
              <w:spacing w:line="260" w:lineRule="exact"/>
              <w:jc w:val="center"/>
              <w:textAlignment w:val="baseline"/>
              <w:rPr>
                <w:rFonts w:hint="default" w:ascii="宋体" w:hAnsi="宋体" w:eastAsia="宋体" w:cs="宋体"/>
                <w:color w:val="auto"/>
                <w:kern w:val="0"/>
                <w:sz w:val="21"/>
                <w:szCs w:val="21"/>
                <w:lang w:val="en-US" w:eastAsia="zh-CN" w:bidi="ar-SA"/>
              </w:rPr>
            </w:pPr>
            <w:r>
              <w:rPr>
                <w:rFonts w:hint="default" w:ascii="宋体" w:hAnsi="宋体" w:eastAsia="宋体" w:cs="宋体"/>
                <w:color w:val="auto"/>
                <w:kern w:val="0"/>
                <w:sz w:val="21"/>
                <w:szCs w:val="21"/>
                <w:lang w:val="en-US" w:eastAsia="zh-CN" w:bidi="ar-SA"/>
              </w:rPr>
              <w:t>3</w:t>
            </w:r>
          </w:p>
        </w:tc>
      </w:tr>
      <w:tr w14:paraId="53B00E5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4548234E">
            <w:pPr>
              <w:jc w:val="center"/>
              <w:rPr>
                <w:rFonts w:hint="eastAsia" w:ascii="宋体" w:hAnsi="宋体" w:eastAsia="宋体" w:cs="宋体"/>
                <w:b/>
                <w:bCs/>
                <w:color w:val="auto"/>
                <w:sz w:val="21"/>
                <w:szCs w:val="21"/>
              </w:rPr>
            </w:pPr>
          </w:p>
        </w:tc>
        <w:tc>
          <w:tcPr>
            <w:tcW w:w="260" w:type="pct"/>
            <w:vMerge w:val="continue"/>
            <w:tcBorders>
              <w:left w:val="single" w:color="000000" w:sz="8" w:space="0"/>
              <w:bottom w:val="single" w:color="000000" w:sz="8" w:space="0"/>
              <w:right w:val="single" w:color="000000" w:sz="8" w:space="0"/>
            </w:tcBorders>
            <w:vAlign w:val="center"/>
          </w:tcPr>
          <w:p w14:paraId="6B7E292D">
            <w:pPr>
              <w:widowControl w:val="0"/>
              <w:spacing w:line="360" w:lineRule="exact"/>
              <w:jc w:val="center"/>
              <w:rPr>
                <w:rFonts w:hint="eastAsia" w:ascii="宋体" w:hAnsi="宋体" w:eastAsia="宋体" w:cs="宋体"/>
                <w:color w:val="auto"/>
                <w:sz w:val="21"/>
                <w:szCs w:val="21"/>
              </w:rPr>
            </w:pPr>
          </w:p>
        </w:tc>
        <w:tc>
          <w:tcPr>
            <w:tcW w:w="1203" w:type="pct"/>
            <w:vMerge w:val="continue"/>
            <w:tcBorders>
              <w:left w:val="single" w:color="000000" w:sz="8" w:space="0"/>
              <w:bottom w:val="single" w:color="000000" w:sz="8" w:space="0"/>
              <w:right w:val="single" w:color="000000" w:sz="8" w:space="0"/>
            </w:tcBorders>
            <w:vAlign w:val="center"/>
          </w:tcPr>
          <w:p w14:paraId="403623FE">
            <w:pPr>
              <w:wordWrap w:val="0"/>
              <w:jc w:val="center"/>
              <w:rPr>
                <w:rFonts w:hint="eastAsia" w:ascii="宋体" w:hAnsi="宋体" w:eastAsia="宋体" w:cs="宋体"/>
                <w:color w:val="auto"/>
                <w:sz w:val="21"/>
                <w:szCs w:val="21"/>
              </w:rPr>
            </w:pPr>
          </w:p>
        </w:tc>
        <w:tc>
          <w:tcPr>
            <w:tcW w:w="2646" w:type="pct"/>
            <w:tcBorders>
              <w:left w:val="single" w:color="000000" w:sz="8" w:space="0"/>
              <w:bottom w:val="single" w:color="000000" w:sz="8" w:space="0"/>
              <w:right w:val="single" w:color="000000" w:sz="8" w:space="0"/>
            </w:tcBorders>
            <w:shd w:val="clear" w:color="auto" w:fill="auto"/>
            <w:vAlign w:val="center"/>
          </w:tcPr>
          <w:p w14:paraId="49A5169D">
            <w:pPr>
              <w:adjustRightInd w:val="0"/>
              <w:spacing w:line="260" w:lineRule="exact"/>
              <w:textAlignment w:val="baseline"/>
              <w:rPr>
                <w:rFonts w:hint="eastAsia" w:ascii="宋体" w:hAnsi="宋体" w:eastAsia="宋体" w:cs="宋体"/>
                <w:color w:val="auto"/>
                <w:kern w:val="0"/>
                <w:sz w:val="21"/>
                <w:szCs w:val="21"/>
                <w:lang w:val="en-US" w:eastAsia="zh-CN" w:bidi="ar-SA"/>
              </w:rPr>
            </w:pPr>
            <w:r>
              <w:rPr>
                <w:rFonts w:ascii="宋体" w:hAnsi="宋体" w:eastAsia="宋体"/>
                <w:b/>
                <w:sz w:val="21"/>
              </w:rPr>
              <w:t>（一）评审内容：</w:t>
            </w:r>
          </w:p>
          <w:p w14:paraId="6EB60FB1">
            <w:pPr>
              <w:adjustRightInd w:val="0"/>
              <w:spacing w:line="260" w:lineRule="exact"/>
              <w:textAlignment w:val="baseline"/>
              <w:rPr>
                <w:rFonts w:ascii="宋体" w:hAnsi="宋体" w:eastAsia="宋体"/>
                <w:b w:val="0"/>
                <w:sz w:val="21"/>
              </w:rPr>
            </w:pPr>
            <w:r>
              <w:rPr>
                <w:rFonts w:ascii="宋体" w:hAnsi="宋体" w:eastAsia="宋体"/>
                <w:b w:val="0"/>
                <w:sz w:val="21"/>
              </w:rPr>
              <w:t>根据投标人提供的供货保障方案和质量保障措施进行评审：</w:t>
            </w:r>
          </w:p>
          <w:p w14:paraId="5CF434ED">
            <w:pPr>
              <w:adjustRightInd w:val="0"/>
              <w:spacing w:line="260" w:lineRule="exact"/>
              <w:textAlignment w:val="baseline"/>
              <w:rPr>
                <w:rFonts w:ascii="宋体" w:hAnsi="宋体" w:eastAsia="宋体"/>
                <w:b w:val="0"/>
                <w:sz w:val="21"/>
              </w:rPr>
            </w:pPr>
            <w:r>
              <w:rPr>
                <w:rFonts w:ascii="宋体" w:hAnsi="宋体" w:eastAsia="宋体"/>
                <w:b w:val="0"/>
                <w:sz w:val="21"/>
              </w:rPr>
              <w:t>1.供货流程及供货进度安排；</w:t>
            </w:r>
          </w:p>
          <w:p w14:paraId="774D51DA">
            <w:pPr>
              <w:adjustRightInd w:val="0"/>
              <w:spacing w:line="260" w:lineRule="exact"/>
              <w:textAlignment w:val="baseline"/>
              <w:rPr>
                <w:rFonts w:ascii="宋体" w:hAnsi="宋体" w:eastAsia="宋体"/>
                <w:b w:val="0"/>
                <w:sz w:val="21"/>
              </w:rPr>
            </w:pPr>
            <w:r>
              <w:rPr>
                <w:rFonts w:ascii="宋体" w:hAnsi="宋体" w:eastAsia="宋体"/>
                <w:b w:val="0"/>
                <w:sz w:val="21"/>
              </w:rPr>
              <w:t>2.供货人员安排及分工；</w:t>
            </w:r>
          </w:p>
          <w:p w14:paraId="6CED9A17">
            <w:pPr>
              <w:adjustRightInd w:val="0"/>
              <w:spacing w:line="260" w:lineRule="exact"/>
              <w:textAlignment w:val="baseline"/>
              <w:rPr>
                <w:rFonts w:ascii="宋体" w:hAnsi="宋体" w:eastAsia="宋体"/>
                <w:b w:val="0"/>
                <w:sz w:val="21"/>
              </w:rPr>
            </w:pPr>
            <w:r>
              <w:rPr>
                <w:rFonts w:ascii="宋体" w:hAnsi="宋体" w:eastAsia="宋体"/>
                <w:b w:val="0"/>
                <w:sz w:val="21"/>
              </w:rPr>
              <w:t>3.应急供货措施；</w:t>
            </w:r>
          </w:p>
          <w:p w14:paraId="5A46637C">
            <w:pPr>
              <w:adjustRightInd w:val="0"/>
              <w:spacing w:line="260" w:lineRule="exact"/>
              <w:textAlignment w:val="baseline"/>
              <w:rPr>
                <w:rFonts w:hint="eastAsia" w:ascii="宋体" w:hAnsi="宋体" w:eastAsia="宋体" w:cs="宋体"/>
                <w:color w:val="auto"/>
                <w:kern w:val="0"/>
                <w:sz w:val="21"/>
                <w:szCs w:val="21"/>
                <w:lang w:val="en-US" w:eastAsia="zh-CN" w:bidi="ar-SA"/>
              </w:rPr>
            </w:pPr>
            <w:r>
              <w:rPr>
                <w:rFonts w:ascii="宋体" w:hAnsi="宋体" w:eastAsia="宋体"/>
                <w:b w:val="0"/>
                <w:sz w:val="21"/>
              </w:rPr>
              <w:t>4.质量控制措施（含检验标准、方法及质量保证手段）。</w:t>
            </w:r>
          </w:p>
          <w:p w14:paraId="07E55E09">
            <w:pPr>
              <w:adjustRightInd w:val="0"/>
              <w:spacing w:line="260" w:lineRule="exact"/>
              <w:textAlignment w:val="baseline"/>
              <w:rPr>
                <w:rFonts w:hint="eastAsia" w:ascii="宋体" w:hAnsi="宋体" w:eastAsia="宋体" w:cs="宋体"/>
                <w:color w:val="auto"/>
                <w:kern w:val="0"/>
                <w:sz w:val="21"/>
                <w:szCs w:val="21"/>
                <w:lang w:val="en-US" w:eastAsia="zh-CN" w:bidi="ar-SA"/>
              </w:rPr>
            </w:pPr>
            <w:r>
              <w:rPr>
                <w:rFonts w:ascii="宋体" w:hAnsi="宋体" w:eastAsia="宋体"/>
                <w:b/>
                <w:sz w:val="21"/>
              </w:rPr>
              <w:t>（二）评分要求：</w:t>
            </w:r>
          </w:p>
          <w:p w14:paraId="1283A68C">
            <w:pPr>
              <w:adjustRightInd w:val="0"/>
              <w:spacing w:line="260" w:lineRule="exact"/>
              <w:textAlignment w:val="baseline"/>
              <w:rPr>
                <w:rFonts w:hint="eastAsia" w:ascii="宋体" w:hAnsi="宋体" w:eastAsia="宋体" w:cs="宋体"/>
                <w:color w:val="auto"/>
                <w:kern w:val="0"/>
                <w:sz w:val="21"/>
                <w:szCs w:val="21"/>
                <w:lang w:val="en-US" w:eastAsia="zh-CN" w:bidi="ar-SA"/>
              </w:rPr>
            </w:pPr>
            <w:r>
              <w:rPr>
                <w:rFonts w:ascii="宋体" w:hAnsi="宋体" w:eastAsia="宋体"/>
                <w:b w:val="0"/>
                <w:sz w:val="21"/>
              </w:rPr>
              <w:t>供货保障方案和质量保障措施全部涵盖以上4项评审要点的，得</w:t>
            </w:r>
            <w:r>
              <w:rPr>
                <w:rFonts w:hint="eastAsia" w:ascii="宋体" w:hAnsi="宋体" w:eastAsia="宋体"/>
                <w:b w:val="0"/>
                <w:sz w:val="21"/>
                <w:lang w:val="en-US" w:eastAsia="zh-CN"/>
              </w:rPr>
              <w:t>6</w:t>
            </w:r>
            <w:r>
              <w:rPr>
                <w:rFonts w:ascii="宋体" w:hAnsi="宋体" w:eastAsia="宋体"/>
                <w:b w:val="0"/>
                <w:sz w:val="21"/>
              </w:rPr>
              <w:t>分；涵盖任意3项评审要点的，得</w:t>
            </w:r>
            <w:r>
              <w:rPr>
                <w:rFonts w:hint="eastAsia" w:ascii="宋体" w:hAnsi="宋体" w:eastAsia="宋体"/>
                <w:b w:val="0"/>
                <w:sz w:val="21"/>
                <w:lang w:val="en-US" w:eastAsia="zh-CN"/>
              </w:rPr>
              <w:t>3</w:t>
            </w:r>
            <w:r>
              <w:rPr>
                <w:rFonts w:ascii="宋体" w:hAnsi="宋体" w:eastAsia="宋体"/>
                <w:b w:val="0"/>
                <w:sz w:val="21"/>
              </w:rPr>
              <w:t>分；涵盖任意2项评审要点的，得1分；其他情况不得分。</w:t>
            </w:r>
          </w:p>
        </w:tc>
        <w:tc>
          <w:tcPr>
            <w:tcW w:w="661" w:type="pct"/>
            <w:tcBorders>
              <w:left w:val="single" w:color="000000" w:sz="8" w:space="0"/>
              <w:bottom w:val="single" w:color="000000" w:sz="8" w:space="0"/>
              <w:right w:val="single" w:color="000000" w:sz="8" w:space="0"/>
            </w:tcBorders>
            <w:shd w:val="clear" w:color="auto" w:fill="auto"/>
            <w:vAlign w:val="center"/>
          </w:tcPr>
          <w:p w14:paraId="123F7E2D">
            <w:pPr>
              <w:adjustRightInd w:val="0"/>
              <w:spacing w:line="260" w:lineRule="exact"/>
              <w:jc w:val="center"/>
              <w:textAlignment w:val="baseline"/>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6</w:t>
            </w:r>
          </w:p>
        </w:tc>
      </w:tr>
      <w:tr w14:paraId="182B34D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2C30A654">
            <w:pPr>
              <w:jc w:val="center"/>
              <w:rPr>
                <w:rFonts w:hint="eastAsia" w:ascii="宋体" w:hAnsi="宋体" w:eastAsia="宋体" w:cs="宋体"/>
                <w:b/>
                <w:bCs/>
                <w:color w:val="auto"/>
                <w:sz w:val="21"/>
                <w:szCs w:val="21"/>
              </w:rPr>
            </w:pPr>
          </w:p>
        </w:tc>
        <w:tc>
          <w:tcPr>
            <w:tcW w:w="260" w:type="pct"/>
            <w:vMerge w:val="restart"/>
            <w:tcBorders>
              <w:top w:val="single" w:color="000000" w:sz="8" w:space="0"/>
              <w:left w:val="single" w:color="000000" w:sz="8" w:space="0"/>
              <w:right w:val="single" w:color="000000" w:sz="8" w:space="0"/>
            </w:tcBorders>
            <w:vAlign w:val="center"/>
          </w:tcPr>
          <w:p w14:paraId="452D7923">
            <w:pPr>
              <w:widowControl w:val="0"/>
              <w:spacing w:line="360" w:lineRule="exac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c>
          <w:tcPr>
            <w:tcW w:w="1203" w:type="pct"/>
            <w:vMerge w:val="restart"/>
            <w:tcBorders>
              <w:top w:val="single" w:color="000000" w:sz="8" w:space="0"/>
              <w:left w:val="single" w:color="000000" w:sz="8" w:space="0"/>
              <w:right w:val="single" w:color="000000" w:sz="8" w:space="0"/>
            </w:tcBorders>
            <w:vAlign w:val="center"/>
          </w:tcPr>
          <w:p w14:paraId="5D70897B">
            <w:pPr>
              <w:wordWrap w:val="0"/>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rPr>
              <w:t>设备安装进度安排情况、安装程序和步骤情况、安装工艺及技术措施的评议</w:t>
            </w:r>
          </w:p>
        </w:tc>
        <w:tc>
          <w:tcPr>
            <w:tcW w:w="2646" w:type="pct"/>
            <w:tcBorders>
              <w:top w:val="single" w:color="000000" w:sz="8" w:space="0"/>
              <w:left w:val="single" w:color="000000" w:sz="8" w:space="0"/>
              <w:right w:val="single" w:color="000000" w:sz="8" w:space="0"/>
            </w:tcBorders>
            <w:vAlign w:val="center"/>
          </w:tcPr>
          <w:p w14:paraId="0893C649">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（一）评审内容：</w:t>
            </w:r>
          </w:p>
          <w:p w14:paraId="1CCC6449">
            <w:pPr>
              <w:adjustRightInd w:val="0"/>
              <w:spacing w:line="260" w:lineRule="exact"/>
              <w:textAlignment w:val="baseline"/>
              <w:rPr>
                <w:rFonts w:ascii="宋体" w:hAnsi="宋体" w:eastAsia="宋体"/>
                <w:b w:val="0"/>
                <w:sz w:val="21"/>
              </w:rPr>
            </w:pPr>
            <w:r>
              <w:rPr>
                <w:rFonts w:ascii="宋体" w:hAnsi="宋体" w:eastAsia="宋体"/>
                <w:b w:val="0"/>
                <w:sz w:val="21"/>
              </w:rPr>
              <w:t>根据投标人提供的</w:t>
            </w:r>
            <w:r>
              <w:rPr>
                <w:rFonts w:hint="eastAsia" w:ascii="宋体" w:hAnsi="宋体" w:eastAsia="宋体"/>
                <w:b w:val="0"/>
                <w:sz w:val="21"/>
                <w:lang w:val="en-US" w:eastAsia="zh-CN"/>
              </w:rPr>
              <w:t>安装</w:t>
            </w:r>
            <w:r>
              <w:rPr>
                <w:rFonts w:ascii="宋体" w:hAnsi="宋体" w:eastAsia="宋体"/>
                <w:b w:val="0"/>
                <w:sz w:val="21"/>
              </w:rPr>
              <w:t>进度安排方案进行评审：</w:t>
            </w:r>
          </w:p>
          <w:p w14:paraId="05D84DD4">
            <w:pPr>
              <w:adjustRightInd w:val="0"/>
              <w:spacing w:line="260" w:lineRule="exact"/>
              <w:textAlignment w:val="baseline"/>
              <w:rPr>
                <w:rFonts w:ascii="宋体" w:hAnsi="宋体" w:eastAsia="宋体"/>
                <w:b w:val="0"/>
                <w:sz w:val="21"/>
              </w:rPr>
            </w:pPr>
            <w:r>
              <w:rPr>
                <w:rFonts w:ascii="宋体" w:hAnsi="宋体" w:eastAsia="宋体"/>
                <w:b w:val="0"/>
                <w:sz w:val="21"/>
              </w:rPr>
              <w:t>1.</w:t>
            </w:r>
            <w:r>
              <w:rPr>
                <w:rFonts w:hint="eastAsia" w:ascii="宋体" w:hAnsi="宋体" w:eastAsia="宋体"/>
                <w:b w:val="0"/>
                <w:sz w:val="21"/>
                <w:lang w:val="en-US" w:eastAsia="zh-CN"/>
              </w:rPr>
              <w:t>安装</w:t>
            </w:r>
            <w:r>
              <w:rPr>
                <w:rFonts w:ascii="宋体" w:hAnsi="宋体" w:eastAsia="宋体"/>
                <w:b w:val="0"/>
                <w:sz w:val="21"/>
              </w:rPr>
              <w:t>进度计划及具体时间节点（含设备到货、安装、调试、验收各阶段）；</w:t>
            </w:r>
          </w:p>
          <w:p w14:paraId="40D3E224">
            <w:pPr>
              <w:adjustRightInd w:val="0"/>
              <w:spacing w:line="260" w:lineRule="exact"/>
              <w:textAlignment w:val="baseline"/>
              <w:rPr>
                <w:rFonts w:ascii="宋体" w:hAnsi="宋体" w:eastAsia="宋体"/>
                <w:b w:val="0"/>
                <w:sz w:val="21"/>
              </w:rPr>
            </w:pPr>
            <w:r>
              <w:rPr>
                <w:rFonts w:ascii="宋体" w:hAnsi="宋体" w:eastAsia="宋体"/>
                <w:b w:val="0"/>
                <w:sz w:val="21"/>
              </w:rPr>
              <w:t>2.进度保障措施（人员、机具、材料安排）；</w:t>
            </w:r>
          </w:p>
          <w:p w14:paraId="65A5E2F0">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3.满足合同签订后60日历天内完工的要求。</w:t>
            </w:r>
          </w:p>
          <w:p w14:paraId="6137BAED">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（二）评分要求：</w:t>
            </w:r>
          </w:p>
          <w:p w14:paraId="1D9907BA">
            <w:pPr>
              <w:adjustRightInd w:val="0"/>
              <w:spacing w:line="260" w:lineRule="exact"/>
              <w:textAlignment w:val="baseline"/>
              <w:rPr>
                <w:rFonts w:hint="eastAsia" w:ascii="宋体" w:hAnsi="宋体" w:eastAsia="宋体" w:cs="宋体"/>
                <w:color w:val="auto"/>
                <w:sz w:val="21"/>
                <w:szCs w:val="21"/>
                <w:lang w:val="en-US" w:eastAsia="zh-CN"/>
              </w:rPr>
            </w:pPr>
            <w:r>
              <w:rPr>
                <w:rFonts w:hint="eastAsia" w:ascii="宋体" w:hAnsi="宋体" w:eastAsia="宋体"/>
                <w:b w:val="0"/>
                <w:sz w:val="21"/>
                <w:lang w:val="en-US" w:eastAsia="zh-CN"/>
              </w:rPr>
              <w:t>安装</w:t>
            </w:r>
            <w:r>
              <w:rPr>
                <w:rFonts w:ascii="宋体" w:hAnsi="宋体" w:eastAsia="宋体"/>
                <w:b w:val="0"/>
                <w:sz w:val="21"/>
              </w:rPr>
              <w:t>进度安排方案全部涵盖以上评审要点，进度计划合理可行、保障措施具体有效的，得3分；涵盖任意2项评审要点、进度安排较合理的，得2分；仅涵盖1项评审要点或进度安排笼统的，得1分；其他情况不得分。</w:t>
            </w:r>
          </w:p>
        </w:tc>
        <w:tc>
          <w:tcPr>
            <w:tcW w:w="661" w:type="pct"/>
            <w:tcBorders>
              <w:top w:val="single" w:color="000000" w:sz="8" w:space="0"/>
              <w:left w:val="single" w:color="000000" w:sz="8" w:space="0"/>
              <w:right w:val="single" w:color="000000" w:sz="8" w:space="0"/>
            </w:tcBorders>
            <w:shd w:val="clear" w:color="auto" w:fill="auto"/>
            <w:vAlign w:val="center"/>
          </w:tcPr>
          <w:p w14:paraId="245FD84C">
            <w:pPr>
              <w:adjustRightInd w:val="0"/>
              <w:spacing w:line="260" w:lineRule="exact"/>
              <w:jc w:val="center"/>
              <w:textAlignment w:val="baseline"/>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w:t>
            </w:r>
          </w:p>
        </w:tc>
      </w:tr>
      <w:tr w14:paraId="725CFB9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2580" w:hRule="atLeast"/>
          <w:jc w:val="center"/>
        </w:trPr>
        <w:tc>
          <w:tcPr>
            <w:tcW w:w="228" w:type="pct"/>
            <w:vMerge w:val="continue"/>
            <w:tcBorders>
              <w:left w:val="single" w:color="000000" w:sz="8" w:space="0"/>
              <w:right w:val="single" w:color="000000" w:sz="8" w:space="0"/>
            </w:tcBorders>
            <w:vAlign w:val="center"/>
          </w:tcPr>
          <w:p w14:paraId="67DEC61A">
            <w:pPr>
              <w:jc w:val="center"/>
              <w:rPr>
                <w:rFonts w:hint="eastAsia" w:ascii="宋体" w:hAnsi="宋体" w:eastAsia="宋体" w:cs="宋体"/>
                <w:b/>
                <w:bCs/>
                <w:color w:val="auto"/>
                <w:sz w:val="21"/>
                <w:szCs w:val="21"/>
              </w:rPr>
            </w:pPr>
          </w:p>
        </w:tc>
        <w:tc>
          <w:tcPr>
            <w:tcW w:w="260" w:type="pct"/>
            <w:vMerge w:val="continue"/>
            <w:tcBorders>
              <w:left w:val="single" w:color="000000" w:sz="8" w:space="0"/>
              <w:right w:val="single" w:color="000000" w:sz="8" w:space="0"/>
            </w:tcBorders>
            <w:vAlign w:val="center"/>
          </w:tcPr>
          <w:p w14:paraId="6591B061">
            <w:pPr>
              <w:widowControl w:val="0"/>
              <w:spacing w:line="360" w:lineRule="exact"/>
              <w:jc w:val="center"/>
              <w:rPr>
                <w:rFonts w:hint="eastAsia" w:ascii="宋体" w:hAnsi="宋体" w:eastAsia="宋体" w:cs="宋体"/>
                <w:color w:val="auto"/>
                <w:sz w:val="21"/>
                <w:szCs w:val="21"/>
              </w:rPr>
            </w:pPr>
          </w:p>
        </w:tc>
        <w:tc>
          <w:tcPr>
            <w:tcW w:w="1203" w:type="pct"/>
            <w:vMerge w:val="continue"/>
            <w:tcBorders>
              <w:left w:val="single" w:color="000000" w:sz="8" w:space="0"/>
              <w:right w:val="single" w:color="000000" w:sz="8" w:space="0"/>
            </w:tcBorders>
            <w:vAlign w:val="center"/>
          </w:tcPr>
          <w:p w14:paraId="2A422948">
            <w:pPr>
              <w:wordWrap w:val="0"/>
              <w:jc w:val="center"/>
              <w:rPr>
                <w:rFonts w:hint="eastAsia" w:ascii="宋体" w:hAnsi="宋体" w:eastAsia="宋体" w:cs="宋体"/>
                <w:color w:val="auto"/>
                <w:sz w:val="21"/>
                <w:szCs w:val="21"/>
              </w:rPr>
            </w:pPr>
          </w:p>
        </w:tc>
        <w:tc>
          <w:tcPr>
            <w:tcW w:w="2646" w:type="pct"/>
            <w:tcBorders>
              <w:left w:val="single" w:color="000000" w:sz="8" w:space="0"/>
              <w:right w:val="single" w:color="000000" w:sz="8" w:space="0"/>
            </w:tcBorders>
            <w:vAlign w:val="center"/>
          </w:tcPr>
          <w:p w14:paraId="4E961D01">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（一）评审内容：</w:t>
            </w:r>
          </w:p>
          <w:p w14:paraId="626DBABE">
            <w:pPr>
              <w:adjustRightInd w:val="0"/>
              <w:spacing w:line="260" w:lineRule="exact"/>
              <w:textAlignment w:val="baseline"/>
              <w:rPr>
                <w:rFonts w:ascii="宋体" w:hAnsi="宋体" w:eastAsia="宋体"/>
                <w:b w:val="0"/>
                <w:sz w:val="21"/>
              </w:rPr>
            </w:pPr>
            <w:r>
              <w:rPr>
                <w:rFonts w:ascii="宋体" w:hAnsi="宋体" w:eastAsia="宋体"/>
                <w:b w:val="0"/>
                <w:sz w:val="21"/>
              </w:rPr>
              <w:t>根据投标人提供的</w:t>
            </w:r>
            <w:r>
              <w:rPr>
                <w:rFonts w:hint="eastAsia" w:ascii="宋体" w:hAnsi="宋体" w:eastAsia="宋体"/>
                <w:b w:val="0"/>
                <w:sz w:val="21"/>
                <w:lang w:val="en-US" w:eastAsia="zh-CN"/>
              </w:rPr>
              <w:t>安装</w:t>
            </w:r>
            <w:r>
              <w:rPr>
                <w:rFonts w:ascii="宋体" w:hAnsi="宋体" w:eastAsia="宋体"/>
                <w:b w:val="0"/>
                <w:sz w:val="21"/>
              </w:rPr>
              <w:t>程序和步骤方案进行评审：</w:t>
            </w:r>
          </w:p>
          <w:p w14:paraId="5FCCFDA9">
            <w:pPr>
              <w:adjustRightInd w:val="0"/>
              <w:spacing w:line="260" w:lineRule="exact"/>
              <w:textAlignment w:val="baseline"/>
              <w:rPr>
                <w:rFonts w:ascii="宋体" w:hAnsi="宋体" w:eastAsia="宋体"/>
                <w:b w:val="0"/>
                <w:sz w:val="21"/>
              </w:rPr>
            </w:pPr>
            <w:r>
              <w:rPr>
                <w:rFonts w:ascii="宋体" w:hAnsi="宋体" w:eastAsia="宋体"/>
                <w:b w:val="0"/>
                <w:sz w:val="21"/>
              </w:rPr>
              <w:t>1.</w:t>
            </w:r>
            <w:r>
              <w:rPr>
                <w:rFonts w:hint="eastAsia" w:ascii="宋体" w:hAnsi="宋体" w:eastAsia="宋体"/>
                <w:b w:val="0"/>
                <w:sz w:val="21"/>
                <w:lang w:val="en-US" w:eastAsia="zh-CN"/>
              </w:rPr>
              <w:t>安装</w:t>
            </w:r>
            <w:r>
              <w:rPr>
                <w:rFonts w:ascii="宋体" w:hAnsi="宋体" w:eastAsia="宋体"/>
                <w:b w:val="0"/>
                <w:sz w:val="21"/>
              </w:rPr>
              <w:t>准备程序（现场踏勘、图纸深化、材料进场报验）；</w:t>
            </w:r>
          </w:p>
          <w:p w14:paraId="11C1BE6E">
            <w:pPr>
              <w:adjustRightInd w:val="0"/>
              <w:spacing w:line="260" w:lineRule="exact"/>
              <w:textAlignment w:val="baseline"/>
              <w:rPr>
                <w:rFonts w:ascii="宋体" w:hAnsi="宋体" w:eastAsia="宋体"/>
                <w:b w:val="0"/>
                <w:sz w:val="21"/>
              </w:rPr>
            </w:pPr>
            <w:r>
              <w:rPr>
                <w:rFonts w:ascii="宋体" w:hAnsi="宋体" w:eastAsia="宋体"/>
                <w:b w:val="0"/>
                <w:sz w:val="21"/>
              </w:rPr>
              <w:t>2.</w:t>
            </w:r>
            <w:r>
              <w:rPr>
                <w:rFonts w:hint="eastAsia" w:ascii="宋体" w:hAnsi="宋体" w:eastAsia="宋体"/>
                <w:b w:val="0"/>
                <w:sz w:val="21"/>
                <w:lang w:val="en-US" w:eastAsia="zh-CN"/>
              </w:rPr>
              <w:t>安装</w:t>
            </w:r>
            <w:r>
              <w:rPr>
                <w:rFonts w:ascii="宋体" w:hAnsi="宋体" w:eastAsia="宋体"/>
                <w:b w:val="0"/>
                <w:sz w:val="21"/>
              </w:rPr>
              <w:t>顺序及衔接（设备安装、线缆敷设、系统调试与联调）；</w:t>
            </w:r>
          </w:p>
          <w:p w14:paraId="686F6539">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3.工序质量自检及报验要求。</w:t>
            </w:r>
          </w:p>
          <w:p w14:paraId="110E33DE">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（二）评分要求：</w:t>
            </w:r>
          </w:p>
          <w:p w14:paraId="0EA75279">
            <w:pPr>
              <w:adjustRightInd w:val="0"/>
              <w:spacing w:line="260" w:lineRule="exact"/>
              <w:textAlignment w:val="baseline"/>
              <w:rPr>
                <w:rFonts w:hint="eastAsia" w:ascii="宋体" w:hAnsi="宋体" w:eastAsia="宋体" w:cs="宋体"/>
                <w:color w:val="auto"/>
                <w:sz w:val="21"/>
                <w:szCs w:val="21"/>
                <w:lang w:val="en-US" w:eastAsia="zh-CN"/>
              </w:rPr>
            </w:pPr>
            <w:r>
              <w:rPr>
                <w:rFonts w:hint="eastAsia" w:ascii="宋体" w:hAnsi="宋体" w:eastAsia="宋体"/>
                <w:b w:val="0"/>
                <w:sz w:val="21"/>
                <w:lang w:val="en-US" w:eastAsia="zh-CN"/>
              </w:rPr>
              <w:t>安装</w:t>
            </w:r>
            <w:r>
              <w:rPr>
                <w:rFonts w:ascii="宋体" w:hAnsi="宋体" w:eastAsia="宋体"/>
                <w:b w:val="0"/>
                <w:sz w:val="21"/>
              </w:rPr>
              <w:t>程序和步骤方案全部涵盖以上评审要点，程序清晰规范、衔接合理的，得3分；涵盖任意2项评审要点、程序较清晰的，得2分；仅涵盖1项评审要点或程序笼统的，得1分；其他情况不得分。</w:t>
            </w:r>
          </w:p>
        </w:tc>
        <w:tc>
          <w:tcPr>
            <w:tcW w:w="661" w:type="pct"/>
            <w:tcBorders>
              <w:left w:val="single" w:color="000000" w:sz="8" w:space="0"/>
              <w:right w:val="single" w:color="000000" w:sz="8" w:space="0"/>
            </w:tcBorders>
            <w:shd w:val="clear" w:color="auto" w:fill="auto"/>
            <w:vAlign w:val="center"/>
          </w:tcPr>
          <w:p w14:paraId="4E493A7D">
            <w:pPr>
              <w:adjustRightInd w:val="0"/>
              <w:spacing w:line="260" w:lineRule="exact"/>
              <w:jc w:val="center"/>
              <w:textAlignment w:val="baseline"/>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w:t>
            </w:r>
          </w:p>
        </w:tc>
      </w:tr>
      <w:tr w14:paraId="429970B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3995" w:hRule="atLeast"/>
          <w:jc w:val="center"/>
        </w:trPr>
        <w:tc>
          <w:tcPr>
            <w:tcW w:w="228" w:type="pct"/>
            <w:vMerge w:val="continue"/>
            <w:tcBorders>
              <w:left w:val="single" w:color="000000" w:sz="8" w:space="0"/>
              <w:right w:val="single" w:color="000000" w:sz="8" w:space="0"/>
            </w:tcBorders>
            <w:vAlign w:val="center"/>
          </w:tcPr>
          <w:p w14:paraId="6B7342C7">
            <w:pPr>
              <w:jc w:val="center"/>
              <w:rPr>
                <w:rFonts w:hint="eastAsia" w:ascii="宋体" w:hAnsi="宋体" w:eastAsia="宋体" w:cs="宋体"/>
                <w:b/>
                <w:bCs/>
                <w:color w:val="auto"/>
                <w:sz w:val="21"/>
                <w:szCs w:val="21"/>
              </w:rPr>
            </w:pPr>
          </w:p>
        </w:tc>
        <w:tc>
          <w:tcPr>
            <w:tcW w:w="260" w:type="pct"/>
            <w:vMerge w:val="continue"/>
            <w:tcBorders>
              <w:left w:val="single" w:color="000000" w:sz="8" w:space="0"/>
              <w:bottom w:val="single" w:color="000000" w:sz="8" w:space="0"/>
              <w:right w:val="single" w:color="000000" w:sz="8" w:space="0"/>
            </w:tcBorders>
            <w:vAlign w:val="center"/>
          </w:tcPr>
          <w:p w14:paraId="196464A9">
            <w:pPr>
              <w:widowControl w:val="0"/>
              <w:spacing w:line="360" w:lineRule="exact"/>
              <w:jc w:val="center"/>
              <w:rPr>
                <w:rFonts w:hint="eastAsia" w:ascii="宋体" w:hAnsi="宋体" w:eastAsia="宋体" w:cs="宋体"/>
                <w:color w:val="auto"/>
                <w:sz w:val="21"/>
                <w:szCs w:val="21"/>
              </w:rPr>
            </w:pPr>
          </w:p>
        </w:tc>
        <w:tc>
          <w:tcPr>
            <w:tcW w:w="1203" w:type="pct"/>
            <w:vMerge w:val="continue"/>
            <w:tcBorders>
              <w:left w:val="single" w:color="000000" w:sz="8" w:space="0"/>
              <w:bottom w:val="single" w:color="000000" w:sz="8" w:space="0"/>
              <w:right w:val="single" w:color="000000" w:sz="8" w:space="0"/>
            </w:tcBorders>
            <w:vAlign w:val="center"/>
          </w:tcPr>
          <w:p w14:paraId="0E87B46E">
            <w:pPr>
              <w:wordWrap w:val="0"/>
              <w:jc w:val="center"/>
              <w:rPr>
                <w:rFonts w:hint="eastAsia" w:ascii="宋体" w:hAnsi="宋体" w:eastAsia="宋体" w:cs="宋体"/>
                <w:color w:val="auto"/>
                <w:sz w:val="21"/>
                <w:szCs w:val="21"/>
              </w:rPr>
            </w:pPr>
          </w:p>
        </w:tc>
        <w:tc>
          <w:tcPr>
            <w:tcW w:w="2646" w:type="pct"/>
            <w:tcBorders>
              <w:left w:val="single" w:color="000000" w:sz="8" w:space="0"/>
              <w:bottom w:val="single" w:color="000000" w:sz="8" w:space="0"/>
              <w:right w:val="single" w:color="000000" w:sz="8" w:space="0"/>
            </w:tcBorders>
            <w:vAlign w:val="center"/>
          </w:tcPr>
          <w:p w14:paraId="322449A9">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（一）评审内容：</w:t>
            </w:r>
          </w:p>
          <w:p w14:paraId="5ADB6B1E">
            <w:pPr>
              <w:adjustRightInd w:val="0"/>
              <w:spacing w:line="260" w:lineRule="exact"/>
              <w:textAlignment w:val="baseline"/>
              <w:rPr>
                <w:rFonts w:ascii="宋体" w:hAnsi="宋体" w:eastAsia="宋体"/>
                <w:b w:val="0"/>
                <w:sz w:val="21"/>
              </w:rPr>
            </w:pPr>
            <w:r>
              <w:rPr>
                <w:rFonts w:ascii="宋体" w:hAnsi="宋体" w:eastAsia="宋体"/>
                <w:b w:val="0"/>
                <w:sz w:val="21"/>
              </w:rPr>
              <w:t>根据投标人提供的</w:t>
            </w:r>
            <w:r>
              <w:rPr>
                <w:rFonts w:hint="eastAsia" w:ascii="宋体" w:hAnsi="宋体" w:eastAsia="宋体"/>
                <w:b w:val="0"/>
                <w:sz w:val="21"/>
                <w:lang w:val="en-US" w:eastAsia="zh-CN"/>
              </w:rPr>
              <w:t>安装</w:t>
            </w:r>
            <w:r>
              <w:rPr>
                <w:rFonts w:ascii="宋体" w:hAnsi="宋体" w:eastAsia="宋体"/>
                <w:b w:val="0"/>
                <w:sz w:val="21"/>
              </w:rPr>
              <w:t>工艺及技术措施方案进行评审：</w:t>
            </w:r>
          </w:p>
          <w:p w14:paraId="6E2A00F7">
            <w:pPr>
              <w:adjustRightInd w:val="0"/>
              <w:spacing w:line="260" w:lineRule="exact"/>
              <w:textAlignment w:val="baseline"/>
              <w:rPr>
                <w:rFonts w:ascii="宋体" w:hAnsi="宋体" w:eastAsia="宋体"/>
                <w:b w:val="0"/>
                <w:sz w:val="21"/>
              </w:rPr>
            </w:pPr>
            <w:r>
              <w:rPr>
                <w:rFonts w:ascii="宋体" w:hAnsi="宋体" w:eastAsia="宋体"/>
                <w:b w:val="0"/>
                <w:sz w:val="21"/>
              </w:rPr>
              <w:t>1.主要设备安装工艺及技术措施（拼接屏安装、控制柜安装、线缆敷设等）；</w:t>
            </w:r>
          </w:p>
          <w:p w14:paraId="0E9F064F">
            <w:pPr>
              <w:adjustRightInd w:val="0"/>
              <w:spacing w:line="260" w:lineRule="exact"/>
              <w:textAlignment w:val="baseline"/>
              <w:rPr>
                <w:rFonts w:ascii="宋体" w:hAnsi="宋体" w:eastAsia="宋体"/>
                <w:b w:val="0"/>
                <w:sz w:val="21"/>
              </w:rPr>
            </w:pPr>
            <w:r>
              <w:rPr>
                <w:rFonts w:ascii="宋体" w:hAnsi="宋体" w:eastAsia="宋体"/>
                <w:b w:val="0"/>
                <w:sz w:val="21"/>
              </w:rPr>
              <w:t>2.系统调试与联调技术措施；</w:t>
            </w:r>
          </w:p>
          <w:p w14:paraId="0F6402CD">
            <w:pPr>
              <w:adjustRightInd w:val="0"/>
              <w:spacing w:line="260" w:lineRule="exact"/>
              <w:textAlignment w:val="baseline"/>
              <w:rPr>
                <w:rFonts w:ascii="宋体" w:hAnsi="宋体" w:eastAsia="宋体"/>
                <w:b w:val="0"/>
                <w:sz w:val="21"/>
              </w:rPr>
            </w:pPr>
            <w:r>
              <w:rPr>
                <w:rFonts w:ascii="宋体" w:hAnsi="宋体" w:eastAsia="宋体"/>
                <w:b w:val="0"/>
                <w:sz w:val="21"/>
              </w:rPr>
              <w:t>3.质量通病防治及成品保护措施；</w:t>
            </w:r>
          </w:p>
          <w:p w14:paraId="1C906137">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4.符合国家标准、规范及招标技术要求的程度。</w:t>
            </w:r>
          </w:p>
          <w:p w14:paraId="5E77EBCE">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（二）评分要求：</w:t>
            </w:r>
          </w:p>
          <w:p w14:paraId="76CD5ABC">
            <w:pPr>
              <w:adjustRightInd w:val="0"/>
              <w:spacing w:line="260" w:lineRule="exact"/>
              <w:textAlignment w:val="baseline"/>
              <w:rPr>
                <w:rFonts w:hint="eastAsia" w:ascii="宋体" w:hAnsi="宋体" w:eastAsia="宋体" w:cs="宋体"/>
                <w:color w:val="auto"/>
                <w:sz w:val="21"/>
                <w:szCs w:val="21"/>
                <w:lang w:val="en-US" w:eastAsia="zh-CN"/>
              </w:rPr>
            </w:pPr>
            <w:r>
              <w:rPr>
                <w:rFonts w:hint="eastAsia" w:ascii="宋体" w:hAnsi="宋体" w:eastAsia="宋体"/>
                <w:b w:val="0"/>
                <w:sz w:val="21"/>
                <w:lang w:val="en-US" w:eastAsia="zh-CN"/>
              </w:rPr>
              <w:t>安装</w:t>
            </w:r>
            <w:r>
              <w:rPr>
                <w:rFonts w:ascii="宋体" w:hAnsi="宋体" w:eastAsia="宋体"/>
                <w:b w:val="0"/>
                <w:sz w:val="21"/>
              </w:rPr>
              <w:t>工艺及技术措施方案全部涵盖以上评审要点，工艺先进可行、措施具体有效的，得4分；涵盖任意3项评审要点、工艺较合理的，得3分；涵盖任意2项评审要点、工艺基本可行的，得2分；仅涵盖1项评审要点或措施笼统的，得1分；其他情况不得分。</w:t>
            </w:r>
          </w:p>
        </w:tc>
        <w:tc>
          <w:tcPr>
            <w:tcW w:w="661" w:type="pct"/>
            <w:tcBorders>
              <w:left w:val="single" w:color="000000" w:sz="8" w:space="0"/>
              <w:bottom w:val="single" w:color="000000" w:sz="8" w:space="0"/>
              <w:right w:val="single" w:color="000000" w:sz="8" w:space="0"/>
            </w:tcBorders>
            <w:shd w:val="clear" w:color="auto" w:fill="auto"/>
            <w:vAlign w:val="center"/>
          </w:tcPr>
          <w:p w14:paraId="7E8A5D35">
            <w:pPr>
              <w:adjustRightInd w:val="0"/>
              <w:spacing w:line="260" w:lineRule="exact"/>
              <w:jc w:val="center"/>
              <w:textAlignment w:val="baseline"/>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4</w:t>
            </w:r>
          </w:p>
        </w:tc>
      </w:tr>
      <w:tr w14:paraId="522B002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1D0036A1">
            <w:pPr>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vAlign w:val="center"/>
          </w:tcPr>
          <w:p w14:paraId="5C29581E">
            <w:pPr>
              <w:widowControl w:val="0"/>
              <w:spacing w:line="360" w:lineRule="exac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1203" w:type="pct"/>
            <w:tcBorders>
              <w:top w:val="single" w:color="000000" w:sz="8" w:space="0"/>
              <w:left w:val="single" w:color="000000" w:sz="8" w:space="0"/>
              <w:bottom w:val="single" w:color="000000" w:sz="8" w:space="0"/>
              <w:right w:val="single" w:color="000000" w:sz="8" w:space="0"/>
            </w:tcBorders>
            <w:vAlign w:val="center"/>
          </w:tcPr>
          <w:p w14:paraId="7381A6C2">
            <w:pPr>
              <w:wordWrap w:val="0"/>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rPr>
              <w:t>合理化</w:t>
            </w:r>
            <w:r>
              <w:rPr>
                <w:rFonts w:hint="eastAsia" w:ascii="宋体" w:hAnsi="宋体" w:eastAsia="宋体" w:cs="宋体"/>
                <w:color w:val="auto"/>
                <w:kern w:val="0"/>
                <w:sz w:val="21"/>
                <w:szCs w:val="21"/>
                <w:lang w:val="zh-CN"/>
              </w:rPr>
              <w:t>建议</w:t>
            </w:r>
          </w:p>
        </w:tc>
        <w:tc>
          <w:tcPr>
            <w:tcW w:w="2646" w:type="pct"/>
            <w:tcBorders>
              <w:top w:val="single" w:color="000000" w:sz="8" w:space="0"/>
              <w:left w:val="single" w:color="000000" w:sz="8" w:space="0"/>
              <w:bottom w:val="single" w:color="000000" w:sz="8" w:space="0"/>
              <w:right w:val="single" w:color="000000" w:sz="8" w:space="0"/>
            </w:tcBorders>
            <w:vAlign w:val="center"/>
          </w:tcPr>
          <w:p w14:paraId="3684777F">
            <w:pPr>
              <w:wordWrap w:val="0"/>
              <w:jc w:val="left"/>
              <w:rPr>
                <w:rFonts w:hint="eastAsia" w:ascii="宋体" w:hAnsi="宋体" w:eastAsia="宋体" w:cs="宋体"/>
                <w:color w:val="auto"/>
                <w:sz w:val="21"/>
                <w:szCs w:val="21"/>
                <w:lang w:val="en-US" w:eastAsia="zh-CN"/>
              </w:rPr>
            </w:pPr>
            <w:r>
              <w:rPr>
                <w:rFonts w:ascii="宋体" w:hAnsi="宋体" w:eastAsia="宋体"/>
                <w:b/>
                <w:sz w:val="21"/>
              </w:rPr>
              <w:t>（一）评审内容：</w:t>
            </w:r>
          </w:p>
          <w:p w14:paraId="76F94644">
            <w:pPr>
              <w:wordWrap w:val="0"/>
              <w:jc w:val="left"/>
              <w:rPr>
                <w:rFonts w:hint="eastAsia" w:ascii="宋体" w:hAnsi="宋体" w:eastAsia="宋体" w:cs="宋体"/>
                <w:color w:val="auto"/>
                <w:sz w:val="21"/>
                <w:szCs w:val="21"/>
                <w:lang w:val="en-US" w:eastAsia="zh-CN"/>
              </w:rPr>
            </w:pPr>
            <w:r>
              <w:rPr>
                <w:rFonts w:ascii="宋体" w:hAnsi="宋体" w:eastAsia="宋体"/>
                <w:b w:val="0"/>
                <w:sz w:val="21"/>
              </w:rPr>
              <w:t>考察投标人提出的合理化建议是否针对本项目实际需求（包括但不限于自控系统功能优化、节能降耗、运行维护便利性、安全保障等），是否内容具体、切实可行。</w:t>
            </w:r>
          </w:p>
          <w:p w14:paraId="08733065">
            <w:pPr>
              <w:wordWrap w:val="0"/>
              <w:jc w:val="left"/>
              <w:rPr>
                <w:rFonts w:hint="eastAsia" w:ascii="宋体" w:hAnsi="宋体" w:eastAsia="宋体" w:cs="宋体"/>
                <w:color w:val="auto"/>
                <w:sz w:val="21"/>
                <w:szCs w:val="21"/>
                <w:lang w:val="en-US" w:eastAsia="zh-CN"/>
              </w:rPr>
            </w:pPr>
            <w:r>
              <w:rPr>
                <w:rFonts w:ascii="宋体" w:hAnsi="宋体" w:eastAsia="宋体"/>
                <w:b/>
                <w:sz w:val="21"/>
              </w:rPr>
              <w:t>（二）评分要求：</w:t>
            </w:r>
          </w:p>
          <w:p w14:paraId="056E2FC0">
            <w:pPr>
              <w:wordWrap w:val="0"/>
              <w:jc w:val="left"/>
              <w:rPr>
                <w:rFonts w:hint="eastAsia" w:ascii="宋体" w:hAnsi="宋体" w:eastAsia="宋体" w:cs="宋体"/>
                <w:color w:val="auto"/>
                <w:sz w:val="21"/>
                <w:szCs w:val="21"/>
                <w:lang w:val="en-US" w:eastAsia="zh-CN"/>
              </w:rPr>
            </w:pPr>
            <w:r>
              <w:rPr>
                <w:rFonts w:ascii="宋体" w:hAnsi="宋体" w:eastAsia="宋体"/>
                <w:b w:val="0"/>
                <w:sz w:val="21"/>
              </w:rPr>
              <w:t>合理化建议针对性强、内容具体且具有可操作性和实际价值的，每条得1分，最高得2分；建议内容空泛、与本项目无关或明显不可行的，不予计分。</w:t>
            </w:r>
          </w:p>
        </w:tc>
        <w:tc>
          <w:tcPr>
            <w:tcW w:w="661" w:type="pct"/>
            <w:tcBorders>
              <w:top w:val="single" w:color="000000" w:sz="8" w:space="0"/>
              <w:left w:val="single" w:color="000000" w:sz="8" w:space="0"/>
              <w:bottom w:val="single" w:color="000000" w:sz="8" w:space="0"/>
              <w:right w:val="single" w:color="000000" w:sz="8" w:space="0"/>
            </w:tcBorders>
            <w:vAlign w:val="center"/>
          </w:tcPr>
          <w:p w14:paraId="65FBE80F">
            <w:pPr>
              <w:wordWrap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w:t>
            </w:r>
          </w:p>
        </w:tc>
      </w:tr>
      <w:tr w14:paraId="40C496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895" w:hRule="atLeast"/>
          <w:jc w:val="center"/>
        </w:trPr>
        <w:tc>
          <w:tcPr>
            <w:tcW w:w="228" w:type="pct"/>
            <w:vMerge w:val="continue"/>
            <w:tcBorders>
              <w:left w:val="single" w:color="000000" w:sz="8" w:space="0"/>
              <w:right w:val="single" w:color="000000" w:sz="8" w:space="0"/>
            </w:tcBorders>
            <w:vAlign w:val="center"/>
          </w:tcPr>
          <w:p w14:paraId="558DFE1D">
            <w:pPr>
              <w:jc w:val="center"/>
              <w:rPr>
                <w:rFonts w:hint="eastAsia" w:ascii="宋体" w:hAnsi="宋体" w:eastAsia="宋体" w:cs="宋体"/>
                <w:b/>
                <w:bCs/>
                <w:color w:val="auto"/>
                <w:sz w:val="21"/>
                <w:szCs w:val="21"/>
              </w:rPr>
            </w:pPr>
          </w:p>
        </w:tc>
        <w:tc>
          <w:tcPr>
            <w:tcW w:w="260" w:type="pct"/>
            <w:vMerge w:val="restart"/>
            <w:tcBorders>
              <w:top w:val="single" w:color="000000" w:sz="8" w:space="0"/>
              <w:left w:val="single" w:color="000000" w:sz="8" w:space="0"/>
              <w:right w:val="single" w:color="000000" w:sz="8" w:space="0"/>
            </w:tcBorders>
            <w:vAlign w:val="center"/>
          </w:tcPr>
          <w:p w14:paraId="1CD78EC3">
            <w:pPr>
              <w:widowControl w:val="0"/>
              <w:spacing w:line="360" w:lineRule="exac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c>
          <w:tcPr>
            <w:tcW w:w="1203" w:type="pct"/>
            <w:vMerge w:val="restart"/>
            <w:tcBorders>
              <w:top w:val="single" w:color="000000" w:sz="8" w:space="0"/>
              <w:left w:val="single" w:color="000000" w:sz="8" w:space="0"/>
              <w:right w:val="single" w:color="000000" w:sz="8" w:space="0"/>
            </w:tcBorders>
            <w:vAlign w:val="center"/>
          </w:tcPr>
          <w:p w14:paraId="1E13EA9B">
            <w:pPr>
              <w:wordWrap w:val="0"/>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zh-CN"/>
              </w:rPr>
              <w:t>售后服务要求</w:t>
            </w:r>
          </w:p>
        </w:tc>
        <w:tc>
          <w:tcPr>
            <w:tcW w:w="2646" w:type="pct"/>
            <w:tcBorders>
              <w:top w:val="single" w:color="000000" w:sz="8" w:space="0"/>
              <w:left w:val="single" w:color="000000" w:sz="8" w:space="0"/>
              <w:right w:val="single" w:color="000000" w:sz="8" w:space="0"/>
            </w:tcBorders>
            <w:vAlign w:val="center"/>
          </w:tcPr>
          <w:p w14:paraId="2E6B8CBC">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（一）评审内容：</w:t>
            </w:r>
          </w:p>
          <w:p w14:paraId="467868A7">
            <w:pPr>
              <w:adjustRightInd w:val="0"/>
              <w:spacing w:line="260" w:lineRule="exact"/>
              <w:textAlignment w:val="baseline"/>
              <w:rPr>
                <w:rFonts w:ascii="宋体" w:hAnsi="宋体" w:eastAsia="宋体"/>
                <w:b w:val="0"/>
                <w:sz w:val="21"/>
              </w:rPr>
            </w:pPr>
            <w:r>
              <w:rPr>
                <w:rFonts w:ascii="宋体" w:hAnsi="宋体" w:eastAsia="宋体"/>
                <w:b w:val="0"/>
                <w:sz w:val="21"/>
              </w:rPr>
              <w:t>根据投标人提供的售后服务方案进行评审：</w:t>
            </w:r>
          </w:p>
          <w:p w14:paraId="3A8CCFF8">
            <w:pPr>
              <w:adjustRightInd w:val="0"/>
              <w:spacing w:line="260" w:lineRule="exact"/>
              <w:textAlignment w:val="baseline"/>
              <w:rPr>
                <w:rFonts w:ascii="宋体" w:hAnsi="宋体" w:eastAsia="宋体"/>
                <w:b w:val="0"/>
                <w:sz w:val="21"/>
              </w:rPr>
            </w:pPr>
            <w:r>
              <w:rPr>
                <w:rFonts w:ascii="宋体" w:hAnsi="宋体" w:eastAsia="宋体"/>
                <w:b w:val="0"/>
                <w:sz w:val="21"/>
              </w:rPr>
              <w:t>1.质保期内售后服务承诺（免费维修、更换、定期巡检、软件升级等，本项目质保期为2年）；</w:t>
            </w:r>
          </w:p>
          <w:p w14:paraId="447EDDBA">
            <w:pPr>
              <w:adjustRightInd w:val="0"/>
              <w:spacing w:line="260" w:lineRule="exact"/>
              <w:textAlignment w:val="baseline"/>
              <w:rPr>
                <w:rFonts w:ascii="宋体" w:hAnsi="宋体" w:eastAsia="宋体"/>
                <w:b w:val="0"/>
                <w:sz w:val="21"/>
              </w:rPr>
            </w:pPr>
            <w:r>
              <w:rPr>
                <w:rFonts w:ascii="宋体" w:hAnsi="宋体" w:eastAsia="宋体"/>
                <w:b w:val="0"/>
                <w:sz w:val="21"/>
              </w:rPr>
              <w:t>2.故障响应及处理时限；</w:t>
            </w:r>
          </w:p>
          <w:p w14:paraId="4191F6EC">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3.售后服务机构及人员配置。</w:t>
            </w:r>
          </w:p>
          <w:p w14:paraId="6C5930B2">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sz w:val="21"/>
              </w:rPr>
              <w:t>（二）评分要求：</w:t>
            </w:r>
          </w:p>
          <w:p w14:paraId="35E1781C">
            <w:pPr>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售后服务方案全部涵盖以上3项评审要点，承诺具体、响应时限明确的，得2分；涵盖任意2项评审要点的，得1.5分；仅涵盖1项评审要点的，得1分；其他情况不得分。</w:t>
            </w:r>
          </w:p>
        </w:tc>
        <w:tc>
          <w:tcPr>
            <w:tcW w:w="661" w:type="pct"/>
            <w:tcBorders>
              <w:top w:val="single" w:color="000000" w:sz="8" w:space="0"/>
              <w:left w:val="single" w:color="000000" w:sz="8" w:space="0"/>
              <w:right w:val="single" w:color="000000" w:sz="8" w:space="0"/>
            </w:tcBorders>
            <w:shd w:val="clear" w:color="auto" w:fill="auto"/>
            <w:vAlign w:val="center"/>
          </w:tcPr>
          <w:p w14:paraId="48D8FBFE">
            <w:pPr>
              <w:adjustRightInd w:val="0"/>
              <w:spacing w:line="260" w:lineRule="exact"/>
              <w:jc w:val="center"/>
              <w:textAlignment w:val="baseline"/>
              <w:rPr>
                <w:rFonts w:hint="eastAsia"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2</w:t>
            </w:r>
          </w:p>
        </w:tc>
      </w:tr>
      <w:tr w14:paraId="1C4F1A3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7F0A1065">
            <w:pPr>
              <w:jc w:val="center"/>
              <w:rPr>
                <w:rFonts w:hint="eastAsia" w:ascii="宋体" w:hAnsi="宋体" w:eastAsia="宋体" w:cs="宋体"/>
                <w:b/>
                <w:bCs/>
                <w:color w:val="auto"/>
                <w:sz w:val="21"/>
                <w:szCs w:val="21"/>
              </w:rPr>
            </w:pPr>
          </w:p>
        </w:tc>
        <w:tc>
          <w:tcPr>
            <w:tcW w:w="260" w:type="pct"/>
            <w:vMerge w:val="continue"/>
            <w:tcBorders>
              <w:left w:val="single" w:color="000000" w:sz="8" w:space="0"/>
              <w:bottom w:val="single" w:color="000000" w:sz="8" w:space="0"/>
              <w:right w:val="single" w:color="000000" w:sz="8" w:space="0"/>
            </w:tcBorders>
            <w:vAlign w:val="center"/>
          </w:tcPr>
          <w:p w14:paraId="35EED791">
            <w:pPr>
              <w:widowControl w:val="0"/>
              <w:spacing w:line="360" w:lineRule="exact"/>
              <w:jc w:val="center"/>
              <w:rPr>
                <w:rFonts w:hint="eastAsia" w:ascii="宋体" w:hAnsi="宋体" w:eastAsia="宋体" w:cs="宋体"/>
                <w:color w:val="auto"/>
                <w:sz w:val="21"/>
                <w:szCs w:val="21"/>
              </w:rPr>
            </w:pPr>
          </w:p>
        </w:tc>
        <w:tc>
          <w:tcPr>
            <w:tcW w:w="1203" w:type="pct"/>
            <w:vMerge w:val="continue"/>
            <w:tcBorders>
              <w:left w:val="single" w:color="000000" w:sz="8" w:space="0"/>
              <w:bottom w:val="single" w:color="000000" w:sz="8" w:space="0"/>
              <w:right w:val="single" w:color="000000" w:sz="8" w:space="0"/>
            </w:tcBorders>
            <w:vAlign w:val="center"/>
          </w:tcPr>
          <w:p w14:paraId="5081BF7C">
            <w:pPr>
              <w:wordWrap w:val="0"/>
              <w:jc w:val="center"/>
              <w:rPr>
                <w:rFonts w:hint="eastAsia" w:ascii="宋体" w:hAnsi="宋体" w:eastAsia="宋体" w:cs="宋体"/>
                <w:color w:val="auto"/>
                <w:sz w:val="21"/>
                <w:szCs w:val="21"/>
              </w:rPr>
            </w:pPr>
          </w:p>
        </w:tc>
        <w:tc>
          <w:tcPr>
            <w:tcW w:w="2646" w:type="pct"/>
            <w:tcBorders>
              <w:left w:val="single" w:color="000000" w:sz="8" w:space="0"/>
              <w:bottom w:val="single" w:color="000000" w:sz="8" w:space="0"/>
              <w:right w:val="single" w:color="000000" w:sz="8" w:space="0"/>
            </w:tcBorders>
            <w:vAlign w:val="center"/>
          </w:tcPr>
          <w:p w14:paraId="4A05D6B3">
            <w:pPr>
              <w:autoSpaceDE w:val="0"/>
              <w:autoSpaceDN w:val="0"/>
              <w:adjustRightInd w:val="0"/>
              <w:spacing w:line="260" w:lineRule="exact"/>
              <w:textAlignment w:val="baseline"/>
              <w:rPr>
                <w:rFonts w:hint="eastAsia" w:ascii="宋体" w:hAnsi="宋体" w:eastAsia="宋体" w:cs="宋体"/>
                <w:color w:val="auto"/>
                <w:kern w:val="0"/>
                <w:sz w:val="21"/>
                <w:szCs w:val="21"/>
              </w:rPr>
            </w:pPr>
            <w:r>
              <w:rPr>
                <w:rFonts w:ascii="宋体" w:hAnsi="宋体" w:eastAsia="宋体"/>
                <w:b/>
                <w:sz w:val="21"/>
              </w:rPr>
              <w:t>（一）评审内容：</w:t>
            </w:r>
          </w:p>
          <w:p w14:paraId="59126CBD">
            <w:pPr>
              <w:autoSpaceDE w:val="0"/>
              <w:autoSpaceDN w:val="0"/>
              <w:adjustRightInd w:val="0"/>
              <w:spacing w:line="260" w:lineRule="exact"/>
              <w:textAlignment w:val="baseline"/>
              <w:rPr>
                <w:rFonts w:ascii="宋体" w:hAnsi="宋体" w:eastAsia="宋体"/>
                <w:b w:val="0"/>
                <w:sz w:val="21"/>
              </w:rPr>
            </w:pPr>
            <w:r>
              <w:rPr>
                <w:rFonts w:ascii="宋体" w:hAnsi="宋体" w:eastAsia="宋体"/>
                <w:b w:val="0"/>
                <w:sz w:val="21"/>
              </w:rPr>
              <w:t>根据投标人提供的培训方案进行评审：</w:t>
            </w:r>
          </w:p>
          <w:p w14:paraId="241F3D33">
            <w:pPr>
              <w:autoSpaceDE w:val="0"/>
              <w:autoSpaceDN w:val="0"/>
              <w:adjustRightInd w:val="0"/>
              <w:spacing w:line="260" w:lineRule="exact"/>
              <w:textAlignment w:val="baseline"/>
              <w:rPr>
                <w:rFonts w:ascii="宋体" w:hAnsi="宋体" w:eastAsia="宋体"/>
                <w:b w:val="0"/>
                <w:sz w:val="21"/>
              </w:rPr>
            </w:pPr>
            <w:r>
              <w:rPr>
                <w:rFonts w:ascii="宋体" w:hAnsi="宋体" w:eastAsia="宋体"/>
                <w:b w:val="0"/>
                <w:sz w:val="21"/>
              </w:rPr>
              <w:t>1.操作培训计划（培训内容、对象、人数）；</w:t>
            </w:r>
          </w:p>
          <w:p w14:paraId="2B61F704">
            <w:pPr>
              <w:autoSpaceDE w:val="0"/>
              <w:autoSpaceDN w:val="0"/>
              <w:adjustRightInd w:val="0"/>
              <w:spacing w:line="260" w:lineRule="exact"/>
              <w:textAlignment w:val="baseline"/>
              <w:rPr>
                <w:rFonts w:ascii="宋体" w:hAnsi="宋体" w:eastAsia="宋体"/>
                <w:b w:val="0"/>
                <w:sz w:val="21"/>
              </w:rPr>
            </w:pPr>
            <w:r>
              <w:rPr>
                <w:rFonts w:ascii="宋体" w:hAnsi="宋体" w:eastAsia="宋体"/>
                <w:b w:val="0"/>
                <w:sz w:val="21"/>
              </w:rPr>
              <w:t>2.维修培训计划（维修技能培训内容）；</w:t>
            </w:r>
          </w:p>
          <w:p w14:paraId="2FCE9F53">
            <w:pPr>
              <w:autoSpaceDE w:val="0"/>
              <w:autoSpaceDN w:val="0"/>
              <w:adjustRightInd w:val="0"/>
              <w:spacing w:line="260" w:lineRule="exact"/>
              <w:textAlignment w:val="baseline"/>
              <w:rPr>
                <w:rFonts w:ascii="宋体" w:hAnsi="宋体" w:eastAsia="宋体"/>
                <w:b w:val="0"/>
                <w:sz w:val="21"/>
              </w:rPr>
            </w:pPr>
            <w:r>
              <w:rPr>
                <w:rFonts w:ascii="宋体" w:hAnsi="宋体" w:eastAsia="宋体"/>
                <w:b w:val="0"/>
                <w:sz w:val="21"/>
              </w:rPr>
              <w:t>3.免费操作培训及维修培训安排（次数、时长）；</w:t>
            </w:r>
          </w:p>
          <w:p w14:paraId="19CA8F1E">
            <w:pPr>
              <w:autoSpaceDE w:val="0"/>
              <w:autoSpaceDN w:val="0"/>
              <w:adjustRightInd w:val="0"/>
              <w:spacing w:line="260" w:lineRule="exact"/>
              <w:textAlignment w:val="baseline"/>
              <w:rPr>
                <w:rFonts w:hint="eastAsia" w:ascii="宋体" w:hAnsi="宋体" w:eastAsia="宋体" w:cs="宋体"/>
                <w:color w:val="auto"/>
                <w:kern w:val="0"/>
                <w:sz w:val="21"/>
                <w:szCs w:val="21"/>
              </w:rPr>
            </w:pPr>
            <w:r>
              <w:rPr>
                <w:rFonts w:ascii="宋体" w:hAnsi="宋体" w:eastAsia="宋体"/>
                <w:b w:val="0"/>
                <w:sz w:val="21"/>
              </w:rPr>
              <w:t>4.培训资料提供及考核安排。</w:t>
            </w:r>
          </w:p>
          <w:p w14:paraId="4F3CCE60">
            <w:pPr>
              <w:autoSpaceDE w:val="0"/>
              <w:autoSpaceDN w:val="0"/>
              <w:adjustRightInd w:val="0"/>
              <w:spacing w:line="260" w:lineRule="exact"/>
              <w:textAlignment w:val="baseline"/>
              <w:rPr>
                <w:rFonts w:hint="eastAsia" w:ascii="宋体" w:hAnsi="宋体" w:eastAsia="宋体" w:cs="宋体"/>
                <w:color w:val="auto"/>
                <w:kern w:val="0"/>
                <w:sz w:val="21"/>
                <w:szCs w:val="21"/>
              </w:rPr>
            </w:pPr>
            <w:r>
              <w:rPr>
                <w:rFonts w:ascii="宋体" w:hAnsi="宋体" w:eastAsia="宋体"/>
                <w:b/>
                <w:sz w:val="21"/>
              </w:rPr>
              <w:t>（二）评分要求：</w:t>
            </w:r>
          </w:p>
          <w:p w14:paraId="6C6A888B">
            <w:pPr>
              <w:autoSpaceDE w:val="0"/>
              <w:autoSpaceDN w:val="0"/>
              <w:adjustRightInd w:val="0"/>
              <w:spacing w:line="260" w:lineRule="exact"/>
              <w:textAlignment w:val="baseline"/>
              <w:rPr>
                <w:rFonts w:hint="eastAsia" w:ascii="宋体" w:hAnsi="宋体" w:eastAsia="宋体" w:cs="宋体"/>
                <w:color w:val="auto"/>
                <w:sz w:val="21"/>
                <w:szCs w:val="21"/>
                <w:lang w:val="en-US" w:eastAsia="zh-CN"/>
              </w:rPr>
            </w:pPr>
            <w:r>
              <w:rPr>
                <w:rFonts w:ascii="宋体" w:hAnsi="宋体" w:eastAsia="宋体"/>
                <w:b w:val="0"/>
                <w:sz w:val="21"/>
              </w:rPr>
              <w:t>培训方案全部涵盖以上4项评审要点，计划详尽、免费培训安排明确的，得3分；涵盖任意3项评审要点的，得2分；涵盖任意2项评审要点的，得1分；其他情况不得分。</w:t>
            </w:r>
          </w:p>
        </w:tc>
        <w:tc>
          <w:tcPr>
            <w:tcW w:w="661" w:type="pct"/>
            <w:tcBorders>
              <w:left w:val="single" w:color="000000" w:sz="8" w:space="0"/>
              <w:bottom w:val="single" w:color="000000" w:sz="8" w:space="0"/>
              <w:right w:val="single" w:color="000000" w:sz="8" w:space="0"/>
            </w:tcBorders>
            <w:shd w:val="clear" w:color="auto" w:fill="auto"/>
            <w:vAlign w:val="center"/>
          </w:tcPr>
          <w:p w14:paraId="3A339494">
            <w:pPr>
              <w:adjustRightInd w:val="0"/>
              <w:spacing w:line="260" w:lineRule="exact"/>
              <w:jc w:val="center"/>
              <w:textAlignment w:val="baseline"/>
              <w:rPr>
                <w:rFonts w:hint="default" w:ascii="宋体" w:hAnsi="宋体" w:eastAsia="宋体" w:cs="宋体"/>
                <w:color w:val="auto"/>
                <w:kern w:val="0"/>
                <w:sz w:val="21"/>
                <w:szCs w:val="21"/>
                <w:lang w:val="en-US" w:eastAsia="zh-CN" w:bidi="ar-SA"/>
              </w:rPr>
            </w:pPr>
            <w:r>
              <w:rPr>
                <w:rFonts w:hint="eastAsia" w:ascii="宋体" w:hAnsi="宋体" w:eastAsia="宋体" w:cs="宋体"/>
                <w:color w:val="auto"/>
                <w:kern w:val="0"/>
                <w:sz w:val="21"/>
                <w:szCs w:val="21"/>
                <w:lang w:val="en-US" w:eastAsia="zh-CN" w:bidi="ar-SA"/>
              </w:rPr>
              <w:t>3</w:t>
            </w:r>
          </w:p>
        </w:tc>
      </w:tr>
      <w:tr w14:paraId="3C0B9D5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trHeight w:val="572" w:hRule="atLeast"/>
          <w:jc w:val="center"/>
        </w:trPr>
        <w:tc>
          <w:tcPr>
            <w:tcW w:w="228" w:type="pct"/>
            <w:vMerge w:val="restart"/>
            <w:tcBorders>
              <w:left w:val="single" w:color="000000" w:sz="8" w:space="0"/>
              <w:right w:val="single" w:color="000000" w:sz="8" w:space="0"/>
            </w:tcBorders>
            <w:vAlign w:val="center"/>
          </w:tcPr>
          <w:p w14:paraId="7F5CCE7D">
            <w:pPr>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3</w:t>
            </w:r>
          </w:p>
        </w:tc>
        <w:tc>
          <w:tcPr>
            <w:tcW w:w="4110" w:type="pct"/>
            <w:gridSpan w:val="3"/>
            <w:tcBorders>
              <w:top w:val="single" w:color="000000" w:sz="8" w:space="0"/>
              <w:left w:val="single" w:color="000000" w:sz="8" w:space="0"/>
              <w:bottom w:val="single" w:color="000000" w:sz="8" w:space="0"/>
              <w:right w:val="single" w:color="000000" w:sz="8" w:space="0"/>
            </w:tcBorders>
            <w:vAlign w:val="center"/>
          </w:tcPr>
          <w:p w14:paraId="108D815E">
            <w:pPr>
              <w:wordWrap w:val="0"/>
              <w:jc w:val="center"/>
              <w:rPr>
                <w:rFonts w:hint="eastAsia" w:ascii="宋体" w:hAnsi="宋体" w:eastAsia="宋体" w:cs="宋体"/>
                <w:color w:val="auto"/>
                <w:sz w:val="21"/>
                <w:szCs w:val="21"/>
              </w:rPr>
            </w:pPr>
            <w:r>
              <w:rPr>
                <w:rFonts w:hint="eastAsia" w:ascii="宋体" w:hAnsi="宋体" w:eastAsia="宋体" w:cs="宋体"/>
                <w:b/>
                <w:bCs/>
                <w:color w:val="auto"/>
                <w:sz w:val="21"/>
                <w:szCs w:val="21"/>
              </w:rPr>
              <w:t>商务部分</w:t>
            </w:r>
          </w:p>
        </w:tc>
        <w:tc>
          <w:tcPr>
            <w:tcW w:w="661" w:type="pct"/>
            <w:tcBorders>
              <w:top w:val="single" w:color="000000" w:sz="8" w:space="0"/>
              <w:left w:val="single" w:color="000000" w:sz="8" w:space="0"/>
              <w:bottom w:val="single" w:color="000000" w:sz="8" w:space="0"/>
              <w:right w:val="single" w:color="000000" w:sz="8" w:space="0"/>
            </w:tcBorders>
            <w:vAlign w:val="center"/>
          </w:tcPr>
          <w:p w14:paraId="26165D93">
            <w:pPr>
              <w:wordWrap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w:t>
            </w:r>
          </w:p>
        </w:tc>
      </w:tr>
      <w:tr w14:paraId="719950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173E9F23">
            <w:pPr>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7F663533">
            <w:pPr>
              <w:wordWrap w:val="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序号</w:t>
            </w:r>
          </w:p>
        </w:tc>
        <w:tc>
          <w:tcPr>
            <w:tcW w:w="1203"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06420D4A">
            <w:pPr>
              <w:wordWrap w:val="0"/>
              <w:jc w:val="center"/>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评分因素</w:t>
            </w:r>
          </w:p>
        </w:tc>
        <w:tc>
          <w:tcPr>
            <w:tcW w:w="2646"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2F7ABE8D">
            <w:pPr>
              <w:wordWrap w:val="0"/>
              <w:jc w:val="center"/>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评分准则</w:t>
            </w:r>
          </w:p>
        </w:tc>
        <w:tc>
          <w:tcPr>
            <w:tcW w:w="661" w:type="pct"/>
            <w:tcBorders>
              <w:top w:val="single" w:color="000000" w:sz="8" w:space="0"/>
              <w:left w:val="single" w:color="000000" w:sz="8" w:space="0"/>
              <w:bottom w:val="single" w:color="000000" w:sz="8" w:space="0"/>
              <w:right w:val="single" w:color="000000" w:sz="8" w:space="0"/>
            </w:tcBorders>
            <w:shd w:val="clear" w:color="auto" w:fill="DEEBF6" w:themeFill="accent1" w:themeFillTint="32"/>
            <w:vAlign w:val="center"/>
          </w:tcPr>
          <w:p w14:paraId="13F31FB7">
            <w:pPr>
              <w:wordWrap w:val="0"/>
              <w:jc w:val="center"/>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权重</w:t>
            </w:r>
          </w:p>
        </w:tc>
      </w:tr>
      <w:tr w14:paraId="216238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6B300E61">
            <w:pPr>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vAlign w:val="center"/>
          </w:tcPr>
          <w:p w14:paraId="6B792FD3">
            <w:pPr>
              <w:wordWrap w:val="0"/>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1203" w:type="pct"/>
            <w:tcBorders>
              <w:top w:val="single" w:color="000000" w:sz="8" w:space="0"/>
              <w:left w:val="single" w:color="000000" w:sz="8" w:space="0"/>
              <w:bottom w:val="single" w:color="000000" w:sz="8" w:space="0"/>
              <w:right w:val="single" w:color="000000" w:sz="8" w:space="0"/>
            </w:tcBorders>
            <w:vAlign w:val="center"/>
          </w:tcPr>
          <w:p w14:paraId="6E58B2E0">
            <w:pPr>
              <w:wordWrap w:val="0"/>
              <w:jc w:val="center"/>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lang w:val="en-US" w:eastAsia="zh-CN"/>
              </w:rPr>
              <w:t>同类项目</w:t>
            </w:r>
            <w:r>
              <w:rPr>
                <w:rFonts w:hint="eastAsia" w:ascii="宋体" w:hAnsi="宋体" w:eastAsia="宋体" w:cs="宋体"/>
                <w:color w:val="auto"/>
                <w:kern w:val="0"/>
                <w:sz w:val="21"/>
                <w:szCs w:val="21"/>
              </w:rPr>
              <w:t>业绩</w:t>
            </w:r>
          </w:p>
        </w:tc>
        <w:tc>
          <w:tcPr>
            <w:tcW w:w="2646" w:type="pct"/>
            <w:tcBorders>
              <w:top w:val="single" w:color="000000" w:sz="8" w:space="0"/>
              <w:left w:val="single" w:color="000000" w:sz="8" w:space="0"/>
              <w:bottom w:val="single" w:color="000000" w:sz="8" w:space="0"/>
              <w:right w:val="single" w:color="000000" w:sz="8" w:space="0"/>
            </w:tcBorders>
            <w:vAlign w:val="center"/>
          </w:tcPr>
          <w:p w14:paraId="051A98E0">
            <w:pPr>
              <w:wordWrap w:val="0"/>
              <w:jc w:val="both"/>
              <w:rPr>
                <w:rFonts w:hint="default" w:ascii="宋体" w:hAnsi="宋体" w:cs="宋体"/>
                <w:sz w:val="22"/>
                <w:szCs w:val="20"/>
                <w:lang w:val="en-US" w:eastAsia="zh-CN"/>
              </w:rPr>
            </w:pPr>
            <w:r>
              <w:rPr>
                <w:rFonts w:hint="eastAsia" w:ascii="宋体" w:hAnsi="宋体" w:cs="宋体"/>
                <w:b/>
                <w:bCs/>
                <w:sz w:val="22"/>
                <w:szCs w:val="20"/>
                <w:lang w:eastAsia="zh-CN"/>
              </w:rPr>
              <w:t>（</w:t>
            </w:r>
            <w:r>
              <w:rPr>
                <w:rFonts w:hint="eastAsia" w:ascii="宋体" w:hAnsi="宋体" w:cs="宋体"/>
                <w:b/>
                <w:bCs/>
                <w:sz w:val="22"/>
                <w:szCs w:val="20"/>
                <w:lang w:val="en-US" w:eastAsia="zh-CN"/>
              </w:rPr>
              <w:t>一</w:t>
            </w:r>
            <w:r>
              <w:rPr>
                <w:rFonts w:hint="eastAsia" w:ascii="宋体" w:hAnsi="宋体" w:cs="宋体"/>
                <w:b/>
                <w:bCs/>
                <w:sz w:val="22"/>
                <w:szCs w:val="20"/>
                <w:lang w:eastAsia="zh-CN"/>
              </w:rPr>
              <w:t>）</w:t>
            </w:r>
            <w:r>
              <w:rPr>
                <w:rFonts w:hint="eastAsia" w:ascii="宋体" w:hAnsi="宋体" w:cs="宋体"/>
                <w:b/>
                <w:bCs/>
                <w:sz w:val="22"/>
                <w:szCs w:val="20"/>
                <w:lang w:val="en-US" w:eastAsia="zh-CN"/>
              </w:rPr>
              <w:t>评分内容</w:t>
            </w:r>
          </w:p>
          <w:p w14:paraId="6CEC1D53">
            <w:pPr>
              <w:wordWrap w:val="0"/>
              <w:jc w:val="both"/>
              <w:rPr>
                <w:rFonts w:hint="eastAsia" w:ascii="宋体" w:hAnsi="宋体" w:eastAsia="宋体" w:cs="宋体"/>
                <w:szCs w:val="21"/>
                <w:lang w:eastAsia="zh-CN"/>
              </w:rPr>
            </w:pPr>
            <w:r>
              <w:rPr>
                <w:rFonts w:hint="eastAsia" w:ascii="宋体" w:hAnsi="宋体" w:cs="宋体"/>
                <w:sz w:val="22"/>
                <w:szCs w:val="20"/>
              </w:rPr>
              <w:t>考察投标人的同类项目业绩情况</w:t>
            </w:r>
            <w:r>
              <w:rPr>
                <w:rFonts w:hint="eastAsia" w:ascii="宋体" w:hAnsi="宋体" w:cs="宋体"/>
                <w:sz w:val="22"/>
                <w:szCs w:val="20"/>
                <w:lang w:eastAsia="zh-CN"/>
              </w:rPr>
              <w:t>：</w:t>
            </w:r>
          </w:p>
          <w:p w14:paraId="1DA518BD">
            <w:pPr>
              <w:numPr>
                <w:ilvl w:val="-1"/>
                <w:numId w:val="0"/>
              </w:numPr>
              <w:wordWrap w:val="0"/>
              <w:adjustRightInd/>
              <w:spacing w:line="240" w:lineRule="auto"/>
              <w:jc w:val="both"/>
              <w:textAlignment w:val="auto"/>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自</w:t>
            </w:r>
            <w:r>
              <w:rPr>
                <w:rFonts w:hint="eastAsia" w:ascii="宋体" w:hAnsi="宋体" w:eastAsia="宋体" w:cs="宋体"/>
                <w:color w:val="auto"/>
                <w:kern w:val="0"/>
                <w:sz w:val="21"/>
                <w:szCs w:val="21"/>
              </w:rPr>
              <w:t>202</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年1月1日至今</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以合同签订日期为准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投标人承担过</w:t>
            </w:r>
            <w:r>
              <w:rPr>
                <w:rFonts w:hint="eastAsia"/>
                <w:sz w:val="21"/>
                <w:szCs w:val="21"/>
                <w:lang w:val="en-US" w:eastAsia="zh-CN"/>
              </w:rPr>
              <w:t>动物房/实验室智能化系统（含自控子系统）同类项目</w:t>
            </w:r>
            <w:r>
              <w:rPr>
                <w:rFonts w:hint="eastAsia" w:ascii="宋体" w:hAnsi="宋体" w:eastAsia="宋体" w:cs="宋体"/>
                <w:color w:val="auto"/>
                <w:kern w:val="0"/>
                <w:sz w:val="21"/>
                <w:szCs w:val="21"/>
                <w:lang w:val="en-US" w:eastAsia="zh-CN"/>
              </w:rPr>
              <w:t>的，每提供一个</w:t>
            </w:r>
            <w:r>
              <w:rPr>
                <w:rFonts w:hint="eastAsia" w:ascii="宋体" w:hAnsi="宋体" w:eastAsia="宋体" w:cs="宋体"/>
                <w:color w:val="auto"/>
                <w:kern w:val="0"/>
                <w:sz w:val="21"/>
                <w:szCs w:val="21"/>
              </w:rPr>
              <w:t>业绩合同得</w:t>
            </w:r>
            <w:r>
              <w:rPr>
                <w:rFonts w:hint="eastAsia" w:ascii="宋体" w:hAnsi="宋体" w:eastAsia="宋体" w:cs="宋体"/>
                <w:color w:val="auto"/>
                <w:kern w:val="0"/>
                <w:sz w:val="21"/>
                <w:szCs w:val="21"/>
                <w:lang w:val="en-US" w:eastAsia="zh-CN"/>
              </w:rPr>
              <w:t>2</w:t>
            </w:r>
            <w:r>
              <w:rPr>
                <w:rFonts w:hint="eastAsia" w:ascii="宋体" w:hAnsi="宋体" w:eastAsia="宋体" w:cs="宋体"/>
                <w:color w:val="auto"/>
                <w:kern w:val="0"/>
                <w:sz w:val="21"/>
                <w:szCs w:val="21"/>
              </w:rPr>
              <w:t>分，</w:t>
            </w:r>
            <w:r>
              <w:rPr>
                <w:rFonts w:hint="eastAsia" w:ascii="宋体" w:hAnsi="宋体" w:eastAsia="宋体" w:cs="宋体"/>
                <w:color w:val="auto"/>
                <w:kern w:val="0"/>
                <w:sz w:val="21"/>
                <w:szCs w:val="21"/>
                <w:lang w:val="en-US" w:eastAsia="zh-CN"/>
              </w:rPr>
              <w:t>最高得6</w:t>
            </w:r>
            <w:r>
              <w:rPr>
                <w:rFonts w:hint="eastAsia" w:ascii="宋体" w:hAnsi="宋体" w:eastAsia="宋体" w:cs="宋体"/>
                <w:color w:val="auto"/>
                <w:kern w:val="0"/>
                <w:sz w:val="21"/>
                <w:szCs w:val="21"/>
              </w:rPr>
              <w:t>分。</w:t>
            </w:r>
          </w:p>
          <w:p w14:paraId="7C519F03">
            <w:pPr>
              <w:numPr>
                <w:ilvl w:val="-1"/>
                <w:numId w:val="0"/>
              </w:numPr>
              <w:wordWrap w:val="0"/>
              <w:adjustRightInd/>
              <w:spacing w:line="240" w:lineRule="auto"/>
              <w:jc w:val="both"/>
              <w:textAlignment w:val="auto"/>
              <w:rPr>
                <w:rFonts w:hint="eastAsia" w:ascii="宋体" w:hAnsi="宋体" w:cs="宋体"/>
                <w:b/>
                <w:bCs/>
                <w:szCs w:val="21"/>
                <w:lang w:val="en-US" w:eastAsia="zh-CN"/>
              </w:rPr>
            </w:pPr>
            <w:r>
              <w:rPr>
                <w:rFonts w:hint="eastAsia" w:ascii="宋体" w:hAnsi="宋体" w:cs="宋体"/>
                <w:b/>
                <w:bCs/>
                <w:szCs w:val="21"/>
                <w:lang w:eastAsia="zh-CN"/>
              </w:rPr>
              <w:t>（</w:t>
            </w:r>
            <w:r>
              <w:rPr>
                <w:rFonts w:hint="eastAsia" w:ascii="宋体" w:hAnsi="宋体" w:cs="宋体"/>
                <w:b/>
                <w:bCs/>
                <w:szCs w:val="21"/>
                <w:lang w:val="en-US" w:eastAsia="zh-CN"/>
              </w:rPr>
              <w:t>二</w:t>
            </w:r>
            <w:r>
              <w:rPr>
                <w:rFonts w:hint="eastAsia" w:ascii="宋体" w:hAnsi="宋体" w:cs="宋体"/>
                <w:b/>
                <w:bCs/>
                <w:szCs w:val="21"/>
                <w:lang w:eastAsia="zh-CN"/>
              </w:rPr>
              <w:t>）</w:t>
            </w:r>
            <w:r>
              <w:rPr>
                <w:rFonts w:hint="eastAsia" w:ascii="宋体" w:hAnsi="宋体" w:cs="宋体"/>
                <w:b/>
                <w:bCs/>
                <w:szCs w:val="21"/>
                <w:lang w:val="en-US" w:eastAsia="zh-CN"/>
              </w:rPr>
              <w:t>评分要求</w:t>
            </w:r>
          </w:p>
          <w:p w14:paraId="735283E5">
            <w:pPr>
              <w:wordWrap w:val="0"/>
              <w:jc w:val="both"/>
              <w:rPr>
                <w:rFonts w:hint="eastAsia" w:ascii="宋体" w:hAnsi="宋体" w:eastAsia="宋体" w:cs="宋体"/>
                <w:color w:val="auto"/>
                <w:sz w:val="21"/>
                <w:szCs w:val="21"/>
                <w:lang w:val="en-US" w:eastAsia="zh-CN"/>
              </w:rPr>
            </w:pPr>
            <w:r>
              <w:rPr>
                <w:rFonts w:hint="eastAsia" w:ascii="宋体" w:hAnsi="宋体" w:cs="宋体"/>
                <w:sz w:val="22"/>
                <w:szCs w:val="20"/>
              </w:rPr>
              <w:t>每项业绩要求提供合同关键页</w:t>
            </w:r>
            <w:r>
              <w:rPr>
                <w:rFonts w:hint="eastAsia" w:ascii="宋体" w:hAnsi="宋体" w:cs="宋体"/>
                <w:sz w:val="22"/>
                <w:szCs w:val="20"/>
                <w:lang w:val="en-US" w:eastAsia="zh-CN"/>
              </w:rPr>
              <w:t>（包含但不限于合同首页、合同金额页、合同签字页）作为</w:t>
            </w:r>
            <w:r>
              <w:rPr>
                <w:rFonts w:hint="eastAsia" w:ascii="宋体" w:hAnsi="宋体" w:cs="宋体"/>
                <w:sz w:val="22"/>
                <w:szCs w:val="20"/>
              </w:rPr>
              <w:t>证明材料</w:t>
            </w:r>
            <w:r>
              <w:rPr>
                <w:rFonts w:hint="eastAsia" w:ascii="宋体" w:hAnsi="宋体" w:cs="宋体"/>
                <w:sz w:val="22"/>
                <w:szCs w:val="20"/>
                <w:lang w:eastAsia="zh-CN"/>
              </w:rPr>
              <w:t>，</w:t>
            </w:r>
            <w:r>
              <w:rPr>
                <w:rFonts w:hint="eastAsia" w:ascii="宋体" w:hAnsi="宋体" w:cs="宋体"/>
                <w:sz w:val="22"/>
                <w:szCs w:val="20"/>
              </w:rPr>
              <w:t>一年一签的长期服务续签合同只计算</w:t>
            </w:r>
            <w:r>
              <w:rPr>
                <w:rFonts w:hint="eastAsia" w:ascii="宋体" w:hAnsi="宋体" w:cs="宋体"/>
                <w:sz w:val="22"/>
                <w:szCs w:val="20"/>
                <w:lang w:eastAsia="zh-Hans"/>
              </w:rPr>
              <w:t>一</w:t>
            </w:r>
            <w:r>
              <w:rPr>
                <w:rFonts w:hint="eastAsia" w:ascii="宋体" w:hAnsi="宋体" w:cs="宋体"/>
                <w:sz w:val="22"/>
                <w:szCs w:val="20"/>
              </w:rPr>
              <w:t>个业绩，未按要求提供证明材料或提供不</w:t>
            </w:r>
            <w:r>
              <w:rPr>
                <w:rFonts w:hint="eastAsia" w:ascii="宋体" w:hAnsi="宋体" w:cs="宋体"/>
                <w:sz w:val="22"/>
                <w:szCs w:val="20"/>
                <w:lang w:val="en-US" w:eastAsia="zh-CN"/>
              </w:rPr>
              <w:t>清</w:t>
            </w:r>
            <w:r>
              <w:rPr>
                <w:rFonts w:hint="eastAsia" w:ascii="宋体" w:hAnsi="宋体" w:cs="宋体"/>
                <w:sz w:val="22"/>
                <w:szCs w:val="20"/>
              </w:rPr>
              <w:t>晰导致专家无法判断的不得分。</w:t>
            </w:r>
            <w:r>
              <w:rPr>
                <w:rFonts w:hint="eastAsia" w:ascii="宋体" w:hAnsi="宋体" w:eastAsia="宋体" w:cs="宋体"/>
                <w:color w:val="auto"/>
                <w:kern w:val="0"/>
                <w:sz w:val="21"/>
                <w:szCs w:val="21"/>
              </w:rPr>
              <w:t>相关合同复印件加盖投标人公章。</w:t>
            </w:r>
          </w:p>
        </w:tc>
        <w:tc>
          <w:tcPr>
            <w:tcW w:w="661" w:type="pct"/>
            <w:tcBorders>
              <w:top w:val="single" w:color="000000" w:sz="8" w:space="0"/>
              <w:left w:val="single" w:color="000000" w:sz="8" w:space="0"/>
              <w:bottom w:val="single" w:color="000000" w:sz="8" w:space="0"/>
              <w:right w:val="single" w:color="000000" w:sz="8" w:space="0"/>
            </w:tcBorders>
            <w:vAlign w:val="center"/>
          </w:tcPr>
          <w:p w14:paraId="7DC567AC">
            <w:pPr>
              <w:wordWrap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w:t>
            </w:r>
          </w:p>
        </w:tc>
      </w:tr>
      <w:tr w14:paraId="3D17BDE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vMerge w:val="continue"/>
            <w:tcBorders>
              <w:left w:val="single" w:color="000000" w:sz="8" w:space="0"/>
              <w:right w:val="single" w:color="000000" w:sz="8" w:space="0"/>
            </w:tcBorders>
            <w:vAlign w:val="center"/>
          </w:tcPr>
          <w:p w14:paraId="3601AD50">
            <w:pPr>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vAlign w:val="center"/>
          </w:tcPr>
          <w:p w14:paraId="7B11D0ED">
            <w:pPr>
              <w:wordWrap w:val="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2</w:t>
            </w:r>
          </w:p>
        </w:tc>
        <w:tc>
          <w:tcPr>
            <w:tcW w:w="1203" w:type="pct"/>
            <w:tcBorders>
              <w:top w:val="single" w:color="000000" w:sz="8" w:space="0"/>
              <w:left w:val="single" w:color="000000" w:sz="8" w:space="0"/>
              <w:bottom w:val="single" w:color="000000" w:sz="8" w:space="0"/>
              <w:right w:val="single" w:color="000000" w:sz="8" w:space="0"/>
            </w:tcBorders>
            <w:vAlign w:val="center"/>
          </w:tcPr>
          <w:p w14:paraId="2491F152">
            <w:pPr>
              <w:wordWrap w:val="0"/>
              <w:jc w:val="center"/>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rPr>
              <w:t>企业认证</w:t>
            </w:r>
          </w:p>
        </w:tc>
        <w:tc>
          <w:tcPr>
            <w:tcW w:w="2646" w:type="pct"/>
            <w:tcBorders>
              <w:top w:val="single" w:color="000000" w:sz="8" w:space="0"/>
              <w:left w:val="single" w:color="000000" w:sz="8" w:space="0"/>
              <w:bottom w:val="single" w:color="000000" w:sz="8" w:space="0"/>
              <w:right w:val="single" w:color="000000" w:sz="8" w:space="0"/>
            </w:tcBorders>
            <w:vAlign w:val="center"/>
          </w:tcPr>
          <w:p w14:paraId="3B05975E">
            <w:pPr>
              <w:adjustRightInd w:val="0"/>
              <w:spacing w:line="260" w:lineRule="exact"/>
              <w:textAlignment w:val="baseline"/>
              <w:rPr>
                <w:rFonts w:hint="eastAsia" w:ascii="宋体" w:hAnsi="宋体" w:cs="宋体"/>
                <w:b/>
                <w:bCs/>
                <w:color w:val="000000"/>
                <w:kern w:val="0"/>
                <w:sz w:val="21"/>
                <w:szCs w:val="21"/>
                <w:lang w:val="en-US" w:eastAsia="zh-CN" w:bidi="ar"/>
              </w:rPr>
            </w:pPr>
            <w:r>
              <w:rPr>
                <w:rFonts w:hint="eastAsia" w:ascii="宋体" w:hAnsi="宋体" w:cs="宋体"/>
                <w:b/>
                <w:bCs/>
                <w:color w:val="000000"/>
                <w:kern w:val="0"/>
                <w:sz w:val="21"/>
                <w:szCs w:val="21"/>
                <w:lang w:eastAsia="zh-CN" w:bidi="ar"/>
              </w:rPr>
              <w:t>（</w:t>
            </w:r>
            <w:r>
              <w:rPr>
                <w:rFonts w:hint="eastAsia" w:ascii="宋体" w:hAnsi="宋体" w:cs="宋体"/>
                <w:b/>
                <w:bCs/>
                <w:color w:val="000000"/>
                <w:kern w:val="0"/>
                <w:sz w:val="21"/>
                <w:szCs w:val="21"/>
                <w:lang w:val="en-US" w:eastAsia="zh-CN" w:bidi="ar"/>
              </w:rPr>
              <w:t>一</w:t>
            </w:r>
            <w:r>
              <w:rPr>
                <w:rFonts w:hint="eastAsia" w:ascii="宋体" w:hAnsi="宋体" w:cs="宋体"/>
                <w:b/>
                <w:bCs/>
                <w:color w:val="000000"/>
                <w:kern w:val="0"/>
                <w:sz w:val="21"/>
                <w:szCs w:val="21"/>
                <w:lang w:eastAsia="zh-CN" w:bidi="ar"/>
              </w:rPr>
              <w:t>）</w:t>
            </w:r>
            <w:r>
              <w:rPr>
                <w:rFonts w:hint="eastAsia" w:ascii="宋体" w:hAnsi="宋体" w:cs="宋体"/>
                <w:b/>
                <w:bCs/>
                <w:color w:val="000000"/>
                <w:kern w:val="0"/>
                <w:sz w:val="21"/>
                <w:szCs w:val="21"/>
                <w:lang w:val="en-US" w:eastAsia="zh-CN" w:bidi="ar"/>
              </w:rPr>
              <w:t>评分内容</w:t>
            </w:r>
          </w:p>
          <w:p w14:paraId="1F25B265">
            <w:pPr>
              <w:adjustRightInd w:val="0"/>
              <w:spacing w:line="260" w:lineRule="exact"/>
              <w:textAlignment w:val="baseline"/>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投标人具有有效的质量管理体系认证证书、职业健康安全管理体系认证证书、环境管理体系认证证书，每提供1个得1分，最高得3分。</w:t>
            </w:r>
          </w:p>
          <w:p w14:paraId="54E7FF95">
            <w:pPr>
              <w:wordWrap w:val="0"/>
              <w:jc w:val="both"/>
              <w:rPr>
                <w:rFonts w:hint="eastAsia" w:ascii="宋体" w:hAnsi="宋体" w:eastAsia="宋体" w:cs="宋体"/>
                <w:color w:val="auto"/>
                <w:kern w:val="0"/>
                <w:sz w:val="21"/>
                <w:szCs w:val="21"/>
                <w:lang w:val="en-US" w:eastAsia="zh-CN"/>
              </w:rPr>
            </w:pPr>
            <w:r>
              <w:rPr>
                <w:rFonts w:hint="eastAsia" w:ascii="宋体" w:hAnsi="宋体" w:cs="宋体"/>
                <w:b/>
                <w:bCs/>
                <w:szCs w:val="21"/>
                <w:lang w:eastAsia="zh-CN"/>
              </w:rPr>
              <w:t>（</w:t>
            </w:r>
            <w:r>
              <w:rPr>
                <w:rFonts w:hint="eastAsia" w:ascii="宋体" w:hAnsi="宋体" w:cs="宋体"/>
                <w:b/>
                <w:bCs/>
                <w:szCs w:val="21"/>
                <w:lang w:val="en-US" w:eastAsia="zh-CN"/>
              </w:rPr>
              <w:t>二</w:t>
            </w:r>
            <w:r>
              <w:rPr>
                <w:rFonts w:hint="eastAsia" w:ascii="宋体" w:hAnsi="宋体" w:cs="宋体"/>
                <w:b/>
                <w:bCs/>
                <w:szCs w:val="21"/>
                <w:lang w:eastAsia="zh-CN"/>
              </w:rPr>
              <w:t>）</w:t>
            </w:r>
            <w:r>
              <w:rPr>
                <w:rFonts w:hint="eastAsia" w:ascii="宋体" w:hAnsi="宋体" w:cs="宋体"/>
                <w:b/>
                <w:bCs/>
                <w:szCs w:val="21"/>
                <w:lang w:val="en-US" w:eastAsia="zh-CN"/>
              </w:rPr>
              <w:t>评分要求</w:t>
            </w:r>
          </w:p>
          <w:p w14:paraId="61B17E86">
            <w:pPr>
              <w:wordWrap w:val="0"/>
              <w:jc w:val="both"/>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lang w:val="en-US" w:eastAsia="zh-CN"/>
              </w:rPr>
              <w:t>注：投标文件中须同时提供证书复印件和“国家市场监督管理总局全国认证认可信息公共服务平台”查询结果截图加盖公章，未提供证明材料或相应证明材料提供不全的不得分。</w:t>
            </w:r>
          </w:p>
        </w:tc>
        <w:tc>
          <w:tcPr>
            <w:tcW w:w="661" w:type="pct"/>
            <w:tcBorders>
              <w:top w:val="single" w:color="000000" w:sz="8" w:space="0"/>
              <w:left w:val="single" w:color="000000" w:sz="8" w:space="0"/>
              <w:bottom w:val="single" w:color="000000" w:sz="8" w:space="0"/>
              <w:right w:val="single" w:color="000000" w:sz="8" w:space="0"/>
            </w:tcBorders>
            <w:vAlign w:val="center"/>
          </w:tcPr>
          <w:p w14:paraId="377DC3F1">
            <w:pPr>
              <w:wordWrap w:val="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w:t>
            </w:r>
          </w:p>
        </w:tc>
      </w:tr>
      <w:tr w14:paraId="0ACF90F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tcBorders>
              <w:left w:val="single" w:color="000000" w:sz="8" w:space="0"/>
              <w:right w:val="single" w:color="000000" w:sz="8" w:space="0"/>
            </w:tcBorders>
            <w:vAlign w:val="center"/>
          </w:tcPr>
          <w:p w14:paraId="690662C2">
            <w:pPr>
              <w:jc w:val="center"/>
              <w:rPr>
                <w:rFonts w:hint="eastAsia" w:ascii="宋体" w:hAnsi="宋体" w:eastAsia="宋体" w:cs="宋体"/>
                <w:b/>
                <w:bCs/>
                <w:color w:val="auto"/>
                <w:sz w:val="21"/>
                <w:szCs w:val="21"/>
                <w:lang w:val="en-US" w:eastAsia="zh-CN"/>
              </w:rPr>
            </w:pPr>
            <w:r>
              <w:rPr>
                <w:rFonts w:hint="eastAsia" w:ascii="宋体" w:hAnsi="宋体" w:eastAsia="宋体" w:cs="宋体"/>
                <w:b/>
                <w:bCs/>
                <w:color w:val="auto"/>
                <w:sz w:val="21"/>
                <w:szCs w:val="21"/>
                <w:lang w:val="en-US" w:eastAsia="zh-CN"/>
              </w:rPr>
              <w:t>4</w:t>
            </w:r>
          </w:p>
        </w:tc>
        <w:tc>
          <w:tcPr>
            <w:tcW w:w="4110" w:type="pct"/>
            <w:gridSpan w:val="3"/>
            <w:tcBorders>
              <w:top w:val="single" w:color="000000" w:sz="8" w:space="0"/>
              <w:left w:val="single" w:color="000000" w:sz="8" w:space="0"/>
              <w:bottom w:val="single" w:color="000000" w:sz="8" w:space="0"/>
              <w:right w:val="single" w:color="000000" w:sz="8" w:space="0"/>
            </w:tcBorders>
            <w:vAlign w:val="center"/>
          </w:tcPr>
          <w:p w14:paraId="1E775B12">
            <w:pPr>
              <w:wordWrap w:val="0"/>
              <w:jc w:val="center"/>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诚信部分</w:t>
            </w:r>
          </w:p>
        </w:tc>
        <w:tc>
          <w:tcPr>
            <w:tcW w:w="661" w:type="pct"/>
            <w:tcBorders>
              <w:top w:val="single" w:color="000000" w:sz="8" w:space="0"/>
              <w:left w:val="single" w:color="000000" w:sz="8" w:space="0"/>
              <w:bottom w:val="single" w:color="000000" w:sz="8" w:space="0"/>
              <w:right w:val="single" w:color="000000" w:sz="8" w:space="0"/>
            </w:tcBorders>
            <w:vAlign w:val="center"/>
          </w:tcPr>
          <w:p w14:paraId="492D9A3F">
            <w:pPr>
              <w:wordWrap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r>
      <w:tr w14:paraId="141526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tcBorders>
              <w:left w:val="single" w:color="000000" w:sz="8" w:space="0"/>
              <w:right w:val="single" w:color="000000" w:sz="8" w:space="0"/>
            </w:tcBorders>
            <w:vAlign w:val="center"/>
          </w:tcPr>
          <w:p w14:paraId="148A67D9">
            <w:pPr>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vAlign w:val="center"/>
          </w:tcPr>
          <w:p w14:paraId="6AFEE9B2">
            <w:pPr>
              <w:wordWrap w:val="0"/>
              <w:jc w:val="center"/>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序号</w:t>
            </w:r>
          </w:p>
        </w:tc>
        <w:tc>
          <w:tcPr>
            <w:tcW w:w="1203" w:type="pct"/>
            <w:tcBorders>
              <w:top w:val="single" w:color="000000" w:sz="8" w:space="0"/>
              <w:left w:val="single" w:color="000000" w:sz="8" w:space="0"/>
              <w:bottom w:val="single" w:color="000000" w:sz="8" w:space="0"/>
              <w:right w:val="single" w:color="000000" w:sz="8" w:space="0"/>
            </w:tcBorders>
            <w:vAlign w:val="center"/>
          </w:tcPr>
          <w:p w14:paraId="354B9097">
            <w:pPr>
              <w:wordWrap w:val="0"/>
              <w:jc w:val="center"/>
              <w:rPr>
                <w:rFonts w:hint="eastAsia" w:ascii="宋体" w:hAnsi="宋体" w:eastAsia="宋体" w:cs="宋体"/>
                <w:color w:val="auto"/>
                <w:kern w:val="0"/>
                <w:sz w:val="21"/>
                <w:szCs w:val="21"/>
                <w:lang w:val="en-US" w:eastAsia="zh-CN"/>
              </w:rPr>
            </w:pPr>
            <w:r>
              <w:rPr>
                <w:rFonts w:hint="eastAsia" w:ascii="宋体" w:hAnsi="宋体" w:eastAsia="宋体" w:cs="宋体"/>
                <w:b/>
                <w:bCs/>
                <w:color w:val="auto"/>
                <w:sz w:val="21"/>
                <w:szCs w:val="21"/>
                <w:lang w:val="en-US" w:eastAsia="zh-CN"/>
              </w:rPr>
              <w:t>评分因素</w:t>
            </w:r>
          </w:p>
        </w:tc>
        <w:tc>
          <w:tcPr>
            <w:tcW w:w="2646" w:type="pct"/>
            <w:tcBorders>
              <w:top w:val="single" w:color="000000" w:sz="8" w:space="0"/>
              <w:left w:val="single" w:color="000000" w:sz="8" w:space="0"/>
              <w:bottom w:val="single" w:color="000000" w:sz="8" w:space="0"/>
              <w:right w:val="single" w:color="000000" w:sz="8" w:space="0"/>
            </w:tcBorders>
            <w:vAlign w:val="center"/>
          </w:tcPr>
          <w:p w14:paraId="2B31EFDA">
            <w:pPr>
              <w:wordWrap w:val="0"/>
              <w:jc w:val="center"/>
              <w:rPr>
                <w:rFonts w:hint="eastAsia" w:ascii="宋体" w:hAnsi="宋体" w:eastAsia="宋体" w:cs="宋体"/>
                <w:color w:val="auto"/>
                <w:kern w:val="0"/>
                <w:sz w:val="21"/>
                <w:szCs w:val="21"/>
                <w:lang w:val="en-US" w:eastAsia="zh-CN"/>
              </w:rPr>
            </w:pPr>
            <w:r>
              <w:rPr>
                <w:rFonts w:hint="eastAsia" w:ascii="宋体" w:hAnsi="宋体" w:eastAsia="宋体" w:cs="宋体"/>
                <w:b/>
                <w:bCs/>
                <w:color w:val="auto"/>
                <w:sz w:val="21"/>
                <w:szCs w:val="21"/>
                <w:lang w:val="en-US" w:eastAsia="zh-CN"/>
              </w:rPr>
              <w:t>评分准则</w:t>
            </w:r>
          </w:p>
        </w:tc>
        <w:tc>
          <w:tcPr>
            <w:tcW w:w="661" w:type="pct"/>
            <w:tcBorders>
              <w:top w:val="single" w:color="000000" w:sz="8" w:space="0"/>
              <w:left w:val="single" w:color="000000" w:sz="8" w:space="0"/>
              <w:bottom w:val="single" w:color="000000" w:sz="8" w:space="0"/>
              <w:right w:val="single" w:color="000000" w:sz="8" w:space="0"/>
            </w:tcBorders>
            <w:vAlign w:val="center"/>
          </w:tcPr>
          <w:p w14:paraId="13B1F943">
            <w:pPr>
              <w:wordWrap w:val="0"/>
              <w:jc w:val="center"/>
              <w:rPr>
                <w:rFonts w:hint="eastAsia" w:ascii="宋体" w:hAnsi="宋体" w:eastAsia="宋体" w:cs="宋体"/>
                <w:color w:val="auto"/>
                <w:sz w:val="21"/>
                <w:szCs w:val="21"/>
                <w:lang w:val="en-US" w:eastAsia="zh-CN"/>
              </w:rPr>
            </w:pPr>
            <w:r>
              <w:rPr>
                <w:rFonts w:hint="eastAsia" w:ascii="宋体" w:hAnsi="宋体" w:eastAsia="宋体" w:cs="宋体"/>
                <w:b/>
                <w:bCs/>
                <w:color w:val="auto"/>
                <w:sz w:val="21"/>
                <w:szCs w:val="21"/>
                <w:lang w:val="en-US" w:eastAsia="zh-CN"/>
              </w:rPr>
              <w:t>权重</w:t>
            </w:r>
          </w:p>
        </w:tc>
      </w:tr>
      <w:tr w14:paraId="720C9CE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20" w:type="dxa"/>
            <w:left w:w="108" w:type="dxa"/>
            <w:bottom w:w="20" w:type="dxa"/>
            <w:right w:w="108" w:type="dxa"/>
          </w:tblCellMar>
        </w:tblPrEx>
        <w:trPr>
          <w:cantSplit/>
          <w:jc w:val="center"/>
        </w:trPr>
        <w:tc>
          <w:tcPr>
            <w:tcW w:w="228" w:type="pct"/>
            <w:tcBorders>
              <w:left w:val="single" w:color="000000" w:sz="8" w:space="0"/>
              <w:right w:val="single" w:color="000000" w:sz="8" w:space="0"/>
            </w:tcBorders>
            <w:vAlign w:val="center"/>
          </w:tcPr>
          <w:p w14:paraId="2E2AAC79">
            <w:pPr>
              <w:jc w:val="center"/>
              <w:rPr>
                <w:rFonts w:hint="eastAsia" w:ascii="宋体" w:hAnsi="宋体" w:eastAsia="宋体" w:cs="宋体"/>
                <w:b/>
                <w:bCs/>
                <w:color w:val="auto"/>
                <w:sz w:val="21"/>
                <w:szCs w:val="21"/>
              </w:rPr>
            </w:pPr>
          </w:p>
        </w:tc>
        <w:tc>
          <w:tcPr>
            <w:tcW w:w="260" w:type="pct"/>
            <w:tcBorders>
              <w:top w:val="single" w:color="000000" w:sz="8" w:space="0"/>
              <w:left w:val="single" w:color="000000" w:sz="8" w:space="0"/>
              <w:bottom w:val="single" w:color="000000" w:sz="8" w:space="0"/>
              <w:right w:val="single" w:color="000000" w:sz="8" w:space="0"/>
            </w:tcBorders>
            <w:vAlign w:val="center"/>
          </w:tcPr>
          <w:p w14:paraId="722DAF37">
            <w:pPr>
              <w:wordWrap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1203" w:type="pct"/>
            <w:tcBorders>
              <w:top w:val="single" w:color="000000" w:sz="8" w:space="0"/>
              <w:left w:val="single" w:color="000000" w:sz="8" w:space="0"/>
              <w:bottom w:val="single" w:color="000000" w:sz="8" w:space="0"/>
              <w:right w:val="single" w:color="000000" w:sz="8" w:space="0"/>
            </w:tcBorders>
            <w:vAlign w:val="center"/>
          </w:tcPr>
          <w:p w14:paraId="48F4E39F">
            <w:pPr>
              <w:wordWrap w:val="0"/>
              <w:jc w:val="center"/>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诚信情况</w:t>
            </w:r>
          </w:p>
        </w:tc>
        <w:tc>
          <w:tcPr>
            <w:tcW w:w="2646" w:type="pct"/>
            <w:tcBorders>
              <w:top w:val="single" w:color="000000" w:sz="8" w:space="0"/>
              <w:left w:val="single" w:color="000000" w:sz="8" w:space="0"/>
              <w:bottom w:val="single" w:color="000000" w:sz="8" w:space="0"/>
              <w:right w:val="single" w:color="000000" w:sz="8" w:space="0"/>
            </w:tcBorders>
            <w:vAlign w:val="center"/>
          </w:tcPr>
          <w:p w14:paraId="799F61E9">
            <w:pPr>
              <w:wordWrap w:val="0"/>
              <w:ind w:firstLine="420" w:firstLineChars="200"/>
              <w:jc w:val="both"/>
              <w:rPr>
                <w:rFonts w:hint="eastAsia" w:ascii="宋体" w:hAnsi="宋体" w:eastAsia="宋体" w:cs="宋体"/>
                <w:color w:val="auto"/>
                <w:sz w:val="21"/>
                <w:szCs w:val="21"/>
              </w:rPr>
            </w:pPr>
            <w:r>
              <w:rPr>
                <w:rFonts w:hint="eastAsia" w:ascii="宋体" w:hAnsi="宋体" w:eastAsia="宋体" w:cs="宋体"/>
                <w:color w:val="auto"/>
                <w:sz w:val="21"/>
                <w:szCs w:val="21"/>
              </w:rPr>
              <w:t>投标人存在《深圳市财政局政府采购供应商信用信息管理办法》（深财规〔2023〕3号）列明的一般行政处罚信息、一般违法失信记录信息的，本项不得分，不存在上述情形的本项得5分。投标人无需提供任何证明材料，评标过程中由工作人员向评审委员会提供有关供应商诚信查询结果。</w:t>
            </w:r>
          </w:p>
          <w:p w14:paraId="14283B91">
            <w:pPr>
              <w:wordWrap w:val="0"/>
              <w:ind w:firstLine="420" w:firstLineChars="200"/>
              <w:jc w:val="both"/>
              <w:rPr>
                <w:rFonts w:hint="eastAsia" w:ascii="宋体" w:hAnsi="宋体" w:eastAsia="宋体" w:cs="宋体"/>
                <w:color w:val="auto"/>
                <w:kern w:val="0"/>
                <w:sz w:val="21"/>
                <w:szCs w:val="21"/>
                <w:lang w:val="en-US" w:eastAsia="zh-CN"/>
              </w:rPr>
            </w:pPr>
            <w:r>
              <w:rPr>
                <w:rFonts w:hint="eastAsia" w:asciiTheme="minorEastAsia" w:hAnsiTheme="minorEastAsia" w:eastAsiaTheme="minorEastAsia" w:cstheme="minorEastAsia"/>
                <w:b w:val="0"/>
                <w:bCs w:val="0"/>
                <w:color w:val="auto"/>
                <w:sz w:val="21"/>
                <w:szCs w:val="21"/>
                <w:lang w:val="en-US" w:eastAsia="zh-CN"/>
              </w:rPr>
              <w:t>查询渠道：通过“信用中国”（www.creditchina.gov.cn，下载信用信息报告）、“中国政府采购网”（www.ccgp.gov.cn）、“深圳市政府采购监管网”（http://zfcg.sz.gov.cn）查询供应商信用信息，信用信息以开标当日的查询结果为准。</w:t>
            </w:r>
          </w:p>
        </w:tc>
        <w:tc>
          <w:tcPr>
            <w:tcW w:w="661" w:type="pct"/>
            <w:tcBorders>
              <w:top w:val="single" w:color="000000" w:sz="8" w:space="0"/>
              <w:left w:val="single" w:color="000000" w:sz="8" w:space="0"/>
              <w:bottom w:val="single" w:color="000000" w:sz="8" w:space="0"/>
              <w:right w:val="single" w:color="000000" w:sz="8" w:space="0"/>
            </w:tcBorders>
            <w:vAlign w:val="center"/>
          </w:tcPr>
          <w:p w14:paraId="275B7647">
            <w:pPr>
              <w:wordWrap w:val="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w:t>
            </w:r>
          </w:p>
        </w:tc>
      </w:tr>
    </w:tbl>
    <w:p w14:paraId="0B46A938"/>
    <w:p w14:paraId="60AFB460">
      <w:pPr>
        <w:pStyle w:val="2"/>
        <w:rPr>
          <w:color w:val="00B0F0"/>
        </w:rPr>
      </w:pPr>
    </w:p>
    <w:p w14:paraId="0F504271">
      <w:pPr>
        <w:jc w:val="both"/>
      </w:pPr>
      <w:bookmarkStart w:id="1" w:name="合同格式"/>
      <w:bookmarkEnd w:id="1"/>
      <w:bookmarkStart w:id="2" w:name="bt技术标投标文件格式"/>
      <w:bookmarkEnd w:id="2"/>
      <w:bookmarkStart w:id="3" w:name="bt合同条款及格式"/>
      <w:bookmarkEnd w:id="3"/>
      <w:bookmarkStart w:id="4" w:name="bt商务标投标文件格式"/>
      <w:bookmarkEnd w:id="4"/>
      <w:bookmarkStart w:id="5" w:name="bt开标一览表"/>
      <w:bookmarkEnd w:id="5"/>
      <w:bookmarkStart w:id="6" w:name="bt投标人须知"/>
      <w:bookmarkEnd w:id="6"/>
      <w:bookmarkStart w:id="7" w:name="bt项目管理班子配备情况"/>
      <w:bookmarkEnd w:id="7"/>
      <w:bookmarkStart w:id="8" w:name="bt投标人情况介绍"/>
      <w:bookmarkEnd w:id="8"/>
      <w:bookmarkStart w:id="9" w:name="bt说明"/>
      <w:bookmarkEnd w:id="9"/>
      <w:bookmarkStart w:id="10" w:name="bt投标函"/>
      <w:bookmarkEnd w:id="10"/>
      <w:bookmarkStart w:id="11" w:name="bt其他资料由投标人自定"/>
      <w:bookmarkEnd w:id="11"/>
      <w:bookmarkStart w:id="12" w:name="bt投标文件签署授权委托书"/>
      <w:bookmarkEnd w:id="12"/>
      <w:bookmarkStart w:id="13" w:name="bt合同格式"/>
      <w:bookmarkEnd w:id="13"/>
      <w:bookmarkStart w:id="14" w:name="bt本工程承诺书"/>
      <w:bookmarkEnd w:id="14"/>
      <w:bookmarkStart w:id="15" w:name="bt其他资料2"/>
      <w:bookmarkEnd w:id="15"/>
      <w:bookmarkStart w:id="16" w:name="bt合同条款"/>
      <w:bookmarkEnd w:id="16"/>
      <w:bookmarkStart w:id="17" w:name="bt投标报价汇总表"/>
      <w:bookmarkEnd w:id="17"/>
      <w:bookmarkStart w:id="18" w:name="_Toc432592813"/>
      <w:bookmarkStart w:id="19" w:name="_Toc265483798"/>
      <w:bookmarkStart w:id="20" w:name="_Toc76544499"/>
      <w:r>
        <w:rPr>
          <w:rFonts w:ascii="仿宋" w:hAnsi="仿宋" w:eastAsia="仿宋" w:cs="仿宋"/>
          <w:b/>
          <w:bCs/>
          <w:color w:val="FF0000"/>
          <w:highlight w:val="yellow"/>
        </w:rPr>
        <w:t>注：以上评分项目如需提供资料/材料的，未提供证明材料或提供的不符合或专家无法凭所提供材料判断是否得分的情况，一律作不得分处理。</w:t>
      </w:r>
    </w:p>
    <w:p w14:paraId="5CD7F683">
      <w:pPr>
        <w:jc w:val="both"/>
      </w:pPr>
    </w:p>
    <w:p w14:paraId="5F2D056F">
      <w:pPr>
        <w:jc w:val="center"/>
        <w:rPr>
          <w:b/>
          <w:bCs/>
          <w:sz w:val="28"/>
          <w:szCs w:val="28"/>
        </w:rPr>
        <w:sectPr>
          <w:pgSz w:w="11906" w:h="16838"/>
          <w:pgMar w:top="1440" w:right="1286" w:bottom="1440" w:left="1440" w:header="851" w:footer="992" w:gutter="0"/>
          <w:pgBorders>
            <w:top w:val="none" w:sz="0" w:space="0"/>
            <w:left w:val="none" w:sz="0" w:space="0"/>
            <w:bottom w:val="none" w:sz="0" w:space="0"/>
            <w:right w:val="none" w:sz="0" w:space="0"/>
          </w:pgBorders>
          <w:cols w:space="720" w:num="1"/>
          <w:docGrid w:type="lines" w:linePitch="312" w:charSpace="0"/>
        </w:sectPr>
      </w:pPr>
    </w:p>
    <w:p w14:paraId="30B486AC">
      <w:pPr>
        <w:jc w:val="center"/>
      </w:pPr>
      <w:r>
        <w:rPr>
          <w:rFonts w:hint="eastAsia"/>
          <w:b/>
          <w:bCs/>
          <w:sz w:val="28"/>
          <w:szCs w:val="28"/>
        </w:rPr>
        <w:t>第一章  招标公告</w:t>
      </w:r>
      <w:bookmarkEnd w:id="18"/>
      <w:bookmarkEnd w:id="19"/>
      <w:bookmarkEnd w:id="20"/>
    </w:p>
    <w:p w14:paraId="6CDF7B41">
      <w:pPr>
        <w:tabs>
          <w:tab w:val="left" w:pos="426"/>
        </w:tabs>
        <w:adjustRightInd w:val="0"/>
        <w:snapToGrid w:val="0"/>
        <w:spacing w:line="560" w:lineRule="exact"/>
        <w:ind w:firstLine="480" w:firstLineChars="200"/>
        <w:rPr>
          <w:rFonts w:ascii="宋体" w:hAnsi="宋体" w:eastAsia="宋体" w:cs="宋体"/>
          <w:bCs/>
          <w:shd w:val="clear" w:color="auto" w:fill="FFFFFF"/>
        </w:rPr>
      </w:pPr>
      <w:r>
        <w:rPr>
          <w:rFonts w:hint="eastAsia" w:ascii="宋体" w:hAnsi="宋体" w:eastAsia="宋体" w:cs="宋体"/>
          <w:bCs/>
          <w:kern w:val="2"/>
          <w:shd w:val="clear" w:color="auto" w:fill="FFFFFF"/>
        </w:rPr>
        <w:t>根据《中华人民共和国政府采购法》和《深圳经济特区政府采购条例实施细则》的有关规定，我院拟对以下项目进行院内招标采购，欢迎符合条件具有供应能力的供应商或厂家前来报名参加。</w:t>
      </w:r>
    </w:p>
    <w:p w14:paraId="0EDFEBB8">
      <w:pPr>
        <w:pStyle w:val="29"/>
        <w:spacing w:line="560" w:lineRule="exact"/>
        <w:ind w:firstLine="480" w:firstLineChars="0"/>
        <w:rPr>
          <w:rFonts w:ascii="宋体" w:hAnsi="宋体" w:cs="宋体"/>
          <w:bCs/>
          <w:sz w:val="24"/>
          <w:shd w:val="clear" w:color="auto" w:fill="FFFFFF"/>
        </w:rPr>
      </w:pPr>
      <w:r>
        <w:rPr>
          <w:rFonts w:hint="eastAsia" w:ascii="宋体" w:hAnsi="宋体" w:cs="宋体"/>
          <w:bCs/>
          <w:sz w:val="24"/>
          <w:shd w:val="clear" w:color="auto" w:fill="FFFFFF"/>
        </w:rPr>
        <w:t>一、项目基本情况</w:t>
      </w:r>
    </w:p>
    <w:tbl>
      <w:tblPr>
        <w:tblStyle w:val="19"/>
        <w:tblW w:w="5091" w:type="pct"/>
        <w:jc w:val="center"/>
        <w:tblCellSpacing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22"/>
        <w:gridCol w:w="2075"/>
        <w:gridCol w:w="2270"/>
        <w:gridCol w:w="485"/>
        <w:gridCol w:w="673"/>
        <w:gridCol w:w="953"/>
        <w:gridCol w:w="1259"/>
        <w:gridCol w:w="1051"/>
      </w:tblGrid>
      <w:tr w14:paraId="5D55173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4" w:hRule="atLeast"/>
          <w:tblHeader/>
          <w:tblCellSpacing w:w="0" w:type="dxa"/>
          <w:jc w:val="center"/>
        </w:trPr>
        <w:tc>
          <w:tcPr>
            <w:tcW w:w="331" w:type="pct"/>
            <w:tcBorders>
              <w:tl2br w:val="nil"/>
              <w:tr2bl w:val="nil"/>
            </w:tcBorders>
            <w:tcMar>
              <w:top w:w="15" w:type="dxa"/>
              <w:left w:w="15" w:type="dxa"/>
              <w:bottom w:w="15" w:type="dxa"/>
              <w:right w:w="15" w:type="dxa"/>
            </w:tcMar>
            <w:vAlign w:val="center"/>
          </w:tcPr>
          <w:p w14:paraId="4E08ACFC">
            <w:pPr>
              <w:adjustRightInd w:val="0"/>
              <w:snapToGrid w:val="0"/>
              <w:spacing w:line="360" w:lineRule="auto"/>
              <w:jc w:val="center"/>
              <w:rPr>
                <w:rFonts w:ascii="宋体" w:hAnsi="宋体" w:eastAsia="宋体" w:cs="宋体"/>
                <w:color w:val="auto"/>
              </w:rPr>
            </w:pPr>
            <w:r>
              <w:rPr>
                <w:rFonts w:hint="eastAsia" w:ascii="宋体" w:hAnsi="宋体" w:eastAsia="宋体" w:cs="宋体"/>
                <w:color w:val="auto"/>
              </w:rPr>
              <w:t>序号</w:t>
            </w:r>
          </w:p>
        </w:tc>
        <w:tc>
          <w:tcPr>
            <w:tcW w:w="1104" w:type="pct"/>
            <w:tcBorders>
              <w:tl2br w:val="nil"/>
              <w:tr2bl w:val="nil"/>
            </w:tcBorders>
            <w:tcMar>
              <w:top w:w="15" w:type="dxa"/>
              <w:left w:w="15" w:type="dxa"/>
              <w:bottom w:w="15" w:type="dxa"/>
              <w:right w:w="15" w:type="dxa"/>
            </w:tcMar>
            <w:vAlign w:val="center"/>
          </w:tcPr>
          <w:p w14:paraId="00DA8D55">
            <w:pPr>
              <w:adjustRightInd w:val="0"/>
              <w:snapToGrid w:val="0"/>
              <w:spacing w:line="360" w:lineRule="auto"/>
              <w:jc w:val="center"/>
              <w:rPr>
                <w:rFonts w:ascii="宋体" w:hAnsi="宋体" w:cs="宋体"/>
                <w:color w:val="auto"/>
              </w:rPr>
            </w:pPr>
            <w:r>
              <w:rPr>
                <w:rFonts w:hint="eastAsia" w:ascii="宋体" w:hAnsi="宋体" w:eastAsia="宋体" w:cs="宋体"/>
                <w:color w:val="auto"/>
              </w:rPr>
              <w:t>项目编号</w:t>
            </w:r>
          </w:p>
        </w:tc>
        <w:tc>
          <w:tcPr>
            <w:tcW w:w="1208" w:type="pct"/>
            <w:tcMar>
              <w:top w:w="15" w:type="dxa"/>
              <w:left w:w="15" w:type="dxa"/>
              <w:bottom w:w="15" w:type="dxa"/>
              <w:right w:w="15" w:type="dxa"/>
            </w:tcMar>
            <w:vAlign w:val="center"/>
          </w:tcPr>
          <w:p w14:paraId="33DACE32">
            <w:pPr>
              <w:adjustRightInd w:val="0"/>
              <w:snapToGrid w:val="0"/>
              <w:spacing w:line="360" w:lineRule="auto"/>
              <w:jc w:val="center"/>
              <w:rPr>
                <w:rFonts w:hint="default" w:ascii="宋体" w:hAnsi="宋体" w:cs="宋体" w:eastAsiaTheme="minorEastAsia"/>
                <w:color w:val="auto"/>
                <w:lang w:val="en-US" w:eastAsia="zh-CN"/>
              </w:rPr>
            </w:pPr>
            <w:r>
              <w:rPr>
                <w:rFonts w:hint="eastAsia" w:ascii="宋体" w:hAnsi="宋体" w:cs="宋体"/>
                <w:color w:val="auto"/>
                <w:lang w:val="en-US" w:eastAsia="zh-CN"/>
              </w:rPr>
              <w:t>项目名称</w:t>
            </w:r>
          </w:p>
        </w:tc>
        <w:tc>
          <w:tcPr>
            <w:tcW w:w="258" w:type="pct"/>
            <w:shd w:val="clear" w:color="auto" w:fill="auto"/>
            <w:tcMar>
              <w:top w:w="15" w:type="dxa"/>
              <w:left w:w="15" w:type="dxa"/>
              <w:bottom w:w="15" w:type="dxa"/>
              <w:right w:w="15" w:type="dxa"/>
            </w:tcMar>
            <w:vAlign w:val="center"/>
          </w:tcPr>
          <w:p w14:paraId="2DEC6377">
            <w:pPr>
              <w:adjustRightInd w:val="0"/>
              <w:snapToGrid w:val="0"/>
              <w:spacing w:line="360" w:lineRule="auto"/>
              <w:jc w:val="center"/>
              <w:rPr>
                <w:rFonts w:ascii="宋体" w:hAnsi="宋体" w:eastAsia="宋体" w:cs="宋体"/>
                <w:color w:val="auto"/>
              </w:rPr>
            </w:pPr>
            <w:r>
              <w:rPr>
                <w:rFonts w:hint="eastAsia" w:ascii="宋体" w:hAnsi="宋体" w:eastAsia="宋体" w:cs="宋体"/>
                <w:color w:val="auto"/>
              </w:rPr>
              <w:t>数量</w:t>
            </w:r>
          </w:p>
        </w:tc>
        <w:tc>
          <w:tcPr>
            <w:tcW w:w="358" w:type="pct"/>
            <w:shd w:val="clear" w:color="auto" w:fill="auto"/>
            <w:tcMar>
              <w:top w:w="15" w:type="dxa"/>
              <w:left w:w="15" w:type="dxa"/>
              <w:bottom w:w="15" w:type="dxa"/>
              <w:right w:w="15" w:type="dxa"/>
            </w:tcMar>
            <w:vAlign w:val="center"/>
          </w:tcPr>
          <w:p w14:paraId="57706F5E">
            <w:pPr>
              <w:adjustRightInd w:val="0"/>
              <w:snapToGrid w:val="0"/>
              <w:spacing w:line="360" w:lineRule="auto"/>
              <w:jc w:val="center"/>
              <w:rPr>
                <w:rFonts w:ascii="宋体" w:hAnsi="宋体" w:eastAsia="宋体" w:cs="宋体"/>
                <w:color w:val="auto"/>
              </w:rPr>
            </w:pPr>
            <w:r>
              <w:rPr>
                <w:rFonts w:hint="eastAsia" w:ascii="宋体" w:hAnsi="宋体" w:cs="宋体"/>
                <w:color w:val="auto"/>
                <w:lang w:bidi="ar"/>
              </w:rPr>
              <w:t>单位</w:t>
            </w:r>
          </w:p>
        </w:tc>
        <w:tc>
          <w:tcPr>
            <w:tcW w:w="507" w:type="pct"/>
            <w:tcMar>
              <w:top w:w="15" w:type="dxa"/>
              <w:left w:w="15" w:type="dxa"/>
              <w:bottom w:w="15" w:type="dxa"/>
              <w:right w:w="15" w:type="dxa"/>
            </w:tcMar>
            <w:vAlign w:val="center"/>
          </w:tcPr>
          <w:p w14:paraId="4F90E2A5">
            <w:pPr>
              <w:adjustRightInd w:val="0"/>
              <w:snapToGrid w:val="0"/>
              <w:spacing w:line="360" w:lineRule="auto"/>
              <w:jc w:val="center"/>
              <w:rPr>
                <w:rFonts w:ascii="宋体" w:hAnsi="宋体" w:eastAsia="宋体" w:cs="宋体"/>
                <w:color w:val="auto"/>
              </w:rPr>
            </w:pPr>
            <w:r>
              <w:rPr>
                <w:rFonts w:hint="eastAsia" w:ascii="宋体" w:hAnsi="宋体" w:cs="宋体"/>
                <w:color w:val="auto"/>
                <w:lang w:bidi="ar"/>
              </w:rPr>
              <w:t>单价限价（元）</w:t>
            </w:r>
          </w:p>
        </w:tc>
        <w:tc>
          <w:tcPr>
            <w:tcW w:w="670" w:type="pct"/>
            <w:tcMar>
              <w:top w:w="15" w:type="dxa"/>
              <w:left w:w="15" w:type="dxa"/>
              <w:bottom w:w="15" w:type="dxa"/>
              <w:right w:w="15" w:type="dxa"/>
            </w:tcMar>
            <w:vAlign w:val="center"/>
          </w:tcPr>
          <w:p w14:paraId="076EFC82">
            <w:pPr>
              <w:adjustRightInd w:val="0"/>
              <w:snapToGrid w:val="0"/>
              <w:spacing w:line="360" w:lineRule="auto"/>
              <w:jc w:val="center"/>
              <w:rPr>
                <w:rFonts w:ascii="宋体" w:hAnsi="宋体" w:eastAsia="宋体" w:cs="宋体"/>
                <w:color w:val="auto"/>
              </w:rPr>
            </w:pPr>
            <w:r>
              <w:rPr>
                <w:rFonts w:hint="eastAsia" w:ascii="宋体" w:hAnsi="宋体" w:eastAsia="宋体" w:cs="宋体"/>
                <w:color w:val="auto"/>
              </w:rPr>
              <w:t>预算总价</w:t>
            </w:r>
          </w:p>
          <w:p w14:paraId="7FA710C2">
            <w:pPr>
              <w:adjustRightInd w:val="0"/>
              <w:snapToGrid w:val="0"/>
              <w:spacing w:line="360" w:lineRule="auto"/>
              <w:jc w:val="center"/>
              <w:rPr>
                <w:rFonts w:ascii="宋体" w:hAnsi="宋体" w:eastAsia="宋体" w:cs="宋体"/>
                <w:color w:val="auto"/>
              </w:rPr>
            </w:pPr>
            <w:r>
              <w:rPr>
                <w:rFonts w:hint="eastAsia" w:ascii="宋体" w:hAnsi="宋体" w:eastAsia="宋体" w:cs="宋体"/>
                <w:color w:val="auto"/>
              </w:rPr>
              <w:t>(元)</w:t>
            </w:r>
          </w:p>
        </w:tc>
        <w:tc>
          <w:tcPr>
            <w:tcW w:w="559" w:type="pct"/>
            <w:tcMar>
              <w:top w:w="15" w:type="dxa"/>
              <w:left w:w="15" w:type="dxa"/>
              <w:bottom w:w="15" w:type="dxa"/>
              <w:right w:w="15" w:type="dxa"/>
            </w:tcMar>
            <w:vAlign w:val="center"/>
          </w:tcPr>
          <w:p w14:paraId="7252BDBE">
            <w:pPr>
              <w:adjustRightInd w:val="0"/>
              <w:snapToGrid w:val="0"/>
              <w:spacing w:line="360" w:lineRule="auto"/>
              <w:jc w:val="center"/>
              <w:rPr>
                <w:rFonts w:ascii="宋体" w:hAnsi="宋体" w:eastAsia="宋体" w:cs="宋体"/>
                <w:color w:val="auto"/>
              </w:rPr>
            </w:pPr>
            <w:r>
              <w:rPr>
                <w:rFonts w:hint="eastAsia" w:ascii="宋体" w:hAnsi="宋体" w:eastAsia="宋体" w:cs="宋体"/>
                <w:color w:val="auto"/>
              </w:rPr>
              <w:t>是否进口</w:t>
            </w:r>
          </w:p>
        </w:tc>
      </w:tr>
      <w:tr w14:paraId="3C7D60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71" w:hRule="atLeast"/>
          <w:tblCellSpacing w:w="0" w:type="dxa"/>
          <w:jc w:val="center"/>
        </w:trPr>
        <w:tc>
          <w:tcPr>
            <w:tcW w:w="331" w:type="pct"/>
            <w:tcBorders>
              <w:tl2br w:val="nil"/>
              <w:tr2bl w:val="nil"/>
            </w:tcBorders>
            <w:tcMar>
              <w:top w:w="15" w:type="dxa"/>
              <w:left w:w="15" w:type="dxa"/>
              <w:bottom w:w="15" w:type="dxa"/>
              <w:right w:w="15" w:type="dxa"/>
            </w:tcMar>
            <w:vAlign w:val="center"/>
          </w:tcPr>
          <w:p w14:paraId="4CCB13EA">
            <w:pPr>
              <w:adjustRightInd w:val="0"/>
              <w:snapToGrid w:val="0"/>
              <w:jc w:val="center"/>
              <w:rPr>
                <w:rFonts w:eastAsia="宋体"/>
                <w:color w:val="auto"/>
              </w:rPr>
            </w:pPr>
            <w:r>
              <w:rPr>
                <w:rFonts w:hint="eastAsia" w:eastAsia="宋体"/>
                <w:color w:val="auto"/>
              </w:rPr>
              <w:t>1</w:t>
            </w:r>
          </w:p>
        </w:tc>
        <w:tc>
          <w:tcPr>
            <w:tcW w:w="1104" w:type="pct"/>
            <w:tcBorders>
              <w:tl2br w:val="nil"/>
              <w:tr2bl w:val="nil"/>
            </w:tcBorders>
            <w:tcMar>
              <w:top w:w="15" w:type="dxa"/>
              <w:left w:w="15" w:type="dxa"/>
              <w:bottom w:w="15" w:type="dxa"/>
              <w:right w:w="15" w:type="dxa"/>
            </w:tcMar>
            <w:vAlign w:val="center"/>
          </w:tcPr>
          <w:p w14:paraId="1AB4DE29">
            <w:pPr>
              <w:adjustRightInd w:val="0"/>
              <w:snapToGrid w:val="0"/>
              <w:jc w:val="center"/>
              <w:rPr>
                <w:rFonts w:hint="eastAsia" w:ascii="宋体" w:hAnsi="宋体" w:cs="宋体" w:eastAsiaTheme="minorEastAsia"/>
                <w:color w:val="auto"/>
                <w:lang w:eastAsia="zh-CN"/>
              </w:rPr>
            </w:pPr>
            <w:r>
              <w:rPr>
                <w:rFonts w:hint="eastAsia"/>
                <w:color w:val="auto"/>
                <w:sz w:val="24"/>
                <w:szCs w:val="24"/>
                <w:lang w:val="en-US" w:eastAsia="zh-CN"/>
              </w:rPr>
              <w:t>ENT202610-002</w:t>
            </w:r>
          </w:p>
        </w:tc>
        <w:tc>
          <w:tcPr>
            <w:tcW w:w="1208" w:type="pct"/>
            <w:tcMar>
              <w:top w:w="15" w:type="dxa"/>
              <w:left w:w="15" w:type="dxa"/>
              <w:bottom w:w="15" w:type="dxa"/>
              <w:right w:w="15" w:type="dxa"/>
            </w:tcMar>
            <w:vAlign w:val="center"/>
          </w:tcPr>
          <w:p w14:paraId="1FB5D5A2">
            <w:pPr>
              <w:adjustRightInd w:val="0"/>
              <w:snapToGrid w:val="0"/>
              <w:jc w:val="center"/>
              <w:rPr>
                <w:rFonts w:hint="default" w:ascii="宋体" w:hAnsi="宋体" w:eastAsia="宋体" w:cs="宋体"/>
                <w:color w:val="auto"/>
                <w:lang w:val="en-US" w:eastAsia="zh-CN"/>
              </w:rPr>
            </w:pPr>
            <w:r>
              <w:rPr>
                <w:rFonts w:hint="default" w:ascii="宋体" w:hAnsi="宋体" w:eastAsia="宋体" w:cs="宋体"/>
                <w:color w:val="auto"/>
                <w:lang w:val="en-US" w:eastAsia="zh-CN"/>
              </w:rPr>
              <w:t>动物房显示设备及控制系统配套设备</w:t>
            </w:r>
            <w:r>
              <w:rPr>
                <w:rFonts w:hint="eastAsia" w:ascii="宋体" w:hAnsi="宋体" w:eastAsia="宋体" w:cs="宋体"/>
                <w:color w:val="auto"/>
                <w:lang w:val="en-US" w:eastAsia="zh-CN"/>
              </w:rPr>
              <w:t>（三次招标）</w:t>
            </w:r>
          </w:p>
        </w:tc>
        <w:tc>
          <w:tcPr>
            <w:tcW w:w="258" w:type="pct"/>
            <w:shd w:val="clear" w:color="auto" w:fill="auto"/>
            <w:tcMar>
              <w:top w:w="15" w:type="dxa"/>
              <w:left w:w="15" w:type="dxa"/>
              <w:bottom w:w="15" w:type="dxa"/>
              <w:right w:w="15" w:type="dxa"/>
            </w:tcMar>
            <w:vAlign w:val="center"/>
          </w:tcPr>
          <w:p w14:paraId="0FBEC1C8">
            <w:pPr>
              <w:adjustRightInd w:val="0"/>
              <w:snapToGrid w:val="0"/>
              <w:jc w:val="center"/>
              <w:rPr>
                <w:rFonts w:hint="default" w:eastAsia="宋体"/>
                <w:color w:val="auto"/>
                <w:lang w:val="en-US" w:eastAsia="zh-CN"/>
              </w:rPr>
            </w:pPr>
            <w:r>
              <w:rPr>
                <w:rFonts w:hint="eastAsia" w:eastAsia="宋体"/>
                <w:color w:val="auto"/>
                <w:lang w:val="en-US" w:eastAsia="zh-CN"/>
              </w:rPr>
              <w:t>1</w:t>
            </w:r>
          </w:p>
        </w:tc>
        <w:tc>
          <w:tcPr>
            <w:tcW w:w="358" w:type="pct"/>
            <w:shd w:val="clear" w:color="auto" w:fill="auto"/>
            <w:tcMar>
              <w:top w:w="15" w:type="dxa"/>
              <w:left w:w="15" w:type="dxa"/>
              <w:bottom w:w="15" w:type="dxa"/>
              <w:right w:w="15" w:type="dxa"/>
            </w:tcMar>
            <w:vAlign w:val="center"/>
          </w:tcPr>
          <w:p w14:paraId="1C2BDD39">
            <w:pPr>
              <w:adjustRightInd w:val="0"/>
              <w:snapToGrid w:val="0"/>
              <w:jc w:val="center"/>
              <w:rPr>
                <w:rFonts w:hint="default" w:eastAsia="宋体"/>
                <w:color w:val="auto"/>
                <w:lang w:val="en-US" w:eastAsia="zh-CN"/>
              </w:rPr>
            </w:pPr>
            <w:r>
              <w:rPr>
                <w:rFonts w:hint="eastAsia" w:eastAsia="宋体"/>
                <w:color w:val="auto"/>
                <w:lang w:val="en-US" w:eastAsia="zh-CN"/>
              </w:rPr>
              <w:t>项</w:t>
            </w:r>
          </w:p>
        </w:tc>
        <w:tc>
          <w:tcPr>
            <w:tcW w:w="507" w:type="pct"/>
            <w:tcMar>
              <w:top w:w="15" w:type="dxa"/>
              <w:left w:w="15" w:type="dxa"/>
              <w:bottom w:w="15" w:type="dxa"/>
              <w:right w:w="15" w:type="dxa"/>
            </w:tcMar>
            <w:vAlign w:val="center"/>
          </w:tcPr>
          <w:p w14:paraId="49433591">
            <w:pPr>
              <w:adjustRightInd w:val="0"/>
              <w:snapToGrid w:val="0"/>
              <w:jc w:val="center"/>
              <w:rPr>
                <w:rFonts w:hint="default" w:eastAsia="宋体"/>
                <w:color w:val="auto"/>
                <w:lang w:val="en-US" w:eastAsia="zh-CN"/>
              </w:rPr>
            </w:pPr>
            <w:r>
              <w:rPr>
                <w:rFonts w:hint="eastAsia" w:ascii="宋体" w:hAnsi="宋体" w:eastAsia="宋体" w:cs="宋体"/>
                <w:color w:val="auto"/>
                <w:lang w:val="en-US" w:eastAsia="zh-CN"/>
              </w:rPr>
              <w:t>194150</w:t>
            </w:r>
          </w:p>
        </w:tc>
        <w:tc>
          <w:tcPr>
            <w:tcW w:w="670" w:type="pct"/>
            <w:tcMar>
              <w:top w:w="15" w:type="dxa"/>
              <w:left w:w="15" w:type="dxa"/>
              <w:bottom w:w="15" w:type="dxa"/>
              <w:right w:w="15" w:type="dxa"/>
            </w:tcMar>
            <w:vAlign w:val="center"/>
          </w:tcPr>
          <w:p w14:paraId="6A821220">
            <w:pPr>
              <w:adjustRightInd w:val="0"/>
              <w:snapToGrid w:val="0"/>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194150</w:t>
            </w:r>
          </w:p>
        </w:tc>
        <w:tc>
          <w:tcPr>
            <w:tcW w:w="559" w:type="pct"/>
            <w:tcMar>
              <w:top w:w="15" w:type="dxa"/>
              <w:left w:w="15" w:type="dxa"/>
              <w:bottom w:w="15" w:type="dxa"/>
              <w:right w:w="15" w:type="dxa"/>
            </w:tcMar>
            <w:vAlign w:val="center"/>
          </w:tcPr>
          <w:p w14:paraId="194174EC">
            <w:pPr>
              <w:adjustRightInd w:val="0"/>
              <w:snapToGrid w:val="0"/>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拒绝进口</w:t>
            </w:r>
          </w:p>
        </w:tc>
      </w:tr>
    </w:tbl>
    <w:p w14:paraId="7016BCD6">
      <w:pPr>
        <w:pStyle w:val="15"/>
        <w:shd w:val="clear" w:color="auto" w:fill="FFFFFF"/>
        <w:tabs>
          <w:tab w:val="left" w:pos="426"/>
        </w:tabs>
        <w:adjustRightInd w:val="0"/>
        <w:snapToGrid w:val="0"/>
        <w:spacing w:line="560" w:lineRule="exact"/>
        <w:ind w:firstLine="480" w:firstLineChars="200"/>
        <w:rPr>
          <w:rFonts w:ascii="宋体" w:hAnsi="宋体" w:eastAsia="宋体" w:cs="宋体"/>
          <w:bCs/>
          <w:color w:val="333333"/>
          <w:u w:val="single"/>
          <w:shd w:val="clear" w:color="auto" w:fill="FFFFFF"/>
        </w:rPr>
      </w:pPr>
      <w:r>
        <w:rPr>
          <w:rFonts w:hint="eastAsia" w:ascii="宋体" w:hAnsi="宋体" w:eastAsia="宋体" w:cs="宋体"/>
          <w:bCs/>
          <w:color w:val="333333"/>
          <w:shd w:val="clear" w:color="auto" w:fill="FFFFFF"/>
        </w:rPr>
        <w:t>核心产品</w:t>
      </w:r>
      <w:r>
        <w:rPr>
          <w:rFonts w:hint="eastAsia" w:ascii="宋体" w:hAnsi="宋体" w:eastAsia="宋体" w:cs="宋体"/>
          <w:bCs/>
          <w:color w:val="auto"/>
          <w:shd w:val="clear" w:color="auto" w:fill="FFFFFF"/>
        </w:rPr>
        <w:t>：</w:t>
      </w:r>
      <w:r>
        <w:rPr>
          <w:rFonts w:hint="eastAsia" w:ascii="宋体" w:hAnsi="宋体" w:eastAsia="宋体" w:cs="宋体"/>
          <w:bCs/>
          <w:color w:val="auto"/>
          <w:u w:val="none"/>
          <w:shd w:val="clear" w:color="auto" w:fill="FFFFFF"/>
        </w:rPr>
        <w:t xml:space="preserve"> </w:t>
      </w:r>
      <w:r>
        <w:rPr>
          <w:rFonts w:hint="eastAsia" w:ascii="宋体" w:hAnsi="宋体" w:eastAsia="宋体" w:cs="宋体"/>
          <w:bCs/>
          <w:color w:val="auto"/>
          <w:u w:val="none"/>
          <w:shd w:val="clear" w:color="auto" w:fill="FFFFFF"/>
          <w:lang w:val="en-US" w:eastAsia="zh-CN"/>
        </w:rPr>
        <w:t>CPU</w:t>
      </w:r>
      <w:r>
        <w:rPr>
          <w:rFonts w:hint="eastAsia" w:ascii="宋体" w:hAnsi="宋体" w:eastAsia="宋体" w:cs="宋体"/>
          <w:b w:val="0"/>
          <w:bCs/>
          <w:color w:val="auto"/>
          <w:sz w:val="24"/>
          <w:shd w:val="clear" w:color="auto" w:fill="FFFFFF"/>
        </w:rPr>
        <w:t>控制器</w:t>
      </w:r>
      <w:r>
        <w:rPr>
          <w:rFonts w:hint="eastAsia" w:ascii="宋体" w:hAnsi="宋体" w:eastAsia="宋体" w:cs="宋体"/>
          <w:bCs/>
          <w:color w:val="auto"/>
          <w:u w:val="none"/>
          <w:shd w:val="clear" w:color="auto" w:fill="FFFFFF"/>
        </w:rPr>
        <w:t xml:space="preserve"> </w:t>
      </w:r>
    </w:p>
    <w:p w14:paraId="38515520">
      <w:pPr>
        <w:pStyle w:val="15"/>
        <w:shd w:val="clear" w:color="auto" w:fill="FFFFFF"/>
        <w:tabs>
          <w:tab w:val="left" w:pos="426"/>
        </w:tabs>
        <w:adjustRightInd w:val="0"/>
        <w:snapToGrid w:val="0"/>
        <w:spacing w:line="560" w:lineRule="exac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二、供应商（参与人）资格要求：</w:t>
      </w:r>
    </w:p>
    <w:p w14:paraId="2ADA956E">
      <w:pPr>
        <w:spacing w:line="560" w:lineRule="exact"/>
        <w:ind w:firstLine="480" w:firstLineChars="200"/>
        <w:rPr>
          <w:rFonts w:asciiTheme="minorEastAsia" w:hAnsiTheme="minorEastAsia" w:cstheme="minorEastAsia"/>
          <w:bCs/>
        </w:rPr>
      </w:pPr>
      <w:r>
        <w:rPr>
          <w:rFonts w:hint="eastAsia" w:asciiTheme="minorEastAsia" w:hAnsiTheme="minorEastAsia" w:cstheme="minorEastAsia"/>
          <w:bCs/>
        </w:rPr>
        <w:t>1、供应商须是在中华人民共和国境内经注册独立法人单位，具有独立法人资格或者具有独立承担民事责任的能力的其他组织（提供营业执照或事业单位法人证等法人证明扫描件，原件备查）。【</w:t>
      </w:r>
      <w:r>
        <w:rPr>
          <w:rFonts w:hint="eastAsia" w:ascii="宋体" w:hAnsi="宋体" w:cs="宋体"/>
        </w:rPr>
        <w:t>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r>
        <w:rPr>
          <w:rFonts w:hint="eastAsia" w:ascii="宋体" w:hAnsi="宋体"/>
          <w:bCs/>
          <w:szCs w:val="21"/>
        </w:rPr>
        <w:t>】。</w:t>
      </w:r>
    </w:p>
    <w:p w14:paraId="3CB9B61B">
      <w:pPr>
        <w:shd w:val="clear" w:color="auto" w:fill="FFFFFF"/>
        <w:tabs>
          <w:tab w:val="left" w:pos="426"/>
        </w:tabs>
        <w:adjustRightInd w:val="0"/>
        <w:snapToGrid w:val="0"/>
        <w:spacing w:line="460" w:lineRule="atLeast"/>
        <w:ind w:firstLine="480"/>
      </w:pPr>
      <w:r>
        <w:rPr>
          <w:rFonts w:hint="eastAsia" w:ascii="宋体" w:hAnsi="宋体" w:eastAsia="宋体" w:cs="宋体"/>
          <w:bCs/>
          <w:color w:val="333333"/>
          <w:shd w:val="clear" w:color="auto" w:fill="FFFFFF"/>
        </w:rPr>
        <w:t>2、</w:t>
      </w:r>
      <w:r>
        <w:rPr>
          <w:rFonts w:hint="eastAsia" w:ascii="宋体" w:hAnsi="宋体" w:cs="宋体"/>
          <w:color w:val="FF0000"/>
          <w:kern w:val="0"/>
          <w:szCs w:val="21"/>
        </w:rPr>
        <w:t>本项目不接受联合体投标</w:t>
      </w:r>
      <w:r>
        <w:rPr>
          <w:rFonts w:hint="eastAsia" w:ascii="宋体" w:hAnsi="宋体" w:cs="宋体"/>
          <w:color w:val="FF0000"/>
          <w:kern w:val="0"/>
          <w:szCs w:val="21"/>
          <w:lang w:val="en-US" w:eastAsia="zh-CN"/>
        </w:rPr>
        <w:t>，不允许分包，是否允许</w:t>
      </w:r>
      <w:r>
        <w:rPr>
          <w:rFonts w:hint="eastAsia" w:ascii="宋体" w:hAnsi="宋体" w:cs="宋体"/>
          <w:color w:val="FF0000"/>
          <w:kern w:val="0"/>
          <w:szCs w:val="21"/>
        </w:rPr>
        <w:t>投标人选用进口产品参与投标</w:t>
      </w:r>
      <w:r>
        <w:rPr>
          <w:rFonts w:hint="eastAsia" w:ascii="宋体" w:hAnsi="宋体" w:cs="宋体"/>
          <w:color w:val="FF0000"/>
          <w:kern w:val="0"/>
          <w:szCs w:val="21"/>
          <w:lang w:val="en-US" w:eastAsia="zh-CN"/>
        </w:rPr>
        <w:t>以</w:t>
      </w:r>
      <w:r>
        <w:rPr>
          <w:rFonts w:hint="eastAsia" w:ascii="宋体" w:hAnsi="宋体" w:cs="宋体"/>
          <w:color w:val="FF0000"/>
          <w:kern w:val="0"/>
          <w:szCs w:val="21"/>
        </w:rPr>
        <w:t>招标文件</w:t>
      </w:r>
      <w:r>
        <w:rPr>
          <w:rFonts w:hint="eastAsia" w:ascii="宋体" w:hAnsi="宋体" w:cs="宋体"/>
          <w:color w:val="FF0000"/>
          <w:kern w:val="0"/>
          <w:szCs w:val="21"/>
          <w:lang w:eastAsia="zh-CN"/>
        </w:rPr>
        <w:t>“</w:t>
      </w:r>
      <w:r>
        <w:rPr>
          <w:rFonts w:hint="eastAsia" w:ascii="宋体" w:hAnsi="宋体" w:cs="宋体"/>
          <w:color w:val="FF0000"/>
          <w:kern w:val="0"/>
          <w:szCs w:val="21"/>
          <w:lang w:val="en-US" w:eastAsia="zh-CN"/>
        </w:rPr>
        <w:t>第三章 用户需求书</w:t>
      </w:r>
      <w:r>
        <w:rPr>
          <w:rFonts w:hint="eastAsia" w:ascii="宋体" w:hAnsi="宋体" w:cs="宋体"/>
          <w:color w:val="FF0000"/>
          <w:kern w:val="0"/>
          <w:szCs w:val="21"/>
        </w:rPr>
        <w:t>”</w:t>
      </w:r>
      <w:r>
        <w:rPr>
          <w:rFonts w:hint="eastAsia" w:ascii="宋体" w:hAnsi="宋体" w:cs="宋体"/>
          <w:color w:val="FF0000"/>
          <w:kern w:val="0"/>
          <w:szCs w:val="21"/>
          <w:lang w:val="en-US" w:eastAsia="zh-CN"/>
        </w:rPr>
        <w:t>为准，</w:t>
      </w:r>
      <w:r>
        <w:rPr>
          <w:rFonts w:hint="eastAsia" w:ascii="宋体" w:hAnsi="宋体" w:cs="宋体"/>
          <w:color w:val="FF0000"/>
          <w:kern w:val="0"/>
          <w:szCs w:val="21"/>
        </w:rPr>
        <w:t>（由供应商在《投标及履约承诺函》中作出声明）</w:t>
      </w:r>
      <w:r>
        <w:rPr>
          <w:rFonts w:hint="eastAsia" w:ascii="宋体" w:hAnsi="宋体" w:cs="宋体"/>
          <w:color w:val="000000" w:themeColor="text1"/>
          <w:kern w:val="0"/>
          <w:szCs w:val="21"/>
          <w14:textFill>
            <w14:solidFill>
              <w14:schemeClr w14:val="tx1"/>
            </w14:solidFill>
          </w14:textFill>
        </w:rPr>
        <w:t>；</w:t>
      </w:r>
    </w:p>
    <w:p w14:paraId="0D505606">
      <w:pPr>
        <w:shd w:val="clear" w:color="auto" w:fill="FFFFFF"/>
        <w:tabs>
          <w:tab w:val="left" w:pos="426"/>
        </w:tabs>
        <w:adjustRightInd w:val="0"/>
        <w:snapToGrid w:val="0"/>
        <w:spacing w:line="460" w:lineRule="atLeas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3、参与本项目投标前三年内，在经营活动中没有重大违法记录（由供应商在《投标及履约承诺函》中作出声明）。</w:t>
      </w:r>
    </w:p>
    <w:p w14:paraId="438B0925">
      <w:pPr>
        <w:pStyle w:val="15"/>
        <w:shd w:val="clear" w:color="auto" w:fill="FFFFFF"/>
        <w:tabs>
          <w:tab w:val="left" w:pos="426"/>
        </w:tabs>
        <w:adjustRightInd w:val="0"/>
        <w:snapToGrid w:val="0"/>
        <w:spacing w:line="560" w:lineRule="exac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4、参与本项目政府采购活动时不存在被有关部门禁止参与政府采购活动且在有效期内的情况（由供应商在《投标及履约承诺函》中作出声明）。</w:t>
      </w:r>
    </w:p>
    <w:p w14:paraId="5C219A28">
      <w:pPr>
        <w:pStyle w:val="15"/>
        <w:shd w:val="clear" w:color="auto" w:fill="FFFFFF"/>
        <w:tabs>
          <w:tab w:val="left" w:pos="426"/>
        </w:tabs>
        <w:adjustRightInd w:val="0"/>
        <w:snapToGrid w:val="0"/>
        <w:spacing w:line="560" w:lineRule="exac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5、投标人未被列入失信被执行人、重大税收违法案件当事人名单及政府采购严重违法失信行为记录名单（由供应商在《投标及履约承诺函》中作出声明）。</w:t>
      </w:r>
    </w:p>
    <w:p w14:paraId="101C73DE">
      <w:pPr>
        <w:pStyle w:val="15"/>
        <w:shd w:val="clear" w:color="auto" w:fill="FFFFFF"/>
        <w:tabs>
          <w:tab w:val="left" w:pos="426"/>
        </w:tabs>
        <w:adjustRightInd w:val="0"/>
        <w:snapToGrid w:val="0"/>
        <w:spacing w:line="560" w:lineRule="exact"/>
        <w:ind w:firstLine="480" w:firstLineChars="200"/>
        <w:rPr>
          <w:rFonts w:ascii="宋体" w:hAnsi="宋体" w:eastAsia="宋体" w:cs="宋体"/>
          <w:bCs/>
          <w:color w:val="333333"/>
          <w:shd w:val="clear" w:color="auto" w:fill="FFFFFF"/>
        </w:rPr>
      </w:pPr>
      <w:r>
        <w:rPr>
          <w:rFonts w:hint="eastAsia" w:ascii="宋体" w:hAnsi="宋体" w:eastAsia="宋体" w:cs="宋体"/>
          <w:bCs/>
          <w:color w:val="333333"/>
          <w:shd w:val="clear" w:color="auto" w:fill="FFFFFF"/>
        </w:rPr>
        <w:t>6、单位负责人为同一人或者存在直接控股、管理关系的不同供应商，不得参加同一包号投标或者未划分包号的同一招标项目投标（由供应商在《投标及履约承诺函》中作出声明）。</w:t>
      </w:r>
    </w:p>
    <w:p w14:paraId="49FA08EB">
      <w:pPr>
        <w:pStyle w:val="15"/>
        <w:shd w:val="clear" w:color="auto" w:fill="FFFFFF"/>
        <w:tabs>
          <w:tab w:val="left" w:pos="426"/>
        </w:tabs>
        <w:adjustRightInd w:val="0"/>
        <w:snapToGrid w:val="0"/>
        <w:spacing w:line="560" w:lineRule="exact"/>
        <w:ind w:firstLine="480" w:firstLineChars="2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7、为采购项目提供整体设计、规范编制或者项目管理、监理、检测等服务的供应商，不得再参加该采购项目的其他采购活动（由供应商在《投标及履约承诺函》中作出声明）。</w:t>
      </w:r>
    </w:p>
    <w:p w14:paraId="65E452F2">
      <w:pPr>
        <w:pStyle w:val="15"/>
        <w:shd w:val="clear" w:color="auto" w:fill="FFFFFF"/>
        <w:tabs>
          <w:tab w:val="left" w:pos="426"/>
        </w:tabs>
        <w:adjustRightInd w:val="0"/>
        <w:snapToGrid w:val="0"/>
        <w:spacing w:line="560" w:lineRule="exact"/>
        <w:ind w:firstLine="480" w:firstLineChars="200"/>
        <w:rPr>
          <w:rFonts w:hint="eastAsia" w:ascii="宋体" w:hAnsi="宋体" w:eastAsia="宋体" w:cs="宋体"/>
          <w:bCs/>
          <w:color w:val="333333"/>
          <w:shd w:val="clear" w:color="auto" w:fill="FFFFFF"/>
          <w:lang w:val="en-US" w:eastAsia="zh-CN"/>
        </w:rPr>
      </w:pPr>
      <w:r>
        <w:rPr>
          <w:rFonts w:hint="eastAsia" w:ascii="宋体" w:hAnsi="宋体" w:eastAsia="宋体" w:cs="宋体"/>
          <w:bCs/>
          <w:color w:val="FF0000"/>
          <w:shd w:val="clear" w:color="auto" w:fill="FFFFFF"/>
          <w:lang w:val="en-US" w:eastAsia="zh-CN"/>
        </w:rPr>
        <w:t>8.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填写《供应商基本情况表》相关信息）</w:t>
      </w:r>
    </w:p>
    <w:p w14:paraId="490DD676">
      <w:pPr>
        <w:pStyle w:val="15"/>
        <w:shd w:val="clear" w:color="auto" w:fill="FFFFFF"/>
        <w:tabs>
          <w:tab w:val="left" w:pos="426"/>
        </w:tabs>
        <w:adjustRightInd w:val="0"/>
        <w:snapToGrid w:val="0"/>
        <w:spacing w:line="560" w:lineRule="exact"/>
        <w:ind w:firstLine="480" w:firstLineChars="200"/>
        <w:rPr>
          <w:rFonts w:hint="eastAsia" w:ascii="宋体" w:hAnsi="宋体" w:eastAsia="宋体" w:cs="宋体"/>
          <w:bCs/>
          <w:color w:val="333333"/>
          <w:highlight w:val="none"/>
          <w:shd w:val="clear" w:color="auto" w:fill="FFFFFF"/>
        </w:rPr>
      </w:pPr>
      <w:r>
        <w:rPr>
          <w:rFonts w:hint="eastAsia" w:ascii="宋体" w:hAnsi="宋体" w:eastAsia="宋体" w:cs="宋体"/>
          <w:bCs/>
          <w:color w:val="333333"/>
          <w:highlight w:val="none"/>
          <w:shd w:val="clear" w:color="auto" w:fill="FFFFFF"/>
          <w:lang w:val="en-US" w:eastAsia="zh-CN"/>
        </w:rPr>
        <w:t>9</w:t>
      </w:r>
      <w:r>
        <w:rPr>
          <w:rFonts w:hint="eastAsia" w:ascii="宋体" w:hAnsi="宋体" w:eastAsia="宋体" w:cs="宋体"/>
          <w:bCs/>
          <w:color w:val="333333"/>
          <w:highlight w:val="none"/>
          <w:shd w:val="clear" w:color="auto" w:fill="FFFFFF"/>
        </w:rPr>
        <w:t>.本项目</w:t>
      </w:r>
      <w:r>
        <w:rPr>
          <w:rFonts w:hint="eastAsia" w:ascii="宋体" w:hAnsi="宋体" w:eastAsia="宋体" w:cs="宋体"/>
          <w:bCs/>
          <w:color w:val="333333"/>
          <w:highlight w:val="none"/>
          <w:shd w:val="clear" w:color="auto" w:fill="FFFFFF"/>
          <w:lang w:val="en-US" w:eastAsia="zh-CN"/>
        </w:rPr>
        <w:t>全部</w:t>
      </w:r>
      <w:r>
        <w:rPr>
          <w:rFonts w:hint="eastAsia" w:ascii="宋体" w:hAnsi="宋体" w:eastAsia="宋体" w:cs="宋体"/>
          <w:bCs/>
          <w:color w:val="333333"/>
          <w:highlight w:val="none"/>
          <w:shd w:val="clear" w:color="auto" w:fill="FFFFFF"/>
        </w:rPr>
        <w:t>专门面向中小企业采购：</w:t>
      </w:r>
      <w:r>
        <w:rPr>
          <w:rFonts w:hint="eastAsia"/>
          <w:spacing w:val="-10"/>
          <w:highlight w:val="none"/>
          <w:lang w:eastAsia="zh-CN"/>
        </w:rPr>
        <w:t>□</w:t>
      </w:r>
      <w:r>
        <w:rPr>
          <w:rFonts w:hint="eastAsia" w:ascii="宋体" w:hAnsi="宋体" w:eastAsia="宋体" w:cs="宋体"/>
          <w:bCs/>
          <w:color w:val="333333"/>
          <w:highlight w:val="none"/>
          <w:shd w:val="clear" w:color="auto" w:fill="FFFFFF"/>
          <w:lang w:val="en-US" w:eastAsia="zh-CN"/>
        </w:rPr>
        <w:t>是</w:t>
      </w:r>
      <w:r>
        <w:rPr>
          <w:rFonts w:hint="eastAsia"/>
          <w:spacing w:val="-10"/>
          <w:highlight w:val="none"/>
          <w:lang w:eastAsia="zh-CN"/>
        </w:rPr>
        <w:t>□☑</w:t>
      </w:r>
      <w:r>
        <w:rPr>
          <w:rFonts w:hint="eastAsia" w:ascii="宋体" w:hAnsi="宋体" w:eastAsia="宋体" w:cs="宋体"/>
          <w:bCs/>
          <w:color w:val="333333"/>
          <w:highlight w:val="none"/>
          <w:shd w:val="clear" w:color="auto" w:fill="FFFFFF"/>
          <w:lang w:val="en-US" w:eastAsia="zh-CN"/>
        </w:rPr>
        <w:t>否</w:t>
      </w:r>
      <w:r>
        <w:rPr>
          <w:rFonts w:hint="eastAsia" w:ascii="宋体" w:hAnsi="宋体" w:eastAsia="宋体" w:cs="宋体"/>
          <w:bCs/>
          <w:color w:val="333333"/>
          <w:highlight w:val="none"/>
          <w:shd w:val="clear" w:color="auto" w:fill="FFFFFF"/>
        </w:rPr>
        <w:t>；</w:t>
      </w:r>
    </w:p>
    <w:p w14:paraId="401AC58A">
      <w:pPr>
        <w:pStyle w:val="15"/>
        <w:shd w:val="clear" w:color="auto" w:fill="FFFFFF"/>
        <w:tabs>
          <w:tab w:val="left" w:pos="426"/>
        </w:tabs>
        <w:adjustRightInd w:val="0"/>
        <w:snapToGrid w:val="0"/>
        <w:spacing w:line="560" w:lineRule="exact"/>
        <w:ind w:firstLine="480" w:firstLineChars="200"/>
        <w:rPr>
          <w:rFonts w:hint="default" w:ascii="宋体" w:hAnsi="宋体" w:eastAsia="宋体" w:cs="宋体"/>
          <w:bCs/>
          <w:color w:val="5B9BD5" w:themeColor="accent1"/>
          <w:highlight w:val="yellow"/>
          <w:shd w:val="clear" w:color="auto" w:fill="FFFFFF"/>
          <w:lang w:val="en-US" w:eastAsia="zh-CN"/>
          <w14:textFill>
            <w14:solidFill>
              <w14:schemeClr w14:val="accent1"/>
            </w14:solidFill>
          </w14:textFill>
        </w:rPr>
      </w:pPr>
      <w:r>
        <w:rPr>
          <w:rFonts w:hint="eastAsia" w:ascii="宋体" w:hAnsi="宋体" w:eastAsia="宋体" w:cs="宋体"/>
          <w:bCs/>
          <w:color w:val="auto"/>
          <w:highlight w:val="none"/>
          <w:shd w:val="clear" w:color="auto" w:fill="FFFFFF"/>
          <w:lang w:val="en-US" w:eastAsia="zh-CN"/>
        </w:rPr>
        <w:t>10.是否有特殊资格条件要求：</w:t>
      </w:r>
      <w:r>
        <w:rPr>
          <w:rFonts w:hint="eastAsia"/>
          <w:color w:val="auto"/>
          <w:spacing w:val="-10"/>
          <w:highlight w:val="none"/>
          <w:lang w:eastAsia="zh-CN"/>
        </w:rPr>
        <w:t>□</w:t>
      </w:r>
      <w:r>
        <w:rPr>
          <w:rFonts w:hint="eastAsia" w:ascii="宋体" w:hAnsi="宋体" w:eastAsia="宋体" w:cs="宋体"/>
          <w:bCs/>
          <w:color w:val="auto"/>
          <w:highlight w:val="none"/>
          <w:shd w:val="clear" w:color="auto" w:fill="FFFFFF"/>
          <w:lang w:val="en-US" w:eastAsia="zh-CN"/>
        </w:rPr>
        <w:t>是</w:t>
      </w:r>
      <w:r>
        <w:rPr>
          <w:rFonts w:hint="eastAsia"/>
          <w:color w:val="auto"/>
          <w:spacing w:val="-10"/>
          <w:highlight w:val="none"/>
          <w:lang w:eastAsia="zh-CN"/>
        </w:rPr>
        <w:t>☑</w:t>
      </w:r>
      <w:r>
        <w:rPr>
          <w:rFonts w:hint="eastAsia" w:ascii="宋体" w:hAnsi="宋体" w:eastAsia="宋体" w:cs="宋体"/>
          <w:bCs/>
          <w:color w:val="auto"/>
          <w:highlight w:val="none"/>
          <w:shd w:val="clear" w:color="auto" w:fill="FFFFFF"/>
          <w:lang w:val="en-US" w:eastAsia="zh-CN"/>
        </w:rPr>
        <w:t>否</w:t>
      </w:r>
    </w:p>
    <w:p w14:paraId="2CBF5DFA">
      <w:pPr>
        <w:ind w:firstLine="482" w:firstLineChars="200"/>
        <w:rPr>
          <w:rFonts w:hint="eastAsia" w:ascii="宋体" w:hAnsi="宋体" w:eastAsia="宋体" w:cs="宋体"/>
          <w:b/>
          <w:bCs/>
          <w:color w:val="FF0000"/>
          <w:kern w:val="0"/>
          <w:sz w:val="24"/>
          <w:szCs w:val="24"/>
          <w:lang w:val="en-US" w:eastAsia="zh-CN" w:bidi="ar"/>
        </w:rPr>
      </w:pPr>
    </w:p>
    <w:p w14:paraId="3C152E2E">
      <w:pPr>
        <w:ind w:firstLine="482" w:firstLineChars="200"/>
        <w:rPr>
          <w:rFonts w:asciiTheme="minorEastAsia" w:hAnsiTheme="minorEastAsia" w:cstheme="minorEastAsia"/>
          <w:bCs/>
        </w:rPr>
      </w:pPr>
      <w:r>
        <w:rPr>
          <w:rFonts w:hint="eastAsia" w:ascii="宋体" w:hAnsi="宋体" w:eastAsia="宋体" w:cs="宋体"/>
          <w:b/>
          <w:bCs/>
          <w:color w:val="FF0000"/>
          <w:kern w:val="0"/>
          <w:sz w:val="24"/>
          <w:szCs w:val="24"/>
          <w:lang w:val="en-US" w:eastAsia="zh-CN" w:bidi="ar"/>
        </w:rPr>
        <w:t>完整公告内容详见：龙岗政府在线-通知公告（</w:t>
      </w:r>
      <w:r>
        <w:rPr>
          <w:rFonts w:hint="default" w:ascii="Times New Roman" w:hAnsi="Times New Roman" w:eastAsia="宋体" w:cs="Times New Roman"/>
          <w:b/>
          <w:bCs/>
          <w:color w:val="FF0000"/>
          <w:kern w:val="0"/>
          <w:sz w:val="24"/>
          <w:szCs w:val="24"/>
          <w:lang w:val="en-US" w:eastAsia="zh-CN" w:bidi="ar"/>
        </w:rPr>
        <w:t>https://www.lg.gov.cn</w:t>
      </w:r>
      <w:r>
        <w:rPr>
          <w:rFonts w:hint="eastAsia" w:ascii="宋体" w:hAnsi="宋体" w:eastAsia="宋体" w:cs="宋体"/>
          <w:b/>
          <w:bCs/>
          <w:color w:val="FF0000"/>
          <w:kern w:val="0"/>
          <w:sz w:val="24"/>
          <w:szCs w:val="24"/>
          <w:lang w:val="en-US" w:eastAsia="zh-CN" w:bidi="ar"/>
        </w:rPr>
        <w:t>）</w:t>
      </w:r>
      <w:r>
        <w:rPr>
          <w:rFonts w:hint="eastAsia" w:asciiTheme="minorEastAsia" w:hAnsiTheme="minorEastAsia" w:cstheme="minorEastAsia"/>
          <w:bCs/>
        </w:rPr>
        <w:br w:type="page"/>
      </w:r>
    </w:p>
    <w:p w14:paraId="27533DDE">
      <w:pPr>
        <w:spacing w:line="560" w:lineRule="exact"/>
        <w:ind w:firstLine="562" w:firstLineChars="200"/>
        <w:jc w:val="center"/>
        <w:rPr>
          <w:rFonts w:ascii="Cambria" w:hAnsi="Cambria"/>
          <w:b/>
          <w:bCs/>
          <w:kern w:val="28"/>
          <w:sz w:val="28"/>
          <w:szCs w:val="32"/>
        </w:rPr>
      </w:pPr>
      <w:r>
        <w:rPr>
          <w:rFonts w:hint="eastAsia" w:ascii="Cambria" w:hAnsi="Cambria"/>
          <w:b/>
          <w:bCs/>
          <w:kern w:val="28"/>
          <w:sz w:val="28"/>
          <w:szCs w:val="32"/>
        </w:rPr>
        <w:t>第二章   投标人须知</w:t>
      </w:r>
    </w:p>
    <w:p w14:paraId="298B87C3">
      <w:pPr>
        <w:pStyle w:val="29"/>
        <w:ind w:firstLine="482" w:firstLineChars="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一、招标简介：</w:t>
      </w:r>
    </w:p>
    <w:p w14:paraId="7E1C4510">
      <w:pPr>
        <w:widowControl w:val="0"/>
        <w:tabs>
          <w:tab w:val="left" w:pos="720"/>
        </w:tabs>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（一）招标单位：深圳市龙岗区耳鼻咽喉医院</w:t>
      </w:r>
    </w:p>
    <w:p w14:paraId="3FD100E8">
      <w:pPr>
        <w:widowControl w:val="0"/>
        <w:tabs>
          <w:tab w:val="left" w:pos="720"/>
        </w:tabs>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（二）地    址：深圳市龙岗区龙城街道黄阁路186号</w:t>
      </w:r>
    </w:p>
    <w:p w14:paraId="7F6D3CF9">
      <w:pPr>
        <w:spacing w:line="560" w:lineRule="exact"/>
        <w:ind w:firstLine="480" w:firstLineChars="200"/>
        <w:jc w:val="both"/>
      </w:pPr>
      <w:r>
        <w:rPr>
          <w:rFonts w:hint="eastAsia" w:asciiTheme="minorEastAsia" w:hAnsiTheme="minorEastAsia" w:cstheme="minorEastAsia"/>
          <w:highlight w:val="yellow"/>
        </w:rPr>
        <w:t>（三）资金来源：</w:t>
      </w:r>
      <w:r>
        <w:rPr>
          <w:rFonts w:hint="eastAsia"/>
          <w:spacing w:val="-10"/>
          <w:highlight w:val="yellow"/>
          <w:lang w:eastAsia="zh-CN"/>
        </w:rPr>
        <w:t>□</w:t>
      </w:r>
      <w:r>
        <w:rPr>
          <w:rFonts w:hint="eastAsia" w:asciiTheme="minorEastAsia" w:hAnsiTheme="minorEastAsia" w:cstheme="minorEastAsia"/>
          <w:highlight w:val="yellow"/>
        </w:rPr>
        <w:t xml:space="preserve">财政资金 </w:t>
      </w:r>
      <w:r>
        <w:rPr>
          <w:rFonts w:hint="eastAsia"/>
          <w:spacing w:val="-10"/>
          <w:highlight w:val="yellow"/>
          <w:lang w:eastAsia="zh-CN"/>
        </w:rPr>
        <w:t>☑</w:t>
      </w:r>
      <w:r>
        <w:rPr>
          <w:rFonts w:hint="eastAsia" w:asciiTheme="minorEastAsia" w:hAnsiTheme="minorEastAsia" w:cstheme="minorEastAsia"/>
          <w:highlight w:val="yellow"/>
        </w:rPr>
        <w:t>自筹资金</w:t>
      </w:r>
    </w:p>
    <w:p w14:paraId="57CB3128">
      <w:pPr>
        <w:spacing w:line="560" w:lineRule="exact"/>
        <w:ind w:firstLine="482" w:firstLineChars="200"/>
        <w:jc w:val="both"/>
        <w:rPr>
          <w:rFonts w:asciiTheme="minorEastAsia" w:hAnsiTheme="minorEastAsia" w:cstheme="minorEastAsia"/>
          <w:b/>
        </w:rPr>
      </w:pPr>
      <w:r>
        <w:rPr>
          <w:rFonts w:hint="eastAsia" w:asciiTheme="minorEastAsia" w:hAnsiTheme="minorEastAsia" w:cstheme="minorEastAsia"/>
          <w:b/>
        </w:rPr>
        <w:t>二、采购方式：</w:t>
      </w:r>
    </w:p>
    <w:p w14:paraId="1B90D362">
      <w:pPr>
        <w:spacing w:line="560" w:lineRule="exact"/>
        <w:ind w:firstLine="480" w:firstLineChars="200"/>
        <w:jc w:val="both"/>
        <w:rPr>
          <w:rFonts w:ascii="宋体" w:hAnsi="宋体"/>
        </w:rPr>
      </w:pPr>
      <w:r>
        <w:rPr>
          <w:rFonts w:hint="eastAsia" w:ascii="宋体" w:hAnsi="宋体"/>
        </w:rPr>
        <w:t>深圳市龙岗区耳鼻咽喉医院院内公开招标。</w:t>
      </w:r>
    </w:p>
    <w:p w14:paraId="49C00A16">
      <w:pPr>
        <w:spacing w:line="560" w:lineRule="exact"/>
        <w:ind w:firstLine="482" w:firstLineChars="200"/>
        <w:jc w:val="both"/>
        <w:rPr>
          <w:rFonts w:asciiTheme="minorEastAsia" w:hAnsiTheme="minorEastAsia" w:cstheme="minorEastAsia"/>
          <w:b/>
        </w:rPr>
      </w:pPr>
      <w:r>
        <w:rPr>
          <w:rFonts w:hint="eastAsia" w:asciiTheme="minorEastAsia" w:hAnsiTheme="minorEastAsia" w:cstheme="minorEastAsia"/>
          <w:b/>
        </w:rPr>
        <w:t>三、投标人应满足及同意如下条款：</w:t>
      </w:r>
    </w:p>
    <w:p w14:paraId="08DDA320">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（一）同意按招标文件的要求提供完整投标资料，不在</w:t>
      </w:r>
      <w:r>
        <w:rPr>
          <w:rFonts w:hint="eastAsia" w:asciiTheme="minorEastAsia" w:hAnsiTheme="minorEastAsia" w:cstheme="minorEastAsia"/>
          <w:bCs/>
          <w:kern w:val="44"/>
        </w:rPr>
        <w:t>投标文件的行间插字、涂改或增删。</w:t>
      </w:r>
    </w:p>
    <w:p w14:paraId="594B4348">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（二）同意承担因中标后违反招标文件要求而直接影响招标单位的工作正常运转，甚至造成不良后果的全部责任。</w:t>
      </w:r>
    </w:p>
    <w:p w14:paraId="0880043C">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（三）同意招标单位的招标项目需求。</w:t>
      </w:r>
    </w:p>
    <w:p w14:paraId="39A8D6FC">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（四）保证在投标报价时按实际情况报价，并保证按质按量完成交付成果。</w:t>
      </w:r>
    </w:p>
    <w:p w14:paraId="5C10FD54">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（五）同意承担因用极端低价进行恶意竞争而造成的各种不良后果的全部责任。</w:t>
      </w:r>
    </w:p>
    <w:p w14:paraId="3A6583F2">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（六）同意中标后，如在履行合同过程中不能按本招标文件的要求和服务满足招标方，同意招标方单方中止合同。</w:t>
      </w:r>
    </w:p>
    <w:p w14:paraId="18A2273D">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（七）在中标人被终止合同后，候选中标人如接到招标方通知要求时，应按照投标文件的要求提供服务启动签合同程序。</w:t>
      </w:r>
    </w:p>
    <w:p w14:paraId="0376C968">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（八）同意在接到中标通知书之日起10个工作日内到招标单位签订合同。</w:t>
      </w:r>
    </w:p>
    <w:p w14:paraId="6AB3E5BC">
      <w:pPr>
        <w:spacing w:line="560" w:lineRule="exact"/>
        <w:ind w:firstLine="482" w:firstLineChars="200"/>
        <w:rPr>
          <w:rFonts w:asciiTheme="minorEastAsia" w:hAnsiTheme="minorEastAsia" w:cstheme="minorEastAsia"/>
        </w:rPr>
      </w:pPr>
      <w:r>
        <w:rPr>
          <w:rFonts w:hint="eastAsia" w:asciiTheme="minorEastAsia" w:hAnsiTheme="minorEastAsia" w:cstheme="minorEastAsia"/>
          <w:b/>
        </w:rPr>
        <w:t>四、中标结果公示：</w:t>
      </w:r>
      <w:r>
        <w:rPr>
          <w:rFonts w:hint="eastAsia" w:asciiTheme="minorEastAsia" w:hAnsiTheme="minorEastAsia" w:cstheme="minorEastAsia"/>
        </w:rPr>
        <w:t>中标结果将在龙岗区政府在线网公示3</w:t>
      </w:r>
      <w:r>
        <w:rPr>
          <w:rFonts w:hint="eastAsia" w:asciiTheme="minorEastAsia" w:hAnsiTheme="minorEastAsia" w:cstheme="minorEastAsia"/>
          <w:lang w:val="en-US" w:eastAsia="zh-CN"/>
        </w:rPr>
        <w:t>个自然日</w:t>
      </w:r>
      <w:r>
        <w:rPr>
          <w:rFonts w:hint="eastAsia" w:asciiTheme="minorEastAsia" w:hAnsiTheme="minorEastAsia" w:cstheme="minorEastAsia"/>
        </w:rPr>
        <w:t>，如无质疑，医院将与中标单位签订合同，未入围的单位不再另行通知。</w:t>
      </w:r>
    </w:p>
    <w:p w14:paraId="43BC8DBE">
      <w:pPr>
        <w:spacing w:line="560" w:lineRule="exact"/>
        <w:ind w:firstLine="482" w:firstLineChars="200"/>
        <w:jc w:val="both"/>
        <w:rPr>
          <w:rFonts w:asciiTheme="minorEastAsia" w:hAnsiTheme="minorEastAsia" w:cstheme="minorEastAsia"/>
          <w:b/>
        </w:rPr>
      </w:pPr>
      <w:r>
        <w:rPr>
          <w:rFonts w:hint="eastAsia" w:asciiTheme="minorEastAsia" w:hAnsiTheme="minorEastAsia" w:cstheme="minorEastAsia"/>
          <w:b/>
        </w:rPr>
        <w:t>五、定标原则：</w:t>
      </w:r>
    </w:p>
    <w:p w14:paraId="6DDCE218">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（一）遵循公开、公平、公正的原则；</w:t>
      </w:r>
    </w:p>
    <w:p w14:paraId="3A539812">
      <w:pPr>
        <w:tabs>
          <w:tab w:val="left" w:pos="7200"/>
        </w:tabs>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（二）坚持质量优先、服务至上的原则。</w:t>
      </w:r>
    </w:p>
    <w:p w14:paraId="71413215">
      <w:pPr>
        <w:tabs>
          <w:tab w:val="left" w:pos="7200"/>
        </w:tabs>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（三）</w:t>
      </w:r>
      <w:r>
        <w:rPr>
          <w:rFonts w:hint="eastAsia" w:asciiTheme="minorEastAsia" w:hAnsiTheme="minorEastAsia" w:cstheme="minorEastAsia"/>
          <w:spacing w:val="6"/>
          <w:kern w:val="11"/>
        </w:rPr>
        <w:t>开标评审（定标）</w:t>
      </w:r>
      <w:r>
        <w:rPr>
          <w:rFonts w:hint="eastAsia" w:asciiTheme="minorEastAsia" w:hAnsiTheme="minorEastAsia" w:cstheme="minorEastAsia"/>
        </w:rPr>
        <w:t>：招标人当众拆封，宣读投标人名称、投标价格以及投标文件中的其他主要内容，并进行审查。</w:t>
      </w:r>
    </w:p>
    <w:p w14:paraId="11FDAA1A">
      <w:pPr>
        <w:spacing w:line="560" w:lineRule="exact"/>
        <w:ind w:firstLine="480" w:firstLineChars="200"/>
        <w:jc w:val="both"/>
        <w:rPr>
          <w:rFonts w:asciiTheme="minorEastAsia" w:hAnsiTheme="minorEastAsia" w:cstheme="minorEastAsia"/>
        </w:rPr>
      </w:pPr>
      <w:r>
        <w:rPr>
          <w:rFonts w:hint="eastAsia" w:asciiTheme="minorEastAsia" w:hAnsiTheme="minorEastAsia" w:cstheme="minorEastAsia"/>
        </w:rPr>
        <w:t>（四）医院纪审部门全程有效监督。</w:t>
      </w:r>
    </w:p>
    <w:p w14:paraId="06839B78">
      <w:pPr>
        <w:shd w:val="clear" w:color="auto" w:fill="FFFFFF"/>
        <w:spacing w:line="560" w:lineRule="exact"/>
        <w:ind w:firstLine="482" w:firstLineChars="200"/>
        <w:rPr>
          <w:rFonts w:ascii="仿宋" w:hAnsi="仿宋" w:eastAsia="仿宋" w:cs="仿宋"/>
          <w:b/>
          <w:bCs/>
          <w:color w:val="000000"/>
        </w:rPr>
      </w:pPr>
      <w:r>
        <w:rPr>
          <w:rFonts w:hint="eastAsia" w:asciiTheme="minorEastAsia" w:hAnsiTheme="minorEastAsia" w:cstheme="minorEastAsia"/>
          <w:b/>
        </w:rPr>
        <w:t>六、评标方法</w:t>
      </w:r>
    </w:p>
    <w:p w14:paraId="2DA1CA1C">
      <w:pPr>
        <w:spacing w:line="560" w:lineRule="exact"/>
        <w:ind w:firstLine="480" w:firstLineChars="200"/>
      </w:pPr>
      <w:r>
        <w:rPr>
          <w:rFonts w:hint="eastAsia" w:asciiTheme="minorEastAsia" w:hAnsiTheme="minorEastAsia" w:cstheme="minorEastAsia"/>
        </w:rPr>
        <w:t>本次采用综合评标法，最高分为中标单位，并经龙岗区耳鼻咽喉医院评标小组审核确定中标单位。</w:t>
      </w:r>
    </w:p>
    <w:p w14:paraId="77176D98">
      <w:pPr>
        <w:spacing w:line="360" w:lineRule="auto"/>
        <w:ind w:firstLine="472" w:firstLineChars="196"/>
        <w:rPr>
          <w:rFonts w:hint="eastAsia" w:asciiTheme="minorEastAsia" w:hAnsiTheme="minorEastAsia" w:eastAsiaTheme="minorEastAsia" w:cstheme="minorEastAsia"/>
          <w:color w:val="FF0000"/>
          <w:kern w:val="0"/>
          <w:sz w:val="22"/>
          <w:szCs w:val="22"/>
        </w:rPr>
      </w:pPr>
      <w:r>
        <w:rPr>
          <w:rFonts w:hint="eastAsia" w:asciiTheme="minorEastAsia" w:hAnsiTheme="minorEastAsia" w:cstheme="minorEastAsia"/>
          <w:b/>
          <w:lang w:val="en-US" w:eastAsia="zh-CN"/>
        </w:rPr>
        <w:t>七、</w:t>
      </w:r>
      <w:r>
        <w:rPr>
          <w:rFonts w:hint="eastAsia" w:asciiTheme="minorEastAsia" w:hAnsiTheme="minorEastAsia" w:cstheme="minorEastAsia"/>
          <w:b/>
        </w:rPr>
        <w:t>关于供应商家数的计算:</w:t>
      </w:r>
    </w:p>
    <w:p w14:paraId="417E6174">
      <w:pPr>
        <w:pageBreakBefore w:val="0"/>
        <w:kinsoku/>
        <w:wordWrap/>
        <w:overflowPunct/>
        <w:topLinePunct w:val="0"/>
        <w:autoSpaceDE/>
        <w:autoSpaceDN/>
        <w:bidi w:val="0"/>
        <w:snapToGrid/>
        <w:spacing w:line="360" w:lineRule="auto"/>
        <w:ind w:firstLine="440" w:firstLineChars="200"/>
        <w:rPr>
          <w:rFonts w:hint="eastAsia" w:asciiTheme="minorEastAsia" w:hAnsiTheme="minorEastAsia" w:eastAsiaTheme="minorEastAsia" w:cstheme="minorEastAsia"/>
          <w:color w:val="auto"/>
          <w:kern w:val="0"/>
          <w:sz w:val="22"/>
          <w:szCs w:val="22"/>
        </w:rPr>
      </w:pPr>
      <w:r>
        <w:rPr>
          <w:rFonts w:hint="eastAsia" w:asciiTheme="minorEastAsia" w:hAnsiTheme="minorEastAsia" w:eastAsiaTheme="minorEastAsia" w:cstheme="minorEastAsia"/>
          <w:color w:val="auto"/>
          <w:kern w:val="0"/>
          <w:sz w:val="22"/>
          <w:szCs w:val="22"/>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审委员会按照招标文件规定的方式确定一个投标人获得中标人推荐资格，招标文件未规定的采取随机抽取方式确定，其他同品牌投标人不作为中标候选人。</w:t>
      </w:r>
    </w:p>
    <w:p w14:paraId="0F6038FC">
      <w:pPr>
        <w:pStyle w:val="39"/>
        <w:pageBreakBefore w:val="0"/>
        <w:kinsoku/>
        <w:wordWrap/>
        <w:overflowPunct/>
        <w:topLinePunct w:val="0"/>
        <w:autoSpaceDE/>
        <w:autoSpaceDN/>
        <w:bidi w:val="0"/>
        <w:snapToGrid/>
        <w:spacing w:line="360" w:lineRule="auto"/>
        <w:ind w:firstLine="440" w:firstLineChars="200"/>
        <w:rPr>
          <w:rFonts w:hint="eastAsia" w:asciiTheme="minorEastAsia" w:hAnsiTheme="minorEastAsia" w:eastAsiaTheme="minorEastAsia" w:cstheme="minorEastAsia"/>
          <w:color w:val="FF0000"/>
          <w:kern w:val="0"/>
          <w:sz w:val="22"/>
          <w:szCs w:val="22"/>
        </w:rPr>
      </w:pPr>
      <w:r>
        <w:rPr>
          <w:rFonts w:hint="eastAsia" w:asciiTheme="minorEastAsia" w:hAnsiTheme="minorEastAsia" w:eastAsiaTheme="minorEastAsia" w:cstheme="minorEastAsia"/>
          <w:color w:val="auto"/>
          <w:kern w:val="0"/>
          <w:sz w:val="22"/>
          <w:szCs w:val="22"/>
          <w:lang w:val="en-US" w:eastAsia="zh-CN"/>
        </w:rPr>
        <w:t>非单一产品采购项目，采购人应当根据采购项目技术构成、产品价格比重等合理确定核心产品，并在招标文件中载明。多家投标人提供的核心产品品牌相同的，按前述规定处理。</w:t>
      </w:r>
    </w:p>
    <w:p w14:paraId="7E48C590">
      <w:pPr>
        <w:pageBreakBefore w:val="0"/>
        <w:kinsoku/>
        <w:wordWrap/>
        <w:overflowPunct/>
        <w:topLinePunct w:val="0"/>
        <w:autoSpaceDE/>
        <w:autoSpaceDN/>
        <w:bidi w:val="0"/>
        <w:snapToGrid/>
        <w:spacing w:line="360" w:lineRule="auto"/>
        <w:ind w:firstLine="482" w:firstLineChars="200"/>
        <w:jc w:val="both"/>
        <w:rPr>
          <w:rFonts w:hint="eastAsia" w:asciiTheme="minorEastAsia" w:hAnsiTheme="minorEastAsia" w:cstheme="minorEastAsia"/>
          <w:bCs/>
          <w:kern w:val="44"/>
          <w:sz w:val="24"/>
          <w:szCs w:val="24"/>
        </w:rPr>
      </w:pPr>
      <w:r>
        <w:rPr>
          <w:rFonts w:hint="eastAsia" w:asciiTheme="minorEastAsia" w:hAnsiTheme="minorEastAsia" w:cstheme="minorEastAsia"/>
          <w:b/>
          <w:bCs/>
          <w:sz w:val="24"/>
          <w:szCs w:val="24"/>
          <w:lang w:val="en-US" w:eastAsia="zh-CN"/>
        </w:rPr>
        <w:t>八</w:t>
      </w:r>
      <w:r>
        <w:rPr>
          <w:rFonts w:hint="eastAsia" w:asciiTheme="minorEastAsia" w:hAnsiTheme="minorEastAsia" w:cstheme="minorEastAsia"/>
          <w:b/>
          <w:bCs/>
          <w:sz w:val="24"/>
          <w:szCs w:val="24"/>
        </w:rPr>
        <w:t>、</w:t>
      </w:r>
      <w:r>
        <w:rPr>
          <w:rFonts w:hint="eastAsia" w:asciiTheme="minorEastAsia" w:hAnsiTheme="minorEastAsia" w:cstheme="minorEastAsia"/>
          <w:b/>
          <w:sz w:val="24"/>
          <w:szCs w:val="24"/>
        </w:rPr>
        <w:t>投标人投标文件作无效处理的情形，具体包括但不限于以下：</w:t>
      </w:r>
    </w:p>
    <w:p w14:paraId="3AEBD3ED">
      <w:pPr>
        <w:pageBreakBefore w:val="0"/>
        <w:kinsoku/>
        <w:wordWrap/>
        <w:overflowPunct/>
        <w:topLinePunct w:val="0"/>
        <w:autoSpaceDE/>
        <w:autoSpaceDN/>
        <w:bidi w:val="0"/>
        <w:snapToGrid/>
        <w:spacing w:line="360" w:lineRule="auto"/>
        <w:ind w:firstLine="431" w:firstLineChars="196"/>
        <w:rPr>
          <w:sz w:val="22"/>
          <w:szCs w:val="22"/>
        </w:rPr>
      </w:pPr>
      <w:r>
        <w:rPr>
          <w:rFonts w:hint="eastAsia" w:ascii="宋体" w:hAnsi="宋体"/>
          <w:sz w:val="22"/>
          <w:szCs w:val="22"/>
          <w:lang w:eastAsia="zh-CN"/>
        </w:rPr>
        <w:t>（</w:t>
      </w:r>
      <w:r>
        <w:rPr>
          <w:rFonts w:hint="eastAsia" w:ascii="宋体" w:hAnsi="宋体"/>
          <w:sz w:val="22"/>
          <w:szCs w:val="22"/>
          <w:lang w:val="en-US" w:eastAsia="zh-CN"/>
        </w:rPr>
        <w:t>一</w:t>
      </w:r>
      <w:r>
        <w:rPr>
          <w:rFonts w:hint="eastAsia" w:ascii="宋体" w:hAnsi="宋体"/>
          <w:sz w:val="22"/>
          <w:szCs w:val="22"/>
          <w:lang w:eastAsia="zh-CN"/>
        </w:rPr>
        <w:t>）</w:t>
      </w:r>
      <w:r>
        <w:rPr>
          <w:rFonts w:hint="eastAsia"/>
          <w:sz w:val="22"/>
          <w:szCs w:val="22"/>
        </w:rPr>
        <w:t>不同投标人的投标文件由同一单位或者同一个人编制，或者由同一个人分阶段参与编制；</w:t>
      </w:r>
    </w:p>
    <w:p w14:paraId="07733FA0">
      <w:pPr>
        <w:pageBreakBefore w:val="0"/>
        <w:kinsoku/>
        <w:wordWrap/>
        <w:overflowPunct/>
        <w:topLinePunct w:val="0"/>
        <w:autoSpaceDE/>
        <w:autoSpaceDN/>
        <w:bidi w:val="0"/>
        <w:snapToGrid/>
        <w:spacing w:line="360" w:lineRule="auto"/>
        <w:ind w:firstLine="431" w:firstLineChars="196"/>
        <w:rPr>
          <w:sz w:val="22"/>
          <w:szCs w:val="22"/>
        </w:rPr>
      </w:pPr>
      <w:r>
        <w:rPr>
          <w:rFonts w:hint="eastAsia" w:ascii="宋体" w:hAnsi="宋体"/>
          <w:sz w:val="22"/>
          <w:szCs w:val="22"/>
          <w:lang w:eastAsia="zh-CN"/>
        </w:rPr>
        <w:t>（</w:t>
      </w:r>
      <w:r>
        <w:rPr>
          <w:rFonts w:hint="eastAsia" w:ascii="宋体" w:hAnsi="宋体"/>
          <w:sz w:val="22"/>
          <w:szCs w:val="22"/>
          <w:lang w:val="en-US" w:eastAsia="zh-CN"/>
        </w:rPr>
        <w:t>二</w:t>
      </w:r>
      <w:r>
        <w:rPr>
          <w:rFonts w:hint="eastAsia" w:ascii="宋体" w:hAnsi="宋体"/>
          <w:sz w:val="22"/>
          <w:szCs w:val="22"/>
          <w:lang w:eastAsia="zh-CN"/>
        </w:rPr>
        <w:t>）</w:t>
      </w:r>
      <w:r>
        <w:rPr>
          <w:rFonts w:hint="eastAsia"/>
          <w:sz w:val="22"/>
          <w:szCs w:val="22"/>
        </w:rPr>
        <w:t>不同投标人委托同一单位或者个人办理投标事宜；</w:t>
      </w:r>
    </w:p>
    <w:p w14:paraId="58599445">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三</w:t>
      </w:r>
      <w:r>
        <w:rPr>
          <w:rFonts w:hint="eastAsia" w:ascii="宋体" w:hAnsi="宋体"/>
          <w:sz w:val="22"/>
          <w:szCs w:val="22"/>
          <w:lang w:eastAsia="zh-CN"/>
        </w:rPr>
        <w:t>）</w:t>
      </w:r>
      <w:r>
        <w:rPr>
          <w:rFonts w:hint="eastAsia" w:ascii="宋体" w:hAnsi="宋体"/>
          <w:sz w:val="22"/>
          <w:szCs w:val="22"/>
        </w:rPr>
        <w:t>不同投标人的投标文件载明的项目管理成员或者联系人员为同一人；</w:t>
      </w:r>
    </w:p>
    <w:p w14:paraId="585C481C">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四</w:t>
      </w:r>
      <w:r>
        <w:rPr>
          <w:rFonts w:hint="eastAsia" w:ascii="宋体" w:hAnsi="宋体"/>
          <w:sz w:val="22"/>
          <w:szCs w:val="22"/>
          <w:lang w:eastAsia="zh-CN"/>
        </w:rPr>
        <w:t>）</w:t>
      </w:r>
      <w:r>
        <w:rPr>
          <w:rFonts w:hint="eastAsia" w:ascii="宋体" w:hAnsi="宋体"/>
          <w:sz w:val="22"/>
          <w:szCs w:val="22"/>
        </w:rPr>
        <w:t>不同投标人的投标文件异常一致或者投标报价呈规律性差异；</w:t>
      </w:r>
    </w:p>
    <w:p w14:paraId="2918687A">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五</w:t>
      </w:r>
      <w:r>
        <w:rPr>
          <w:rFonts w:hint="eastAsia" w:ascii="宋体" w:hAnsi="宋体"/>
          <w:sz w:val="22"/>
          <w:szCs w:val="22"/>
          <w:lang w:eastAsia="zh-CN"/>
        </w:rPr>
        <w:t>）</w:t>
      </w:r>
      <w:r>
        <w:rPr>
          <w:rFonts w:ascii="宋体" w:hAnsi="宋体"/>
          <w:sz w:val="22"/>
          <w:szCs w:val="22"/>
        </w:rPr>
        <w:t>不同投标供应商的投标文件或部分投标文件相互混装</w:t>
      </w:r>
      <w:r>
        <w:rPr>
          <w:rFonts w:hint="eastAsia" w:ascii="宋体" w:hAnsi="宋体"/>
          <w:sz w:val="22"/>
          <w:szCs w:val="22"/>
        </w:rPr>
        <w:t>；</w:t>
      </w:r>
    </w:p>
    <w:p w14:paraId="1433DBE6">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六</w:t>
      </w:r>
      <w:r>
        <w:rPr>
          <w:rFonts w:hint="eastAsia" w:ascii="宋体" w:hAnsi="宋体"/>
          <w:sz w:val="22"/>
          <w:szCs w:val="22"/>
          <w:lang w:eastAsia="zh-CN"/>
        </w:rPr>
        <w:t>）</w:t>
      </w:r>
      <w:r>
        <w:rPr>
          <w:rFonts w:hint="eastAsia" w:ascii="宋体" w:hAnsi="宋体"/>
          <w:sz w:val="22"/>
          <w:szCs w:val="22"/>
        </w:rPr>
        <w:t>投标供应商之间相互约定给予未中标的供应商利益补偿；</w:t>
      </w:r>
    </w:p>
    <w:p w14:paraId="37B1F800">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七</w:t>
      </w:r>
      <w:r>
        <w:rPr>
          <w:rFonts w:hint="eastAsia" w:ascii="宋体" w:hAnsi="宋体"/>
          <w:sz w:val="22"/>
          <w:szCs w:val="22"/>
          <w:lang w:eastAsia="zh-CN"/>
        </w:rPr>
        <w:t>）</w:t>
      </w:r>
      <w:r>
        <w:rPr>
          <w:rFonts w:hint="eastAsia" w:ascii="宋体" w:hAnsi="宋体"/>
          <w:sz w:val="22"/>
          <w:szCs w:val="22"/>
        </w:rPr>
        <w:t>不同投标供应商的法定代表人、主要经营负责人、项目投标授权代表人、项目负责人、主要技术人员为同一人、属同一单位或者同一单位缴纳社会保险；</w:t>
      </w:r>
    </w:p>
    <w:p w14:paraId="0395BE1E">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八</w:t>
      </w:r>
      <w:r>
        <w:rPr>
          <w:rFonts w:hint="eastAsia" w:ascii="宋体" w:hAnsi="宋体"/>
          <w:sz w:val="22"/>
          <w:szCs w:val="22"/>
          <w:lang w:eastAsia="zh-CN"/>
        </w:rPr>
        <w:t>）</w:t>
      </w:r>
      <w:r>
        <w:rPr>
          <w:rFonts w:hint="eastAsia" w:ascii="宋体" w:hAnsi="宋体"/>
          <w:sz w:val="22"/>
          <w:szCs w:val="22"/>
        </w:rPr>
        <w:t>不同投标供应商的投标文件内容存在非正常一致；</w:t>
      </w:r>
    </w:p>
    <w:p w14:paraId="55C04896">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九</w:t>
      </w:r>
      <w:r>
        <w:rPr>
          <w:rFonts w:hint="eastAsia" w:ascii="宋体" w:hAnsi="宋体"/>
          <w:sz w:val="22"/>
          <w:szCs w:val="22"/>
          <w:lang w:eastAsia="zh-CN"/>
        </w:rPr>
        <w:t>）</w:t>
      </w:r>
      <w:r>
        <w:rPr>
          <w:rFonts w:hint="eastAsia" w:ascii="宋体" w:hAnsi="宋体"/>
          <w:sz w:val="22"/>
          <w:szCs w:val="22"/>
        </w:rPr>
        <w:t>在同一单位工作人员为两家以上（含两家）供应商进行同一项投标活动；</w:t>
      </w:r>
    </w:p>
    <w:p w14:paraId="4D758076">
      <w:pPr>
        <w:pageBreakBefore w:val="0"/>
        <w:kinsoku/>
        <w:wordWrap/>
        <w:overflowPunct/>
        <w:topLinePunct w:val="0"/>
        <w:autoSpaceDE/>
        <w:autoSpaceDN/>
        <w:bidi w:val="0"/>
        <w:snapToGrid/>
        <w:spacing w:line="360" w:lineRule="auto"/>
        <w:ind w:firstLine="431" w:firstLineChars="196"/>
        <w:rPr>
          <w:rFonts w:ascii="宋体" w:hAnsi="宋体"/>
          <w:sz w:val="22"/>
          <w:szCs w:val="22"/>
        </w:rPr>
      </w:pPr>
      <w:r>
        <w:rPr>
          <w:rFonts w:hint="eastAsia" w:ascii="宋体" w:hAnsi="宋体"/>
          <w:sz w:val="22"/>
          <w:szCs w:val="22"/>
          <w:lang w:eastAsia="zh-CN"/>
        </w:rPr>
        <w:t>（</w:t>
      </w:r>
      <w:r>
        <w:rPr>
          <w:rFonts w:hint="eastAsia" w:ascii="宋体" w:hAnsi="宋体"/>
          <w:sz w:val="22"/>
          <w:szCs w:val="22"/>
          <w:lang w:val="en-US" w:eastAsia="zh-CN"/>
        </w:rPr>
        <w:t>十</w:t>
      </w:r>
      <w:r>
        <w:rPr>
          <w:rFonts w:hint="eastAsia" w:ascii="宋体" w:hAnsi="宋体"/>
          <w:sz w:val="22"/>
          <w:szCs w:val="22"/>
          <w:lang w:eastAsia="zh-CN"/>
        </w:rPr>
        <w:t>）</w:t>
      </w:r>
      <w:r>
        <w:rPr>
          <w:rFonts w:hint="eastAsia" w:ascii="宋体" w:hAnsi="宋体"/>
          <w:sz w:val="22"/>
          <w:szCs w:val="22"/>
        </w:rPr>
        <w:t>主管部门依照法律、法规认定的其他情形。</w:t>
      </w:r>
    </w:p>
    <w:p w14:paraId="0BB9B2FC">
      <w:pPr>
        <w:pStyle w:val="6"/>
        <w:spacing w:before="120" w:beforeLines="50" w:after="120" w:afterLines="50"/>
        <w:ind w:firstLine="482" w:firstLineChars="200"/>
        <w:jc w:val="both"/>
        <w:rPr>
          <w:szCs w:val="24"/>
        </w:rPr>
      </w:pPr>
      <w:r>
        <w:rPr>
          <w:rFonts w:hint="eastAsia" w:asciiTheme="minorEastAsia" w:hAnsiTheme="minorEastAsia" w:eastAsiaTheme="minorEastAsia" w:cstheme="minorEastAsia"/>
          <w:b/>
          <w:sz w:val="24"/>
          <w:szCs w:val="24"/>
          <w:lang w:val="en-US" w:eastAsia="zh-CN" w:bidi="ar-SA"/>
        </w:rPr>
        <w:t>九、其他关键信息</w:t>
      </w:r>
    </w:p>
    <w:p w14:paraId="7E2E872C">
      <w:pPr>
        <w:ind w:firstLine="482" w:firstLineChars="200"/>
        <w:rPr>
          <w:rFonts w:asciiTheme="minorEastAsia" w:hAnsiTheme="minorEastAsia" w:eastAsiaTheme="minorEastAsia"/>
          <w:b/>
          <w:kern w:val="0"/>
          <w:szCs w:val="20"/>
        </w:rPr>
      </w:pPr>
      <w:bookmarkStart w:id="21" w:name="_Hlk72579427"/>
      <w:r>
        <w:rPr>
          <w:rFonts w:hint="eastAsia"/>
          <w:b/>
          <w:bCs/>
        </w:rPr>
        <w:t>（一）</w:t>
      </w:r>
      <w:r>
        <w:rPr>
          <w:rFonts w:hint="eastAsia" w:asciiTheme="minorEastAsia" w:hAnsiTheme="minorEastAsia" w:eastAsiaTheme="minorEastAsia"/>
          <w:b/>
          <w:kern w:val="0"/>
          <w:szCs w:val="20"/>
        </w:rPr>
        <w:t>评标定标信息</w:t>
      </w:r>
    </w:p>
    <w:p w14:paraId="36275DD9">
      <w:pPr>
        <w:jc w:val="center"/>
      </w:pPr>
      <w:r>
        <w:rPr>
          <w:rFonts w:hint="eastAsia"/>
          <w:b/>
        </w:rPr>
        <w:t>非评定分离项目</w:t>
      </w:r>
    </w:p>
    <w:tbl>
      <w:tblPr>
        <w:tblStyle w:val="20"/>
        <w:tblW w:w="94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3"/>
        <w:gridCol w:w="5557"/>
      </w:tblGrid>
      <w:tr w14:paraId="7A6A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3" w:type="dxa"/>
          </w:tcPr>
          <w:p w14:paraId="4C9BB846">
            <w:pPr>
              <w:keepNext w:val="0"/>
              <w:keepLines w:val="0"/>
              <w:suppressLineNumbers w:val="0"/>
              <w:spacing w:before="0" w:beforeAutospacing="0" w:after="0" w:afterAutospacing="0"/>
              <w:ind w:left="0" w:right="0"/>
              <w:jc w:val="center"/>
              <w:rPr>
                <w:rFonts w:hint="default"/>
                <w:kern w:val="2"/>
              </w:rPr>
            </w:pPr>
            <w:r>
              <w:rPr>
                <w:rFonts w:hint="eastAsia"/>
                <w:kern w:val="2"/>
              </w:rPr>
              <w:t>评标方法</w:t>
            </w:r>
          </w:p>
        </w:tc>
        <w:tc>
          <w:tcPr>
            <w:tcW w:w="5557" w:type="dxa"/>
          </w:tcPr>
          <w:p w14:paraId="32AF404C">
            <w:pPr>
              <w:keepNext w:val="0"/>
              <w:keepLines w:val="0"/>
              <w:suppressLineNumbers w:val="0"/>
              <w:spacing w:before="0" w:beforeAutospacing="0" w:after="0" w:afterAutospacing="0"/>
              <w:ind w:left="0" w:right="0"/>
              <w:jc w:val="center"/>
              <w:rPr>
                <w:rFonts w:hint="default" w:eastAsia="宋体"/>
                <w:kern w:val="2"/>
                <w:lang w:val="en-US" w:eastAsia="zh-CN"/>
              </w:rPr>
            </w:pPr>
            <w:r>
              <w:rPr>
                <w:rFonts w:hint="eastAsia"/>
                <w:kern w:val="2"/>
              </w:rPr>
              <w:t>综合评分法</w:t>
            </w:r>
          </w:p>
        </w:tc>
      </w:tr>
      <w:tr w14:paraId="1189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3" w:type="dxa"/>
          </w:tcPr>
          <w:p w14:paraId="4AD59635">
            <w:pPr>
              <w:keepNext w:val="0"/>
              <w:keepLines w:val="0"/>
              <w:suppressLineNumbers w:val="0"/>
              <w:spacing w:before="0" w:beforeAutospacing="0" w:after="0" w:afterAutospacing="0"/>
              <w:ind w:left="0" w:right="0"/>
              <w:jc w:val="center"/>
              <w:rPr>
                <w:rFonts w:hint="default"/>
                <w:kern w:val="2"/>
              </w:rPr>
            </w:pPr>
            <w:r>
              <w:rPr>
                <w:rFonts w:hint="eastAsia"/>
                <w:kern w:val="2"/>
              </w:rPr>
              <w:t>候选中标供应商家数</w:t>
            </w:r>
          </w:p>
        </w:tc>
        <w:tc>
          <w:tcPr>
            <w:tcW w:w="5557" w:type="dxa"/>
          </w:tcPr>
          <w:p w14:paraId="32518B72">
            <w:pPr>
              <w:keepNext w:val="0"/>
              <w:keepLines w:val="0"/>
              <w:suppressLineNumbers w:val="0"/>
              <w:spacing w:before="0" w:beforeAutospacing="0" w:after="0" w:afterAutospacing="0"/>
              <w:ind w:left="0" w:right="0"/>
              <w:jc w:val="center"/>
              <w:rPr>
                <w:rFonts w:hint="eastAsia" w:eastAsia="宋体"/>
                <w:kern w:val="2"/>
                <w:lang w:val="en-US" w:eastAsia="zh-CN"/>
              </w:rPr>
            </w:pPr>
            <w:r>
              <w:rPr>
                <w:rFonts w:hint="eastAsia"/>
                <w:kern w:val="2"/>
                <w:lang w:val="en-US" w:eastAsia="zh-CN"/>
              </w:rPr>
              <w:t>3</w:t>
            </w:r>
            <w:bookmarkStart w:id="40" w:name="_GoBack"/>
            <w:bookmarkEnd w:id="40"/>
          </w:p>
        </w:tc>
      </w:tr>
      <w:tr w14:paraId="52090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83" w:type="dxa"/>
          </w:tcPr>
          <w:p w14:paraId="1924DE12">
            <w:pPr>
              <w:keepNext w:val="0"/>
              <w:keepLines w:val="0"/>
              <w:suppressLineNumbers w:val="0"/>
              <w:spacing w:before="0" w:beforeAutospacing="0" w:after="0" w:afterAutospacing="0"/>
              <w:ind w:left="0" w:right="0"/>
              <w:jc w:val="center"/>
              <w:rPr>
                <w:rFonts w:hint="default"/>
                <w:kern w:val="2"/>
              </w:rPr>
            </w:pPr>
            <w:r>
              <w:rPr>
                <w:rFonts w:hint="eastAsia"/>
                <w:kern w:val="2"/>
              </w:rPr>
              <w:t>中标供应商家数</w:t>
            </w:r>
          </w:p>
        </w:tc>
        <w:tc>
          <w:tcPr>
            <w:tcW w:w="5557" w:type="dxa"/>
          </w:tcPr>
          <w:p w14:paraId="5FEBE18D">
            <w:pPr>
              <w:keepNext w:val="0"/>
              <w:keepLines w:val="0"/>
              <w:suppressLineNumbers w:val="0"/>
              <w:spacing w:before="0" w:beforeAutospacing="0" w:after="0" w:afterAutospacing="0"/>
              <w:ind w:left="0" w:right="0"/>
              <w:jc w:val="center"/>
              <w:rPr>
                <w:rFonts w:hint="default"/>
                <w:kern w:val="2"/>
              </w:rPr>
            </w:pPr>
            <w:r>
              <w:rPr>
                <w:rFonts w:hint="eastAsia"/>
                <w:kern w:val="2"/>
              </w:rPr>
              <w:t>1</w:t>
            </w:r>
          </w:p>
        </w:tc>
      </w:tr>
    </w:tbl>
    <w:p w14:paraId="39C7BAB1">
      <w:pPr>
        <w:ind w:firstLine="482" w:firstLineChars="200"/>
        <w:rPr>
          <w:rFonts w:hint="eastAsia"/>
          <w:b/>
        </w:rPr>
      </w:pPr>
    </w:p>
    <w:bookmarkEnd w:id="21"/>
    <w:p w14:paraId="33E8530A">
      <w:pPr>
        <w:ind w:firstLine="482" w:firstLineChars="200"/>
        <w:rPr>
          <w:rFonts w:hint="default" w:eastAsia="宋体"/>
          <w:b/>
          <w:lang w:val="en-US" w:eastAsia="zh-CN"/>
        </w:rPr>
      </w:pPr>
      <w:r>
        <w:rPr>
          <w:rFonts w:hint="eastAsia"/>
          <w:b/>
        </w:rPr>
        <w:t>（二）</w:t>
      </w:r>
      <w:r>
        <w:rPr>
          <w:rFonts w:hint="eastAsia"/>
          <w:b/>
          <w:lang w:val="en-US" w:eastAsia="zh-CN"/>
        </w:rPr>
        <w:t>政府采购政策的有关事项说明</w:t>
      </w:r>
    </w:p>
    <w:p w14:paraId="4EB11BCE">
      <w:pPr>
        <w:ind w:firstLine="482" w:firstLineChars="200"/>
        <w:rPr>
          <w:rFonts w:hint="default" w:eastAsia="宋体"/>
          <w:b/>
          <w:bCs/>
          <w:lang w:val="en-US" w:eastAsia="zh-CN"/>
        </w:rPr>
      </w:pPr>
      <w:r>
        <w:rPr>
          <w:b/>
          <w:bCs/>
        </w:rPr>
        <w:t>1</w:t>
      </w:r>
      <w:r>
        <w:rPr>
          <w:rFonts w:hint="eastAsia"/>
          <w:b/>
          <w:bCs/>
        </w:rPr>
        <w:t>、</w:t>
      </w:r>
      <w:r>
        <w:rPr>
          <w:rFonts w:hint="eastAsia"/>
          <w:b/>
          <w:bCs/>
          <w:lang w:val="en-US" w:eastAsia="zh-CN"/>
        </w:rPr>
        <w:t>关于享受中小企业扶持</w:t>
      </w:r>
      <w:r>
        <w:rPr>
          <w:rFonts w:hint="eastAsia"/>
          <w:b/>
          <w:bCs/>
        </w:rPr>
        <w:t>政策的主体</w:t>
      </w:r>
      <w:r>
        <w:rPr>
          <w:rFonts w:hint="eastAsia"/>
          <w:b/>
          <w:bCs/>
          <w:lang w:eastAsia="zh-CN"/>
        </w:rPr>
        <w:t>、</w:t>
      </w:r>
      <w:r>
        <w:rPr>
          <w:rFonts w:hint="eastAsia"/>
          <w:b/>
          <w:bCs/>
        </w:rPr>
        <w:t>价格扣除比例</w:t>
      </w:r>
      <w:r>
        <w:rPr>
          <w:rFonts w:hint="eastAsia"/>
          <w:b/>
          <w:bCs/>
          <w:lang w:val="en-US" w:eastAsia="zh-CN"/>
        </w:rPr>
        <w:t>及采购标的所属行业等事项的说明</w:t>
      </w:r>
    </w:p>
    <w:p w14:paraId="546ABE87">
      <w:pPr>
        <w:ind w:firstLine="720" w:firstLineChars="300"/>
        <w:rPr>
          <w:rFonts w:hint="eastAsia"/>
          <w:lang w:val="en-US" w:eastAsia="zh-CN"/>
        </w:rPr>
      </w:pPr>
      <w:r>
        <w:rPr>
          <w:rFonts w:hint="eastAsia"/>
          <w:lang w:eastAsia="zh-CN"/>
        </w:rPr>
        <w:t>（</w:t>
      </w:r>
      <w:r>
        <w:rPr>
          <w:rFonts w:hint="eastAsia"/>
          <w:lang w:val="en-US" w:eastAsia="zh-CN"/>
        </w:rPr>
        <w:t>1</w:t>
      </w:r>
      <w:r>
        <w:rPr>
          <w:rFonts w:hint="eastAsia"/>
          <w:lang w:eastAsia="zh-CN"/>
        </w:rPr>
        <w:t>）</w:t>
      </w:r>
      <w:r>
        <w:rPr>
          <w:rFonts w:hint="eastAsia"/>
          <w:lang w:val="en-US" w:eastAsia="zh-CN"/>
        </w:rPr>
        <w:t>适用主体：中型企业、小型、微型企业（</w:t>
      </w:r>
      <w:r>
        <w:rPr>
          <w:rFonts w:hint="eastAsia" w:ascii="Times New Roman" w:hAnsi="Times New Roman" w:eastAsia="宋体" w:cs="Times New Roman"/>
          <w:i w:val="0"/>
          <w:iCs w:val="0"/>
          <w:caps w:val="0"/>
          <w:spacing w:val="0"/>
          <w:sz w:val="21"/>
          <w:szCs w:val="24"/>
          <w:shd w:val="clear"/>
        </w:rPr>
        <w:t>残疾人福利性单位视同小型、微型企业</w:t>
      </w:r>
      <w:r>
        <w:rPr>
          <w:rFonts w:hint="eastAsia" w:cs="Times New Roman"/>
          <w:i w:val="0"/>
          <w:iCs w:val="0"/>
          <w:caps w:val="0"/>
          <w:spacing w:val="0"/>
          <w:sz w:val="21"/>
          <w:szCs w:val="24"/>
          <w:shd w:val="clear"/>
          <w:lang w:eastAsia="zh-CN"/>
        </w:rPr>
        <w:t>；</w:t>
      </w:r>
      <w:r>
        <w:rPr>
          <w:rFonts w:hint="eastAsia" w:ascii="Times New Roman" w:hAnsi="Times New Roman" w:eastAsia="宋体" w:cs="Times New Roman"/>
          <w:i w:val="0"/>
          <w:iCs w:val="0"/>
          <w:caps w:val="0"/>
          <w:spacing w:val="0"/>
          <w:sz w:val="21"/>
          <w:szCs w:val="24"/>
          <w:shd w:val="clear"/>
        </w:rPr>
        <w:t>监狱企业视同小型、微型企业</w:t>
      </w:r>
      <w:r>
        <w:rPr>
          <w:rFonts w:hint="eastAsia"/>
          <w:lang w:val="en-US" w:eastAsia="zh-CN"/>
        </w:rPr>
        <w:t>）。接受联合体的项目，供应商以联合体形式参加政府采购活动，联合体各方均为中小企业的，联合体视同中小企业。其中，联合体各方均为小微企业的，联合体视同小微企业。</w:t>
      </w:r>
    </w:p>
    <w:p w14:paraId="55CD1D55">
      <w:pPr>
        <w:pStyle w:val="39"/>
        <w:ind w:firstLine="420" w:firstLineChars="200"/>
        <w:rPr>
          <w:rFonts w:hint="eastAsia" w:eastAsia="宋体"/>
          <w:lang w:val="en-US" w:eastAsia="zh-CN"/>
        </w:rPr>
      </w:pPr>
      <w:r>
        <w:rPr>
          <w:rFonts w:hint="eastAsia"/>
          <w:lang w:val="en-US" w:eastAsia="zh-CN"/>
        </w:rPr>
        <w:t>备注：</w:t>
      </w:r>
      <w:r>
        <w:rPr>
          <w:rFonts w:hint="eastAsia"/>
          <w:lang w:eastAsia="zh-CN"/>
        </w:rPr>
        <w:t>（</w:t>
      </w:r>
      <w:r>
        <w:rPr>
          <w:rFonts w:hint="eastAsia"/>
          <w:lang w:val="en-US" w:eastAsia="zh-CN"/>
        </w:rPr>
        <w:t>a</w:t>
      </w:r>
      <w:r>
        <w:rPr>
          <w:rFonts w:hint="eastAsia"/>
          <w:lang w:eastAsia="zh-CN"/>
        </w:rPr>
        <w:t>）</w:t>
      </w:r>
      <w:r>
        <w:rPr>
          <w:rFonts w:hint="eastAsia"/>
        </w:rPr>
        <w:t>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w:t>
      </w:r>
      <w:r>
        <w:rPr>
          <w:rFonts w:hint="eastAsia"/>
          <w:lang w:eastAsia="zh-CN"/>
        </w:rPr>
        <w:t>（</w:t>
      </w:r>
      <w:r>
        <w:rPr>
          <w:rFonts w:hint="eastAsia"/>
          <w:lang w:val="en-US" w:eastAsia="zh-CN"/>
        </w:rPr>
        <w:t>b</w:t>
      </w:r>
      <w:r>
        <w:rPr>
          <w:rFonts w:hint="eastAsia"/>
          <w:lang w:eastAsia="zh-CN"/>
        </w:rPr>
        <w:t>）</w:t>
      </w:r>
      <w:r>
        <w:rPr>
          <w:rFonts w:hint="eastAsia" w:ascii="Calibri" w:hAnsi="Calibri" w:eastAsia="宋体" w:cs="Times New Roman"/>
          <w:sz w:val="21"/>
          <w:szCs w:val="22"/>
        </w:rPr>
        <w:t>在货物采购项目中，货物由中小企业制造，即货物由中小企业生产且使用该中小企业商号或者注册商标</w:t>
      </w:r>
      <w:r>
        <w:rPr>
          <w:rFonts w:hint="eastAsia" w:cs="Times New Roman"/>
          <w:sz w:val="21"/>
          <w:szCs w:val="22"/>
          <w:lang w:eastAsia="zh-CN"/>
        </w:rPr>
        <w:t>（</w:t>
      </w:r>
      <w:r>
        <w:rPr>
          <w:rFonts w:hint="eastAsia" w:cs="Times New Roman"/>
          <w:sz w:val="21"/>
          <w:szCs w:val="22"/>
          <w:lang w:val="en-US" w:eastAsia="zh-CN"/>
        </w:rPr>
        <w:t>供应商提供的货物既有中小企业制造货物，也有大型企业制造货物的，不享受中小企业扶持政策）</w:t>
      </w:r>
      <w:r>
        <w:rPr>
          <w:rFonts w:hint="eastAsia" w:ascii="Calibri" w:hAnsi="Calibri" w:eastAsia="宋体" w:cs="Times New Roman"/>
          <w:sz w:val="21"/>
          <w:szCs w:val="22"/>
        </w:rPr>
        <w:t>；在工程采购项目中，工程由中小企业承建，即工程施工单位为中小企业</w:t>
      </w:r>
      <w:r>
        <w:rPr>
          <w:rFonts w:hint="eastAsia" w:cs="Times New Roman"/>
          <w:sz w:val="21"/>
          <w:szCs w:val="22"/>
          <w:lang w:eastAsia="zh-CN"/>
        </w:rPr>
        <w:t>；</w:t>
      </w:r>
      <w:r>
        <w:rPr>
          <w:rFonts w:hint="eastAsia" w:cs="Times New Roman"/>
          <w:sz w:val="21"/>
          <w:szCs w:val="22"/>
          <w:lang w:val="en-US" w:eastAsia="zh-CN"/>
        </w:rPr>
        <w:t>在服务采购项目中，服务由中小企业承接，即提供服务的人员为中小企业依照《中华人民共和国劳动合同法》订立劳动合同的从业人员。</w:t>
      </w:r>
    </w:p>
    <w:p w14:paraId="3CDDC5CA">
      <w:pPr>
        <w:ind w:firstLine="660" w:firstLineChars="300"/>
        <w:rPr>
          <w:rFonts w:hint="default" w:eastAsia="宋体"/>
          <w:sz w:val="22"/>
          <w:szCs w:val="22"/>
          <w:lang w:val="en-US" w:eastAsia="zh-CN"/>
        </w:rPr>
      </w:pPr>
      <w:r>
        <w:rPr>
          <w:rFonts w:hint="eastAsia"/>
          <w:sz w:val="22"/>
          <w:szCs w:val="22"/>
          <w:lang w:eastAsia="zh-CN"/>
        </w:rPr>
        <w:t>（</w:t>
      </w:r>
      <w:r>
        <w:rPr>
          <w:rFonts w:hint="eastAsia"/>
          <w:sz w:val="22"/>
          <w:szCs w:val="22"/>
          <w:lang w:val="en-US" w:eastAsia="zh-CN"/>
        </w:rPr>
        <w:t>2</w:t>
      </w:r>
      <w:r>
        <w:rPr>
          <w:rFonts w:hint="eastAsia"/>
          <w:sz w:val="22"/>
          <w:szCs w:val="22"/>
          <w:lang w:eastAsia="zh-CN"/>
        </w:rPr>
        <w:t>）</w:t>
      </w:r>
      <w:r>
        <w:rPr>
          <w:rFonts w:hint="eastAsia"/>
          <w:sz w:val="22"/>
          <w:szCs w:val="22"/>
          <w:lang w:val="en-US" w:eastAsia="zh-CN"/>
        </w:rPr>
        <w:t>预留份额专门面向中小企业采购的项目，不再执行价格扣除比例。</w:t>
      </w:r>
    </w:p>
    <w:p w14:paraId="1A3449A2">
      <w:pPr>
        <w:ind w:firstLine="660" w:firstLineChars="300"/>
        <w:rPr>
          <w:sz w:val="22"/>
          <w:szCs w:val="22"/>
        </w:rPr>
      </w:pPr>
      <w:r>
        <w:rPr>
          <w:rFonts w:hint="eastAsia"/>
          <w:sz w:val="22"/>
          <w:szCs w:val="22"/>
          <w:lang w:eastAsia="zh-CN"/>
        </w:rPr>
        <w:t>（</w:t>
      </w:r>
      <w:r>
        <w:rPr>
          <w:rFonts w:hint="eastAsia"/>
          <w:sz w:val="22"/>
          <w:szCs w:val="22"/>
          <w:lang w:val="en-US" w:eastAsia="zh-CN"/>
        </w:rPr>
        <w:t>3</w:t>
      </w:r>
      <w:r>
        <w:rPr>
          <w:rFonts w:hint="eastAsia"/>
          <w:sz w:val="22"/>
          <w:szCs w:val="22"/>
          <w:lang w:eastAsia="zh-CN"/>
        </w:rPr>
        <w:t>）未预留份额</w:t>
      </w:r>
      <w:r>
        <w:rPr>
          <w:rFonts w:hint="eastAsia" w:ascii="Times New Roman" w:eastAsia="宋体"/>
          <w:sz w:val="22"/>
          <w:szCs w:val="22"/>
          <w:lang w:val="en-US" w:eastAsia="zh-CN"/>
        </w:rPr>
        <w:t>专门面向中小企业采购的项目，</w:t>
      </w:r>
      <w:r>
        <w:rPr>
          <w:rFonts w:hint="eastAsia"/>
          <w:sz w:val="22"/>
          <w:szCs w:val="22"/>
          <w:lang w:val="en-US" w:eastAsia="zh-CN"/>
        </w:rPr>
        <w:t>应</w:t>
      </w:r>
      <w:r>
        <w:rPr>
          <w:rFonts w:hint="eastAsia" w:ascii="Times New Roman" w:eastAsia="宋体"/>
          <w:sz w:val="22"/>
          <w:szCs w:val="22"/>
          <w:lang w:val="en-US" w:eastAsia="zh-CN"/>
        </w:rPr>
        <w:t>执行价格扣除比例</w:t>
      </w:r>
      <w:r>
        <w:rPr>
          <w:rFonts w:hint="eastAsia"/>
          <w:sz w:val="22"/>
          <w:szCs w:val="22"/>
          <w:lang w:val="en-US" w:eastAsia="zh-CN"/>
        </w:rPr>
        <w:t>：</w:t>
      </w:r>
      <w:r>
        <w:rPr>
          <w:rFonts w:hint="eastAsia"/>
          <w:sz w:val="22"/>
          <w:szCs w:val="22"/>
        </w:rPr>
        <w:t>投标人提供的货物（以招标文件用户需求书“货物清单明细”的“货物名称”一栏为准）</w:t>
      </w:r>
      <w:r>
        <w:rPr>
          <w:rFonts w:hint="eastAsia"/>
          <w:b/>
          <w:bCs/>
          <w:color w:val="FF0000"/>
          <w:sz w:val="22"/>
          <w:szCs w:val="22"/>
        </w:rPr>
        <w:t>全部均由</w:t>
      </w:r>
      <w:r>
        <w:rPr>
          <w:rFonts w:hint="eastAsia"/>
          <w:b/>
          <w:bCs/>
          <w:color w:val="FF0000"/>
          <w:sz w:val="22"/>
          <w:szCs w:val="22"/>
          <w:lang w:val="en-US" w:eastAsia="zh-CN"/>
        </w:rPr>
        <w:t>小型、微型企业</w:t>
      </w:r>
      <w:r>
        <w:rPr>
          <w:rFonts w:hint="eastAsia"/>
          <w:b/>
          <w:bCs/>
          <w:color w:val="FF0000"/>
          <w:sz w:val="22"/>
          <w:szCs w:val="22"/>
        </w:rPr>
        <w:t>制造</w:t>
      </w:r>
      <w:r>
        <w:rPr>
          <w:rFonts w:hint="eastAsia"/>
          <w:sz w:val="22"/>
          <w:szCs w:val="22"/>
        </w:rPr>
        <w:t>，则对其投标总价给予</w:t>
      </w:r>
      <w:r>
        <w:rPr>
          <w:b/>
          <w:bCs/>
          <w:color w:val="FF0000"/>
          <w:sz w:val="22"/>
          <w:szCs w:val="22"/>
          <w:u w:val="single"/>
        </w:rPr>
        <w:t xml:space="preserve"> </w:t>
      </w:r>
      <w:r>
        <w:rPr>
          <w:rFonts w:hint="eastAsia"/>
          <w:b/>
          <w:bCs/>
          <w:color w:val="FF0000"/>
          <w:sz w:val="22"/>
          <w:szCs w:val="22"/>
          <w:u w:val="single"/>
          <w:lang w:val="en-US" w:eastAsia="zh-CN"/>
        </w:rPr>
        <w:t xml:space="preserve"> 10  </w:t>
      </w:r>
      <w:r>
        <w:rPr>
          <w:rFonts w:hint="eastAsia"/>
          <w:b/>
          <w:bCs/>
          <w:color w:val="FF0000"/>
          <w:sz w:val="22"/>
          <w:szCs w:val="22"/>
          <w:u w:val="none"/>
          <w:lang w:val="en-US" w:eastAsia="zh-CN"/>
        </w:rPr>
        <w:t xml:space="preserve"> </w:t>
      </w:r>
      <w:r>
        <w:rPr>
          <w:b/>
          <w:bCs/>
          <w:color w:val="FF0000"/>
          <w:sz w:val="22"/>
          <w:szCs w:val="22"/>
          <w:u w:val="none"/>
        </w:rPr>
        <w:t>%</w:t>
      </w:r>
      <w:r>
        <w:rPr>
          <w:rFonts w:hint="eastAsia"/>
          <w:sz w:val="22"/>
          <w:szCs w:val="22"/>
        </w:rPr>
        <w:t>的扣除，用扣除后的价格参与评审。</w:t>
      </w:r>
    </w:p>
    <w:p w14:paraId="4947F05D">
      <w:pPr>
        <w:numPr>
          <w:ilvl w:val="0"/>
          <w:numId w:val="0"/>
        </w:numPr>
        <w:ind w:firstLine="720" w:firstLineChars="300"/>
        <w:rPr>
          <w:rFonts w:hint="eastAsia" w:asciiTheme="minorEastAsia" w:hAnsiTheme="minorEastAsia" w:eastAsiaTheme="minorEastAsia" w:cstheme="minorEastAsia"/>
          <w:b/>
          <w:bCs/>
          <w:color w:val="FF0000"/>
          <w:sz w:val="21"/>
          <w:szCs w:val="21"/>
        </w:rPr>
      </w:pPr>
      <w:bookmarkStart w:id="22" w:name="_Hlk71970739"/>
      <w:r>
        <w:rPr>
          <w:rFonts w:hint="eastAsia"/>
          <w:lang w:eastAsia="zh-CN"/>
        </w:rPr>
        <w:t>（</w:t>
      </w:r>
      <w:r>
        <w:rPr>
          <w:rFonts w:hint="eastAsia"/>
          <w:lang w:val="en-US" w:eastAsia="zh-CN"/>
        </w:rPr>
        <w:t>4</w:t>
      </w:r>
      <w:r>
        <w:rPr>
          <w:rFonts w:hint="eastAsia"/>
          <w:lang w:eastAsia="zh-CN"/>
        </w:rPr>
        <w:t>）</w:t>
      </w:r>
      <w:r>
        <w:rPr>
          <w:rFonts w:hint="eastAsia" w:asciiTheme="minorEastAsia" w:hAnsiTheme="minorEastAsia" w:eastAsiaTheme="minorEastAsia" w:cstheme="minorEastAsia"/>
          <w:sz w:val="21"/>
          <w:szCs w:val="21"/>
        </w:rPr>
        <w:t>中小企业参加政府采购活动，应当按照国务院批准的《中小企业划型标准规定》（工信部联企业〔2011〕300号）、《金融业企业划型标准规定》（银发〔2015〕309号）和《财政部 工业和信息化部关于印发〈政府采购促进中小企业发展管理办法〉的通知》（财库〔2020〕46号）的规定，出具《中小企业声明函》，</w:t>
      </w:r>
      <w:r>
        <w:rPr>
          <w:rFonts w:hint="eastAsia" w:asciiTheme="minorEastAsia" w:hAnsiTheme="minorEastAsia" w:eastAsiaTheme="minorEastAsia" w:cstheme="minorEastAsia"/>
          <w:b/>
          <w:bCs/>
          <w:color w:val="FF0000"/>
          <w:sz w:val="21"/>
          <w:szCs w:val="21"/>
        </w:rPr>
        <w:t>《中小企业声明函》中相关企业</w:t>
      </w:r>
      <w:r>
        <w:rPr>
          <w:rFonts w:hint="eastAsia" w:asciiTheme="minorEastAsia" w:hAnsiTheme="minorEastAsia" w:eastAsiaTheme="minorEastAsia" w:cstheme="minorEastAsia"/>
          <w:b/>
          <w:bCs/>
          <w:color w:val="FF0000"/>
          <w:sz w:val="21"/>
          <w:szCs w:val="21"/>
          <w:lang w:eastAsia="zh-CN"/>
        </w:rPr>
        <w:t>（</w:t>
      </w:r>
      <w:r>
        <w:rPr>
          <w:rFonts w:hint="eastAsia" w:asciiTheme="minorEastAsia" w:hAnsiTheme="minorEastAsia" w:eastAsiaTheme="minorEastAsia" w:cstheme="minorEastAsia"/>
          <w:b/>
          <w:bCs/>
          <w:color w:val="FF0000"/>
          <w:sz w:val="21"/>
          <w:szCs w:val="21"/>
          <w:lang w:val="en-US" w:eastAsia="zh-CN"/>
        </w:rPr>
        <w:t>货物制造商</w:t>
      </w:r>
      <w:r>
        <w:rPr>
          <w:rFonts w:hint="eastAsia" w:asciiTheme="minorEastAsia" w:hAnsiTheme="minorEastAsia" w:eastAsiaTheme="minorEastAsia" w:cstheme="minorEastAsia"/>
          <w:b/>
          <w:bCs/>
          <w:color w:val="FF0000"/>
          <w:sz w:val="21"/>
          <w:szCs w:val="21"/>
          <w:lang w:eastAsia="zh-CN"/>
        </w:rPr>
        <w:t>）</w:t>
      </w:r>
      <w:r>
        <w:rPr>
          <w:rFonts w:hint="eastAsia" w:asciiTheme="minorEastAsia" w:hAnsiTheme="minorEastAsia" w:eastAsiaTheme="minorEastAsia" w:cstheme="minorEastAsia"/>
          <w:b/>
          <w:bCs/>
          <w:color w:val="FF0000"/>
          <w:sz w:val="21"/>
          <w:szCs w:val="21"/>
        </w:rPr>
        <w:t>所属行业应当与采购标的所属行业相一致</w:t>
      </w:r>
      <w:r>
        <w:rPr>
          <w:rFonts w:hint="eastAsia" w:asciiTheme="minorEastAsia" w:hAnsiTheme="minorEastAsia" w:eastAsiaTheme="minorEastAsia" w:cstheme="minorEastAsia"/>
          <w:b/>
          <w:bCs/>
          <w:color w:val="FF0000"/>
          <w:sz w:val="21"/>
          <w:szCs w:val="21"/>
          <w:lang w:eastAsia="zh-CN"/>
        </w:rPr>
        <w:t>，</w:t>
      </w:r>
      <w:r>
        <w:rPr>
          <w:rFonts w:hint="eastAsia"/>
          <w:b/>
          <w:bCs/>
          <w:color w:val="FF0000"/>
        </w:rPr>
        <w:t>标的所属行业</w:t>
      </w:r>
      <w:r>
        <w:rPr>
          <w:rFonts w:hint="eastAsia" w:ascii="Times New Roman" w:eastAsia="宋体"/>
          <w:b/>
          <w:bCs/>
          <w:color w:val="FF0000"/>
          <w:lang w:val="en-US" w:eastAsia="zh-CN"/>
        </w:rPr>
        <w:t>以招标文件第一册第三章用户需求书“货物</w:t>
      </w:r>
      <w:r>
        <w:rPr>
          <w:rFonts w:hint="eastAsia"/>
          <w:b/>
          <w:bCs/>
          <w:color w:val="FF0000"/>
          <w:lang w:val="en-US" w:eastAsia="zh-CN"/>
        </w:rPr>
        <w:t>需求</w:t>
      </w:r>
      <w:r>
        <w:rPr>
          <w:rFonts w:hint="eastAsia" w:ascii="Times New Roman" w:eastAsia="宋体"/>
          <w:b/>
          <w:bCs/>
          <w:color w:val="FF0000"/>
          <w:lang w:val="en-US" w:eastAsia="zh-CN"/>
        </w:rPr>
        <w:t>明细”的“标的所属行业”一栏为准</w:t>
      </w:r>
      <w:r>
        <w:rPr>
          <w:rFonts w:hint="eastAsia" w:asciiTheme="minorEastAsia" w:hAnsiTheme="minorEastAsia" w:eastAsiaTheme="minorEastAsia" w:cstheme="minorEastAsia"/>
          <w:b/>
          <w:bCs/>
          <w:color w:val="FF0000"/>
          <w:sz w:val="21"/>
          <w:szCs w:val="21"/>
        </w:rPr>
        <w:t>。</w:t>
      </w:r>
    </w:p>
    <w:bookmarkEnd w:id="22"/>
    <w:p w14:paraId="3CDB5FA9">
      <w:pPr>
        <w:ind w:firstLine="630" w:firstLineChars="300"/>
        <w:rPr>
          <w:rFonts w:hint="eastAsia" w:asciiTheme="minorEastAsia" w:hAnsi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5</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中型企业、</w:t>
      </w:r>
      <w:r>
        <w:rPr>
          <w:rFonts w:hint="eastAsia" w:asciiTheme="minorEastAsia" w:hAnsiTheme="minorEastAsia" w:eastAsiaTheme="minorEastAsia" w:cstheme="minorEastAsia"/>
          <w:sz w:val="21"/>
          <w:szCs w:val="21"/>
        </w:rPr>
        <w:t>小型、微型企业为优惠主体的认定资料为《中小企业声明函》</w:t>
      </w:r>
      <w:r>
        <w:rPr>
          <w:rFonts w:hint="eastAsia" w:asciiTheme="minorEastAsia" w:hAnsiTheme="minorEastAsia" w:eastAsiaTheme="minorEastAsia" w:cstheme="minorEastAsia"/>
          <w:sz w:val="21"/>
          <w:szCs w:val="21"/>
          <w:lang w:eastAsia="zh-CN"/>
        </w:rPr>
        <w:t>；</w:t>
      </w:r>
      <w:r>
        <w:rPr>
          <w:rFonts w:hint="eastAsia" w:asciiTheme="minorEastAsia" w:hAnsiTheme="minorEastAsia" w:eastAsiaTheme="minorEastAsia" w:cstheme="minorEastAsia"/>
          <w:sz w:val="21"/>
          <w:szCs w:val="21"/>
        </w:rPr>
        <w:t>残疾人福利性单位为优惠主体的认定资料为《残疾人福利性单位声明函》；监狱企业为优惠主体的认定资料为省级以上监狱管理局、戒毒管理局出具的监狱企业证明文件。声明函样式见本招标文件“第四章  投标文</w:t>
      </w:r>
      <w:r>
        <w:rPr>
          <w:rFonts w:hint="eastAsia" w:asciiTheme="minorEastAsia" w:hAnsiTheme="minorEastAsia" w:eastAsiaTheme="minorEastAsia" w:cstheme="minorEastAsia"/>
          <w:sz w:val="21"/>
          <w:szCs w:val="21"/>
          <w:highlight w:val="none"/>
        </w:rPr>
        <w:t>件组成要求及格式”中“</w:t>
      </w:r>
      <w:r>
        <w:rPr>
          <w:rFonts w:hint="eastAsia" w:asciiTheme="minorEastAsia" w:hAnsiTheme="minorEastAsia" w:eastAsiaTheme="minorEastAsia" w:cstheme="minorEastAsia"/>
          <w:sz w:val="21"/>
          <w:szCs w:val="21"/>
          <w:highlight w:val="none"/>
          <w:lang w:val="en-US" w:eastAsia="zh-CN"/>
        </w:rPr>
        <w:t>三</w:t>
      </w:r>
      <w:r>
        <w:rPr>
          <w:rFonts w:hint="eastAsia" w:asciiTheme="minorEastAsia" w:hAnsiTheme="minorEastAsia" w:eastAsiaTheme="minorEastAsia" w:cstheme="minorEastAsia"/>
          <w:sz w:val="21"/>
          <w:szCs w:val="21"/>
          <w:highlight w:val="none"/>
        </w:rPr>
        <w:t>、投标人情况及资格证明文件”章节提供的格式）。</w:t>
      </w:r>
    </w:p>
    <w:p w14:paraId="6086BC8D">
      <w:pPr>
        <w:ind w:firstLine="630" w:firstLineChars="300"/>
        <w:rPr>
          <w:rFonts w:hint="eastAsia" w:asciiTheme="minorEastAsia" w:hAnsiTheme="minorEastAsia" w:cstheme="minorEastAsia"/>
          <w:sz w:val="21"/>
          <w:szCs w:val="21"/>
        </w:rPr>
      </w:pPr>
      <w:r>
        <w:rPr>
          <w:rFonts w:hint="eastAsia" w:asciiTheme="minorEastAsia" w:hAnsiTheme="minorEastAsia" w:cstheme="minorEastAsia"/>
          <w:sz w:val="21"/>
          <w:szCs w:val="21"/>
        </w:rPr>
        <w:t>（</w:t>
      </w:r>
      <w:r>
        <w:rPr>
          <w:rFonts w:hint="eastAsia" w:asciiTheme="minorEastAsia" w:hAnsiTheme="minorEastAsia" w:cstheme="minorEastAsia"/>
          <w:sz w:val="21"/>
          <w:szCs w:val="21"/>
          <w:lang w:val="en-US" w:eastAsia="zh-CN"/>
        </w:rPr>
        <w:t>6</w:t>
      </w:r>
      <w:r>
        <w:rPr>
          <w:rFonts w:hint="eastAsia" w:asciiTheme="minorEastAsia" w:hAnsiTheme="minorEastAsia" w:cstheme="minorEastAsia"/>
          <w:sz w:val="21"/>
          <w:szCs w:val="21"/>
        </w:rPr>
        <w:t>）依据</w:t>
      </w:r>
      <w:r>
        <w:rPr>
          <w:rFonts w:hint="eastAsia" w:asciiTheme="minorEastAsia" w:hAnsiTheme="minorEastAsia" w:cstheme="minorEastAsia"/>
          <w:sz w:val="21"/>
          <w:szCs w:val="21"/>
          <w:lang w:eastAsia="zh-CN"/>
        </w:rPr>
        <w:t>《</w:t>
      </w:r>
      <w:r>
        <w:rPr>
          <w:rFonts w:hint="eastAsia" w:asciiTheme="minorEastAsia" w:hAnsiTheme="minorEastAsia" w:eastAsiaTheme="minorEastAsia" w:cstheme="minorEastAsia"/>
          <w:sz w:val="21"/>
          <w:szCs w:val="21"/>
        </w:rPr>
        <w:t>政府采购促进中小企业发展管理办法</w:t>
      </w:r>
      <w:r>
        <w:rPr>
          <w:rFonts w:hint="eastAsia" w:asciiTheme="minorEastAsia" w:hAnsiTheme="minorEastAsia" w:eastAsiaTheme="minorEastAsia" w:cstheme="minorEastAsia"/>
          <w:sz w:val="21"/>
          <w:szCs w:val="21"/>
          <w:lang w:eastAsia="zh-CN"/>
        </w:rPr>
        <w:t>》</w:t>
      </w:r>
      <w:r>
        <w:rPr>
          <w:rFonts w:hint="eastAsia" w:asciiTheme="minorEastAsia" w:hAnsiTheme="minorEastAsia" w:cstheme="minorEastAsia"/>
          <w:sz w:val="21"/>
          <w:szCs w:val="21"/>
        </w:rPr>
        <w:t>规定享受扶持政策获得政府采购合同的，小微企业不得将合同分包给大中型企业，中型企业不得将合同分包给大型企业</w:t>
      </w:r>
      <w:r>
        <w:rPr>
          <w:rFonts w:hint="eastAsia" w:asciiTheme="minorEastAsia" w:hAnsiTheme="minorEastAsia" w:cstheme="minorEastAsia"/>
          <w:sz w:val="21"/>
          <w:szCs w:val="21"/>
          <w:lang w:eastAsia="zh-CN"/>
        </w:rPr>
        <w:t>。</w:t>
      </w:r>
    </w:p>
    <w:p w14:paraId="4FD89373">
      <w:pPr>
        <w:ind w:firstLine="632" w:firstLineChars="300"/>
        <w:rPr>
          <w:rFonts w:hint="eastAsia" w:asciiTheme="minorEastAsia" w:hAnsiTheme="minorEastAsia" w:cstheme="minorEastAsia"/>
          <w:b w:val="0"/>
          <w:bCs w:val="0"/>
          <w:sz w:val="21"/>
          <w:szCs w:val="21"/>
          <w:lang w:val="en-US" w:eastAsia="zh-CN"/>
        </w:rPr>
      </w:pPr>
      <w:r>
        <w:rPr>
          <w:rFonts w:hint="eastAsia" w:asciiTheme="minorEastAsia" w:hAnsiTheme="minorEastAsia" w:cstheme="minorEastAsia"/>
          <w:b/>
          <w:bCs/>
          <w:sz w:val="21"/>
          <w:szCs w:val="21"/>
          <w:lang w:val="en-US" w:eastAsia="zh-CN"/>
        </w:rPr>
        <w:t>2、上述支持政策不改变最终中标（成交）价格，政府采购合同仍按照中标（成交）供应商的报价签订。</w:t>
      </w:r>
    </w:p>
    <w:p w14:paraId="5F0484F0">
      <w:pPr>
        <w:spacing w:line="560" w:lineRule="exact"/>
        <w:ind w:firstLine="480" w:firstLineChars="200"/>
        <w:rPr>
          <w:rFonts w:asciiTheme="minorEastAsia" w:hAnsiTheme="minorEastAsia" w:cstheme="minorEastAsia"/>
          <w:bCs/>
        </w:rPr>
      </w:pPr>
      <w:r>
        <w:rPr>
          <w:rFonts w:hint="eastAsia" w:asciiTheme="minorEastAsia" w:hAnsiTheme="minorEastAsia" w:cstheme="minorEastAsia"/>
          <w:bCs/>
          <w:highlight w:val="none"/>
        </w:rPr>
        <w:br w:type="page"/>
      </w:r>
    </w:p>
    <w:p w14:paraId="2CECB476">
      <w:pPr>
        <w:spacing w:line="560" w:lineRule="exact"/>
        <w:jc w:val="center"/>
        <w:rPr>
          <w:rFonts w:asciiTheme="minorEastAsia" w:hAnsiTheme="minorEastAsia" w:cstheme="minorEastAsia"/>
          <w:bCs/>
        </w:rPr>
      </w:pPr>
      <w:r>
        <w:rPr>
          <w:rFonts w:hint="eastAsia" w:ascii="Cambria" w:hAnsi="Cambria"/>
          <w:b/>
          <w:bCs/>
          <w:kern w:val="28"/>
          <w:sz w:val="28"/>
          <w:szCs w:val="32"/>
        </w:rPr>
        <w:t>第三章   用户需求书</w:t>
      </w:r>
    </w:p>
    <w:p w14:paraId="7DA9330D">
      <w:pPr>
        <w:tabs>
          <w:tab w:val="left" w:pos="360"/>
        </w:tabs>
        <w:spacing w:line="460" w:lineRule="exact"/>
        <w:ind w:firstLine="482" w:firstLineChars="200"/>
        <w:rPr>
          <w:rFonts w:asciiTheme="minorEastAsia" w:hAnsiTheme="minorEastAsia" w:cstheme="minorEastAsia"/>
          <w:b/>
          <w:bCs/>
          <w:color w:val="FF0000"/>
        </w:rPr>
      </w:pPr>
    </w:p>
    <w:p w14:paraId="475F4D60">
      <w:pPr>
        <w:tabs>
          <w:tab w:val="left" w:pos="360"/>
        </w:tabs>
        <w:spacing w:line="460" w:lineRule="exact"/>
        <w:ind w:firstLine="482" w:firstLineChars="200"/>
        <w:jc w:val="center"/>
        <w:rPr>
          <w:rStyle w:val="22"/>
          <w:rFonts w:hint="eastAsia" w:ascii="宋体" w:hAnsi="宋体" w:cs="宋体"/>
          <w:bCs w:val="0"/>
          <w:color w:val="000000"/>
          <w:spacing w:val="0"/>
          <w:kern w:val="0"/>
        </w:rPr>
      </w:pPr>
      <w:r>
        <w:rPr>
          <w:rStyle w:val="22"/>
          <w:rFonts w:hint="eastAsia" w:ascii="宋体" w:hAnsi="宋体" w:cs="宋体"/>
          <w:bCs w:val="0"/>
          <w:color w:val="000000"/>
          <w:spacing w:val="0"/>
          <w:kern w:val="0"/>
          <w:sz w:val="24"/>
          <w:szCs w:val="24"/>
        </w:rPr>
        <w:t>一、项目基本信息</w:t>
      </w:r>
    </w:p>
    <w:tbl>
      <w:tblPr>
        <w:tblStyle w:val="19"/>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3"/>
        <w:gridCol w:w="2603"/>
        <w:gridCol w:w="2340"/>
        <w:gridCol w:w="3173"/>
      </w:tblGrid>
      <w:tr w14:paraId="43E93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3" w:type="dxa"/>
            <w:vAlign w:val="center"/>
          </w:tcPr>
          <w:p w14:paraId="3A1B337C">
            <w:pPr>
              <w:keepNext w:val="0"/>
              <w:keepLines w:val="0"/>
              <w:suppressLineNumbers w:val="0"/>
              <w:spacing w:before="0" w:beforeAutospacing="0" w:after="0" w:afterAutospacing="0"/>
              <w:ind w:left="0" w:right="0"/>
              <w:jc w:val="center"/>
              <w:rPr>
                <w:rFonts w:hint="default"/>
                <w:bCs/>
                <w:color w:val="auto"/>
                <w:szCs w:val="21"/>
              </w:rPr>
            </w:pPr>
            <w:r>
              <w:rPr>
                <w:rFonts w:hint="eastAsia"/>
                <w:bCs/>
                <w:color w:val="auto"/>
                <w:szCs w:val="21"/>
              </w:rPr>
              <w:t>序号</w:t>
            </w:r>
          </w:p>
        </w:tc>
        <w:tc>
          <w:tcPr>
            <w:tcW w:w="2603" w:type="dxa"/>
            <w:vAlign w:val="center"/>
          </w:tcPr>
          <w:p w14:paraId="691A1355">
            <w:pPr>
              <w:keepNext w:val="0"/>
              <w:keepLines w:val="0"/>
              <w:suppressLineNumbers w:val="0"/>
              <w:spacing w:before="0" w:beforeAutospacing="0" w:after="0" w:afterAutospacing="0"/>
              <w:ind w:left="0" w:right="0"/>
              <w:jc w:val="center"/>
              <w:rPr>
                <w:rFonts w:hint="default" w:eastAsiaTheme="minorEastAsia"/>
                <w:bCs/>
                <w:color w:val="auto"/>
                <w:szCs w:val="21"/>
                <w:lang w:val="en-US" w:eastAsia="zh-CN"/>
              </w:rPr>
            </w:pPr>
            <w:r>
              <w:rPr>
                <w:rFonts w:hint="eastAsia"/>
                <w:color w:val="auto"/>
                <w:szCs w:val="21"/>
                <w:lang w:val="en-US" w:eastAsia="zh-CN"/>
              </w:rPr>
              <w:t>项目编号</w:t>
            </w:r>
          </w:p>
        </w:tc>
        <w:tc>
          <w:tcPr>
            <w:tcW w:w="2340" w:type="dxa"/>
            <w:vAlign w:val="center"/>
          </w:tcPr>
          <w:p w14:paraId="3B1EEF68">
            <w:pPr>
              <w:keepNext w:val="0"/>
              <w:keepLines w:val="0"/>
              <w:suppressLineNumbers w:val="0"/>
              <w:spacing w:before="0" w:beforeAutospacing="0" w:after="0" w:afterAutospacing="0"/>
              <w:ind w:left="0" w:right="0"/>
              <w:jc w:val="center"/>
              <w:rPr>
                <w:rFonts w:hint="default"/>
                <w:bCs/>
                <w:color w:val="auto"/>
                <w:szCs w:val="21"/>
              </w:rPr>
            </w:pPr>
            <w:r>
              <w:rPr>
                <w:rFonts w:hint="eastAsia"/>
                <w:bCs/>
                <w:color w:val="auto"/>
                <w:szCs w:val="21"/>
              </w:rPr>
              <w:t>项目名称</w:t>
            </w:r>
          </w:p>
        </w:tc>
        <w:tc>
          <w:tcPr>
            <w:tcW w:w="3173" w:type="dxa"/>
            <w:vAlign w:val="center"/>
          </w:tcPr>
          <w:p w14:paraId="58C7147A">
            <w:pPr>
              <w:keepNext w:val="0"/>
              <w:keepLines w:val="0"/>
              <w:suppressLineNumbers w:val="0"/>
              <w:spacing w:before="0" w:beforeAutospacing="0" w:after="0" w:afterAutospacing="0"/>
              <w:ind w:left="0" w:right="0"/>
              <w:jc w:val="center"/>
              <w:rPr>
                <w:rFonts w:hint="default"/>
                <w:b/>
                <w:bCs/>
                <w:color w:val="auto"/>
                <w:szCs w:val="21"/>
              </w:rPr>
            </w:pPr>
            <w:r>
              <w:rPr>
                <w:rFonts w:hint="eastAsia"/>
                <w:b/>
                <w:bCs/>
                <w:color w:val="auto"/>
                <w:szCs w:val="21"/>
              </w:rPr>
              <w:t>预算限额（元）</w:t>
            </w:r>
          </w:p>
        </w:tc>
      </w:tr>
      <w:tr w14:paraId="0EBD3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13" w:type="dxa"/>
            <w:vAlign w:val="center"/>
          </w:tcPr>
          <w:p w14:paraId="09A1FC97">
            <w:pPr>
              <w:keepNext w:val="0"/>
              <w:keepLines w:val="0"/>
              <w:suppressLineNumbers w:val="0"/>
              <w:spacing w:before="0" w:beforeAutospacing="0" w:after="0" w:afterAutospacing="0"/>
              <w:ind w:left="0" w:right="0"/>
              <w:jc w:val="center"/>
              <w:rPr>
                <w:rFonts w:hint="default"/>
                <w:bCs/>
                <w:color w:val="auto"/>
                <w:szCs w:val="21"/>
              </w:rPr>
            </w:pPr>
            <w:r>
              <w:rPr>
                <w:rFonts w:hint="eastAsia"/>
                <w:bCs/>
                <w:color w:val="auto"/>
                <w:szCs w:val="21"/>
              </w:rPr>
              <w:t>1</w:t>
            </w:r>
          </w:p>
        </w:tc>
        <w:tc>
          <w:tcPr>
            <w:tcW w:w="2603" w:type="dxa"/>
            <w:vAlign w:val="center"/>
          </w:tcPr>
          <w:p w14:paraId="059E7D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right="0"/>
              <w:jc w:val="center"/>
              <w:rPr>
                <w:rFonts w:hint="eastAsia" w:eastAsia="宋体"/>
                <w:bCs/>
                <w:color w:val="auto"/>
                <w:szCs w:val="21"/>
                <w:lang w:eastAsia="zh-CN"/>
              </w:rPr>
            </w:pPr>
            <w:r>
              <w:rPr>
                <w:rFonts w:hint="eastAsia"/>
                <w:color w:val="auto"/>
                <w:sz w:val="24"/>
                <w:szCs w:val="24"/>
                <w:lang w:val="en-US" w:eastAsia="zh-CN"/>
              </w:rPr>
              <w:t>ENT202610-002</w:t>
            </w:r>
            <w:r>
              <w:rPr>
                <w:rFonts w:hint="eastAsia"/>
                <w:bCs/>
                <w:color w:val="auto"/>
                <w:szCs w:val="21"/>
                <w:lang w:val="en-US" w:eastAsia="zh-CN"/>
              </w:rPr>
              <w:t xml:space="preserve"> </w:t>
            </w:r>
          </w:p>
        </w:tc>
        <w:tc>
          <w:tcPr>
            <w:tcW w:w="2340" w:type="dxa"/>
            <w:vAlign w:val="center"/>
          </w:tcPr>
          <w:p w14:paraId="2FBA81E0">
            <w:pPr>
              <w:keepNext w:val="0"/>
              <w:keepLines w:val="0"/>
              <w:suppressLineNumbers w:val="0"/>
              <w:spacing w:before="0" w:beforeAutospacing="0" w:after="0" w:afterAutospacing="0"/>
              <w:ind w:left="0" w:right="0"/>
              <w:jc w:val="center"/>
              <w:rPr>
                <w:rFonts w:hint="eastAsia" w:eastAsia="宋体"/>
                <w:b/>
                <w:bCs/>
                <w:color w:val="auto"/>
                <w:szCs w:val="21"/>
                <w:lang w:eastAsia="zh-CN"/>
              </w:rPr>
            </w:pPr>
            <w:r>
              <w:rPr>
                <w:rFonts w:hint="eastAsia" w:eastAsia="宋体"/>
                <w:b/>
                <w:bCs/>
                <w:color w:val="auto"/>
                <w:szCs w:val="21"/>
                <w:lang w:eastAsia="zh-CN"/>
              </w:rPr>
              <w:t>动物房显示设备及控制系统配套设备（</w:t>
            </w:r>
            <w:r>
              <w:rPr>
                <w:rFonts w:hint="eastAsia" w:eastAsia="宋体"/>
                <w:b/>
                <w:bCs/>
                <w:color w:val="auto"/>
                <w:szCs w:val="21"/>
                <w:lang w:val="en-US" w:eastAsia="zh-CN"/>
              </w:rPr>
              <w:t>三次招标</w:t>
            </w:r>
            <w:r>
              <w:rPr>
                <w:rFonts w:hint="eastAsia" w:eastAsia="宋体"/>
                <w:b/>
                <w:bCs/>
                <w:color w:val="auto"/>
                <w:szCs w:val="21"/>
                <w:lang w:eastAsia="zh-CN"/>
              </w:rPr>
              <w:t>）</w:t>
            </w:r>
          </w:p>
        </w:tc>
        <w:tc>
          <w:tcPr>
            <w:tcW w:w="3173" w:type="dxa"/>
            <w:vAlign w:val="center"/>
          </w:tcPr>
          <w:p w14:paraId="184F9A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20" w:lineRule="atLeast"/>
              <w:ind w:left="0" w:right="0"/>
              <w:jc w:val="center"/>
              <w:rPr>
                <w:rFonts w:hint="default" w:eastAsiaTheme="minorEastAsia"/>
                <w:bCs/>
                <w:color w:val="auto"/>
                <w:szCs w:val="21"/>
                <w:lang w:val="en-US" w:eastAsia="zh-CN"/>
              </w:rPr>
            </w:pPr>
            <w:r>
              <w:rPr>
                <w:rFonts w:hint="eastAsia"/>
                <w:bCs/>
                <w:color w:val="auto"/>
                <w:szCs w:val="21"/>
                <w:lang w:val="en-US" w:eastAsia="zh-CN"/>
              </w:rPr>
              <w:t>194150</w:t>
            </w:r>
          </w:p>
        </w:tc>
      </w:tr>
      <w:tr w14:paraId="53B6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356" w:type="dxa"/>
            <w:gridSpan w:val="3"/>
            <w:vAlign w:val="center"/>
          </w:tcPr>
          <w:p w14:paraId="7334983C">
            <w:pPr>
              <w:keepNext w:val="0"/>
              <w:keepLines w:val="0"/>
              <w:suppressLineNumbers w:val="0"/>
              <w:spacing w:before="0" w:beforeAutospacing="0" w:after="0" w:afterAutospacing="0"/>
              <w:ind w:left="0" w:right="0"/>
              <w:jc w:val="center"/>
              <w:rPr>
                <w:rFonts w:hint="default"/>
                <w:b/>
                <w:bCs/>
                <w:color w:val="auto"/>
                <w:szCs w:val="21"/>
              </w:rPr>
            </w:pPr>
            <w:r>
              <w:rPr>
                <w:rFonts w:hint="default"/>
                <w:b/>
                <w:bCs/>
                <w:color w:val="auto"/>
                <w:szCs w:val="21"/>
              </w:rPr>
              <w:t>合计</w:t>
            </w:r>
          </w:p>
        </w:tc>
        <w:tc>
          <w:tcPr>
            <w:tcW w:w="3173" w:type="dxa"/>
            <w:vAlign w:val="center"/>
          </w:tcPr>
          <w:p w14:paraId="258BA4A9">
            <w:pPr>
              <w:keepNext w:val="0"/>
              <w:keepLines w:val="0"/>
              <w:suppressLineNumbers w:val="0"/>
              <w:spacing w:before="0" w:beforeAutospacing="0" w:after="0" w:afterAutospacing="0"/>
              <w:ind w:left="0" w:right="0"/>
              <w:jc w:val="center"/>
              <w:rPr>
                <w:rFonts w:hint="default" w:eastAsia="宋体"/>
                <w:bCs/>
                <w:color w:val="auto"/>
                <w:szCs w:val="21"/>
                <w:lang w:val="en-US" w:eastAsia="zh-CN"/>
              </w:rPr>
            </w:pPr>
            <w:r>
              <w:rPr>
                <w:rFonts w:hint="eastAsia" w:eastAsia="宋体"/>
                <w:bCs/>
                <w:color w:val="auto"/>
                <w:szCs w:val="21"/>
                <w:lang w:val="en-US" w:eastAsia="zh-CN"/>
              </w:rPr>
              <w:t>194150</w:t>
            </w:r>
          </w:p>
        </w:tc>
      </w:tr>
    </w:tbl>
    <w:p w14:paraId="7C672B57">
      <w:pPr>
        <w:pStyle w:val="18"/>
        <w:jc w:val="center"/>
        <w:rPr>
          <w:rStyle w:val="22"/>
          <w:rFonts w:hint="eastAsia" w:ascii="宋体" w:hAnsi="宋体" w:cs="宋体"/>
          <w:b/>
          <w:bCs w:val="0"/>
          <w:color w:val="000000"/>
          <w:spacing w:val="0"/>
          <w:kern w:val="0"/>
          <w:lang w:val="en-US"/>
        </w:rPr>
      </w:pPr>
    </w:p>
    <w:p w14:paraId="41D1D354">
      <w:pPr>
        <w:pStyle w:val="18"/>
        <w:jc w:val="center"/>
        <w:rPr>
          <w:rStyle w:val="22"/>
          <w:rFonts w:hint="eastAsia" w:ascii="宋体" w:hAnsi="宋体" w:cs="宋体"/>
          <w:bCs w:val="0"/>
          <w:color w:val="000000"/>
          <w:spacing w:val="0"/>
          <w:kern w:val="0"/>
        </w:rPr>
      </w:pPr>
      <w:r>
        <w:rPr>
          <w:rStyle w:val="22"/>
          <w:rFonts w:hint="eastAsia" w:ascii="宋体" w:hAnsi="宋体" w:cs="宋体"/>
          <w:b/>
          <w:bCs w:val="0"/>
          <w:color w:val="000000"/>
          <w:spacing w:val="0"/>
          <w:kern w:val="0"/>
          <w:lang w:val="en-US"/>
        </w:rPr>
        <w:t>二、</w:t>
      </w:r>
      <w:r>
        <w:rPr>
          <w:rFonts w:hint="eastAsia"/>
          <w:b/>
          <w:bCs w:val="0"/>
          <w:szCs w:val="24"/>
          <w:lang w:val="en-US" w:eastAsia="zh-CN"/>
        </w:rPr>
        <w:t>货物</w:t>
      </w:r>
      <w:r>
        <w:rPr>
          <w:rFonts w:hint="eastAsia"/>
          <w:b/>
          <w:bCs w:val="0"/>
          <w:szCs w:val="24"/>
        </w:rPr>
        <w:t>明细</w:t>
      </w:r>
    </w:p>
    <w:tbl>
      <w:tblPr>
        <w:tblStyle w:val="19"/>
        <w:tblW w:w="4996" w:type="pct"/>
        <w:jc w:val="center"/>
        <w:tblCellSpacing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31"/>
        <w:gridCol w:w="2408"/>
        <w:gridCol w:w="734"/>
        <w:gridCol w:w="784"/>
        <w:gridCol w:w="1289"/>
        <w:gridCol w:w="935"/>
        <w:gridCol w:w="1202"/>
        <w:gridCol w:w="1230"/>
      </w:tblGrid>
      <w:tr w14:paraId="51DD69B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4" w:hRule="atLeast"/>
          <w:tblHeader/>
          <w:tblCellSpacing w:w="0" w:type="dxa"/>
          <w:jc w:val="center"/>
        </w:trPr>
        <w:tc>
          <w:tcPr>
            <w:tcW w:w="342" w:type="pct"/>
            <w:tcBorders>
              <w:bottom w:val="single" w:color="auto" w:sz="2" w:space="0"/>
            </w:tcBorders>
            <w:tcMar>
              <w:top w:w="15" w:type="dxa"/>
              <w:left w:w="15" w:type="dxa"/>
              <w:bottom w:w="15" w:type="dxa"/>
              <w:right w:w="15" w:type="dxa"/>
            </w:tcMar>
            <w:vAlign w:val="center"/>
          </w:tcPr>
          <w:p w14:paraId="32DE9F3B">
            <w:pPr>
              <w:adjustRightInd w:val="0"/>
              <w:snapToGrid w:val="0"/>
              <w:spacing w:line="360" w:lineRule="auto"/>
              <w:jc w:val="center"/>
              <w:rPr>
                <w:rFonts w:ascii="宋体" w:hAnsi="宋体" w:eastAsia="宋体" w:cs="宋体"/>
                <w:b/>
                <w:bCs/>
                <w:color w:val="auto"/>
              </w:rPr>
            </w:pPr>
            <w:r>
              <w:rPr>
                <w:rFonts w:hint="eastAsia" w:ascii="宋体" w:hAnsi="宋体" w:eastAsia="宋体" w:cs="宋体"/>
                <w:b/>
                <w:bCs/>
                <w:color w:val="auto"/>
              </w:rPr>
              <w:t>序号</w:t>
            </w:r>
          </w:p>
        </w:tc>
        <w:tc>
          <w:tcPr>
            <w:tcW w:w="1306" w:type="pct"/>
            <w:tcBorders>
              <w:bottom w:val="single" w:color="auto" w:sz="2" w:space="0"/>
            </w:tcBorders>
            <w:tcMar>
              <w:top w:w="15" w:type="dxa"/>
              <w:left w:w="15" w:type="dxa"/>
              <w:bottom w:w="15" w:type="dxa"/>
              <w:right w:w="15" w:type="dxa"/>
            </w:tcMar>
            <w:vAlign w:val="center"/>
          </w:tcPr>
          <w:p w14:paraId="741AE78F">
            <w:pPr>
              <w:adjustRightInd w:val="0"/>
              <w:snapToGrid w:val="0"/>
              <w:spacing w:line="360" w:lineRule="auto"/>
              <w:jc w:val="center"/>
              <w:rPr>
                <w:rFonts w:hint="eastAsia" w:ascii="宋体" w:hAnsi="宋体" w:cs="宋体" w:eastAsiaTheme="minorEastAsia"/>
                <w:b/>
                <w:bCs/>
                <w:color w:val="auto"/>
                <w:lang w:eastAsia="zh-CN"/>
              </w:rPr>
            </w:pPr>
            <w:r>
              <w:rPr>
                <w:rFonts w:hint="eastAsia" w:ascii="宋体" w:hAnsi="宋体" w:cs="宋体"/>
                <w:b/>
                <w:bCs/>
                <w:color w:val="auto"/>
              </w:rPr>
              <w:t>项目</w:t>
            </w:r>
            <w:r>
              <w:rPr>
                <w:rFonts w:hint="eastAsia" w:ascii="宋体" w:hAnsi="宋体" w:eastAsia="宋体" w:cs="宋体"/>
                <w:b/>
                <w:bCs/>
                <w:color w:val="auto"/>
                <w:lang w:val="en-US" w:eastAsia="zh-CN"/>
              </w:rPr>
              <w:t>明细</w:t>
            </w:r>
          </w:p>
        </w:tc>
        <w:tc>
          <w:tcPr>
            <w:tcW w:w="398" w:type="pct"/>
            <w:tcBorders>
              <w:bottom w:val="single" w:color="auto" w:sz="2" w:space="0"/>
            </w:tcBorders>
            <w:shd w:val="clear" w:color="auto" w:fill="auto"/>
            <w:tcMar>
              <w:top w:w="15" w:type="dxa"/>
              <w:left w:w="15" w:type="dxa"/>
              <w:bottom w:w="15" w:type="dxa"/>
              <w:right w:w="15" w:type="dxa"/>
            </w:tcMar>
            <w:vAlign w:val="center"/>
          </w:tcPr>
          <w:p w14:paraId="1B4C60DE">
            <w:pPr>
              <w:adjustRightInd w:val="0"/>
              <w:snapToGrid w:val="0"/>
              <w:spacing w:line="360" w:lineRule="auto"/>
              <w:jc w:val="center"/>
              <w:rPr>
                <w:rFonts w:ascii="宋体" w:hAnsi="宋体" w:eastAsia="宋体" w:cs="宋体"/>
                <w:b/>
                <w:bCs/>
                <w:color w:val="auto"/>
              </w:rPr>
            </w:pPr>
            <w:r>
              <w:rPr>
                <w:rFonts w:hint="eastAsia" w:ascii="宋体" w:hAnsi="宋体" w:eastAsia="宋体" w:cs="宋体"/>
                <w:b/>
                <w:bCs/>
                <w:color w:val="auto"/>
              </w:rPr>
              <w:t>数量</w:t>
            </w:r>
          </w:p>
        </w:tc>
        <w:tc>
          <w:tcPr>
            <w:tcW w:w="425" w:type="pct"/>
            <w:tcBorders>
              <w:bottom w:val="single" w:color="auto" w:sz="2" w:space="0"/>
            </w:tcBorders>
            <w:shd w:val="clear" w:color="auto" w:fill="auto"/>
            <w:tcMar>
              <w:top w:w="15" w:type="dxa"/>
              <w:left w:w="15" w:type="dxa"/>
              <w:bottom w:w="15" w:type="dxa"/>
              <w:right w:w="15" w:type="dxa"/>
            </w:tcMar>
            <w:vAlign w:val="center"/>
          </w:tcPr>
          <w:p w14:paraId="1FDAB8DF">
            <w:pPr>
              <w:adjustRightInd w:val="0"/>
              <w:snapToGrid w:val="0"/>
              <w:spacing w:line="360" w:lineRule="auto"/>
              <w:jc w:val="center"/>
              <w:rPr>
                <w:rFonts w:ascii="宋体" w:hAnsi="宋体" w:eastAsia="宋体" w:cs="宋体"/>
                <w:b/>
                <w:bCs/>
                <w:color w:val="auto"/>
              </w:rPr>
            </w:pPr>
            <w:r>
              <w:rPr>
                <w:rFonts w:hint="eastAsia" w:ascii="宋体" w:hAnsi="宋体" w:cs="宋体"/>
                <w:b/>
                <w:bCs/>
                <w:color w:val="auto"/>
                <w:lang w:bidi="ar"/>
              </w:rPr>
              <w:t>单位</w:t>
            </w:r>
          </w:p>
        </w:tc>
        <w:tc>
          <w:tcPr>
            <w:tcW w:w="699" w:type="pct"/>
            <w:tcBorders>
              <w:bottom w:val="single" w:color="auto" w:sz="2" w:space="0"/>
            </w:tcBorders>
            <w:tcMar>
              <w:top w:w="15" w:type="dxa"/>
              <w:left w:w="15" w:type="dxa"/>
              <w:bottom w:w="15" w:type="dxa"/>
              <w:right w:w="15" w:type="dxa"/>
            </w:tcMar>
            <w:vAlign w:val="center"/>
          </w:tcPr>
          <w:p w14:paraId="6648682A">
            <w:pPr>
              <w:adjustRightInd w:val="0"/>
              <w:snapToGrid w:val="0"/>
              <w:spacing w:line="360" w:lineRule="auto"/>
              <w:jc w:val="center"/>
              <w:rPr>
                <w:rFonts w:ascii="宋体" w:hAnsi="宋体" w:eastAsia="宋体" w:cs="宋体"/>
                <w:b/>
                <w:bCs/>
                <w:color w:val="auto"/>
              </w:rPr>
            </w:pPr>
            <w:r>
              <w:rPr>
                <w:rFonts w:hint="eastAsia" w:ascii="宋体" w:hAnsi="宋体" w:eastAsia="宋体" w:cs="宋体"/>
                <w:b/>
                <w:bCs/>
                <w:color w:val="auto"/>
              </w:rPr>
              <w:t>预算总价</w:t>
            </w:r>
          </w:p>
          <w:p w14:paraId="150F3011">
            <w:pPr>
              <w:adjustRightInd w:val="0"/>
              <w:snapToGrid w:val="0"/>
              <w:spacing w:line="360" w:lineRule="auto"/>
              <w:jc w:val="center"/>
              <w:rPr>
                <w:rFonts w:ascii="宋体" w:hAnsi="宋体" w:eastAsia="宋体" w:cs="宋体"/>
                <w:b/>
                <w:bCs/>
                <w:color w:val="auto"/>
              </w:rPr>
            </w:pPr>
            <w:r>
              <w:rPr>
                <w:rFonts w:hint="eastAsia" w:ascii="宋体" w:hAnsi="宋体" w:eastAsia="宋体" w:cs="宋体"/>
                <w:b/>
                <w:bCs/>
                <w:color w:val="auto"/>
              </w:rPr>
              <w:t>(元)</w:t>
            </w:r>
          </w:p>
        </w:tc>
        <w:tc>
          <w:tcPr>
            <w:tcW w:w="507" w:type="pct"/>
            <w:tcBorders>
              <w:bottom w:val="single" w:color="auto" w:sz="2" w:space="0"/>
            </w:tcBorders>
            <w:tcMar>
              <w:top w:w="15" w:type="dxa"/>
              <w:left w:w="15" w:type="dxa"/>
              <w:bottom w:w="15" w:type="dxa"/>
              <w:right w:w="15" w:type="dxa"/>
            </w:tcMar>
            <w:vAlign w:val="center"/>
          </w:tcPr>
          <w:p w14:paraId="0E097C93">
            <w:pPr>
              <w:adjustRightInd w:val="0"/>
              <w:snapToGrid w:val="0"/>
              <w:spacing w:line="360" w:lineRule="auto"/>
              <w:jc w:val="center"/>
              <w:rPr>
                <w:rFonts w:ascii="宋体" w:hAnsi="宋体" w:eastAsia="宋体" w:cs="宋体"/>
                <w:b/>
                <w:bCs/>
                <w:color w:val="auto"/>
              </w:rPr>
            </w:pPr>
            <w:r>
              <w:rPr>
                <w:rFonts w:hint="eastAsia" w:ascii="宋体" w:hAnsi="宋体" w:eastAsia="宋体" w:cs="宋体"/>
                <w:b/>
                <w:bCs/>
                <w:color w:val="auto"/>
              </w:rPr>
              <w:t>是否</w:t>
            </w:r>
            <w:r>
              <w:rPr>
                <w:rFonts w:hint="eastAsia" w:ascii="宋体" w:hAnsi="宋体" w:eastAsia="宋体" w:cs="宋体"/>
                <w:b/>
                <w:bCs/>
                <w:color w:val="auto"/>
                <w:lang w:val="en-US" w:eastAsia="zh-CN"/>
              </w:rPr>
              <w:t>允许</w:t>
            </w:r>
            <w:r>
              <w:rPr>
                <w:rFonts w:hint="eastAsia" w:ascii="宋体" w:hAnsi="宋体" w:eastAsia="宋体" w:cs="宋体"/>
                <w:b/>
                <w:bCs/>
                <w:color w:val="auto"/>
              </w:rPr>
              <w:t>进口</w:t>
            </w:r>
          </w:p>
        </w:tc>
        <w:tc>
          <w:tcPr>
            <w:tcW w:w="652" w:type="pct"/>
            <w:tcBorders>
              <w:bottom w:val="single" w:color="auto" w:sz="2" w:space="0"/>
            </w:tcBorders>
            <w:tcMar>
              <w:top w:w="15" w:type="dxa"/>
              <w:left w:w="15" w:type="dxa"/>
              <w:bottom w:w="15" w:type="dxa"/>
              <w:right w:w="15" w:type="dxa"/>
            </w:tcMar>
            <w:vAlign w:val="center"/>
          </w:tcPr>
          <w:p w14:paraId="093F0DC1">
            <w:pPr>
              <w:adjustRightInd w:val="0"/>
              <w:snapToGrid w:val="0"/>
              <w:spacing w:line="360" w:lineRule="auto"/>
              <w:jc w:val="center"/>
              <w:rPr>
                <w:rFonts w:hint="eastAsia" w:ascii="宋体" w:hAnsi="宋体" w:eastAsia="宋体" w:cs="宋体"/>
                <w:b/>
                <w:bCs/>
                <w:color w:val="auto"/>
              </w:rPr>
            </w:pPr>
            <w:r>
              <w:rPr>
                <w:rFonts w:hint="eastAsia"/>
                <w:b/>
                <w:bCs/>
                <w:color w:val="auto"/>
                <w:szCs w:val="21"/>
                <w:lang w:val="en-US" w:eastAsia="zh-CN"/>
              </w:rPr>
              <w:t>是否专门面向中小企业</w:t>
            </w:r>
          </w:p>
        </w:tc>
        <w:tc>
          <w:tcPr>
            <w:tcW w:w="667" w:type="pct"/>
            <w:tcBorders>
              <w:bottom w:val="single" w:color="auto" w:sz="2" w:space="0"/>
            </w:tcBorders>
            <w:shd w:val="clear" w:color="auto" w:fill="auto"/>
            <w:tcMar>
              <w:top w:w="15" w:type="dxa"/>
              <w:left w:w="15" w:type="dxa"/>
              <w:bottom w:w="15" w:type="dxa"/>
              <w:right w:w="15" w:type="dxa"/>
            </w:tcMar>
            <w:vAlign w:val="center"/>
          </w:tcPr>
          <w:p w14:paraId="1EFDA2C1">
            <w:pPr>
              <w:jc w:val="center"/>
              <w:rPr>
                <w:rFonts w:hint="eastAsia" w:ascii="Times New Roman" w:hAnsi="Times New Roman" w:cs="Times New Roman" w:eastAsiaTheme="minorEastAsia"/>
                <w:b/>
                <w:bCs/>
                <w:color w:val="auto"/>
                <w:sz w:val="24"/>
                <w:szCs w:val="21"/>
                <w:lang w:val="en-US" w:eastAsia="zh-CN" w:bidi="ar-SA"/>
              </w:rPr>
            </w:pPr>
            <w:r>
              <w:rPr>
                <w:rFonts w:hint="eastAsia"/>
                <w:b/>
                <w:bCs/>
                <w:color w:val="auto"/>
                <w:szCs w:val="21"/>
              </w:rPr>
              <w:t>标的所属行业</w:t>
            </w:r>
          </w:p>
        </w:tc>
      </w:tr>
      <w:tr w14:paraId="647840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6EDAFFE5">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288802A1">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拼接屏</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0B61464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6</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0D30912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套</w:t>
            </w:r>
          </w:p>
        </w:tc>
        <w:tc>
          <w:tcPr>
            <w:tcW w:w="699" w:type="pct"/>
            <w:vMerge w:val="restart"/>
            <w:tcBorders>
              <w:top w:val="single" w:color="auto" w:sz="2" w:space="0"/>
            </w:tcBorders>
            <w:tcMar>
              <w:top w:w="15" w:type="dxa"/>
              <w:left w:w="15" w:type="dxa"/>
              <w:bottom w:w="15" w:type="dxa"/>
              <w:right w:w="15" w:type="dxa"/>
            </w:tcMar>
            <w:vAlign w:val="center"/>
          </w:tcPr>
          <w:p w14:paraId="2131D9DA">
            <w:pPr>
              <w:adjustRightInd w:val="0"/>
              <w:snapToGrid w:val="0"/>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194150元</w:t>
            </w:r>
          </w:p>
        </w:tc>
        <w:tc>
          <w:tcPr>
            <w:tcW w:w="507" w:type="pct"/>
            <w:vMerge w:val="restart"/>
            <w:tcBorders>
              <w:top w:val="single" w:color="auto" w:sz="2" w:space="0"/>
            </w:tcBorders>
            <w:tcMar>
              <w:top w:w="15" w:type="dxa"/>
              <w:left w:w="15" w:type="dxa"/>
              <w:bottom w:w="15" w:type="dxa"/>
              <w:right w:w="15" w:type="dxa"/>
            </w:tcMar>
            <w:vAlign w:val="center"/>
          </w:tcPr>
          <w:p w14:paraId="037FC7BD">
            <w:pPr>
              <w:adjustRightInd w:val="0"/>
              <w:snapToGrid w:val="0"/>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拒绝进口</w:t>
            </w:r>
          </w:p>
        </w:tc>
        <w:tc>
          <w:tcPr>
            <w:tcW w:w="652" w:type="pct"/>
            <w:vMerge w:val="restart"/>
            <w:tcBorders>
              <w:top w:val="single" w:color="auto" w:sz="2" w:space="0"/>
            </w:tcBorders>
            <w:tcMar>
              <w:top w:w="15" w:type="dxa"/>
              <w:left w:w="15" w:type="dxa"/>
              <w:bottom w:w="15" w:type="dxa"/>
              <w:right w:w="15" w:type="dxa"/>
            </w:tcMar>
            <w:vAlign w:val="center"/>
          </w:tcPr>
          <w:p w14:paraId="59FA5EEA">
            <w:pPr>
              <w:adjustRightInd w:val="0"/>
              <w:snapToGrid w:val="0"/>
              <w:jc w:val="center"/>
              <w:rPr>
                <w:rFonts w:hint="default" w:ascii="宋体" w:hAnsi="宋体" w:eastAsia="宋体" w:cs="宋体"/>
                <w:color w:val="auto"/>
                <w:lang w:val="en-US" w:eastAsia="zh-CN"/>
              </w:rPr>
            </w:pPr>
            <w:r>
              <w:rPr>
                <w:rFonts w:hint="eastAsia" w:ascii="宋体" w:hAnsi="宋体" w:eastAsia="宋体" w:cs="宋体"/>
                <w:color w:val="auto"/>
                <w:lang w:val="en-US" w:eastAsia="zh-CN"/>
              </w:rPr>
              <w:t>否</w:t>
            </w:r>
          </w:p>
        </w:tc>
        <w:tc>
          <w:tcPr>
            <w:tcW w:w="667" w:type="pct"/>
            <w:vMerge w:val="restart"/>
            <w:tcBorders>
              <w:top w:val="single" w:color="auto" w:sz="2" w:space="0"/>
            </w:tcBorders>
            <w:tcMar>
              <w:top w:w="15" w:type="dxa"/>
              <w:left w:w="15" w:type="dxa"/>
              <w:bottom w:w="15" w:type="dxa"/>
              <w:right w:w="15" w:type="dxa"/>
            </w:tcMar>
            <w:vAlign w:val="center"/>
          </w:tcPr>
          <w:p w14:paraId="49F531C1">
            <w:pPr>
              <w:adjustRightInd w:val="0"/>
              <w:snapToGrid w:val="0"/>
              <w:jc w:val="center"/>
              <w:rPr>
                <w:rFonts w:hint="eastAsia" w:ascii="宋体" w:hAnsi="宋体" w:eastAsia="宋体" w:cs="宋体"/>
                <w:color w:val="auto"/>
                <w:lang w:val="en-US" w:eastAsia="zh-CN"/>
              </w:rPr>
            </w:pPr>
            <w:r>
              <w:rPr>
                <w:rFonts w:hint="eastAsia" w:ascii="宋体" w:hAnsi="宋体" w:eastAsia="宋体" w:cs="宋体"/>
                <w:color w:val="auto"/>
                <w:lang w:val="en-US" w:eastAsia="zh-CN"/>
              </w:rPr>
              <w:t>工</w:t>
            </w:r>
            <w:r>
              <w:rPr>
                <w:rFonts w:hint="default" w:ascii="宋体" w:hAnsi="宋体" w:eastAsia="宋体" w:cs="宋体"/>
                <w:color w:val="auto"/>
                <w:lang w:val="en-US" w:eastAsia="zh-CN"/>
              </w:rPr>
              <w:t>业</w:t>
            </w:r>
          </w:p>
        </w:tc>
      </w:tr>
      <w:tr w14:paraId="636D4B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15695631">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6801F9D4">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拼接屏支架</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61E61A3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249AF787">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套</w:t>
            </w:r>
          </w:p>
        </w:tc>
        <w:tc>
          <w:tcPr>
            <w:tcW w:w="699" w:type="pct"/>
            <w:vMerge w:val="continue"/>
            <w:tcMar>
              <w:top w:w="15" w:type="dxa"/>
              <w:left w:w="15" w:type="dxa"/>
              <w:bottom w:w="15" w:type="dxa"/>
              <w:right w:w="15" w:type="dxa"/>
            </w:tcMar>
            <w:vAlign w:val="center"/>
          </w:tcPr>
          <w:p w14:paraId="2B2F3210">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5A653411">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3B78286F">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0A0AF46D">
            <w:pPr>
              <w:adjustRightInd w:val="0"/>
              <w:snapToGrid w:val="0"/>
              <w:jc w:val="center"/>
              <w:rPr>
                <w:rFonts w:hint="eastAsia" w:ascii="宋体" w:hAnsi="宋体" w:eastAsia="宋体" w:cs="宋体"/>
                <w:color w:val="auto"/>
                <w:lang w:val="en-US" w:eastAsia="zh-CN"/>
              </w:rPr>
            </w:pPr>
          </w:p>
        </w:tc>
      </w:tr>
      <w:tr w14:paraId="0A87D21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0B9E8443">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112BD46B">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HDMI高清线</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5A7009C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6</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435C5E0A">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根</w:t>
            </w:r>
          </w:p>
        </w:tc>
        <w:tc>
          <w:tcPr>
            <w:tcW w:w="699" w:type="pct"/>
            <w:vMerge w:val="continue"/>
            <w:tcMar>
              <w:top w:w="15" w:type="dxa"/>
              <w:left w:w="15" w:type="dxa"/>
              <w:bottom w:w="15" w:type="dxa"/>
              <w:right w:w="15" w:type="dxa"/>
            </w:tcMar>
            <w:vAlign w:val="center"/>
          </w:tcPr>
          <w:p w14:paraId="63F9E061">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0EC51215">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7F4B2399">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0BB1C480">
            <w:pPr>
              <w:adjustRightInd w:val="0"/>
              <w:snapToGrid w:val="0"/>
              <w:jc w:val="center"/>
              <w:rPr>
                <w:rFonts w:hint="eastAsia" w:ascii="宋体" w:hAnsi="宋体" w:eastAsia="宋体" w:cs="宋体"/>
                <w:color w:val="auto"/>
                <w:lang w:val="en-US" w:eastAsia="zh-CN"/>
              </w:rPr>
            </w:pPr>
          </w:p>
        </w:tc>
      </w:tr>
      <w:tr w14:paraId="4FC4C32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53CD50F6">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2065154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解码器</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2BFC75E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191D3BCD">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台</w:t>
            </w:r>
          </w:p>
        </w:tc>
        <w:tc>
          <w:tcPr>
            <w:tcW w:w="699" w:type="pct"/>
            <w:vMerge w:val="continue"/>
            <w:tcMar>
              <w:top w:w="15" w:type="dxa"/>
              <w:left w:w="15" w:type="dxa"/>
              <w:bottom w:w="15" w:type="dxa"/>
              <w:right w:w="15" w:type="dxa"/>
            </w:tcMar>
            <w:vAlign w:val="center"/>
          </w:tcPr>
          <w:p w14:paraId="425ABC5C">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504396CB">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4B4F7310">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6E1C79FD">
            <w:pPr>
              <w:adjustRightInd w:val="0"/>
              <w:snapToGrid w:val="0"/>
              <w:jc w:val="center"/>
              <w:rPr>
                <w:rFonts w:hint="eastAsia" w:ascii="宋体" w:hAnsi="宋体" w:eastAsia="宋体" w:cs="宋体"/>
                <w:color w:val="auto"/>
                <w:lang w:val="en-US" w:eastAsia="zh-CN"/>
              </w:rPr>
            </w:pPr>
          </w:p>
        </w:tc>
      </w:tr>
      <w:tr w14:paraId="74D7E85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4B45FF99">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4DD6BCA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控制柜</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53B1F9DE">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7541B2D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台</w:t>
            </w:r>
          </w:p>
        </w:tc>
        <w:tc>
          <w:tcPr>
            <w:tcW w:w="699" w:type="pct"/>
            <w:vMerge w:val="continue"/>
            <w:tcMar>
              <w:top w:w="15" w:type="dxa"/>
              <w:left w:w="15" w:type="dxa"/>
              <w:bottom w:w="15" w:type="dxa"/>
              <w:right w:w="15" w:type="dxa"/>
            </w:tcMar>
            <w:vAlign w:val="center"/>
          </w:tcPr>
          <w:p w14:paraId="6D38FBCE">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4870FB65">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07966E5B">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42143B67">
            <w:pPr>
              <w:adjustRightInd w:val="0"/>
              <w:snapToGrid w:val="0"/>
              <w:jc w:val="center"/>
              <w:rPr>
                <w:rFonts w:hint="eastAsia" w:ascii="宋体" w:hAnsi="宋体" w:eastAsia="宋体" w:cs="宋体"/>
                <w:color w:val="auto"/>
                <w:lang w:val="en-US" w:eastAsia="zh-CN"/>
              </w:rPr>
            </w:pPr>
          </w:p>
        </w:tc>
      </w:tr>
      <w:tr w14:paraId="0BA227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15ED9C07">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15D08EBF">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系统授权USB硬件锁</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62B20B95">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322921AC">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套</w:t>
            </w:r>
          </w:p>
        </w:tc>
        <w:tc>
          <w:tcPr>
            <w:tcW w:w="699" w:type="pct"/>
            <w:vMerge w:val="continue"/>
            <w:tcMar>
              <w:top w:w="15" w:type="dxa"/>
              <w:left w:w="15" w:type="dxa"/>
              <w:bottom w:w="15" w:type="dxa"/>
              <w:right w:w="15" w:type="dxa"/>
            </w:tcMar>
            <w:vAlign w:val="center"/>
          </w:tcPr>
          <w:p w14:paraId="08DAFF7B">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1D0FEE6C">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691C8B06">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0A212A74">
            <w:pPr>
              <w:adjustRightInd w:val="0"/>
              <w:snapToGrid w:val="0"/>
              <w:jc w:val="center"/>
              <w:rPr>
                <w:rFonts w:hint="eastAsia" w:ascii="宋体" w:hAnsi="宋体" w:eastAsia="宋体" w:cs="宋体"/>
                <w:color w:val="auto"/>
                <w:lang w:val="en-US" w:eastAsia="zh-CN"/>
              </w:rPr>
            </w:pPr>
          </w:p>
        </w:tc>
      </w:tr>
      <w:tr w14:paraId="0D1806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53179665">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52F83AEC">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CPU控制器</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6CD6F40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1</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38A5BF36">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台</w:t>
            </w:r>
          </w:p>
        </w:tc>
        <w:tc>
          <w:tcPr>
            <w:tcW w:w="699" w:type="pct"/>
            <w:vMerge w:val="continue"/>
            <w:tcMar>
              <w:top w:w="15" w:type="dxa"/>
              <w:left w:w="15" w:type="dxa"/>
              <w:bottom w:w="15" w:type="dxa"/>
              <w:right w:w="15" w:type="dxa"/>
            </w:tcMar>
            <w:vAlign w:val="center"/>
          </w:tcPr>
          <w:p w14:paraId="7943EAE8">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1212D8C6">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466C9297">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6E7FF68A">
            <w:pPr>
              <w:adjustRightInd w:val="0"/>
              <w:snapToGrid w:val="0"/>
              <w:jc w:val="center"/>
              <w:rPr>
                <w:rFonts w:hint="eastAsia" w:ascii="宋体" w:hAnsi="宋体" w:eastAsia="宋体" w:cs="宋体"/>
                <w:color w:val="auto"/>
                <w:lang w:val="en-US" w:eastAsia="zh-CN"/>
              </w:rPr>
            </w:pPr>
          </w:p>
        </w:tc>
      </w:tr>
      <w:tr w14:paraId="773F8E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77C4F7DF">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0EF8BEB1">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扩展模块</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7EB9EA02">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6</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6E38955B">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台</w:t>
            </w:r>
          </w:p>
        </w:tc>
        <w:tc>
          <w:tcPr>
            <w:tcW w:w="699" w:type="pct"/>
            <w:vMerge w:val="continue"/>
            <w:tcMar>
              <w:top w:w="15" w:type="dxa"/>
              <w:left w:w="15" w:type="dxa"/>
              <w:bottom w:w="15" w:type="dxa"/>
              <w:right w:w="15" w:type="dxa"/>
            </w:tcMar>
            <w:vAlign w:val="center"/>
          </w:tcPr>
          <w:p w14:paraId="283A2B34">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Mar>
              <w:top w:w="15" w:type="dxa"/>
              <w:left w:w="15" w:type="dxa"/>
              <w:bottom w:w="15" w:type="dxa"/>
              <w:right w:w="15" w:type="dxa"/>
            </w:tcMar>
            <w:vAlign w:val="center"/>
          </w:tcPr>
          <w:p w14:paraId="022007F8">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75EBCCA1">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4DD38078">
            <w:pPr>
              <w:adjustRightInd w:val="0"/>
              <w:snapToGrid w:val="0"/>
              <w:jc w:val="center"/>
              <w:rPr>
                <w:rFonts w:hint="eastAsia" w:ascii="宋体" w:hAnsi="宋体" w:eastAsia="宋体" w:cs="宋体"/>
                <w:color w:val="auto"/>
                <w:lang w:val="en-US" w:eastAsia="zh-CN"/>
              </w:rPr>
            </w:pPr>
          </w:p>
        </w:tc>
      </w:tr>
      <w:tr w14:paraId="76D1E2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tblCellSpacing w:w="0" w:type="dxa"/>
          <w:jc w:val="center"/>
        </w:trPr>
        <w:tc>
          <w:tcPr>
            <w:tcW w:w="342" w:type="pct"/>
            <w:tcBorders>
              <w:top w:val="single" w:color="auto" w:sz="2" w:space="0"/>
              <w:bottom w:val="single" w:color="auto" w:sz="2" w:space="0"/>
            </w:tcBorders>
            <w:tcMar>
              <w:top w:w="15" w:type="dxa"/>
              <w:left w:w="15" w:type="dxa"/>
              <w:bottom w:w="15" w:type="dxa"/>
              <w:right w:w="15" w:type="dxa"/>
            </w:tcMar>
            <w:vAlign w:val="center"/>
          </w:tcPr>
          <w:p w14:paraId="148ADC56">
            <w:pPr>
              <w:adjustRightInd w:val="0"/>
              <w:snapToGrid w:val="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w:t>
            </w:r>
          </w:p>
        </w:tc>
        <w:tc>
          <w:tcPr>
            <w:tcW w:w="1306" w:type="pct"/>
            <w:tcBorders>
              <w:top w:val="single" w:color="auto" w:sz="2" w:space="0"/>
              <w:bottom w:val="single" w:color="auto" w:sz="2" w:space="0"/>
            </w:tcBorders>
            <w:tcMar>
              <w:top w:w="15" w:type="dxa"/>
              <w:left w:w="15" w:type="dxa"/>
              <w:bottom w:w="15" w:type="dxa"/>
              <w:right w:w="15" w:type="dxa"/>
            </w:tcMar>
            <w:vAlign w:val="center"/>
          </w:tcPr>
          <w:p w14:paraId="595F8A2E">
            <w:pPr>
              <w:keepNext w:val="0"/>
              <w:keepLines w:val="0"/>
              <w:widowControl/>
              <w:suppressLineNumbers w:val="0"/>
              <w:jc w:val="center"/>
              <w:textAlignment w:val="center"/>
              <w:rPr>
                <w:rFonts w:hint="eastAsia" w:ascii="宋体" w:hAnsi="宋体" w:eastAsia="宋体" w:cs="宋体"/>
                <w:color w:val="auto"/>
                <w:sz w:val="24"/>
                <w:szCs w:val="24"/>
              </w:rPr>
            </w:pPr>
            <w:r>
              <w:rPr>
                <w:rFonts w:hint="eastAsia" w:ascii="宋体" w:hAnsi="宋体" w:eastAsia="宋体" w:cs="宋体"/>
                <w:i w:val="0"/>
                <w:iCs w:val="0"/>
                <w:color w:val="auto"/>
                <w:kern w:val="0"/>
                <w:sz w:val="24"/>
                <w:szCs w:val="24"/>
                <w:u w:val="none"/>
                <w:lang w:val="en-US" w:eastAsia="zh-CN" w:bidi="ar"/>
              </w:rPr>
              <w:t>温湿度监测设备</w:t>
            </w:r>
          </w:p>
        </w:tc>
        <w:tc>
          <w:tcPr>
            <w:tcW w:w="398"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38D27600">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22</w:t>
            </w:r>
          </w:p>
        </w:tc>
        <w:tc>
          <w:tcPr>
            <w:tcW w:w="425" w:type="pct"/>
            <w:tcBorders>
              <w:top w:val="single" w:color="auto" w:sz="2" w:space="0"/>
              <w:bottom w:val="single" w:color="auto" w:sz="2" w:space="0"/>
            </w:tcBorders>
            <w:shd w:val="clear" w:color="auto" w:fill="auto"/>
            <w:tcMar>
              <w:top w:w="15" w:type="dxa"/>
              <w:left w:w="15" w:type="dxa"/>
              <w:bottom w:w="15" w:type="dxa"/>
              <w:right w:w="15" w:type="dxa"/>
            </w:tcMar>
            <w:vAlign w:val="center"/>
          </w:tcPr>
          <w:p w14:paraId="1BABAF11">
            <w:pPr>
              <w:keepNext w:val="0"/>
              <w:keepLines w:val="0"/>
              <w:widowControl/>
              <w:suppressLineNumbers w:val="0"/>
              <w:jc w:val="center"/>
              <w:textAlignment w:val="center"/>
              <w:rPr>
                <w:rFonts w:hint="eastAsia" w:ascii="宋体" w:hAnsi="宋体" w:eastAsia="宋体" w:cs="宋体"/>
                <w:color w:val="auto"/>
                <w:sz w:val="24"/>
                <w:szCs w:val="24"/>
                <w:lang w:val="en-US" w:eastAsia="zh-CN"/>
              </w:rPr>
            </w:pPr>
            <w:r>
              <w:rPr>
                <w:rFonts w:hint="eastAsia" w:ascii="宋体" w:hAnsi="宋体" w:eastAsia="宋体" w:cs="宋体"/>
                <w:i w:val="0"/>
                <w:iCs w:val="0"/>
                <w:color w:val="auto"/>
                <w:kern w:val="0"/>
                <w:sz w:val="24"/>
                <w:szCs w:val="24"/>
                <w:u w:val="none"/>
                <w:lang w:val="en-US" w:eastAsia="zh-CN" w:bidi="ar"/>
              </w:rPr>
              <w:t>套</w:t>
            </w:r>
          </w:p>
        </w:tc>
        <w:tc>
          <w:tcPr>
            <w:tcW w:w="699" w:type="pct"/>
            <w:vMerge w:val="continue"/>
            <w:tcBorders>
              <w:bottom w:val="single" w:color="auto" w:sz="2" w:space="0"/>
            </w:tcBorders>
            <w:tcMar>
              <w:top w:w="15" w:type="dxa"/>
              <w:left w:w="15" w:type="dxa"/>
              <w:bottom w:w="15" w:type="dxa"/>
              <w:right w:w="15" w:type="dxa"/>
            </w:tcMar>
            <w:vAlign w:val="center"/>
          </w:tcPr>
          <w:p w14:paraId="3CEB4791">
            <w:pPr>
              <w:adjustRightInd w:val="0"/>
              <w:snapToGrid w:val="0"/>
              <w:jc w:val="center"/>
              <w:rPr>
                <w:rFonts w:hint="eastAsia" w:ascii="宋体" w:hAnsi="宋体" w:eastAsia="宋体" w:cs="宋体"/>
                <w:color w:val="auto"/>
                <w:sz w:val="24"/>
                <w:szCs w:val="24"/>
                <w:lang w:val="en-US" w:eastAsia="zh-CN"/>
              </w:rPr>
            </w:pPr>
          </w:p>
        </w:tc>
        <w:tc>
          <w:tcPr>
            <w:tcW w:w="507" w:type="pct"/>
            <w:vMerge w:val="continue"/>
            <w:tcBorders>
              <w:bottom w:val="single" w:color="auto" w:sz="2" w:space="0"/>
            </w:tcBorders>
            <w:tcMar>
              <w:top w:w="15" w:type="dxa"/>
              <w:left w:w="15" w:type="dxa"/>
              <w:bottom w:w="15" w:type="dxa"/>
              <w:right w:w="15" w:type="dxa"/>
            </w:tcMar>
            <w:vAlign w:val="center"/>
          </w:tcPr>
          <w:p w14:paraId="199C9C88">
            <w:pPr>
              <w:adjustRightInd w:val="0"/>
              <w:snapToGrid w:val="0"/>
              <w:jc w:val="center"/>
              <w:rPr>
                <w:rFonts w:hint="eastAsia" w:ascii="宋体" w:hAnsi="宋体" w:eastAsia="宋体" w:cs="宋体"/>
                <w:color w:val="auto"/>
                <w:lang w:val="en-US" w:eastAsia="zh-CN"/>
              </w:rPr>
            </w:pPr>
          </w:p>
        </w:tc>
        <w:tc>
          <w:tcPr>
            <w:tcW w:w="652" w:type="pct"/>
            <w:vMerge w:val="continue"/>
            <w:tcMar>
              <w:top w:w="15" w:type="dxa"/>
              <w:left w:w="15" w:type="dxa"/>
              <w:bottom w:w="15" w:type="dxa"/>
              <w:right w:w="15" w:type="dxa"/>
            </w:tcMar>
            <w:vAlign w:val="center"/>
          </w:tcPr>
          <w:p w14:paraId="1C796FDC">
            <w:pPr>
              <w:adjustRightInd w:val="0"/>
              <w:snapToGrid w:val="0"/>
              <w:jc w:val="center"/>
              <w:rPr>
                <w:rFonts w:hint="eastAsia" w:ascii="宋体" w:hAnsi="宋体" w:eastAsia="宋体" w:cs="宋体"/>
                <w:color w:val="auto"/>
                <w:lang w:val="en-US" w:eastAsia="zh-CN"/>
              </w:rPr>
            </w:pPr>
          </w:p>
        </w:tc>
        <w:tc>
          <w:tcPr>
            <w:tcW w:w="667" w:type="pct"/>
            <w:vMerge w:val="continue"/>
            <w:tcMar>
              <w:top w:w="15" w:type="dxa"/>
              <w:left w:w="15" w:type="dxa"/>
              <w:bottom w:w="15" w:type="dxa"/>
              <w:right w:w="15" w:type="dxa"/>
            </w:tcMar>
            <w:vAlign w:val="center"/>
          </w:tcPr>
          <w:p w14:paraId="2589648B">
            <w:pPr>
              <w:adjustRightInd w:val="0"/>
              <w:snapToGrid w:val="0"/>
              <w:jc w:val="center"/>
              <w:rPr>
                <w:rFonts w:hint="eastAsia" w:ascii="宋体" w:hAnsi="宋体" w:eastAsia="宋体" w:cs="宋体"/>
                <w:color w:val="auto"/>
                <w:lang w:val="en-US" w:eastAsia="zh-CN"/>
              </w:rPr>
            </w:pPr>
          </w:p>
        </w:tc>
      </w:tr>
    </w:tbl>
    <w:p w14:paraId="6BE530D6">
      <w:pPr>
        <w:ind w:firstLine="482" w:firstLineChars="200"/>
        <w:rPr>
          <w:rFonts w:ascii="宋体" w:hAnsi="宋体"/>
          <w:b/>
          <w:color w:val="FF0000"/>
          <w:szCs w:val="21"/>
        </w:rPr>
      </w:pPr>
      <w:r>
        <w:rPr>
          <w:rFonts w:hint="eastAsia" w:ascii="宋体" w:hAnsi="宋体"/>
          <w:b/>
          <w:color w:val="FF0000"/>
          <w:szCs w:val="21"/>
        </w:rPr>
        <w:t>备注：1.</w:t>
      </w:r>
      <w:r>
        <w:rPr>
          <w:rFonts w:hint="eastAsia" w:ascii="宋体" w:hAnsi="宋体"/>
          <w:b/>
          <w:color w:val="FF0000"/>
          <w:szCs w:val="21"/>
          <w:lang w:eastAsia="zh-CN"/>
        </w:rPr>
        <w:t>“是否接受进口”</w:t>
      </w:r>
      <w:r>
        <w:rPr>
          <w:rFonts w:hint="eastAsia" w:ascii="宋体" w:hAnsi="宋体"/>
          <w:b/>
          <w:color w:val="FF0000"/>
          <w:szCs w:val="21"/>
        </w:rPr>
        <w:t>栏注明“拒绝进口”的产品不接受投标人选用进口产品参与投标；注明“接受进口”的产品允许投标人选用进口产品参与投标，但不排斥国内产品。</w:t>
      </w:r>
    </w:p>
    <w:p w14:paraId="0A176ADA">
      <w:pPr>
        <w:ind w:firstLine="482" w:firstLineChars="200"/>
        <w:rPr>
          <w:rFonts w:ascii="宋体" w:hAnsi="宋体"/>
          <w:b/>
          <w:color w:val="FF0000"/>
          <w:szCs w:val="21"/>
        </w:rPr>
      </w:pPr>
      <w:r>
        <w:rPr>
          <w:rFonts w:hint="eastAsia" w:ascii="宋体" w:hAnsi="宋体"/>
          <w:b/>
          <w:color w:val="FF0000"/>
          <w:szCs w:val="21"/>
        </w:rPr>
        <w:t>2、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p>
    <w:p w14:paraId="7F8198BC">
      <w:pPr>
        <w:ind w:firstLine="482" w:firstLineChars="200"/>
        <w:rPr>
          <w:rFonts w:hint="eastAsia" w:ascii="宋体" w:hAnsi="宋体"/>
          <w:b/>
          <w:color w:val="FF0000"/>
          <w:szCs w:val="21"/>
        </w:rPr>
      </w:pPr>
      <w:r>
        <w:rPr>
          <w:rFonts w:hint="eastAsia" w:ascii="宋体" w:hAnsi="宋体"/>
          <w:b/>
          <w:color w:val="FF0000"/>
          <w:szCs w:val="21"/>
        </w:rPr>
        <w:t>3、本项目核心产品为：</w:t>
      </w:r>
      <w:r>
        <w:rPr>
          <w:rFonts w:hint="eastAsia" w:ascii="宋体" w:hAnsi="宋体"/>
          <w:b/>
          <w:color w:val="FF0000"/>
          <w:szCs w:val="21"/>
          <w:u w:val="single"/>
          <w:lang w:val="en-US" w:eastAsia="zh-CN"/>
        </w:rPr>
        <w:t>CPU</w:t>
      </w:r>
      <w:r>
        <w:rPr>
          <w:rFonts w:hint="eastAsia" w:ascii="宋体" w:hAnsi="宋体" w:eastAsia="宋体" w:cs="宋体"/>
          <w:b w:val="0"/>
          <w:color w:val="FF0000"/>
          <w:sz w:val="24"/>
          <w:u w:val="single"/>
        </w:rPr>
        <w:t>控制器</w:t>
      </w:r>
      <w:r>
        <w:rPr>
          <w:rFonts w:hint="eastAsia" w:ascii="宋体" w:hAnsi="宋体"/>
          <w:b/>
          <w:color w:val="FF0000"/>
          <w:szCs w:val="21"/>
          <w:u w:val="single"/>
        </w:rPr>
        <w:t>。</w:t>
      </w:r>
    </w:p>
    <w:p w14:paraId="469B8B20">
      <w:pPr>
        <w:pStyle w:val="6"/>
        <w:spacing w:before="120" w:beforeLines="50" w:after="120" w:afterLines="50"/>
        <w:jc w:val="center"/>
        <w:rPr>
          <w:rFonts w:hint="eastAsia"/>
          <w:sz w:val="24"/>
          <w:szCs w:val="24"/>
        </w:rPr>
      </w:pPr>
      <w:r>
        <w:rPr>
          <w:rStyle w:val="22"/>
          <w:rFonts w:hint="eastAsia" w:ascii="宋体" w:hAnsi="宋体" w:cs="宋体"/>
          <w:b/>
          <w:bCs/>
          <w:color w:val="000000"/>
          <w:kern w:val="0"/>
          <w:sz w:val="22"/>
          <w:szCs w:val="22"/>
          <w:lang w:val="en-US"/>
        </w:rPr>
        <w:t>三、</w:t>
      </w:r>
      <w:bookmarkStart w:id="23" w:name="_Toc128884461"/>
      <w:r>
        <w:rPr>
          <w:rFonts w:hint="eastAsia"/>
          <w:sz w:val="24"/>
          <w:szCs w:val="24"/>
        </w:rPr>
        <w:t>实质性条款</w:t>
      </w:r>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8357"/>
      </w:tblGrid>
      <w:tr w14:paraId="55450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trPr>
        <w:tc>
          <w:tcPr>
            <w:tcW w:w="552" w:type="pct"/>
            <w:vAlign w:val="center"/>
          </w:tcPr>
          <w:p w14:paraId="6A004292">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序号</w:t>
            </w:r>
          </w:p>
        </w:tc>
        <w:tc>
          <w:tcPr>
            <w:tcW w:w="4447" w:type="pct"/>
            <w:vAlign w:val="center"/>
          </w:tcPr>
          <w:p w14:paraId="12E38963">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实质性条款具体内容</w:t>
            </w:r>
          </w:p>
        </w:tc>
      </w:tr>
      <w:tr w14:paraId="68A6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2" w:type="pct"/>
            <w:vAlign w:val="center"/>
          </w:tcPr>
          <w:p w14:paraId="1D6D1BC7">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kern w:val="0"/>
                <w:szCs w:val="21"/>
              </w:rPr>
            </w:pPr>
            <w:r>
              <w:rPr>
                <w:rFonts w:hint="eastAsia" w:ascii="宋体" w:hAnsi="宋体"/>
                <w:kern w:val="0"/>
                <w:szCs w:val="21"/>
              </w:rPr>
              <w:t>1</w:t>
            </w:r>
          </w:p>
        </w:tc>
        <w:tc>
          <w:tcPr>
            <w:tcW w:w="4447" w:type="pct"/>
            <w:shd w:val="clear" w:color="auto" w:fill="auto"/>
            <w:vAlign w:val="center"/>
          </w:tcPr>
          <w:p w14:paraId="4FC1BE5E">
            <w:pPr>
              <w:keepNext w:val="0"/>
              <w:keepLines w:val="0"/>
              <w:suppressLineNumbers w:val="0"/>
              <w:spacing w:before="0" w:beforeAutospacing="0" w:after="0" w:afterAutospacing="0"/>
              <w:ind w:left="0" w:right="0"/>
              <w:jc w:val="center"/>
              <w:rPr>
                <w:rFonts w:hint="eastAsia" w:ascii="Times New Roman" w:hAnsi="Times New Roman" w:eastAsia="宋体" w:cs="Times New Roman"/>
                <w:kern w:val="2"/>
                <w:sz w:val="21"/>
                <w:szCs w:val="21"/>
                <w:lang w:val="en-US" w:eastAsia="zh-CN" w:bidi="ar-SA"/>
              </w:rPr>
            </w:pPr>
            <w:r>
              <w:rPr>
                <w:rFonts w:hint="eastAsia" w:ascii="宋体" w:hAnsi="宋体"/>
                <w:kern w:val="0"/>
                <w:szCs w:val="21"/>
              </w:rPr>
              <w:t>满足本项目标★的条款要求</w:t>
            </w:r>
          </w:p>
        </w:tc>
      </w:tr>
    </w:tbl>
    <w:p w14:paraId="7FF9B983">
      <w:pPr>
        <w:rPr>
          <w:b/>
        </w:rPr>
      </w:pPr>
      <w:r>
        <w:rPr>
          <w:rFonts w:hint="eastAsia"/>
          <w:b/>
        </w:rPr>
        <w:t>注：上表所列内容为不可负偏离条款，负偏离将视为未实质性满足招标文件要求作投标无效处理。</w:t>
      </w:r>
    </w:p>
    <w:p w14:paraId="33300E9C">
      <w:pPr>
        <w:pStyle w:val="8"/>
        <w:rPr>
          <w:rFonts w:hint="eastAsia"/>
          <w:sz w:val="24"/>
          <w:szCs w:val="24"/>
        </w:rPr>
      </w:pPr>
    </w:p>
    <w:p w14:paraId="04A24FE5">
      <w:pPr>
        <w:spacing w:line="560" w:lineRule="exact"/>
        <w:ind w:firstLine="522" w:firstLineChars="200"/>
        <w:jc w:val="both"/>
        <w:rPr>
          <w:rFonts w:hint="eastAsia" w:asciiTheme="minorEastAsia" w:hAnsiTheme="minorEastAsia" w:cstheme="minorEastAsia"/>
          <w:b/>
        </w:rPr>
      </w:pPr>
      <w:r>
        <w:rPr>
          <w:rStyle w:val="22"/>
          <w:rFonts w:hint="eastAsia" w:ascii="宋体" w:hAnsi="宋体" w:cs="宋体"/>
          <w:color w:val="000000"/>
          <w:kern w:val="0"/>
          <w:lang w:val="en-US"/>
        </w:rPr>
        <w:t>四</w:t>
      </w:r>
      <w:r>
        <w:rPr>
          <w:rStyle w:val="22"/>
          <w:rFonts w:hint="eastAsia" w:ascii="宋体" w:hAnsi="宋体" w:cs="宋体"/>
          <w:color w:val="000000"/>
          <w:kern w:val="0"/>
        </w:rPr>
        <w:t>、</w:t>
      </w:r>
      <w:r>
        <w:rPr>
          <w:rFonts w:hint="eastAsia" w:asciiTheme="minorEastAsia" w:hAnsiTheme="minorEastAsia" w:cstheme="minorEastAsia"/>
          <w:b/>
        </w:rPr>
        <w:t>技术要求</w:t>
      </w:r>
    </w:p>
    <w:p w14:paraId="5D885AC2">
      <w:pPr>
        <w:ind w:firstLine="482" w:firstLineChars="200"/>
        <w:rPr>
          <w:b/>
          <w:color w:val="FF0000"/>
        </w:rPr>
      </w:pPr>
      <w:r>
        <w:rPr>
          <w:rFonts w:hint="eastAsia"/>
          <w:b/>
          <w:color w:val="FF0000"/>
          <w:szCs w:val="21"/>
        </w:rPr>
        <w:t>说明：</w:t>
      </w:r>
      <w:r>
        <w:rPr>
          <w:b/>
          <w:color w:val="FF0000"/>
          <w:szCs w:val="21"/>
        </w:rPr>
        <w:t xml:space="preserve"> </w:t>
      </w:r>
      <w:r>
        <w:rPr>
          <w:b/>
          <w:color w:val="FF0000"/>
        </w:rPr>
        <w:t>1</w:t>
      </w:r>
      <w:r>
        <w:rPr>
          <w:rFonts w:hint="eastAsia"/>
          <w:b/>
          <w:color w:val="FF0000"/>
        </w:rPr>
        <w:t>、评分时，如对一项招标技术要求（</w:t>
      </w:r>
      <w:r>
        <w:rPr>
          <w:rFonts w:hint="eastAsia"/>
          <w:b/>
          <w:color w:val="FF0000"/>
          <w:szCs w:val="21"/>
          <w:highlight w:val="none"/>
        </w:rPr>
        <w:t>以划分框为准</w:t>
      </w:r>
      <w:r>
        <w:rPr>
          <w:rFonts w:hint="eastAsia"/>
          <w:b/>
          <w:color w:val="FF0000"/>
        </w:rPr>
        <w:t>）中的内容存在两处（或以上）负偏离的，在评分时只作一项负偏离扣分。</w:t>
      </w:r>
    </w:p>
    <w:p w14:paraId="5F31089A">
      <w:pPr>
        <w:ind w:firstLine="482" w:firstLineChars="200"/>
        <w:rPr>
          <w:b/>
          <w:color w:val="FF0000"/>
          <w:szCs w:val="21"/>
        </w:rPr>
      </w:pPr>
      <w:r>
        <w:rPr>
          <w:b/>
          <w:color w:val="FF0000"/>
          <w:szCs w:val="21"/>
        </w:rPr>
        <w:t>2</w:t>
      </w:r>
      <w:r>
        <w:rPr>
          <w:rFonts w:hint="eastAsia"/>
          <w:b/>
          <w:color w:val="FF0000"/>
          <w:szCs w:val="21"/>
        </w:rPr>
        <w:t>、带★号条款为不可</w:t>
      </w:r>
      <w:r>
        <w:rPr>
          <w:rFonts w:hint="eastAsia"/>
          <w:b/>
          <w:color w:val="FF0000"/>
          <w:szCs w:val="21"/>
          <w:lang w:val="en-US" w:eastAsia="zh-CN"/>
        </w:rPr>
        <w:t>负</w:t>
      </w:r>
      <w:r>
        <w:rPr>
          <w:rFonts w:hint="eastAsia"/>
          <w:b/>
          <w:color w:val="FF0000"/>
          <w:szCs w:val="21"/>
        </w:rPr>
        <w:t>偏离条款，不作为评分准则中的评分内容</w:t>
      </w:r>
      <w:r>
        <w:rPr>
          <w:rFonts w:hint="eastAsia"/>
          <w:b/>
          <w:color w:val="FF0000"/>
          <w:szCs w:val="21"/>
          <w:lang w:eastAsia="zh-CN"/>
        </w:rPr>
        <w:t>，</w:t>
      </w:r>
      <w:r>
        <w:rPr>
          <w:rFonts w:hint="eastAsia"/>
          <w:b/>
          <w:color w:val="FF0000"/>
          <w:szCs w:val="21"/>
        </w:rPr>
        <w:t>如未响应或出现负偏离的，将作投标无效处理；带“</w:t>
      </w:r>
      <w:r>
        <w:rPr>
          <w:color w:val="FF0000"/>
        </w:rPr>
        <w:t>▲</w:t>
      </w:r>
      <w:r>
        <w:rPr>
          <w:rFonts w:hint="eastAsia"/>
          <w:b/>
          <w:color w:val="FF0000"/>
          <w:szCs w:val="21"/>
        </w:rPr>
        <w:t>”指标项为重要参数条款，负偏离时依相关评分准则内容作重点扣分处理。</w:t>
      </w:r>
    </w:p>
    <w:p w14:paraId="56C696B5">
      <w:pPr>
        <w:ind w:firstLine="482" w:firstLineChars="200"/>
        <w:rPr>
          <w:rFonts w:hint="eastAsia"/>
          <w:b/>
          <w:color w:val="FF0000"/>
          <w:szCs w:val="21"/>
        </w:rPr>
      </w:pPr>
      <w:r>
        <w:rPr>
          <w:b/>
          <w:color w:val="FF0000"/>
          <w:szCs w:val="21"/>
        </w:rPr>
        <w:t>3</w:t>
      </w:r>
      <w:r>
        <w:rPr>
          <w:rFonts w:hint="eastAsia"/>
          <w:b/>
          <w:color w:val="FF0000"/>
          <w:szCs w:val="21"/>
        </w:rPr>
        <w:t>、招标技术要求中，用红色加粗字体标注的指标项均要求提供证明资料；其余指标项未要求提供证明资料，无需提供相关证明资料。</w:t>
      </w:r>
    </w:p>
    <w:p w14:paraId="2FE7F8CD">
      <w:pPr>
        <w:ind w:firstLine="482" w:firstLineChars="200"/>
        <w:rPr>
          <w:rFonts w:hint="eastAsia"/>
          <w:b/>
          <w:color w:val="FF0000"/>
          <w:szCs w:val="21"/>
        </w:rPr>
      </w:pPr>
      <w:r>
        <w:rPr>
          <w:rFonts w:hint="eastAsia"/>
          <w:b/>
          <w:color w:val="FF0000"/>
          <w:szCs w:val="21"/>
        </w:rPr>
        <w:t>4.涉及区间的技术要求，除特别注明以外，均包含首尾两端本数，所投产品响应数值在招标文件要求的区间范围内即认定为满足该项技术要求。例：</w:t>
      </w:r>
    </w:p>
    <w:p w14:paraId="024D96B3">
      <w:pPr>
        <w:ind w:firstLine="482" w:firstLineChars="200"/>
        <w:rPr>
          <w:rFonts w:hint="eastAsia"/>
          <w:b/>
          <w:color w:val="FF0000"/>
          <w:szCs w:val="21"/>
        </w:rPr>
      </w:pPr>
      <w:r>
        <w:rPr>
          <w:rFonts w:hint="eastAsia"/>
          <w:b/>
          <w:color w:val="FF0000"/>
          <w:szCs w:val="21"/>
        </w:rPr>
        <w:t>（1）“20L”（凡是响应内容与该数值不一致者，均视为负偏离）；</w:t>
      </w:r>
    </w:p>
    <w:p w14:paraId="7BB21B40">
      <w:pPr>
        <w:ind w:firstLine="482" w:firstLineChars="200"/>
        <w:rPr>
          <w:rFonts w:hint="eastAsia" w:ascii="Times New Roman" w:hAnsi="Times New Roman" w:cs="Times New Roman"/>
          <w:b/>
          <w:color w:val="FF0000"/>
          <w:szCs w:val="21"/>
        </w:rPr>
      </w:pPr>
      <w:r>
        <w:rPr>
          <w:rFonts w:hint="eastAsia" w:ascii="Times New Roman" w:hAnsi="Times New Roman" w:cs="Times New Roman"/>
          <w:b/>
          <w:color w:val="FF0000"/>
          <w:szCs w:val="21"/>
        </w:rPr>
        <w:t>（2）“H≥6m”（凡是响应内容存在小于6m可能情形的均视为负偏离）；</w:t>
      </w:r>
    </w:p>
    <w:p w14:paraId="1B34153D">
      <w:pPr>
        <w:ind w:firstLine="482" w:firstLineChars="200"/>
        <w:rPr>
          <w:rFonts w:hint="eastAsia"/>
          <w:color w:val="FF0000"/>
        </w:rPr>
      </w:pPr>
      <w:r>
        <w:rPr>
          <w:rFonts w:hint="eastAsia" w:ascii="Times New Roman" w:hAnsi="Times New Roman" w:cs="Times New Roman"/>
          <w:b/>
          <w:color w:val="FF0000"/>
          <w:szCs w:val="21"/>
        </w:rPr>
        <w:t>5.相关证明材料的产品名称与招标技术要求的货物名称不一致的，需提供为同种产品的说明；若名称不一致又未提供说明的，由评审委员会判定是否符合文件要求。</w:t>
      </w:r>
    </w:p>
    <w:p w14:paraId="4953654D">
      <w:pPr>
        <w:pStyle w:val="40"/>
        <w:pageBreakBefore w:val="0"/>
        <w:widowControl w:val="0"/>
        <w:kinsoku/>
        <w:wordWrap/>
        <w:overflowPunct/>
        <w:topLinePunct w:val="0"/>
        <w:autoSpaceDE/>
        <w:autoSpaceDN/>
        <w:bidi w:val="0"/>
        <w:adjustRightInd/>
        <w:spacing w:before="0" w:after="0" w:line="360" w:lineRule="auto"/>
        <w:ind w:left="0" w:firstLine="482" w:firstLineChars="200"/>
        <w:jc w:val="center"/>
        <w:textAlignment w:val="auto"/>
        <w:rPr>
          <w:rFonts w:hint="eastAsia"/>
          <w:color w:val="auto"/>
        </w:rPr>
      </w:pPr>
      <w:bookmarkStart w:id="24" w:name="_Toc34385327"/>
    </w:p>
    <w:p w14:paraId="5542CF50">
      <w:pPr>
        <w:pStyle w:val="40"/>
        <w:pageBreakBefore w:val="0"/>
        <w:widowControl w:val="0"/>
        <w:kinsoku/>
        <w:wordWrap/>
        <w:overflowPunct/>
        <w:topLinePunct w:val="0"/>
        <w:autoSpaceDE/>
        <w:autoSpaceDN/>
        <w:bidi w:val="0"/>
        <w:adjustRightInd/>
        <w:spacing w:before="0" w:after="0" w:line="360" w:lineRule="auto"/>
        <w:ind w:left="0" w:firstLine="482" w:firstLineChars="200"/>
        <w:jc w:val="center"/>
        <w:textAlignment w:val="auto"/>
        <w:rPr>
          <w:rFonts w:hint="eastAsia"/>
          <w:color w:val="auto"/>
        </w:rPr>
      </w:pPr>
      <w:r>
        <w:rPr>
          <w:rFonts w:hint="eastAsia"/>
          <w:b/>
          <w:color w:val="FF0000"/>
          <w:szCs w:val="21"/>
        </w:rPr>
        <w:t>★</w:t>
      </w:r>
      <w:r>
        <w:rPr>
          <w:rFonts w:hint="eastAsia"/>
          <w:color w:val="auto"/>
        </w:rPr>
        <w:t>第一节</w:t>
      </w:r>
      <w:r>
        <w:rPr>
          <w:color w:val="auto"/>
        </w:rPr>
        <w:t xml:space="preserve"> </w:t>
      </w:r>
      <w:r>
        <w:rPr>
          <w:rFonts w:hint="eastAsia"/>
          <w:color w:val="auto"/>
        </w:rPr>
        <w:t>总则</w:t>
      </w:r>
      <w:bookmarkEnd w:id="24"/>
    </w:p>
    <w:p w14:paraId="1ED6A2AD">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中标</w:t>
      </w:r>
      <w:r>
        <w:rPr>
          <w:rFonts w:hint="eastAsia" w:ascii="宋体" w:hAnsi="宋体"/>
          <w:color w:val="auto"/>
          <w:sz w:val="21"/>
          <w:szCs w:val="21"/>
        </w:rPr>
        <w:t>单位须根据本技术规格说明书的要求供应</w:t>
      </w:r>
      <w:r>
        <w:rPr>
          <w:rFonts w:hint="eastAsia" w:ascii="宋体" w:hAnsi="宋体"/>
          <w:color w:val="auto"/>
          <w:sz w:val="21"/>
          <w:szCs w:val="21"/>
          <w:lang w:val="en-US" w:eastAsia="zh-CN"/>
        </w:rPr>
        <w:t>设备</w:t>
      </w:r>
      <w:r>
        <w:rPr>
          <w:rFonts w:hint="eastAsia" w:ascii="宋体" w:hAnsi="宋体"/>
          <w:color w:val="auto"/>
          <w:sz w:val="21"/>
          <w:szCs w:val="21"/>
          <w:lang w:eastAsia="zh-CN"/>
        </w:rPr>
        <w:t>，包括</w:t>
      </w:r>
      <w:r>
        <w:rPr>
          <w:rFonts w:hint="eastAsia" w:ascii="宋体" w:hAnsi="宋体"/>
          <w:color w:val="auto"/>
          <w:sz w:val="21"/>
          <w:szCs w:val="21"/>
        </w:rPr>
        <w:t>安装接线、测试及试运转。</w:t>
      </w:r>
      <w:r>
        <w:rPr>
          <w:rFonts w:hint="eastAsia" w:ascii="宋体" w:hAnsi="宋体"/>
          <w:color w:val="auto"/>
          <w:sz w:val="21"/>
          <w:szCs w:val="21"/>
          <w:lang w:val="en-US" w:eastAsia="zh-CN"/>
        </w:rPr>
        <w:t>设备</w:t>
      </w:r>
      <w:r>
        <w:rPr>
          <w:rFonts w:hint="eastAsia" w:ascii="宋体" w:hAnsi="宋体"/>
          <w:color w:val="auto"/>
          <w:sz w:val="21"/>
          <w:szCs w:val="21"/>
        </w:rPr>
        <w:t>须依照制造厂商的规范要求进行布线及安装</w:t>
      </w:r>
      <w:r>
        <w:rPr>
          <w:rFonts w:hint="eastAsia" w:ascii="宋体" w:hAnsi="宋体"/>
          <w:color w:val="auto"/>
          <w:sz w:val="21"/>
          <w:szCs w:val="21"/>
          <w:lang w:eastAsia="zh-CN"/>
        </w:rPr>
        <w:t>，</w:t>
      </w:r>
      <w:r>
        <w:rPr>
          <w:rFonts w:hint="eastAsia" w:ascii="宋体" w:hAnsi="宋体"/>
          <w:color w:val="auto"/>
          <w:sz w:val="21"/>
          <w:szCs w:val="21"/>
        </w:rPr>
        <w:t>须保持最佳的运转情况。</w:t>
      </w:r>
    </w:p>
    <w:p w14:paraId="6133FC4C">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本设备采购</w:t>
      </w:r>
      <w:r>
        <w:rPr>
          <w:rFonts w:hint="eastAsia" w:ascii="宋体" w:hAnsi="宋体"/>
          <w:color w:val="auto"/>
          <w:sz w:val="21"/>
          <w:szCs w:val="21"/>
        </w:rPr>
        <w:t>由控制器、监控软件、终端设备及其配件组成。承包单位须供应及安装所指定或为了成功地完成本</w:t>
      </w:r>
      <w:r>
        <w:rPr>
          <w:rFonts w:hint="eastAsia" w:ascii="宋体" w:hAnsi="宋体"/>
          <w:color w:val="auto"/>
          <w:sz w:val="21"/>
          <w:szCs w:val="21"/>
          <w:lang w:val="en-US" w:eastAsia="zh-CN"/>
        </w:rPr>
        <w:t>设备采购</w:t>
      </w:r>
      <w:r>
        <w:rPr>
          <w:rFonts w:hint="eastAsia" w:ascii="宋体" w:hAnsi="宋体"/>
          <w:color w:val="auto"/>
          <w:sz w:val="21"/>
          <w:szCs w:val="21"/>
        </w:rPr>
        <w:t>所要求的一切有关设备。</w:t>
      </w:r>
    </w:p>
    <w:p w14:paraId="705D0733">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rPr>
        <w:t>本</w:t>
      </w:r>
      <w:r>
        <w:rPr>
          <w:rFonts w:hint="eastAsia" w:ascii="宋体" w:hAnsi="宋体"/>
          <w:color w:val="auto"/>
          <w:sz w:val="21"/>
          <w:szCs w:val="21"/>
          <w:lang w:val="en-US" w:eastAsia="zh-CN"/>
        </w:rPr>
        <w:t>设备采购</w:t>
      </w:r>
      <w:r>
        <w:rPr>
          <w:rFonts w:hint="eastAsia" w:ascii="宋体" w:hAnsi="宋体"/>
          <w:color w:val="auto"/>
          <w:sz w:val="21"/>
          <w:szCs w:val="21"/>
        </w:rPr>
        <w:t>是空调自控系统</w:t>
      </w:r>
      <w:r>
        <w:rPr>
          <w:rFonts w:hint="eastAsia" w:ascii="宋体" w:hAnsi="宋体"/>
          <w:color w:val="auto"/>
          <w:sz w:val="21"/>
          <w:szCs w:val="21"/>
          <w:lang w:val="en-US" w:eastAsia="zh-CN"/>
        </w:rPr>
        <w:t>设备</w:t>
      </w:r>
      <w:r>
        <w:rPr>
          <w:rFonts w:hint="eastAsia" w:ascii="宋体" w:hAnsi="宋体"/>
          <w:color w:val="auto"/>
          <w:sz w:val="21"/>
          <w:szCs w:val="21"/>
        </w:rPr>
        <w:t>，由控制器、监控软件、终端设备以及</w:t>
      </w:r>
      <w:r>
        <w:rPr>
          <w:rFonts w:hint="eastAsia" w:ascii="宋体" w:hAnsi="宋体"/>
          <w:color w:val="auto"/>
          <w:sz w:val="21"/>
          <w:szCs w:val="21"/>
          <w:lang w:eastAsia="zh-CN"/>
        </w:rPr>
        <w:t>其他</w:t>
      </w:r>
      <w:r>
        <w:rPr>
          <w:rFonts w:hint="eastAsia" w:ascii="宋体" w:hAnsi="宋体"/>
          <w:color w:val="auto"/>
          <w:sz w:val="21"/>
          <w:szCs w:val="21"/>
        </w:rPr>
        <w:t>附件所组成。完成后，应能满足标书所指定的服务要求。</w:t>
      </w:r>
    </w:p>
    <w:p w14:paraId="45304342">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本设备必须无缝兼容原控制系统。</w:t>
      </w:r>
    </w:p>
    <w:p w14:paraId="7852F7F4">
      <w:pPr>
        <w:pStyle w:val="5"/>
        <w:pageBreakBefore w:val="0"/>
        <w:widowControl w:val="0"/>
        <w:numPr>
          <w:ilvl w:val="0"/>
          <w:numId w:val="1"/>
        </w:numPr>
        <w:kinsoku/>
        <w:wordWrap/>
        <w:overflowPunct/>
        <w:topLinePunct w:val="0"/>
        <w:autoSpaceDE/>
        <w:autoSpaceDN/>
        <w:bidi w:val="0"/>
        <w:adjustRightInd/>
        <w:spacing w:line="360" w:lineRule="auto"/>
        <w:ind w:left="0" w:leftChars="0" w:firstLine="422" w:firstLineChars="200"/>
        <w:textAlignment w:val="auto"/>
        <w:rPr>
          <w:rFonts w:ascii="宋体" w:hAnsi="宋体"/>
          <w:color w:val="auto"/>
          <w:sz w:val="21"/>
          <w:szCs w:val="21"/>
        </w:rPr>
      </w:pPr>
      <w:r>
        <w:rPr>
          <w:rFonts w:hint="eastAsia" w:ascii="宋体" w:hAnsi="宋体"/>
          <w:b/>
          <w:bCs/>
          <w:color w:val="auto"/>
          <w:sz w:val="21"/>
          <w:szCs w:val="21"/>
          <w:lang w:val="en-US" w:eastAsia="zh-CN"/>
        </w:rPr>
        <w:t>投标设备必须满足打</w:t>
      </w:r>
      <w:r>
        <w:rPr>
          <w:rFonts w:hint="eastAsia" w:ascii="宋体" w:hAnsi="宋体"/>
          <w:color w:val="auto"/>
          <w:sz w:val="21"/>
          <w:szCs w:val="21"/>
          <w:lang w:val="en-US" w:eastAsia="zh-CN"/>
        </w:rPr>
        <w:t>“</w:t>
      </w:r>
      <w:r>
        <w:rPr>
          <w:rFonts w:hint="eastAsia"/>
          <w:b/>
          <w:color w:val="FF0000"/>
          <w:sz w:val="20"/>
          <w:szCs w:val="16"/>
        </w:rPr>
        <w:t>★</w:t>
      </w:r>
      <w:r>
        <w:rPr>
          <w:rFonts w:hint="eastAsia" w:ascii="宋体" w:hAnsi="宋体"/>
          <w:b/>
          <w:bCs/>
          <w:color w:val="auto"/>
          <w:sz w:val="21"/>
          <w:szCs w:val="21"/>
          <w:lang w:val="en-US" w:eastAsia="zh-CN"/>
        </w:rPr>
        <w:t>”的设备参数要求</w:t>
      </w:r>
    </w:p>
    <w:p w14:paraId="5134A205">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中标</w:t>
      </w:r>
      <w:r>
        <w:rPr>
          <w:rFonts w:hint="eastAsia" w:ascii="宋体" w:hAnsi="宋体"/>
          <w:color w:val="auto"/>
          <w:sz w:val="21"/>
          <w:szCs w:val="21"/>
        </w:rPr>
        <w:t>单位须负责按照最新要求进行设计和安装，并适应现场的条件限制。</w:t>
      </w:r>
      <w:r>
        <w:rPr>
          <w:rFonts w:hint="eastAsia" w:ascii="宋体" w:hAnsi="宋体"/>
          <w:color w:val="auto"/>
          <w:sz w:val="21"/>
          <w:szCs w:val="21"/>
          <w:lang w:eastAsia="zh-CN"/>
        </w:rPr>
        <w:t>本技术规格说明书</w:t>
      </w:r>
      <w:r>
        <w:rPr>
          <w:rFonts w:hint="eastAsia" w:ascii="宋体" w:hAnsi="宋体"/>
          <w:color w:val="auto"/>
          <w:sz w:val="21"/>
          <w:szCs w:val="21"/>
        </w:rPr>
        <w:t>规定可接受系统设备的最低质量标准</w:t>
      </w:r>
      <w:r>
        <w:rPr>
          <w:rFonts w:hint="eastAsia" w:ascii="宋体" w:hAnsi="宋体"/>
          <w:color w:val="auto"/>
          <w:sz w:val="21"/>
          <w:szCs w:val="21"/>
          <w:lang w:eastAsia="zh-CN"/>
        </w:rPr>
        <w:t>和</w:t>
      </w:r>
      <w:r>
        <w:rPr>
          <w:rFonts w:hint="eastAsia" w:ascii="宋体" w:hAnsi="宋体"/>
          <w:color w:val="auto"/>
          <w:sz w:val="21"/>
          <w:szCs w:val="21"/>
        </w:rPr>
        <w:t>最少的使用功能。</w:t>
      </w:r>
    </w:p>
    <w:p w14:paraId="55CD2D1F">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中标</w:t>
      </w:r>
      <w:r>
        <w:rPr>
          <w:rFonts w:hint="eastAsia" w:ascii="宋体" w:hAnsi="宋体"/>
          <w:color w:val="auto"/>
          <w:sz w:val="21"/>
          <w:szCs w:val="21"/>
          <w:lang w:eastAsia="zh-CN"/>
        </w:rPr>
        <w:t>单位</w:t>
      </w:r>
      <w:r>
        <w:rPr>
          <w:rFonts w:hint="eastAsia" w:ascii="宋体" w:hAnsi="宋体"/>
          <w:color w:val="auto"/>
          <w:sz w:val="21"/>
          <w:szCs w:val="21"/>
        </w:rPr>
        <w:t>必须提供包括外部电线槽/电线管、支管、支线软管</w:t>
      </w:r>
      <w:r>
        <w:rPr>
          <w:rFonts w:hint="eastAsia" w:ascii="宋体" w:hAnsi="宋体"/>
          <w:color w:val="auto"/>
          <w:sz w:val="21"/>
          <w:szCs w:val="21"/>
          <w:lang w:eastAsia="zh-CN"/>
        </w:rPr>
        <w:t>及其</w:t>
      </w:r>
      <w:r>
        <w:rPr>
          <w:rFonts w:hint="eastAsia" w:ascii="宋体" w:hAnsi="宋体"/>
          <w:color w:val="auto"/>
          <w:sz w:val="21"/>
          <w:szCs w:val="21"/>
        </w:rPr>
        <w:t>附件、系统布线等在内的供应及安装，并应能保证所预留的电线槽/电线管符合本系统布线的要求。</w:t>
      </w:r>
    </w:p>
    <w:p w14:paraId="59CD3B68">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中标</w:t>
      </w:r>
      <w:r>
        <w:rPr>
          <w:rFonts w:hint="eastAsia" w:ascii="宋体" w:hAnsi="宋体"/>
          <w:color w:val="auto"/>
          <w:sz w:val="21"/>
          <w:szCs w:val="21"/>
        </w:rPr>
        <w:t>单位应按各机电系统的使用要求，提供</w:t>
      </w:r>
      <w:r>
        <w:rPr>
          <w:rFonts w:hint="eastAsia" w:ascii="宋体" w:hAnsi="宋体"/>
          <w:color w:val="auto"/>
          <w:sz w:val="21"/>
          <w:szCs w:val="21"/>
          <w:lang w:val="en-US" w:eastAsia="zh-CN"/>
        </w:rPr>
        <w:t>设备</w:t>
      </w:r>
      <w:r>
        <w:rPr>
          <w:rFonts w:hint="eastAsia" w:ascii="宋体" w:hAnsi="宋体"/>
          <w:color w:val="auto"/>
          <w:sz w:val="21"/>
          <w:szCs w:val="21"/>
        </w:rPr>
        <w:t>安装及系统调试，以确保该</w:t>
      </w:r>
      <w:r>
        <w:rPr>
          <w:rFonts w:hint="eastAsia" w:ascii="宋体" w:hAnsi="宋体"/>
          <w:color w:val="auto"/>
          <w:sz w:val="21"/>
          <w:szCs w:val="21"/>
          <w:lang w:val="en-US" w:eastAsia="zh-CN"/>
        </w:rPr>
        <w:t>项目的自控系统</w:t>
      </w:r>
      <w:r>
        <w:rPr>
          <w:rFonts w:hint="eastAsia" w:ascii="宋体" w:hAnsi="宋体"/>
          <w:color w:val="auto"/>
          <w:sz w:val="21"/>
          <w:szCs w:val="21"/>
        </w:rPr>
        <w:t>全面的正常运行。</w:t>
      </w:r>
    </w:p>
    <w:p w14:paraId="0A196013">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rPr>
        <w:t>所有设备的单价都应写在标书上，以便对将来的变动进行评估。投标单位</w:t>
      </w:r>
      <w:r>
        <w:rPr>
          <w:rFonts w:hint="eastAsia" w:ascii="宋体" w:hAnsi="宋体"/>
          <w:color w:val="auto"/>
          <w:sz w:val="21"/>
          <w:szCs w:val="21"/>
          <w:lang w:val="en-US" w:eastAsia="zh-CN"/>
        </w:rPr>
        <w:t>报价</w:t>
      </w:r>
      <w:r>
        <w:rPr>
          <w:rFonts w:hint="eastAsia" w:ascii="宋体" w:hAnsi="宋体"/>
          <w:color w:val="auto"/>
          <w:sz w:val="21"/>
          <w:szCs w:val="21"/>
        </w:rPr>
        <w:t>包括运行所需的一切部件及零件。</w:t>
      </w:r>
    </w:p>
    <w:p w14:paraId="76D5684E">
      <w:pPr>
        <w:pStyle w:val="5"/>
        <w:pageBreakBefore w:val="0"/>
        <w:widowControl w:val="0"/>
        <w:numPr>
          <w:ilvl w:val="0"/>
          <w:numId w:val="1"/>
        </w:numPr>
        <w:kinsoku/>
        <w:wordWrap/>
        <w:overflowPunct/>
        <w:topLinePunct w:val="0"/>
        <w:autoSpaceDE/>
        <w:autoSpaceDN/>
        <w:bidi w:val="0"/>
        <w:adjustRightInd/>
        <w:spacing w:line="360" w:lineRule="auto"/>
        <w:ind w:left="0" w:leftChars="0" w:firstLine="420" w:firstLineChars="200"/>
        <w:textAlignment w:val="auto"/>
        <w:rPr>
          <w:rFonts w:ascii="宋体" w:hAnsi="宋体"/>
          <w:color w:val="auto"/>
          <w:sz w:val="21"/>
          <w:szCs w:val="21"/>
        </w:rPr>
      </w:pPr>
      <w:r>
        <w:rPr>
          <w:rFonts w:hint="eastAsia" w:ascii="宋体" w:hAnsi="宋体"/>
          <w:color w:val="auto"/>
          <w:sz w:val="21"/>
          <w:szCs w:val="21"/>
          <w:lang w:val="en-US" w:eastAsia="zh-CN"/>
        </w:rPr>
        <w:t>中标</w:t>
      </w:r>
      <w:r>
        <w:rPr>
          <w:rFonts w:hint="eastAsia" w:ascii="宋体" w:hAnsi="宋体"/>
          <w:color w:val="auto"/>
          <w:sz w:val="21"/>
          <w:szCs w:val="21"/>
        </w:rPr>
        <w:t>单位所提供的设备及软件程序，应可按照</w:t>
      </w:r>
      <w:r>
        <w:rPr>
          <w:rFonts w:hint="eastAsia" w:ascii="宋体" w:hAnsi="宋体"/>
          <w:color w:val="auto"/>
          <w:sz w:val="21"/>
          <w:szCs w:val="21"/>
          <w:lang w:val="en-US" w:eastAsia="zh-CN"/>
        </w:rPr>
        <w:t>采购人</w:t>
      </w:r>
      <w:r>
        <w:rPr>
          <w:rFonts w:hint="eastAsia" w:ascii="宋体" w:hAnsi="宋体"/>
          <w:color w:val="auto"/>
          <w:sz w:val="21"/>
          <w:szCs w:val="21"/>
        </w:rPr>
        <w:t>对使用功能提出的变更要求</w:t>
      </w:r>
      <w:r>
        <w:rPr>
          <w:rFonts w:hint="eastAsia" w:ascii="宋体" w:hAnsi="宋体"/>
          <w:color w:val="auto"/>
          <w:sz w:val="21"/>
          <w:szCs w:val="21"/>
          <w:lang w:eastAsia="zh-CN"/>
        </w:rPr>
        <w:t>做</w:t>
      </w:r>
      <w:r>
        <w:rPr>
          <w:rFonts w:hint="eastAsia" w:ascii="宋体" w:hAnsi="宋体"/>
          <w:color w:val="auto"/>
          <w:sz w:val="21"/>
          <w:szCs w:val="21"/>
        </w:rPr>
        <w:t>相应的修改。</w:t>
      </w:r>
    </w:p>
    <w:p w14:paraId="186E845A">
      <w:pPr>
        <w:rPr>
          <w:rFonts w:hint="eastAsia" w:eastAsiaTheme="minorEastAsia"/>
          <w:sz w:val="24"/>
          <w:szCs w:val="24"/>
          <w:lang w:val="en-US" w:eastAsia="zh-CN"/>
        </w:rPr>
      </w:pPr>
    </w:p>
    <w:p w14:paraId="54E93C55">
      <w:pPr>
        <w:pStyle w:val="40"/>
        <w:pageBreakBefore w:val="0"/>
        <w:widowControl w:val="0"/>
        <w:kinsoku/>
        <w:wordWrap/>
        <w:overflowPunct/>
        <w:topLinePunct w:val="0"/>
        <w:autoSpaceDE/>
        <w:autoSpaceDN/>
        <w:bidi w:val="0"/>
        <w:adjustRightInd/>
        <w:spacing w:line="360" w:lineRule="auto"/>
        <w:ind w:left="480"/>
        <w:jc w:val="center"/>
        <w:textAlignment w:val="auto"/>
        <w:rPr>
          <w:rFonts w:hint="eastAsia"/>
          <w:color w:val="auto"/>
        </w:rPr>
      </w:pPr>
      <w:r>
        <w:rPr>
          <w:rFonts w:hint="eastAsia"/>
          <w:b/>
          <w:color w:val="FF0000"/>
          <w:szCs w:val="21"/>
        </w:rPr>
        <w:t>★</w:t>
      </w:r>
      <w:r>
        <w:rPr>
          <w:rFonts w:hint="eastAsia"/>
          <w:color w:val="auto"/>
        </w:rPr>
        <w:t xml:space="preserve">第二节 </w:t>
      </w:r>
      <w:r>
        <w:rPr>
          <w:rFonts w:hint="eastAsia"/>
          <w:color w:val="auto"/>
          <w:lang w:val="en-US" w:eastAsia="zh-CN"/>
        </w:rPr>
        <w:t>技术需求</w:t>
      </w:r>
      <w:r>
        <w:rPr>
          <w:rFonts w:hint="eastAsia"/>
          <w:color w:val="auto"/>
        </w:rPr>
        <w:t>说明</w:t>
      </w:r>
    </w:p>
    <w:p w14:paraId="04E6A7A6">
      <w:pPr>
        <w:pStyle w:val="5"/>
        <w:pageBreakBefore w:val="0"/>
        <w:widowControl w:val="0"/>
        <w:numPr>
          <w:ilvl w:val="-1"/>
          <w:numId w:val="0"/>
        </w:numPr>
        <w:kinsoku/>
        <w:wordWrap/>
        <w:overflowPunct/>
        <w:topLinePunct w:val="0"/>
        <w:autoSpaceDE/>
        <w:autoSpaceDN/>
        <w:bidi w:val="0"/>
        <w:adjustRightInd/>
        <w:spacing w:line="360" w:lineRule="auto"/>
        <w:ind w:left="480" w:leftChars="200" w:firstLine="0" w:firstLineChars="0"/>
        <w:jc w:val="both"/>
        <w:textAlignment w:val="auto"/>
        <w:rPr>
          <w:rFonts w:hint="eastAsia" w:ascii="宋体" w:hAnsi="宋体"/>
          <w:color w:val="auto"/>
          <w:sz w:val="21"/>
          <w:szCs w:val="21"/>
        </w:rPr>
      </w:pPr>
      <w:r>
        <w:rPr>
          <w:rFonts w:hint="eastAsia"/>
          <w:b/>
          <w:color w:val="FF0000"/>
          <w:szCs w:val="21"/>
        </w:rPr>
        <w:t>★</w:t>
      </w:r>
      <w:r>
        <w:rPr>
          <w:rFonts w:hint="eastAsia" w:ascii="宋体" w:hAnsi="宋体"/>
          <w:b/>
          <w:bCs/>
          <w:color w:val="auto"/>
          <w:sz w:val="21"/>
          <w:szCs w:val="21"/>
          <w:lang w:val="en-US" w:eastAsia="zh-CN"/>
        </w:rPr>
        <w:t>1.设备采购目的</w:t>
      </w:r>
    </w:p>
    <w:p w14:paraId="7EE715F3">
      <w:pPr>
        <w:pageBreakBefore w:val="0"/>
        <w:widowControl w:val="0"/>
        <w:numPr>
          <w:ilvl w:val="0"/>
          <w:numId w:val="2"/>
        </w:numPr>
        <w:kinsoku/>
        <w:wordWrap/>
        <w:overflowPunct/>
        <w:topLinePunct w:val="0"/>
        <w:autoSpaceDE/>
        <w:autoSpaceDN/>
        <w:bidi w:val="0"/>
        <w:adjustRightIn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本次设备采购是为了完善原有监控实验动物设施的通风与空调系统、空调水系统及房间的控制系统</w:t>
      </w:r>
      <w:r>
        <w:rPr>
          <w:rFonts w:hint="eastAsia" w:ascii="宋体" w:hAnsi="宋体" w:eastAsia="宋体" w:cs="宋体"/>
          <w:sz w:val="21"/>
          <w:szCs w:val="21"/>
        </w:rPr>
        <w:t>。</w:t>
      </w:r>
    </w:p>
    <w:p w14:paraId="6330094C">
      <w:pPr>
        <w:pageBreakBefore w:val="0"/>
        <w:widowControl w:val="0"/>
        <w:numPr>
          <w:ilvl w:val="0"/>
          <w:numId w:val="2"/>
        </w:numPr>
        <w:kinsoku/>
        <w:wordWrap/>
        <w:overflowPunct/>
        <w:topLinePunct w:val="0"/>
        <w:autoSpaceDE/>
        <w:autoSpaceDN/>
        <w:bidi w:val="0"/>
        <w:adjustRightIn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lang w:val="en-US" w:eastAsia="zh-CN"/>
        </w:rPr>
        <w:t>完善房间控制系统的压差控制。</w:t>
      </w:r>
    </w:p>
    <w:p w14:paraId="290C8BBC">
      <w:pPr>
        <w:pageBreakBefore w:val="0"/>
        <w:widowControl w:val="0"/>
        <w:numPr>
          <w:ilvl w:val="0"/>
          <w:numId w:val="2"/>
        </w:numPr>
        <w:kinsoku/>
        <w:wordWrap/>
        <w:overflowPunct/>
        <w:topLinePunct w:val="0"/>
        <w:autoSpaceDE/>
        <w:autoSpaceDN/>
        <w:bidi w:val="0"/>
        <w:adjustRightInd/>
        <w:spacing w:line="360" w:lineRule="auto"/>
        <w:ind w:left="0" w:leftChars="0" w:firstLine="420" w:firstLineChars="200"/>
        <w:jc w:val="both"/>
        <w:textAlignment w:val="auto"/>
        <w:rPr>
          <w:rFonts w:hint="eastAsia" w:ascii="宋体" w:hAnsi="宋体" w:eastAsia="宋体" w:cs="宋体"/>
          <w:color w:val="auto"/>
          <w:szCs w:val="24"/>
        </w:rPr>
      </w:pPr>
      <w:r>
        <w:rPr>
          <w:rFonts w:hint="eastAsia" w:ascii="宋体" w:hAnsi="宋体" w:eastAsia="宋体" w:cs="宋体"/>
          <w:sz w:val="21"/>
          <w:szCs w:val="21"/>
          <w:lang w:val="en-US" w:eastAsia="zh-CN"/>
        </w:rPr>
        <w:t>新增22套房间温湿度监视点</w:t>
      </w:r>
      <w:r>
        <w:rPr>
          <w:rFonts w:hint="eastAsia" w:ascii="宋体" w:hAnsi="宋体" w:eastAsia="宋体" w:cs="宋体"/>
          <w:sz w:val="21"/>
          <w:szCs w:val="21"/>
        </w:rPr>
        <w:t>。</w:t>
      </w:r>
    </w:p>
    <w:p w14:paraId="257A7422">
      <w:pPr>
        <w:pStyle w:val="5"/>
        <w:pageBreakBefore w:val="0"/>
        <w:widowControl w:val="0"/>
        <w:numPr>
          <w:ilvl w:val="-1"/>
          <w:numId w:val="0"/>
        </w:numPr>
        <w:kinsoku/>
        <w:wordWrap/>
        <w:overflowPunct/>
        <w:topLinePunct w:val="0"/>
        <w:autoSpaceDE/>
        <w:autoSpaceDN/>
        <w:bidi w:val="0"/>
        <w:adjustRightInd/>
        <w:spacing w:line="360" w:lineRule="auto"/>
        <w:ind w:left="480" w:leftChars="200" w:firstLine="0" w:firstLineChars="0"/>
        <w:jc w:val="both"/>
        <w:textAlignment w:val="auto"/>
        <w:rPr>
          <w:rFonts w:hint="eastAsia" w:ascii="宋体" w:hAnsi="宋体" w:eastAsia="宋体" w:cs="宋体"/>
          <w:sz w:val="21"/>
          <w:szCs w:val="21"/>
          <w:lang w:val="en-US" w:eastAsia="zh-CN"/>
        </w:rPr>
      </w:pPr>
      <w:r>
        <w:rPr>
          <w:rFonts w:hint="eastAsia"/>
          <w:b/>
          <w:color w:val="FF0000"/>
          <w:szCs w:val="21"/>
        </w:rPr>
        <w:t>★</w:t>
      </w:r>
      <w:r>
        <w:rPr>
          <w:rFonts w:hint="eastAsia" w:ascii="宋体" w:hAnsi="宋体" w:eastAsia="宋体" w:cs="宋体"/>
          <w:b/>
          <w:bCs/>
          <w:color w:val="auto"/>
          <w:sz w:val="21"/>
          <w:szCs w:val="21"/>
          <w:lang w:val="en-US" w:eastAsia="zh-CN"/>
        </w:rPr>
        <w:t>2.</w:t>
      </w:r>
      <w:r>
        <w:rPr>
          <w:rFonts w:hint="eastAsia" w:ascii="宋体" w:hAnsi="宋体" w:eastAsia="宋体" w:cs="宋体"/>
          <w:b/>
          <w:bCs/>
          <w:color w:val="auto"/>
          <w:sz w:val="21"/>
          <w:szCs w:val="21"/>
        </w:rPr>
        <w:t>质量保证</w:t>
      </w:r>
    </w:p>
    <w:p w14:paraId="283DDEE1">
      <w:pPr>
        <w:pageBreakBefore w:val="0"/>
        <w:widowControl w:val="0"/>
        <w:numPr>
          <w:ilvl w:val="1"/>
          <w:numId w:val="3"/>
        </w:numPr>
        <w:kinsoku/>
        <w:wordWrap/>
        <w:overflowPunct/>
        <w:topLinePunct w:val="0"/>
        <w:autoSpaceDE/>
        <w:autoSpaceDN/>
        <w:bidi w:val="0"/>
        <w:adjustRightInd/>
        <w:spacing w:line="360" w:lineRule="auto"/>
        <w:ind w:left="0" w:leftChars="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一切工作都应符合国标或者国际标准，并经得起测试、检验、投运与验收。</w:t>
      </w:r>
    </w:p>
    <w:p w14:paraId="1EE6360F">
      <w:pPr>
        <w:pageBreakBefore w:val="0"/>
        <w:widowControl w:val="0"/>
        <w:numPr>
          <w:ilvl w:val="1"/>
          <w:numId w:val="3"/>
        </w:numPr>
        <w:kinsoku/>
        <w:wordWrap/>
        <w:overflowPunct/>
        <w:topLinePunct w:val="0"/>
        <w:autoSpaceDE/>
        <w:autoSpaceDN/>
        <w:bidi w:val="0"/>
        <w:adjustRightInd/>
        <w:spacing w:line="360" w:lineRule="auto"/>
        <w:ind w:left="0" w:leftChars="0" w:firstLine="420" w:firstLineChars="20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系统应有证明能担负指定的职能，应是制造厂的标准产品系列。</w:t>
      </w:r>
    </w:p>
    <w:p w14:paraId="50D2D7B6">
      <w:pPr>
        <w:pageBreakBefore w:val="0"/>
        <w:widowControl w:val="0"/>
        <w:numPr>
          <w:ilvl w:val="1"/>
          <w:numId w:val="3"/>
        </w:numPr>
        <w:kinsoku/>
        <w:wordWrap/>
        <w:overflowPunct/>
        <w:topLinePunct w:val="0"/>
        <w:autoSpaceDE/>
        <w:autoSpaceDN/>
        <w:bidi w:val="0"/>
        <w:adjustRightInd/>
        <w:spacing w:line="360" w:lineRule="auto"/>
        <w:ind w:left="0" w:leftChars="0" w:firstLine="420" w:firstLineChars="200"/>
        <w:jc w:val="both"/>
        <w:textAlignment w:val="auto"/>
        <w:rPr>
          <w:rFonts w:hint="eastAsia"/>
          <w:sz w:val="21"/>
          <w:szCs w:val="21"/>
          <w:lang w:val="en-US" w:eastAsia="zh-CN"/>
        </w:rPr>
      </w:pPr>
      <w:r>
        <w:rPr>
          <w:rFonts w:hint="eastAsia" w:ascii="宋体" w:hAnsi="宋体" w:eastAsia="宋体" w:cs="宋体"/>
          <w:sz w:val="21"/>
          <w:szCs w:val="21"/>
          <w:lang w:val="en-US" w:eastAsia="zh-CN"/>
        </w:rPr>
        <w:t>整个系统应按下列标准的最</w:t>
      </w:r>
      <w:r>
        <w:rPr>
          <w:rFonts w:hint="eastAsia"/>
          <w:sz w:val="21"/>
          <w:szCs w:val="21"/>
          <w:lang w:val="en-US" w:eastAsia="zh-CN"/>
        </w:rPr>
        <w:t>新修订本进行设计与制造。如当地的法令或规范更为严谨，则应优先遵守有关的法令或规范。</w:t>
      </w:r>
    </w:p>
    <w:p w14:paraId="4F8C378E">
      <w:pPr>
        <w:pStyle w:val="5"/>
        <w:pageBreakBefore w:val="0"/>
        <w:widowControl w:val="0"/>
        <w:numPr>
          <w:ilvl w:val="-1"/>
          <w:numId w:val="0"/>
        </w:numPr>
        <w:kinsoku/>
        <w:wordWrap/>
        <w:overflowPunct/>
        <w:topLinePunct w:val="0"/>
        <w:autoSpaceDE/>
        <w:autoSpaceDN/>
        <w:bidi w:val="0"/>
        <w:adjustRightInd/>
        <w:spacing w:line="360" w:lineRule="auto"/>
        <w:ind w:left="480" w:leftChars="200" w:firstLine="0" w:firstLineChars="0"/>
        <w:jc w:val="both"/>
        <w:textAlignment w:val="auto"/>
        <w:rPr>
          <w:rFonts w:ascii="宋体" w:hAnsi="宋体"/>
          <w:color w:val="auto"/>
          <w:sz w:val="21"/>
          <w:szCs w:val="21"/>
        </w:rPr>
      </w:pPr>
      <w:r>
        <w:rPr>
          <w:rFonts w:hint="eastAsia"/>
          <w:b/>
          <w:color w:val="FF0000"/>
          <w:szCs w:val="21"/>
        </w:rPr>
        <w:t>★</w:t>
      </w:r>
      <w:r>
        <w:rPr>
          <w:rFonts w:hint="eastAsia" w:ascii="宋体" w:hAnsi="宋体"/>
          <w:b/>
          <w:bCs/>
          <w:color w:val="auto"/>
          <w:sz w:val="21"/>
          <w:szCs w:val="21"/>
          <w:lang w:val="en-US" w:eastAsia="zh-CN"/>
        </w:rPr>
        <w:t>3.技术</w:t>
      </w:r>
      <w:r>
        <w:rPr>
          <w:rFonts w:hint="eastAsia" w:ascii="宋体" w:hAnsi="宋体"/>
          <w:b/>
          <w:bCs/>
          <w:color w:val="auto"/>
          <w:sz w:val="21"/>
          <w:szCs w:val="21"/>
        </w:rPr>
        <w:t>要求</w:t>
      </w:r>
    </w:p>
    <w:p w14:paraId="77C0A8EA">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ascii="宋体" w:hAnsi="宋体"/>
          <w:color w:val="auto"/>
          <w:sz w:val="21"/>
          <w:szCs w:val="21"/>
        </w:rPr>
      </w:pPr>
      <w:r>
        <w:rPr>
          <w:rFonts w:hint="eastAsia" w:ascii="宋体" w:hAnsi="宋体"/>
          <w:color w:val="auto"/>
          <w:sz w:val="21"/>
          <w:szCs w:val="21"/>
          <w:lang w:val="en-US" w:eastAsia="zh-CN"/>
        </w:rPr>
        <w:t>本设施的</w:t>
      </w:r>
      <w:r>
        <w:rPr>
          <w:rFonts w:hint="eastAsia" w:ascii="宋体" w:hAnsi="宋体"/>
          <w:color w:val="auto"/>
          <w:sz w:val="21"/>
          <w:szCs w:val="21"/>
        </w:rPr>
        <w:t>通风与空调系统、空调水系统</w:t>
      </w:r>
      <w:r>
        <w:rPr>
          <w:rFonts w:hint="eastAsia" w:ascii="宋体" w:hAnsi="宋体"/>
          <w:color w:val="auto"/>
          <w:sz w:val="21"/>
          <w:szCs w:val="21"/>
          <w:lang w:val="en-US" w:eastAsia="zh-CN"/>
        </w:rPr>
        <w:t>及房间压差控制系统已建成，采用就地控制，未做集中监控。本次新增集中监控系统1套，在不需要调整现有硬件的前提下，</w:t>
      </w:r>
      <w:r>
        <w:rPr>
          <w:rFonts w:hint="eastAsia" w:ascii="宋体" w:hAnsi="宋体"/>
          <w:color w:val="auto"/>
          <w:sz w:val="21"/>
          <w:szCs w:val="21"/>
        </w:rPr>
        <w:t>对下列各子系统的设备装置进行自动的监控或监视，同时能收集、记录、保存和管理各子系统中的重要信息、数据，如温度、湿度、压力等可用曲线显示它们随时间的变化，并可用打印机打印出来。</w:t>
      </w:r>
    </w:p>
    <w:p w14:paraId="0B49892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eastAsia" w:ascii="宋体" w:hAnsi="宋体"/>
          <w:b/>
          <w:bCs/>
          <w:color w:val="auto"/>
          <w:sz w:val="21"/>
          <w:szCs w:val="21"/>
        </w:rPr>
      </w:pPr>
    </w:p>
    <w:p w14:paraId="24D580B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eastAsia" w:ascii="宋体" w:hAnsi="宋体"/>
          <w:b/>
          <w:bCs/>
          <w:color w:val="auto"/>
          <w:sz w:val="21"/>
          <w:szCs w:val="21"/>
        </w:rPr>
      </w:pPr>
    </w:p>
    <w:p w14:paraId="7E29B2F4">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eastAsia" w:ascii="宋体" w:hAnsi="宋体"/>
          <w:b/>
          <w:bCs/>
          <w:color w:val="auto"/>
          <w:sz w:val="21"/>
          <w:szCs w:val="21"/>
        </w:rPr>
      </w:pPr>
      <w:r>
        <w:rPr>
          <w:rFonts w:hint="eastAsia" w:ascii="宋体" w:hAnsi="宋体"/>
          <w:b/>
          <w:bCs/>
          <w:color w:val="auto"/>
          <w:sz w:val="21"/>
          <w:szCs w:val="21"/>
        </w:rPr>
        <w:t>监控内容：</w:t>
      </w:r>
    </w:p>
    <w:tbl>
      <w:tblPr>
        <w:tblStyle w:val="20"/>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0"/>
        <w:gridCol w:w="2505"/>
        <w:gridCol w:w="6022"/>
      </w:tblGrid>
      <w:tr w14:paraId="0155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32803F1E">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序号</w:t>
            </w:r>
          </w:p>
        </w:tc>
        <w:tc>
          <w:tcPr>
            <w:tcW w:w="1334" w:type="pct"/>
            <w:vAlign w:val="center"/>
          </w:tcPr>
          <w:p w14:paraId="5DF80885">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监控内容</w:t>
            </w:r>
          </w:p>
        </w:tc>
        <w:tc>
          <w:tcPr>
            <w:tcW w:w="3207" w:type="pct"/>
            <w:vAlign w:val="center"/>
          </w:tcPr>
          <w:p w14:paraId="6D1F22E8">
            <w:pPr>
              <w:pStyle w:val="5"/>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highlight w:val="yellow"/>
                <w:vertAlign w:val="baseline"/>
                <w:lang w:val="en-US" w:eastAsia="zh-CN"/>
              </w:rPr>
              <w:t>技术要求</w:t>
            </w:r>
          </w:p>
        </w:tc>
      </w:tr>
      <w:tr w14:paraId="1793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5BBBEE9D">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1</w:t>
            </w:r>
          </w:p>
        </w:tc>
        <w:tc>
          <w:tcPr>
            <w:tcW w:w="1334" w:type="pct"/>
            <w:vAlign w:val="center"/>
          </w:tcPr>
          <w:p w14:paraId="675D2542">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kern w:val="2"/>
                <w:sz w:val="21"/>
                <w:szCs w:val="21"/>
                <w:vertAlign w:val="baseline"/>
              </w:rPr>
            </w:pPr>
            <w:r>
              <w:rPr>
                <w:rFonts w:hint="eastAsia" w:ascii="宋体" w:hAnsi="宋体"/>
                <w:b/>
                <w:bCs/>
                <w:color w:val="auto"/>
                <w:kern w:val="2"/>
                <w:sz w:val="21"/>
                <w:szCs w:val="21"/>
              </w:rPr>
              <w:t>净化空调系统</w:t>
            </w:r>
          </w:p>
        </w:tc>
        <w:tc>
          <w:tcPr>
            <w:tcW w:w="3207" w:type="pct"/>
          </w:tcPr>
          <w:p w14:paraId="7EC999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eastAsia="宋体"/>
                <w:color w:val="auto"/>
                <w:kern w:val="2"/>
                <w:sz w:val="21"/>
                <w:szCs w:val="21"/>
                <w:lang w:eastAsia="zh-CN"/>
              </w:rPr>
            </w:pPr>
            <w:r>
              <w:rPr>
                <w:rFonts w:hint="eastAsia" w:ascii="宋体" w:hAnsi="宋体"/>
                <w:color w:val="auto"/>
                <w:kern w:val="2"/>
                <w:sz w:val="21"/>
                <w:szCs w:val="21"/>
              </w:rPr>
              <w:t>实现以下监视控制功能：</w:t>
            </w:r>
            <w:r>
              <w:rPr>
                <w:rFonts w:hint="eastAsia" w:ascii="宋体" w:hAnsi="宋体"/>
                <w:color w:val="auto"/>
                <w:kern w:val="2"/>
                <w:sz w:val="21"/>
                <w:szCs w:val="21"/>
                <w:lang w:eastAsia="zh-CN"/>
              </w:rPr>
              <w:tab/>
            </w:r>
          </w:p>
          <w:p w14:paraId="020D896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lang w:val="en-US" w:eastAsia="zh-CN"/>
              </w:rPr>
              <w:t>1.状态</w:t>
            </w:r>
            <w:r>
              <w:rPr>
                <w:rFonts w:hint="eastAsia" w:ascii="宋体" w:hAnsi="宋体"/>
                <w:color w:val="auto"/>
                <w:kern w:val="2"/>
                <w:sz w:val="21"/>
                <w:szCs w:val="21"/>
              </w:rPr>
              <w:t>监控</w:t>
            </w:r>
          </w:p>
          <w:p w14:paraId="566ED87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rPr>
              <w:t>对风机进行开关及转速控制，回收开关状态、故障报警、手/自动等信号。</w:t>
            </w:r>
          </w:p>
          <w:p w14:paraId="46231C5D">
            <w:pPr>
              <w:pageBreakBefore w:val="0"/>
              <w:widowControl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lang w:val="en-US" w:eastAsia="zh-CN"/>
              </w:rPr>
              <w:t>2.</w:t>
            </w:r>
            <w:r>
              <w:rPr>
                <w:rFonts w:hint="eastAsia" w:ascii="宋体" w:hAnsi="宋体"/>
                <w:color w:val="auto"/>
                <w:kern w:val="2"/>
                <w:sz w:val="21"/>
                <w:szCs w:val="21"/>
              </w:rPr>
              <w:t>自动换风</w:t>
            </w:r>
          </w:p>
          <w:p w14:paraId="39D86CB1">
            <w:pPr>
              <w:pageBreakBefore w:val="0"/>
              <w:widowControl w:val="0"/>
              <w:numPr>
                <w:ilvl w:val="0"/>
                <w:numId w:val="0"/>
              </w:numPr>
              <w:kinsoku/>
              <w:wordWrap/>
              <w:overflowPunct/>
              <w:topLinePunct w:val="0"/>
              <w:autoSpaceDE/>
              <w:autoSpaceDN/>
              <w:bidi w:val="0"/>
              <w:adjustRightInd/>
              <w:spacing w:before="0" w:line="240" w:lineRule="auto"/>
              <w:ind w:left="0" w:leftChars="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根据测量送风管压力值与设定值的偏差，以PID（比例积分微分）方式调整送风量，使风管压力维持在一定范围，保证送风风量。</w:t>
            </w:r>
          </w:p>
          <w:p w14:paraId="4D566CB6">
            <w:pPr>
              <w:pageBreakBefore w:val="0"/>
              <w:widowControl w:val="0"/>
              <w:numPr>
                <w:ilvl w:val="0"/>
                <w:numId w:val="0"/>
              </w:numPr>
              <w:kinsoku/>
              <w:wordWrap/>
              <w:overflowPunct/>
              <w:topLinePunct w:val="0"/>
              <w:autoSpaceDE/>
              <w:autoSpaceDN/>
              <w:bidi w:val="0"/>
              <w:adjustRightInd/>
              <w:spacing w:before="0" w:line="240" w:lineRule="auto"/>
              <w:ind w:left="0" w:leftChars="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2</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根据测量排风管压力值与设定值的偏差，以PID（比例积分微分）方式调整排风量，使风管压力维持在一定范围，保证排风风量。</w:t>
            </w:r>
          </w:p>
          <w:p w14:paraId="73C7C155">
            <w:pPr>
              <w:pageBreakBefore w:val="0"/>
              <w:widowControl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lang w:val="en-US" w:eastAsia="zh-CN"/>
              </w:rPr>
              <w:t>3.</w:t>
            </w:r>
            <w:r>
              <w:rPr>
                <w:rFonts w:hint="eastAsia" w:ascii="宋体" w:hAnsi="宋体"/>
                <w:color w:val="auto"/>
                <w:kern w:val="2"/>
                <w:sz w:val="21"/>
                <w:szCs w:val="21"/>
              </w:rPr>
              <w:t>温湿度控制</w:t>
            </w:r>
          </w:p>
          <w:p w14:paraId="752E3D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rPr>
              <w:t>冷热水阀及加湿电动阀通过PLC内的PID功能控制阀门的开度，控制流入冷热水或蒸汽的流量进而控制送风温湿度。</w:t>
            </w:r>
          </w:p>
          <w:p w14:paraId="760C13B3">
            <w:pPr>
              <w:pageBreakBefore w:val="0"/>
              <w:widowControl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lang w:val="en-US" w:eastAsia="zh-CN"/>
              </w:rPr>
              <w:t>4.</w:t>
            </w:r>
            <w:r>
              <w:rPr>
                <w:rFonts w:hint="eastAsia" w:ascii="宋体" w:hAnsi="宋体"/>
                <w:color w:val="auto"/>
                <w:kern w:val="2"/>
                <w:sz w:val="21"/>
                <w:szCs w:val="21"/>
                <w:lang w:eastAsia="zh-CN"/>
              </w:rPr>
              <w:t>联锁</w:t>
            </w:r>
            <w:r>
              <w:rPr>
                <w:rFonts w:hint="eastAsia" w:ascii="宋体" w:hAnsi="宋体"/>
                <w:color w:val="auto"/>
                <w:kern w:val="2"/>
                <w:sz w:val="21"/>
                <w:szCs w:val="21"/>
              </w:rPr>
              <w:t>控制</w:t>
            </w:r>
          </w:p>
          <w:p w14:paraId="6F1E734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rPr>
              <w:t>机组入口装有电动风阀。机组启动时，应先开启电动风阀，机组关闭时，电动风阀随之关闭。正压环境，先启动送风机组，再启动排风机组，负压环境相反。</w:t>
            </w:r>
          </w:p>
          <w:p w14:paraId="068DEE43">
            <w:pPr>
              <w:pageBreakBefore w:val="0"/>
              <w:widowControl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lang w:val="en-US" w:eastAsia="zh-CN"/>
              </w:rPr>
              <w:t>5.</w:t>
            </w:r>
            <w:r>
              <w:rPr>
                <w:rFonts w:hint="eastAsia" w:ascii="宋体" w:hAnsi="宋体"/>
                <w:color w:val="auto"/>
                <w:kern w:val="2"/>
                <w:sz w:val="21"/>
                <w:szCs w:val="21"/>
              </w:rPr>
              <w:t>主/备用控制</w:t>
            </w:r>
          </w:p>
          <w:p w14:paraId="0973898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rPr>
              <w:t>采用双风机的机组，根据压差开关或电机故障信号，切换主/备用风机。</w:t>
            </w:r>
          </w:p>
          <w:p w14:paraId="6FFD1041">
            <w:pPr>
              <w:pageBreakBefore w:val="0"/>
              <w:widowControl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ascii="宋体" w:hAnsi="宋体"/>
                <w:color w:val="auto"/>
                <w:kern w:val="2"/>
                <w:sz w:val="21"/>
                <w:szCs w:val="21"/>
              </w:rPr>
            </w:pPr>
            <w:r>
              <w:rPr>
                <w:rFonts w:hint="eastAsia" w:ascii="宋体" w:hAnsi="宋体"/>
                <w:color w:val="auto"/>
                <w:kern w:val="2"/>
                <w:sz w:val="21"/>
                <w:szCs w:val="21"/>
                <w:lang w:val="en-US" w:eastAsia="zh-CN"/>
              </w:rPr>
              <w:t>6.</w:t>
            </w:r>
            <w:r>
              <w:rPr>
                <w:rFonts w:hint="eastAsia" w:ascii="宋体" w:hAnsi="宋体"/>
                <w:color w:val="auto"/>
                <w:kern w:val="2"/>
                <w:sz w:val="21"/>
                <w:szCs w:val="21"/>
              </w:rPr>
              <w:t>数据记录</w:t>
            </w:r>
            <w:r>
              <w:rPr>
                <w:rFonts w:ascii="宋体" w:hAnsi="宋体"/>
                <w:color w:val="auto"/>
                <w:kern w:val="2"/>
                <w:sz w:val="21"/>
                <w:szCs w:val="21"/>
              </w:rPr>
              <w:t></w:t>
            </w:r>
            <w:r>
              <w:rPr>
                <w:rFonts w:ascii="宋体" w:hAnsi="宋体"/>
                <w:color w:val="auto"/>
                <w:kern w:val="2"/>
                <w:sz w:val="21"/>
                <w:szCs w:val="21"/>
              </w:rPr>
              <w:tab/>
            </w:r>
          </w:p>
          <w:p w14:paraId="40822587">
            <w:pPr>
              <w:pageBreakBefore w:val="0"/>
              <w:widowControl w:val="0"/>
              <w:numPr>
                <w:ilvl w:val="0"/>
                <w:numId w:val="0"/>
              </w:numPr>
              <w:kinsoku/>
              <w:wordWrap/>
              <w:overflowPunct/>
              <w:topLinePunct w:val="0"/>
              <w:autoSpaceDE/>
              <w:autoSpaceDN/>
              <w:bidi w:val="0"/>
              <w:adjustRightInd/>
              <w:spacing w:before="0" w:line="240" w:lineRule="auto"/>
              <w:ind w:left="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记录设备的累计运行时间，当运行时间达到某一限度时，会自动切换主/备用风机，并显示维修指示信息。</w:t>
            </w:r>
          </w:p>
          <w:p w14:paraId="0B2847F9">
            <w:pPr>
              <w:pageBreakBefore w:val="0"/>
              <w:widowControl w:val="0"/>
              <w:numPr>
                <w:ilvl w:val="0"/>
                <w:numId w:val="0"/>
              </w:numPr>
              <w:kinsoku/>
              <w:wordWrap/>
              <w:overflowPunct/>
              <w:topLinePunct w:val="0"/>
              <w:autoSpaceDE/>
              <w:autoSpaceDN/>
              <w:bidi w:val="0"/>
              <w:adjustRightInd/>
              <w:spacing w:before="0" w:line="240" w:lineRule="auto"/>
              <w:ind w:left="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2</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中央监控站会显示如监控点表所示的信息。</w:t>
            </w:r>
          </w:p>
          <w:p w14:paraId="5CA99D95">
            <w:pPr>
              <w:pageBreakBefore w:val="0"/>
              <w:widowControl w:val="0"/>
              <w:numPr>
                <w:ilvl w:val="0"/>
                <w:numId w:val="0"/>
              </w:numPr>
              <w:kinsoku/>
              <w:wordWrap/>
              <w:overflowPunct/>
              <w:topLinePunct w:val="0"/>
              <w:autoSpaceDE/>
              <w:autoSpaceDN/>
              <w:bidi w:val="0"/>
              <w:adjustRightInd/>
              <w:spacing w:before="0" w:line="240" w:lineRule="auto"/>
              <w:ind w:left="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3</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当机组出现故障时，中央监控站会显示及打印报警信息，包括报警时间。</w:t>
            </w:r>
          </w:p>
          <w:p w14:paraId="74A3C377">
            <w:pPr>
              <w:pageBreakBefore w:val="0"/>
              <w:widowControl w:val="0"/>
              <w:numPr>
                <w:ilvl w:val="0"/>
                <w:numId w:val="0"/>
              </w:numPr>
              <w:kinsoku/>
              <w:wordWrap/>
              <w:overflowPunct/>
              <w:topLinePunct w:val="0"/>
              <w:autoSpaceDE/>
              <w:autoSpaceDN/>
              <w:bidi w:val="0"/>
              <w:adjustRightIn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lang w:val="en-US" w:eastAsia="zh-CN"/>
              </w:rPr>
              <w:t>7.</w:t>
            </w:r>
            <w:r>
              <w:rPr>
                <w:rFonts w:hint="eastAsia" w:ascii="宋体" w:hAnsi="宋体"/>
                <w:color w:val="auto"/>
                <w:kern w:val="2"/>
                <w:sz w:val="21"/>
                <w:szCs w:val="21"/>
              </w:rPr>
              <w:t>故障报警</w:t>
            </w:r>
          </w:p>
          <w:p w14:paraId="3222396B">
            <w:pPr>
              <w:pageBreakBefore w:val="0"/>
              <w:widowControl w:val="0"/>
              <w:numPr>
                <w:ilvl w:val="0"/>
                <w:numId w:val="0"/>
              </w:numPr>
              <w:kinsoku/>
              <w:wordWrap/>
              <w:overflowPunct/>
              <w:topLinePunct w:val="0"/>
              <w:autoSpaceDE/>
              <w:autoSpaceDN/>
              <w:bidi w:val="0"/>
              <w:adjustRightInd/>
              <w:spacing w:before="0" w:line="240" w:lineRule="auto"/>
              <w:ind w:left="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过滤网堵塞报警</w:t>
            </w:r>
          </w:p>
          <w:p w14:paraId="4B696734">
            <w:pPr>
              <w:pageBreakBefore w:val="0"/>
              <w:widowControl w:val="0"/>
              <w:numPr>
                <w:ilvl w:val="0"/>
                <w:numId w:val="0"/>
              </w:numPr>
              <w:kinsoku/>
              <w:wordWrap/>
              <w:overflowPunct/>
              <w:topLinePunct w:val="0"/>
              <w:autoSpaceDE/>
              <w:autoSpaceDN/>
              <w:bidi w:val="0"/>
              <w:adjustRightInd/>
              <w:spacing w:before="0" w:line="240" w:lineRule="auto"/>
              <w:ind w:left="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2</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送风机故障报警</w:t>
            </w:r>
          </w:p>
          <w:p w14:paraId="72C451E5">
            <w:pPr>
              <w:pageBreakBefore w:val="0"/>
              <w:widowControl w:val="0"/>
              <w:numPr>
                <w:ilvl w:val="0"/>
                <w:numId w:val="0"/>
              </w:numPr>
              <w:kinsoku/>
              <w:wordWrap/>
              <w:overflowPunct/>
              <w:topLinePunct w:val="0"/>
              <w:autoSpaceDE/>
              <w:autoSpaceDN/>
              <w:bidi w:val="0"/>
              <w:adjustRightInd/>
              <w:spacing w:before="0" w:line="240" w:lineRule="auto"/>
              <w:ind w:left="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3</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超温报警</w:t>
            </w:r>
          </w:p>
          <w:p w14:paraId="4C2A5B8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eastAsia" w:ascii="宋体" w:hAnsi="宋体"/>
                <w:b/>
                <w:bCs/>
                <w:color w:val="auto"/>
                <w:kern w:val="2"/>
                <w:sz w:val="21"/>
                <w:szCs w:val="21"/>
                <w:vertAlign w:val="baseline"/>
              </w:rPr>
            </w:pPr>
            <w:r>
              <w:rPr>
                <w:rFonts w:hint="eastAsia" w:ascii="宋体" w:hAnsi="宋体" w:eastAsia="宋体" w:cs="宋体"/>
                <w:kern w:val="2"/>
                <w:sz w:val="21"/>
                <w:szCs w:val="21"/>
              </w:rPr>
              <w:t>中央监控站实现对</w:t>
            </w:r>
            <w:r>
              <w:rPr>
                <w:rFonts w:hint="eastAsia" w:ascii="宋体" w:hAnsi="宋体" w:cs="宋体"/>
                <w:kern w:val="2"/>
                <w:sz w:val="21"/>
                <w:szCs w:val="21"/>
                <w:lang w:val="en-US" w:eastAsia="zh-CN"/>
              </w:rPr>
              <w:t>上述</w:t>
            </w:r>
            <w:r>
              <w:rPr>
                <w:rFonts w:hint="eastAsia" w:ascii="宋体" w:hAnsi="宋体" w:eastAsia="宋体" w:cs="宋体"/>
                <w:kern w:val="2"/>
                <w:sz w:val="21"/>
                <w:szCs w:val="21"/>
              </w:rPr>
              <w:t>采集点的监控。</w:t>
            </w:r>
          </w:p>
        </w:tc>
      </w:tr>
      <w:tr w14:paraId="6162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3360D322">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2</w:t>
            </w:r>
          </w:p>
        </w:tc>
        <w:tc>
          <w:tcPr>
            <w:tcW w:w="1334" w:type="pct"/>
            <w:vAlign w:val="center"/>
          </w:tcPr>
          <w:p w14:paraId="52A82A74">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kern w:val="2"/>
                <w:sz w:val="21"/>
                <w:szCs w:val="21"/>
                <w:vertAlign w:val="baseline"/>
              </w:rPr>
            </w:pPr>
            <w:r>
              <w:rPr>
                <w:rFonts w:hint="eastAsia" w:ascii="宋体" w:hAnsi="宋体"/>
                <w:b/>
                <w:bCs/>
                <w:color w:val="auto"/>
                <w:kern w:val="2"/>
                <w:sz w:val="21"/>
                <w:szCs w:val="21"/>
              </w:rPr>
              <w:t>室内环境监控系统</w:t>
            </w:r>
          </w:p>
        </w:tc>
        <w:tc>
          <w:tcPr>
            <w:tcW w:w="3207" w:type="pct"/>
          </w:tcPr>
          <w:p w14:paraId="7F30D093">
            <w:pPr>
              <w:pStyle w:val="5"/>
              <w:keepNext w:val="0"/>
              <w:keepLines w:val="0"/>
              <w:pageBreakBefore w:val="0"/>
              <w:widowControl w:val="0"/>
              <w:numPr>
                <w:ilvl w:val="-1"/>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kern w:val="2"/>
                <w:sz w:val="21"/>
                <w:szCs w:val="21"/>
                <w:lang w:val="en-US" w:eastAsia="zh-CN"/>
              </w:rPr>
            </w:pPr>
            <w:r>
              <w:rPr>
                <w:rFonts w:hint="eastAsia" w:ascii="宋体" w:hAnsi="宋体"/>
                <w:color w:val="auto"/>
                <w:kern w:val="2"/>
                <w:sz w:val="21"/>
                <w:szCs w:val="21"/>
                <w:lang w:val="en-US" w:eastAsia="zh-CN"/>
              </w:rPr>
              <w:t>1.自动控制室内压差，控制中心能显示并控制室内压差，自动和手动均能对电动风阀进行调整；</w:t>
            </w:r>
          </w:p>
          <w:p w14:paraId="1B6B777B">
            <w:pPr>
              <w:pStyle w:val="5"/>
              <w:keepNext w:val="0"/>
              <w:keepLines w:val="0"/>
              <w:pageBreakBefore w:val="0"/>
              <w:widowControl w:val="0"/>
              <w:numPr>
                <w:ilvl w:val="-1"/>
                <w:numId w:val="0"/>
              </w:numPr>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kern w:val="2"/>
                <w:sz w:val="21"/>
                <w:szCs w:val="21"/>
                <w:lang w:val="en-US" w:eastAsia="zh-CN"/>
              </w:rPr>
            </w:pPr>
            <w:r>
              <w:rPr>
                <w:rFonts w:hint="eastAsia" w:ascii="宋体" w:hAnsi="宋体"/>
                <w:color w:val="auto"/>
                <w:kern w:val="2"/>
                <w:sz w:val="21"/>
                <w:szCs w:val="21"/>
                <w:lang w:val="en-US" w:eastAsia="zh-CN"/>
              </w:rPr>
              <w:t>2.监视重要房间温湿度：本次新增22套房间温湿度监视点，包含控制柜、布线、传感器等；</w:t>
            </w:r>
          </w:p>
          <w:p w14:paraId="007C2B34">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b/>
                <w:bCs/>
                <w:color w:val="auto"/>
                <w:kern w:val="2"/>
                <w:sz w:val="21"/>
                <w:szCs w:val="21"/>
                <w:vertAlign w:val="baseline"/>
              </w:rPr>
            </w:pPr>
            <w:r>
              <w:rPr>
                <w:rFonts w:hint="eastAsia" w:ascii="宋体" w:hAnsi="宋体"/>
                <w:color w:val="auto"/>
                <w:kern w:val="2"/>
                <w:sz w:val="21"/>
                <w:szCs w:val="21"/>
                <w:lang w:val="en-US" w:eastAsia="zh-CN"/>
              </w:rPr>
              <w:t>3.</w:t>
            </w:r>
            <w:r>
              <w:rPr>
                <w:rFonts w:hint="default" w:ascii="宋体" w:hAnsi="宋体"/>
                <w:color w:val="auto"/>
                <w:kern w:val="2"/>
                <w:sz w:val="21"/>
                <w:szCs w:val="21"/>
                <w:lang w:val="en-US" w:eastAsia="zh-CN"/>
              </w:rPr>
              <w:t>室内环境监控系统</w:t>
            </w:r>
            <w:r>
              <w:rPr>
                <w:rFonts w:hint="eastAsia" w:ascii="宋体" w:hAnsi="宋体"/>
                <w:color w:val="auto"/>
                <w:kern w:val="2"/>
                <w:sz w:val="21"/>
                <w:szCs w:val="21"/>
                <w:lang w:val="en-US" w:eastAsia="zh-CN"/>
              </w:rPr>
              <w:t>记录运行数据，并根据环境指标分级报警。</w:t>
            </w:r>
          </w:p>
        </w:tc>
      </w:tr>
      <w:tr w14:paraId="21BE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12209DCF">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3</w:t>
            </w:r>
          </w:p>
        </w:tc>
        <w:tc>
          <w:tcPr>
            <w:tcW w:w="1334" w:type="pct"/>
            <w:vAlign w:val="center"/>
          </w:tcPr>
          <w:p w14:paraId="161A76D2">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kern w:val="2"/>
                <w:sz w:val="21"/>
                <w:szCs w:val="21"/>
                <w:vertAlign w:val="baseline"/>
              </w:rPr>
            </w:pPr>
            <w:r>
              <w:rPr>
                <w:rFonts w:hint="eastAsia" w:ascii="宋体" w:hAnsi="宋体"/>
                <w:b/>
                <w:bCs/>
                <w:color w:val="auto"/>
                <w:kern w:val="2"/>
                <w:sz w:val="21"/>
                <w:szCs w:val="21"/>
                <w:lang w:val="en-US" w:eastAsia="zh-CN"/>
              </w:rPr>
              <w:t>冷热源监控系统</w:t>
            </w:r>
          </w:p>
        </w:tc>
        <w:tc>
          <w:tcPr>
            <w:tcW w:w="3207" w:type="pct"/>
          </w:tcPr>
          <w:p w14:paraId="095A29E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kern w:val="2"/>
                <w:sz w:val="21"/>
                <w:szCs w:val="21"/>
              </w:rPr>
            </w:pPr>
            <w:r>
              <w:rPr>
                <w:rFonts w:hint="eastAsia" w:ascii="宋体" w:hAnsi="宋体"/>
                <w:color w:val="auto"/>
                <w:kern w:val="2"/>
                <w:sz w:val="21"/>
                <w:szCs w:val="21"/>
              </w:rPr>
              <w:t>冷热源系统的监控内容主要覆盖设备运行、系统工况、安全防护、能效管理全维度，具体可分为以下六大类：</w:t>
            </w:r>
          </w:p>
          <w:p w14:paraId="505B41E1">
            <w:pPr>
              <w:pStyle w:val="5"/>
              <w:pageBreakBefore w:val="0"/>
              <w:widowControl w:val="0"/>
              <w:numPr>
                <w:ilvl w:val="-1"/>
                <w:numId w:val="0"/>
              </w:numPr>
              <w:kinsoku/>
              <w:wordWrap/>
              <w:overflowPunct/>
              <w:topLinePunct w:val="0"/>
              <w:autoSpaceDE/>
              <w:autoSpaceDN/>
              <w:bidi w:val="0"/>
              <w:adjustRightInd/>
              <w:spacing w:line="240" w:lineRule="auto"/>
              <w:ind w:left="0" w:leftChars="0" w:firstLine="422" w:firstLineChars="200"/>
              <w:jc w:val="both"/>
              <w:textAlignment w:val="auto"/>
              <w:rPr>
                <w:rFonts w:hint="eastAsia" w:ascii="宋体" w:hAnsi="宋体"/>
                <w:b/>
                <w:bCs/>
                <w:color w:val="auto"/>
                <w:kern w:val="2"/>
                <w:sz w:val="21"/>
                <w:szCs w:val="21"/>
                <w:lang w:val="en-US" w:eastAsia="zh-CN"/>
              </w:rPr>
            </w:pPr>
            <w:r>
              <w:rPr>
                <w:rFonts w:hint="eastAsia" w:ascii="宋体" w:hAnsi="宋体"/>
                <w:b/>
                <w:bCs/>
                <w:color w:val="auto"/>
                <w:kern w:val="2"/>
                <w:sz w:val="21"/>
                <w:szCs w:val="21"/>
                <w:lang w:val="en-US" w:eastAsia="zh-CN"/>
              </w:rPr>
              <w:t>1.核心机组运行参数监控</w:t>
            </w:r>
          </w:p>
          <w:p w14:paraId="07DE7725">
            <w:pPr>
              <w:pStyle w:val="5"/>
              <w:pageBreakBefore w:val="0"/>
              <w:widowControl w:val="0"/>
              <w:kinsoku/>
              <w:wordWrap/>
              <w:overflowPunct/>
              <w:topLinePunct w:val="0"/>
              <w:autoSpaceDE/>
              <w:autoSpaceDN/>
              <w:bidi w:val="0"/>
              <w:adjustRightInd/>
              <w:spacing w:before="0" w:line="240" w:lineRule="auto"/>
              <w:ind w:left="0" w:leftChars="0" w:firstLine="420" w:firstLineChars="200"/>
              <w:jc w:val="both"/>
              <w:textAlignment w:val="auto"/>
              <w:rPr>
                <w:rFonts w:hint="eastAsia" w:ascii="宋体" w:hAnsi="宋体" w:eastAsia="宋体" w:cs="宋体"/>
                <w:kern w:val="2"/>
                <w:sz w:val="21"/>
                <w:szCs w:val="21"/>
              </w:rPr>
            </w:pPr>
            <w:r>
              <w:rPr>
                <w:rFonts w:hint="eastAsia" w:ascii="宋体" w:hAnsi="宋体" w:eastAsia="宋体" w:cs="宋体"/>
                <w:kern w:val="2"/>
                <w:sz w:val="21"/>
                <w:szCs w:val="21"/>
              </w:rPr>
              <w:t>冷源侧冷水机组：</w:t>
            </w:r>
            <w:r>
              <w:rPr>
                <w:rFonts w:hint="eastAsia" w:ascii="宋体" w:hAnsi="宋体" w:cs="宋体"/>
                <w:kern w:val="2"/>
                <w:sz w:val="21"/>
                <w:szCs w:val="21"/>
                <w:lang w:val="en-US" w:eastAsia="zh-CN"/>
              </w:rPr>
              <w:t>原自控系统</w:t>
            </w:r>
            <w:r>
              <w:rPr>
                <w:rFonts w:hint="eastAsia" w:ascii="宋体" w:hAnsi="宋体" w:eastAsia="宋体" w:cs="宋体"/>
                <w:kern w:val="2"/>
                <w:sz w:val="21"/>
                <w:szCs w:val="21"/>
              </w:rPr>
              <w:t>实时采集蒸发器/冷凝器进出水温度、压力、冷媒液位、润滑油温油位、压缩机运行电流/电压/功率、排气温度、实时制冷量、机组运行模式、启停状态、本地/远程切换状态</w:t>
            </w:r>
            <w:r>
              <w:rPr>
                <w:rFonts w:hint="eastAsia" w:ascii="宋体" w:hAnsi="宋体" w:cs="宋体"/>
                <w:kern w:val="2"/>
                <w:sz w:val="21"/>
                <w:szCs w:val="21"/>
                <w:lang w:eastAsia="zh-CN"/>
              </w:rPr>
              <w:t>，中央监控站</w:t>
            </w:r>
            <w:r>
              <w:rPr>
                <w:rFonts w:hint="eastAsia" w:ascii="宋体" w:hAnsi="宋体" w:cs="宋体"/>
                <w:kern w:val="2"/>
                <w:sz w:val="21"/>
                <w:szCs w:val="21"/>
                <w:lang w:val="en-US" w:eastAsia="zh-CN"/>
              </w:rPr>
              <w:t>实现对采集点的监控。</w:t>
            </w:r>
          </w:p>
          <w:p w14:paraId="77B68D89">
            <w:pPr>
              <w:pStyle w:val="5"/>
              <w:pageBreakBefore w:val="0"/>
              <w:widowControl w:val="0"/>
              <w:numPr>
                <w:ilvl w:val="-1"/>
                <w:numId w:val="0"/>
              </w:numPr>
              <w:kinsoku/>
              <w:wordWrap/>
              <w:overflowPunct/>
              <w:topLinePunct w:val="0"/>
              <w:autoSpaceDE/>
              <w:autoSpaceDN/>
              <w:bidi w:val="0"/>
              <w:adjustRightInd/>
              <w:spacing w:line="240" w:lineRule="auto"/>
              <w:ind w:left="0" w:leftChars="0" w:firstLine="422" w:firstLineChars="200"/>
              <w:jc w:val="both"/>
              <w:textAlignment w:val="auto"/>
              <w:rPr>
                <w:rFonts w:hint="eastAsia" w:ascii="宋体" w:hAnsi="宋体"/>
                <w:b/>
                <w:bCs/>
                <w:color w:val="auto"/>
                <w:kern w:val="2"/>
                <w:sz w:val="21"/>
                <w:szCs w:val="21"/>
                <w:lang w:val="en-US" w:eastAsia="zh-CN"/>
              </w:rPr>
            </w:pPr>
            <w:r>
              <w:rPr>
                <w:rFonts w:hint="eastAsia" w:ascii="宋体" w:hAnsi="宋体"/>
                <w:b/>
                <w:bCs/>
                <w:color w:val="auto"/>
                <w:kern w:val="2"/>
                <w:sz w:val="21"/>
                <w:szCs w:val="21"/>
                <w:lang w:val="en-US" w:eastAsia="zh-CN"/>
              </w:rPr>
              <w:t>2.配套辅机运行状态监控</w:t>
            </w:r>
          </w:p>
          <w:p w14:paraId="3D26C524">
            <w:pPr>
              <w:pStyle w:val="5"/>
              <w:pageBreakBefore w:val="0"/>
              <w:widowControl w:val="0"/>
              <w:kinsoku/>
              <w:wordWrap/>
              <w:overflowPunct/>
              <w:topLinePunct w:val="0"/>
              <w:autoSpaceDE/>
              <w:autoSpaceDN/>
              <w:bidi w:val="0"/>
              <w:adjustRightInd/>
              <w:spacing w:after="0" w:line="240" w:lineRule="auto"/>
              <w:ind w:left="0" w:leftChars="0" w:firstLine="420" w:firstLineChars="200"/>
              <w:jc w:val="both"/>
              <w:textAlignment w:val="auto"/>
              <w:rPr>
                <w:rFonts w:hint="eastAsia" w:ascii="宋体" w:hAnsi="宋体" w:cs="宋体"/>
                <w:kern w:val="2"/>
                <w:sz w:val="21"/>
                <w:szCs w:val="21"/>
                <w:lang w:eastAsia="zh-CN"/>
              </w:rPr>
            </w:pPr>
            <w:r>
              <w:rPr>
                <w:rFonts w:hint="eastAsia" w:ascii="宋体" w:hAnsi="宋体" w:eastAsia="宋体" w:cs="宋体"/>
                <w:kern w:val="2"/>
                <w:sz w:val="21"/>
                <w:szCs w:val="21"/>
                <w:lang w:eastAsia="zh-CN"/>
              </w:rPr>
              <w:t>（</w:t>
            </w: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lang w:eastAsia="zh-CN"/>
              </w:rPr>
              <w:t>）</w:t>
            </w:r>
            <w:r>
              <w:rPr>
                <w:rFonts w:hint="eastAsia" w:ascii="宋体" w:hAnsi="宋体" w:eastAsia="宋体" w:cs="宋体"/>
                <w:kern w:val="2"/>
                <w:sz w:val="21"/>
                <w:szCs w:val="21"/>
              </w:rPr>
              <w:t>冷水泵、热水循环泵、补水泵：采集进出口压差、运行电流、变频器频率反馈、启停状态、过载告警信息</w:t>
            </w:r>
            <w:r>
              <w:rPr>
                <w:rFonts w:hint="eastAsia" w:ascii="宋体" w:hAnsi="宋体" w:cs="宋体"/>
                <w:kern w:val="2"/>
                <w:sz w:val="21"/>
                <w:szCs w:val="21"/>
                <w:lang w:eastAsia="zh-CN"/>
              </w:rPr>
              <w:t>；</w:t>
            </w:r>
          </w:p>
          <w:p w14:paraId="40DF96A1">
            <w:pPr>
              <w:pStyle w:val="5"/>
              <w:pageBreakBefore w:val="0"/>
              <w:widowControl w:val="0"/>
              <w:kinsoku/>
              <w:wordWrap/>
              <w:overflowPunct/>
              <w:topLinePunct w:val="0"/>
              <w:autoSpaceDE/>
              <w:autoSpaceDN/>
              <w:bidi w:val="0"/>
              <w:adjustRightInd/>
              <w:spacing w:after="0" w:line="240" w:lineRule="auto"/>
              <w:ind w:left="0" w:leftChars="0" w:firstLine="420" w:firstLineChars="200"/>
              <w:jc w:val="both"/>
              <w:textAlignment w:val="auto"/>
              <w:rPr>
                <w:rFonts w:hint="eastAsia" w:ascii="宋体" w:hAnsi="宋体" w:cs="宋体"/>
                <w:kern w:val="2"/>
                <w:sz w:val="21"/>
                <w:szCs w:val="21"/>
                <w:lang w:eastAsia="zh-CN"/>
              </w:rPr>
            </w:pPr>
            <w:r>
              <w:rPr>
                <w:rFonts w:hint="eastAsia" w:ascii="宋体" w:hAnsi="宋体" w:cs="宋体"/>
                <w:kern w:val="2"/>
                <w:sz w:val="21"/>
                <w:szCs w:val="21"/>
                <w:lang w:eastAsia="zh-CN"/>
              </w:rPr>
              <w:t>（</w:t>
            </w:r>
            <w:r>
              <w:rPr>
                <w:rFonts w:hint="eastAsia" w:ascii="宋体" w:hAnsi="宋体" w:cs="宋体"/>
                <w:kern w:val="2"/>
                <w:sz w:val="21"/>
                <w:szCs w:val="21"/>
                <w:lang w:val="en-US" w:eastAsia="zh-CN"/>
              </w:rPr>
              <w:t>2</w:t>
            </w:r>
            <w:r>
              <w:rPr>
                <w:rFonts w:hint="eastAsia" w:ascii="宋体" w:hAnsi="宋体" w:cs="宋体"/>
                <w:kern w:val="2"/>
                <w:sz w:val="21"/>
                <w:szCs w:val="21"/>
                <w:lang w:eastAsia="zh-CN"/>
              </w:rPr>
              <w:t>）</w:t>
            </w:r>
            <w:r>
              <w:rPr>
                <w:rFonts w:hint="eastAsia" w:ascii="宋体" w:hAnsi="宋体" w:eastAsia="宋体" w:cs="宋体"/>
                <w:kern w:val="2"/>
                <w:sz w:val="21"/>
                <w:szCs w:val="21"/>
              </w:rPr>
              <w:t>水处理装置：电子除垢仪、全自动软化水设备的运行状态、出水水质电导率、</w:t>
            </w:r>
            <w:r>
              <w:rPr>
                <w:rFonts w:hint="eastAsia" w:ascii="宋体" w:hAnsi="宋体" w:cs="宋体"/>
                <w:kern w:val="2"/>
                <w:sz w:val="21"/>
                <w:szCs w:val="21"/>
                <w:lang w:eastAsia="zh-CN"/>
              </w:rPr>
              <w:t>pH值</w:t>
            </w:r>
            <w:r>
              <w:rPr>
                <w:rFonts w:hint="eastAsia" w:ascii="宋体" w:hAnsi="宋体" w:eastAsia="宋体" w:cs="宋体"/>
                <w:kern w:val="2"/>
                <w:sz w:val="21"/>
                <w:szCs w:val="21"/>
              </w:rPr>
              <w:t>参数</w:t>
            </w:r>
            <w:r>
              <w:rPr>
                <w:rFonts w:hint="eastAsia" w:ascii="宋体" w:hAnsi="宋体" w:cs="宋体"/>
                <w:kern w:val="2"/>
                <w:sz w:val="21"/>
                <w:szCs w:val="21"/>
                <w:lang w:eastAsia="zh-CN"/>
              </w:rPr>
              <w:t>；</w:t>
            </w:r>
          </w:p>
          <w:p w14:paraId="56CB8443">
            <w:pPr>
              <w:pStyle w:val="5"/>
              <w:pageBreakBefore w:val="0"/>
              <w:widowControl w:val="0"/>
              <w:kinsoku/>
              <w:wordWrap/>
              <w:overflowPunct/>
              <w:topLinePunct w:val="0"/>
              <w:autoSpaceDE/>
              <w:autoSpaceDN/>
              <w:bidi w:val="0"/>
              <w:adjustRightInd/>
              <w:spacing w:after="0" w:line="240" w:lineRule="auto"/>
              <w:ind w:left="0" w:leftChars="0" w:firstLine="420" w:firstLineChars="200"/>
              <w:jc w:val="both"/>
              <w:textAlignment w:val="auto"/>
              <w:rPr>
                <w:rFonts w:hint="eastAsia" w:ascii="宋体" w:hAnsi="宋体" w:eastAsia="宋体" w:cs="宋体"/>
                <w:kern w:val="2"/>
                <w:sz w:val="21"/>
                <w:szCs w:val="21"/>
              </w:rPr>
            </w:pPr>
            <w:r>
              <w:rPr>
                <w:rFonts w:hint="eastAsia" w:ascii="宋体" w:hAnsi="宋体" w:cs="宋体"/>
                <w:kern w:val="2"/>
                <w:sz w:val="21"/>
                <w:szCs w:val="21"/>
                <w:lang w:eastAsia="zh-CN"/>
              </w:rPr>
              <w:t>（</w:t>
            </w:r>
            <w:r>
              <w:rPr>
                <w:rFonts w:hint="eastAsia" w:ascii="宋体" w:hAnsi="宋体" w:cs="宋体"/>
                <w:kern w:val="2"/>
                <w:sz w:val="21"/>
                <w:szCs w:val="21"/>
                <w:lang w:val="en-US" w:eastAsia="zh-CN"/>
              </w:rPr>
              <w:t>3</w:t>
            </w:r>
            <w:r>
              <w:rPr>
                <w:rFonts w:hint="eastAsia" w:ascii="宋体" w:hAnsi="宋体" w:cs="宋体"/>
                <w:kern w:val="2"/>
                <w:sz w:val="21"/>
                <w:szCs w:val="21"/>
                <w:lang w:eastAsia="zh-CN"/>
              </w:rPr>
              <w:t>）中央监控站</w:t>
            </w:r>
            <w:r>
              <w:rPr>
                <w:rFonts w:hint="eastAsia" w:ascii="宋体" w:hAnsi="宋体" w:cs="宋体"/>
                <w:kern w:val="2"/>
                <w:sz w:val="21"/>
                <w:szCs w:val="21"/>
                <w:lang w:val="en-US" w:eastAsia="zh-CN"/>
              </w:rPr>
              <w:t>实现对采集点的监控。</w:t>
            </w:r>
          </w:p>
          <w:p w14:paraId="0771883F">
            <w:pPr>
              <w:pStyle w:val="5"/>
              <w:pageBreakBefore w:val="0"/>
              <w:widowControl w:val="0"/>
              <w:numPr>
                <w:ilvl w:val="-1"/>
                <w:numId w:val="0"/>
              </w:numPr>
              <w:kinsoku/>
              <w:wordWrap/>
              <w:overflowPunct/>
              <w:topLinePunct w:val="0"/>
              <w:autoSpaceDE/>
              <w:autoSpaceDN/>
              <w:bidi w:val="0"/>
              <w:adjustRightInd/>
              <w:spacing w:line="240" w:lineRule="auto"/>
              <w:ind w:left="0" w:leftChars="0" w:firstLine="422" w:firstLineChars="200"/>
              <w:jc w:val="both"/>
              <w:textAlignment w:val="auto"/>
              <w:rPr>
                <w:rFonts w:hint="eastAsia" w:ascii="宋体" w:hAnsi="宋体"/>
                <w:b/>
                <w:bCs/>
                <w:color w:val="auto"/>
                <w:kern w:val="2"/>
                <w:sz w:val="21"/>
                <w:szCs w:val="21"/>
                <w:lang w:val="en-US" w:eastAsia="zh-CN"/>
              </w:rPr>
            </w:pPr>
            <w:r>
              <w:rPr>
                <w:rFonts w:hint="eastAsia" w:ascii="宋体" w:hAnsi="宋体"/>
                <w:b/>
                <w:bCs/>
                <w:color w:val="auto"/>
                <w:kern w:val="2"/>
                <w:sz w:val="21"/>
                <w:szCs w:val="21"/>
                <w:lang w:val="en-US" w:eastAsia="zh-CN"/>
              </w:rPr>
              <w:t>3.安全告警类监控</w:t>
            </w:r>
          </w:p>
          <w:p w14:paraId="6E87CAE2">
            <w:pPr>
              <w:pStyle w:val="5"/>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宋体" w:hAnsi="宋体"/>
                <w:b/>
                <w:bCs/>
                <w:color w:val="auto"/>
                <w:kern w:val="2"/>
                <w:sz w:val="21"/>
                <w:szCs w:val="21"/>
                <w:vertAlign w:val="baseline"/>
              </w:rPr>
            </w:pPr>
            <w:r>
              <w:rPr>
                <w:rFonts w:hint="eastAsia" w:ascii="宋体" w:hAnsi="宋体" w:cs="宋体"/>
                <w:kern w:val="2"/>
                <w:sz w:val="21"/>
                <w:szCs w:val="21"/>
                <w:lang w:eastAsia="zh-CN"/>
              </w:rPr>
              <w:t>中央监控站</w:t>
            </w:r>
            <w:r>
              <w:rPr>
                <w:rFonts w:hint="eastAsia" w:ascii="宋体" w:hAnsi="宋体" w:cs="宋体"/>
                <w:kern w:val="2"/>
                <w:sz w:val="21"/>
                <w:szCs w:val="21"/>
                <w:lang w:val="en-US" w:eastAsia="zh-CN"/>
              </w:rPr>
              <w:t>对原控制系统采集的数据进行集成，</w:t>
            </w:r>
            <w:r>
              <w:rPr>
                <w:rFonts w:hint="eastAsia" w:ascii="宋体" w:hAnsi="宋体"/>
                <w:color w:val="auto"/>
                <w:kern w:val="2"/>
                <w:sz w:val="21"/>
                <w:szCs w:val="21"/>
              </w:rPr>
              <w:t>覆盖所有设备的过流、过载、超温、超压、缺相故障报警，同时配置冷媒泄漏报警、燃气泄漏报警、水系统缺水低压差报警、管路堵塞高压差报警、低温防冻报警、机房水浸报警，异常状态触发后第一时间推送告警信息。</w:t>
            </w:r>
          </w:p>
        </w:tc>
      </w:tr>
      <w:tr w14:paraId="3D0E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3FFCB230">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4</w:t>
            </w:r>
          </w:p>
        </w:tc>
        <w:tc>
          <w:tcPr>
            <w:tcW w:w="1334" w:type="pct"/>
            <w:vAlign w:val="center"/>
          </w:tcPr>
          <w:p w14:paraId="610E0B8D">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kern w:val="2"/>
                <w:sz w:val="21"/>
                <w:szCs w:val="21"/>
                <w:vertAlign w:val="baseline"/>
              </w:rPr>
            </w:pPr>
            <w:r>
              <w:rPr>
                <w:rFonts w:hint="eastAsia" w:ascii="宋体" w:hAnsi="宋体"/>
                <w:b/>
                <w:bCs/>
                <w:color w:val="auto"/>
                <w:kern w:val="2"/>
                <w:sz w:val="21"/>
                <w:szCs w:val="21"/>
                <w:lang w:val="en-US" w:eastAsia="zh-CN"/>
              </w:rPr>
              <w:t>中央监控站</w:t>
            </w:r>
          </w:p>
        </w:tc>
        <w:tc>
          <w:tcPr>
            <w:tcW w:w="3207" w:type="pct"/>
          </w:tcPr>
          <w:p w14:paraId="1F9B2B0B">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w:t>
            </w:r>
            <w:r>
              <w:rPr>
                <w:rFonts w:hint="eastAsia" w:ascii="宋体" w:hAnsi="宋体" w:eastAsia="宋体" w:cs="宋体"/>
                <w:kern w:val="2"/>
                <w:sz w:val="21"/>
                <w:szCs w:val="21"/>
                <w:lang w:eastAsia="zh-CN"/>
              </w:rPr>
              <w:t>中央监控站</w:t>
            </w:r>
            <w:r>
              <w:rPr>
                <w:rFonts w:hint="eastAsia" w:ascii="宋体" w:hAnsi="宋体" w:eastAsia="宋体" w:cs="宋体"/>
                <w:kern w:val="2"/>
                <w:sz w:val="21"/>
                <w:szCs w:val="21"/>
                <w:lang w:val="en-US" w:eastAsia="zh-CN"/>
              </w:rPr>
              <w:t>必须采用正版软件，全中文界面，确保操作界面的友好性与可读性，便于各类管理人员直接使用；</w:t>
            </w:r>
          </w:p>
          <w:p w14:paraId="2D3BA124">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2.应具备远程报警功能，能够及时将报警信息推送至移动端，使相关人员无论在何时何地都能第一时间获知系统异常状态；</w:t>
            </w:r>
          </w:p>
          <w:p w14:paraId="0A09D0CA">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w:t>
            </w:r>
            <w:r>
              <w:rPr>
                <w:rFonts w:hint="eastAsia" w:ascii="宋体" w:hAnsi="宋体" w:eastAsia="宋体" w:cs="宋体"/>
                <w:kern w:val="2"/>
                <w:sz w:val="21"/>
                <w:szCs w:val="21"/>
                <w:lang w:eastAsia="zh-CN"/>
              </w:rPr>
              <w:t>中央监控站</w:t>
            </w:r>
            <w:r>
              <w:rPr>
                <w:rFonts w:hint="eastAsia" w:ascii="宋体" w:hAnsi="宋体" w:eastAsia="宋体" w:cs="宋体"/>
                <w:kern w:val="2"/>
                <w:sz w:val="21"/>
                <w:szCs w:val="21"/>
                <w:lang w:val="en-US" w:eastAsia="zh-CN"/>
              </w:rPr>
              <w:t>至少包含2个移动客户端，充分满足多用户同时接收信息、协同处理问题的实际需求，保障监控工作的及时性与灵活性；</w:t>
            </w:r>
          </w:p>
          <w:p w14:paraId="374FC51E">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4.数据存储时间不低于3年；</w:t>
            </w:r>
          </w:p>
          <w:p w14:paraId="1B72609D">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5.</w:t>
            </w:r>
            <w:r>
              <w:rPr>
                <w:rFonts w:hint="default" w:ascii="宋体" w:hAnsi="宋体" w:eastAsia="宋体" w:cs="宋体"/>
                <w:kern w:val="2"/>
                <w:sz w:val="21"/>
                <w:szCs w:val="21"/>
                <w:lang w:val="en-US" w:eastAsia="zh-CN"/>
              </w:rPr>
              <w:t>实时与历史曲线：可查看任意参数的实时变化曲线，也能回溯指定时间段（如过去1小时、1天、1周）的历史趋势曲线</w:t>
            </w:r>
            <w:r>
              <w:rPr>
                <w:rFonts w:hint="eastAsia" w:ascii="宋体" w:hAnsi="宋体" w:eastAsia="宋体" w:cs="宋体"/>
                <w:kern w:val="2"/>
                <w:sz w:val="21"/>
                <w:szCs w:val="21"/>
                <w:lang w:val="en-US" w:eastAsia="zh-CN"/>
              </w:rPr>
              <w:t>；</w:t>
            </w:r>
          </w:p>
          <w:p w14:paraId="5A4744A6">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6.原始</w:t>
            </w:r>
            <w:r>
              <w:rPr>
                <w:rFonts w:hint="default" w:ascii="宋体" w:hAnsi="宋体" w:eastAsia="宋体" w:cs="宋体"/>
                <w:kern w:val="2"/>
                <w:sz w:val="21"/>
                <w:szCs w:val="21"/>
                <w:lang w:val="en-US" w:eastAsia="zh-CN"/>
              </w:rPr>
              <w:t>数据</w:t>
            </w:r>
            <w:r>
              <w:rPr>
                <w:rFonts w:hint="eastAsia" w:ascii="宋体" w:hAnsi="宋体" w:eastAsia="宋体" w:cs="宋体"/>
                <w:kern w:val="2"/>
                <w:sz w:val="21"/>
                <w:szCs w:val="21"/>
                <w:lang w:val="en-US" w:eastAsia="zh-CN"/>
              </w:rPr>
              <w:t>不可修改并具有导出功能；</w:t>
            </w:r>
          </w:p>
          <w:p w14:paraId="4BB1B5EC">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7.</w:t>
            </w:r>
            <w:r>
              <w:rPr>
                <w:rFonts w:hint="default" w:ascii="宋体" w:hAnsi="宋体" w:eastAsia="宋体" w:cs="宋体"/>
                <w:kern w:val="2"/>
                <w:sz w:val="21"/>
                <w:szCs w:val="21"/>
                <w:lang w:val="en-US" w:eastAsia="zh-CN"/>
              </w:rPr>
              <w:t>动态工艺流程图：软件能展示空调系统的动态工艺流程图，设备状态通过颜色变化、旋转等动画效果实时呈现。例如，风机转动、阀门开度变化都一目了然</w:t>
            </w:r>
            <w:r>
              <w:rPr>
                <w:rFonts w:hint="eastAsia" w:ascii="宋体" w:hAnsi="宋体" w:eastAsia="宋体" w:cs="宋体"/>
                <w:kern w:val="2"/>
                <w:sz w:val="21"/>
                <w:szCs w:val="21"/>
                <w:lang w:val="en-US" w:eastAsia="zh-CN"/>
              </w:rPr>
              <w:t>；</w:t>
            </w:r>
          </w:p>
          <w:p w14:paraId="4D25B7F5">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eastAsia"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8.</w:t>
            </w:r>
            <w:r>
              <w:rPr>
                <w:rFonts w:hint="default" w:ascii="宋体" w:hAnsi="宋体" w:eastAsia="宋体" w:cs="宋体"/>
                <w:kern w:val="2"/>
                <w:sz w:val="21"/>
                <w:szCs w:val="21"/>
                <w:lang w:val="en-US" w:eastAsia="zh-CN"/>
              </w:rPr>
              <w:t>数据类型：不仅存储温度、湿度等原始数据，也会记录操作日志、控制指令等</w:t>
            </w:r>
            <w:r>
              <w:rPr>
                <w:rFonts w:hint="eastAsia" w:ascii="宋体" w:hAnsi="宋体" w:eastAsia="宋体" w:cs="宋体"/>
                <w:kern w:val="2"/>
                <w:sz w:val="21"/>
                <w:szCs w:val="21"/>
                <w:lang w:val="en-US" w:eastAsia="zh-CN"/>
              </w:rPr>
              <w:t>；</w:t>
            </w:r>
          </w:p>
          <w:p w14:paraId="63018B9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eastAsia" w:ascii="宋体" w:hAnsi="宋体"/>
                <w:b/>
                <w:bCs/>
                <w:color w:val="auto"/>
                <w:kern w:val="2"/>
                <w:sz w:val="21"/>
                <w:szCs w:val="21"/>
                <w:vertAlign w:val="baseline"/>
              </w:rPr>
            </w:pPr>
            <w:r>
              <w:rPr>
                <w:rFonts w:hint="eastAsia" w:ascii="宋体" w:hAnsi="宋体" w:eastAsia="宋体" w:cs="宋体"/>
                <w:kern w:val="2"/>
                <w:sz w:val="21"/>
                <w:szCs w:val="21"/>
                <w:lang w:val="en-US" w:eastAsia="zh-CN"/>
              </w:rPr>
              <w:t>9.</w:t>
            </w:r>
            <w:r>
              <w:rPr>
                <w:rFonts w:hint="default" w:ascii="宋体" w:hAnsi="宋体" w:eastAsia="宋体" w:cs="宋体"/>
                <w:kern w:val="2"/>
                <w:sz w:val="21"/>
                <w:szCs w:val="21"/>
                <w:lang w:val="en-US" w:eastAsia="zh-CN"/>
              </w:rPr>
              <w:t>多级用户管理：系统支持创建不同角色的用户账号，例如超级管理员、普通操作员、只读访客等。不同级别的用户拥有不同的操作界面和功能</w:t>
            </w:r>
            <w:r>
              <w:rPr>
                <w:rFonts w:hint="eastAsia" w:ascii="宋体" w:hAnsi="宋体" w:eastAsia="宋体" w:cs="宋体"/>
                <w:kern w:val="2"/>
                <w:sz w:val="21"/>
                <w:szCs w:val="21"/>
                <w:lang w:val="en-US" w:eastAsia="zh-CN"/>
              </w:rPr>
              <w:t>。</w:t>
            </w:r>
          </w:p>
        </w:tc>
      </w:tr>
      <w:tr w14:paraId="43EE8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4F5292DE">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Theme="minorEastAsia"/>
                <w:b/>
                <w:bCs/>
                <w:color w:val="auto"/>
                <w:kern w:val="2"/>
                <w:sz w:val="21"/>
                <w:szCs w:val="21"/>
                <w:vertAlign w:val="baseline"/>
                <w:lang w:val="en-US" w:eastAsia="zh-CN"/>
              </w:rPr>
            </w:pPr>
            <w:r>
              <w:rPr>
                <w:rFonts w:hint="eastAsia" w:ascii="宋体" w:hAnsi="宋体"/>
                <w:b/>
                <w:bCs/>
                <w:color w:val="auto"/>
                <w:kern w:val="2"/>
                <w:sz w:val="21"/>
                <w:szCs w:val="21"/>
                <w:vertAlign w:val="baseline"/>
                <w:lang w:val="en-US" w:eastAsia="zh-CN"/>
              </w:rPr>
              <w:t>5</w:t>
            </w:r>
          </w:p>
        </w:tc>
        <w:tc>
          <w:tcPr>
            <w:tcW w:w="1334" w:type="pct"/>
            <w:vAlign w:val="center"/>
          </w:tcPr>
          <w:p w14:paraId="3ABB11C3">
            <w:pPr>
              <w:pStyle w:val="5"/>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b/>
                <w:bCs/>
                <w:color w:val="auto"/>
                <w:kern w:val="2"/>
                <w:sz w:val="21"/>
                <w:szCs w:val="21"/>
                <w:vertAlign w:val="baseline"/>
              </w:rPr>
            </w:pPr>
            <w:r>
              <w:rPr>
                <w:rFonts w:hint="eastAsia" w:ascii="宋体" w:hAnsi="宋体"/>
                <w:b/>
                <w:bCs/>
                <w:color w:val="auto"/>
                <w:kern w:val="2"/>
                <w:sz w:val="21"/>
                <w:szCs w:val="21"/>
                <w:lang w:val="en-US" w:eastAsia="zh-CN"/>
              </w:rPr>
              <w:t>大屏显示系统</w:t>
            </w:r>
          </w:p>
        </w:tc>
        <w:tc>
          <w:tcPr>
            <w:tcW w:w="3207" w:type="pct"/>
          </w:tcPr>
          <w:p w14:paraId="60B3CF32">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1.设置1套大屏显示系统，将中央监控站监控画面和视频监控系统投放到大屏上；</w:t>
            </w:r>
          </w:p>
          <w:p w14:paraId="501A3A67">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default" w:ascii="宋体" w:hAnsi="宋体" w:eastAsia="宋体" w:cs="宋体"/>
                <w:kern w:val="2"/>
                <w:sz w:val="21"/>
                <w:szCs w:val="21"/>
                <w:lang w:val="en-US" w:eastAsia="zh-CN"/>
              </w:rPr>
            </w:pPr>
            <w:r>
              <w:rPr>
                <w:rFonts w:hint="eastAsia" w:ascii="宋体" w:hAnsi="宋体" w:cs="宋体"/>
                <w:kern w:val="2"/>
                <w:sz w:val="21"/>
                <w:szCs w:val="21"/>
                <w:lang w:val="en-US" w:eastAsia="zh-CN"/>
              </w:rPr>
              <w:t>2.采用6台55寸拼接屏进行拼接；</w:t>
            </w:r>
          </w:p>
          <w:p w14:paraId="1C4C9BE4">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3.</w:t>
            </w:r>
            <w:r>
              <w:rPr>
                <w:rFonts w:hint="default" w:ascii="宋体" w:hAnsi="宋体" w:eastAsia="宋体" w:cs="宋体"/>
                <w:kern w:val="2"/>
                <w:sz w:val="21"/>
                <w:szCs w:val="21"/>
                <w:lang w:val="en-US" w:eastAsia="zh-CN"/>
              </w:rPr>
              <w:t>强大的解码性能：支持H.265、H.264、MPEG4等多种主流编码格式。并支持多路视频同时解码解码上墙。</w:t>
            </w:r>
            <w:r>
              <w:rPr>
                <w:rFonts w:hint="eastAsia" w:ascii="宋体" w:hAnsi="宋体" w:cs="宋体"/>
                <w:kern w:val="2"/>
                <w:sz w:val="21"/>
                <w:szCs w:val="21"/>
                <w:lang w:val="en-US" w:eastAsia="zh-CN"/>
              </w:rPr>
              <w:t>解码性能满足自控和视频监控系统上墙需求；</w:t>
            </w:r>
          </w:p>
          <w:p w14:paraId="4E7BC78C">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4.</w:t>
            </w:r>
            <w:r>
              <w:rPr>
                <w:rFonts w:hint="default" w:ascii="宋体" w:hAnsi="宋体" w:eastAsia="宋体" w:cs="宋体"/>
                <w:kern w:val="2"/>
                <w:sz w:val="21"/>
                <w:szCs w:val="21"/>
                <w:lang w:val="en-US" w:eastAsia="zh-CN"/>
              </w:rPr>
              <w:t>丰富的输出接口：配备HDMI、VGA、DVI、BNC等多种接口，方便连接各类新旧显示设备。</w:t>
            </w:r>
          </w:p>
          <w:p w14:paraId="35C56A21">
            <w:pPr>
              <w:pageBreakBefore w:val="0"/>
              <w:widowControl w:val="0"/>
              <w:numPr>
                <w:ilvl w:val="-1"/>
                <w:numId w:val="0"/>
              </w:numPr>
              <w:kinsoku/>
              <w:wordWrap/>
              <w:overflowPunct/>
              <w:topLinePunct w:val="0"/>
              <w:autoSpaceDE/>
              <w:autoSpaceDN/>
              <w:bidi w:val="0"/>
              <w:adjustRightInd/>
              <w:spacing w:before="0" w:line="240" w:lineRule="auto"/>
              <w:ind w:firstLine="420" w:firstLineChars="200"/>
              <w:jc w:val="both"/>
              <w:textAlignment w:val="auto"/>
              <w:rPr>
                <w:rFonts w:hint="default" w:ascii="宋体" w:hAnsi="宋体" w:eastAsia="宋体" w:cs="宋体"/>
                <w:kern w:val="2"/>
                <w:sz w:val="21"/>
                <w:szCs w:val="21"/>
                <w:lang w:val="en-US" w:eastAsia="zh-CN"/>
              </w:rPr>
            </w:pPr>
            <w:r>
              <w:rPr>
                <w:rFonts w:hint="eastAsia" w:ascii="宋体" w:hAnsi="宋体" w:eastAsia="宋体" w:cs="宋体"/>
                <w:kern w:val="2"/>
                <w:sz w:val="21"/>
                <w:szCs w:val="21"/>
                <w:lang w:val="en-US" w:eastAsia="zh-CN"/>
              </w:rPr>
              <w:t>5.</w:t>
            </w:r>
            <w:r>
              <w:rPr>
                <w:rFonts w:hint="default" w:ascii="宋体" w:hAnsi="宋体" w:eastAsia="宋体" w:cs="宋体"/>
                <w:kern w:val="2"/>
                <w:sz w:val="21"/>
                <w:szCs w:val="21"/>
                <w:lang w:val="en-US" w:eastAsia="zh-CN"/>
              </w:rPr>
              <w:t>灵活的画面分割：支持将单个屏幕划分为多个窗口，可同时显示多路监控画面</w:t>
            </w:r>
            <w:r>
              <w:rPr>
                <w:rFonts w:hint="eastAsia" w:ascii="宋体" w:hAnsi="宋体" w:cs="宋体"/>
                <w:kern w:val="2"/>
                <w:sz w:val="21"/>
                <w:szCs w:val="21"/>
                <w:lang w:val="en-US" w:eastAsia="zh-CN"/>
              </w:rPr>
              <w:t>。</w:t>
            </w:r>
          </w:p>
          <w:p w14:paraId="2F82AF2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eastAsia" w:ascii="宋体" w:hAnsi="宋体" w:cs="宋体"/>
                <w:kern w:val="2"/>
                <w:sz w:val="21"/>
                <w:szCs w:val="21"/>
                <w:lang w:val="en-US" w:eastAsia="zh-CN"/>
              </w:rPr>
            </w:pPr>
            <w:r>
              <w:rPr>
                <w:rFonts w:hint="eastAsia" w:ascii="宋体" w:hAnsi="宋体" w:cs="宋体"/>
                <w:kern w:val="2"/>
                <w:sz w:val="21"/>
                <w:szCs w:val="21"/>
                <w:lang w:val="en-US" w:eastAsia="zh-CN"/>
              </w:rPr>
              <w:t>6.电视墙拼接控制：支持将多个显示器拼接成一个大画面，或进行“开窗、漫游”等操作，实现灵活的布局。</w:t>
            </w:r>
          </w:p>
          <w:p w14:paraId="240F10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rPr>
                <w:rFonts w:hint="eastAsia" w:ascii="宋体" w:hAnsi="宋体" w:cs="宋体"/>
                <w:kern w:val="2"/>
                <w:sz w:val="21"/>
                <w:szCs w:val="21"/>
                <w:lang w:val="en-US" w:eastAsia="zh-CN"/>
              </w:rPr>
            </w:pPr>
          </w:p>
        </w:tc>
      </w:tr>
      <w:bookmarkEnd w:id="23"/>
    </w:tbl>
    <w:p w14:paraId="3D5F62C0">
      <w:pPr>
        <w:pStyle w:val="40"/>
        <w:widowControl w:val="0"/>
        <w:spacing w:line="360" w:lineRule="auto"/>
        <w:ind w:left="480"/>
        <w:jc w:val="center"/>
        <w:rPr>
          <w:rFonts w:hint="eastAsia" w:ascii="黑体" w:hAnsi="黑体" w:cs="黑体"/>
          <w:color w:val="FF0000"/>
          <w:kern w:val="44"/>
          <w:sz w:val="28"/>
          <w:szCs w:val="22"/>
        </w:rPr>
      </w:pPr>
    </w:p>
    <w:p w14:paraId="09C8D705">
      <w:pPr>
        <w:ind w:firstLine="560" w:firstLineChars="200"/>
        <w:jc w:val="center"/>
        <w:rPr>
          <w:rStyle w:val="22"/>
          <w:rFonts w:hint="eastAsia" w:ascii="宋体" w:hAnsi="宋体" w:cs="宋体"/>
          <w:color w:val="000000"/>
          <w:kern w:val="0"/>
        </w:rPr>
      </w:pPr>
      <w:r>
        <w:rPr>
          <w:rFonts w:hint="eastAsia" w:ascii="黑体" w:hAnsi="黑体" w:eastAsia="黑体" w:cs="黑体"/>
          <w:color w:val="auto"/>
          <w:sz w:val="28"/>
          <w:szCs w:val="28"/>
          <w:lang w:val="en-US" w:eastAsia="zh-CN"/>
        </w:rPr>
        <w:t xml:space="preserve">第三节 </w:t>
      </w:r>
      <w:r>
        <w:rPr>
          <w:rFonts w:hint="eastAsia" w:ascii="黑体" w:hAnsi="黑体" w:eastAsia="黑体" w:cs="黑体"/>
          <w:color w:val="auto"/>
          <w:sz w:val="28"/>
          <w:szCs w:val="28"/>
        </w:rPr>
        <w:t>主要设备技术参数</w:t>
      </w:r>
    </w:p>
    <w:p w14:paraId="249CB42E">
      <w:pPr>
        <w:spacing w:line="360" w:lineRule="auto"/>
        <w:ind w:firstLine="480" w:firstLineChars="200"/>
        <w:rPr>
          <w:rFonts w:hint="eastAsia" w:eastAsia="宋体"/>
          <w:lang w:eastAsia="zh-CN"/>
        </w:rPr>
      </w:pPr>
      <w:r>
        <w:rPr>
          <w:rFonts w:hint="eastAsia"/>
          <w:lang w:eastAsia="zh-CN"/>
        </w:rPr>
        <w:t>所有采购设备必须满足</w:t>
      </w:r>
      <w:r>
        <w:rPr>
          <w:rFonts w:hint="eastAsia"/>
          <w:lang w:val="en-US" w:eastAsia="zh-CN"/>
        </w:rPr>
        <w:t>以下</w:t>
      </w:r>
      <w:r>
        <w:rPr>
          <w:rFonts w:hint="eastAsia"/>
          <w:lang w:eastAsia="zh-CN"/>
        </w:rPr>
        <w:t>各项参数要求，同时须确保与现有系统及相关设备具有良好的兼容性和匹配性，以保障整体系统的稳定运行与协调一致。</w:t>
      </w:r>
    </w:p>
    <w:p w14:paraId="34C2930F">
      <w:pPr>
        <w:pStyle w:val="5"/>
        <w:pageBreakBefore w:val="0"/>
        <w:widowControl w:val="0"/>
        <w:numPr>
          <w:ilvl w:val="0"/>
          <w:numId w:val="4"/>
        </w:numPr>
        <w:kinsoku/>
        <w:wordWrap/>
        <w:overflowPunct/>
        <w:topLinePunct w:val="0"/>
        <w:autoSpaceDE/>
        <w:autoSpaceDN/>
        <w:bidi w:val="0"/>
        <w:adjustRightInd/>
        <w:spacing w:line="360" w:lineRule="auto"/>
        <w:ind w:left="0" w:leftChars="0" w:firstLine="422" w:firstLineChars="200"/>
        <w:jc w:val="both"/>
        <w:textAlignment w:val="auto"/>
        <w:rPr>
          <w:rFonts w:hint="eastAsia" w:ascii="宋体" w:hAnsi="宋体"/>
          <w:b/>
          <w:bCs/>
          <w:color w:val="auto"/>
          <w:sz w:val="21"/>
          <w:szCs w:val="21"/>
        </w:rPr>
      </w:pPr>
      <w:r>
        <w:rPr>
          <w:rFonts w:hint="eastAsia" w:ascii="宋体" w:hAnsi="宋体"/>
          <w:b/>
          <w:bCs/>
          <w:color w:val="auto"/>
          <w:sz w:val="21"/>
          <w:szCs w:val="21"/>
          <w:lang w:val="en-US" w:eastAsia="zh-CN"/>
        </w:rPr>
        <w:t>拼接控制屏</w:t>
      </w:r>
    </w:p>
    <w:p w14:paraId="5E1FBD28">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（1）功能需求：</w:t>
      </w:r>
    </w:p>
    <w:p w14:paraId="2F7919DB">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以设施平面图方式实时显示房间温湿度。</w:t>
      </w:r>
    </w:p>
    <w:p w14:paraId="3517AABC">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以设施平面图方式实时显示房间压差。</w:t>
      </w:r>
    </w:p>
    <w:p w14:paraId="2E5803B4">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color w:val="auto"/>
          <w:sz w:val="21"/>
          <w:szCs w:val="21"/>
          <w:lang w:val="en-US" w:eastAsia="zh-CN"/>
        </w:rPr>
      </w:pPr>
      <w:r>
        <w:rPr>
          <w:rFonts w:hint="eastAsia" w:ascii="宋体" w:hAnsi="宋体"/>
          <w:b/>
          <w:bCs/>
          <w:color w:val="auto"/>
          <w:sz w:val="21"/>
          <w:szCs w:val="21"/>
          <w:lang w:val="en-US" w:eastAsia="zh-CN"/>
        </w:rPr>
        <w:t>▲以系统控制原理图的形式展现控制界面并设定控制参数、控制操作界面。</w:t>
      </w:r>
    </w:p>
    <w:p w14:paraId="374D117B">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（2）显示功能技术参数：</w:t>
      </w:r>
    </w:p>
    <w:p w14:paraId="55519249">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color w:val="auto"/>
          <w:sz w:val="21"/>
          <w:szCs w:val="21"/>
          <w:lang w:val="en-US" w:eastAsia="zh-CN"/>
        </w:rPr>
      </w:pPr>
      <w:r>
        <w:rPr>
          <w:rFonts w:hint="eastAsia" w:ascii="宋体" w:hAnsi="宋体"/>
          <w:b/>
          <w:bCs/>
          <w:color w:val="auto"/>
          <w:sz w:val="21"/>
          <w:szCs w:val="21"/>
          <w:lang w:val="en-US" w:eastAsia="zh-CN"/>
        </w:rPr>
        <w:t>▲</w:t>
      </w:r>
      <w:r>
        <w:rPr>
          <w:rFonts w:hint="default" w:ascii="宋体" w:hAnsi="宋体"/>
          <w:color w:val="auto"/>
          <w:sz w:val="21"/>
          <w:szCs w:val="21"/>
          <w:lang w:val="en-US" w:eastAsia="zh-CN"/>
        </w:rPr>
        <w:t>55寸，支持1920*1080P输入</w:t>
      </w:r>
    </w:p>
    <w:p w14:paraId="1A711EB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单屏尺寸长1213.5*宽684.3mm</w:t>
      </w:r>
    </w:p>
    <w:p w14:paraId="7F40C629">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亮度500cd/㎡</w:t>
      </w:r>
    </w:p>
    <w:p w14:paraId="6C1F400A">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对比度：4000:1</w:t>
      </w:r>
    </w:p>
    <w:p w14:paraId="4B1C67D3">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双边物理拼3.5mm</w:t>
      </w:r>
    </w:p>
    <w:p w14:paraId="32467233">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色彩饱和度97%</w:t>
      </w:r>
    </w:p>
    <w:p w14:paraId="51930F6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（3）自控系统可视化</w:t>
      </w:r>
    </w:p>
    <w:p w14:paraId="3DAEE690">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整合自控系统采集的全范围运行数据，将各点位设备运行状态、工艺参数、能耗信息等核心内容以动态流程图、趋势图、统计表等形式直观呈现，支持管理人员根据需求切换不同显示视图，快速掌握系统整体运行工况；</w:t>
      </w:r>
    </w:p>
    <w:p w14:paraId="7017B3DF">
      <w:pPr>
        <w:pStyle w:val="5"/>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支持与告警模块联动，当参数超阈值、设备故障等异常情况发生时，自动在可视化界面高亮标注异常区域，辅助管理人员快速定位问题，有效提升异常响应与处置效率。</w:t>
      </w:r>
    </w:p>
    <w:p w14:paraId="655A111D">
      <w:pPr>
        <w:pStyle w:val="5"/>
        <w:pageBreakBefore w:val="0"/>
        <w:widowControl w:val="0"/>
        <w:numPr>
          <w:ilvl w:val="0"/>
          <w:numId w:val="4"/>
        </w:numPr>
        <w:kinsoku/>
        <w:wordWrap/>
        <w:overflowPunct/>
        <w:topLinePunct w:val="0"/>
        <w:autoSpaceDE/>
        <w:autoSpaceDN/>
        <w:bidi w:val="0"/>
        <w:adjustRightIn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▲系统授权USB硬件锁</w:t>
      </w:r>
    </w:p>
    <w:p w14:paraId="4E93FB2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color w:val="auto"/>
          <w:sz w:val="21"/>
          <w:szCs w:val="21"/>
        </w:rPr>
      </w:pPr>
      <w:r>
        <w:rPr>
          <w:rFonts w:hint="eastAsia" w:ascii="宋体" w:hAnsi="宋体"/>
          <w:color w:val="auto"/>
          <w:sz w:val="21"/>
          <w:szCs w:val="21"/>
          <w:lang w:val="en-US" w:eastAsia="zh-CN"/>
        </w:rPr>
        <w:t>配套软件</w:t>
      </w:r>
      <w:r>
        <w:rPr>
          <w:rFonts w:hint="eastAsia" w:ascii="宋体" w:hAnsi="宋体"/>
          <w:color w:val="auto"/>
          <w:sz w:val="21"/>
          <w:szCs w:val="21"/>
        </w:rPr>
        <w:t>要求满足当前IT流行技术，包括B/S结构、WEB SERVICE技术、JAVA 技术、XML技术等，以备将来与信息系统的集成。具有功能强、开放性好、易于安装使用的特点；</w:t>
      </w:r>
      <w:r>
        <w:rPr>
          <w:rFonts w:hint="eastAsia" w:ascii="宋体" w:hAnsi="宋体"/>
          <w:b/>
          <w:bCs/>
          <w:color w:val="auto"/>
          <w:sz w:val="21"/>
          <w:szCs w:val="21"/>
          <w:lang w:val="en-US" w:eastAsia="zh-CN"/>
        </w:rPr>
        <w:t>配套软件</w:t>
      </w:r>
      <w:r>
        <w:rPr>
          <w:rFonts w:hint="eastAsia" w:ascii="宋体" w:hAnsi="宋体"/>
          <w:color w:val="auto"/>
          <w:sz w:val="21"/>
          <w:szCs w:val="21"/>
        </w:rPr>
        <w:t>遵循各种工业标准，并采用开放式的系统结构。</w:t>
      </w:r>
    </w:p>
    <w:p w14:paraId="79BEC06F">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color w:val="auto"/>
          <w:sz w:val="21"/>
          <w:szCs w:val="21"/>
        </w:rPr>
      </w:pPr>
      <w:r>
        <w:rPr>
          <w:rFonts w:hint="eastAsia" w:ascii="宋体" w:hAnsi="宋体"/>
          <w:color w:val="auto"/>
          <w:sz w:val="21"/>
          <w:szCs w:val="21"/>
          <w:lang w:eastAsia="zh-CN"/>
        </w:rPr>
        <w:t>登录</w:t>
      </w:r>
      <w:r>
        <w:rPr>
          <w:rFonts w:hint="eastAsia" w:ascii="宋体" w:hAnsi="宋体"/>
          <w:color w:val="auto"/>
          <w:sz w:val="21"/>
          <w:szCs w:val="21"/>
        </w:rPr>
        <w:t>用户可授权可设置不少于 5 个等级的权限，并可根据项目本身设置不同用户操作不同区域的功能。应提供满足系统运行功能、二次开发、维修维护以及符合开发系统标准的系统软件、应用软件和应用编程软件包等全套软件。</w:t>
      </w:r>
    </w:p>
    <w:p w14:paraId="05E5213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color w:val="auto"/>
          <w:sz w:val="21"/>
          <w:szCs w:val="21"/>
          <w:lang w:val="en-US" w:eastAsia="zh-CN"/>
        </w:rPr>
      </w:pPr>
      <w:r>
        <w:rPr>
          <w:rFonts w:hint="eastAsia" w:ascii="宋体" w:hAnsi="宋体"/>
          <w:color w:val="auto"/>
          <w:sz w:val="21"/>
          <w:szCs w:val="21"/>
        </w:rPr>
        <w:t>需提供标准的 OPC 接口及协议与</w:t>
      </w:r>
      <w:r>
        <w:rPr>
          <w:rFonts w:hint="eastAsia" w:ascii="宋体" w:hAnsi="宋体"/>
          <w:color w:val="auto"/>
          <w:sz w:val="21"/>
          <w:szCs w:val="21"/>
          <w:lang w:eastAsia="zh-CN"/>
        </w:rPr>
        <w:t>自控</w:t>
      </w:r>
      <w:r>
        <w:rPr>
          <w:rFonts w:hint="eastAsia" w:ascii="宋体" w:hAnsi="宋体"/>
          <w:color w:val="auto"/>
          <w:sz w:val="21"/>
          <w:szCs w:val="21"/>
        </w:rPr>
        <w:t>系统进行集成。系统平台应按实时、多用户和多进程对资源进行分配和管理。系统将拥有事件驱动顺序以及优化结构装配，以便系统能在正常巡检控制的同时及时响应处理实时情况与紧急任务。同时，系统平台还应具备网络管理、标准网络协议</w:t>
      </w:r>
      <w:r>
        <w:rPr>
          <w:rFonts w:hint="eastAsia" w:ascii="宋体" w:hAnsi="宋体"/>
          <w:color w:val="auto"/>
          <w:sz w:val="21"/>
          <w:szCs w:val="21"/>
          <w:lang w:eastAsia="zh-CN"/>
        </w:rPr>
        <w:t>、</w:t>
      </w:r>
      <w:r>
        <w:rPr>
          <w:rFonts w:hint="eastAsia" w:ascii="宋体" w:hAnsi="宋体"/>
          <w:color w:val="auto"/>
          <w:sz w:val="21"/>
          <w:szCs w:val="21"/>
        </w:rPr>
        <w:t>远程通信管理以及符合计算机技术发展趋势的</w:t>
      </w:r>
      <w:r>
        <w:rPr>
          <w:rFonts w:hint="eastAsia" w:ascii="宋体" w:hAnsi="宋体"/>
          <w:color w:val="auto"/>
          <w:sz w:val="21"/>
          <w:szCs w:val="21"/>
          <w:lang w:eastAsia="zh-CN"/>
        </w:rPr>
        <w:t>能力</w:t>
      </w:r>
      <w:r>
        <w:rPr>
          <w:rFonts w:hint="eastAsia" w:ascii="宋体" w:hAnsi="宋体"/>
          <w:color w:val="auto"/>
          <w:sz w:val="21"/>
          <w:szCs w:val="21"/>
        </w:rPr>
        <w:t>。软件应按模块形式设计，以利于应用的扩展和修改。</w:t>
      </w:r>
      <w:r>
        <w:rPr>
          <w:rFonts w:hint="eastAsia" w:ascii="宋体" w:hAnsi="宋体"/>
          <w:b/>
          <w:bCs/>
          <w:color w:val="auto"/>
          <w:sz w:val="21"/>
          <w:szCs w:val="21"/>
          <w:lang w:val="en-US" w:eastAsia="zh-CN"/>
        </w:rPr>
        <w:t>配套软件</w:t>
      </w:r>
      <w:r>
        <w:rPr>
          <w:rFonts w:hint="eastAsia" w:ascii="宋体" w:hAnsi="宋体"/>
          <w:color w:val="auto"/>
          <w:sz w:val="21"/>
          <w:szCs w:val="21"/>
        </w:rPr>
        <w:t>应确保中央控制中心出现故障时，现场控制器继续独立执行其监控功能。</w:t>
      </w:r>
      <w:r>
        <w:rPr>
          <w:rFonts w:hint="eastAsia" w:ascii="宋体" w:hAnsi="宋体"/>
          <w:color w:val="auto"/>
          <w:sz w:val="21"/>
          <w:szCs w:val="21"/>
          <w:lang w:val="en-US" w:eastAsia="zh-CN"/>
        </w:rPr>
        <w:t>核心功能：</w:t>
      </w:r>
    </w:p>
    <w:p w14:paraId="6CE2B779">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（1）</w:t>
      </w:r>
      <w:r>
        <w:rPr>
          <w:rFonts w:hint="default" w:ascii="宋体" w:hAnsi="宋体"/>
          <w:b/>
          <w:bCs/>
          <w:color w:val="auto"/>
          <w:sz w:val="21"/>
          <w:szCs w:val="21"/>
          <w:lang w:val="en-US" w:eastAsia="zh-CN"/>
        </w:rPr>
        <w:t>通信与连接</w:t>
      </w:r>
    </w:p>
    <w:p w14:paraId="6FD6ADF0">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支持通过工业以太网（Industrial Ethernet）/ PROFIBUS进行通信</w:t>
      </w:r>
    </w:p>
    <w:p w14:paraId="57987D3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支持OPC UA服务器（DA、HDA）</w:t>
      </w:r>
    </w:p>
    <w:p w14:paraId="0A673914">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（2）</w:t>
      </w:r>
      <w:r>
        <w:rPr>
          <w:rFonts w:hint="default" w:ascii="宋体" w:hAnsi="宋体"/>
          <w:b/>
          <w:bCs/>
          <w:color w:val="auto"/>
          <w:sz w:val="21"/>
          <w:szCs w:val="21"/>
          <w:lang w:val="en-US" w:eastAsia="zh-CN"/>
        </w:rPr>
        <w:t>变量管理</w:t>
      </w:r>
    </w:p>
    <w:p w14:paraId="520EC7BC">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外部变量数量由许可证决定（可选128、512、2048、8192、65536、102400、153600、262144个PowerTag）</w:t>
      </w:r>
      <w:r>
        <w:rPr>
          <w:rFonts w:hint="eastAsia" w:ascii="宋体" w:hAnsi="宋体"/>
          <w:color w:val="auto"/>
          <w:sz w:val="21"/>
          <w:szCs w:val="21"/>
          <w:lang w:val="en-US" w:eastAsia="zh-CN"/>
        </w:rPr>
        <w:t>，需满足本项目建设需求</w:t>
      </w:r>
    </w:p>
    <w:p w14:paraId="105ED060">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内部变量不限数量，包含在每一个RT/RC许可证中</w:t>
      </w:r>
    </w:p>
    <w:p w14:paraId="0D9D0BC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支持嵌套变量结构（Nested Tag structures），便于组织和管理复杂变量</w:t>
      </w:r>
    </w:p>
    <w:p w14:paraId="135A30B5">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支持将变量直接导入并创建为结构变量</w:t>
      </w:r>
    </w:p>
    <w:p w14:paraId="09A41EF9">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（3）</w:t>
      </w:r>
      <w:r>
        <w:rPr>
          <w:rFonts w:hint="default" w:ascii="宋体" w:hAnsi="宋体"/>
          <w:b/>
          <w:bCs/>
          <w:color w:val="auto"/>
          <w:sz w:val="21"/>
          <w:szCs w:val="21"/>
          <w:lang w:val="en-US" w:eastAsia="zh-CN"/>
        </w:rPr>
        <w:t>报警管理</w:t>
      </w:r>
    </w:p>
    <w:p w14:paraId="5DEDD7A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支持报警记录功能，可组态报警类别、报警类型、报警确认机制</w:t>
      </w:r>
    </w:p>
    <w:p w14:paraId="7119219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支持系统报警和状态变量管理</w:t>
      </w:r>
    </w:p>
    <w:p w14:paraId="6E7E79FB">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支持报警的显示、确认、归档与报表输出</w:t>
      </w:r>
    </w:p>
    <w:p w14:paraId="036673A8">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支持报警依赖的可视化</w:t>
      </w:r>
    </w:p>
    <w:p w14:paraId="7A9C3785">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支持掉电后重新装载功能，确保电源故障后报警数据可恢复</w:t>
      </w:r>
    </w:p>
    <w:p w14:paraId="5FFA348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（4）</w:t>
      </w:r>
      <w:r>
        <w:rPr>
          <w:rFonts w:hint="default" w:ascii="宋体" w:hAnsi="宋体"/>
          <w:b/>
          <w:bCs/>
          <w:color w:val="auto"/>
          <w:sz w:val="21"/>
          <w:szCs w:val="21"/>
          <w:lang w:val="en-US" w:eastAsia="zh-CN"/>
        </w:rPr>
        <w:t>数据归档</w:t>
      </w:r>
    </w:p>
    <w:p w14:paraId="4E524ED7">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基础许可证已包含512个归档变量</w:t>
      </w:r>
    </w:p>
    <w:p w14:paraId="0B09547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支持变量快速归档、变量慢速归档、报警消息归档三大核心归档模块</w:t>
      </w:r>
    </w:p>
    <w:p w14:paraId="2A2DCC8F">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支持按日、周、年等多种周期进行归档记录</w:t>
      </w:r>
    </w:p>
    <w:p w14:paraId="1447F020">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支持差异归档等高级归档方法</w:t>
      </w:r>
    </w:p>
    <w:p w14:paraId="48999F04">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采用Microsoft SQL Server作为实时数据库</w:t>
      </w:r>
    </w:p>
    <w:p w14:paraId="00AC4BE6">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（5）</w:t>
      </w:r>
      <w:r>
        <w:rPr>
          <w:rFonts w:hint="default" w:ascii="宋体" w:hAnsi="宋体"/>
          <w:b/>
          <w:bCs/>
          <w:color w:val="auto"/>
          <w:sz w:val="21"/>
          <w:szCs w:val="21"/>
          <w:lang w:val="en-US" w:eastAsia="zh-CN"/>
        </w:rPr>
        <w:t>报表系统</w:t>
      </w:r>
    </w:p>
    <w:p w14:paraId="454B82E4">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提供时间和事件触发的文档化报表输出功能</w:t>
      </w:r>
    </w:p>
    <w:p w14:paraId="00E42E07">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支持报警报表、过程数据报表等多种类型</w:t>
      </w:r>
    </w:p>
    <w:p w14:paraId="01A62307">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（6）</w:t>
      </w:r>
      <w:r>
        <w:rPr>
          <w:rFonts w:hint="default" w:ascii="宋体" w:hAnsi="宋体"/>
          <w:b/>
          <w:bCs/>
          <w:color w:val="auto"/>
          <w:sz w:val="21"/>
          <w:szCs w:val="21"/>
          <w:lang w:val="en-US" w:eastAsia="zh-CN"/>
        </w:rPr>
        <w:t>用户管理</w:t>
      </w:r>
    </w:p>
    <w:p w14:paraId="192964FC">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提供用户管理和权限分配工具</w:t>
      </w:r>
    </w:p>
    <w:p w14:paraId="1EDA7AFF">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支持密码保护和访问权限控制</w:t>
      </w:r>
    </w:p>
    <w:p w14:paraId="3C77B776">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（7）</w:t>
      </w:r>
      <w:r>
        <w:rPr>
          <w:rFonts w:hint="default" w:ascii="宋体" w:hAnsi="宋体"/>
          <w:b/>
          <w:bCs/>
          <w:color w:val="auto"/>
          <w:sz w:val="21"/>
          <w:szCs w:val="21"/>
          <w:lang w:val="en-US" w:eastAsia="zh-CN"/>
        </w:rPr>
        <w:t>脚本与编程接口</w:t>
      </w:r>
    </w:p>
    <w:p w14:paraId="182ACE7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支持全局脚本（Global Script）编程</w:t>
      </w:r>
    </w:p>
    <w:p w14:paraId="057EC145">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支持Visual Basic for Applications (VBA) 进行个性化扩展</w:t>
      </w:r>
    </w:p>
    <w:p w14:paraId="7F712985">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支持ActiveX控件集成</w:t>
      </w:r>
    </w:p>
    <w:p w14:paraId="4A7BBD2C">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支持.NET和XMAL控件</w:t>
      </w:r>
    </w:p>
    <w:p w14:paraId="285B7B06">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支持OPC跨厂商通信</w:t>
      </w:r>
    </w:p>
    <w:p w14:paraId="32BB0B05">
      <w:pPr>
        <w:pStyle w:val="5"/>
        <w:pageBreakBefore w:val="0"/>
        <w:widowControl w:val="0"/>
        <w:numPr>
          <w:ilvl w:val="0"/>
          <w:numId w:val="4"/>
        </w:numPr>
        <w:kinsoku/>
        <w:wordWrap/>
        <w:overflowPunct/>
        <w:topLinePunct w:val="0"/>
        <w:autoSpaceDE/>
        <w:autoSpaceDN/>
        <w:bidi w:val="0"/>
        <w:adjustRightInd/>
        <w:spacing w:line="360" w:lineRule="auto"/>
        <w:ind w:left="0" w:leftChars="0" w:firstLine="422" w:firstLineChars="200"/>
        <w:jc w:val="both"/>
        <w:textAlignment w:val="auto"/>
        <w:rPr>
          <w:rFonts w:hint="eastAsia" w:ascii="宋体" w:hAnsi="宋体"/>
          <w:b/>
          <w:bCs/>
          <w:color w:val="auto"/>
          <w:sz w:val="21"/>
          <w:szCs w:val="21"/>
        </w:rPr>
      </w:pPr>
      <w:r>
        <w:rPr>
          <w:rFonts w:hint="eastAsia" w:ascii="宋体" w:hAnsi="宋体"/>
          <w:b/>
          <w:bCs/>
          <w:color w:val="auto"/>
          <w:sz w:val="21"/>
          <w:szCs w:val="21"/>
          <w:lang w:val="en-US" w:eastAsia="zh-CN"/>
        </w:rPr>
        <w:t>控制柜</w:t>
      </w:r>
    </w:p>
    <w:p w14:paraId="41BBF8A3">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pPr>
      <w:r>
        <w:rPr>
          <w:rFonts w:hint="eastAsia" w:ascii="宋体" w:hAnsi="宋体"/>
          <w:b/>
          <w:bCs/>
          <w:color w:val="auto"/>
          <w:sz w:val="21"/>
          <w:szCs w:val="21"/>
          <w:lang w:val="en-US" w:eastAsia="zh-CN"/>
        </w:rPr>
        <w:t>（1）</w:t>
      </w:r>
      <w:r>
        <w:rPr>
          <w:rFonts w:hint="default" w:ascii="宋体" w:hAnsi="宋体"/>
          <w:b/>
          <w:bCs/>
          <w:color w:val="auto"/>
          <w:sz w:val="21"/>
          <w:szCs w:val="21"/>
          <w:lang w:val="en-US" w:eastAsia="zh-CN"/>
        </w:rPr>
        <w:t>柜内布局与分区</w:t>
      </w:r>
    </w:p>
    <w:p w14:paraId="4C3F82A3">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分区原则：按“信号流向”划分，避免交叉干扰。</w:t>
      </w:r>
    </w:p>
    <w:p w14:paraId="13B3857D">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pPr>
      <w:r>
        <w:rPr>
          <w:rFonts w:hint="default" w:ascii="宋体" w:hAnsi="宋体"/>
          <w:color w:val="auto"/>
          <w:sz w:val="21"/>
          <w:szCs w:val="21"/>
          <w:lang w:val="en-US" w:eastAsia="zh-CN"/>
        </w:rPr>
        <w:t>间距要求：控制器与开关电源之间应保持 ≥50mm 的垂直间距，以避免开关电源产生的热量影响处理器稳定性。</w:t>
      </w:r>
    </w:p>
    <w:p w14:paraId="19137BE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（2）▲</w:t>
      </w:r>
      <w:r>
        <w:rPr>
          <w:rFonts w:hint="default" w:ascii="宋体" w:hAnsi="宋体"/>
          <w:b/>
          <w:bCs/>
          <w:color w:val="auto"/>
          <w:sz w:val="21"/>
          <w:szCs w:val="21"/>
          <w:lang w:val="en-US" w:eastAsia="zh-CN"/>
        </w:rPr>
        <w:t>元器件安装与选型要求</w:t>
      </w:r>
    </w:p>
    <w:tbl>
      <w:tblPr>
        <w:tblStyle w:val="19"/>
        <w:tblW w:w="5007" w:type="pct"/>
        <w:tblInd w:w="-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27"/>
        <w:gridCol w:w="7821"/>
      </w:tblGrid>
      <w:tr w14:paraId="2165E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861" w:type="pct"/>
            <w:tcBorders>
              <w:top w:val="single" w:color="000000" w:sz="12" w:space="0"/>
              <w:left w:val="nil"/>
              <w:bottom w:val="single" w:color="000000" w:sz="4" w:space="0"/>
              <w:right w:val="single" w:color="auto" w:sz="4" w:space="0"/>
              <w:tl2br w:val="nil"/>
            </w:tcBorders>
            <w:shd w:val="clear" w:color="auto" w:fill="FFFFFF"/>
            <w:noWrap w:val="0"/>
            <w:tcMar>
              <w:top w:w="150" w:type="dxa"/>
              <w:left w:w="-1" w:type="dxa"/>
              <w:bottom w:w="150" w:type="dxa"/>
              <w:right w:w="240" w:type="dxa"/>
            </w:tcMar>
            <w:vAlign w:val="center"/>
          </w:tcPr>
          <w:p w14:paraId="2570C03E">
            <w:pPr>
              <w:keepNext w:val="0"/>
              <w:keepLines w:val="0"/>
              <w:widowControl/>
              <w:suppressLineNumbers w:val="0"/>
              <w:spacing w:line="240" w:lineRule="auto"/>
              <w:jc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val="en-US" w:eastAsia="zh-CN" w:bidi="ar"/>
              </w:rPr>
              <w:t>元件类型</w:t>
            </w:r>
          </w:p>
        </w:tc>
        <w:tc>
          <w:tcPr>
            <w:tcW w:w="4138" w:type="pct"/>
            <w:tcBorders>
              <w:top w:val="single" w:color="000000" w:sz="12" w:space="0"/>
              <w:left w:val="single" w:color="auto" w:sz="4" w:space="0"/>
              <w:bottom w:val="single" w:color="000000" w:sz="4" w:space="0"/>
              <w:right w:val="nil"/>
            </w:tcBorders>
            <w:shd w:val="clear" w:color="auto" w:fill="FFFFFF"/>
            <w:noWrap w:val="0"/>
            <w:tcMar>
              <w:top w:w="150" w:type="dxa"/>
              <w:left w:w="240" w:type="dxa"/>
              <w:bottom w:w="150" w:type="dxa"/>
              <w:right w:w="240" w:type="dxa"/>
            </w:tcMar>
            <w:vAlign w:val="center"/>
          </w:tcPr>
          <w:p w14:paraId="0C630F8C">
            <w:pPr>
              <w:keepNext w:val="0"/>
              <w:keepLines w:val="0"/>
              <w:widowControl/>
              <w:suppressLineNumbers w:val="0"/>
              <w:spacing w:line="240" w:lineRule="auto"/>
              <w:jc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val="en-US" w:eastAsia="zh-CN" w:bidi="ar"/>
              </w:rPr>
              <w:t>制作与选型要求</w:t>
            </w:r>
          </w:p>
        </w:tc>
      </w:tr>
      <w:tr w14:paraId="5F211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61" w:type="pct"/>
            <w:tcBorders>
              <w:top w:val="single" w:color="000000" w:sz="4" w:space="0"/>
              <w:left w:val="nil"/>
              <w:bottom w:val="single" w:color="auto" w:sz="4" w:space="0"/>
              <w:right w:val="single" w:color="auto" w:sz="4" w:space="0"/>
            </w:tcBorders>
            <w:shd w:val="clear" w:color="auto" w:fill="FFFFFF"/>
            <w:noWrap w:val="0"/>
            <w:tcMar>
              <w:top w:w="150" w:type="dxa"/>
              <w:left w:w="-1" w:type="dxa"/>
              <w:bottom w:w="150" w:type="dxa"/>
              <w:right w:w="240" w:type="dxa"/>
            </w:tcMar>
            <w:vAlign w:val="center"/>
          </w:tcPr>
          <w:p w14:paraId="3A29BC5E">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PLC/DDC控制器及扩展模块</w:t>
            </w:r>
          </w:p>
        </w:tc>
        <w:tc>
          <w:tcPr>
            <w:tcW w:w="4138" w:type="pct"/>
            <w:tcBorders>
              <w:top w:val="single" w:color="000000" w:sz="4" w:space="0"/>
              <w:left w:val="single" w:color="auto" w:sz="4" w:space="0"/>
              <w:bottom w:val="single" w:color="auto" w:sz="4" w:space="0"/>
              <w:right w:val="nil"/>
            </w:tcBorders>
            <w:shd w:val="clear" w:color="auto" w:fill="FFFFFF"/>
            <w:noWrap w:val="0"/>
            <w:tcMar>
              <w:top w:w="150" w:type="dxa"/>
              <w:left w:w="240" w:type="dxa"/>
              <w:bottom w:w="150" w:type="dxa"/>
              <w:right w:w="-1" w:type="dxa"/>
            </w:tcMar>
            <w:vAlign w:val="center"/>
          </w:tcPr>
          <w:p w14:paraId="76969320">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必须严格按厂家安装手册安装在</w:t>
            </w:r>
            <w:r>
              <w:rPr>
                <w:rFonts w:hint="eastAsia" w:ascii="宋体" w:hAnsi="宋体" w:eastAsia="宋体" w:cs="宋体"/>
                <w:b w:val="0"/>
                <w:bCs/>
                <w:color w:val="000000"/>
                <w:kern w:val="0"/>
                <w:sz w:val="21"/>
                <w:szCs w:val="21"/>
                <w:lang w:val="en-US" w:eastAsia="zh-CN" w:bidi="ar"/>
              </w:rPr>
              <w:t>接地金属导轨（DIN导轨）</w:t>
            </w:r>
            <w:r>
              <w:rPr>
                <w:rFonts w:hint="eastAsia" w:ascii="宋体" w:hAnsi="宋体" w:eastAsia="宋体" w:cs="宋体"/>
                <w:color w:val="000000"/>
                <w:kern w:val="0"/>
                <w:sz w:val="21"/>
                <w:szCs w:val="21"/>
                <w:lang w:val="en-US" w:eastAsia="zh-CN" w:bidi="ar"/>
              </w:rPr>
              <w:t>上。模块间连接总线（背板总线）插接必须紧固，两侧预留</w:t>
            </w:r>
            <w:r>
              <w:rPr>
                <w:rFonts w:hint="eastAsia" w:ascii="宋体" w:hAnsi="宋体" w:eastAsia="宋体" w:cs="宋体"/>
                <w:b w:val="0"/>
                <w:bCs/>
                <w:color w:val="000000"/>
                <w:kern w:val="0"/>
                <w:sz w:val="21"/>
                <w:szCs w:val="21"/>
                <w:lang w:val="en-US" w:eastAsia="zh-CN" w:bidi="ar"/>
              </w:rPr>
              <w:t>≥25mm</w:t>
            </w:r>
            <w:r>
              <w:rPr>
                <w:rFonts w:hint="eastAsia" w:ascii="宋体" w:hAnsi="宋体" w:eastAsia="宋体" w:cs="宋体"/>
                <w:color w:val="000000"/>
                <w:kern w:val="0"/>
                <w:sz w:val="21"/>
                <w:szCs w:val="21"/>
                <w:lang w:val="en-US" w:eastAsia="zh-CN" w:bidi="ar"/>
              </w:rPr>
              <w:t>空间用于散热。</w:t>
            </w:r>
          </w:p>
        </w:tc>
      </w:tr>
      <w:tr w14:paraId="2F1CE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61" w:type="pct"/>
            <w:tcBorders>
              <w:top w:val="single" w:color="auto" w:sz="4" w:space="0"/>
              <w:left w:val="nil"/>
              <w:bottom w:val="single" w:color="auto" w:sz="4" w:space="0"/>
              <w:right w:val="single" w:color="auto" w:sz="4" w:space="0"/>
            </w:tcBorders>
            <w:shd w:val="clear" w:color="auto" w:fill="FFFFFF"/>
            <w:noWrap w:val="0"/>
            <w:tcMar>
              <w:top w:w="150" w:type="dxa"/>
              <w:left w:w="-1" w:type="dxa"/>
              <w:bottom w:w="150" w:type="dxa"/>
              <w:right w:w="240" w:type="dxa"/>
            </w:tcMar>
            <w:vAlign w:val="center"/>
          </w:tcPr>
          <w:p w14:paraId="4110B055">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开关电源</w:t>
            </w:r>
          </w:p>
        </w:tc>
        <w:tc>
          <w:tcPr>
            <w:tcW w:w="4138" w:type="pct"/>
            <w:tcBorders>
              <w:top w:val="single" w:color="auto" w:sz="4" w:space="0"/>
              <w:left w:val="single" w:color="auto" w:sz="4" w:space="0"/>
              <w:bottom w:val="single" w:color="auto" w:sz="4" w:space="0"/>
              <w:right w:val="nil"/>
            </w:tcBorders>
            <w:shd w:val="clear" w:color="auto" w:fill="FFFFFF"/>
            <w:noWrap w:val="0"/>
            <w:tcMar>
              <w:top w:w="150" w:type="dxa"/>
              <w:left w:w="240" w:type="dxa"/>
              <w:bottom w:w="150" w:type="dxa"/>
              <w:right w:w="-1" w:type="dxa"/>
            </w:tcMar>
            <w:vAlign w:val="center"/>
          </w:tcPr>
          <w:p w14:paraId="7B310108">
            <w:pPr>
              <w:keepNext w:val="0"/>
              <w:keepLines w:val="0"/>
              <w:widowControl/>
              <w:suppressLineNumbers w:val="0"/>
              <w:spacing w:line="24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功率须留有</w:t>
            </w:r>
            <w:r>
              <w:rPr>
                <w:rFonts w:hint="eastAsia" w:ascii="宋体" w:hAnsi="宋体" w:eastAsia="宋体" w:cs="宋体"/>
                <w:b w:val="0"/>
                <w:bCs/>
                <w:color w:val="000000"/>
                <w:kern w:val="0"/>
                <w:sz w:val="21"/>
                <w:szCs w:val="21"/>
                <w:lang w:val="en-US" w:eastAsia="zh-CN" w:bidi="ar"/>
              </w:rPr>
              <w:t>≥30%</w:t>
            </w:r>
            <w:r>
              <w:rPr>
                <w:rFonts w:hint="eastAsia" w:ascii="宋体" w:hAnsi="宋体" w:eastAsia="宋体" w:cs="宋体"/>
                <w:color w:val="000000"/>
                <w:kern w:val="0"/>
                <w:sz w:val="21"/>
                <w:szCs w:val="21"/>
                <w:lang w:val="en-US" w:eastAsia="zh-CN" w:bidi="ar"/>
              </w:rPr>
              <w:t>余量。推荐安装于柜体侧下方，若为自然散热，其上下方向不得被遮挡；</w:t>
            </w:r>
          </w:p>
          <w:p w14:paraId="2F952851">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若为强迫风冷，风扇进风口应朝下。</w:t>
            </w:r>
          </w:p>
        </w:tc>
      </w:tr>
      <w:tr w14:paraId="0605D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61" w:type="pct"/>
            <w:tcBorders>
              <w:top w:val="single" w:color="auto" w:sz="4" w:space="0"/>
              <w:left w:val="nil"/>
              <w:bottom w:val="single" w:color="auto" w:sz="4" w:space="0"/>
              <w:right w:val="single" w:color="auto" w:sz="4" w:space="0"/>
            </w:tcBorders>
            <w:shd w:val="clear" w:color="auto" w:fill="FFFFFF"/>
            <w:noWrap w:val="0"/>
            <w:tcMar>
              <w:top w:w="150" w:type="dxa"/>
              <w:left w:w="-1" w:type="dxa"/>
              <w:bottom w:w="150" w:type="dxa"/>
              <w:right w:w="240" w:type="dxa"/>
            </w:tcMar>
            <w:vAlign w:val="center"/>
          </w:tcPr>
          <w:p w14:paraId="08E4FF35">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中间继电器</w:t>
            </w:r>
          </w:p>
        </w:tc>
        <w:tc>
          <w:tcPr>
            <w:tcW w:w="4138" w:type="pct"/>
            <w:tcBorders>
              <w:top w:val="single" w:color="auto" w:sz="4" w:space="0"/>
              <w:left w:val="single" w:color="auto" w:sz="4" w:space="0"/>
              <w:bottom w:val="single" w:color="auto" w:sz="4" w:space="0"/>
              <w:right w:val="nil"/>
            </w:tcBorders>
            <w:shd w:val="clear" w:color="auto" w:fill="FFFFFF"/>
            <w:noWrap w:val="0"/>
            <w:tcMar>
              <w:top w:w="150" w:type="dxa"/>
              <w:left w:w="240" w:type="dxa"/>
              <w:bottom w:w="150" w:type="dxa"/>
              <w:right w:w="-1" w:type="dxa"/>
            </w:tcMar>
            <w:vAlign w:val="center"/>
          </w:tcPr>
          <w:p w14:paraId="40D4A11F">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继电器插座必须带固定夹，防止振动松脱。</w:t>
            </w:r>
          </w:p>
        </w:tc>
      </w:tr>
      <w:tr w14:paraId="5DB5E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861" w:type="pct"/>
            <w:tcBorders>
              <w:top w:val="single" w:color="auto" w:sz="4" w:space="0"/>
              <w:left w:val="nil"/>
              <w:bottom w:val="single" w:color="000000" w:sz="12" w:space="0"/>
              <w:right w:val="single" w:color="auto" w:sz="4" w:space="0"/>
            </w:tcBorders>
            <w:shd w:val="clear" w:color="auto" w:fill="FFFFFF"/>
            <w:noWrap w:val="0"/>
            <w:tcMar>
              <w:top w:w="150" w:type="dxa"/>
              <w:left w:w="-1" w:type="dxa"/>
              <w:bottom w:w="150" w:type="dxa"/>
              <w:right w:w="240" w:type="dxa"/>
            </w:tcMar>
            <w:vAlign w:val="center"/>
          </w:tcPr>
          <w:p w14:paraId="6D0DE9E3">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接线端子</w:t>
            </w:r>
          </w:p>
        </w:tc>
        <w:tc>
          <w:tcPr>
            <w:tcW w:w="4138" w:type="pct"/>
            <w:tcBorders>
              <w:top w:val="single" w:color="auto" w:sz="4" w:space="0"/>
              <w:left w:val="single" w:color="auto" w:sz="4" w:space="0"/>
              <w:bottom w:val="single" w:color="000000" w:sz="12" w:space="0"/>
              <w:right w:val="nil"/>
            </w:tcBorders>
            <w:shd w:val="clear" w:color="auto" w:fill="FFFFFF"/>
            <w:noWrap w:val="0"/>
            <w:tcMar>
              <w:top w:w="150" w:type="dxa"/>
              <w:left w:w="240" w:type="dxa"/>
              <w:bottom w:w="150" w:type="dxa"/>
              <w:right w:w="-1" w:type="dxa"/>
            </w:tcMar>
            <w:vAlign w:val="center"/>
          </w:tcPr>
          <w:p w14:paraId="18CAC7BB">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信号端子（弱电）与电源端子（强电）应使用</w:t>
            </w:r>
            <w:r>
              <w:rPr>
                <w:rFonts w:hint="eastAsia" w:ascii="宋体" w:hAnsi="宋体" w:eastAsia="宋体" w:cs="宋体"/>
                <w:b w:val="0"/>
                <w:bCs/>
                <w:color w:val="000000"/>
                <w:kern w:val="0"/>
                <w:sz w:val="21"/>
                <w:szCs w:val="21"/>
                <w:lang w:val="en-US" w:eastAsia="zh-CN" w:bidi="ar"/>
              </w:rPr>
              <w:t>不同颜色区分</w:t>
            </w:r>
            <w:r>
              <w:rPr>
                <w:rFonts w:hint="eastAsia" w:ascii="宋体" w:hAnsi="宋体" w:eastAsia="宋体" w:cs="宋体"/>
                <w:color w:val="000000"/>
                <w:kern w:val="0"/>
                <w:sz w:val="21"/>
                <w:szCs w:val="21"/>
                <w:lang w:val="en-US" w:eastAsia="zh-CN" w:bidi="ar"/>
              </w:rPr>
              <w:t>（如灰色用于信号，蓝色用于中性线，黄绿色用于地线）。</w:t>
            </w:r>
          </w:p>
        </w:tc>
      </w:tr>
    </w:tbl>
    <w:p w14:paraId="7D7E495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（3）</w:t>
      </w:r>
      <w:r>
        <w:rPr>
          <w:rFonts w:hint="default" w:ascii="宋体" w:hAnsi="宋体"/>
          <w:b/>
          <w:bCs/>
          <w:color w:val="auto"/>
          <w:sz w:val="21"/>
          <w:szCs w:val="21"/>
          <w:lang w:val="en-US" w:eastAsia="zh-CN"/>
        </w:rPr>
        <w:t>布线工艺与线缆标识</w:t>
      </w:r>
    </w:p>
    <w:p w14:paraId="026C0CB2">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屏蔽处理：模拟量信号线（AI/AO）及通讯线（RS485）必须使用双绞屏蔽电缆。屏蔽层应在控制柜侧单端接地，剥线时屏蔽层应拧成一股，套上热缩管后压接至接地排，严禁屏蔽线直接悬空或与模块0V端子短接。</w:t>
      </w:r>
    </w:p>
    <w:p w14:paraId="74EA00CE">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线径要求：</w:t>
      </w:r>
    </w:p>
    <w:p w14:paraId="21DFB06C">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开关电源进线使用≥2.5mm²多股铜线。</w:t>
      </w:r>
    </w:p>
    <w:p w14:paraId="3750FD3B">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继电器公共端使用≥1.5mm²多股铜线</w:t>
      </w:r>
    </w:p>
    <w:p w14:paraId="1111ED72">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I/O模块信号线、24V开关量输入输出：使或≥1.0mm²多股软线。</w:t>
      </w:r>
    </w:p>
    <w:p w14:paraId="035A497E">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pPr>
      <w:r>
        <w:rPr>
          <w:rFonts w:hint="eastAsia" w:ascii="宋体" w:hAnsi="宋体" w:eastAsia="宋体" w:cs="宋体"/>
          <w:sz w:val="21"/>
          <w:szCs w:val="21"/>
          <w:lang w:val="en-US" w:eastAsia="zh-CN"/>
        </w:rPr>
        <w:t>线号标识：每根导线两端都必须套上线号管（标记管）。线号管内容应包含“柜位号+端子号”或原理图位号（如：PLC1_AI_01）。线号管应清晰、朝向统一（水平线从左到右阅读，垂直线从下到上阅读）。</w:t>
      </w:r>
    </w:p>
    <w:p w14:paraId="53F211C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pPr>
      <w:r>
        <w:rPr>
          <w:rFonts w:hint="eastAsia" w:ascii="宋体" w:hAnsi="宋体"/>
          <w:b/>
          <w:bCs/>
          <w:color w:val="auto"/>
          <w:sz w:val="21"/>
          <w:szCs w:val="21"/>
          <w:lang w:val="en-US" w:eastAsia="zh-CN"/>
        </w:rPr>
        <w:t>（4）</w:t>
      </w:r>
      <w:r>
        <w:rPr>
          <w:rFonts w:hint="default" w:ascii="宋体" w:hAnsi="宋体"/>
          <w:b/>
          <w:bCs/>
          <w:color w:val="auto"/>
          <w:sz w:val="21"/>
          <w:szCs w:val="21"/>
          <w:lang w:val="en-US" w:eastAsia="zh-CN"/>
        </w:rPr>
        <w:t>散热与防尘措施</w:t>
      </w:r>
    </w:p>
    <w:p w14:paraId="1A30A1E0">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散热方式：若柜内发热量不大（仅PLC+电源），可依靠柜体自然对流，顶部需开设散热孔并加装防尘滤网。若安装有较大功率驱动器（如步进/伺服驱动器），必须加装轴流风扇（上出风），风扇电源应单独控制且具备故障报警接点。</w:t>
      </w:r>
    </w:p>
    <w:p w14:paraId="0F6542C7">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pPr>
      <w:r>
        <w:rPr>
          <w:rFonts w:hint="default" w:ascii="宋体" w:hAnsi="宋体" w:eastAsia="宋体" w:cs="宋体"/>
          <w:sz w:val="21"/>
          <w:szCs w:val="21"/>
          <w:lang w:val="en-US" w:eastAsia="zh-CN"/>
        </w:rPr>
        <w:t>防尘防水：柜门缝隙处应加装密封胶条。进线电缆孔必须使用电缆防水接头或防火泥封堵，防止灰尘和小动物进入。</w:t>
      </w:r>
    </w:p>
    <w:p w14:paraId="624CC620">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sz w:val="21"/>
          <w:szCs w:val="21"/>
          <w:lang w:val="en-US" w:eastAsia="zh-CN"/>
        </w:rPr>
      </w:pPr>
      <w:r>
        <w:rPr>
          <w:rFonts w:hint="eastAsia" w:ascii="宋体" w:hAnsi="宋体"/>
          <w:b/>
          <w:bCs/>
          <w:color w:val="auto"/>
          <w:sz w:val="21"/>
          <w:szCs w:val="21"/>
          <w:lang w:val="en-US" w:eastAsia="zh-CN"/>
        </w:rPr>
        <w:t>（5）</w:t>
      </w:r>
      <w:r>
        <w:rPr>
          <w:rFonts w:hint="default" w:ascii="宋体" w:hAnsi="宋体"/>
          <w:b/>
          <w:bCs/>
          <w:color w:val="auto"/>
          <w:sz w:val="21"/>
          <w:szCs w:val="21"/>
          <w:lang w:val="en-US" w:eastAsia="zh-CN"/>
        </w:rPr>
        <w:t>铭牌与面板标识</w:t>
      </w:r>
    </w:p>
    <w:p w14:paraId="4B3ED5DE">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铭牌：柜体正面必须有清晰的铭牌，标注制造单位、额定电压（AC 220/380V）、防护等级（IP40或IP54）、出厂编号及日期。</w:t>
      </w:r>
    </w:p>
    <w:p w14:paraId="50350DD4">
      <w:pPr>
        <w:pageBreakBefore w:val="0"/>
        <w:widowControl w:val="0"/>
        <w:numPr>
          <w:ilvl w:val="0"/>
          <w:numId w:val="5"/>
        </w:numPr>
        <w:kinsoku/>
        <w:wordWrap/>
        <w:overflowPunct/>
        <w:topLinePunct w:val="0"/>
        <w:autoSpaceDE/>
        <w:autoSpaceDN/>
        <w:bidi w:val="0"/>
        <w:adjustRightInd/>
        <w:spacing w:before="0" w:line="360" w:lineRule="auto"/>
        <w:ind w:firstLine="420" w:firstLineChars="200"/>
        <w:textAlignment w:val="auto"/>
      </w:pPr>
      <w:r>
        <w:rPr>
          <w:rFonts w:hint="default" w:ascii="宋体" w:hAnsi="宋体" w:eastAsia="宋体" w:cs="宋体"/>
          <w:sz w:val="21"/>
          <w:szCs w:val="21"/>
          <w:lang w:val="en-US" w:eastAsia="zh-CN"/>
        </w:rPr>
        <w:t>面板标识：柜门上所有指示灯、转换开关、触摸屏下方必须有中文/英文功能标牌</w:t>
      </w:r>
      <w:r>
        <w:rPr>
          <w:rFonts w:hint="eastAsia" w:ascii="宋体" w:hAnsi="宋体" w:cs="宋体"/>
          <w:sz w:val="21"/>
          <w:szCs w:val="21"/>
          <w:lang w:val="en-US" w:eastAsia="zh-CN"/>
        </w:rPr>
        <w:t>；</w:t>
      </w:r>
      <w:r>
        <w:rPr>
          <w:rFonts w:hint="default" w:ascii="宋体" w:hAnsi="宋体" w:eastAsia="宋体" w:cs="宋体"/>
          <w:sz w:val="21"/>
          <w:szCs w:val="21"/>
          <w:lang w:val="en-US" w:eastAsia="zh-CN"/>
        </w:rPr>
        <w:t>柜内所有PLC模块、电源、继电器底座必须有与图纸对应的永久性标签。</w:t>
      </w:r>
    </w:p>
    <w:p w14:paraId="0CB483BF">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（6）</w:t>
      </w:r>
      <w:r>
        <w:rPr>
          <w:rFonts w:hint="default" w:ascii="宋体" w:hAnsi="宋体"/>
          <w:b/>
          <w:bCs/>
          <w:color w:val="auto"/>
          <w:sz w:val="21"/>
          <w:szCs w:val="21"/>
          <w:lang w:val="en-US" w:eastAsia="zh-CN"/>
        </w:rPr>
        <w:t>出厂及现场验收试验</w:t>
      </w:r>
    </w:p>
    <w:p w14:paraId="736FA4E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sz w:val="21"/>
          <w:szCs w:val="21"/>
          <w:lang w:val="en-US" w:eastAsia="zh-CN"/>
        </w:rPr>
      </w:pPr>
      <w:r>
        <w:rPr>
          <w:rFonts w:hint="default"/>
          <w:sz w:val="21"/>
          <w:szCs w:val="21"/>
          <w:lang w:val="en-US" w:eastAsia="zh-CN"/>
        </w:rPr>
        <w:t>重点测试项目如下：</w:t>
      </w:r>
    </w:p>
    <w:tbl>
      <w:tblPr>
        <w:tblStyle w:val="19"/>
        <w:tblW w:w="4998" w:type="pct"/>
        <w:tblInd w:w="-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877"/>
        <w:gridCol w:w="7554"/>
      </w:tblGrid>
      <w:tr w14:paraId="1E678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995" w:type="pct"/>
            <w:tcBorders>
              <w:top w:val="single" w:color="auto" w:sz="12"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1EDB4D7C">
            <w:pPr>
              <w:keepNext w:val="0"/>
              <w:keepLines w:val="0"/>
              <w:widowControl/>
              <w:suppressLineNumbers w:val="0"/>
              <w:spacing w:line="240" w:lineRule="auto"/>
              <w:jc w:val="center"/>
              <w:rPr>
                <w:rFonts w:hint="eastAsia" w:ascii="宋体" w:hAnsi="宋体" w:eastAsia="宋体" w:cs="宋体"/>
                <w:b/>
                <w:bCs/>
                <w:sz w:val="21"/>
                <w:szCs w:val="21"/>
              </w:rPr>
            </w:pPr>
            <w:r>
              <w:rPr>
                <w:rFonts w:hint="eastAsia" w:ascii="宋体" w:hAnsi="宋体" w:eastAsia="宋体" w:cs="宋体"/>
                <w:b/>
                <w:bCs/>
                <w:kern w:val="0"/>
                <w:sz w:val="21"/>
                <w:szCs w:val="21"/>
                <w:lang w:val="en-US" w:eastAsia="zh-CN" w:bidi="ar"/>
              </w:rPr>
              <w:t>试验项目</w:t>
            </w:r>
          </w:p>
        </w:tc>
        <w:tc>
          <w:tcPr>
            <w:tcW w:w="4004" w:type="pct"/>
            <w:tcBorders>
              <w:top w:val="single" w:color="auto" w:sz="12" w:space="0"/>
              <w:left w:val="single" w:color="auto" w:sz="4" w:space="0"/>
              <w:bottom w:val="single" w:color="auto" w:sz="4" w:space="0"/>
              <w:right w:val="nil"/>
            </w:tcBorders>
            <w:shd w:val="clear" w:color="auto" w:fill="auto"/>
            <w:noWrap w:val="0"/>
            <w:tcMar>
              <w:top w:w="150" w:type="dxa"/>
              <w:left w:w="240" w:type="dxa"/>
              <w:bottom w:w="150" w:type="dxa"/>
              <w:right w:w="240" w:type="dxa"/>
            </w:tcMar>
            <w:vAlign w:val="center"/>
          </w:tcPr>
          <w:p w14:paraId="7700D518">
            <w:pPr>
              <w:keepNext w:val="0"/>
              <w:keepLines w:val="0"/>
              <w:widowControl/>
              <w:suppressLineNumbers w:val="0"/>
              <w:spacing w:line="240" w:lineRule="auto"/>
              <w:jc w:val="center"/>
              <w:rPr>
                <w:rFonts w:hint="eastAsia" w:ascii="宋体" w:hAnsi="宋体" w:eastAsia="宋体" w:cs="宋体"/>
                <w:b/>
                <w:bCs/>
                <w:sz w:val="21"/>
                <w:szCs w:val="21"/>
              </w:rPr>
            </w:pPr>
            <w:r>
              <w:rPr>
                <w:rFonts w:hint="eastAsia" w:ascii="宋体" w:hAnsi="宋体" w:eastAsia="宋体" w:cs="宋体"/>
                <w:b/>
                <w:bCs/>
                <w:kern w:val="0"/>
                <w:sz w:val="21"/>
                <w:szCs w:val="21"/>
                <w:lang w:val="en-US" w:eastAsia="zh-CN" w:bidi="ar"/>
              </w:rPr>
              <w:t>具体要求</w:t>
            </w:r>
          </w:p>
        </w:tc>
      </w:tr>
      <w:tr w14:paraId="6DBB0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95" w:type="pct"/>
            <w:tcBorders>
              <w:top w:val="single" w:color="auto" w:sz="4"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699A792A">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绝缘电阻测试</w:t>
            </w:r>
          </w:p>
        </w:tc>
        <w:tc>
          <w:tcPr>
            <w:tcW w:w="4004" w:type="pct"/>
            <w:tcBorders>
              <w:top w:val="single" w:color="auto" w:sz="4" w:space="0"/>
              <w:left w:val="single" w:color="auto" w:sz="4" w:space="0"/>
              <w:bottom w:val="single" w:color="auto" w:sz="4" w:space="0"/>
              <w:right w:val="nil"/>
            </w:tcBorders>
            <w:shd w:val="clear" w:color="auto" w:fill="auto"/>
            <w:noWrap w:val="0"/>
            <w:tcMar>
              <w:top w:w="150" w:type="dxa"/>
              <w:left w:w="240" w:type="dxa"/>
              <w:bottom w:w="150" w:type="dxa"/>
              <w:right w:w="-1" w:type="dxa"/>
            </w:tcMar>
            <w:vAlign w:val="center"/>
          </w:tcPr>
          <w:p w14:paraId="4CBDF74E">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必须注意</w:t>
            </w:r>
            <w:r>
              <w:rPr>
                <w:rFonts w:hint="eastAsia" w:ascii="宋体" w:hAnsi="宋体" w:eastAsia="宋体" w:cs="宋体"/>
                <w:kern w:val="0"/>
                <w:sz w:val="21"/>
                <w:szCs w:val="21"/>
                <w:lang w:val="en-US" w:eastAsia="zh-CN" w:bidi="ar"/>
              </w:rPr>
              <w:t>：测试前应</w:t>
            </w:r>
            <w:r>
              <w:rPr>
                <w:rFonts w:hint="eastAsia" w:ascii="宋体" w:hAnsi="宋体" w:eastAsia="宋体" w:cs="宋体"/>
                <w:b/>
                <w:bCs/>
                <w:kern w:val="0"/>
                <w:sz w:val="21"/>
                <w:szCs w:val="21"/>
                <w:lang w:val="en-US" w:eastAsia="zh-CN" w:bidi="ar"/>
              </w:rPr>
              <w:t>短接所有PLC输入输出端</w:t>
            </w:r>
            <w:r>
              <w:rPr>
                <w:rFonts w:hint="eastAsia" w:ascii="宋体" w:hAnsi="宋体" w:eastAsia="宋体" w:cs="宋体"/>
                <w:kern w:val="0"/>
                <w:sz w:val="21"/>
                <w:szCs w:val="21"/>
                <w:lang w:val="en-US" w:eastAsia="zh-CN" w:bidi="ar"/>
              </w:rPr>
              <w:t>或</w:t>
            </w:r>
            <w:r>
              <w:rPr>
                <w:rFonts w:hint="eastAsia" w:ascii="宋体" w:hAnsi="宋体" w:eastAsia="宋体" w:cs="宋体"/>
                <w:b/>
                <w:bCs/>
                <w:kern w:val="0"/>
                <w:sz w:val="21"/>
                <w:szCs w:val="21"/>
                <w:lang w:val="en-US" w:eastAsia="zh-CN" w:bidi="ar"/>
              </w:rPr>
              <w:t>断开PLC电源线</w:t>
            </w:r>
            <w:r>
              <w:rPr>
                <w:rFonts w:hint="eastAsia" w:ascii="宋体" w:hAnsi="宋体" w:eastAsia="宋体" w:cs="宋体"/>
                <w:kern w:val="0"/>
                <w:sz w:val="21"/>
                <w:szCs w:val="21"/>
                <w:lang w:val="en-US" w:eastAsia="zh-CN" w:bidi="ar"/>
              </w:rPr>
              <w:t>！使用500V兆欧表测量（电源进线回路与地之间），绝缘电阻应 &gt;</w:t>
            </w:r>
            <w:r>
              <w:rPr>
                <w:rFonts w:hint="eastAsia" w:ascii="宋体" w:hAnsi="宋体" w:eastAsia="宋体" w:cs="宋体"/>
                <w:b/>
                <w:bCs/>
                <w:kern w:val="0"/>
                <w:sz w:val="21"/>
                <w:szCs w:val="21"/>
                <w:lang w:val="en-US" w:eastAsia="zh-CN" w:bidi="ar"/>
              </w:rPr>
              <w:t>20MΩ</w:t>
            </w:r>
            <w:r>
              <w:rPr>
                <w:rFonts w:hint="eastAsia" w:ascii="宋体" w:hAnsi="宋体" w:eastAsia="宋体" w:cs="宋体"/>
                <w:kern w:val="0"/>
                <w:sz w:val="21"/>
                <w:szCs w:val="21"/>
                <w:lang w:val="en-US" w:eastAsia="zh-CN" w:bidi="ar"/>
              </w:rPr>
              <w:t>（严禁用高压摇表直接打PLC模块端子，极易击穿）。</w:t>
            </w:r>
          </w:p>
        </w:tc>
      </w:tr>
      <w:tr w14:paraId="29DE1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95" w:type="pct"/>
            <w:tcBorders>
              <w:top w:val="single" w:color="auto" w:sz="4"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19031273">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供电测试</w:t>
            </w:r>
          </w:p>
        </w:tc>
        <w:tc>
          <w:tcPr>
            <w:tcW w:w="4004" w:type="pct"/>
            <w:tcBorders>
              <w:top w:val="single" w:color="auto" w:sz="4" w:space="0"/>
              <w:left w:val="single" w:color="auto" w:sz="4" w:space="0"/>
              <w:bottom w:val="single" w:color="auto" w:sz="4" w:space="0"/>
              <w:right w:val="nil"/>
            </w:tcBorders>
            <w:shd w:val="clear" w:color="auto" w:fill="auto"/>
            <w:noWrap w:val="0"/>
            <w:tcMar>
              <w:top w:w="150" w:type="dxa"/>
              <w:left w:w="240" w:type="dxa"/>
              <w:bottom w:w="150" w:type="dxa"/>
              <w:right w:w="-1" w:type="dxa"/>
            </w:tcMar>
            <w:vAlign w:val="center"/>
          </w:tcPr>
          <w:p w14:paraId="47138896">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检查开关电源输出是否稳定（24V ±5%），纹波系数是否满足控制器要求（一般 &lt; 100mV）。</w:t>
            </w:r>
          </w:p>
        </w:tc>
      </w:tr>
      <w:tr w14:paraId="5E32A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95" w:type="pct"/>
            <w:tcBorders>
              <w:top w:val="single" w:color="auto" w:sz="4"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6243B552">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I/O通道校验</w:t>
            </w:r>
          </w:p>
        </w:tc>
        <w:tc>
          <w:tcPr>
            <w:tcW w:w="4004" w:type="pct"/>
            <w:tcBorders>
              <w:top w:val="single" w:color="auto" w:sz="4" w:space="0"/>
              <w:left w:val="single" w:color="auto" w:sz="4" w:space="0"/>
              <w:bottom w:val="single" w:color="auto" w:sz="4" w:space="0"/>
              <w:right w:val="nil"/>
            </w:tcBorders>
            <w:shd w:val="clear" w:color="auto" w:fill="auto"/>
            <w:noWrap w:val="0"/>
            <w:tcMar>
              <w:top w:w="150" w:type="dxa"/>
              <w:left w:w="240" w:type="dxa"/>
              <w:bottom w:w="150" w:type="dxa"/>
              <w:right w:w="-1" w:type="dxa"/>
            </w:tcMar>
            <w:vAlign w:val="center"/>
          </w:tcPr>
          <w:p w14:paraId="1703C944">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逐个短接/断开数字量输入点，逐个给定4-20mA标准信号源校验模拟量，确保上位机读数与现场实际值误差在允许范围内。</w:t>
            </w:r>
          </w:p>
        </w:tc>
      </w:tr>
      <w:tr w14:paraId="010BC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995" w:type="pct"/>
            <w:tcBorders>
              <w:top w:val="single" w:color="auto" w:sz="4" w:space="0"/>
              <w:left w:val="nil"/>
              <w:bottom w:val="single" w:color="auto" w:sz="12" w:space="0"/>
              <w:right w:val="single" w:color="auto" w:sz="4" w:space="0"/>
            </w:tcBorders>
            <w:shd w:val="clear" w:color="auto" w:fill="auto"/>
            <w:noWrap w:val="0"/>
            <w:tcMar>
              <w:top w:w="150" w:type="dxa"/>
              <w:left w:w="-1" w:type="dxa"/>
              <w:bottom w:w="150" w:type="dxa"/>
              <w:right w:w="240" w:type="dxa"/>
            </w:tcMar>
            <w:vAlign w:val="center"/>
          </w:tcPr>
          <w:p w14:paraId="38943409">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接地连续性</w:t>
            </w:r>
          </w:p>
        </w:tc>
        <w:tc>
          <w:tcPr>
            <w:tcW w:w="4004" w:type="pct"/>
            <w:tcBorders>
              <w:top w:val="single" w:color="auto" w:sz="4" w:space="0"/>
              <w:left w:val="single" w:color="auto" w:sz="4" w:space="0"/>
              <w:bottom w:val="single" w:color="auto" w:sz="12" w:space="0"/>
              <w:right w:val="nil"/>
            </w:tcBorders>
            <w:shd w:val="clear" w:color="auto" w:fill="auto"/>
            <w:noWrap w:val="0"/>
            <w:tcMar>
              <w:top w:w="150" w:type="dxa"/>
              <w:left w:w="240" w:type="dxa"/>
              <w:bottom w:w="150" w:type="dxa"/>
              <w:right w:w="-1" w:type="dxa"/>
            </w:tcMar>
            <w:vAlign w:val="center"/>
          </w:tcPr>
          <w:p w14:paraId="3E5A6C62">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用万用表测量柜体门与接地母排之间的电阻，应 &lt; 0.1Ω。</w:t>
            </w:r>
          </w:p>
        </w:tc>
      </w:tr>
    </w:tbl>
    <w:p w14:paraId="6BCD60C4">
      <w:pPr>
        <w:pStyle w:val="5"/>
        <w:pageBreakBefore w:val="0"/>
        <w:widowControl w:val="0"/>
        <w:numPr>
          <w:ilvl w:val="0"/>
          <w:numId w:val="4"/>
        </w:numPr>
        <w:kinsoku/>
        <w:wordWrap/>
        <w:overflowPunct/>
        <w:topLinePunct w:val="0"/>
        <w:autoSpaceDE/>
        <w:autoSpaceDN/>
        <w:bidi w:val="0"/>
        <w:adjustRightInd/>
        <w:spacing w:line="360" w:lineRule="auto"/>
        <w:ind w:left="0" w:leftChars="0" w:firstLine="422" w:firstLineChars="200"/>
        <w:textAlignment w:val="auto"/>
        <w:rPr>
          <w:rFonts w:hint="eastAsia" w:ascii="宋体" w:hAnsi="宋体"/>
          <w:b/>
          <w:bCs/>
          <w:color w:val="auto"/>
          <w:sz w:val="21"/>
          <w:szCs w:val="21"/>
        </w:rPr>
      </w:pPr>
      <w:r>
        <w:rPr>
          <w:rFonts w:hint="eastAsia" w:ascii="宋体" w:hAnsi="宋体"/>
          <w:b/>
          <w:bCs/>
          <w:color w:val="auto"/>
          <w:sz w:val="21"/>
          <w:szCs w:val="21"/>
          <w:lang w:val="en-US" w:eastAsia="zh-CN"/>
        </w:rPr>
        <w:t>CPU控制器</w:t>
      </w:r>
    </w:p>
    <w:p w14:paraId="771168E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供电电压：AC 85 ~ 264 V</w:t>
      </w:r>
    </w:p>
    <w:p w14:paraId="36E02500">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电源频率：47 ~ 63 Hz</w:t>
      </w:r>
    </w:p>
    <w:p w14:paraId="61742484">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功耗：14 W （最大）</w:t>
      </w:r>
    </w:p>
    <w:p w14:paraId="39310BA6">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冲击电流 （最大）：8.9 A (264 V 时）</w:t>
      </w:r>
    </w:p>
    <w:p w14:paraId="5B5979C3">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b/>
          <w:bCs w:val="0"/>
          <w:color w:val="FF0000"/>
          <w:sz w:val="21"/>
          <w:szCs w:val="21"/>
          <w:highlight w:val="yellow"/>
        </w:rPr>
      </w:pPr>
      <w:r>
        <w:rPr>
          <w:rFonts w:hint="eastAsia"/>
          <w:b/>
          <w:bCs w:val="0"/>
          <w:color w:val="FF0000"/>
          <w:szCs w:val="21"/>
          <w:highlight w:val="yellow"/>
        </w:rPr>
        <w:t>★</w:t>
      </w:r>
      <w:r>
        <w:rPr>
          <w:rFonts w:hint="eastAsia" w:ascii="宋体" w:hAnsi="宋体"/>
          <w:b/>
          <w:bCs w:val="0"/>
          <w:color w:val="FF0000"/>
          <w:sz w:val="21"/>
          <w:szCs w:val="21"/>
          <w:highlight w:val="yellow"/>
          <w:lang w:val="en-US" w:eastAsia="zh-CN"/>
        </w:rPr>
        <w:t>程序容量（储存器）：18 K，提供产品样册或官网截图等证明资料。</w:t>
      </w:r>
    </w:p>
    <w:p w14:paraId="63B96A6D">
      <w:pPr>
        <w:pStyle w:val="5"/>
        <w:pageBreakBefore w:val="0"/>
        <w:widowControl w:val="0"/>
        <w:numPr>
          <w:ilvl w:val="0"/>
          <w:numId w:val="4"/>
        </w:numPr>
        <w:kinsoku/>
        <w:wordWrap/>
        <w:overflowPunct/>
        <w:topLinePunct w:val="0"/>
        <w:autoSpaceDE/>
        <w:autoSpaceDN/>
        <w:bidi w:val="0"/>
        <w:adjustRightInd/>
        <w:spacing w:line="360" w:lineRule="auto"/>
        <w:ind w:left="0" w:leftChars="0" w:firstLine="422" w:firstLineChars="200"/>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控制器扩展模块</w:t>
      </w:r>
    </w:p>
    <w:p w14:paraId="151F334D">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扩展DI模块：单个模块小于或等于16路输入，24VDC</w:t>
      </w:r>
    </w:p>
    <w:p w14:paraId="13BD71C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扩展DO模块：单个模块小于或等于16路输出，24VDC</w:t>
      </w:r>
    </w:p>
    <w:p w14:paraId="6F659861">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b/>
          <w:bCs/>
          <w:color w:val="auto"/>
          <w:sz w:val="21"/>
          <w:szCs w:val="21"/>
          <w:lang w:val="en-US" w:eastAsia="zh-CN"/>
        </w:rPr>
        <w:t>▲</w:t>
      </w:r>
      <w:r>
        <w:rPr>
          <w:rFonts w:hint="eastAsia" w:ascii="宋体" w:hAnsi="宋体"/>
          <w:color w:val="auto"/>
          <w:sz w:val="21"/>
          <w:szCs w:val="21"/>
          <w:lang w:val="en-US" w:eastAsia="zh-CN"/>
        </w:rPr>
        <w:t>扩展AI模块：单个模块小于或等于8路输入，16位精度</w:t>
      </w:r>
    </w:p>
    <w:p w14:paraId="66023AB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扩展AO模块：单个模块小于或等于8路输出，16位精度</w:t>
      </w:r>
    </w:p>
    <w:p w14:paraId="10D5DFEE">
      <w:pPr>
        <w:pStyle w:val="5"/>
        <w:pageBreakBefore w:val="0"/>
        <w:widowControl w:val="0"/>
        <w:numPr>
          <w:ilvl w:val="0"/>
          <w:numId w:val="4"/>
        </w:numPr>
        <w:kinsoku/>
        <w:wordWrap/>
        <w:overflowPunct/>
        <w:topLinePunct w:val="0"/>
        <w:autoSpaceDE/>
        <w:autoSpaceDN/>
        <w:bidi w:val="0"/>
        <w:adjustRightInd/>
        <w:spacing w:line="360" w:lineRule="auto"/>
        <w:ind w:left="0" w:leftChars="0" w:firstLine="422" w:firstLineChars="200"/>
        <w:textAlignment w:val="auto"/>
        <w:rPr>
          <w:rFonts w:hint="eastAsia" w:ascii="宋体" w:hAnsi="宋体"/>
          <w:b/>
          <w:bCs/>
          <w:color w:val="auto"/>
          <w:sz w:val="21"/>
          <w:szCs w:val="21"/>
        </w:rPr>
      </w:pPr>
      <w:r>
        <w:rPr>
          <w:rFonts w:hint="eastAsia" w:ascii="宋体" w:hAnsi="宋体"/>
          <w:b/>
          <w:bCs/>
          <w:color w:val="auto"/>
          <w:sz w:val="21"/>
          <w:szCs w:val="21"/>
          <w:lang w:eastAsia="zh-CN"/>
        </w:rPr>
        <w:t>温湿度传感器</w:t>
      </w:r>
    </w:p>
    <w:p w14:paraId="0C9A5A0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rPr>
      </w:pPr>
      <w:r>
        <w:rPr>
          <w:rFonts w:hint="eastAsia" w:ascii="宋体" w:hAnsi="宋体"/>
          <w:color w:val="auto"/>
          <w:sz w:val="21"/>
          <w:szCs w:val="21"/>
        </w:rPr>
        <w:t>输出信号：</w:t>
      </w:r>
      <w:r>
        <w:rPr>
          <w:rFonts w:hint="eastAsia" w:ascii="宋体" w:hAnsi="宋体"/>
          <w:color w:val="auto"/>
          <w:sz w:val="21"/>
          <w:szCs w:val="21"/>
          <w:lang w:val="en-US" w:eastAsia="zh-CN"/>
        </w:rPr>
        <w:t>4-20mA/</w:t>
      </w:r>
      <w:r>
        <w:rPr>
          <w:rFonts w:hint="eastAsia" w:ascii="宋体" w:hAnsi="宋体"/>
          <w:color w:val="auto"/>
          <w:sz w:val="21"/>
          <w:szCs w:val="21"/>
        </w:rPr>
        <w:t>0-10V</w:t>
      </w:r>
    </w:p>
    <w:p w14:paraId="67A010A5">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highlight w:val="none"/>
          <w:lang w:val="en-US" w:eastAsia="zh-CN"/>
        </w:rPr>
      </w:pPr>
      <w:r>
        <w:rPr>
          <w:rFonts w:hint="eastAsia" w:ascii="宋体" w:hAnsi="宋体"/>
          <w:b/>
          <w:bCs/>
          <w:color w:val="FF0000"/>
          <w:sz w:val="21"/>
          <w:szCs w:val="21"/>
          <w:highlight w:val="none"/>
          <w:lang w:val="en-US" w:eastAsia="zh-CN"/>
        </w:rPr>
        <w:t>▲</w:t>
      </w:r>
      <w:r>
        <w:rPr>
          <w:rFonts w:hint="eastAsia" w:ascii="宋体" w:hAnsi="宋体"/>
          <w:b/>
          <w:bCs/>
          <w:color w:val="FF0000"/>
          <w:sz w:val="21"/>
          <w:szCs w:val="21"/>
          <w:highlight w:val="none"/>
        </w:rPr>
        <w:t>精度</w:t>
      </w:r>
      <w:r>
        <w:rPr>
          <w:rFonts w:hint="eastAsia" w:ascii="宋体" w:hAnsi="宋体"/>
          <w:b/>
          <w:bCs/>
          <w:color w:val="FF0000"/>
          <w:sz w:val="21"/>
          <w:szCs w:val="21"/>
          <w:highlight w:val="none"/>
          <w:lang w:eastAsia="zh-CN"/>
        </w:rPr>
        <w:t>：</w:t>
      </w:r>
      <w:r>
        <w:rPr>
          <w:rFonts w:hint="eastAsia" w:ascii="宋体" w:hAnsi="宋体"/>
          <w:b/>
          <w:bCs/>
          <w:color w:val="FF0000"/>
          <w:sz w:val="21"/>
          <w:szCs w:val="21"/>
          <w:highlight w:val="none"/>
          <w:lang w:val="en-US" w:eastAsia="zh-CN"/>
        </w:rPr>
        <w:t>典型值±</w:t>
      </w:r>
      <w:r>
        <w:rPr>
          <w:rFonts w:hint="eastAsia" w:ascii="宋体" w:hAnsi="宋体"/>
          <w:b/>
          <w:bCs/>
          <w:color w:val="FF0000"/>
          <w:sz w:val="21"/>
          <w:szCs w:val="21"/>
          <w:highlight w:val="none"/>
        </w:rPr>
        <w:t>3％</w:t>
      </w:r>
      <w:r>
        <w:rPr>
          <w:rFonts w:hint="eastAsia" w:ascii="宋体" w:hAnsi="宋体"/>
          <w:b/>
          <w:bCs/>
          <w:color w:val="FF0000"/>
          <w:sz w:val="21"/>
          <w:szCs w:val="21"/>
          <w:highlight w:val="none"/>
          <w:lang w:val="en-US" w:eastAsia="zh-CN"/>
        </w:rPr>
        <w:t>RH,±0.5℃，提供产品样册等证明资料。</w:t>
      </w:r>
    </w:p>
    <w:p w14:paraId="6EC384C2">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rPr>
      </w:pPr>
      <w:r>
        <w:rPr>
          <w:rFonts w:hint="eastAsia"/>
          <w:b/>
          <w:color w:val="FF0000"/>
          <w:szCs w:val="21"/>
          <w:highlight w:val="yellow"/>
        </w:rPr>
        <w:t>★</w:t>
      </w:r>
      <w:r>
        <w:rPr>
          <w:rFonts w:hint="eastAsia" w:ascii="宋体" w:hAnsi="宋体"/>
          <w:color w:val="auto"/>
          <w:sz w:val="21"/>
          <w:szCs w:val="21"/>
          <w:highlight w:val="yellow"/>
          <w:lang w:eastAsia="zh-CN"/>
        </w:rPr>
        <w:t>适用范围</w:t>
      </w:r>
      <w:r>
        <w:rPr>
          <w:rFonts w:hint="eastAsia" w:ascii="宋体" w:hAnsi="宋体"/>
          <w:color w:val="auto"/>
          <w:sz w:val="21"/>
          <w:szCs w:val="21"/>
          <w:highlight w:val="yellow"/>
        </w:rPr>
        <w:t>：-5℃~+5</w:t>
      </w:r>
      <w:r>
        <w:rPr>
          <w:rFonts w:hint="eastAsia" w:ascii="宋体" w:hAnsi="宋体"/>
          <w:color w:val="auto"/>
          <w:sz w:val="21"/>
          <w:szCs w:val="21"/>
          <w:highlight w:val="yellow"/>
          <w:lang w:val="en-US" w:eastAsia="zh-CN"/>
        </w:rPr>
        <w:t>5</w:t>
      </w:r>
      <w:r>
        <w:rPr>
          <w:rFonts w:hint="eastAsia" w:ascii="宋体" w:hAnsi="宋体"/>
          <w:color w:val="auto"/>
          <w:sz w:val="21"/>
          <w:szCs w:val="21"/>
          <w:highlight w:val="yellow"/>
        </w:rPr>
        <w:t>℃/</w:t>
      </w:r>
      <w:r>
        <w:rPr>
          <w:rFonts w:hint="eastAsia" w:ascii="宋体" w:hAnsi="宋体"/>
          <w:color w:val="auto"/>
          <w:sz w:val="21"/>
          <w:szCs w:val="21"/>
          <w:highlight w:val="yellow"/>
          <w:lang w:eastAsia="zh-CN"/>
        </w:rPr>
        <w:t>0～95％</w:t>
      </w:r>
      <w:r>
        <w:rPr>
          <w:rFonts w:hint="eastAsia" w:ascii="宋体" w:hAnsi="宋体"/>
          <w:color w:val="auto"/>
          <w:sz w:val="21"/>
          <w:szCs w:val="21"/>
          <w:highlight w:val="yellow"/>
        </w:rPr>
        <w:t>相对湿度</w:t>
      </w:r>
    </w:p>
    <w:p w14:paraId="0DBB004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color w:val="auto"/>
          <w:sz w:val="21"/>
          <w:szCs w:val="21"/>
          <w:lang w:val="en-US" w:eastAsia="zh-CN"/>
        </w:rPr>
        <w:t>防护等级：IP30</w:t>
      </w:r>
    </w:p>
    <w:p w14:paraId="10D72E5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422"/>
        <w:textAlignment w:val="auto"/>
        <w:rPr>
          <w:rFonts w:hint="eastAsia" w:ascii="宋体" w:hAnsi="宋体"/>
          <w:color w:val="auto"/>
          <w:sz w:val="21"/>
          <w:szCs w:val="21"/>
          <w:lang w:val="en-US" w:eastAsia="zh-CN"/>
        </w:rPr>
      </w:pPr>
      <w:r>
        <w:rPr>
          <w:rFonts w:hint="eastAsia" w:ascii="宋体" w:hAnsi="宋体"/>
          <w:b/>
          <w:bCs/>
          <w:color w:val="FF0000"/>
          <w:sz w:val="21"/>
          <w:szCs w:val="21"/>
          <w:highlight w:val="none"/>
          <w:lang w:val="en-US" w:eastAsia="zh-CN"/>
        </w:rPr>
        <w:t>▲其他：带本地显示，提供产品样册等证明资料。</w:t>
      </w:r>
    </w:p>
    <w:p w14:paraId="5E5C3D2E">
      <w:pPr>
        <w:pStyle w:val="24"/>
        <w:rPr>
          <w:rFonts w:hint="eastAsia"/>
        </w:rPr>
      </w:pPr>
    </w:p>
    <w:p w14:paraId="0978E2BD">
      <w:pPr>
        <w:numPr>
          <w:ilvl w:val="-1"/>
          <w:numId w:val="0"/>
        </w:numPr>
        <w:spacing w:line="240" w:lineRule="auto"/>
        <w:ind w:firstLine="0" w:firstLineChars="0"/>
        <w:jc w:val="left"/>
        <w:rPr>
          <w:rFonts w:hint="eastAsia" w:asciiTheme="minorEastAsia" w:hAnsiTheme="minorEastAsia" w:cstheme="minorEastAsia"/>
          <w:b/>
          <w:highlight w:val="none"/>
        </w:rPr>
      </w:pPr>
      <w:r>
        <w:rPr>
          <w:rFonts w:hint="eastAsia" w:asciiTheme="minorEastAsia" w:hAnsiTheme="minorEastAsia" w:cstheme="minorEastAsia"/>
          <w:b/>
          <w:highlight w:val="none"/>
        </w:rPr>
        <w:br w:type="page"/>
      </w:r>
    </w:p>
    <w:p w14:paraId="169FD1BA">
      <w:pPr>
        <w:numPr>
          <w:ilvl w:val="0"/>
          <w:numId w:val="6"/>
        </w:numPr>
        <w:spacing w:line="560" w:lineRule="exact"/>
        <w:ind w:firstLine="482" w:firstLineChars="200"/>
        <w:jc w:val="both"/>
        <w:rPr>
          <w:rFonts w:hint="eastAsia" w:asciiTheme="minorEastAsia" w:hAnsiTheme="minorEastAsia" w:cstheme="minorEastAsia"/>
          <w:b/>
          <w:highlight w:val="none"/>
        </w:rPr>
      </w:pPr>
      <w:r>
        <w:rPr>
          <w:rFonts w:hint="eastAsia" w:asciiTheme="minorEastAsia" w:hAnsiTheme="minorEastAsia" w:cstheme="minorEastAsia"/>
          <w:b/>
          <w:highlight w:val="none"/>
        </w:rPr>
        <w:t>商务要求</w:t>
      </w:r>
    </w:p>
    <w:p w14:paraId="3302E09E">
      <w:pPr>
        <w:spacing w:line="360" w:lineRule="auto"/>
        <w:ind w:firstLine="442" w:firstLineChars="200"/>
        <w:rPr>
          <w:rFonts w:hint="eastAsia"/>
          <w:b/>
          <w:sz w:val="22"/>
          <w:szCs w:val="21"/>
        </w:rPr>
      </w:pPr>
      <w:r>
        <w:rPr>
          <w:rFonts w:hint="eastAsia"/>
          <w:b/>
          <w:sz w:val="22"/>
          <w:szCs w:val="21"/>
        </w:rPr>
        <w:t>说明：带★号条款为不可偏离条款，不作为评分准则中的评分内容，如未响应或出现负偏离的，将作投标无效处理；带“</w:t>
      </w:r>
      <w:r>
        <w:rPr>
          <w:b/>
          <w:sz w:val="22"/>
          <w:szCs w:val="21"/>
        </w:rPr>
        <w:t>▲</w:t>
      </w:r>
      <w:r>
        <w:rPr>
          <w:rFonts w:hint="eastAsia"/>
          <w:b/>
          <w:sz w:val="22"/>
          <w:szCs w:val="21"/>
        </w:rPr>
        <w:t>”指标项为重要参数，负偏离时依相关评分准则内容作重点扣分处理。</w:t>
      </w:r>
      <w:bookmarkStart w:id="25" w:name="_Toc21232"/>
    </w:p>
    <w:p w14:paraId="7A7AAE46">
      <w:pPr>
        <w:keepNext w:val="0"/>
        <w:keepLines w:val="0"/>
        <w:widowControl/>
        <w:suppressLineNumbers w:val="0"/>
        <w:spacing w:line="360" w:lineRule="auto"/>
        <w:ind w:firstLine="211" w:firstLineChars="100"/>
        <w:jc w:val="left"/>
        <w:rPr>
          <w:rFonts w:hint="eastAsia" w:ascii="宋体" w:hAnsi="宋体" w:eastAsia="宋体" w:cs="宋体"/>
          <w:color w:val="auto"/>
          <w:kern w:val="0"/>
          <w:sz w:val="21"/>
          <w:szCs w:val="21"/>
          <w:lang w:val="en-US" w:eastAsia="zh-CN" w:bidi="ar"/>
        </w:rPr>
      </w:pPr>
      <w:r>
        <w:rPr>
          <w:rFonts w:hint="eastAsia" w:ascii="宋体" w:hAnsi="宋体" w:eastAsia="宋体" w:cs="宋体"/>
          <w:b/>
          <w:bCs w:val="0"/>
          <w:color w:val="auto"/>
          <w:sz w:val="21"/>
          <w:szCs w:val="21"/>
        </w:rPr>
        <w:t>★</w:t>
      </w:r>
      <w:r>
        <w:rPr>
          <w:rFonts w:hint="eastAsia" w:ascii="宋体" w:hAnsi="宋体" w:eastAsia="宋体" w:cs="宋体"/>
          <w:b/>
          <w:bCs w:val="0"/>
          <w:color w:val="auto"/>
          <w:kern w:val="0"/>
          <w:sz w:val="21"/>
          <w:szCs w:val="21"/>
          <w:lang w:val="en-US" w:eastAsia="zh-CN" w:bidi="ar"/>
        </w:rPr>
        <w:t>1、履约时间：</w:t>
      </w:r>
      <w:r>
        <w:rPr>
          <w:rFonts w:hint="eastAsia" w:ascii="宋体" w:hAnsi="宋体" w:eastAsia="宋体" w:cs="宋体"/>
          <w:color w:val="auto"/>
          <w:kern w:val="0"/>
          <w:sz w:val="21"/>
          <w:szCs w:val="21"/>
          <w:lang w:val="en-US" w:eastAsia="zh-CN" w:bidi="ar"/>
        </w:rPr>
        <w:t>合同签订后60日历天内完成整个工程的工程量并且合格。每逾期1天，承担1000元/天的违约金。</w:t>
      </w:r>
    </w:p>
    <w:p w14:paraId="7A4253F1">
      <w:pPr>
        <w:keepNext w:val="0"/>
        <w:keepLines w:val="0"/>
        <w:widowControl/>
        <w:suppressLineNumbers w:val="0"/>
        <w:spacing w:line="360" w:lineRule="auto"/>
        <w:ind w:firstLine="422"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b/>
          <w:bCs/>
          <w:color w:val="auto"/>
          <w:kern w:val="0"/>
          <w:sz w:val="21"/>
          <w:szCs w:val="21"/>
          <w:lang w:val="en-US" w:eastAsia="zh-CN" w:bidi="ar"/>
        </w:rPr>
        <w:t>2、履约地点：</w:t>
      </w:r>
      <w:r>
        <w:rPr>
          <w:rFonts w:hint="eastAsia" w:ascii="宋体" w:hAnsi="宋体" w:eastAsia="宋体" w:cs="宋体"/>
          <w:color w:val="auto"/>
          <w:kern w:val="0"/>
          <w:sz w:val="21"/>
          <w:szCs w:val="21"/>
          <w:lang w:val="en-US" w:eastAsia="zh-CN" w:bidi="ar"/>
        </w:rPr>
        <w:t>深圳市龙岗区耳鼻咽喉医院。</w:t>
      </w:r>
    </w:p>
    <w:p w14:paraId="2D968BE1">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3、双方在执行合同中所发生的一切争议，应通过协商解决。如协商不成，可向甲方所在地法院起诉。</w:t>
      </w:r>
    </w:p>
    <w:p w14:paraId="3B8A151B">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4、投标人应彻底自行踏勘现场，以充分了解项目位置、交通状况以及工作范围等任何足以影响其报价的情况。任何忽视或误解项目基本情况，而使采购人在项目实施过程中蒙受的损失，将由投标人进行赔偿。安装现场实际情况：现状道路通畅；交通便利，有道路通入安装场地；</w:t>
      </w:r>
    </w:p>
    <w:p w14:paraId="13DFE97D">
      <w:pPr>
        <w:pStyle w:val="2"/>
        <w:rPr>
          <w:rFonts w:hint="default" w:eastAsiaTheme="minorEastAsia"/>
          <w:lang w:val="en-US" w:eastAsia="zh-CN"/>
        </w:rPr>
      </w:pPr>
      <w:r>
        <w:rPr>
          <w:rFonts w:hint="eastAsia" w:ascii="宋体" w:hAnsi="宋体" w:eastAsia="宋体" w:cs="宋体"/>
          <w:b/>
          <w:bCs/>
          <w:color w:val="auto"/>
          <w:kern w:val="0"/>
          <w:sz w:val="21"/>
          <w:szCs w:val="21"/>
          <w:highlight w:val="yellow"/>
          <w:lang w:val="en-US" w:eastAsia="zh-CN" w:bidi="ar"/>
        </w:rPr>
        <w:t>踏勘联系人及联系方式：</w:t>
      </w:r>
      <w:r>
        <w:rPr>
          <w:rFonts w:hint="eastAsia"/>
          <w:b/>
          <w:bCs/>
          <w:sz w:val="21"/>
          <w:szCs w:val="21"/>
          <w:highlight w:val="yellow"/>
          <w:lang w:val="en-US" w:eastAsia="zh-CN"/>
        </w:rPr>
        <w:t>胡老师 13428977531</w:t>
      </w:r>
    </w:p>
    <w:p w14:paraId="066DAE20">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b w:val="0"/>
          <w:bCs/>
          <w:color w:val="auto"/>
          <w:sz w:val="21"/>
          <w:szCs w:val="21"/>
        </w:rPr>
        <w:t>★</w:t>
      </w:r>
      <w:r>
        <w:rPr>
          <w:rFonts w:hint="eastAsia" w:ascii="宋体" w:hAnsi="宋体" w:eastAsia="宋体" w:cs="宋体"/>
          <w:bCs/>
          <w:color w:val="auto"/>
          <w:kern w:val="0"/>
          <w:sz w:val="21"/>
          <w:szCs w:val="21"/>
          <w:lang w:val="en-US" w:eastAsia="zh-CN" w:bidi="ar"/>
        </w:rPr>
        <w:t>5、质保期：2年。</w:t>
      </w:r>
    </w:p>
    <w:p w14:paraId="7EAA374E">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6、投标人应仔细核对项目需求清单</w:t>
      </w:r>
      <w:r>
        <w:rPr>
          <w:rFonts w:hint="eastAsia" w:ascii="宋体" w:hAnsi="宋体" w:eastAsia="宋体" w:cs="宋体"/>
          <w:b/>
          <w:bCs/>
          <w:color w:val="auto"/>
          <w:kern w:val="0"/>
          <w:sz w:val="21"/>
          <w:szCs w:val="21"/>
          <w:lang w:val="en-US" w:eastAsia="zh-CN" w:bidi="ar"/>
        </w:rPr>
        <w:t>（第三章 用户需求书 二、货物明细）</w:t>
      </w:r>
      <w:r>
        <w:rPr>
          <w:rFonts w:hint="eastAsia" w:ascii="宋体" w:hAnsi="宋体" w:eastAsia="宋体" w:cs="宋体"/>
          <w:color w:val="auto"/>
          <w:kern w:val="0"/>
          <w:sz w:val="21"/>
          <w:szCs w:val="21"/>
          <w:lang w:val="en-US" w:eastAsia="zh-CN" w:bidi="ar"/>
        </w:rPr>
        <w:t>，核对内容包括清单数量、清单特征、计量单位等，并将疑问在提问截止时间书面提出，如未提出任何疑问，则视为对采购人提供的项目需求清单不存在问题。</w:t>
      </w:r>
    </w:p>
    <w:p w14:paraId="1759CF09">
      <w:pPr>
        <w:keepNext w:val="0"/>
        <w:keepLines w:val="0"/>
        <w:widowControl/>
        <w:suppressLineNumbers w:val="0"/>
        <w:spacing w:line="360" w:lineRule="auto"/>
        <w:ind w:firstLine="422"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b/>
          <w:bCs/>
          <w:color w:val="auto"/>
          <w:kern w:val="0"/>
          <w:sz w:val="21"/>
          <w:szCs w:val="21"/>
          <w:lang w:val="en-US" w:eastAsia="zh-CN" w:bidi="ar"/>
        </w:rPr>
        <w:t xml:space="preserve">7、报价编制要求 </w:t>
      </w:r>
    </w:p>
    <w:p w14:paraId="560243F7">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7.1所有报价以人民币表示，投标报价单位为元，保留小数点后两位。</w:t>
      </w:r>
    </w:p>
    <w:p w14:paraId="5112D51B">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7.2除采购文件有强制性规定以及不可竞争部分以外，投标报价应根据采购文件中的有关要求，并依据投标人根据工程实际情况和本企业经营管理水平自主合理报价，但不得低于企业成本价。</w:t>
      </w:r>
    </w:p>
    <w:p w14:paraId="028C0727">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7.3投标人应根据本项目具体情况，综合考虑设备相关的各项成本和费用，包括但不限于货物所有的运输、包装、搬运（包括购入时的运入以及解除或终止时的搬离，安装调试拆除、工程辅料、使用培训、售后服务、发票税点及代理服务费等所有费用），需包含在本次报价中。</w:t>
      </w:r>
    </w:p>
    <w:p w14:paraId="0DB41251">
      <w:pPr>
        <w:keepNext w:val="0"/>
        <w:keepLines w:val="0"/>
        <w:widowControl/>
        <w:suppressLineNumbers w:val="0"/>
        <w:spacing w:line="360" w:lineRule="auto"/>
        <w:ind w:firstLine="422"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b/>
          <w:bCs/>
          <w:color w:val="auto"/>
          <w:kern w:val="0"/>
          <w:sz w:val="21"/>
          <w:szCs w:val="21"/>
          <w:lang w:val="en-US" w:eastAsia="zh-CN" w:bidi="ar"/>
        </w:rPr>
        <w:t>8、验收标准：</w:t>
      </w:r>
    </w:p>
    <w:p w14:paraId="41613812">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8.1质量标准</w:t>
      </w:r>
    </w:p>
    <w:p w14:paraId="0A7EE45B">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(1)一次性验收合格，符合国家现行规范。</w:t>
      </w:r>
    </w:p>
    <w:p w14:paraId="6D192B1D">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(2)软件功能符合招标要求，能正确反馈室内温湿度和压差。</w:t>
      </w:r>
    </w:p>
    <w:p w14:paraId="0627EB87">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(3)中标人需配合发包方取得《实验动物使用许可证》《实验动物生产许可证》。</w:t>
      </w:r>
    </w:p>
    <w:p w14:paraId="5E99E24E">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 xml:space="preserve"> 8.2验收程序</w:t>
      </w:r>
    </w:p>
    <w:p w14:paraId="7B44C0B6">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(1)设备进场验收（材质证明、检测报告、品牌核对）；</w:t>
      </w:r>
    </w:p>
    <w:p w14:paraId="6FA6CF69">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(2)系统联调（所有监控点测试，数据记录）；</w:t>
      </w:r>
    </w:p>
    <w:p w14:paraId="174ED5B9">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(3)第三方检测（不合格费用由乙方承担并整改至合格）；</w:t>
      </w:r>
    </w:p>
    <w:p w14:paraId="707DAF48">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(4)存档与移交资料（设备安装图、说明书、合格证、性能测试报告、培训记录）。</w:t>
      </w:r>
    </w:p>
    <w:p w14:paraId="30373D74">
      <w:pPr>
        <w:keepNext w:val="0"/>
        <w:keepLines w:val="0"/>
        <w:widowControl/>
        <w:suppressLineNumbers w:val="0"/>
        <w:spacing w:line="360" w:lineRule="auto"/>
        <w:ind w:firstLine="422"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b/>
          <w:bCs/>
          <w:color w:val="auto"/>
          <w:kern w:val="0"/>
          <w:sz w:val="21"/>
          <w:szCs w:val="21"/>
          <w:lang w:val="en-US" w:eastAsia="zh-CN" w:bidi="ar"/>
        </w:rPr>
        <w:t>9、付款周期</w:t>
      </w:r>
    </w:p>
    <w:p w14:paraId="31333DC6">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9.1合同总额包括但不限于所有设备、材料、管理费、税金、包装费、运杂费、保险费、卸力费、安装调试费、资料费、保修期内维修费用及服务费等直至完全交付甲方使用的所有费用；</w:t>
      </w:r>
    </w:p>
    <w:p w14:paraId="08D29A1F">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9.2预付款：30%；</w:t>
      </w:r>
    </w:p>
    <w:p w14:paraId="0BF8CE68">
      <w:pPr>
        <w:keepNext w:val="0"/>
        <w:keepLines w:val="0"/>
        <w:widowControl/>
        <w:suppressLineNumbers w:val="0"/>
        <w:spacing w:line="360" w:lineRule="auto"/>
        <w:ind w:firstLine="420" w:firstLineChars="200"/>
        <w:jc w:val="left"/>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9.3发包人按设备安装进度付款：主要</w:t>
      </w:r>
      <w:r>
        <w:rPr>
          <w:rFonts w:hint="eastAsia" w:ascii="宋体" w:hAnsi="宋体" w:eastAsia="宋体" w:cs="宋体"/>
          <w:color w:val="auto"/>
          <w:sz w:val="21"/>
          <w:szCs w:val="21"/>
          <w:highlight w:val="none"/>
          <w:lang w:bidi="ar"/>
        </w:rPr>
        <w:t>设备</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控制柜、传感器</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bidi="ar"/>
        </w:rPr>
        <w:t>到场开箱验收合格后付至 80%</w:t>
      </w:r>
      <w:r>
        <w:rPr>
          <w:rFonts w:hint="eastAsia" w:ascii="宋体" w:hAnsi="宋体" w:eastAsia="宋体" w:cs="宋体"/>
          <w:color w:val="auto"/>
          <w:sz w:val="21"/>
          <w:szCs w:val="21"/>
          <w:highlight w:val="none"/>
          <w:lang w:eastAsia="zh-CN" w:bidi="ar"/>
        </w:rPr>
        <w:t>；</w:t>
      </w:r>
    </w:p>
    <w:p w14:paraId="6A669613">
      <w:pPr>
        <w:keepNext w:val="0"/>
        <w:keepLines w:val="0"/>
        <w:widowControl/>
        <w:suppressLineNumbers w:val="0"/>
        <w:spacing w:line="360" w:lineRule="auto"/>
        <w:ind w:firstLine="420" w:firstLineChars="20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9.4</w:t>
      </w:r>
      <w:r>
        <w:rPr>
          <w:rFonts w:hint="eastAsia" w:ascii="宋体" w:hAnsi="宋体" w:eastAsia="宋体" w:cs="宋体"/>
          <w:color w:val="auto"/>
          <w:sz w:val="21"/>
          <w:szCs w:val="21"/>
          <w:highlight w:val="none"/>
          <w:lang w:bidi="ar"/>
        </w:rPr>
        <w:t>安装调试 + 联动试运行合格</w:t>
      </w:r>
      <w:r>
        <w:rPr>
          <w:rFonts w:hint="eastAsia" w:ascii="宋体" w:hAnsi="宋体" w:eastAsia="宋体" w:cs="宋体"/>
          <w:color w:val="auto"/>
          <w:sz w:val="21"/>
          <w:szCs w:val="21"/>
          <w:highlight w:val="none"/>
          <w:lang w:eastAsia="zh-CN" w:bidi="ar"/>
        </w:rPr>
        <w:t>，</w:t>
      </w:r>
      <w:r>
        <w:rPr>
          <w:rFonts w:hint="eastAsia" w:ascii="宋体" w:hAnsi="宋体" w:eastAsia="宋体" w:cs="宋体"/>
          <w:color w:val="auto"/>
          <w:sz w:val="21"/>
          <w:szCs w:val="21"/>
          <w:highlight w:val="none"/>
          <w:lang w:val="en-US" w:eastAsia="zh-CN" w:bidi="ar"/>
        </w:rPr>
        <w:t>验收通过</w:t>
      </w:r>
      <w:r>
        <w:rPr>
          <w:rFonts w:hint="eastAsia" w:ascii="宋体" w:hAnsi="宋体" w:eastAsia="宋体" w:cs="宋体"/>
          <w:color w:val="auto"/>
          <w:sz w:val="21"/>
          <w:szCs w:val="21"/>
          <w:highlight w:val="none"/>
          <w:lang w:bidi="ar"/>
        </w:rPr>
        <w:t xml:space="preserve">后付至 </w:t>
      </w:r>
      <w:r>
        <w:rPr>
          <w:rFonts w:hint="eastAsia" w:ascii="宋体" w:hAnsi="宋体" w:eastAsia="宋体" w:cs="宋体"/>
          <w:color w:val="auto"/>
          <w:sz w:val="21"/>
          <w:szCs w:val="21"/>
          <w:highlight w:val="none"/>
          <w:lang w:val="en-US" w:eastAsia="zh-CN" w:bidi="ar"/>
        </w:rPr>
        <w:t>100</w:t>
      </w:r>
      <w:r>
        <w:rPr>
          <w:rFonts w:hint="eastAsia" w:ascii="宋体" w:hAnsi="宋体" w:eastAsia="宋体" w:cs="宋体"/>
          <w:color w:val="auto"/>
          <w:sz w:val="21"/>
          <w:szCs w:val="21"/>
          <w:highlight w:val="none"/>
          <w:lang w:bidi="ar"/>
        </w:rPr>
        <w:t>%</w:t>
      </w:r>
      <w:r>
        <w:rPr>
          <w:rFonts w:hint="eastAsia" w:ascii="宋体" w:hAnsi="宋体" w:eastAsia="宋体" w:cs="宋体"/>
          <w:color w:val="auto"/>
          <w:sz w:val="21"/>
          <w:szCs w:val="21"/>
          <w:highlight w:val="none"/>
          <w:lang w:eastAsia="zh-CN" w:bidi="ar"/>
        </w:rPr>
        <w:t>；</w:t>
      </w:r>
    </w:p>
    <w:p w14:paraId="76B40926">
      <w:pPr>
        <w:keepNext w:val="0"/>
        <w:keepLines w:val="0"/>
        <w:widowControl/>
        <w:suppressLineNumbers w:val="0"/>
        <w:spacing w:line="360" w:lineRule="auto"/>
        <w:ind w:firstLine="420" w:firstLineChars="200"/>
        <w:jc w:val="left"/>
        <w:rPr>
          <w:rFonts w:hint="eastAsia" w:ascii="宋体" w:hAnsi="宋体" w:eastAsia="宋体" w:cs="宋体"/>
          <w:color w:val="0070C0"/>
          <w:sz w:val="21"/>
          <w:szCs w:val="21"/>
          <w:highlight w:val="yellow"/>
        </w:rPr>
      </w:pPr>
      <w:r>
        <w:rPr>
          <w:rFonts w:hint="eastAsia" w:ascii="宋体" w:hAnsi="宋体" w:eastAsia="宋体" w:cs="宋体"/>
          <w:color w:val="auto"/>
          <w:kern w:val="0"/>
          <w:sz w:val="21"/>
          <w:szCs w:val="21"/>
          <w:highlight w:val="none"/>
          <w:lang w:val="en-US" w:eastAsia="zh-CN" w:bidi="ar"/>
        </w:rPr>
        <w:t>上述款项的支付，须以承包人提供合法票据为前提。</w:t>
      </w:r>
    </w:p>
    <w:bookmarkEnd w:id="25"/>
    <w:p w14:paraId="54CC3E81">
      <w:pPr>
        <w:spacing w:line="560" w:lineRule="exact"/>
        <w:ind w:firstLine="482" w:firstLineChars="200"/>
        <w:rPr>
          <w:sz w:val="28"/>
          <w:szCs w:val="28"/>
        </w:rPr>
      </w:pPr>
      <w:r>
        <w:rPr>
          <w:rFonts w:hint="eastAsia" w:asciiTheme="minorEastAsia" w:hAnsiTheme="minorEastAsia" w:cstheme="minorEastAsia"/>
          <w:b/>
          <w:bCs w:val="0"/>
          <w:kern w:val="0"/>
          <w:sz w:val="24"/>
          <w:szCs w:val="24"/>
          <w:lang w:val="en-US" w:eastAsia="zh-CN"/>
        </w:rPr>
        <w:t xml:space="preserve"> 六 </w:t>
      </w:r>
      <w:r>
        <w:rPr>
          <w:rFonts w:hint="eastAsia" w:asciiTheme="minorEastAsia" w:hAnsiTheme="minorEastAsia" w:cstheme="minorEastAsia"/>
          <w:b/>
          <w:sz w:val="24"/>
          <w:szCs w:val="24"/>
          <w:lang w:val="en-US" w:eastAsia="zh-CN"/>
        </w:rPr>
        <w:t>、</w:t>
      </w:r>
      <w:r>
        <w:rPr>
          <w:rFonts w:hint="eastAsia" w:asciiTheme="minorEastAsia" w:hAnsiTheme="minorEastAsia" w:cstheme="minorEastAsia"/>
          <w:b/>
          <w:sz w:val="24"/>
          <w:szCs w:val="24"/>
        </w:rPr>
        <w:t>其他重要条款</w:t>
      </w:r>
    </w:p>
    <w:p w14:paraId="65BEA1E6">
      <w:pPr>
        <w:ind w:firstLine="480" w:firstLineChars="200"/>
        <w:rPr>
          <w:bCs/>
          <w:szCs w:val="21"/>
        </w:rPr>
      </w:pPr>
      <w:r>
        <w:rPr>
          <w:rFonts w:hint="eastAsia"/>
          <w:bCs/>
          <w:szCs w:val="21"/>
        </w:rPr>
        <w:t>1、本项目投标报价采用包干制，应包括成本、法定税费和相应的利润，应涵盖本项目招标范围和招标文件所列的各项内容中所述的全部。由投标人根据招标需求自行测算投标报价；一经中标，投标报价即作为中标单位与采购人签订的合同金额。</w:t>
      </w:r>
    </w:p>
    <w:p w14:paraId="26B3A11C">
      <w:pPr>
        <w:pStyle w:val="5"/>
        <w:spacing w:before="60" w:beforeLines="25" w:after="60" w:afterLines="25"/>
        <w:ind w:firstLine="448" w:firstLineChars="187"/>
        <w:rPr>
          <w:rFonts w:ascii="宋体" w:hAnsi="宋体"/>
          <w:szCs w:val="21"/>
        </w:rPr>
      </w:pPr>
      <w:r>
        <w:rPr>
          <w:bCs/>
          <w:szCs w:val="21"/>
        </w:rPr>
        <w:t>2</w:t>
      </w:r>
      <w:r>
        <w:rPr>
          <w:rFonts w:hint="eastAsia"/>
          <w:bCs/>
          <w:szCs w:val="21"/>
        </w:rPr>
        <w:t>、投标人应充分了解项目的位置、情况、道路及任何其它足以影响投标报价的情况，任何因忽视或误解项目情况而导致的索赔或服务期限延长申请将不获批准。</w:t>
      </w:r>
    </w:p>
    <w:p w14:paraId="4D208313">
      <w:pPr>
        <w:ind w:firstLine="480" w:firstLineChars="200"/>
        <w:rPr>
          <w:bCs/>
          <w:szCs w:val="21"/>
        </w:rPr>
      </w:pPr>
      <w:r>
        <w:rPr>
          <w:bCs/>
          <w:szCs w:val="21"/>
        </w:rPr>
        <w:t>3</w:t>
      </w:r>
      <w:r>
        <w:rPr>
          <w:rFonts w:hint="eastAsia"/>
          <w:bCs/>
          <w:szCs w:val="21"/>
        </w:rPr>
        <w:t>、投标人不得期望通过索赔等方式获取补偿，否则，除可能遭到拒绝外，还可能将被作为不良行为记录在案，并可能影响其以后参加政府采购的项目投标。各投标人在投标报价时，应充分考虑投标报价的风险。</w:t>
      </w:r>
    </w:p>
    <w:p w14:paraId="6DBB21CC">
      <w:pPr>
        <w:ind w:firstLine="480" w:firstLineChars="200"/>
        <w:rPr>
          <w:bCs/>
          <w:szCs w:val="21"/>
        </w:rPr>
      </w:pPr>
      <w:r>
        <w:rPr>
          <w:rFonts w:hint="eastAsia"/>
          <w:bCs/>
          <w:szCs w:val="21"/>
          <w:lang w:val="en-US" w:eastAsia="zh-CN"/>
        </w:rPr>
        <w:t>4</w:t>
      </w:r>
      <w:r>
        <w:rPr>
          <w:rFonts w:hint="eastAsia"/>
          <w:bCs/>
          <w:szCs w:val="21"/>
        </w:rPr>
        <w:t>、除政府采购合同继续履行将损害国家利益和社会公共利益外，双方当事人不得擅自变更、中止或者终止合同。</w:t>
      </w:r>
    </w:p>
    <w:p w14:paraId="6E797EF4">
      <w:pPr>
        <w:ind w:firstLine="480" w:firstLineChars="200"/>
        <w:rPr>
          <w:rFonts w:hint="eastAsia" w:eastAsia="宋体"/>
          <w:bCs/>
          <w:szCs w:val="21"/>
          <w:lang w:val="en-US" w:eastAsia="zh-CN"/>
        </w:rPr>
      </w:pPr>
      <w:r>
        <w:rPr>
          <w:rFonts w:hint="eastAsia"/>
          <w:bCs/>
          <w:szCs w:val="21"/>
          <w:lang w:val="en-US" w:eastAsia="zh-CN"/>
        </w:rPr>
        <w:t>5</w:t>
      </w:r>
      <w:r>
        <w:rPr>
          <w:rFonts w:hint="eastAsia"/>
          <w:bCs/>
          <w:szCs w:val="21"/>
        </w:rPr>
        <w:t>、“信用中国”中“信用服务”栏的“重大税收违法失信主体”“失信被执行人”，“中国政府采购网”中的“政府采购严重违法失信行为记录名单”，“深圳市政府采购监管网”为供应商信用信息的查询渠道，相关信息以开标当日的查询结果为准</w:t>
      </w:r>
      <w:r>
        <w:rPr>
          <w:rFonts w:hint="eastAsia"/>
          <w:bCs/>
          <w:szCs w:val="21"/>
          <w:lang w:val="en-US" w:eastAsia="zh-CN"/>
        </w:rPr>
        <w:t>。</w:t>
      </w:r>
    </w:p>
    <w:p w14:paraId="3261D7E8">
      <w:pPr>
        <w:ind w:firstLine="0" w:firstLineChars="0"/>
        <w:jc w:val="both"/>
        <w:rPr>
          <w:rFonts w:ascii="Cambria" w:hAnsi="Cambria"/>
          <w:b/>
          <w:bCs/>
          <w:kern w:val="28"/>
          <w:sz w:val="28"/>
          <w:szCs w:val="32"/>
        </w:rPr>
      </w:pPr>
    </w:p>
    <w:p w14:paraId="21EB39F0">
      <w:pPr>
        <w:pStyle w:val="11"/>
        <w:tabs>
          <w:tab w:val="left" w:pos="426"/>
        </w:tabs>
        <w:jc w:val="center"/>
        <w:rPr>
          <w:rFonts w:hint="eastAsia" w:ascii="Cambria" w:hAnsi="Cambria" w:eastAsiaTheme="minorEastAsia"/>
          <w:b/>
          <w:bCs/>
          <w:kern w:val="28"/>
          <w:sz w:val="28"/>
          <w:szCs w:val="32"/>
        </w:rPr>
        <w:sectPr>
          <w:pgSz w:w="11906" w:h="16838"/>
          <w:pgMar w:top="1440" w:right="1286" w:bottom="1440" w:left="1440" w:header="851" w:footer="992" w:gutter="0"/>
          <w:pgBorders>
            <w:top w:val="none" w:sz="0" w:space="0"/>
            <w:left w:val="none" w:sz="0" w:space="0"/>
            <w:bottom w:val="none" w:sz="0" w:space="0"/>
            <w:right w:val="none" w:sz="0" w:space="0"/>
          </w:pgBorders>
          <w:cols w:space="720" w:num="1"/>
          <w:docGrid w:type="lines" w:linePitch="312" w:charSpace="0"/>
        </w:sectPr>
      </w:pPr>
    </w:p>
    <w:p w14:paraId="5696334D">
      <w:pPr>
        <w:pStyle w:val="11"/>
        <w:tabs>
          <w:tab w:val="left" w:pos="426"/>
        </w:tabs>
        <w:jc w:val="center"/>
        <w:rPr>
          <w:rFonts w:asciiTheme="minorEastAsia" w:hAnsiTheme="minorEastAsia" w:eastAsiaTheme="minorEastAsia" w:cstheme="minorEastAsia"/>
          <w:b/>
          <w:bCs/>
          <w:sz w:val="24"/>
          <w:szCs w:val="24"/>
        </w:rPr>
      </w:pPr>
      <w:r>
        <w:rPr>
          <w:rFonts w:hint="eastAsia" w:ascii="Cambria" w:hAnsi="Cambria" w:eastAsiaTheme="minorEastAsia"/>
          <w:b/>
          <w:bCs/>
          <w:kern w:val="28"/>
          <w:sz w:val="28"/>
          <w:szCs w:val="32"/>
        </w:rPr>
        <w:t>第四章   投标文件的组成、格式</w:t>
      </w:r>
    </w:p>
    <w:p w14:paraId="2F04A7E1">
      <w:pPr>
        <w:spacing w:line="420" w:lineRule="exact"/>
        <w:ind w:firstLine="480" w:firstLineChars="200"/>
        <w:rPr>
          <w:rFonts w:asciiTheme="minorEastAsia" w:hAnsiTheme="minorEastAsia" w:cstheme="minorEastAsia"/>
        </w:rPr>
      </w:pPr>
    </w:p>
    <w:p w14:paraId="083E0EA2">
      <w:pPr>
        <w:tabs>
          <w:tab w:val="left" w:pos="360"/>
        </w:tabs>
        <w:spacing w:line="460" w:lineRule="exact"/>
        <w:ind w:left="480" w:leftChars="200"/>
        <w:jc w:val="both"/>
        <w:rPr>
          <w:rFonts w:asciiTheme="minorEastAsia" w:hAnsiTheme="minorEastAsia" w:cstheme="minorEastAsia"/>
        </w:rPr>
      </w:pPr>
      <w:r>
        <w:rPr>
          <w:rFonts w:hint="eastAsia" w:asciiTheme="minorEastAsia" w:hAnsiTheme="minorEastAsia" w:cstheme="minorEastAsia"/>
          <w:b/>
          <w:bCs/>
        </w:rPr>
        <w:t>投标文件组成</w:t>
      </w:r>
    </w:p>
    <w:p w14:paraId="11BAA29E">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一、封面</w:t>
      </w:r>
    </w:p>
    <w:p w14:paraId="540A38DF">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二、目录指引</w:t>
      </w:r>
    </w:p>
    <w:p w14:paraId="63EC0C0F">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三、投标函</w:t>
      </w:r>
    </w:p>
    <w:p w14:paraId="5E163FE0">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四、投标及履约承诺函</w:t>
      </w:r>
    </w:p>
    <w:p w14:paraId="2007A558">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五、</w:t>
      </w:r>
      <w:r>
        <w:rPr>
          <w:rFonts w:hint="eastAsia" w:asciiTheme="minorEastAsia" w:hAnsiTheme="minorEastAsia" w:cstheme="minorEastAsia"/>
          <w:lang w:val="en-US" w:eastAsia="zh-CN"/>
        </w:rPr>
        <w:t>政府</w:t>
      </w:r>
      <w:r>
        <w:rPr>
          <w:rFonts w:hint="eastAsia" w:asciiTheme="minorEastAsia" w:hAnsiTheme="minorEastAsia" w:cstheme="minorEastAsia"/>
        </w:rPr>
        <w:t>采购违法行为风险知悉确认书</w:t>
      </w:r>
    </w:p>
    <w:p w14:paraId="6DE69577">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六、投标人情况及资格证明文件</w:t>
      </w:r>
    </w:p>
    <w:p w14:paraId="3C52FEB0">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（一）供应商基本情况表及供应商基本情况表附件</w:t>
      </w:r>
    </w:p>
    <w:p w14:paraId="7D54803C">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（二）资格证明文件</w:t>
      </w:r>
    </w:p>
    <w:p w14:paraId="7E9BCFE0">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（三）法定代表人证明书</w:t>
      </w:r>
    </w:p>
    <w:p w14:paraId="0753756B">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w:t>
      </w:r>
      <w:r>
        <w:rPr>
          <w:rFonts w:asciiTheme="minorEastAsia" w:hAnsiTheme="minorEastAsia" w:cstheme="minorEastAsia"/>
        </w:rPr>
        <w:t>四</w:t>
      </w:r>
      <w:r>
        <w:rPr>
          <w:rFonts w:hint="eastAsia" w:asciiTheme="minorEastAsia" w:hAnsiTheme="minorEastAsia" w:cstheme="minorEastAsia"/>
        </w:rPr>
        <w:t>）法定代表人授权书格式（投标人代表为法定代表人的无需提供本格式）</w:t>
      </w:r>
    </w:p>
    <w:p w14:paraId="49CBA49C">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七、实质性条款偏离表</w:t>
      </w:r>
    </w:p>
    <w:p w14:paraId="66ABCD7E">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 xml:space="preserve">八、项目报价表 </w:t>
      </w:r>
    </w:p>
    <w:p w14:paraId="2162C52A">
      <w:pPr>
        <w:tabs>
          <w:tab w:val="left" w:pos="360"/>
        </w:tabs>
        <w:spacing w:line="600" w:lineRule="atLeast"/>
        <w:ind w:left="480" w:leftChars="200"/>
        <w:jc w:val="both"/>
        <w:rPr>
          <w:rFonts w:asciiTheme="minorEastAsia" w:hAnsiTheme="minorEastAsia" w:cstheme="minorEastAsia"/>
        </w:rPr>
      </w:pPr>
      <w:r>
        <w:rPr>
          <w:rFonts w:hint="eastAsia" w:asciiTheme="minorEastAsia" w:hAnsiTheme="minorEastAsia" w:cstheme="minorEastAsia"/>
        </w:rPr>
        <w:t>九、技术要求偏离表</w:t>
      </w:r>
    </w:p>
    <w:p w14:paraId="5280A390">
      <w:pPr>
        <w:tabs>
          <w:tab w:val="left" w:pos="360"/>
        </w:tabs>
        <w:spacing w:line="600" w:lineRule="atLeast"/>
        <w:ind w:left="480" w:leftChars="200"/>
        <w:jc w:val="both"/>
        <w:rPr>
          <w:rFonts w:hint="eastAsia" w:asciiTheme="minorEastAsia" w:hAnsiTheme="minorEastAsia" w:cstheme="minorEastAsia"/>
        </w:rPr>
      </w:pPr>
      <w:r>
        <w:rPr>
          <w:rFonts w:hint="eastAsia" w:asciiTheme="minorEastAsia" w:hAnsiTheme="minorEastAsia" w:cstheme="minorEastAsia"/>
        </w:rPr>
        <w:t>十、其他响应评分的内容及佐证材料</w:t>
      </w:r>
    </w:p>
    <w:p w14:paraId="29FD15E6">
      <w:pPr>
        <w:tabs>
          <w:tab w:val="left" w:pos="360"/>
        </w:tabs>
        <w:spacing w:line="600" w:lineRule="atLeast"/>
        <w:ind w:left="480" w:leftChars="200"/>
        <w:jc w:val="both"/>
        <w:rPr>
          <w:rFonts w:hint="eastAsia" w:eastAsiaTheme="minorEastAsia"/>
          <w:lang w:val="en-US" w:eastAsia="zh-CN"/>
        </w:rPr>
      </w:pPr>
      <w:r>
        <w:rPr>
          <w:rFonts w:hint="eastAsia" w:asciiTheme="minorEastAsia" w:hAnsiTheme="minorEastAsia" w:cstheme="minorEastAsia"/>
          <w:lang w:val="en-US" w:eastAsia="zh-CN"/>
        </w:rPr>
        <w:t>十一、</w:t>
      </w:r>
      <w:r>
        <w:rPr>
          <w:rFonts w:hint="eastAsia" w:asciiTheme="minorEastAsia" w:hAnsiTheme="minorEastAsia" w:cstheme="minorEastAsia"/>
          <w:b w:val="0"/>
          <w:bCs w:val="0"/>
        </w:rPr>
        <w:t>投标人认为需要加以说明的其他内容</w:t>
      </w:r>
    </w:p>
    <w:p w14:paraId="411BEE9F">
      <w:pPr>
        <w:tabs>
          <w:tab w:val="left" w:pos="360"/>
        </w:tabs>
        <w:spacing w:line="460" w:lineRule="exact"/>
        <w:ind w:left="480" w:leftChars="200"/>
        <w:jc w:val="both"/>
        <w:rPr>
          <w:rFonts w:asciiTheme="minorEastAsia" w:hAnsiTheme="minorEastAsia" w:cstheme="minorEastAsia"/>
        </w:rPr>
      </w:pPr>
    </w:p>
    <w:p w14:paraId="34315249">
      <w:pPr>
        <w:tabs>
          <w:tab w:val="left" w:pos="360"/>
        </w:tabs>
        <w:spacing w:line="460" w:lineRule="exact"/>
        <w:ind w:left="480" w:leftChars="200" w:firstLine="480" w:firstLineChars="200"/>
        <w:jc w:val="both"/>
        <w:rPr>
          <w:rFonts w:asciiTheme="minorEastAsia" w:hAnsiTheme="minorEastAsia" w:cstheme="minorEastAsia"/>
          <w:color w:val="70AD47" w:themeColor="accent6"/>
          <w14:textFill>
            <w14:solidFill>
              <w14:schemeClr w14:val="accent6"/>
            </w14:solidFill>
          </w14:textFill>
        </w:rPr>
      </w:pPr>
    </w:p>
    <w:p w14:paraId="33FED505">
      <w:pPr>
        <w:keepNext/>
        <w:keepLines/>
        <w:spacing w:line="420" w:lineRule="exact"/>
        <w:ind w:left="480" w:leftChars="200"/>
        <w:outlineLvl w:val="3"/>
        <w:rPr>
          <w:rFonts w:asciiTheme="minorEastAsia" w:hAnsiTheme="minorEastAsia" w:cstheme="minorEastAsia"/>
          <w:b/>
          <w:bCs/>
          <w:color w:val="70AD47" w:themeColor="accent6"/>
          <w:sz w:val="21"/>
          <w:szCs w:val="21"/>
          <w14:textFill>
            <w14:solidFill>
              <w14:schemeClr w14:val="accent6"/>
            </w14:solidFill>
          </w14:textFill>
        </w:rPr>
      </w:pPr>
    </w:p>
    <w:p w14:paraId="53B39162">
      <w:pPr>
        <w:pStyle w:val="27"/>
        <w:rPr>
          <w:color w:val="70AD47" w:themeColor="accent6"/>
          <w14:textFill>
            <w14:solidFill>
              <w14:schemeClr w14:val="accent6"/>
            </w14:solidFill>
          </w14:textFill>
        </w:rPr>
      </w:pPr>
    </w:p>
    <w:p w14:paraId="181278FD">
      <w:pPr>
        <w:keepNext/>
        <w:keepLines/>
        <w:spacing w:line="420" w:lineRule="exact"/>
        <w:outlineLvl w:val="3"/>
        <w:rPr>
          <w:rFonts w:asciiTheme="minorEastAsia" w:hAnsiTheme="minorEastAsia" w:cstheme="minorEastAsia"/>
          <w:b/>
          <w:bCs/>
          <w:sz w:val="21"/>
          <w:szCs w:val="21"/>
        </w:rPr>
      </w:pPr>
    </w:p>
    <w:p w14:paraId="02793CD8">
      <w:pPr>
        <w:pStyle w:val="27"/>
        <w:rPr>
          <w:rFonts w:asciiTheme="minorEastAsia" w:hAnsiTheme="minorEastAsia" w:cstheme="minorEastAsia"/>
          <w:b/>
          <w:bCs/>
          <w:sz w:val="21"/>
          <w:szCs w:val="21"/>
        </w:rPr>
      </w:pPr>
    </w:p>
    <w:p w14:paraId="61A8FE04">
      <w:pPr>
        <w:pStyle w:val="27"/>
        <w:rPr>
          <w:rFonts w:asciiTheme="minorEastAsia" w:hAnsiTheme="minorEastAsia" w:cstheme="minorEastAsia"/>
          <w:b/>
          <w:bCs/>
          <w:sz w:val="21"/>
          <w:szCs w:val="21"/>
        </w:rPr>
      </w:pPr>
    </w:p>
    <w:p w14:paraId="2C53DFA9">
      <w:pPr>
        <w:jc w:val="both"/>
        <w:rPr>
          <w:sz w:val="44"/>
          <w:szCs w:val="44"/>
          <w:u w:val="single"/>
        </w:rPr>
      </w:pPr>
    </w:p>
    <w:p w14:paraId="735D9074">
      <w:pPr>
        <w:jc w:val="right"/>
        <w:rPr>
          <w:sz w:val="44"/>
          <w:szCs w:val="44"/>
          <w:u w:val="single"/>
        </w:rPr>
      </w:pPr>
    </w:p>
    <w:p w14:paraId="289B965C">
      <w:pPr>
        <w:jc w:val="right"/>
        <w:rPr>
          <w:sz w:val="44"/>
          <w:szCs w:val="44"/>
          <w:u w:val="single"/>
        </w:rPr>
      </w:pPr>
    </w:p>
    <w:p w14:paraId="4FD30DEA">
      <w:pPr>
        <w:jc w:val="right"/>
        <w:rPr>
          <w:sz w:val="44"/>
          <w:szCs w:val="44"/>
          <w:u w:val="single"/>
        </w:rPr>
      </w:pPr>
      <w:r>
        <w:rPr>
          <w:rFonts w:hint="eastAsia"/>
          <w:sz w:val="44"/>
          <w:szCs w:val="44"/>
          <w:u w:val="single"/>
        </w:rPr>
        <w:t>（□正本 □副本）</w:t>
      </w:r>
    </w:p>
    <w:p w14:paraId="165D62FC">
      <w:pPr>
        <w:jc w:val="center"/>
        <w:rPr>
          <w:sz w:val="44"/>
          <w:szCs w:val="44"/>
          <w:u w:val="single"/>
        </w:rPr>
      </w:pPr>
    </w:p>
    <w:p w14:paraId="7EFA41FB">
      <w:pPr>
        <w:jc w:val="center"/>
        <w:rPr>
          <w:sz w:val="44"/>
          <w:szCs w:val="44"/>
          <w:u w:val="single"/>
        </w:rPr>
      </w:pPr>
    </w:p>
    <w:p w14:paraId="1919EDF6">
      <w:pPr>
        <w:jc w:val="center"/>
        <w:rPr>
          <w:sz w:val="44"/>
          <w:szCs w:val="44"/>
          <w:u w:val="single"/>
        </w:rPr>
      </w:pPr>
      <w:r>
        <w:rPr>
          <w:rFonts w:hint="eastAsia"/>
          <w:sz w:val="44"/>
          <w:szCs w:val="44"/>
          <w:u w:val="single"/>
        </w:rPr>
        <w:t>（项目名称全称）</w:t>
      </w:r>
    </w:p>
    <w:p w14:paraId="0EEEED82">
      <w:pPr>
        <w:jc w:val="center"/>
        <w:rPr>
          <w:sz w:val="44"/>
          <w:szCs w:val="44"/>
        </w:rPr>
      </w:pPr>
      <w:r>
        <w:rPr>
          <w:rFonts w:hint="eastAsia"/>
          <w:sz w:val="44"/>
          <w:szCs w:val="44"/>
        </w:rPr>
        <w:t>投标文件</w:t>
      </w:r>
    </w:p>
    <w:p w14:paraId="3D9CA65F"/>
    <w:p w14:paraId="059985E7">
      <w:pPr>
        <w:pStyle w:val="30"/>
        <w:ind w:firstLine="480"/>
      </w:pPr>
    </w:p>
    <w:p w14:paraId="573E27FE">
      <w:pPr>
        <w:tabs>
          <w:tab w:val="left" w:pos="426"/>
        </w:tabs>
      </w:pPr>
    </w:p>
    <w:p w14:paraId="5BDD6323">
      <w:pPr>
        <w:tabs>
          <w:tab w:val="left" w:pos="426"/>
        </w:tabs>
        <w:ind w:firstLine="960" w:firstLineChars="300"/>
        <w:rPr>
          <w:sz w:val="32"/>
          <w:szCs w:val="32"/>
        </w:rPr>
      </w:pPr>
    </w:p>
    <w:p w14:paraId="43001239">
      <w:pPr>
        <w:tabs>
          <w:tab w:val="left" w:pos="426"/>
        </w:tabs>
        <w:spacing w:line="760" w:lineRule="exact"/>
        <w:ind w:firstLine="960" w:firstLineChars="300"/>
        <w:rPr>
          <w:sz w:val="32"/>
          <w:szCs w:val="32"/>
        </w:rPr>
      </w:pPr>
      <w:r>
        <w:rPr>
          <w:rFonts w:hint="eastAsia"/>
          <w:sz w:val="32"/>
          <w:szCs w:val="32"/>
        </w:rPr>
        <w:t xml:space="preserve">项目编号： </w:t>
      </w:r>
      <w:r>
        <w:rPr>
          <w:rFonts w:hint="eastAsia"/>
          <w:sz w:val="32"/>
          <w:szCs w:val="32"/>
          <w:u w:val="single"/>
        </w:rPr>
        <w:t xml:space="preserve">                             </w:t>
      </w:r>
      <w:r>
        <w:rPr>
          <w:rFonts w:hint="eastAsia"/>
          <w:sz w:val="32"/>
          <w:szCs w:val="32"/>
        </w:rPr>
        <w:t xml:space="preserve">          </w:t>
      </w:r>
    </w:p>
    <w:p w14:paraId="1BB6DC31">
      <w:pPr>
        <w:tabs>
          <w:tab w:val="left" w:pos="426"/>
        </w:tabs>
        <w:spacing w:line="760" w:lineRule="exact"/>
        <w:ind w:firstLine="960" w:firstLineChars="300"/>
        <w:rPr>
          <w:u w:val="single"/>
        </w:rPr>
      </w:pPr>
      <w:r>
        <w:rPr>
          <w:rFonts w:hint="eastAsia"/>
          <w:sz w:val="32"/>
          <w:szCs w:val="32"/>
        </w:rPr>
        <w:t>项目名称：</w:t>
      </w:r>
      <w:r>
        <w:rPr>
          <w:rFonts w:hint="eastAsia"/>
          <w:u w:val="single"/>
        </w:rPr>
        <w:t xml:space="preserve">                                  </w:t>
      </w:r>
      <w:r>
        <w:rPr>
          <w:u w:val="single"/>
        </w:rPr>
        <w:t xml:space="preserve"> </w:t>
      </w:r>
      <w:r>
        <w:rPr>
          <w:rFonts w:hint="eastAsia"/>
          <w:u w:val="single"/>
        </w:rPr>
        <w:t xml:space="preserve">     </w:t>
      </w:r>
    </w:p>
    <w:p w14:paraId="627FEAA6">
      <w:pPr>
        <w:tabs>
          <w:tab w:val="left" w:pos="426"/>
        </w:tabs>
        <w:spacing w:line="760" w:lineRule="exact"/>
        <w:ind w:firstLine="960" w:firstLineChars="300"/>
        <w:rPr>
          <w:sz w:val="32"/>
          <w:szCs w:val="32"/>
          <w:u w:val="single"/>
        </w:rPr>
      </w:pPr>
      <w:r>
        <w:rPr>
          <w:rFonts w:hint="eastAsia"/>
          <w:sz w:val="32"/>
          <w:szCs w:val="32"/>
        </w:rPr>
        <w:t>投标单位名称（公章）：</w:t>
      </w:r>
      <w:r>
        <w:rPr>
          <w:rFonts w:hint="eastAsia"/>
          <w:sz w:val="32"/>
          <w:szCs w:val="32"/>
          <w:u w:val="single"/>
        </w:rPr>
        <w:t xml:space="preserve">                    </w:t>
      </w:r>
    </w:p>
    <w:p w14:paraId="3136BBFC">
      <w:pPr>
        <w:tabs>
          <w:tab w:val="left" w:pos="426"/>
        </w:tabs>
        <w:spacing w:line="760" w:lineRule="exact"/>
        <w:ind w:firstLine="960" w:firstLineChars="300"/>
        <w:rPr>
          <w:sz w:val="32"/>
          <w:szCs w:val="32"/>
          <w:u w:val="single"/>
        </w:rPr>
      </w:pPr>
      <w:r>
        <w:rPr>
          <w:rFonts w:hint="eastAsia"/>
          <w:sz w:val="32"/>
          <w:szCs w:val="32"/>
        </w:rPr>
        <w:t>投标单位地址：</w:t>
      </w:r>
      <w:r>
        <w:rPr>
          <w:rFonts w:hint="eastAsia"/>
          <w:sz w:val="32"/>
          <w:szCs w:val="32"/>
          <w:u w:val="single"/>
        </w:rPr>
        <w:t xml:space="preserve">                           </w:t>
      </w:r>
    </w:p>
    <w:p w14:paraId="64206296">
      <w:pPr>
        <w:tabs>
          <w:tab w:val="left" w:pos="426"/>
        </w:tabs>
        <w:spacing w:line="760" w:lineRule="exact"/>
        <w:ind w:firstLine="960" w:firstLineChars="300"/>
        <w:rPr>
          <w:sz w:val="32"/>
          <w:szCs w:val="32"/>
          <w:u w:val="single"/>
        </w:rPr>
      </w:pPr>
      <w:r>
        <w:rPr>
          <w:rFonts w:hint="eastAsia"/>
          <w:sz w:val="32"/>
          <w:szCs w:val="32"/>
        </w:rPr>
        <w:t>联系人：</w:t>
      </w:r>
      <w:r>
        <w:rPr>
          <w:rFonts w:hint="eastAsia"/>
          <w:sz w:val="32"/>
          <w:szCs w:val="32"/>
          <w:u w:val="single"/>
        </w:rPr>
        <w:t xml:space="preserve">                               </w:t>
      </w:r>
      <w:r>
        <w:rPr>
          <w:rFonts w:hint="eastAsia"/>
          <w:sz w:val="32"/>
          <w:szCs w:val="32"/>
        </w:rPr>
        <w:t xml:space="preserve">                             </w:t>
      </w:r>
    </w:p>
    <w:p w14:paraId="6AC67D5F">
      <w:pPr>
        <w:tabs>
          <w:tab w:val="left" w:pos="426"/>
        </w:tabs>
        <w:spacing w:line="760" w:lineRule="exact"/>
        <w:ind w:firstLine="960" w:firstLineChars="300"/>
        <w:rPr>
          <w:sz w:val="32"/>
          <w:szCs w:val="32"/>
        </w:rPr>
      </w:pPr>
      <w:r>
        <w:rPr>
          <w:rFonts w:hint="eastAsia"/>
          <w:sz w:val="32"/>
          <w:szCs w:val="32"/>
        </w:rPr>
        <w:t>联系电话：</w:t>
      </w:r>
      <w:r>
        <w:rPr>
          <w:rFonts w:hint="eastAsia"/>
          <w:sz w:val="32"/>
          <w:szCs w:val="32"/>
          <w:u w:val="single"/>
        </w:rPr>
        <w:t xml:space="preserve">                               </w:t>
      </w:r>
      <w:r>
        <w:rPr>
          <w:rFonts w:hint="eastAsia"/>
          <w:sz w:val="32"/>
          <w:szCs w:val="32"/>
        </w:rPr>
        <w:t xml:space="preserve">                            </w:t>
      </w:r>
    </w:p>
    <w:p w14:paraId="06CCAC45">
      <w:pPr>
        <w:tabs>
          <w:tab w:val="left" w:pos="426"/>
        </w:tabs>
        <w:rPr>
          <w:szCs w:val="21"/>
        </w:rPr>
      </w:pPr>
    </w:p>
    <w:p w14:paraId="23E67A03">
      <w:pPr>
        <w:pStyle w:val="11"/>
        <w:tabs>
          <w:tab w:val="left" w:pos="426"/>
        </w:tabs>
        <w:ind w:firstLine="960" w:firstLineChars="300"/>
      </w:pPr>
      <w:r>
        <w:rPr>
          <w:rFonts w:hint="eastAsia"/>
          <w:sz w:val="32"/>
          <w:szCs w:val="32"/>
        </w:rPr>
        <w:t>时    间</w:t>
      </w:r>
      <w:r>
        <w:rPr>
          <w:rFonts w:hint="eastAsia"/>
          <w:sz w:val="32"/>
          <w:szCs w:val="32"/>
          <w:u w:val="single"/>
        </w:rPr>
        <w:t xml:space="preserve">      </w:t>
      </w:r>
      <w:r>
        <w:rPr>
          <w:rFonts w:hint="eastAsia"/>
          <w:sz w:val="32"/>
          <w:szCs w:val="32"/>
        </w:rPr>
        <w:t>年</w:t>
      </w:r>
      <w:r>
        <w:rPr>
          <w:rFonts w:hint="eastAsia"/>
          <w:sz w:val="32"/>
          <w:szCs w:val="32"/>
          <w:u w:val="single"/>
        </w:rPr>
        <w:t xml:space="preserve">     </w:t>
      </w:r>
      <w:r>
        <w:rPr>
          <w:rFonts w:hint="eastAsia"/>
          <w:sz w:val="32"/>
          <w:szCs w:val="32"/>
        </w:rPr>
        <w:t>月</w:t>
      </w:r>
      <w:r>
        <w:rPr>
          <w:rFonts w:hint="eastAsia"/>
          <w:sz w:val="32"/>
          <w:szCs w:val="32"/>
          <w:u w:val="single"/>
        </w:rPr>
        <w:t xml:space="preserve">     </w:t>
      </w:r>
      <w:r>
        <w:rPr>
          <w:rFonts w:hint="eastAsia"/>
          <w:sz w:val="32"/>
          <w:szCs w:val="32"/>
        </w:rPr>
        <w:t>日</w:t>
      </w:r>
      <w:r>
        <w:rPr>
          <w:rFonts w:hint="eastAsia"/>
        </w:rPr>
        <w:t xml:space="preserve">   </w:t>
      </w:r>
    </w:p>
    <w:p w14:paraId="1FDCFB29">
      <w:pPr>
        <w:pStyle w:val="11"/>
        <w:tabs>
          <w:tab w:val="left" w:pos="426"/>
        </w:tabs>
        <w:ind w:firstLine="630" w:firstLineChars="300"/>
      </w:pPr>
    </w:p>
    <w:p w14:paraId="7DE7773E">
      <w:pPr>
        <w:pStyle w:val="11"/>
        <w:tabs>
          <w:tab w:val="left" w:pos="426"/>
        </w:tabs>
        <w:ind w:firstLine="630" w:firstLineChars="300"/>
      </w:pPr>
    </w:p>
    <w:p w14:paraId="76E6FD82">
      <w:pPr>
        <w:pStyle w:val="11"/>
        <w:tabs>
          <w:tab w:val="left" w:pos="426"/>
        </w:tabs>
        <w:ind w:firstLine="630" w:firstLineChars="300"/>
      </w:pPr>
    </w:p>
    <w:p w14:paraId="510F9168">
      <w:pPr>
        <w:spacing w:line="420" w:lineRule="exact"/>
        <w:outlineLvl w:val="3"/>
        <w:rPr>
          <w:rFonts w:asciiTheme="minorEastAsia" w:hAnsiTheme="minorEastAsia" w:cstheme="minorEastAsia"/>
          <w:b/>
          <w:bCs/>
          <w:sz w:val="21"/>
          <w:szCs w:val="21"/>
        </w:rPr>
      </w:pPr>
    </w:p>
    <w:p w14:paraId="0D7B70F4">
      <w:pPr>
        <w:spacing w:line="420" w:lineRule="exact"/>
        <w:outlineLvl w:val="3"/>
        <w:rPr>
          <w:rFonts w:asciiTheme="minorEastAsia" w:hAnsiTheme="minorEastAsia" w:cstheme="minorEastAsia"/>
          <w:b/>
          <w:bCs/>
          <w:sz w:val="21"/>
          <w:szCs w:val="21"/>
        </w:rPr>
      </w:pPr>
    </w:p>
    <w:p w14:paraId="1E43195B">
      <w:pPr>
        <w:spacing w:line="420" w:lineRule="exact"/>
        <w:outlineLvl w:val="3"/>
        <w:rPr>
          <w:rFonts w:asciiTheme="minorEastAsia" w:hAnsiTheme="minorEastAsia" w:cstheme="minorEastAsia"/>
          <w:b/>
          <w:bCs/>
        </w:rPr>
      </w:pPr>
    </w:p>
    <w:p w14:paraId="4A66E830">
      <w:pPr>
        <w:rPr>
          <w:rFonts w:asciiTheme="minorEastAsia" w:hAnsiTheme="minorEastAsia" w:cstheme="minorEastAsia"/>
          <w:b/>
          <w:bCs/>
        </w:rPr>
      </w:pPr>
      <w:r>
        <w:rPr>
          <w:rFonts w:hint="eastAsia" w:asciiTheme="minorEastAsia" w:hAnsiTheme="minorEastAsia" w:cstheme="minorEastAsia"/>
          <w:b/>
          <w:bCs/>
        </w:rPr>
        <w:br w:type="page"/>
      </w:r>
    </w:p>
    <w:p w14:paraId="3DD18CDE">
      <w:pPr>
        <w:spacing w:line="420" w:lineRule="exact"/>
        <w:outlineLvl w:val="3"/>
        <w:rPr>
          <w:rFonts w:asciiTheme="minorEastAsia" w:hAnsiTheme="minorEastAsia" w:cstheme="minorEastAsia"/>
          <w:b/>
          <w:bCs/>
        </w:rPr>
      </w:pPr>
      <w:r>
        <w:rPr>
          <w:rFonts w:hint="eastAsia" w:asciiTheme="minorEastAsia" w:hAnsiTheme="minorEastAsia" w:cstheme="minorEastAsia"/>
          <w:b/>
          <w:bCs/>
        </w:rPr>
        <w:t>二、目录指引</w:t>
      </w:r>
    </w:p>
    <w:p w14:paraId="4F35EDD0">
      <w:pPr>
        <w:rPr>
          <w:b/>
          <w:bCs/>
          <w:color w:val="FF0000"/>
        </w:rPr>
      </w:pPr>
      <w:r>
        <w:rPr>
          <w:rFonts w:hint="eastAsia"/>
          <w:color w:val="FF0000"/>
        </w:rPr>
        <w:t>（按照招标文件相应内容，请标明各部分内容的页码。）</w:t>
      </w:r>
    </w:p>
    <w:p w14:paraId="4D784976">
      <w:pPr>
        <w:spacing w:line="420" w:lineRule="exact"/>
        <w:outlineLvl w:val="3"/>
        <w:rPr>
          <w:rFonts w:asciiTheme="minorEastAsia" w:hAnsiTheme="minorEastAsia" w:cstheme="minorEastAsia"/>
          <w:b/>
          <w:bCs/>
          <w:sz w:val="21"/>
          <w:szCs w:val="21"/>
        </w:rPr>
      </w:pPr>
    </w:p>
    <w:p w14:paraId="21417850">
      <w:pPr>
        <w:spacing w:line="420" w:lineRule="exact"/>
        <w:outlineLvl w:val="3"/>
        <w:rPr>
          <w:rFonts w:asciiTheme="minorEastAsia" w:hAnsiTheme="minorEastAsia" w:cstheme="minorEastAsia"/>
          <w:b/>
          <w:bCs/>
          <w:sz w:val="21"/>
          <w:szCs w:val="21"/>
        </w:rPr>
      </w:pPr>
    </w:p>
    <w:p w14:paraId="5975AEA5">
      <w:pPr>
        <w:spacing w:line="420" w:lineRule="exact"/>
        <w:outlineLvl w:val="3"/>
        <w:rPr>
          <w:rFonts w:asciiTheme="minorEastAsia" w:hAnsiTheme="minorEastAsia" w:cstheme="minorEastAsia"/>
          <w:b/>
          <w:bCs/>
          <w:sz w:val="21"/>
          <w:szCs w:val="21"/>
        </w:rPr>
      </w:pPr>
    </w:p>
    <w:p w14:paraId="500BB8BD">
      <w:pPr>
        <w:spacing w:line="420" w:lineRule="exact"/>
        <w:outlineLvl w:val="3"/>
        <w:rPr>
          <w:rFonts w:asciiTheme="minorEastAsia" w:hAnsiTheme="minorEastAsia" w:cstheme="minorEastAsia"/>
          <w:b/>
          <w:bCs/>
          <w:sz w:val="21"/>
          <w:szCs w:val="21"/>
        </w:rPr>
      </w:pPr>
    </w:p>
    <w:p w14:paraId="159919A1">
      <w:pPr>
        <w:spacing w:line="420" w:lineRule="exact"/>
        <w:outlineLvl w:val="3"/>
        <w:rPr>
          <w:rFonts w:asciiTheme="minorEastAsia" w:hAnsiTheme="minorEastAsia" w:cstheme="minorEastAsia"/>
          <w:b/>
          <w:bCs/>
          <w:sz w:val="21"/>
          <w:szCs w:val="21"/>
        </w:rPr>
      </w:pPr>
    </w:p>
    <w:p w14:paraId="7252BF3B">
      <w:pPr>
        <w:spacing w:line="420" w:lineRule="exact"/>
        <w:outlineLvl w:val="3"/>
        <w:rPr>
          <w:rFonts w:asciiTheme="minorEastAsia" w:hAnsiTheme="minorEastAsia" w:cstheme="minorEastAsia"/>
          <w:b/>
          <w:bCs/>
          <w:sz w:val="21"/>
          <w:szCs w:val="21"/>
        </w:rPr>
      </w:pPr>
    </w:p>
    <w:p w14:paraId="329E3C81">
      <w:pPr>
        <w:spacing w:line="420" w:lineRule="exact"/>
        <w:outlineLvl w:val="3"/>
        <w:rPr>
          <w:rFonts w:asciiTheme="minorEastAsia" w:hAnsiTheme="minorEastAsia" w:cstheme="minorEastAsia"/>
          <w:b/>
          <w:bCs/>
          <w:sz w:val="21"/>
          <w:szCs w:val="21"/>
        </w:rPr>
      </w:pPr>
    </w:p>
    <w:p w14:paraId="366B1504">
      <w:pPr>
        <w:spacing w:line="420" w:lineRule="exact"/>
        <w:outlineLvl w:val="3"/>
        <w:rPr>
          <w:rFonts w:asciiTheme="minorEastAsia" w:hAnsiTheme="minorEastAsia" w:cstheme="minorEastAsia"/>
          <w:b/>
          <w:bCs/>
          <w:sz w:val="21"/>
          <w:szCs w:val="21"/>
        </w:rPr>
      </w:pPr>
    </w:p>
    <w:p w14:paraId="58E9FF98">
      <w:pPr>
        <w:spacing w:line="420" w:lineRule="exact"/>
        <w:outlineLvl w:val="3"/>
        <w:rPr>
          <w:rFonts w:asciiTheme="minorEastAsia" w:hAnsiTheme="minorEastAsia" w:cstheme="minorEastAsia"/>
          <w:b/>
          <w:bCs/>
          <w:sz w:val="21"/>
          <w:szCs w:val="21"/>
        </w:rPr>
      </w:pPr>
    </w:p>
    <w:p w14:paraId="18B37F57">
      <w:pPr>
        <w:spacing w:line="420" w:lineRule="exact"/>
        <w:outlineLvl w:val="3"/>
        <w:rPr>
          <w:rFonts w:asciiTheme="minorEastAsia" w:hAnsiTheme="minorEastAsia" w:cstheme="minorEastAsia"/>
          <w:b/>
          <w:bCs/>
          <w:sz w:val="21"/>
          <w:szCs w:val="21"/>
        </w:rPr>
      </w:pPr>
    </w:p>
    <w:p w14:paraId="59D5CE7F">
      <w:pPr>
        <w:spacing w:line="420" w:lineRule="exact"/>
        <w:outlineLvl w:val="3"/>
        <w:rPr>
          <w:rFonts w:asciiTheme="minorEastAsia" w:hAnsiTheme="minorEastAsia" w:cstheme="minorEastAsia"/>
          <w:b/>
          <w:bCs/>
          <w:sz w:val="21"/>
          <w:szCs w:val="21"/>
        </w:rPr>
      </w:pPr>
    </w:p>
    <w:p w14:paraId="7A0EAF57">
      <w:pPr>
        <w:spacing w:line="420" w:lineRule="exact"/>
        <w:outlineLvl w:val="3"/>
        <w:rPr>
          <w:rFonts w:asciiTheme="minorEastAsia" w:hAnsiTheme="minorEastAsia" w:cstheme="minorEastAsia"/>
          <w:b/>
          <w:bCs/>
          <w:sz w:val="21"/>
          <w:szCs w:val="21"/>
        </w:rPr>
      </w:pPr>
    </w:p>
    <w:p w14:paraId="44769CED">
      <w:pPr>
        <w:spacing w:line="420" w:lineRule="exact"/>
        <w:outlineLvl w:val="3"/>
        <w:rPr>
          <w:rFonts w:asciiTheme="minorEastAsia" w:hAnsiTheme="minorEastAsia" w:cstheme="minorEastAsia"/>
          <w:b/>
          <w:bCs/>
          <w:sz w:val="21"/>
          <w:szCs w:val="21"/>
        </w:rPr>
      </w:pPr>
    </w:p>
    <w:p w14:paraId="144C930E">
      <w:pPr>
        <w:spacing w:line="420" w:lineRule="exact"/>
        <w:outlineLvl w:val="3"/>
        <w:rPr>
          <w:rFonts w:asciiTheme="minorEastAsia" w:hAnsiTheme="minorEastAsia" w:cstheme="minorEastAsia"/>
          <w:b/>
          <w:bCs/>
          <w:sz w:val="21"/>
          <w:szCs w:val="21"/>
        </w:rPr>
      </w:pPr>
    </w:p>
    <w:p w14:paraId="67825B3E">
      <w:pPr>
        <w:spacing w:line="420" w:lineRule="exact"/>
        <w:outlineLvl w:val="3"/>
        <w:rPr>
          <w:rFonts w:asciiTheme="minorEastAsia" w:hAnsiTheme="minorEastAsia" w:cstheme="minorEastAsia"/>
          <w:b/>
          <w:bCs/>
          <w:sz w:val="21"/>
          <w:szCs w:val="21"/>
        </w:rPr>
      </w:pPr>
    </w:p>
    <w:p w14:paraId="0CEA3C28">
      <w:pPr>
        <w:spacing w:line="420" w:lineRule="exact"/>
        <w:outlineLvl w:val="3"/>
        <w:rPr>
          <w:rFonts w:asciiTheme="minorEastAsia" w:hAnsiTheme="minorEastAsia" w:cstheme="minorEastAsia"/>
          <w:b/>
          <w:bCs/>
          <w:sz w:val="21"/>
          <w:szCs w:val="21"/>
        </w:rPr>
      </w:pPr>
    </w:p>
    <w:p w14:paraId="4CA052AE">
      <w:pPr>
        <w:spacing w:line="420" w:lineRule="exact"/>
        <w:outlineLvl w:val="3"/>
        <w:rPr>
          <w:rFonts w:asciiTheme="minorEastAsia" w:hAnsiTheme="minorEastAsia" w:cstheme="minorEastAsia"/>
          <w:b/>
          <w:bCs/>
          <w:sz w:val="21"/>
          <w:szCs w:val="21"/>
        </w:rPr>
      </w:pPr>
    </w:p>
    <w:p w14:paraId="738EB2F1">
      <w:pPr>
        <w:spacing w:line="420" w:lineRule="exact"/>
        <w:outlineLvl w:val="3"/>
        <w:rPr>
          <w:rFonts w:asciiTheme="minorEastAsia" w:hAnsiTheme="minorEastAsia" w:cstheme="minorEastAsia"/>
          <w:b/>
          <w:bCs/>
          <w:sz w:val="21"/>
          <w:szCs w:val="21"/>
        </w:rPr>
      </w:pPr>
    </w:p>
    <w:p w14:paraId="1CD266D2">
      <w:pPr>
        <w:spacing w:line="420" w:lineRule="exact"/>
        <w:outlineLvl w:val="3"/>
        <w:rPr>
          <w:rFonts w:asciiTheme="minorEastAsia" w:hAnsiTheme="minorEastAsia" w:cstheme="minorEastAsia"/>
          <w:b/>
          <w:bCs/>
          <w:sz w:val="21"/>
          <w:szCs w:val="21"/>
        </w:rPr>
      </w:pPr>
    </w:p>
    <w:p w14:paraId="73A7E528">
      <w:pPr>
        <w:spacing w:line="420" w:lineRule="exact"/>
        <w:outlineLvl w:val="3"/>
        <w:rPr>
          <w:rFonts w:asciiTheme="minorEastAsia" w:hAnsiTheme="minorEastAsia" w:cstheme="minorEastAsia"/>
          <w:b/>
          <w:bCs/>
          <w:sz w:val="21"/>
          <w:szCs w:val="21"/>
        </w:rPr>
      </w:pPr>
    </w:p>
    <w:p w14:paraId="71EFA6C1">
      <w:pPr>
        <w:spacing w:line="420" w:lineRule="exact"/>
        <w:outlineLvl w:val="3"/>
        <w:rPr>
          <w:rFonts w:asciiTheme="minorEastAsia" w:hAnsiTheme="minorEastAsia" w:cstheme="minorEastAsia"/>
          <w:b/>
          <w:bCs/>
          <w:sz w:val="21"/>
          <w:szCs w:val="21"/>
        </w:rPr>
      </w:pPr>
    </w:p>
    <w:p w14:paraId="3964D012">
      <w:pPr>
        <w:spacing w:line="420" w:lineRule="exact"/>
        <w:outlineLvl w:val="3"/>
        <w:rPr>
          <w:rFonts w:asciiTheme="minorEastAsia" w:hAnsiTheme="minorEastAsia" w:cstheme="minorEastAsia"/>
          <w:b/>
          <w:bCs/>
          <w:sz w:val="21"/>
          <w:szCs w:val="21"/>
        </w:rPr>
      </w:pPr>
    </w:p>
    <w:p w14:paraId="313F56DB">
      <w:pPr>
        <w:spacing w:line="420" w:lineRule="exact"/>
        <w:outlineLvl w:val="3"/>
        <w:rPr>
          <w:rFonts w:asciiTheme="minorEastAsia" w:hAnsiTheme="minorEastAsia" w:cstheme="minorEastAsia"/>
          <w:b/>
          <w:bCs/>
          <w:sz w:val="21"/>
          <w:szCs w:val="21"/>
        </w:rPr>
      </w:pPr>
    </w:p>
    <w:p w14:paraId="23B18C7B">
      <w:pPr>
        <w:spacing w:line="420" w:lineRule="exact"/>
        <w:outlineLvl w:val="3"/>
        <w:rPr>
          <w:rFonts w:asciiTheme="minorEastAsia" w:hAnsiTheme="minorEastAsia" w:cstheme="minorEastAsia"/>
          <w:b/>
          <w:bCs/>
          <w:sz w:val="21"/>
          <w:szCs w:val="21"/>
        </w:rPr>
      </w:pPr>
    </w:p>
    <w:p w14:paraId="03EA2CE9">
      <w:pPr>
        <w:spacing w:line="420" w:lineRule="exact"/>
        <w:outlineLvl w:val="3"/>
        <w:rPr>
          <w:rFonts w:asciiTheme="minorEastAsia" w:hAnsiTheme="minorEastAsia" w:cstheme="minorEastAsia"/>
          <w:b/>
          <w:bCs/>
          <w:sz w:val="21"/>
          <w:szCs w:val="21"/>
        </w:rPr>
      </w:pPr>
    </w:p>
    <w:p w14:paraId="7B89EF1D">
      <w:pPr>
        <w:spacing w:line="420" w:lineRule="exact"/>
        <w:outlineLvl w:val="3"/>
        <w:rPr>
          <w:rFonts w:asciiTheme="minorEastAsia" w:hAnsiTheme="minorEastAsia" w:cstheme="minorEastAsia"/>
          <w:b/>
          <w:bCs/>
          <w:sz w:val="21"/>
          <w:szCs w:val="21"/>
        </w:rPr>
      </w:pPr>
    </w:p>
    <w:p w14:paraId="7E2ABDB3">
      <w:pPr>
        <w:spacing w:line="420" w:lineRule="exact"/>
        <w:outlineLvl w:val="3"/>
        <w:rPr>
          <w:rFonts w:asciiTheme="minorEastAsia" w:hAnsiTheme="minorEastAsia" w:cstheme="minorEastAsia"/>
          <w:b/>
          <w:bCs/>
          <w:sz w:val="21"/>
          <w:szCs w:val="21"/>
        </w:rPr>
      </w:pPr>
    </w:p>
    <w:p w14:paraId="5103FE6B">
      <w:pPr>
        <w:spacing w:line="420" w:lineRule="exact"/>
        <w:outlineLvl w:val="3"/>
        <w:rPr>
          <w:rFonts w:asciiTheme="minorEastAsia" w:hAnsiTheme="minorEastAsia" w:cstheme="minorEastAsia"/>
          <w:b/>
          <w:bCs/>
          <w:sz w:val="21"/>
          <w:szCs w:val="21"/>
        </w:rPr>
      </w:pPr>
    </w:p>
    <w:p w14:paraId="3BD01274">
      <w:pPr>
        <w:spacing w:line="420" w:lineRule="exact"/>
        <w:outlineLvl w:val="3"/>
        <w:rPr>
          <w:rFonts w:asciiTheme="minorEastAsia" w:hAnsiTheme="minorEastAsia" w:cstheme="minorEastAsia"/>
          <w:b/>
          <w:bCs/>
          <w:sz w:val="21"/>
          <w:szCs w:val="21"/>
        </w:rPr>
      </w:pPr>
    </w:p>
    <w:p w14:paraId="54E084FD">
      <w:pPr>
        <w:spacing w:line="420" w:lineRule="exact"/>
        <w:outlineLvl w:val="3"/>
        <w:rPr>
          <w:rFonts w:asciiTheme="minorEastAsia" w:hAnsiTheme="minorEastAsia" w:cstheme="minorEastAsia"/>
          <w:b/>
          <w:bCs/>
          <w:sz w:val="21"/>
          <w:szCs w:val="21"/>
        </w:rPr>
      </w:pPr>
    </w:p>
    <w:p w14:paraId="64CDF76E">
      <w:pPr>
        <w:pStyle w:val="27"/>
        <w:rPr>
          <w:rFonts w:asciiTheme="minorEastAsia" w:hAnsiTheme="minorEastAsia" w:cstheme="minorEastAsia"/>
          <w:b/>
          <w:bCs/>
          <w:sz w:val="21"/>
          <w:szCs w:val="21"/>
        </w:rPr>
      </w:pPr>
    </w:p>
    <w:p w14:paraId="44B89171">
      <w:pPr>
        <w:spacing w:line="420" w:lineRule="exact"/>
        <w:outlineLvl w:val="3"/>
        <w:rPr>
          <w:rFonts w:asciiTheme="minorEastAsia" w:hAnsiTheme="minorEastAsia" w:cstheme="minorEastAsia"/>
          <w:b/>
          <w:bCs/>
        </w:rPr>
      </w:pPr>
      <w:r>
        <w:rPr>
          <w:rFonts w:hint="eastAsia" w:asciiTheme="minorEastAsia" w:hAnsiTheme="minorEastAsia" w:cstheme="minorEastAsia"/>
          <w:b/>
          <w:bCs/>
        </w:rPr>
        <w:t>三、投标函</w:t>
      </w:r>
    </w:p>
    <w:p w14:paraId="387957DC">
      <w:pPr>
        <w:spacing w:line="420" w:lineRule="exact"/>
        <w:outlineLvl w:val="3"/>
        <w:rPr>
          <w:rFonts w:asciiTheme="minorEastAsia" w:hAnsiTheme="minorEastAsia" w:cstheme="minorEastAsia"/>
          <w:b/>
          <w:bCs/>
        </w:rPr>
      </w:pPr>
    </w:p>
    <w:p w14:paraId="2BC68578">
      <w:pPr>
        <w:spacing w:line="360" w:lineRule="auto"/>
        <w:ind w:left="120" w:leftChars="50" w:firstLine="375" w:firstLineChars="178"/>
        <w:rPr>
          <w:rFonts w:asciiTheme="minorEastAsia" w:hAnsiTheme="minorEastAsia" w:cstheme="minorEastAsia"/>
          <w:b/>
          <w:bCs/>
          <w:sz w:val="21"/>
          <w:szCs w:val="21"/>
        </w:rPr>
      </w:pPr>
      <w:r>
        <w:rPr>
          <w:rFonts w:hint="eastAsia" w:asciiTheme="minorEastAsia" w:hAnsiTheme="minorEastAsia" w:cstheme="minorEastAsia"/>
          <w:b/>
          <w:bCs/>
          <w:sz w:val="21"/>
          <w:szCs w:val="21"/>
        </w:rPr>
        <w:t>致：深圳市龙岗区耳鼻咽喉医院</w:t>
      </w:r>
    </w:p>
    <w:p w14:paraId="3DE75087">
      <w:pPr>
        <w:spacing w:line="360" w:lineRule="auto"/>
        <w:ind w:left="120" w:leftChars="50" w:firstLine="373" w:firstLineChars="178"/>
        <w:rPr>
          <w:rFonts w:ascii="宋体" w:hAnsi="宋体"/>
          <w:sz w:val="21"/>
          <w:szCs w:val="21"/>
        </w:rPr>
      </w:pPr>
      <w:r>
        <w:rPr>
          <w:rFonts w:hint="eastAsia" w:ascii="宋体" w:hAnsi="宋体"/>
          <w:sz w:val="21"/>
          <w:szCs w:val="21"/>
        </w:rPr>
        <w:t>我方确认收到贵方</w:t>
      </w:r>
      <w:r>
        <w:rPr>
          <w:rFonts w:hint="eastAsia" w:ascii="宋体" w:hAnsi="宋体"/>
          <w:kern w:val="28"/>
          <w:sz w:val="21"/>
          <w:szCs w:val="21"/>
          <w:u w:val="single"/>
        </w:rPr>
        <w:t xml:space="preserve">                   </w:t>
      </w:r>
      <w:r>
        <w:rPr>
          <w:rFonts w:hint="eastAsia" w:ascii="宋体" w:hAnsi="宋体"/>
          <w:kern w:val="28"/>
          <w:sz w:val="21"/>
          <w:szCs w:val="21"/>
        </w:rPr>
        <w:t>采购</w:t>
      </w:r>
      <w:r>
        <w:rPr>
          <w:rFonts w:hint="eastAsia" w:ascii="宋体" w:hAnsi="宋体"/>
          <w:sz w:val="21"/>
          <w:szCs w:val="21"/>
        </w:rPr>
        <w:t>货物及相关服务的招标文件（项目编号：</w:t>
      </w:r>
      <w:r>
        <w:rPr>
          <w:rFonts w:hint="eastAsia" w:ascii="宋体" w:hAnsi="宋体"/>
          <w:sz w:val="21"/>
          <w:szCs w:val="21"/>
          <w:u w:val="single"/>
        </w:rPr>
        <w:t xml:space="preserve">           </w:t>
      </w:r>
      <w:r>
        <w:rPr>
          <w:rFonts w:hint="eastAsia" w:ascii="宋体" w:hAnsi="宋体"/>
          <w:sz w:val="21"/>
          <w:szCs w:val="21"/>
        </w:rPr>
        <w:t>），</w:t>
      </w:r>
      <w:r>
        <w:rPr>
          <w:rFonts w:hint="eastAsia" w:ascii="宋体" w:hAnsi="宋体"/>
          <w:sz w:val="21"/>
          <w:szCs w:val="21"/>
          <w:u w:val="single"/>
        </w:rPr>
        <w:t xml:space="preserve"> (投标人名称、地址)</w:t>
      </w:r>
      <w:r>
        <w:rPr>
          <w:rFonts w:hint="eastAsia" w:ascii="宋体" w:hAnsi="宋体"/>
          <w:sz w:val="21"/>
          <w:szCs w:val="21"/>
        </w:rPr>
        <w:t>作为投标人已正式授权</w:t>
      </w:r>
      <w:r>
        <w:rPr>
          <w:rFonts w:hint="eastAsia" w:ascii="宋体" w:hAnsi="宋体"/>
          <w:sz w:val="21"/>
          <w:szCs w:val="21"/>
          <w:u w:val="single"/>
        </w:rPr>
        <w:t xml:space="preserve"> (被投标人授权代表全名、职务)</w:t>
      </w:r>
      <w:r>
        <w:rPr>
          <w:rFonts w:hint="eastAsia" w:ascii="宋体" w:hAnsi="宋体"/>
          <w:sz w:val="21"/>
          <w:szCs w:val="21"/>
        </w:rPr>
        <w:t>为我方签名代表，签名代表在此声明并同意：</w:t>
      </w:r>
    </w:p>
    <w:p w14:paraId="4DABF6AE">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我单位愿意遵守招标文件的各项规定，自愿参加投标，并已清楚招标文件的要求及有关文件规定，并严格按照招标文件的规定履行全部责任和义务。</w:t>
      </w:r>
    </w:p>
    <w:p w14:paraId="67F6C004">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我们同意本投标文件的投标有效期从提交投标文件的截止之日起</w:t>
      </w:r>
      <w:r>
        <w:rPr>
          <w:rFonts w:hint="eastAsia" w:asciiTheme="minorEastAsia" w:hAnsiTheme="minorEastAsia" w:cstheme="minorEastAsia"/>
          <w:b/>
          <w:sz w:val="21"/>
          <w:szCs w:val="21"/>
          <w:u w:val="single"/>
        </w:rPr>
        <w:t>90</w:t>
      </w:r>
      <w:r>
        <w:rPr>
          <w:rFonts w:hint="eastAsia" w:asciiTheme="minorEastAsia" w:hAnsiTheme="minorEastAsia" w:cstheme="minorEastAsia"/>
          <w:b/>
          <w:sz w:val="21"/>
          <w:szCs w:val="21"/>
        </w:rPr>
        <w:t>日历日内有效，并承诺不予撤销已递交的投标文件。</w:t>
      </w:r>
    </w:p>
    <w:p w14:paraId="03AB9484">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我单位已经详细地阅读并完全明白了全部招标文件及附件，我单位完全理解本招标文件的要求，我单位同意放弃对招标文件提出不明或误解的一切权利。</w:t>
      </w:r>
    </w:p>
    <w:p w14:paraId="71D6D810">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我单位同意提供</w:t>
      </w:r>
      <w:r>
        <w:rPr>
          <w:rFonts w:hint="eastAsia" w:asciiTheme="minorEastAsia" w:hAnsiTheme="minorEastAsia" w:cstheme="minorEastAsia"/>
          <w:b/>
          <w:sz w:val="21"/>
          <w:szCs w:val="21"/>
          <w:lang w:eastAsia="zh-TW"/>
        </w:rPr>
        <w:t>采购人</w:t>
      </w:r>
      <w:r>
        <w:rPr>
          <w:rFonts w:hint="eastAsia" w:asciiTheme="minorEastAsia" w:hAnsiTheme="minorEastAsia" w:cstheme="minorEastAsia"/>
          <w:b/>
          <w:sz w:val="21"/>
          <w:szCs w:val="21"/>
        </w:rPr>
        <w:t>与评审委员会要求的有关投标的一切数据或资料。</w:t>
      </w:r>
    </w:p>
    <w:p w14:paraId="66E011EF">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我单位理解</w:t>
      </w:r>
      <w:r>
        <w:rPr>
          <w:rFonts w:hint="eastAsia" w:asciiTheme="minorEastAsia" w:hAnsiTheme="minorEastAsia" w:cstheme="minorEastAsia"/>
          <w:b/>
          <w:sz w:val="21"/>
          <w:szCs w:val="21"/>
          <w:lang w:eastAsia="zh-TW"/>
        </w:rPr>
        <w:t>采购人</w:t>
      </w:r>
      <w:r>
        <w:rPr>
          <w:rFonts w:hint="eastAsia" w:asciiTheme="minorEastAsia" w:hAnsiTheme="minorEastAsia" w:cstheme="minorEastAsia"/>
          <w:b/>
          <w:sz w:val="21"/>
          <w:szCs w:val="21"/>
        </w:rPr>
        <w:t>与评审委员会并无义务必须接受最低报价的投标或其它任何投标，完全采购人拒绝迟到的任何投标和最低投标报价不是被授予中标的唯一条件。</w:t>
      </w:r>
    </w:p>
    <w:p w14:paraId="66D070FC">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 xml:space="preserve">如果我单位未对招标文件全部要求作出实质性响应，则完全同意并接受按无效投标处理。 </w:t>
      </w:r>
    </w:p>
    <w:p w14:paraId="4D125115">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已认真核实了投标文件的全部资料，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4FEFADF6">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如果我单位提供的声明或承诺不真实，则完全同意认定为我司提供虚假材料，并同意作相应处理。</w:t>
      </w:r>
    </w:p>
    <w:p w14:paraId="59E35D1B">
      <w:pPr>
        <w:numPr>
          <w:ilvl w:val="0"/>
          <w:numId w:val="7"/>
        </w:numPr>
        <w:tabs>
          <w:tab w:val="clear" w:pos="780"/>
        </w:tabs>
        <w:snapToGrid w:val="0"/>
        <w:spacing w:line="360" w:lineRule="auto"/>
        <w:ind w:left="426"/>
        <w:rPr>
          <w:rFonts w:asciiTheme="minorEastAsia" w:hAnsiTheme="minorEastAsia" w:cstheme="minorEastAsia"/>
          <w:b/>
          <w:sz w:val="21"/>
          <w:szCs w:val="21"/>
        </w:rPr>
      </w:pPr>
      <w:r>
        <w:rPr>
          <w:rFonts w:hint="eastAsia" w:asciiTheme="minorEastAsia" w:hAnsiTheme="minorEastAsia" w:cstheme="minorEastAsia"/>
          <w:b/>
          <w:sz w:val="21"/>
          <w:szCs w:val="21"/>
        </w:rPr>
        <w:t>我单位是依法注册的法人，在法律、财务及运作上完全独立于本项目采购人、用户单位（如有）和采购代理机构。</w:t>
      </w:r>
    </w:p>
    <w:p w14:paraId="7820E56A">
      <w:pPr>
        <w:snapToGrid w:val="0"/>
        <w:spacing w:line="360" w:lineRule="auto"/>
        <w:ind w:left="66"/>
        <w:rPr>
          <w:rFonts w:asciiTheme="minorEastAsia" w:hAnsiTheme="minorEastAsia" w:cstheme="minorEastAsia"/>
          <w:b/>
          <w:sz w:val="21"/>
          <w:szCs w:val="21"/>
        </w:rPr>
      </w:pPr>
      <w:r>
        <w:rPr>
          <w:rFonts w:hint="eastAsia" w:asciiTheme="minorEastAsia" w:hAnsiTheme="minorEastAsia" w:cstheme="minorEastAsia"/>
          <w:b/>
          <w:sz w:val="21"/>
          <w:szCs w:val="21"/>
        </w:rPr>
        <w:t>备注：</w:t>
      </w:r>
    </w:p>
    <w:p w14:paraId="547FE972">
      <w:pPr>
        <w:autoSpaceDE w:val="0"/>
        <w:autoSpaceDN w:val="0"/>
        <w:adjustRightInd w:val="0"/>
        <w:spacing w:line="360" w:lineRule="auto"/>
        <w:rPr>
          <w:rFonts w:asciiTheme="minorEastAsia" w:hAnsiTheme="minorEastAsia" w:cstheme="minorEastAsia"/>
          <w:b/>
          <w:sz w:val="21"/>
          <w:szCs w:val="21"/>
        </w:rPr>
      </w:pPr>
      <w:r>
        <w:rPr>
          <w:rFonts w:hint="eastAsia" w:asciiTheme="minorEastAsia" w:hAnsiTheme="minorEastAsia" w:cstheme="minorEastAsia"/>
          <w:b/>
          <w:sz w:val="21"/>
          <w:szCs w:val="21"/>
        </w:rPr>
        <w:t>1、投标函中承诺的投标有效期应当不少于招标文件中载明的投标有效期，否则视为无效投标。</w:t>
      </w:r>
    </w:p>
    <w:p w14:paraId="1BCDBF26">
      <w:pPr>
        <w:autoSpaceDE w:val="0"/>
        <w:autoSpaceDN w:val="0"/>
        <w:adjustRightInd w:val="0"/>
        <w:spacing w:line="360" w:lineRule="auto"/>
        <w:rPr>
          <w:rFonts w:asciiTheme="minorEastAsia" w:hAnsiTheme="minorEastAsia" w:cstheme="minorEastAsia"/>
          <w:b/>
          <w:sz w:val="21"/>
          <w:szCs w:val="21"/>
        </w:rPr>
      </w:pPr>
      <w:r>
        <w:rPr>
          <w:rFonts w:hint="eastAsia" w:asciiTheme="minorEastAsia" w:hAnsiTheme="minorEastAsia" w:cstheme="minorEastAsia"/>
          <w:b/>
          <w:sz w:val="21"/>
          <w:szCs w:val="21"/>
        </w:rPr>
        <w:t>2、除投标有效期承诺的时间外，本投标函内容不得擅自删改，否则视为无效投标。</w:t>
      </w:r>
    </w:p>
    <w:p w14:paraId="030CF21E">
      <w:pPr>
        <w:spacing w:line="360" w:lineRule="auto"/>
        <w:rPr>
          <w:rFonts w:asciiTheme="minorEastAsia" w:hAnsiTheme="minorEastAsia" w:cstheme="minorEastAsia"/>
          <w:b/>
          <w:bCs/>
          <w:sz w:val="21"/>
          <w:szCs w:val="21"/>
        </w:rPr>
      </w:pPr>
    </w:p>
    <w:p w14:paraId="0C15D83B">
      <w:pPr>
        <w:spacing w:line="360" w:lineRule="auto"/>
        <w:ind w:firstLine="1265" w:firstLineChars="600"/>
        <w:rPr>
          <w:b/>
          <w:bCs/>
          <w:sz w:val="21"/>
          <w:szCs w:val="21"/>
        </w:rPr>
      </w:pPr>
    </w:p>
    <w:p w14:paraId="572C4D40">
      <w:pPr>
        <w:spacing w:line="360" w:lineRule="auto"/>
        <w:ind w:firstLine="2741" w:firstLineChars="1300"/>
        <w:rPr>
          <w:sz w:val="21"/>
          <w:szCs w:val="21"/>
        </w:rPr>
      </w:pPr>
      <w:r>
        <w:rPr>
          <w:rFonts w:hint="eastAsia"/>
          <w:b/>
          <w:bCs/>
          <w:sz w:val="21"/>
          <w:szCs w:val="21"/>
        </w:rPr>
        <w:t>投标人单位名称（单位盖公章）：</w:t>
      </w:r>
      <w:r>
        <w:rPr>
          <w:rFonts w:hint="eastAsia"/>
          <w:sz w:val="21"/>
          <w:szCs w:val="21"/>
          <w:u w:val="single"/>
        </w:rPr>
        <w:t xml:space="preserve">                            </w:t>
      </w:r>
      <w:r>
        <w:rPr>
          <w:rFonts w:hint="eastAsia"/>
          <w:sz w:val="21"/>
          <w:szCs w:val="21"/>
        </w:rPr>
        <w:t xml:space="preserve"> </w:t>
      </w:r>
    </w:p>
    <w:p w14:paraId="3052F4DE">
      <w:pPr>
        <w:spacing w:line="360" w:lineRule="auto"/>
        <w:ind w:firstLine="2741" w:firstLineChars="1300"/>
        <w:rPr>
          <w:rFonts w:ascii="宋体" w:hAnsi="宋体"/>
          <w:b/>
          <w:bCs/>
          <w:sz w:val="21"/>
          <w:szCs w:val="21"/>
        </w:rPr>
      </w:pPr>
      <w:r>
        <w:rPr>
          <w:rFonts w:hint="eastAsia" w:ascii="宋体" w:hAnsi="宋体"/>
          <w:b/>
          <w:bCs/>
          <w:sz w:val="21"/>
          <w:szCs w:val="21"/>
        </w:rPr>
        <w:t>日期：</w:t>
      </w:r>
      <w:r>
        <w:rPr>
          <w:rFonts w:hint="eastAsia" w:ascii="宋体" w:hAnsi="宋体"/>
          <w:b/>
          <w:bCs/>
          <w:sz w:val="21"/>
          <w:szCs w:val="21"/>
          <w:u w:val="single"/>
        </w:rPr>
        <w:t xml:space="preserve">       </w:t>
      </w:r>
      <w:r>
        <w:rPr>
          <w:rFonts w:hint="eastAsia" w:ascii="宋体" w:hAnsi="宋体"/>
          <w:b/>
          <w:bCs/>
          <w:sz w:val="21"/>
          <w:szCs w:val="21"/>
        </w:rPr>
        <w:t>年</w:t>
      </w:r>
      <w:r>
        <w:rPr>
          <w:rFonts w:hint="eastAsia" w:ascii="宋体" w:hAnsi="宋体"/>
          <w:b/>
          <w:bCs/>
          <w:sz w:val="21"/>
          <w:szCs w:val="21"/>
          <w:u w:val="single"/>
        </w:rPr>
        <w:t xml:space="preserve">     </w:t>
      </w:r>
      <w:r>
        <w:rPr>
          <w:rFonts w:hint="eastAsia" w:ascii="宋体" w:hAnsi="宋体"/>
          <w:b/>
          <w:bCs/>
          <w:sz w:val="21"/>
          <w:szCs w:val="21"/>
        </w:rPr>
        <w:t>月</w:t>
      </w:r>
      <w:r>
        <w:rPr>
          <w:rFonts w:hint="eastAsia" w:ascii="宋体" w:hAnsi="宋体"/>
          <w:b/>
          <w:bCs/>
          <w:sz w:val="21"/>
          <w:szCs w:val="21"/>
          <w:u w:val="single"/>
        </w:rPr>
        <w:t xml:space="preserve">    </w:t>
      </w:r>
      <w:r>
        <w:rPr>
          <w:rFonts w:hint="eastAsia" w:ascii="宋体" w:hAnsi="宋体"/>
          <w:b/>
          <w:bCs/>
          <w:sz w:val="21"/>
          <w:szCs w:val="21"/>
        </w:rPr>
        <w:t>日</w:t>
      </w:r>
    </w:p>
    <w:p w14:paraId="180CCA45">
      <w:pPr>
        <w:adjustRightInd w:val="0"/>
        <w:snapToGrid w:val="0"/>
        <w:spacing w:line="360" w:lineRule="auto"/>
        <w:rPr>
          <w:rFonts w:ascii="黑体" w:eastAsia="黑体"/>
          <w:b/>
          <w:bCs/>
          <w:sz w:val="21"/>
          <w:szCs w:val="21"/>
        </w:rPr>
        <w:sectPr>
          <w:pgSz w:w="11906" w:h="16838"/>
          <w:pgMar w:top="1440" w:right="1286" w:bottom="1440" w:left="1440" w:header="851" w:footer="992" w:gutter="0"/>
          <w:pgBorders>
            <w:top w:val="none" w:sz="0" w:space="0"/>
            <w:left w:val="none" w:sz="0" w:space="0"/>
            <w:bottom w:val="none" w:sz="0" w:space="0"/>
            <w:right w:val="none" w:sz="0" w:space="0"/>
          </w:pgBorders>
          <w:cols w:space="720" w:num="1"/>
          <w:docGrid w:type="lines" w:linePitch="312" w:charSpace="0"/>
        </w:sectPr>
      </w:pPr>
    </w:p>
    <w:p w14:paraId="55A885E4">
      <w:pPr>
        <w:spacing w:line="420" w:lineRule="exact"/>
        <w:outlineLvl w:val="3"/>
        <w:rPr>
          <w:rFonts w:asciiTheme="minorEastAsia" w:hAnsiTheme="minorEastAsia" w:cstheme="minorEastAsia"/>
          <w:b/>
          <w:bCs/>
        </w:rPr>
      </w:pPr>
      <w:r>
        <w:rPr>
          <w:rFonts w:hint="eastAsia" w:asciiTheme="minorEastAsia" w:hAnsiTheme="minorEastAsia" w:cstheme="minorEastAsia"/>
          <w:b/>
          <w:bCs/>
        </w:rPr>
        <w:t>四、投标及履约承诺函</w:t>
      </w:r>
    </w:p>
    <w:p w14:paraId="4952EF70">
      <w:pPr>
        <w:pStyle w:val="2"/>
        <w:spacing w:line="420" w:lineRule="exact"/>
        <w:rPr>
          <w:rFonts w:ascii="仿宋_GB2312" w:hAnsi="仿宋_GB2312" w:eastAsia="仿宋_GB2312" w:cs="仿宋_GB2312"/>
          <w:bCs/>
          <w:color w:val="333333"/>
          <w:szCs w:val="24"/>
          <w:shd w:val="clear" w:color="auto" w:fill="FFFFFF"/>
        </w:rPr>
      </w:pPr>
    </w:p>
    <w:p w14:paraId="2B586216">
      <w:pPr>
        <w:tabs>
          <w:tab w:val="left" w:pos="360"/>
        </w:tabs>
        <w:spacing w:line="460" w:lineRule="exact"/>
        <w:jc w:val="both"/>
        <w:rPr>
          <w:rFonts w:hint="eastAsia" w:ascii="宋体" w:hAnsi="宋体" w:eastAsia="宋体" w:cs="宋体"/>
          <w:bCs/>
          <w:color w:val="333333"/>
          <w:shd w:val="clear" w:color="auto" w:fill="FFFFFF"/>
        </w:rPr>
      </w:pPr>
      <w:r>
        <w:rPr>
          <w:rFonts w:hint="eastAsia" w:ascii="宋体" w:hAnsi="宋体" w:eastAsia="宋体" w:cs="宋体"/>
          <w:b/>
          <w:bCs w:val="0"/>
          <w:color w:val="333333"/>
          <w:shd w:val="clear" w:color="auto" w:fill="FFFFFF"/>
        </w:rPr>
        <w:t>致：深圳市龙岗区耳鼻咽喉医院</w:t>
      </w:r>
    </w:p>
    <w:p w14:paraId="18DFF57E">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我公司承诺：</w:t>
      </w:r>
    </w:p>
    <w:p w14:paraId="2A9508BB">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1.我公司参与本项目所投标（响应）的货物或服务未侵犯知识产权。</w:t>
      </w:r>
    </w:p>
    <w:p w14:paraId="6E973CC8">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2.我公司参与本项目采购活动前三年内，在经营活动中没有《中华人民共和国政府采购法实施条例》第十九条规定的重大违法记录。</w:t>
      </w:r>
    </w:p>
    <w:p w14:paraId="034301E0">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3.我公司参与本项目采购活动时不存在被有关部门禁止参与政府采购活动且在有效期内的情况。</w:t>
      </w:r>
    </w:p>
    <w:p w14:paraId="7B3C5E20">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4.我公司具备《中华人民共和国政府采购法》第二十二条第一款规定的六项条件。</w:t>
      </w:r>
    </w:p>
    <w:p w14:paraId="4AFA0BC8">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5.我公司未被列入失信被执行人、重大税收违法案件当事人名单、政府采购严重违法失信行为记录名单。</w:t>
      </w:r>
    </w:p>
    <w:p w14:paraId="499E6DD1">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6.我公司参加本项目采购活动时，不存在《中华人民共和国政府采购法实施条例》第十八条规定的参加同一项目的其他供应商“单位负责人为同一人或者存在直接控股、管理关系”的情形，不存在《深圳经济特区政府采购条例实施细则》第七十五条规定的与参加同一项目的其他供应商“法定代表人、主要经营负责人、项目投标授权代表人、项目负责人、主要技术人员为同一人、属同一单位或者在同一单位缴纳社会保险”的情形，不存在对本次采购项目提供整体设计、规范编制或许项目管理、监理、检测等服务的情形。</w:t>
      </w:r>
    </w:p>
    <w:p w14:paraId="37F5EC6C">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7.我公司参与本项目采购活动，严格遵守政府采购相关法律，做到诚实，不造假，不围标、串标、陪标。我公司已清楚：如违反上述要求，将作无效响应处理，被列入不良记录名单并网上曝光，同时将被提请政府采购监督管理部门给予一定年限内禁止参与政府采购活动或其他处罚。</w:t>
      </w:r>
    </w:p>
    <w:p w14:paraId="4F2457A8">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8.我公司如果成为本项目成交供应商，做到守信，不偷工减料，依照本项目采购文件需求内容、签署的采购合同及本公司在参与投标文件中所作的一切响应和承诺进行履约。项目验收达到全部指标合格，力争优良。在合同履约期间，如我公司违法行为被禁止参与政府采购活动或者存在其他重大违法行为的。采购人可以提前解除合同或者不予续签合同。</w:t>
      </w:r>
    </w:p>
    <w:p w14:paraId="36FB25D3">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9.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报价响应中所作的全部承诺履行。我公司清楚，若我公司以“报价太低而无法履约”为理由放弃本项目中标资格时，愿意接受政府采购监督管理部门的处理。若我公司成为本项目成交供应商，我公司的报价明显低于其他参与投标供应商的报价时，本项目将成为重点监管、重点验收项目，我公司将按时保质保量完成，并全力配合有关监管、验收工作；若我公司未按上述要求履约，我公司愿意接受主管部门的处理处罚。</w:t>
      </w:r>
    </w:p>
    <w:p w14:paraId="70FECA81">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10.我公司已认真核实了招标响应文件的全部内容，所有资料均为真实材料。我公司对招标响应文件中全部投标资料的真实性负责，如被证实我公司的投标响应文件存在虚假资料，则视为我公司隐瞒真实情况、提供虚假资料，我公司愿意接受主管部门作出的行政处罚。</w:t>
      </w:r>
    </w:p>
    <w:p w14:paraId="13E508C2">
      <w:pPr>
        <w:tabs>
          <w:tab w:val="left" w:pos="360"/>
        </w:tabs>
        <w:spacing w:line="460" w:lineRule="exact"/>
        <w:ind w:firstLine="480" w:firstLineChars="200"/>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11.我公司承诺不非法转包、分包。</w:t>
      </w:r>
    </w:p>
    <w:p w14:paraId="057E8D3B">
      <w:pPr>
        <w:tabs>
          <w:tab w:val="left" w:pos="360"/>
        </w:tabs>
        <w:spacing w:line="460" w:lineRule="exact"/>
        <w:jc w:val="both"/>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以上承诺，如违反上述要求愿依照国家相关法律及招标文件相关要求进行处理，投标无效，将被提请政府采购监督管理部门列入不良记录名单并在网上曝光，给予一定年限内禁止参与政府采购活动或其他处罚，并承担由此给采购人带来的损失。</w:t>
      </w:r>
    </w:p>
    <w:p w14:paraId="25B44566">
      <w:pPr>
        <w:tabs>
          <w:tab w:val="left" w:pos="360"/>
        </w:tabs>
        <w:spacing w:line="460" w:lineRule="exact"/>
        <w:jc w:val="both"/>
        <w:rPr>
          <w:rFonts w:hint="eastAsia" w:ascii="宋体" w:hAnsi="宋体" w:eastAsia="宋体" w:cs="宋体"/>
          <w:bCs/>
          <w:color w:val="333333"/>
          <w:shd w:val="clear" w:color="auto" w:fill="FFFFFF"/>
        </w:rPr>
      </w:pPr>
    </w:p>
    <w:p w14:paraId="39D17F70">
      <w:pPr>
        <w:pStyle w:val="2"/>
        <w:spacing w:line="420" w:lineRule="exact"/>
        <w:rPr>
          <w:rFonts w:hint="eastAsia" w:ascii="宋体" w:hAnsi="宋体" w:eastAsia="宋体" w:cs="宋体"/>
          <w:bCs/>
          <w:color w:val="333333"/>
          <w:szCs w:val="24"/>
          <w:shd w:val="clear" w:color="auto" w:fill="FFFFFF"/>
        </w:rPr>
      </w:pPr>
    </w:p>
    <w:p w14:paraId="540A86E1">
      <w:pPr>
        <w:tabs>
          <w:tab w:val="left" w:pos="426"/>
        </w:tabs>
        <w:snapToGrid w:val="0"/>
        <w:spacing w:line="420" w:lineRule="exact"/>
        <w:rPr>
          <w:rFonts w:hint="eastAsia" w:ascii="宋体" w:hAnsi="宋体" w:eastAsia="宋体" w:cs="宋体"/>
          <w:bCs/>
          <w:color w:val="333333"/>
          <w:shd w:val="clear" w:color="auto" w:fill="FFFFFF"/>
        </w:rPr>
      </w:pPr>
    </w:p>
    <w:p w14:paraId="02C3AFF0">
      <w:pPr>
        <w:tabs>
          <w:tab w:val="left" w:pos="426"/>
        </w:tabs>
        <w:spacing w:line="420" w:lineRule="exact"/>
        <w:ind w:firstLine="5040" w:firstLineChars="21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投标人单位名称（公章）：</w:t>
      </w:r>
    </w:p>
    <w:p w14:paraId="454BD4AF">
      <w:pPr>
        <w:tabs>
          <w:tab w:val="left" w:pos="426"/>
        </w:tabs>
        <w:spacing w:line="420" w:lineRule="exact"/>
        <w:ind w:firstLine="4560" w:firstLineChars="1900"/>
        <w:rPr>
          <w:rFonts w:hint="eastAsia" w:ascii="宋体" w:hAnsi="宋体" w:eastAsia="宋体" w:cs="宋体"/>
          <w:bCs/>
          <w:color w:val="333333"/>
          <w:shd w:val="clear" w:color="auto" w:fill="FFFFFF"/>
        </w:rPr>
      </w:pPr>
      <w:r>
        <w:rPr>
          <w:rFonts w:hint="eastAsia" w:ascii="宋体" w:hAnsi="宋体" w:eastAsia="宋体" w:cs="宋体"/>
          <w:bCs/>
          <w:color w:val="333333"/>
          <w:shd w:val="clear" w:color="auto" w:fill="FFFFFF"/>
        </w:rPr>
        <w:t>法定代表人或其授权代表签名：</w:t>
      </w:r>
    </w:p>
    <w:p w14:paraId="6ACAC6B5">
      <w:pPr>
        <w:tabs>
          <w:tab w:val="left" w:pos="426"/>
        </w:tabs>
        <w:spacing w:line="420" w:lineRule="exact"/>
        <w:ind w:firstLine="4800" w:firstLineChars="2000"/>
        <w:rPr>
          <w:rFonts w:ascii="仿宋_GB2312" w:hAnsi="仿宋_GB2312" w:eastAsia="仿宋_GB2312" w:cs="仿宋_GB2312"/>
          <w:bCs/>
          <w:color w:val="333333"/>
          <w:shd w:val="clear" w:color="auto" w:fill="FFFFFF"/>
        </w:rPr>
      </w:pPr>
      <w:r>
        <w:rPr>
          <w:rFonts w:hint="eastAsia" w:ascii="宋体" w:hAnsi="宋体" w:eastAsia="宋体" w:cs="宋体"/>
          <w:bCs/>
          <w:color w:val="333333"/>
          <w:shd w:val="clear" w:color="auto" w:fill="FFFFFF"/>
        </w:rPr>
        <w:t>日期：      年    月    日</w:t>
      </w:r>
    </w:p>
    <w:p w14:paraId="4B03D32B">
      <w:pPr>
        <w:pStyle w:val="27"/>
        <w:tabs>
          <w:tab w:val="left" w:pos="426"/>
        </w:tabs>
        <w:rPr>
          <w:rFonts w:ascii="仿宋_GB2312" w:hAnsi="仿宋_GB2312" w:eastAsia="仿宋_GB2312" w:cs="仿宋_GB2312"/>
          <w:bCs/>
        </w:rPr>
      </w:pPr>
    </w:p>
    <w:p w14:paraId="7569426D">
      <w:pPr>
        <w:pStyle w:val="27"/>
        <w:tabs>
          <w:tab w:val="left" w:pos="426"/>
        </w:tabs>
        <w:rPr>
          <w:rFonts w:ascii="仿宋" w:hAnsi="仿宋" w:eastAsia="仿宋" w:cs="仿宋"/>
        </w:rPr>
      </w:pPr>
    </w:p>
    <w:p w14:paraId="5EC9E213">
      <w:pPr>
        <w:pStyle w:val="27"/>
        <w:tabs>
          <w:tab w:val="left" w:pos="426"/>
        </w:tabs>
        <w:rPr>
          <w:rFonts w:ascii="仿宋" w:hAnsi="仿宋" w:eastAsia="仿宋" w:cs="仿宋"/>
        </w:rPr>
      </w:pPr>
    </w:p>
    <w:p w14:paraId="0E4576D6">
      <w:pPr>
        <w:pStyle w:val="27"/>
        <w:tabs>
          <w:tab w:val="left" w:pos="426"/>
        </w:tabs>
        <w:rPr>
          <w:rFonts w:ascii="仿宋" w:hAnsi="仿宋" w:eastAsia="仿宋" w:cs="仿宋"/>
        </w:rPr>
      </w:pPr>
    </w:p>
    <w:p w14:paraId="78D3AB47">
      <w:pPr>
        <w:pStyle w:val="27"/>
        <w:tabs>
          <w:tab w:val="left" w:pos="426"/>
        </w:tabs>
        <w:rPr>
          <w:rFonts w:ascii="仿宋" w:hAnsi="仿宋" w:eastAsia="仿宋" w:cs="仿宋"/>
        </w:rPr>
      </w:pPr>
    </w:p>
    <w:p w14:paraId="1BCF8CB2">
      <w:pPr>
        <w:numPr>
          <w:ilvl w:val="0"/>
          <w:numId w:val="8"/>
        </w:numPr>
        <w:spacing w:line="420" w:lineRule="exact"/>
        <w:rPr>
          <w:rFonts w:asciiTheme="minorEastAsia" w:hAnsiTheme="minorEastAsia" w:cstheme="minorEastAsia"/>
          <w:b/>
        </w:rPr>
      </w:pPr>
      <w:r>
        <w:rPr>
          <w:rFonts w:hint="eastAsia" w:asciiTheme="minorEastAsia" w:hAnsiTheme="minorEastAsia" w:cstheme="minorEastAsia"/>
          <w:b/>
          <w:lang w:val="en-US" w:eastAsia="zh-CN"/>
        </w:rPr>
        <w:t>政府</w:t>
      </w:r>
      <w:r>
        <w:rPr>
          <w:rFonts w:hint="eastAsia" w:asciiTheme="minorEastAsia" w:hAnsiTheme="minorEastAsia" w:cstheme="minorEastAsia"/>
          <w:b/>
        </w:rPr>
        <w:t>采购违法行为风险知悉确认书</w:t>
      </w:r>
    </w:p>
    <w:p w14:paraId="3200835C">
      <w:pPr>
        <w:spacing w:line="420" w:lineRule="exact"/>
        <w:rPr>
          <w:rFonts w:asciiTheme="minorEastAsia" w:hAnsiTheme="minorEastAsia" w:cstheme="minorEastAsia"/>
          <w:b/>
        </w:rPr>
      </w:pPr>
    </w:p>
    <w:p w14:paraId="0295DBC6">
      <w:pPr>
        <w:spacing w:line="360" w:lineRule="auto"/>
        <w:ind w:left="120" w:leftChars="50" w:firstLine="373" w:firstLineChars="178"/>
        <w:rPr>
          <w:rFonts w:ascii="宋体" w:hAnsi="宋体"/>
          <w:sz w:val="21"/>
          <w:szCs w:val="21"/>
        </w:rPr>
      </w:pPr>
      <w:r>
        <w:rPr>
          <w:rFonts w:hint="eastAsia" w:ascii="宋体" w:hAnsi="宋体"/>
          <w:sz w:val="21"/>
          <w:szCs w:val="21"/>
        </w:rPr>
        <w:t>本公司（单位）已充分知悉以下情形为参与采购活动时的重大风险事项，并承诺已对下述风险提示事项重点排查，做到严谨、诚信、依法依规参与贵院采购活动。</w:t>
      </w:r>
    </w:p>
    <w:p w14:paraId="180D2FDA">
      <w:pPr>
        <w:spacing w:line="360" w:lineRule="auto"/>
        <w:ind w:left="120" w:leftChars="50" w:firstLine="373" w:firstLineChars="178"/>
        <w:rPr>
          <w:rFonts w:ascii="宋体" w:hAnsi="宋体"/>
          <w:sz w:val="21"/>
          <w:szCs w:val="21"/>
        </w:rPr>
      </w:pPr>
      <w:r>
        <w:rPr>
          <w:rFonts w:hint="eastAsia" w:ascii="宋体" w:hAnsi="宋体"/>
          <w:sz w:val="21"/>
          <w:szCs w:val="21"/>
        </w:rPr>
        <w:t>一、本公司（单位）已充分知悉“隐瞒真实情况，提供虚假资料”的法定情形，相关情形包括但不限于：</w:t>
      </w:r>
    </w:p>
    <w:p w14:paraId="522925A2">
      <w:pPr>
        <w:spacing w:line="360" w:lineRule="auto"/>
        <w:ind w:left="120" w:leftChars="50" w:firstLine="373" w:firstLineChars="178"/>
        <w:rPr>
          <w:rFonts w:ascii="宋体" w:hAnsi="宋体"/>
          <w:sz w:val="21"/>
          <w:szCs w:val="21"/>
        </w:rPr>
      </w:pPr>
      <w:r>
        <w:rPr>
          <w:rFonts w:hint="eastAsia" w:ascii="宋体" w:hAnsi="宋体"/>
          <w:sz w:val="21"/>
          <w:szCs w:val="21"/>
        </w:rPr>
        <w:t>（一）通过转让或者租借等方式从其他单位获取资格或者资质证书参加项目采购活动的。</w:t>
      </w:r>
    </w:p>
    <w:p w14:paraId="245F2C6F">
      <w:pPr>
        <w:spacing w:line="360" w:lineRule="auto"/>
        <w:ind w:left="120" w:leftChars="50" w:firstLine="373" w:firstLineChars="178"/>
        <w:rPr>
          <w:rFonts w:ascii="宋体" w:hAnsi="宋体"/>
          <w:sz w:val="21"/>
          <w:szCs w:val="21"/>
        </w:rPr>
      </w:pPr>
      <w:r>
        <w:rPr>
          <w:rFonts w:hint="eastAsia" w:ascii="宋体" w:hAnsi="宋体"/>
          <w:sz w:val="21"/>
          <w:szCs w:val="21"/>
        </w:rPr>
        <w:t>（二）由其他单位或者其他单位负责人在编制的投标文件上加盖印章或者签字的。</w:t>
      </w:r>
    </w:p>
    <w:p w14:paraId="7CC57F16">
      <w:pPr>
        <w:spacing w:line="360" w:lineRule="auto"/>
        <w:ind w:left="120" w:leftChars="50" w:firstLine="373" w:firstLineChars="178"/>
        <w:rPr>
          <w:rFonts w:ascii="宋体" w:hAnsi="宋体"/>
          <w:sz w:val="21"/>
          <w:szCs w:val="21"/>
        </w:rPr>
      </w:pPr>
      <w:r>
        <w:rPr>
          <w:rFonts w:hint="eastAsia" w:ascii="宋体" w:hAnsi="宋体"/>
          <w:sz w:val="21"/>
          <w:szCs w:val="21"/>
        </w:rPr>
        <w:t>（三）项目负责人或者主要技术人员不是本单位人员的。</w:t>
      </w:r>
    </w:p>
    <w:p w14:paraId="183AEE01">
      <w:pPr>
        <w:spacing w:line="360" w:lineRule="auto"/>
        <w:ind w:left="120" w:leftChars="50" w:firstLine="373" w:firstLineChars="178"/>
        <w:rPr>
          <w:rFonts w:ascii="宋体" w:hAnsi="宋体"/>
          <w:sz w:val="21"/>
          <w:szCs w:val="21"/>
        </w:rPr>
      </w:pPr>
      <w:r>
        <w:rPr>
          <w:rFonts w:hint="eastAsia" w:ascii="宋体" w:hAnsi="宋体"/>
          <w:sz w:val="21"/>
          <w:szCs w:val="21"/>
        </w:rPr>
        <w:t>（四）其他隐瞒真实情况、提供虚假资料的行为。</w:t>
      </w:r>
    </w:p>
    <w:p w14:paraId="12FF0251">
      <w:pPr>
        <w:spacing w:line="360" w:lineRule="auto"/>
        <w:ind w:left="120" w:leftChars="50" w:firstLine="373" w:firstLineChars="178"/>
        <w:rPr>
          <w:rFonts w:ascii="宋体" w:hAnsi="宋体"/>
          <w:sz w:val="21"/>
          <w:szCs w:val="21"/>
        </w:rPr>
      </w:pPr>
      <w:r>
        <w:rPr>
          <w:rFonts w:hint="eastAsia" w:ascii="宋体" w:hAnsi="宋体"/>
          <w:sz w:val="21"/>
          <w:szCs w:val="21"/>
        </w:rPr>
        <w:t>二、本公司（单位）已充分知悉“与其他采购参加人串通投标”的法定情形，相关情形包括但不限于：</w:t>
      </w:r>
    </w:p>
    <w:p w14:paraId="0166177C">
      <w:pPr>
        <w:spacing w:line="360" w:lineRule="auto"/>
        <w:ind w:left="120" w:leftChars="50" w:firstLine="373" w:firstLineChars="178"/>
        <w:rPr>
          <w:rFonts w:ascii="宋体" w:hAnsi="宋体"/>
          <w:sz w:val="21"/>
          <w:szCs w:val="21"/>
        </w:rPr>
      </w:pPr>
      <w:r>
        <w:rPr>
          <w:rFonts w:hint="eastAsia" w:ascii="宋体" w:hAnsi="宋体"/>
          <w:sz w:val="21"/>
          <w:szCs w:val="21"/>
        </w:rPr>
        <w:t>（一）参加本项目供应商之间相互约定给予未中标的供应商利益补偿。</w:t>
      </w:r>
    </w:p>
    <w:p w14:paraId="06CCF021">
      <w:pPr>
        <w:spacing w:line="360" w:lineRule="auto"/>
        <w:ind w:left="120" w:leftChars="50" w:firstLine="373" w:firstLineChars="178"/>
        <w:rPr>
          <w:rFonts w:ascii="宋体" w:hAnsi="宋体"/>
          <w:sz w:val="21"/>
          <w:szCs w:val="21"/>
        </w:rPr>
      </w:pPr>
      <w:r>
        <w:rPr>
          <w:rFonts w:hint="eastAsia" w:ascii="宋体" w:hAnsi="宋体"/>
          <w:sz w:val="21"/>
          <w:szCs w:val="21"/>
        </w:rPr>
        <w:t>（二）不同报名供应商的法定代表人、主要经营负责人、项目授权代表人、项目负责人、主要技术人员为同一人、属同一单位或者在同一单位缴纳社会保险。</w:t>
      </w:r>
    </w:p>
    <w:p w14:paraId="022453E7">
      <w:pPr>
        <w:spacing w:line="360" w:lineRule="auto"/>
        <w:ind w:left="120" w:leftChars="50" w:firstLine="373" w:firstLineChars="178"/>
        <w:rPr>
          <w:rFonts w:ascii="宋体" w:hAnsi="宋体"/>
          <w:sz w:val="21"/>
          <w:szCs w:val="21"/>
        </w:rPr>
      </w:pPr>
      <w:r>
        <w:rPr>
          <w:rFonts w:hint="eastAsia" w:ascii="宋体" w:hAnsi="宋体"/>
          <w:sz w:val="21"/>
          <w:szCs w:val="21"/>
        </w:rPr>
        <w:t>（三）不同报名供应商的投标文件由同一单位或者同一人编制，或者由同一人分阶段参与编制的。</w:t>
      </w:r>
    </w:p>
    <w:p w14:paraId="4990452A">
      <w:pPr>
        <w:spacing w:line="360" w:lineRule="auto"/>
        <w:ind w:left="120" w:leftChars="50" w:firstLine="373" w:firstLineChars="178"/>
        <w:rPr>
          <w:rFonts w:ascii="宋体" w:hAnsi="宋体"/>
          <w:sz w:val="21"/>
          <w:szCs w:val="21"/>
        </w:rPr>
      </w:pPr>
      <w:r>
        <w:rPr>
          <w:rFonts w:hint="eastAsia" w:ascii="宋体" w:hAnsi="宋体"/>
          <w:sz w:val="21"/>
          <w:szCs w:val="21"/>
        </w:rPr>
        <w:t>（四）不同报名供应商的投标文件或部分投标文件相互混装。</w:t>
      </w:r>
    </w:p>
    <w:p w14:paraId="3565E9DD">
      <w:pPr>
        <w:spacing w:line="360" w:lineRule="auto"/>
        <w:ind w:left="120" w:leftChars="50" w:firstLine="373" w:firstLineChars="178"/>
        <w:rPr>
          <w:rFonts w:ascii="宋体" w:hAnsi="宋体"/>
          <w:sz w:val="21"/>
          <w:szCs w:val="21"/>
        </w:rPr>
      </w:pPr>
      <w:r>
        <w:rPr>
          <w:rFonts w:hint="eastAsia" w:ascii="宋体" w:hAnsi="宋体"/>
          <w:sz w:val="21"/>
          <w:szCs w:val="21"/>
        </w:rPr>
        <w:t>（五）不同报名供应商的投标文件内容存在非正常一致。</w:t>
      </w:r>
    </w:p>
    <w:p w14:paraId="6862E008">
      <w:pPr>
        <w:spacing w:line="360" w:lineRule="auto"/>
        <w:ind w:left="120" w:leftChars="50" w:firstLine="373" w:firstLineChars="178"/>
        <w:rPr>
          <w:rFonts w:ascii="宋体" w:hAnsi="宋体"/>
          <w:sz w:val="21"/>
          <w:szCs w:val="21"/>
        </w:rPr>
      </w:pPr>
      <w:r>
        <w:rPr>
          <w:rFonts w:hint="eastAsia" w:ascii="宋体" w:hAnsi="宋体"/>
          <w:sz w:val="21"/>
          <w:szCs w:val="21"/>
        </w:rPr>
        <w:t>（六）由同一单位工作人员为两家以上（含两家）供应商进行同一项采购活动的。</w:t>
      </w:r>
    </w:p>
    <w:p w14:paraId="511067F1">
      <w:pPr>
        <w:spacing w:line="360" w:lineRule="auto"/>
        <w:ind w:left="120" w:leftChars="50" w:firstLine="373" w:firstLineChars="178"/>
        <w:rPr>
          <w:rFonts w:ascii="宋体" w:hAnsi="宋体"/>
          <w:sz w:val="21"/>
          <w:szCs w:val="21"/>
        </w:rPr>
      </w:pPr>
      <w:r>
        <w:rPr>
          <w:rFonts w:hint="eastAsia" w:ascii="宋体" w:hAnsi="宋体"/>
          <w:sz w:val="21"/>
          <w:szCs w:val="21"/>
        </w:rPr>
        <w:t>（七）不同供应商的报价呈规律性差异。</w:t>
      </w:r>
    </w:p>
    <w:p w14:paraId="73585169">
      <w:pPr>
        <w:spacing w:line="360" w:lineRule="auto"/>
        <w:ind w:left="120" w:leftChars="50" w:firstLine="373" w:firstLineChars="178"/>
        <w:rPr>
          <w:rFonts w:ascii="宋体" w:hAnsi="宋体"/>
          <w:sz w:val="21"/>
          <w:szCs w:val="21"/>
        </w:rPr>
      </w:pPr>
      <w:r>
        <w:rPr>
          <w:rFonts w:hint="eastAsia" w:ascii="宋体" w:hAnsi="宋体"/>
          <w:sz w:val="21"/>
          <w:szCs w:val="21"/>
        </w:rPr>
        <w:t>（八）主管部门依照法律、法规认定的其他情形。</w:t>
      </w:r>
    </w:p>
    <w:p w14:paraId="104FA216">
      <w:pPr>
        <w:spacing w:line="360" w:lineRule="auto"/>
        <w:ind w:left="120" w:leftChars="50" w:firstLine="373" w:firstLineChars="178"/>
        <w:rPr>
          <w:rFonts w:ascii="宋体" w:hAnsi="宋体"/>
          <w:sz w:val="21"/>
          <w:szCs w:val="21"/>
        </w:rPr>
      </w:pPr>
      <w:r>
        <w:rPr>
          <w:rFonts w:hint="eastAsia" w:ascii="宋体" w:hAnsi="宋体"/>
          <w:sz w:val="21"/>
          <w:szCs w:val="21"/>
        </w:rPr>
        <w:t>三、本公司（单位）已充分知悉下列情形所对应的法律风险，并已对相关风险事项进行排查。</w:t>
      </w:r>
    </w:p>
    <w:p w14:paraId="7300110B">
      <w:pPr>
        <w:spacing w:line="360" w:lineRule="auto"/>
        <w:ind w:left="120" w:leftChars="50" w:firstLine="373" w:firstLineChars="178"/>
        <w:rPr>
          <w:rFonts w:ascii="宋体" w:hAnsi="宋体"/>
          <w:sz w:val="21"/>
          <w:szCs w:val="21"/>
        </w:rPr>
      </w:pPr>
      <w:r>
        <w:rPr>
          <w:rFonts w:hint="eastAsia" w:ascii="宋体" w:hAnsi="宋体"/>
          <w:sz w:val="21"/>
          <w:szCs w:val="21"/>
        </w:rPr>
        <w:t>（一）对于从其他主体获取的资料，供应商应审慎核查，确保投标文件的真实性。如主管部门查实投标文件中存在虚假资料的，无论相关资料是否由第三方或本公司（单位）员工提供，均不影响</w:t>
      </w:r>
    </w:p>
    <w:p w14:paraId="28B8F17E">
      <w:pPr>
        <w:spacing w:line="360" w:lineRule="auto"/>
        <w:ind w:left="120" w:leftChars="50" w:firstLine="373" w:firstLineChars="178"/>
        <w:rPr>
          <w:rFonts w:ascii="宋体" w:hAnsi="宋体"/>
          <w:sz w:val="21"/>
          <w:szCs w:val="21"/>
        </w:rPr>
      </w:pPr>
      <w:r>
        <w:rPr>
          <w:rFonts w:hint="eastAsia" w:ascii="宋体" w:hAnsi="宋体"/>
          <w:sz w:val="21"/>
          <w:szCs w:val="21"/>
        </w:rPr>
        <w:t>主管部门对供应商存在“隐瞒真实情况，提供虚假资料”违法行为的认定。</w:t>
      </w:r>
    </w:p>
    <w:p w14:paraId="4E854BD2">
      <w:pPr>
        <w:spacing w:line="360" w:lineRule="auto"/>
        <w:ind w:left="120" w:leftChars="50" w:firstLine="373" w:firstLineChars="178"/>
        <w:rPr>
          <w:rFonts w:ascii="宋体" w:hAnsi="宋体"/>
          <w:sz w:val="21"/>
          <w:szCs w:val="21"/>
        </w:rPr>
      </w:pPr>
      <w:r>
        <w:rPr>
          <w:rFonts w:hint="eastAsia" w:ascii="宋体" w:hAnsi="宋体"/>
          <w:sz w:val="21"/>
          <w:szCs w:val="21"/>
        </w:rPr>
        <w:t>（二）对于涉及国家机关出具的公文、证件、证明材料等文件，一旦涉嫌虚假，经查实，主管部门将依法从严处理，并移送有关部门追究法律责任；涉嫌犯罪的，主管部门将一并移送司法机关追究法律责任。</w:t>
      </w:r>
    </w:p>
    <w:p w14:paraId="1C1A10A4">
      <w:pPr>
        <w:spacing w:line="360" w:lineRule="auto"/>
        <w:ind w:left="120" w:leftChars="50" w:firstLine="373" w:firstLineChars="178"/>
        <w:rPr>
          <w:rFonts w:ascii="宋体" w:hAnsi="宋体"/>
          <w:sz w:val="21"/>
          <w:szCs w:val="21"/>
        </w:rPr>
      </w:pPr>
      <w:r>
        <w:rPr>
          <w:rFonts w:hint="eastAsia" w:ascii="宋体" w:hAnsi="宋体"/>
          <w:sz w:val="21"/>
          <w:szCs w:val="21"/>
        </w:rPr>
        <w:t>（三）对于涉及安全生产、特种作业、抢险救灾、防疫等政府采购项目，供应商实施提供虚假资料、串通投标等违法行为的，主管部门将依法从严处理。</w:t>
      </w:r>
    </w:p>
    <w:p w14:paraId="3F4AE502">
      <w:pPr>
        <w:spacing w:line="360" w:lineRule="auto"/>
        <w:ind w:left="120" w:leftChars="50" w:firstLine="373" w:firstLineChars="178"/>
        <w:rPr>
          <w:rFonts w:ascii="宋体" w:hAnsi="宋体"/>
          <w:sz w:val="21"/>
          <w:szCs w:val="21"/>
        </w:rPr>
      </w:pPr>
      <w:r>
        <w:rPr>
          <w:rFonts w:hint="eastAsia" w:ascii="宋体" w:hAnsi="宋体"/>
          <w:sz w:val="21"/>
          <w:szCs w:val="21"/>
        </w:rPr>
        <w:t>（四）供应商应严格规范项目授权代表、员工参与本项目采购活动的行为，加强对投标文件的审核。项目授权代表、员工编制、上传投标文件等行为违反政府采购法律法规或招标文件要求的，供应商应当依法承担相应法律责任。</w:t>
      </w:r>
    </w:p>
    <w:p w14:paraId="1A48F653">
      <w:pPr>
        <w:spacing w:line="360" w:lineRule="auto"/>
        <w:ind w:left="120" w:leftChars="50" w:firstLine="373" w:firstLineChars="178"/>
        <w:rPr>
          <w:rFonts w:ascii="宋体" w:hAnsi="宋体"/>
          <w:sz w:val="21"/>
          <w:szCs w:val="21"/>
        </w:rPr>
      </w:pPr>
      <w:r>
        <w:rPr>
          <w:rFonts w:hint="eastAsia" w:ascii="宋体" w:hAnsi="宋体"/>
          <w:sz w:val="21"/>
          <w:szCs w:val="21"/>
        </w:rPr>
        <w:t>（五）单位负责人为同一人或者存在直接控股、管理关系的不同供应商，不得参加同一合同项下的政府采购活动。相关情形如查实，依法作投标无效处理；涉嫌串通投标等违法行为的，主管部门将依法调查处理。</w:t>
      </w:r>
    </w:p>
    <w:p w14:paraId="218137E1">
      <w:pPr>
        <w:spacing w:line="360" w:lineRule="auto"/>
        <w:ind w:left="120" w:leftChars="50" w:firstLine="373" w:firstLineChars="178"/>
        <w:rPr>
          <w:rFonts w:ascii="宋体" w:hAnsi="宋体"/>
          <w:sz w:val="21"/>
          <w:szCs w:val="21"/>
        </w:rPr>
      </w:pPr>
      <w:r>
        <w:rPr>
          <w:rFonts w:hint="eastAsia" w:ascii="宋体" w:hAnsi="宋体"/>
          <w:sz w:val="21"/>
          <w:szCs w:val="21"/>
        </w:rPr>
        <w:t>四、本公司（单位）已充分知悉政府采购违法、违规行为的法律后果。经查实，若参与供应商存在政府采购违法、违规行为，主管部门将依据《深圳经济特区政府采购条例》第五十七条的规定，处以</w:t>
      </w:r>
    </w:p>
    <w:p w14:paraId="18A5B3C7">
      <w:pPr>
        <w:spacing w:line="360" w:lineRule="auto"/>
        <w:ind w:left="120" w:leftChars="50" w:firstLine="373" w:firstLineChars="178"/>
        <w:rPr>
          <w:rFonts w:ascii="宋体" w:hAnsi="宋体"/>
          <w:sz w:val="21"/>
          <w:szCs w:val="21"/>
        </w:rPr>
      </w:pPr>
      <w:r>
        <w:rPr>
          <w:rFonts w:hint="eastAsia" w:ascii="宋体" w:hAnsi="宋体"/>
          <w:sz w:val="21"/>
          <w:szCs w:val="21"/>
        </w:rPr>
        <w:t>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7BC6BCE2">
      <w:pPr>
        <w:spacing w:line="360" w:lineRule="auto"/>
        <w:ind w:left="120" w:leftChars="50" w:firstLine="373" w:firstLineChars="178"/>
        <w:rPr>
          <w:rFonts w:ascii="宋体" w:hAnsi="宋体"/>
          <w:sz w:val="21"/>
          <w:szCs w:val="21"/>
        </w:rPr>
      </w:pPr>
    </w:p>
    <w:p w14:paraId="064F399C">
      <w:pPr>
        <w:spacing w:line="360" w:lineRule="auto"/>
        <w:ind w:left="120" w:leftChars="50" w:firstLine="373" w:firstLineChars="178"/>
        <w:rPr>
          <w:rFonts w:ascii="宋体" w:hAnsi="宋体"/>
          <w:color w:val="FF0000"/>
          <w:sz w:val="21"/>
          <w:szCs w:val="21"/>
        </w:rPr>
      </w:pPr>
      <w:r>
        <w:rPr>
          <w:rFonts w:hint="eastAsia" w:ascii="宋体" w:hAnsi="宋体"/>
          <w:color w:val="FF0000"/>
          <w:sz w:val="21"/>
          <w:szCs w:val="21"/>
        </w:rPr>
        <w:t>以下文字请供应商抄写并确认：“本公司（单位）已仔细阅读《采购违法行为风险知悉确认书》，充分知悉违法行为的法律后果，并承诺将严谨、诚信、依法依规参与政府采购活动”。</w:t>
      </w:r>
    </w:p>
    <w:p w14:paraId="72B9E098">
      <w:pPr>
        <w:spacing w:line="360" w:lineRule="auto"/>
        <w:rPr>
          <w:rFonts w:ascii="宋体" w:hAnsi="宋体"/>
          <w:sz w:val="21"/>
          <w:szCs w:val="21"/>
        </w:rPr>
      </w:pPr>
      <w:r>
        <w:rPr>
          <w:rFonts w:hint="eastAsia" w:ascii="宋体" w:hAnsi="宋体"/>
          <w:sz w:val="21"/>
          <w:szCs w:val="21"/>
          <w:u w:val="single"/>
        </w:rPr>
        <w:t xml:space="preserve">                                                                                 </w:t>
      </w:r>
      <w:r>
        <w:rPr>
          <w:rFonts w:hint="eastAsia" w:ascii="宋体" w:hAnsi="宋体"/>
          <w:sz w:val="21"/>
          <w:szCs w:val="21"/>
        </w:rPr>
        <w:t xml:space="preserve">                                                                                   </w:t>
      </w:r>
    </w:p>
    <w:p w14:paraId="2583968A">
      <w:pPr>
        <w:spacing w:line="360" w:lineRule="auto"/>
        <w:rPr>
          <w:rFonts w:ascii="宋体" w:hAnsi="宋体"/>
          <w:sz w:val="21"/>
          <w:szCs w:val="21"/>
          <w:u w:val="single"/>
        </w:rPr>
      </w:pPr>
      <w:r>
        <w:rPr>
          <w:rFonts w:hint="eastAsia" w:ascii="宋体" w:hAnsi="宋体"/>
          <w:sz w:val="21"/>
          <w:szCs w:val="21"/>
          <w:u w:val="single"/>
        </w:rPr>
        <w:t xml:space="preserve">                                                                               </w:t>
      </w:r>
    </w:p>
    <w:p w14:paraId="2C586ED4">
      <w:pPr>
        <w:spacing w:line="360" w:lineRule="auto"/>
        <w:rPr>
          <w:rFonts w:ascii="宋体" w:hAnsi="宋体"/>
          <w:sz w:val="21"/>
          <w:szCs w:val="21"/>
        </w:rPr>
      </w:pPr>
      <w:r>
        <w:rPr>
          <w:rFonts w:hint="eastAsia" w:ascii="宋体" w:hAnsi="宋体"/>
          <w:sz w:val="21"/>
          <w:szCs w:val="21"/>
          <w:u w:val="single"/>
        </w:rPr>
        <w:t xml:space="preserve">                                                                                   </w:t>
      </w:r>
      <w:r>
        <w:rPr>
          <w:rFonts w:hint="eastAsia" w:ascii="宋体" w:hAnsi="宋体"/>
          <w:sz w:val="21"/>
          <w:szCs w:val="21"/>
        </w:rPr>
        <w:t xml:space="preserve">                                                                                         </w:t>
      </w:r>
    </w:p>
    <w:p w14:paraId="552E5C8A">
      <w:pPr>
        <w:spacing w:line="360" w:lineRule="auto"/>
        <w:ind w:left="120" w:leftChars="50" w:firstLine="373" w:firstLineChars="178"/>
        <w:rPr>
          <w:rFonts w:ascii="宋体" w:hAnsi="宋体"/>
          <w:sz w:val="21"/>
          <w:szCs w:val="21"/>
        </w:rPr>
      </w:pPr>
      <w:r>
        <w:rPr>
          <w:rFonts w:hint="eastAsia" w:ascii="宋体" w:hAnsi="宋体"/>
          <w:sz w:val="21"/>
          <w:szCs w:val="21"/>
        </w:rPr>
        <w:t xml:space="preserve">                                                                                                                                     </w:t>
      </w:r>
    </w:p>
    <w:p w14:paraId="48577008">
      <w:pPr>
        <w:spacing w:line="360" w:lineRule="auto"/>
        <w:ind w:left="4360" w:leftChars="224" w:hanging="3822" w:hangingChars="1820"/>
        <w:rPr>
          <w:rFonts w:ascii="宋体" w:hAnsi="宋体"/>
          <w:sz w:val="21"/>
          <w:szCs w:val="21"/>
        </w:rPr>
      </w:pPr>
      <w:r>
        <w:rPr>
          <w:rFonts w:hint="eastAsia" w:ascii="宋体" w:hAnsi="宋体"/>
          <w:sz w:val="21"/>
          <w:szCs w:val="21"/>
        </w:rPr>
        <w:t xml:space="preserve">                                                                             </w:t>
      </w:r>
    </w:p>
    <w:p w14:paraId="274F9D6E">
      <w:pPr>
        <w:spacing w:line="360" w:lineRule="auto"/>
        <w:ind w:left="5382" w:leftChars="1703" w:hanging="1295" w:hangingChars="617"/>
        <w:rPr>
          <w:rFonts w:ascii="宋体" w:hAnsi="宋体"/>
          <w:sz w:val="21"/>
          <w:szCs w:val="21"/>
        </w:rPr>
      </w:pPr>
      <w:r>
        <w:rPr>
          <w:rFonts w:hint="eastAsia" w:ascii="宋体" w:hAnsi="宋体"/>
          <w:sz w:val="21"/>
          <w:szCs w:val="21"/>
        </w:rPr>
        <w:t>法定代表人/项目授权代表签名：                    知悉人（公章）：</w:t>
      </w:r>
    </w:p>
    <w:p w14:paraId="4E784275">
      <w:pPr>
        <w:spacing w:line="360" w:lineRule="auto"/>
        <w:ind w:left="4570" w:leftChars="224" w:hanging="4032" w:hangingChars="1920"/>
        <w:rPr>
          <w:rFonts w:ascii="宋体" w:hAnsi="宋体"/>
          <w:sz w:val="21"/>
          <w:szCs w:val="21"/>
        </w:rPr>
      </w:pPr>
      <w:r>
        <w:rPr>
          <w:rFonts w:hint="eastAsia" w:ascii="宋体" w:hAnsi="宋体"/>
          <w:sz w:val="21"/>
          <w:szCs w:val="21"/>
        </w:rPr>
        <w:t xml:space="preserve">                                       日期：2026年    月    日</w:t>
      </w:r>
    </w:p>
    <w:p w14:paraId="43122DE3">
      <w:pPr>
        <w:spacing w:line="360" w:lineRule="auto"/>
        <w:ind w:left="120" w:leftChars="50" w:firstLine="373" w:firstLineChars="178"/>
        <w:rPr>
          <w:rFonts w:ascii="宋体" w:hAnsi="宋体"/>
          <w:sz w:val="21"/>
          <w:szCs w:val="21"/>
        </w:rPr>
      </w:pPr>
      <w:r>
        <w:rPr>
          <w:rFonts w:hint="eastAsia" w:ascii="宋体" w:hAnsi="宋体"/>
          <w:sz w:val="21"/>
          <w:szCs w:val="21"/>
        </w:rPr>
        <w:br w:type="page"/>
      </w:r>
    </w:p>
    <w:p w14:paraId="24B31E59">
      <w:pPr>
        <w:numPr>
          <w:ilvl w:val="0"/>
          <w:numId w:val="8"/>
        </w:numPr>
        <w:spacing w:line="420" w:lineRule="exact"/>
        <w:rPr>
          <w:rFonts w:asciiTheme="minorEastAsia" w:hAnsiTheme="minorEastAsia" w:cstheme="minorEastAsia"/>
          <w:b/>
        </w:rPr>
      </w:pPr>
      <w:r>
        <w:rPr>
          <w:rFonts w:hint="eastAsia" w:asciiTheme="minorEastAsia" w:hAnsiTheme="minorEastAsia" w:cstheme="minorEastAsia"/>
          <w:b/>
        </w:rPr>
        <w:t>投标人基本情况及资格证明文件</w:t>
      </w:r>
    </w:p>
    <w:p w14:paraId="2242DFD6">
      <w:pPr>
        <w:spacing w:line="420" w:lineRule="exact"/>
        <w:jc w:val="both"/>
        <w:rPr>
          <w:rFonts w:asciiTheme="minorEastAsia" w:hAnsiTheme="minorEastAsia" w:cstheme="minorEastAsia"/>
          <w:b/>
        </w:rPr>
      </w:pPr>
      <w:r>
        <w:rPr>
          <w:rFonts w:hint="eastAsia" w:asciiTheme="minorEastAsia" w:hAnsiTheme="minorEastAsia" w:cstheme="minorEastAsia"/>
          <w:b/>
        </w:rPr>
        <w:t>（一）供应商基本情况表及附件</w:t>
      </w:r>
    </w:p>
    <w:p w14:paraId="2D205E2F">
      <w:pPr>
        <w:pStyle w:val="6"/>
        <w:rPr>
          <w:rFonts w:asciiTheme="majorEastAsia" w:hAnsiTheme="majorEastAsia" w:eastAsiaTheme="majorEastAsia"/>
          <w:sz w:val="30"/>
          <w:szCs w:val="30"/>
        </w:rPr>
      </w:pPr>
      <w:bookmarkStart w:id="26" w:name="_Toc11498"/>
      <w:r>
        <w:rPr>
          <w:rFonts w:hint="eastAsia" w:asciiTheme="majorEastAsia" w:hAnsiTheme="majorEastAsia" w:eastAsiaTheme="majorEastAsia"/>
          <w:b/>
          <w:bCs/>
          <w:sz w:val="30"/>
          <w:szCs w:val="30"/>
        </w:rPr>
        <w:t>供应商基本情况表</w:t>
      </w:r>
      <w:bookmarkEnd w:id="26"/>
    </w:p>
    <w:p w14:paraId="123D0C91">
      <w:pPr>
        <w:spacing w:before="220" w:line="198" w:lineRule="auto"/>
        <w:ind w:left="126"/>
        <w:rPr>
          <w:rFonts w:ascii="宋体" w:hAnsi="宋体" w:eastAsia="宋体" w:cs="宋体"/>
          <w:sz w:val="21"/>
          <w:szCs w:val="21"/>
        </w:rPr>
      </w:pPr>
      <w:r>
        <w:rPr>
          <w:rFonts w:hint="eastAsia" w:ascii="宋体" w:hAnsi="宋体" w:eastAsia="宋体" w:cs="宋体"/>
          <w:sz w:val="21"/>
          <w:szCs w:val="21"/>
        </w:rPr>
        <w:t>填</w:t>
      </w:r>
      <w:r>
        <w:rPr>
          <w:rFonts w:hint="eastAsia" w:ascii="宋体" w:hAnsi="宋体" w:eastAsia="宋体" w:cs="宋体"/>
          <w:spacing w:val="-2"/>
          <w:kern w:val="2"/>
          <w:sz w:val="21"/>
          <w:szCs w:val="21"/>
        </w:rPr>
        <w:t>表单位：（加盖单位公章）</w:t>
      </w:r>
      <w:r>
        <w:rPr>
          <w:rFonts w:hint="eastAsia" w:ascii="宋体" w:hAnsi="宋体" w:eastAsia="宋体" w:cs="宋体"/>
          <w:spacing w:val="4"/>
          <w:sz w:val="21"/>
          <w:szCs w:val="21"/>
        </w:rPr>
        <w:t xml:space="preserve">             </w:t>
      </w:r>
      <w:r>
        <w:rPr>
          <w:rFonts w:hint="eastAsia" w:ascii="宋体" w:hAnsi="宋体" w:eastAsia="宋体" w:cs="宋体"/>
          <w:sz w:val="21"/>
          <w:szCs w:val="21"/>
        </w:rPr>
        <w:t>填表日期：</w:t>
      </w:r>
      <w:r>
        <w:rPr>
          <w:rFonts w:hint="eastAsia" w:ascii="宋体" w:hAnsi="宋体" w:eastAsia="宋体" w:cs="宋体"/>
          <w:spacing w:val="13"/>
          <w:sz w:val="21"/>
          <w:szCs w:val="21"/>
        </w:rPr>
        <w:t xml:space="preserve">      </w:t>
      </w:r>
      <w:r>
        <w:rPr>
          <w:rFonts w:hint="eastAsia" w:ascii="宋体" w:hAnsi="宋体" w:eastAsia="宋体" w:cs="宋体"/>
          <w:sz w:val="21"/>
          <w:szCs w:val="21"/>
        </w:rPr>
        <w:t>年     月      日</w:t>
      </w:r>
    </w:p>
    <w:p w14:paraId="35760C18">
      <w:pPr>
        <w:spacing w:line="75" w:lineRule="exact"/>
        <w:rPr>
          <w:rFonts w:ascii="宋体" w:hAnsi="宋体" w:eastAsia="宋体" w:cs="宋体"/>
          <w:sz w:val="21"/>
          <w:szCs w:val="21"/>
        </w:rPr>
      </w:pPr>
    </w:p>
    <w:tbl>
      <w:tblPr>
        <w:tblStyle w:val="32"/>
        <w:tblW w:w="89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1"/>
        <w:gridCol w:w="855"/>
        <w:gridCol w:w="1605"/>
        <w:gridCol w:w="946"/>
        <w:gridCol w:w="791"/>
        <w:gridCol w:w="1199"/>
        <w:gridCol w:w="1499"/>
        <w:gridCol w:w="1489"/>
      </w:tblGrid>
      <w:tr w14:paraId="49922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416" w:type="dxa"/>
            <w:gridSpan w:val="2"/>
            <w:vAlign w:val="center"/>
          </w:tcPr>
          <w:p w14:paraId="39ED4C4D">
            <w:pPr>
              <w:pStyle w:val="31"/>
              <w:spacing w:before="180" w:line="203" w:lineRule="auto"/>
              <w:ind w:left="359"/>
              <w:jc w:val="center"/>
              <w:rPr>
                <w:rFonts w:ascii="宋体" w:hAnsi="宋体" w:eastAsia="宋体" w:cs="宋体"/>
                <w:sz w:val="21"/>
                <w:szCs w:val="21"/>
              </w:rPr>
            </w:pPr>
            <w:r>
              <w:rPr>
                <w:rFonts w:hint="eastAsia" w:ascii="宋体" w:hAnsi="宋体" w:eastAsia="宋体" w:cs="宋体"/>
                <w:spacing w:val="-4"/>
                <w:sz w:val="21"/>
                <w:szCs w:val="21"/>
              </w:rPr>
              <w:t>采购人</w:t>
            </w:r>
          </w:p>
        </w:tc>
        <w:tc>
          <w:tcPr>
            <w:tcW w:w="7529" w:type="dxa"/>
            <w:gridSpan w:val="6"/>
            <w:vAlign w:val="center"/>
          </w:tcPr>
          <w:p w14:paraId="26BBD13D">
            <w:pPr>
              <w:jc w:val="center"/>
              <w:rPr>
                <w:rFonts w:ascii="宋体" w:hAnsi="宋体" w:eastAsia="宋体" w:cs="宋体"/>
                <w:sz w:val="21"/>
                <w:szCs w:val="21"/>
              </w:rPr>
            </w:pPr>
            <w:r>
              <w:rPr>
                <w:rFonts w:hint="eastAsia" w:ascii="宋体" w:hAnsi="宋体" w:cs="宋体"/>
                <w:szCs w:val="21"/>
              </w:rPr>
              <w:t>深圳市龙岗区耳鼻咽喉医院</w:t>
            </w:r>
          </w:p>
        </w:tc>
      </w:tr>
      <w:tr w14:paraId="13F3B0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shd w:val="clear" w:color="auto" w:fill="auto"/>
            <w:vAlign w:val="center"/>
          </w:tcPr>
          <w:p w14:paraId="1674EF6E">
            <w:pPr>
              <w:pStyle w:val="31"/>
              <w:spacing w:before="181" w:line="201" w:lineRule="auto"/>
              <w:jc w:val="center"/>
              <w:rPr>
                <w:rFonts w:ascii="宋体" w:hAnsi="宋体" w:eastAsia="宋体" w:cs="宋体"/>
                <w:kern w:val="2"/>
                <w:sz w:val="21"/>
                <w:szCs w:val="21"/>
              </w:rPr>
            </w:pPr>
            <w:r>
              <w:rPr>
                <w:rFonts w:hint="eastAsia" w:ascii="宋体" w:hAnsi="宋体" w:eastAsia="宋体" w:cs="宋体"/>
                <w:spacing w:val="-3"/>
                <w:sz w:val="21"/>
                <w:szCs w:val="21"/>
              </w:rPr>
              <w:t>项目名称</w:t>
            </w:r>
          </w:p>
        </w:tc>
        <w:tc>
          <w:tcPr>
            <w:tcW w:w="2551" w:type="dxa"/>
            <w:gridSpan w:val="2"/>
            <w:shd w:val="clear" w:color="auto" w:fill="auto"/>
            <w:vAlign w:val="center"/>
          </w:tcPr>
          <w:p w14:paraId="2952BB3D">
            <w:pPr>
              <w:jc w:val="center"/>
              <w:rPr>
                <w:rFonts w:ascii="宋体" w:hAnsi="宋体" w:eastAsia="宋体" w:cs="宋体"/>
                <w:kern w:val="2"/>
                <w:sz w:val="21"/>
                <w:szCs w:val="21"/>
              </w:rPr>
            </w:pPr>
          </w:p>
        </w:tc>
        <w:tc>
          <w:tcPr>
            <w:tcW w:w="1990" w:type="dxa"/>
            <w:gridSpan w:val="2"/>
            <w:vAlign w:val="center"/>
          </w:tcPr>
          <w:p w14:paraId="333A43B1">
            <w:pPr>
              <w:pStyle w:val="31"/>
              <w:spacing w:before="40" w:line="191" w:lineRule="auto"/>
              <w:ind w:right="152"/>
              <w:jc w:val="center"/>
              <w:rPr>
                <w:rFonts w:ascii="宋体" w:hAnsi="宋体" w:eastAsia="宋体" w:cs="宋体"/>
                <w:spacing w:val="-2"/>
                <w:sz w:val="21"/>
                <w:szCs w:val="21"/>
                <w:lang w:eastAsia="zh-CN"/>
              </w:rPr>
            </w:pPr>
            <w:r>
              <w:rPr>
                <w:rFonts w:hint="eastAsia" w:ascii="宋体" w:hAnsi="宋体" w:eastAsia="宋体" w:cs="宋体"/>
                <w:spacing w:val="-2"/>
                <w:sz w:val="21"/>
                <w:szCs w:val="21"/>
                <w:lang w:eastAsia="zh-CN"/>
              </w:rPr>
              <w:t>项目编号</w:t>
            </w:r>
          </w:p>
        </w:tc>
        <w:tc>
          <w:tcPr>
            <w:tcW w:w="2988" w:type="dxa"/>
            <w:gridSpan w:val="2"/>
            <w:vAlign w:val="center"/>
          </w:tcPr>
          <w:p w14:paraId="5BCA1E86">
            <w:pPr>
              <w:jc w:val="center"/>
              <w:rPr>
                <w:rFonts w:ascii="宋体" w:hAnsi="宋体" w:eastAsia="宋体" w:cs="宋体"/>
                <w:sz w:val="21"/>
                <w:szCs w:val="21"/>
              </w:rPr>
            </w:pPr>
          </w:p>
        </w:tc>
      </w:tr>
      <w:tr w14:paraId="15590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416" w:type="dxa"/>
            <w:gridSpan w:val="2"/>
            <w:vAlign w:val="center"/>
          </w:tcPr>
          <w:p w14:paraId="01B80FB2">
            <w:pPr>
              <w:pStyle w:val="31"/>
              <w:spacing w:before="40" w:line="191" w:lineRule="auto"/>
              <w:ind w:left="126" w:right="105" w:firstLine="111"/>
              <w:jc w:val="center"/>
              <w:rPr>
                <w:rFonts w:ascii="宋体" w:hAnsi="宋体" w:eastAsia="宋体" w:cs="宋体"/>
                <w:sz w:val="21"/>
                <w:szCs w:val="21"/>
              </w:rPr>
            </w:pPr>
            <w:r>
              <w:rPr>
                <w:rFonts w:hint="eastAsia" w:ascii="宋体" w:hAnsi="宋体" w:eastAsia="宋体" w:cs="宋体"/>
                <w:spacing w:val="-4"/>
                <w:sz w:val="21"/>
                <w:szCs w:val="21"/>
              </w:rPr>
              <w:t>投标（响</w:t>
            </w:r>
            <w:r>
              <w:rPr>
                <w:rFonts w:hint="eastAsia" w:ascii="宋体" w:hAnsi="宋体" w:eastAsia="宋体" w:cs="宋体"/>
                <w:spacing w:val="-5"/>
                <w:sz w:val="21"/>
                <w:szCs w:val="21"/>
              </w:rPr>
              <w:t>应）供应商</w:t>
            </w:r>
          </w:p>
        </w:tc>
        <w:tc>
          <w:tcPr>
            <w:tcW w:w="2551" w:type="dxa"/>
            <w:gridSpan w:val="2"/>
            <w:vAlign w:val="center"/>
          </w:tcPr>
          <w:p w14:paraId="10502FF6">
            <w:pPr>
              <w:jc w:val="center"/>
              <w:rPr>
                <w:rFonts w:ascii="宋体" w:hAnsi="宋体" w:eastAsia="宋体" w:cs="宋体"/>
                <w:sz w:val="21"/>
                <w:szCs w:val="21"/>
              </w:rPr>
            </w:pPr>
          </w:p>
        </w:tc>
        <w:tc>
          <w:tcPr>
            <w:tcW w:w="1990" w:type="dxa"/>
            <w:gridSpan w:val="2"/>
            <w:vAlign w:val="center"/>
          </w:tcPr>
          <w:p w14:paraId="4F7132B9">
            <w:pPr>
              <w:pStyle w:val="31"/>
              <w:spacing w:before="40" w:line="191" w:lineRule="auto"/>
              <w:ind w:left="527" w:right="152" w:hanging="362"/>
              <w:jc w:val="both"/>
              <w:rPr>
                <w:rFonts w:ascii="宋体" w:hAnsi="宋体" w:eastAsia="宋体" w:cs="宋体"/>
                <w:sz w:val="21"/>
                <w:szCs w:val="21"/>
                <w:lang w:eastAsia="zh-CN"/>
              </w:rPr>
            </w:pPr>
            <w:r>
              <w:rPr>
                <w:rFonts w:hint="eastAsia" w:ascii="宋体" w:hAnsi="宋体" w:eastAsia="宋体" w:cs="宋体"/>
                <w:spacing w:val="-2"/>
                <w:sz w:val="21"/>
                <w:szCs w:val="21"/>
                <w:lang w:eastAsia="zh-CN"/>
              </w:rPr>
              <w:t>供应商统一社会</w:t>
            </w:r>
            <w:r>
              <w:rPr>
                <w:rFonts w:hint="eastAsia" w:ascii="宋体" w:hAnsi="宋体" w:eastAsia="宋体" w:cs="宋体"/>
                <w:sz w:val="21"/>
                <w:szCs w:val="21"/>
                <w:lang w:eastAsia="zh-CN"/>
              </w:rPr>
              <w:t xml:space="preserve"> </w:t>
            </w:r>
            <w:r>
              <w:rPr>
                <w:rFonts w:hint="eastAsia" w:ascii="宋体" w:hAnsi="宋体" w:eastAsia="宋体" w:cs="宋体"/>
                <w:spacing w:val="-3"/>
                <w:sz w:val="21"/>
                <w:szCs w:val="21"/>
                <w:lang w:eastAsia="zh-CN"/>
              </w:rPr>
              <w:t>信用代码</w:t>
            </w:r>
          </w:p>
        </w:tc>
        <w:tc>
          <w:tcPr>
            <w:tcW w:w="2988" w:type="dxa"/>
            <w:gridSpan w:val="2"/>
            <w:vAlign w:val="center"/>
          </w:tcPr>
          <w:p w14:paraId="7DCE8964">
            <w:pPr>
              <w:jc w:val="center"/>
              <w:rPr>
                <w:rFonts w:ascii="宋体" w:hAnsi="宋体" w:eastAsia="宋体" w:cs="宋体"/>
                <w:sz w:val="21"/>
                <w:szCs w:val="21"/>
              </w:rPr>
            </w:pPr>
          </w:p>
        </w:tc>
      </w:tr>
      <w:tr w14:paraId="7139C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8945" w:type="dxa"/>
            <w:gridSpan w:val="8"/>
          </w:tcPr>
          <w:p w14:paraId="43FC1F93">
            <w:pPr>
              <w:pStyle w:val="31"/>
              <w:spacing w:before="175"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投标（响应）供应商相关人员情况</w:t>
            </w:r>
          </w:p>
        </w:tc>
      </w:tr>
      <w:tr w14:paraId="68CC9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561" w:type="dxa"/>
            <w:vAlign w:val="center"/>
          </w:tcPr>
          <w:p w14:paraId="7589F09B">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5"/>
                <w:sz w:val="21"/>
                <w:szCs w:val="21"/>
              </w:rPr>
              <w:t>序号</w:t>
            </w:r>
          </w:p>
        </w:tc>
        <w:tc>
          <w:tcPr>
            <w:tcW w:w="2460" w:type="dxa"/>
            <w:gridSpan w:val="2"/>
            <w:vAlign w:val="center"/>
          </w:tcPr>
          <w:p w14:paraId="1297E58B">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6"/>
                <w:sz w:val="21"/>
                <w:szCs w:val="21"/>
              </w:rPr>
              <w:t>职务</w:t>
            </w:r>
          </w:p>
        </w:tc>
        <w:tc>
          <w:tcPr>
            <w:tcW w:w="946" w:type="dxa"/>
            <w:vAlign w:val="center"/>
          </w:tcPr>
          <w:p w14:paraId="19BF38DC">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4"/>
                <w:sz w:val="21"/>
                <w:szCs w:val="21"/>
              </w:rPr>
              <w:t>姓名</w:t>
            </w:r>
          </w:p>
        </w:tc>
        <w:tc>
          <w:tcPr>
            <w:tcW w:w="1990" w:type="dxa"/>
            <w:gridSpan w:val="2"/>
            <w:vAlign w:val="center"/>
          </w:tcPr>
          <w:p w14:paraId="58E8EBA8">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3"/>
                <w:sz w:val="21"/>
                <w:szCs w:val="21"/>
              </w:rPr>
              <w:t>身份证号码</w:t>
            </w:r>
          </w:p>
        </w:tc>
        <w:tc>
          <w:tcPr>
            <w:tcW w:w="1499" w:type="dxa"/>
            <w:vAlign w:val="center"/>
          </w:tcPr>
          <w:p w14:paraId="21D382F1">
            <w:pPr>
              <w:pStyle w:val="31"/>
              <w:spacing w:before="0" w:line="240" w:lineRule="auto"/>
              <w:ind w:left="0" w:right="0" w:firstLine="0"/>
              <w:jc w:val="center"/>
              <w:rPr>
                <w:rFonts w:ascii="宋体" w:hAnsi="宋体" w:eastAsia="宋体" w:cs="宋体"/>
                <w:sz w:val="21"/>
                <w:szCs w:val="21"/>
              </w:rPr>
            </w:pPr>
            <w:r>
              <w:rPr>
                <w:rFonts w:hint="eastAsia" w:ascii="宋体" w:hAnsi="宋体" w:eastAsia="宋体" w:cs="宋体"/>
                <w:spacing w:val="-7"/>
                <w:sz w:val="21"/>
                <w:szCs w:val="21"/>
              </w:rPr>
              <w:t>劳动合同</w:t>
            </w:r>
            <w:r>
              <w:rPr>
                <w:rFonts w:hint="eastAsia" w:ascii="宋体" w:hAnsi="宋体" w:eastAsia="宋体" w:cs="宋体"/>
                <w:spacing w:val="-6"/>
                <w:sz w:val="21"/>
                <w:szCs w:val="21"/>
              </w:rPr>
              <w:t>关系单位</w:t>
            </w:r>
          </w:p>
        </w:tc>
        <w:tc>
          <w:tcPr>
            <w:tcW w:w="1489" w:type="dxa"/>
            <w:vAlign w:val="center"/>
          </w:tcPr>
          <w:p w14:paraId="11DA3E57">
            <w:pPr>
              <w:pStyle w:val="31"/>
              <w:spacing w:before="0" w:line="240" w:lineRule="auto"/>
              <w:ind w:left="0" w:right="0" w:firstLine="0"/>
              <w:jc w:val="center"/>
              <w:rPr>
                <w:rFonts w:ascii="宋体" w:hAnsi="宋体" w:eastAsia="宋体" w:cs="宋体"/>
                <w:sz w:val="21"/>
                <w:szCs w:val="21"/>
              </w:rPr>
            </w:pPr>
            <w:r>
              <w:rPr>
                <w:rFonts w:hint="eastAsia" w:ascii="宋体" w:hAnsi="宋体" w:eastAsia="宋体" w:cs="宋体"/>
                <w:spacing w:val="-5"/>
                <w:sz w:val="21"/>
                <w:szCs w:val="21"/>
              </w:rPr>
              <w:t>缴纳社会</w:t>
            </w:r>
            <w:r>
              <w:rPr>
                <w:rFonts w:hint="eastAsia" w:ascii="宋体" w:hAnsi="宋体" w:eastAsia="宋体" w:cs="宋体"/>
                <w:spacing w:val="-3"/>
                <w:sz w:val="21"/>
                <w:szCs w:val="21"/>
              </w:rPr>
              <w:t>保险单位</w:t>
            </w:r>
          </w:p>
        </w:tc>
      </w:tr>
      <w:tr w14:paraId="2827B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trPr>
        <w:tc>
          <w:tcPr>
            <w:tcW w:w="561" w:type="dxa"/>
            <w:vAlign w:val="center"/>
          </w:tcPr>
          <w:p w14:paraId="0F4C408E">
            <w:pPr>
              <w:spacing w:line="240" w:lineRule="auto"/>
              <w:jc w:val="center"/>
              <w:rPr>
                <w:rFonts w:ascii="宋体" w:hAnsi="宋体" w:eastAsia="宋体" w:cs="宋体"/>
                <w:sz w:val="21"/>
                <w:szCs w:val="21"/>
              </w:rPr>
            </w:pPr>
          </w:p>
          <w:p w14:paraId="7618FFC3">
            <w:pPr>
              <w:pStyle w:val="31"/>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1</w:t>
            </w:r>
          </w:p>
        </w:tc>
        <w:tc>
          <w:tcPr>
            <w:tcW w:w="2460" w:type="dxa"/>
            <w:gridSpan w:val="2"/>
            <w:vAlign w:val="center"/>
          </w:tcPr>
          <w:p w14:paraId="56E6B20D">
            <w:pPr>
              <w:pStyle w:val="31"/>
              <w:spacing w:before="0" w:line="240" w:lineRule="auto"/>
              <w:ind w:left="0" w:right="0" w:firstLine="0"/>
              <w:jc w:val="center"/>
              <w:rPr>
                <w:rFonts w:ascii="宋体" w:hAnsi="宋体" w:eastAsia="宋体" w:cs="宋体"/>
                <w:sz w:val="21"/>
                <w:szCs w:val="21"/>
                <w:lang w:eastAsia="zh-CN"/>
              </w:rPr>
            </w:pPr>
            <w:r>
              <w:rPr>
                <w:rFonts w:hint="eastAsia" w:ascii="宋体" w:hAnsi="宋体" w:eastAsia="宋体" w:cs="宋体"/>
                <w:spacing w:val="-6"/>
                <w:sz w:val="21"/>
                <w:szCs w:val="21"/>
                <w:lang w:eastAsia="zh-CN"/>
              </w:rPr>
              <w:t>法定代表人/单位负责人/主要经营负责人</w:t>
            </w:r>
          </w:p>
        </w:tc>
        <w:tc>
          <w:tcPr>
            <w:tcW w:w="946" w:type="dxa"/>
            <w:vAlign w:val="center"/>
          </w:tcPr>
          <w:p w14:paraId="6A88BEA2">
            <w:pPr>
              <w:jc w:val="center"/>
              <w:rPr>
                <w:rFonts w:ascii="宋体" w:hAnsi="宋体" w:eastAsia="宋体" w:cs="宋体"/>
                <w:sz w:val="21"/>
                <w:szCs w:val="21"/>
              </w:rPr>
            </w:pPr>
          </w:p>
        </w:tc>
        <w:tc>
          <w:tcPr>
            <w:tcW w:w="1990" w:type="dxa"/>
            <w:gridSpan w:val="2"/>
            <w:vAlign w:val="center"/>
          </w:tcPr>
          <w:p w14:paraId="497E3910">
            <w:pPr>
              <w:jc w:val="center"/>
              <w:rPr>
                <w:rFonts w:ascii="宋体" w:hAnsi="宋体" w:eastAsia="宋体" w:cs="宋体"/>
                <w:sz w:val="21"/>
                <w:szCs w:val="21"/>
              </w:rPr>
            </w:pPr>
          </w:p>
        </w:tc>
        <w:tc>
          <w:tcPr>
            <w:tcW w:w="1499" w:type="dxa"/>
            <w:vAlign w:val="center"/>
          </w:tcPr>
          <w:p w14:paraId="037D4D49">
            <w:pPr>
              <w:jc w:val="center"/>
              <w:rPr>
                <w:rFonts w:ascii="宋体" w:hAnsi="宋体" w:eastAsia="宋体" w:cs="宋体"/>
                <w:sz w:val="21"/>
                <w:szCs w:val="21"/>
              </w:rPr>
            </w:pPr>
          </w:p>
        </w:tc>
        <w:tc>
          <w:tcPr>
            <w:tcW w:w="1489" w:type="dxa"/>
            <w:vAlign w:val="center"/>
          </w:tcPr>
          <w:p w14:paraId="61064C1B">
            <w:pPr>
              <w:jc w:val="center"/>
              <w:rPr>
                <w:rFonts w:ascii="宋体" w:hAnsi="宋体" w:eastAsia="宋体" w:cs="宋体"/>
                <w:sz w:val="21"/>
                <w:szCs w:val="21"/>
              </w:rPr>
            </w:pPr>
          </w:p>
        </w:tc>
      </w:tr>
      <w:tr w14:paraId="66DBC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561" w:type="dxa"/>
            <w:vAlign w:val="center"/>
          </w:tcPr>
          <w:p w14:paraId="22182D27">
            <w:pPr>
              <w:pStyle w:val="31"/>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2</w:t>
            </w:r>
          </w:p>
        </w:tc>
        <w:tc>
          <w:tcPr>
            <w:tcW w:w="2460" w:type="dxa"/>
            <w:gridSpan w:val="2"/>
            <w:vAlign w:val="center"/>
          </w:tcPr>
          <w:p w14:paraId="720525BD">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2"/>
                <w:sz w:val="21"/>
                <w:szCs w:val="21"/>
              </w:rPr>
              <w:t>项目投标授权代表人</w:t>
            </w:r>
          </w:p>
        </w:tc>
        <w:tc>
          <w:tcPr>
            <w:tcW w:w="946" w:type="dxa"/>
            <w:vAlign w:val="center"/>
          </w:tcPr>
          <w:p w14:paraId="090EECB7">
            <w:pPr>
              <w:jc w:val="center"/>
              <w:rPr>
                <w:rFonts w:ascii="宋体" w:hAnsi="宋体" w:eastAsia="宋体" w:cs="宋体"/>
                <w:sz w:val="21"/>
                <w:szCs w:val="21"/>
              </w:rPr>
            </w:pPr>
          </w:p>
        </w:tc>
        <w:tc>
          <w:tcPr>
            <w:tcW w:w="1990" w:type="dxa"/>
            <w:gridSpan w:val="2"/>
            <w:vAlign w:val="center"/>
          </w:tcPr>
          <w:p w14:paraId="50A60C95">
            <w:pPr>
              <w:jc w:val="center"/>
              <w:rPr>
                <w:rFonts w:ascii="宋体" w:hAnsi="宋体" w:eastAsia="宋体" w:cs="宋体"/>
                <w:sz w:val="21"/>
                <w:szCs w:val="21"/>
              </w:rPr>
            </w:pPr>
          </w:p>
        </w:tc>
        <w:tc>
          <w:tcPr>
            <w:tcW w:w="1499" w:type="dxa"/>
            <w:vAlign w:val="center"/>
          </w:tcPr>
          <w:p w14:paraId="45885D03">
            <w:pPr>
              <w:jc w:val="center"/>
              <w:rPr>
                <w:rFonts w:ascii="宋体" w:hAnsi="宋体" w:eastAsia="宋体" w:cs="宋体"/>
                <w:sz w:val="21"/>
                <w:szCs w:val="21"/>
              </w:rPr>
            </w:pPr>
          </w:p>
        </w:tc>
        <w:tc>
          <w:tcPr>
            <w:tcW w:w="1489" w:type="dxa"/>
            <w:vAlign w:val="center"/>
          </w:tcPr>
          <w:p w14:paraId="38AFEF2A">
            <w:pPr>
              <w:jc w:val="center"/>
              <w:rPr>
                <w:rFonts w:ascii="宋体" w:hAnsi="宋体" w:eastAsia="宋体" w:cs="宋体"/>
                <w:sz w:val="21"/>
                <w:szCs w:val="21"/>
              </w:rPr>
            </w:pPr>
          </w:p>
        </w:tc>
      </w:tr>
      <w:tr w14:paraId="5AF92B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561" w:type="dxa"/>
            <w:vAlign w:val="center"/>
          </w:tcPr>
          <w:p w14:paraId="6FF68A83">
            <w:pPr>
              <w:pStyle w:val="31"/>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3</w:t>
            </w:r>
          </w:p>
        </w:tc>
        <w:tc>
          <w:tcPr>
            <w:tcW w:w="2460" w:type="dxa"/>
            <w:gridSpan w:val="2"/>
            <w:vAlign w:val="center"/>
          </w:tcPr>
          <w:p w14:paraId="6A08FD8D">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3"/>
                <w:sz w:val="21"/>
                <w:szCs w:val="21"/>
              </w:rPr>
              <w:t>项目负责人</w:t>
            </w:r>
          </w:p>
        </w:tc>
        <w:tc>
          <w:tcPr>
            <w:tcW w:w="946" w:type="dxa"/>
            <w:vAlign w:val="center"/>
          </w:tcPr>
          <w:p w14:paraId="5876373C">
            <w:pPr>
              <w:jc w:val="center"/>
              <w:rPr>
                <w:rFonts w:ascii="宋体" w:hAnsi="宋体" w:eastAsia="宋体" w:cs="宋体"/>
                <w:sz w:val="21"/>
                <w:szCs w:val="21"/>
              </w:rPr>
            </w:pPr>
          </w:p>
        </w:tc>
        <w:tc>
          <w:tcPr>
            <w:tcW w:w="1990" w:type="dxa"/>
            <w:gridSpan w:val="2"/>
            <w:vAlign w:val="center"/>
          </w:tcPr>
          <w:p w14:paraId="25DD46C3">
            <w:pPr>
              <w:jc w:val="center"/>
              <w:rPr>
                <w:rFonts w:ascii="宋体" w:hAnsi="宋体" w:eastAsia="宋体" w:cs="宋体"/>
                <w:sz w:val="21"/>
                <w:szCs w:val="21"/>
              </w:rPr>
            </w:pPr>
          </w:p>
        </w:tc>
        <w:tc>
          <w:tcPr>
            <w:tcW w:w="1499" w:type="dxa"/>
            <w:vAlign w:val="center"/>
          </w:tcPr>
          <w:p w14:paraId="052ADF46">
            <w:pPr>
              <w:jc w:val="center"/>
              <w:rPr>
                <w:rFonts w:ascii="宋体" w:hAnsi="宋体" w:eastAsia="宋体" w:cs="宋体"/>
                <w:sz w:val="21"/>
                <w:szCs w:val="21"/>
              </w:rPr>
            </w:pPr>
          </w:p>
        </w:tc>
        <w:tc>
          <w:tcPr>
            <w:tcW w:w="1489" w:type="dxa"/>
            <w:vAlign w:val="center"/>
          </w:tcPr>
          <w:p w14:paraId="6F2AC0C4">
            <w:pPr>
              <w:jc w:val="center"/>
              <w:rPr>
                <w:rFonts w:ascii="宋体" w:hAnsi="宋体" w:eastAsia="宋体" w:cs="宋体"/>
                <w:sz w:val="21"/>
                <w:szCs w:val="21"/>
              </w:rPr>
            </w:pPr>
          </w:p>
        </w:tc>
      </w:tr>
      <w:tr w14:paraId="638A3E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561" w:type="dxa"/>
            <w:vAlign w:val="center"/>
          </w:tcPr>
          <w:p w14:paraId="0B47D2E6">
            <w:pPr>
              <w:pStyle w:val="31"/>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4</w:t>
            </w:r>
          </w:p>
        </w:tc>
        <w:tc>
          <w:tcPr>
            <w:tcW w:w="2460" w:type="dxa"/>
            <w:gridSpan w:val="2"/>
            <w:vAlign w:val="center"/>
          </w:tcPr>
          <w:p w14:paraId="71154546">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4"/>
                <w:sz w:val="21"/>
                <w:szCs w:val="21"/>
              </w:rPr>
              <w:t>主要技术人员</w:t>
            </w:r>
          </w:p>
        </w:tc>
        <w:tc>
          <w:tcPr>
            <w:tcW w:w="946" w:type="dxa"/>
            <w:vAlign w:val="center"/>
          </w:tcPr>
          <w:p w14:paraId="0EDBBF6C">
            <w:pPr>
              <w:jc w:val="center"/>
              <w:rPr>
                <w:rFonts w:ascii="宋体" w:hAnsi="宋体" w:eastAsia="宋体" w:cs="宋体"/>
                <w:sz w:val="21"/>
                <w:szCs w:val="21"/>
              </w:rPr>
            </w:pPr>
          </w:p>
        </w:tc>
        <w:tc>
          <w:tcPr>
            <w:tcW w:w="1990" w:type="dxa"/>
            <w:gridSpan w:val="2"/>
            <w:vAlign w:val="center"/>
          </w:tcPr>
          <w:p w14:paraId="4710256A">
            <w:pPr>
              <w:jc w:val="center"/>
              <w:rPr>
                <w:rFonts w:ascii="宋体" w:hAnsi="宋体" w:eastAsia="宋体" w:cs="宋体"/>
                <w:sz w:val="21"/>
                <w:szCs w:val="21"/>
              </w:rPr>
            </w:pPr>
          </w:p>
        </w:tc>
        <w:tc>
          <w:tcPr>
            <w:tcW w:w="1499" w:type="dxa"/>
            <w:vAlign w:val="center"/>
          </w:tcPr>
          <w:p w14:paraId="1FF3E9D9">
            <w:pPr>
              <w:jc w:val="center"/>
              <w:rPr>
                <w:rFonts w:ascii="宋体" w:hAnsi="宋体" w:eastAsia="宋体" w:cs="宋体"/>
                <w:sz w:val="21"/>
                <w:szCs w:val="21"/>
              </w:rPr>
            </w:pPr>
          </w:p>
        </w:tc>
        <w:tc>
          <w:tcPr>
            <w:tcW w:w="1489" w:type="dxa"/>
            <w:vAlign w:val="center"/>
          </w:tcPr>
          <w:p w14:paraId="06D45504">
            <w:pPr>
              <w:jc w:val="center"/>
              <w:rPr>
                <w:rFonts w:ascii="宋体" w:hAnsi="宋体" w:eastAsia="宋体" w:cs="宋体"/>
                <w:sz w:val="21"/>
                <w:szCs w:val="21"/>
              </w:rPr>
            </w:pPr>
          </w:p>
        </w:tc>
      </w:tr>
      <w:tr w14:paraId="53264A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7" w:hRule="atLeast"/>
        </w:trPr>
        <w:tc>
          <w:tcPr>
            <w:tcW w:w="561" w:type="dxa"/>
            <w:vAlign w:val="center"/>
          </w:tcPr>
          <w:p w14:paraId="5D981594">
            <w:pPr>
              <w:pStyle w:val="31"/>
              <w:spacing w:before="0" w:line="240" w:lineRule="auto"/>
              <w:ind w:left="0"/>
              <w:jc w:val="center"/>
              <w:rPr>
                <w:rFonts w:ascii="宋体" w:hAnsi="宋体" w:eastAsia="宋体" w:cs="宋体"/>
                <w:sz w:val="21"/>
                <w:szCs w:val="21"/>
              </w:rPr>
            </w:pPr>
            <w:r>
              <w:rPr>
                <w:rFonts w:hint="eastAsia" w:ascii="宋体" w:hAnsi="宋体" w:eastAsia="宋体" w:cs="宋体"/>
                <w:sz w:val="21"/>
                <w:szCs w:val="21"/>
              </w:rPr>
              <w:t>5</w:t>
            </w:r>
          </w:p>
        </w:tc>
        <w:tc>
          <w:tcPr>
            <w:tcW w:w="2460" w:type="dxa"/>
            <w:gridSpan w:val="2"/>
            <w:vAlign w:val="center"/>
          </w:tcPr>
          <w:p w14:paraId="7B3707C3">
            <w:pPr>
              <w:pStyle w:val="31"/>
              <w:spacing w:before="0" w:line="240" w:lineRule="auto"/>
              <w:ind w:left="0"/>
              <w:jc w:val="center"/>
              <w:rPr>
                <w:rFonts w:ascii="宋体" w:hAnsi="宋体" w:eastAsia="宋体" w:cs="宋体"/>
                <w:sz w:val="21"/>
                <w:szCs w:val="21"/>
              </w:rPr>
            </w:pPr>
            <w:r>
              <w:rPr>
                <w:rFonts w:hint="eastAsia" w:ascii="宋体" w:hAnsi="宋体" w:eastAsia="宋体" w:cs="宋体"/>
                <w:spacing w:val="-2"/>
                <w:sz w:val="21"/>
                <w:szCs w:val="21"/>
              </w:rPr>
              <w:t>投标文件编制人员</w:t>
            </w:r>
          </w:p>
        </w:tc>
        <w:tc>
          <w:tcPr>
            <w:tcW w:w="946" w:type="dxa"/>
            <w:vAlign w:val="center"/>
          </w:tcPr>
          <w:p w14:paraId="004B8541">
            <w:pPr>
              <w:jc w:val="center"/>
              <w:rPr>
                <w:rFonts w:ascii="宋体" w:hAnsi="宋体" w:eastAsia="宋体" w:cs="宋体"/>
                <w:sz w:val="21"/>
                <w:szCs w:val="21"/>
              </w:rPr>
            </w:pPr>
          </w:p>
        </w:tc>
        <w:tc>
          <w:tcPr>
            <w:tcW w:w="1990" w:type="dxa"/>
            <w:gridSpan w:val="2"/>
            <w:vAlign w:val="center"/>
          </w:tcPr>
          <w:p w14:paraId="646CF77D">
            <w:pPr>
              <w:jc w:val="center"/>
              <w:rPr>
                <w:rFonts w:ascii="宋体" w:hAnsi="宋体" w:eastAsia="宋体" w:cs="宋体"/>
                <w:sz w:val="21"/>
                <w:szCs w:val="21"/>
              </w:rPr>
            </w:pPr>
          </w:p>
        </w:tc>
        <w:tc>
          <w:tcPr>
            <w:tcW w:w="1499" w:type="dxa"/>
            <w:vAlign w:val="center"/>
          </w:tcPr>
          <w:p w14:paraId="6BC129A1">
            <w:pPr>
              <w:jc w:val="center"/>
              <w:rPr>
                <w:rFonts w:ascii="宋体" w:hAnsi="宋体" w:eastAsia="宋体" w:cs="宋体"/>
                <w:sz w:val="21"/>
                <w:szCs w:val="21"/>
              </w:rPr>
            </w:pPr>
          </w:p>
        </w:tc>
        <w:tc>
          <w:tcPr>
            <w:tcW w:w="1489" w:type="dxa"/>
            <w:vAlign w:val="center"/>
          </w:tcPr>
          <w:p w14:paraId="4B1C8FAF">
            <w:pPr>
              <w:jc w:val="center"/>
              <w:rPr>
                <w:rFonts w:ascii="宋体" w:hAnsi="宋体" w:eastAsia="宋体" w:cs="宋体"/>
                <w:sz w:val="21"/>
                <w:szCs w:val="21"/>
              </w:rPr>
            </w:pPr>
          </w:p>
        </w:tc>
      </w:tr>
      <w:tr w14:paraId="59E83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8945" w:type="dxa"/>
            <w:gridSpan w:val="8"/>
          </w:tcPr>
          <w:p w14:paraId="55CA7269">
            <w:pPr>
              <w:pStyle w:val="31"/>
              <w:spacing w:before="178" w:line="198" w:lineRule="auto"/>
              <w:ind w:left="120"/>
              <w:rPr>
                <w:rFonts w:ascii="宋体" w:hAnsi="宋体" w:eastAsia="宋体" w:cs="宋体"/>
                <w:sz w:val="21"/>
                <w:szCs w:val="21"/>
                <w:lang w:eastAsia="zh-CN"/>
              </w:rPr>
            </w:pPr>
            <w:r>
              <w:rPr>
                <w:rFonts w:hint="eastAsia" w:ascii="宋体" w:hAnsi="宋体" w:eastAsia="宋体" w:cs="宋体"/>
                <w:b/>
                <w:bCs/>
                <w:spacing w:val="-1"/>
                <w:sz w:val="21"/>
                <w:szCs w:val="21"/>
                <w:lang w:eastAsia="zh-CN"/>
              </w:rPr>
              <w:t>说明：同一职务有多人担任（如主要技术人员</w:t>
            </w:r>
            <w:r>
              <w:rPr>
                <w:rFonts w:hint="eastAsia" w:ascii="宋体" w:hAnsi="宋体" w:eastAsia="宋体" w:cs="宋体"/>
                <w:b/>
                <w:bCs/>
                <w:spacing w:val="-42"/>
                <w:w w:val="95"/>
                <w:sz w:val="21"/>
                <w:szCs w:val="21"/>
                <w:lang w:eastAsia="zh-CN"/>
              </w:rPr>
              <w:t>），</w:t>
            </w:r>
            <w:r>
              <w:rPr>
                <w:rFonts w:hint="eastAsia" w:ascii="宋体" w:hAnsi="宋体" w:eastAsia="宋体" w:cs="宋体"/>
                <w:b/>
                <w:bCs/>
                <w:spacing w:val="-1"/>
                <w:sz w:val="21"/>
                <w:szCs w:val="21"/>
                <w:lang w:eastAsia="zh-CN"/>
              </w:rPr>
              <w:t>应分行填写。</w:t>
            </w:r>
          </w:p>
        </w:tc>
      </w:tr>
      <w:tr w14:paraId="2FF02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945" w:type="dxa"/>
            <w:gridSpan w:val="8"/>
          </w:tcPr>
          <w:p w14:paraId="14FA75D0">
            <w:pPr>
              <w:pStyle w:val="31"/>
              <w:spacing w:before="177" w:line="198" w:lineRule="auto"/>
              <w:ind w:left="2683"/>
              <w:rPr>
                <w:rFonts w:ascii="宋体" w:hAnsi="宋体" w:eastAsia="宋体" w:cs="宋体"/>
                <w:sz w:val="21"/>
                <w:szCs w:val="21"/>
                <w:lang w:eastAsia="zh-CN"/>
              </w:rPr>
            </w:pPr>
            <w:r>
              <w:rPr>
                <w:rFonts w:hint="eastAsia" w:ascii="宋体" w:hAnsi="宋体" w:eastAsia="宋体" w:cs="宋体"/>
                <w:b/>
                <w:bCs/>
                <w:sz w:val="21"/>
                <w:szCs w:val="21"/>
                <w:lang w:eastAsia="zh-CN"/>
              </w:rPr>
              <w:t>投标（响应）供应商关联关系情况</w:t>
            </w:r>
          </w:p>
        </w:tc>
      </w:tr>
      <w:tr w14:paraId="325F24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rPr>
        <w:tc>
          <w:tcPr>
            <w:tcW w:w="561" w:type="dxa"/>
            <w:vAlign w:val="center"/>
          </w:tcPr>
          <w:p w14:paraId="541706A4">
            <w:pPr>
              <w:pStyle w:val="31"/>
              <w:jc w:val="center"/>
              <w:rPr>
                <w:rFonts w:ascii="宋体" w:hAnsi="宋体" w:eastAsia="宋体" w:cs="宋体"/>
                <w:sz w:val="21"/>
                <w:szCs w:val="21"/>
              </w:rPr>
            </w:pPr>
            <w:r>
              <w:rPr>
                <w:rFonts w:hint="eastAsia" w:ascii="宋体" w:hAnsi="宋体" w:eastAsia="宋体" w:cs="宋体"/>
                <w:spacing w:val="-5"/>
                <w:sz w:val="21"/>
                <w:szCs w:val="21"/>
              </w:rPr>
              <w:t>序号</w:t>
            </w:r>
          </w:p>
        </w:tc>
        <w:tc>
          <w:tcPr>
            <w:tcW w:w="2460" w:type="dxa"/>
            <w:gridSpan w:val="2"/>
            <w:vAlign w:val="center"/>
          </w:tcPr>
          <w:p w14:paraId="632ED107">
            <w:pPr>
              <w:pStyle w:val="31"/>
              <w:jc w:val="center"/>
              <w:rPr>
                <w:rFonts w:ascii="宋体" w:hAnsi="宋体" w:eastAsia="宋体" w:cs="宋体"/>
                <w:sz w:val="21"/>
                <w:szCs w:val="21"/>
              </w:rPr>
            </w:pPr>
            <w:r>
              <w:rPr>
                <w:rFonts w:hint="eastAsia" w:ascii="宋体" w:hAnsi="宋体" w:eastAsia="宋体" w:cs="宋体"/>
                <w:spacing w:val="-3"/>
                <w:sz w:val="21"/>
                <w:szCs w:val="21"/>
              </w:rPr>
              <w:t>关联关系类型</w:t>
            </w:r>
          </w:p>
        </w:tc>
        <w:tc>
          <w:tcPr>
            <w:tcW w:w="1737" w:type="dxa"/>
            <w:gridSpan w:val="2"/>
            <w:vAlign w:val="center"/>
          </w:tcPr>
          <w:p w14:paraId="661C469C">
            <w:pPr>
              <w:pStyle w:val="31"/>
              <w:jc w:val="center"/>
              <w:rPr>
                <w:rFonts w:ascii="宋体" w:hAnsi="宋体" w:eastAsia="宋体" w:cs="宋体"/>
                <w:sz w:val="21"/>
                <w:szCs w:val="21"/>
              </w:rPr>
            </w:pPr>
            <w:r>
              <w:rPr>
                <w:rFonts w:hint="eastAsia" w:ascii="宋体" w:hAnsi="宋体" w:eastAsia="宋体" w:cs="宋体"/>
                <w:spacing w:val="-3"/>
                <w:sz w:val="21"/>
                <w:szCs w:val="21"/>
              </w:rPr>
              <w:t>关联主体名称</w:t>
            </w:r>
          </w:p>
        </w:tc>
        <w:tc>
          <w:tcPr>
            <w:tcW w:w="4187" w:type="dxa"/>
            <w:gridSpan w:val="3"/>
            <w:vAlign w:val="center"/>
          </w:tcPr>
          <w:p w14:paraId="16B42502">
            <w:pPr>
              <w:pStyle w:val="31"/>
              <w:jc w:val="center"/>
              <w:rPr>
                <w:rFonts w:ascii="宋体" w:hAnsi="宋体" w:eastAsia="宋体" w:cs="宋体"/>
                <w:sz w:val="21"/>
                <w:szCs w:val="21"/>
              </w:rPr>
            </w:pPr>
            <w:r>
              <w:rPr>
                <w:rFonts w:hint="eastAsia" w:ascii="宋体" w:hAnsi="宋体" w:eastAsia="宋体" w:cs="宋体"/>
                <w:spacing w:val="-4"/>
                <w:sz w:val="21"/>
                <w:szCs w:val="21"/>
              </w:rPr>
              <w:t>备注</w:t>
            </w:r>
          </w:p>
        </w:tc>
      </w:tr>
      <w:tr w14:paraId="17CE5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2" w:hRule="atLeast"/>
        </w:trPr>
        <w:tc>
          <w:tcPr>
            <w:tcW w:w="561" w:type="dxa"/>
            <w:vAlign w:val="center"/>
          </w:tcPr>
          <w:p w14:paraId="558BBB75">
            <w:pPr>
              <w:jc w:val="center"/>
              <w:rPr>
                <w:rFonts w:ascii="宋体" w:hAnsi="宋体" w:eastAsia="宋体" w:cs="宋体"/>
                <w:sz w:val="21"/>
                <w:szCs w:val="21"/>
              </w:rPr>
            </w:pPr>
          </w:p>
          <w:p w14:paraId="25C2D43B">
            <w:pPr>
              <w:jc w:val="center"/>
              <w:rPr>
                <w:rFonts w:ascii="宋体" w:hAnsi="宋体" w:eastAsia="宋体" w:cs="宋体"/>
                <w:sz w:val="21"/>
                <w:szCs w:val="21"/>
              </w:rPr>
            </w:pPr>
          </w:p>
          <w:p w14:paraId="12330815">
            <w:pPr>
              <w:pStyle w:val="31"/>
              <w:jc w:val="center"/>
              <w:rPr>
                <w:rFonts w:ascii="宋体" w:hAnsi="宋体" w:eastAsia="宋体" w:cs="宋体"/>
                <w:sz w:val="21"/>
                <w:szCs w:val="21"/>
              </w:rPr>
            </w:pPr>
            <w:r>
              <w:rPr>
                <w:rFonts w:hint="eastAsia" w:ascii="宋体" w:hAnsi="宋体" w:eastAsia="宋体" w:cs="宋体"/>
                <w:sz w:val="21"/>
                <w:szCs w:val="21"/>
              </w:rPr>
              <w:t>1</w:t>
            </w:r>
          </w:p>
        </w:tc>
        <w:tc>
          <w:tcPr>
            <w:tcW w:w="2460" w:type="dxa"/>
            <w:gridSpan w:val="2"/>
            <w:vAlign w:val="center"/>
          </w:tcPr>
          <w:p w14:paraId="5399135C">
            <w:pPr>
              <w:pStyle w:val="31"/>
              <w:jc w:val="center"/>
              <w:rPr>
                <w:rFonts w:ascii="宋体" w:hAnsi="宋体" w:eastAsia="宋体" w:cs="宋体"/>
                <w:sz w:val="21"/>
                <w:szCs w:val="21"/>
              </w:rPr>
            </w:pPr>
            <w:r>
              <w:rPr>
                <w:rFonts w:hint="eastAsia" w:ascii="宋体" w:hAnsi="宋体" w:eastAsia="宋体" w:cs="宋体"/>
                <w:spacing w:val="-3"/>
                <w:sz w:val="21"/>
                <w:szCs w:val="21"/>
              </w:rPr>
              <w:t>控股股东</w:t>
            </w:r>
          </w:p>
        </w:tc>
        <w:tc>
          <w:tcPr>
            <w:tcW w:w="1737" w:type="dxa"/>
            <w:gridSpan w:val="2"/>
            <w:vAlign w:val="center"/>
          </w:tcPr>
          <w:p w14:paraId="5BF884EE">
            <w:pPr>
              <w:jc w:val="both"/>
              <w:rPr>
                <w:rFonts w:ascii="宋体" w:hAnsi="宋体" w:eastAsia="宋体" w:cs="宋体"/>
                <w:sz w:val="21"/>
                <w:szCs w:val="21"/>
              </w:rPr>
            </w:pPr>
          </w:p>
        </w:tc>
        <w:tc>
          <w:tcPr>
            <w:tcW w:w="4187" w:type="dxa"/>
            <w:gridSpan w:val="3"/>
            <w:vAlign w:val="center"/>
          </w:tcPr>
          <w:p w14:paraId="2E4358C2">
            <w:pPr>
              <w:pStyle w:val="31"/>
              <w:ind w:right="116" w:firstLine="19"/>
              <w:jc w:val="both"/>
              <w:rPr>
                <w:rFonts w:ascii="宋体" w:hAnsi="宋体" w:eastAsia="宋体" w:cs="宋体"/>
                <w:sz w:val="21"/>
                <w:szCs w:val="21"/>
                <w:lang w:eastAsia="zh-CN"/>
              </w:rPr>
            </w:pPr>
            <w:r>
              <w:rPr>
                <w:rFonts w:hint="eastAsia" w:ascii="宋体" w:hAnsi="宋体" w:eastAsia="宋体" w:cs="宋体"/>
                <w:spacing w:val="-1"/>
                <w:sz w:val="21"/>
                <w:szCs w:val="21"/>
                <w:lang w:eastAsia="zh-CN"/>
              </w:rPr>
              <w:t>指出资额（或持有股份）占投标（响应）供应商资</w:t>
            </w:r>
            <w:r>
              <w:rPr>
                <w:rFonts w:hint="eastAsia" w:ascii="宋体" w:hAnsi="宋体" w:eastAsia="宋体" w:cs="宋体"/>
                <w:spacing w:val="-8"/>
                <w:sz w:val="21"/>
                <w:szCs w:val="21"/>
                <w:lang w:eastAsia="zh-CN"/>
              </w:rPr>
              <w:t>本总额（或股本总额）50%以上的股东，以及出资额</w:t>
            </w:r>
            <w:r>
              <w:rPr>
                <w:rFonts w:hint="eastAsia" w:ascii="宋体" w:hAnsi="宋体" w:eastAsia="宋体" w:cs="宋体"/>
                <w:spacing w:val="7"/>
                <w:sz w:val="21"/>
                <w:szCs w:val="21"/>
                <w:lang w:eastAsia="zh-CN"/>
              </w:rPr>
              <w:t xml:space="preserve"> </w:t>
            </w:r>
            <w:r>
              <w:rPr>
                <w:rFonts w:hint="eastAsia" w:ascii="宋体" w:hAnsi="宋体" w:eastAsia="宋体" w:cs="宋体"/>
                <w:spacing w:val="-5"/>
                <w:sz w:val="21"/>
                <w:szCs w:val="21"/>
                <w:lang w:eastAsia="zh-CN"/>
              </w:rPr>
              <w:t>（或持有股份）的比例虽然不足50%，但依</w:t>
            </w:r>
            <w:r>
              <w:rPr>
                <w:rFonts w:hint="eastAsia" w:ascii="宋体" w:hAnsi="宋体" w:eastAsia="宋体" w:cs="宋体"/>
                <w:spacing w:val="-6"/>
                <w:sz w:val="21"/>
                <w:szCs w:val="21"/>
                <w:lang w:eastAsia="zh-CN"/>
              </w:rPr>
              <w:t>其出资</w:t>
            </w:r>
            <w:r>
              <w:rPr>
                <w:rFonts w:hint="eastAsia" w:ascii="宋体" w:hAnsi="宋体" w:eastAsia="宋体" w:cs="宋体"/>
                <w:spacing w:val="-9"/>
                <w:sz w:val="21"/>
                <w:szCs w:val="21"/>
                <w:lang w:eastAsia="zh-CN"/>
              </w:rPr>
              <w:t>额（或持有股份）所享有的表决权已足以对投标（响</w:t>
            </w:r>
            <w:r>
              <w:rPr>
                <w:rFonts w:hint="eastAsia" w:ascii="宋体" w:hAnsi="宋体" w:eastAsia="宋体" w:cs="宋体"/>
                <w:spacing w:val="18"/>
                <w:w w:val="101"/>
                <w:sz w:val="21"/>
                <w:szCs w:val="21"/>
                <w:lang w:eastAsia="zh-CN"/>
              </w:rPr>
              <w:t xml:space="preserve"> </w:t>
            </w:r>
            <w:r>
              <w:rPr>
                <w:rFonts w:hint="eastAsia" w:ascii="宋体" w:hAnsi="宋体" w:eastAsia="宋体" w:cs="宋体"/>
                <w:sz w:val="21"/>
                <w:szCs w:val="21"/>
                <w:lang w:eastAsia="zh-CN"/>
              </w:rPr>
              <w:t>应）供应商股东会（或股东大会）的决议产生重要</w:t>
            </w:r>
            <w:r>
              <w:rPr>
                <w:rFonts w:hint="eastAsia" w:ascii="宋体" w:hAnsi="宋体" w:eastAsia="宋体" w:cs="宋体"/>
                <w:spacing w:val="6"/>
                <w:sz w:val="21"/>
                <w:szCs w:val="21"/>
                <w:lang w:eastAsia="zh-CN"/>
              </w:rPr>
              <w:t xml:space="preserve"> </w:t>
            </w:r>
            <w:r>
              <w:rPr>
                <w:rFonts w:hint="eastAsia" w:ascii="宋体" w:hAnsi="宋体" w:eastAsia="宋体" w:cs="宋体"/>
                <w:spacing w:val="-2"/>
                <w:sz w:val="21"/>
                <w:szCs w:val="21"/>
                <w:lang w:eastAsia="zh-CN"/>
              </w:rPr>
              <w:t>影响的股东。</w:t>
            </w:r>
          </w:p>
        </w:tc>
      </w:tr>
      <w:tr w14:paraId="79AEA5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 w:hRule="atLeast"/>
        </w:trPr>
        <w:tc>
          <w:tcPr>
            <w:tcW w:w="561" w:type="dxa"/>
            <w:vAlign w:val="center"/>
          </w:tcPr>
          <w:p w14:paraId="6F248864">
            <w:pPr>
              <w:pStyle w:val="31"/>
              <w:jc w:val="center"/>
              <w:rPr>
                <w:rFonts w:ascii="宋体" w:hAnsi="宋体" w:eastAsia="宋体" w:cs="宋体"/>
                <w:sz w:val="21"/>
                <w:szCs w:val="21"/>
              </w:rPr>
            </w:pPr>
            <w:r>
              <w:rPr>
                <w:rFonts w:hint="eastAsia" w:ascii="宋体" w:hAnsi="宋体" w:eastAsia="宋体" w:cs="宋体"/>
                <w:sz w:val="21"/>
                <w:szCs w:val="21"/>
              </w:rPr>
              <w:t>2</w:t>
            </w:r>
          </w:p>
        </w:tc>
        <w:tc>
          <w:tcPr>
            <w:tcW w:w="2460" w:type="dxa"/>
            <w:gridSpan w:val="2"/>
            <w:vAlign w:val="center"/>
          </w:tcPr>
          <w:p w14:paraId="5D56D050">
            <w:pPr>
              <w:pStyle w:val="31"/>
              <w:jc w:val="center"/>
              <w:rPr>
                <w:rFonts w:ascii="宋体" w:hAnsi="宋体" w:eastAsia="宋体" w:cs="宋体"/>
                <w:sz w:val="21"/>
                <w:szCs w:val="21"/>
              </w:rPr>
            </w:pPr>
            <w:r>
              <w:rPr>
                <w:rFonts w:hint="eastAsia" w:ascii="宋体" w:hAnsi="宋体" w:eastAsia="宋体" w:cs="宋体"/>
                <w:spacing w:val="-5"/>
                <w:sz w:val="21"/>
                <w:szCs w:val="21"/>
              </w:rPr>
              <w:t>管理关系</w:t>
            </w:r>
          </w:p>
        </w:tc>
        <w:tc>
          <w:tcPr>
            <w:tcW w:w="1737" w:type="dxa"/>
            <w:gridSpan w:val="2"/>
            <w:vAlign w:val="center"/>
          </w:tcPr>
          <w:p w14:paraId="2097C4EC">
            <w:pPr>
              <w:jc w:val="center"/>
              <w:rPr>
                <w:rFonts w:ascii="宋体" w:hAnsi="宋体" w:eastAsia="宋体" w:cs="宋体"/>
                <w:sz w:val="21"/>
                <w:szCs w:val="21"/>
              </w:rPr>
            </w:pPr>
          </w:p>
        </w:tc>
        <w:tc>
          <w:tcPr>
            <w:tcW w:w="4187" w:type="dxa"/>
            <w:gridSpan w:val="3"/>
            <w:vAlign w:val="center"/>
          </w:tcPr>
          <w:p w14:paraId="7BD20676">
            <w:pPr>
              <w:pStyle w:val="31"/>
              <w:ind w:right="24"/>
              <w:jc w:val="both"/>
              <w:rPr>
                <w:rFonts w:ascii="宋体" w:hAnsi="宋体" w:eastAsia="宋体" w:cs="宋体"/>
                <w:sz w:val="21"/>
                <w:szCs w:val="21"/>
                <w:lang w:eastAsia="zh-CN"/>
              </w:rPr>
            </w:pPr>
            <w:r>
              <w:rPr>
                <w:rFonts w:hint="eastAsia" w:ascii="宋体" w:hAnsi="宋体" w:eastAsia="宋体" w:cs="宋体"/>
                <w:spacing w:val="-8"/>
                <w:sz w:val="21"/>
                <w:szCs w:val="21"/>
                <w:lang w:eastAsia="zh-CN"/>
              </w:rPr>
              <w:t>指对投标（响应）供应商不具有出资持</w:t>
            </w:r>
            <w:r>
              <w:rPr>
                <w:rFonts w:hint="eastAsia" w:ascii="宋体" w:hAnsi="宋体" w:eastAsia="宋体" w:cs="宋体"/>
                <w:spacing w:val="-3"/>
                <w:sz w:val="21"/>
                <w:szCs w:val="21"/>
                <w:lang w:eastAsia="zh-CN"/>
              </w:rPr>
              <w:t>股关系，但对其存在管理关系的主体。</w:t>
            </w:r>
          </w:p>
        </w:tc>
      </w:tr>
      <w:tr w14:paraId="1AB264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 w:hRule="atLeast"/>
        </w:trPr>
        <w:tc>
          <w:tcPr>
            <w:tcW w:w="8945" w:type="dxa"/>
            <w:gridSpan w:val="8"/>
          </w:tcPr>
          <w:p w14:paraId="591D988F">
            <w:pPr>
              <w:pStyle w:val="31"/>
              <w:spacing w:before="42" w:line="180" w:lineRule="auto"/>
              <w:ind w:left="120"/>
              <w:rPr>
                <w:rFonts w:ascii="宋体" w:hAnsi="宋体" w:eastAsia="宋体" w:cs="宋体"/>
                <w:sz w:val="21"/>
                <w:szCs w:val="21"/>
                <w:lang w:eastAsia="zh-CN"/>
              </w:rPr>
            </w:pPr>
            <w:r>
              <w:rPr>
                <w:rFonts w:hint="eastAsia" w:ascii="宋体" w:hAnsi="宋体" w:eastAsia="宋体" w:cs="宋体"/>
                <w:b/>
                <w:bCs/>
                <w:spacing w:val="-1"/>
                <w:sz w:val="21"/>
                <w:szCs w:val="21"/>
                <w:lang w:eastAsia="zh-CN"/>
              </w:rPr>
              <w:t>说明：同一关联关系类型有多个主体的，应分行填写。</w:t>
            </w:r>
          </w:p>
        </w:tc>
      </w:tr>
    </w:tbl>
    <w:p w14:paraId="60230FE2">
      <w:pPr>
        <w:rPr>
          <w:rFonts w:ascii="宋体" w:hAnsi="宋体" w:eastAsia="宋体" w:cs="宋体"/>
          <w:sz w:val="21"/>
          <w:szCs w:val="21"/>
        </w:rPr>
      </w:pPr>
    </w:p>
    <w:p w14:paraId="26C4594F">
      <w:pPr>
        <w:spacing w:line="240" w:lineRule="auto"/>
        <w:rPr>
          <w:rFonts w:ascii="宋体" w:hAnsi="宋体" w:eastAsia="宋体" w:cs="宋体"/>
          <w:sz w:val="21"/>
          <w:szCs w:val="21"/>
        </w:rPr>
      </w:pPr>
      <w:r>
        <w:rPr>
          <w:rFonts w:hint="eastAsia" w:ascii="宋体" w:hAnsi="宋体" w:eastAsia="宋体" w:cs="宋体"/>
          <w:b/>
          <w:sz w:val="21"/>
          <w:szCs w:val="21"/>
        </w:rPr>
        <w:t>注</w:t>
      </w:r>
      <w:r>
        <w:rPr>
          <w:rFonts w:hint="eastAsia" w:ascii="宋体" w:hAnsi="宋体" w:eastAsia="宋体" w:cs="宋体"/>
          <w:sz w:val="21"/>
          <w:szCs w:val="21"/>
        </w:rPr>
        <w:t>：</w:t>
      </w:r>
    </w:p>
    <w:p w14:paraId="3460D676">
      <w:pPr>
        <w:numPr>
          <w:ilvl w:val="0"/>
          <w:numId w:val="9"/>
        </w:numPr>
        <w:spacing w:line="240" w:lineRule="auto"/>
        <w:rPr>
          <w:rFonts w:ascii="宋体" w:hAnsi="宋体" w:eastAsia="宋体" w:cs="宋体"/>
          <w:sz w:val="21"/>
          <w:szCs w:val="21"/>
        </w:rPr>
      </w:pPr>
      <w:r>
        <w:rPr>
          <w:rFonts w:hint="eastAsia" w:ascii="宋体" w:hAnsi="宋体" w:eastAsia="宋体" w:cs="宋体"/>
          <w:sz w:val="21"/>
          <w:szCs w:val="21"/>
        </w:rPr>
        <w:t>主要经营负责人即实际控制人，是指通过投资关系、协议或者其他安排，能够实际支配公司行为的人。</w:t>
      </w:r>
    </w:p>
    <w:p w14:paraId="44A8037B">
      <w:pPr>
        <w:numPr>
          <w:ilvl w:val="0"/>
          <w:numId w:val="9"/>
        </w:numPr>
        <w:spacing w:line="240" w:lineRule="auto"/>
        <w:rPr>
          <w:rFonts w:ascii="宋体" w:hAnsi="宋体" w:eastAsia="宋体" w:cs="宋体"/>
          <w:sz w:val="21"/>
          <w:szCs w:val="21"/>
          <w:u w:val="double"/>
        </w:rPr>
      </w:pPr>
      <w:r>
        <w:rPr>
          <w:rFonts w:hint="eastAsia" w:ascii="宋体" w:hAnsi="宋体" w:eastAsia="宋体" w:cs="宋体"/>
          <w:sz w:val="21"/>
          <w:szCs w:val="21"/>
        </w:rPr>
        <w:t>如未有相关情况，请在相应栏填写“无”。</w:t>
      </w:r>
    </w:p>
    <w:p w14:paraId="754F908D">
      <w:pPr>
        <w:numPr>
          <w:ilvl w:val="0"/>
          <w:numId w:val="9"/>
        </w:numPr>
        <w:spacing w:line="240" w:lineRule="auto"/>
        <w:rPr>
          <w:rFonts w:ascii="宋体" w:hAnsi="宋体" w:eastAsia="宋体" w:cs="宋体"/>
          <w:sz w:val="21"/>
          <w:szCs w:val="21"/>
        </w:rPr>
      </w:pPr>
      <w:r>
        <w:rPr>
          <w:rFonts w:hint="eastAsia" w:ascii="宋体" w:hAnsi="宋体" w:cs="宋体"/>
          <w:sz w:val="21"/>
          <w:szCs w:val="21"/>
        </w:rPr>
        <w:t>投标供应商</w:t>
      </w:r>
      <w:r>
        <w:rPr>
          <w:rFonts w:hint="eastAsia" w:ascii="宋体" w:hAnsi="宋体" w:eastAsia="宋体" w:cs="宋体"/>
          <w:sz w:val="21"/>
          <w:szCs w:val="21"/>
        </w:rPr>
        <w:t>应如实申报本单位控股及管理关系人员信息，如存在隐瞒真实情况，提供虚假资料的，经查实，主管部门将依据《深圳经济特区政府采购条例》第五十七条的规定进行处罚。</w:t>
      </w:r>
    </w:p>
    <w:p w14:paraId="04AAE9AD">
      <w:pPr>
        <w:pStyle w:val="6"/>
        <w:spacing w:before="0" w:after="0" w:line="240" w:lineRule="auto"/>
        <w:ind w:firstLine="0" w:firstLineChars="0"/>
        <w:jc w:val="center"/>
        <w:rPr>
          <w:rFonts w:hint="eastAsia" w:asciiTheme="majorEastAsia" w:hAnsiTheme="majorEastAsia" w:eastAsiaTheme="majorEastAsia"/>
          <w:sz w:val="30"/>
          <w:szCs w:val="30"/>
        </w:rPr>
      </w:pPr>
      <w:bookmarkStart w:id="27" w:name="_Toc21942"/>
    </w:p>
    <w:p w14:paraId="66A53A52">
      <w:pPr>
        <w:pStyle w:val="11"/>
        <w:adjustRightInd w:val="0"/>
        <w:snapToGrid w:val="0"/>
        <w:spacing w:line="360" w:lineRule="auto"/>
        <w:jc w:val="center"/>
        <w:rPr>
          <w:rFonts w:hint="eastAsia" w:asciiTheme="majorEastAsia" w:hAnsiTheme="majorEastAsia" w:eastAsiaTheme="majorEastAsia"/>
          <w:sz w:val="30"/>
          <w:szCs w:val="30"/>
        </w:rPr>
      </w:pPr>
    </w:p>
    <w:p w14:paraId="7997138E">
      <w:pPr>
        <w:pStyle w:val="11"/>
        <w:adjustRightInd w:val="0"/>
        <w:snapToGrid w:val="0"/>
        <w:spacing w:line="360" w:lineRule="auto"/>
        <w:jc w:val="center"/>
        <w:rPr>
          <w:rFonts w:hint="eastAsia" w:hAnsi="宋体" w:cs="宋体"/>
          <w:b/>
          <w:bCs/>
          <w:sz w:val="24"/>
          <w:szCs w:val="24"/>
        </w:rPr>
      </w:pPr>
      <w:r>
        <w:rPr>
          <w:rFonts w:hint="eastAsia" w:asciiTheme="majorEastAsia" w:hAnsiTheme="majorEastAsia" w:eastAsiaTheme="majorEastAsia"/>
          <w:b/>
          <w:bCs/>
          <w:sz w:val="30"/>
          <w:szCs w:val="30"/>
        </w:rPr>
        <w:t>《供应商基本情况表》附件</w:t>
      </w:r>
      <w:bookmarkEnd w:id="27"/>
    </w:p>
    <w:p w14:paraId="3082DA3E">
      <w:pPr>
        <w:pStyle w:val="11"/>
        <w:adjustRightInd w:val="0"/>
        <w:snapToGrid w:val="0"/>
        <w:spacing w:line="360" w:lineRule="auto"/>
        <w:rPr>
          <w:rFonts w:hAnsi="宋体" w:cs="宋体"/>
          <w:b/>
          <w:bCs/>
          <w:color w:val="FF0000"/>
          <w:sz w:val="32"/>
          <w:szCs w:val="32"/>
        </w:rPr>
      </w:pPr>
      <w:r>
        <w:rPr>
          <w:rFonts w:hint="eastAsia" w:hAnsi="宋体" w:cs="宋体"/>
          <w:b/>
          <w:bCs/>
          <w:color w:val="FF0000"/>
          <w:sz w:val="24"/>
          <w:szCs w:val="24"/>
        </w:rPr>
        <w:t>投标时需提供《供应商基本情况表》附件，该要求作为供应商资格性审查的证明材料。</w:t>
      </w:r>
    </w:p>
    <w:p w14:paraId="28D24F2D">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注：</w:t>
      </w:r>
    </w:p>
    <w:p w14:paraId="4DC3830F">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1.</w:t>
      </w:r>
      <w:r>
        <w:rPr>
          <w:rFonts w:hint="eastAsia" w:ascii="宋体" w:hAnsi="宋体" w:cs="宋体"/>
          <w:kern w:val="2"/>
          <w:sz w:val="24"/>
          <w:szCs w:val="24"/>
        </w:rPr>
        <w:t>投标供应商</w:t>
      </w:r>
      <w:r>
        <w:rPr>
          <w:rFonts w:hint="eastAsia" w:ascii="宋体" w:hAnsi="宋体" w:eastAsia="宋体" w:cs="宋体"/>
          <w:kern w:val="2"/>
          <w:sz w:val="24"/>
          <w:szCs w:val="24"/>
        </w:rPr>
        <w:t>如实提供上述人员的社会保险证明，如上述人员的社会保险未由</w:t>
      </w:r>
      <w:r>
        <w:rPr>
          <w:rFonts w:hint="eastAsia" w:ascii="宋体" w:hAnsi="宋体" w:cs="宋体"/>
          <w:kern w:val="2"/>
          <w:sz w:val="24"/>
          <w:szCs w:val="24"/>
        </w:rPr>
        <w:t>投标供应商</w:t>
      </w:r>
      <w:r>
        <w:rPr>
          <w:rFonts w:hint="eastAsia" w:ascii="宋体" w:hAnsi="宋体" w:eastAsia="宋体" w:cs="宋体"/>
          <w:kern w:val="2"/>
          <w:sz w:val="24"/>
          <w:szCs w:val="24"/>
        </w:rPr>
        <w:t>缴纳，亦需提供相应单位为其缴纳的社会保险证明。</w:t>
      </w:r>
    </w:p>
    <w:p w14:paraId="47D79659">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2.</w:t>
      </w:r>
      <w:r>
        <w:rPr>
          <w:rFonts w:hint="eastAsia" w:ascii="宋体" w:hAnsi="宋体" w:cs="宋体"/>
          <w:kern w:val="2"/>
          <w:sz w:val="24"/>
          <w:szCs w:val="24"/>
        </w:rPr>
        <w:t>投标供应商</w:t>
      </w:r>
      <w:r>
        <w:rPr>
          <w:rFonts w:hint="eastAsia" w:ascii="宋体" w:hAnsi="宋体" w:eastAsia="宋体" w:cs="宋体"/>
          <w:kern w:val="2"/>
          <w:sz w:val="24"/>
          <w:szCs w:val="24"/>
        </w:rPr>
        <w:t>为新成立企业且成立时间不足一个月可提供加盖</w:t>
      </w:r>
      <w:r>
        <w:rPr>
          <w:rFonts w:hint="eastAsia" w:ascii="宋体" w:hAnsi="宋体" w:cs="宋体"/>
          <w:kern w:val="2"/>
          <w:sz w:val="24"/>
          <w:szCs w:val="24"/>
        </w:rPr>
        <w:t>投标供应商</w:t>
      </w:r>
      <w:r>
        <w:rPr>
          <w:rFonts w:hint="eastAsia" w:ascii="宋体" w:hAnsi="宋体" w:eastAsia="宋体" w:cs="宋体"/>
          <w:kern w:val="2"/>
          <w:sz w:val="24"/>
          <w:szCs w:val="24"/>
        </w:rPr>
        <w:t>公章的情况说明或者证明材料亦视为符合。</w:t>
      </w:r>
    </w:p>
    <w:p w14:paraId="47E90A44">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3.若为退休人员，提供退休证明。</w:t>
      </w:r>
    </w:p>
    <w:p w14:paraId="56D0B031">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4.如依法不需要缴纳社会保险的，提供相应文件证明。</w:t>
      </w:r>
    </w:p>
    <w:p w14:paraId="7381E7AB">
      <w:pPr>
        <w:widowControl w:val="0"/>
        <w:adjustRightInd w:val="0"/>
        <w:snapToGrid w:val="0"/>
        <w:spacing w:line="360" w:lineRule="auto"/>
        <w:rPr>
          <w:rFonts w:ascii="宋体" w:hAnsi="宋体" w:eastAsia="宋体" w:cs="宋体"/>
          <w:kern w:val="2"/>
          <w:sz w:val="24"/>
          <w:szCs w:val="24"/>
        </w:rPr>
      </w:pPr>
      <w:r>
        <w:rPr>
          <w:rFonts w:hint="eastAsia" w:ascii="宋体" w:hAnsi="宋体" w:eastAsia="宋体" w:cs="宋体"/>
          <w:kern w:val="2"/>
          <w:sz w:val="24"/>
          <w:szCs w:val="24"/>
        </w:rPr>
        <w:t>5.若因为社保部门或税务部门原因无法提供的，需提供劳动合同及社保部门或税务部门官方通知证明（或官网公告截图）。</w:t>
      </w:r>
    </w:p>
    <w:p w14:paraId="74551174">
      <w:pPr>
        <w:pStyle w:val="11"/>
        <w:adjustRightInd w:val="0"/>
        <w:snapToGrid w:val="0"/>
        <w:spacing w:line="360" w:lineRule="auto"/>
        <w:rPr>
          <w:rFonts w:hAnsi="宋体" w:cs="宋体"/>
          <w:sz w:val="24"/>
          <w:szCs w:val="24"/>
        </w:rPr>
      </w:pPr>
      <w:r>
        <w:rPr>
          <w:rFonts w:hint="eastAsia" w:hAnsi="宋体" w:cs="宋体"/>
          <w:sz w:val="24"/>
          <w:szCs w:val="24"/>
        </w:rPr>
        <w:t>6.如本项目未安排项目投标授权代表人、项目负责人、主要技术人员的，无需提供投标授权代表人、项目负责人、主要技术人员的社保。</w:t>
      </w:r>
    </w:p>
    <w:p w14:paraId="786992F2">
      <w:pPr>
        <w:pStyle w:val="11"/>
        <w:adjustRightInd w:val="0"/>
        <w:snapToGrid w:val="0"/>
        <w:spacing w:line="360" w:lineRule="auto"/>
        <w:rPr>
          <w:rFonts w:hAnsi="宋体" w:cs="宋体"/>
          <w:szCs w:val="21"/>
        </w:rPr>
      </w:pPr>
      <w:r>
        <w:rPr>
          <w:rFonts w:hint="eastAsia" w:hAnsi="宋体" w:cs="宋体"/>
          <w:sz w:val="24"/>
          <w:szCs w:val="24"/>
        </w:rPr>
        <w:t>7.</w:t>
      </w:r>
      <w:r>
        <w:rPr>
          <w:rFonts w:hAnsi="宋体" w:cs="宋体"/>
          <w:sz w:val="24"/>
          <w:szCs w:val="24"/>
        </w:rPr>
        <w:t>主要经营负责人即实际控制人，是指通过投资关系、协议或者其他安排，能够实际支配公司行为的人。</w:t>
      </w:r>
      <w:r>
        <w:rPr>
          <w:rFonts w:hint="eastAsia" w:hAnsi="宋体" w:cs="宋体"/>
          <w:sz w:val="24"/>
          <w:szCs w:val="24"/>
        </w:rPr>
        <w:t>如投标供应商无</w:t>
      </w:r>
      <w:r>
        <w:rPr>
          <w:rFonts w:hAnsi="宋体" w:cs="宋体"/>
          <w:sz w:val="24"/>
          <w:szCs w:val="24"/>
        </w:rPr>
        <w:t>主要经营负责人</w:t>
      </w:r>
      <w:r>
        <w:rPr>
          <w:rFonts w:hint="eastAsia" w:hAnsi="宋体" w:cs="宋体"/>
          <w:sz w:val="24"/>
          <w:szCs w:val="24"/>
        </w:rPr>
        <w:t>的，</w:t>
      </w:r>
      <w:r>
        <w:rPr>
          <w:rFonts w:hAnsi="宋体" w:cs="宋体"/>
          <w:sz w:val="24"/>
          <w:szCs w:val="24"/>
        </w:rPr>
        <w:t>无需提供主要经营负责人的社保</w:t>
      </w:r>
      <w:r>
        <w:rPr>
          <w:rFonts w:hint="eastAsia" w:hAnsi="宋体" w:cs="宋体"/>
          <w:sz w:val="24"/>
          <w:szCs w:val="24"/>
        </w:rPr>
        <w:t>。</w:t>
      </w:r>
    </w:p>
    <w:p w14:paraId="5E3B170A">
      <w:pPr>
        <w:widowControl w:val="0"/>
        <w:adjustRightInd w:val="0"/>
        <w:snapToGrid w:val="0"/>
        <w:spacing w:line="360" w:lineRule="auto"/>
        <w:rPr>
          <w:rFonts w:cs="仿宋" w:asciiTheme="minorEastAsia" w:hAnsiTheme="minorEastAsia"/>
          <w:b/>
          <w:szCs w:val="21"/>
        </w:rPr>
      </w:pPr>
      <w:r>
        <w:rPr>
          <w:rFonts w:hint="eastAsia" w:cs="仿宋" w:asciiTheme="minorEastAsia" w:hAnsiTheme="minorEastAsia"/>
          <w:b/>
          <w:szCs w:val="21"/>
        </w:rPr>
        <w:t>8.请供应商按以下格式提供上述涉及人员</w:t>
      </w:r>
      <w:r>
        <w:rPr>
          <w:rFonts w:hint="eastAsia" w:ascii="宋体" w:hAnsi="宋体" w:eastAsia="宋体" w:cs="宋体"/>
          <w:b/>
          <w:bCs/>
          <w:sz w:val="21"/>
          <w:szCs w:val="21"/>
        </w:rPr>
        <w:t>近三个月（含开标当月）中的任意一个月</w:t>
      </w:r>
      <w:r>
        <w:rPr>
          <w:rFonts w:hint="eastAsia" w:cs="仿宋" w:asciiTheme="minorEastAsia" w:hAnsiTheme="minorEastAsia"/>
          <w:b/>
          <w:szCs w:val="21"/>
        </w:rPr>
        <w:t>的社保缴纳情况以及企业股权关系证明。（注：以下内容将作为评审委员会和主管部门判定本项目不同投标供应商是否涉嫌、属于串通投标的重要依据，请供应商认真填报，并保证所填信息的真实、准确和完整。）</w:t>
      </w:r>
    </w:p>
    <w:p w14:paraId="4D1525DB">
      <w:pPr>
        <w:widowControl w:val="0"/>
        <w:adjustRightInd w:val="0"/>
        <w:snapToGrid w:val="0"/>
        <w:spacing w:line="360" w:lineRule="auto"/>
        <w:rPr>
          <w:rFonts w:ascii="宋体" w:hAnsi="宋体" w:eastAsia="宋体" w:cs="宋体"/>
          <w:b/>
          <w:szCs w:val="21"/>
        </w:rPr>
      </w:pPr>
      <w:r>
        <w:rPr>
          <w:rFonts w:hint="eastAsia" w:ascii="宋体" w:hAnsi="宋体" w:eastAsia="宋体" w:cs="宋体"/>
          <w:b/>
          <w:szCs w:val="21"/>
        </w:rPr>
        <w:t>（</w:t>
      </w:r>
      <w:r>
        <w:rPr>
          <w:rFonts w:hint="eastAsia" w:ascii="宋体" w:hAnsi="宋体" w:cs="宋体"/>
          <w:b/>
          <w:szCs w:val="21"/>
        </w:rPr>
        <w:t>1</w:t>
      </w:r>
      <w:r>
        <w:rPr>
          <w:rFonts w:hint="eastAsia" w:ascii="宋体" w:hAnsi="宋体" w:eastAsia="宋体" w:cs="宋体"/>
          <w:b/>
          <w:szCs w:val="21"/>
        </w:rPr>
        <w:t>）</w:t>
      </w:r>
      <w:r>
        <w:rPr>
          <w:rFonts w:hint="eastAsia" w:cs="仿宋" w:asciiTheme="minorEastAsia" w:hAnsiTheme="minorEastAsia"/>
          <w:b/>
          <w:szCs w:val="21"/>
        </w:rPr>
        <w:t>社保缴纳情况</w:t>
      </w:r>
      <w:r>
        <w:rPr>
          <w:rFonts w:hint="eastAsia" w:ascii="宋体" w:hAnsi="宋体" w:eastAsia="宋体" w:cs="宋体"/>
          <w:b/>
          <w:szCs w:val="21"/>
        </w:rPr>
        <w:t>证明材料：</w:t>
      </w:r>
    </w:p>
    <w:p w14:paraId="4364F494">
      <w:pPr>
        <w:widowControl w:val="0"/>
        <w:numPr>
          <w:ilvl w:val="0"/>
          <w:numId w:val="10"/>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法定代表人</w:t>
      </w:r>
    </w:p>
    <w:p w14:paraId="709A1814">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14:paraId="3735BCC9">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4137E51A">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3AFFC3FF">
      <w:pPr>
        <w:pStyle w:val="5"/>
        <w:widowControl w:val="0"/>
        <w:adjustRightInd w:val="0"/>
        <w:snapToGrid w:val="0"/>
        <w:spacing w:line="360" w:lineRule="auto"/>
        <w:ind w:firstLine="480"/>
        <w:rPr>
          <w:rFonts w:ascii="宋体" w:hAnsi="宋体" w:eastAsia="宋体" w:cs="宋体"/>
        </w:rPr>
      </w:pPr>
    </w:p>
    <w:p w14:paraId="03CC5CAA">
      <w:pPr>
        <w:widowControl w:val="0"/>
        <w:numPr>
          <w:ilvl w:val="0"/>
          <w:numId w:val="10"/>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单位负责人（</w:t>
      </w:r>
      <w:r>
        <w:rPr>
          <w:rFonts w:hint="eastAsia" w:ascii="宋体" w:hAnsi="宋体" w:cs="宋体"/>
          <w:b/>
          <w:szCs w:val="21"/>
        </w:rPr>
        <w:t>如有</w:t>
      </w:r>
      <w:r>
        <w:rPr>
          <w:rFonts w:hint="eastAsia" w:ascii="宋体" w:hAnsi="宋体" w:eastAsia="宋体" w:cs="宋体"/>
          <w:b/>
          <w:szCs w:val="21"/>
        </w:rPr>
        <w:t>）</w:t>
      </w:r>
    </w:p>
    <w:p w14:paraId="4E5593FA">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14:paraId="78927A3E">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46A390F9">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0C96CD43">
      <w:pPr>
        <w:widowControl w:val="0"/>
        <w:adjustRightInd w:val="0"/>
        <w:snapToGrid w:val="0"/>
        <w:spacing w:line="360" w:lineRule="auto"/>
        <w:rPr>
          <w:rFonts w:ascii="宋体" w:hAnsi="宋体" w:eastAsia="宋体" w:cs="宋体"/>
          <w:b/>
          <w:szCs w:val="21"/>
        </w:rPr>
      </w:pPr>
    </w:p>
    <w:p w14:paraId="17F1E00B">
      <w:pPr>
        <w:widowControl w:val="0"/>
        <w:numPr>
          <w:ilvl w:val="0"/>
          <w:numId w:val="10"/>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主要经营负责人（</w:t>
      </w:r>
      <w:r>
        <w:rPr>
          <w:rFonts w:hint="eastAsia" w:ascii="宋体" w:hAnsi="宋体" w:cs="宋体"/>
          <w:b/>
          <w:szCs w:val="21"/>
        </w:rPr>
        <w:t>如有</w:t>
      </w:r>
      <w:r>
        <w:rPr>
          <w:rFonts w:hint="eastAsia" w:ascii="宋体" w:hAnsi="宋体" w:eastAsia="宋体" w:cs="宋体"/>
          <w:b/>
          <w:szCs w:val="21"/>
        </w:rPr>
        <w:t>）</w:t>
      </w:r>
    </w:p>
    <w:p w14:paraId="75B757A0">
      <w:pPr>
        <w:widowControl w:val="0"/>
        <w:adjustRightInd w:val="0"/>
        <w:snapToGrid w:val="0"/>
        <w:spacing w:line="360" w:lineRule="auto"/>
        <w:rPr>
          <w:rFonts w:ascii="宋体" w:hAnsi="宋体" w:eastAsia="宋体" w:cs="宋体"/>
          <w:b/>
          <w:szCs w:val="21"/>
        </w:rPr>
      </w:pPr>
      <w:r>
        <w:rPr>
          <w:rFonts w:hint="eastAsia" w:ascii="宋体" w:hAnsi="宋体" w:cs="宋体"/>
          <w:b/>
          <w:bCs/>
          <w:sz w:val="21"/>
          <w:szCs w:val="21"/>
        </w:rPr>
        <w:t>姓名：</w:t>
      </w:r>
    </w:p>
    <w:p w14:paraId="2EF2AC91">
      <w:pPr>
        <w:widowControl w:val="0"/>
        <w:adjustRightInd w:val="0"/>
        <w:snapToGrid w:val="0"/>
        <w:spacing w:line="360" w:lineRule="auto"/>
        <w:rPr>
          <w:rFonts w:ascii="宋体" w:hAnsi="宋体" w:eastAsia="宋体" w:cs="宋体"/>
          <w:b/>
          <w:szCs w:val="21"/>
        </w:rPr>
      </w:pPr>
      <w:r>
        <w:rPr>
          <w:rFonts w:hint="eastAsia" w:ascii="宋体" w:hAnsi="宋体" w:eastAsia="宋体" w:cs="宋体"/>
          <w:b/>
          <w:szCs w:val="21"/>
        </w:rPr>
        <w:t>身份证复印件（正反面）：</w:t>
      </w:r>
    </w:p>
    <w:p w14:paraId="741AAE98">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13BA438F">
      <w:pPr>
        <w:pStyle w:val="5"/>
        <w:widowControl w:val="0"/>
        <w:adjustRightInd w:val="0"/>
        <w:snapToGrid w:val="0"/>
        <w:spacing w:line="360" w:lineRule="auto"/>
        <w:ind w:firstLine="480"/>
        <w:rPr>
          <w:rFonts w:ascii="宋体" w:hAnsi="宋体" w:eastAsia="宋体" w:cs="宋体"/>
        </w:rPr>
      </w:pPr>
    </w:p>
    <w:p w14:paraId="4A9098DA">
      <w:pPr>
        <w:widowControl w:val="0"/>
        <w:numPr>
          <w:ilvl w:val="0"/>
          <w:numId w:val="10"/>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项目投标授权代表人</w:t>
      </w:r>
    </w:p>
    <w:p w14:paraId="4D890A67">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14:paraId="6F262370">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0A293F7B">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55CB10F3">
      <w:pPr>
        <w:pStyle w:val="5"/>
        <w:widowControl w:val="0"/>
        <w:adjustRightInd w:val="0"/>
        <w:snapToGrid w:val="0"/>
        <w:spacing w:line="360" w:lineRule="auto"/>
        <w:ind w:firstLine="480"/>
        <w:rPr>
          <w:rFonts w:ascii="宋体" w:hAnsi="宋体" w:eastAsia="宋体" w:cs="宋体"/>
        </w:rPr>
      </w:pPr>
    </w:p>
    <w:p w14:paraId="2495D2C6">
      <w:pPr>
        <w:widowControl w:val="0"/>
        <w:numPr>
          <w:ilvl w:val="0"/>
          <w:numId w:val="10"/>
        </w:numPr>
        <w:adjustRightInd w:val="0"/>
        <w:snapToGrid w:val="0"/>
        <w:spacing w:line="360" w:lineRule="auto"/>
        <w:ind w:firstLine="0"/>
        <w:rPr>
          <w:rFonts w:ascii="宋体" w:hAnsi="宋体" w:eastAsia="宋体" w:cs="宋体"/>
          <w:b/>
          <w:szCs w:val="21"/>
        </w:rPr>
      </w:pPr>
      <w:r>
        <w:rPr>
          <w:rFonts w:hint="eastAsia" w:ascii="宋体" w:hAnsi="宋体" w:eastAsia="宋体" w:cs="宋体"/>
          <w:b/>
          <w:szCs w:val="21"/>
        </w:rPr>
        <w:t>项目负责人</w:t>
      </w:r>
    </w:p>
    <w:p w14:paraId="3F7E693B">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14:paraId="12785980">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1B6116BD">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30A3493D">
      <w:pPr>
        <w:pStyle w:val="5"/>
        <w:widowControl w:val="0"/>
        <w:adjustRightInd w:val="0"/>
        <w:snapToGrid w:val="0"/>
        <w:spacing w:line="360" w:lineRule="auto"/>
        <w:rPr>
          <w:rFonts w:ascii="宋体" w:hAnsi="宋体" w:eastAsia="宋体" w:cs="宋体"/>
          <w:sz w:val="21"/>
          <w:szCs w:val="21"/>
        </w:rPr>
      </w:pPr>
    </w:p>
    <w:p w14:paraId="68D3587A">
      <w:pPr>
        <w:widowControl w:val="0"/>
        <w:numPr>
          <w:ilvl w:val="0"/>
          <w:numId w:val="10"/>
        </w:numPr>
        <w:adjustRightInd w:val="0"/>
        <w:snapToGrid w:val="0"/>
        <w:spacing w:line="360" w:lineRule="auto"/>
        <w:ind w:firstLine="0"/>
        <w:rPr>
          <w:rFonts w:ascii="宋体" w:hAnsi="宋体" w:eastAsia="宋体" w:cs="宋体"/>
          <w:b/>
          <w:sz w:val="21"/>
          <w:szCs w:val="21"/>
        </w:rPr>
      </w:pPr>
      <w:r>
        <w:rPr>
          <w:rFonts w:hint="eastAsia" w:ascii="宋体" w:hAnsi="宋体" w:eastAsia="宋体" w:cs="宋体"/>
          <w:b/>
          <w:sz w:val="21"/>
          <w:szCs w:val="21"/>
        </w:rPr>
        <w:t>主要技术人员</w:t>
      </w:r>
      <w:r>
        <w:rPr>
          <w:rFonts w:hint="eastAsia" w:ascii="宋体" w:hAnsi="宋体" w:cs="宋体"/>
          <w:b/>
          <w:sz w:val="21"/>
          <w:szCs w:val="21"/>
        </w:rPr>
        <w:t>（</w:t>
      </w:r>
      <w:r>
        <w:rPr>
          <w:rFonts w:hint="eastAsia" w:ascii="宋体" w:hAnsi="宋体" w:eastAsia="宋体" w:cs="宋体"/>
          <w:b/>
          <w:bCs/>
          <w:spacing w:val="-1"/>
          <w:sz w:val="21"/>
          <w:szCs w:val="21"/>
        </w:rPr>
        <w:t>有多人担任</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r>
        <w:rPr>
          <w:rFonts w:hint="eastAsia" w:ascii="宋体" w:hAnsi="宋体" w:cs="宋体"/>
          <w:b/>
          <w:sz w:val="21"/>
          <w:szCs w:val="21"/>
        </w:rPr>
        <w:t>）</w:t>
      </w:r>
    </w:p>
    <w:p w14:paraId="65C71902">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14:paraId="14A2CEEA">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3F030087">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2EB5051C">
      <w:pPr>
        <w:pStyle w:val="5"/>
        <w:widowControl w:val="0"/>
        <w:adjustRightInd w:val="0"/>
        <w:snapToGrid w:val="0"/>
        <w:spacing w:line="360" w:lineRule="auto"/>
        <w:rPr>
          <w:rFonts w:ascii="宋体" w:hAnsi="宋体" w:eastAsia="宋体" w:cs="宋体"/>
          <w:sz w:val="21"/>
          <w:szCs w:val="21"/>
        </w:rPr>
      </w:pPr>
    </w:p>
    <w:p w14:paraId="2CA2895F">
      <w:pPr>
        <w:widowControl w:val="0"/>
        <w:numPr>
          <w:ilvl w:val="0"/>
          <w:numId w:val="10"/>
        </w:numPr>
        <w:adjustRightInd w:val="0"/>
        <w:snapToGrid w:val="0"/>
        <w:spacing w:line="360" w:lineRule="auto"/>
        <w:ind w:firstLine="0"/>
        <w:rPr>
          <w:rFonts w:ascii="宋体" w:hAnsi="宋体" w:eastAsia="宋体" w:cs="宋体"/>
          <w:b/>
          <w:bCs/>
          <w:sz w:val="21"/>
          <w:szCs w:val="21"/>
        </w:rPr>
      </w:pPr>
      <w:r>
        <w:rPr>
          <w:rFonts w:hint="eastAsia" w:ascii="宋体" w:hAnsi="宋体" w:eastAsia="宋体" w:cs="宋体"/>
          <w:b/>
          <w:bCs/>
          <w:sz w:val="21"/>
          <w:szCs w:val="21"/>
        </w:rPr>
        <w:t>投标文件编制人员</w:t>
      </w:r>
      <w:r>
        <w:rPr>
          <w:rFonts w:hint="eastAsia" w:ascii="宋体" w:hAnsi="宋体" w:cs="宋体"/>
          <w:b/>
          <w:sz w:val="21"/>
          <w:szCs w:val="21"/>
        </w:rPr>
        <w:t>（</w:t>
      </w:r>
      <w:r>
        <w:rPr>
          <w:rFonts w:hint="eastAsia" w:ascii="宋体" w:hAnsi="宋体" w:eastAsia="宋体" w:cs="宋体"/>
          <w:b/>
          <w:bCs/>
          <w:spacing w:val="-1"/>
          <w:sz w:val="21"/>
          <w:szCs w:val="21"/>
        </w:rPr>
        <w:t>有多人担任</w:t>
      </w:r>
      <w:r>
        <w:rPr>
          <w:rFonts w:hint="eastAsia" w:ascii="宋体" w:hAnsi="宋体" w:eastAsia="宋体" w:cs="宋体"/>
          <w:b/>
          <w:bCs/>
          <w:spacing w:val="-42"/>
          <w:w w:val="95"/>
          <w:sz w:val="21"/>
          <w:szCs w:val="21"/>
        </w:rPr>
        <w:t>，</w:t>
      </w:r>
      <w:r>
        <w:rPr>
          <w:rFonts w:hint="eastAsia" w:ascii="宋体" w:hAnsi="宋体" w:eastAsia="宋体" w:cs="宋体"/>
          <w:b/>
          <w:bCs/>
          <w:spacing w:val="-1"/>
          <w:sz w:val="21"/>
          <w:szCs w:val="21"/>
        </w:rPr>
        <w:t>应分行填写</w:t>
      </w:r>
      <w:r>
        <w:rPr>
          <w:rFonts w:hint="eastAsia" w:ascii="宋体" w:hAnsi="宋体" w:cs="宋体"/>
          <w:b/>
          <w:sz w:val="21"/>
          <w:szCs w:val="21"/>
        </w:rPr>
        <w:t>）</w:t>
      </w:r>
    </w:p>
    <w:p w14:paraId="1552251E">
      <w:pPr>
        <w:widowControl w:val="0"/>
        <w:adjustRightInd w:val="0"/>
        <w:snapToGrid w:val="0"/>
        <w:spacing w:line="360" w:lineRule="auto"/>
        <w:rPr>
          <w:rFonts w:ascii="宋体" w:hAnsi="宋体" w:eastAsia="宋体" w:cs="宋体"/>
          <w:b/>
          <w:bCs/>
          <w:sz w:val="21"/>
          <w:szCs w:val="21"/>
        </w:rPr>
      </w:pPr>
      <w:r>
        <w:rPr>
          <w:rFonts w:hint="eastAsia" w:ascii="宋体" w:hAnsi="宋体" w:cs="宋体"/>
          <w:b/>
          <w:bCs/>
          <w:sz w:val="21"/>
          <w:szCs w:val="21"/>
        </w:rPr>
        <w:t>姓名：</w:t>
      </w:r>
    </w:p>
    <w:p w14:paraId="077CD753">
      <w:pPr>
        <w:widowControl w:val="0"/>
        <w:adjustRightInd w:val="0"/>
        <w:snapToGrid w:val="0"/>
        <w:spacing w:line="360" w:lineRule="auto"/>
        <w:rPr>
          <w:rFonts w:ascii="宋体" w:hAnsi="宋体" w:eastAsia="宋体" w:cs="宋体"/>
          <w:b/>
          <w:bCs/>
          <w:sz w:val="21"/>
          <w:szCs w:val="21"/>
        </w:rPr>
      </w:pPr>
      <w:r>
        <w:rPr>
          <w:rFonts w:hint="eastAsia" w:ascii="宋体" w:hAnsi="宋体" w:eastAsia="宋体" w:cs="宋体"/>
          <w:b/>
          <w:szCs w:val="21"/>
        </w:rPr>
        <w:t>身份证复印件（正</w:t>
      </w:r>
      <w:r>
        <w:rPr>
          <w:rFonts w:hint="eastAsia" w:ascii="宋体" w:hAnsi="宋体" w:eastAsia="宋体" w:cs="宋体"/>
          <w:b/>
          <w:sz w:val="21"/>
          <w:szCs w:val="21"/>
        </w:rPr>
        <w:t>反面）：</w:t>
      </w:r>
    </w:p>
    <w:p w14:paraId="52629715">
      <w:pPr>
        <w:widowControl w:val="0"/>
        <w:adjustRightInd w:val="0"/>
        <w:snapToGrid w:val="0"/>
        <w:spacing w:line="360" w:lineRule="auto"/>
        <w:rPr>
          <w:rFonts w:ascii="宋体" w:hAnsi="宋体" w:eastAsia="宋体" w:cs="宋体"/>
          <w:b/>
          <w:szCs w:val="21"/>
        </w:rPr>
      </w:pPr>
      <w:r>
        <w:rPr>
          <w:rFonts w:hint="eastAsia" w:ascii="宋体" w:hAnsi="宋体" w:eastAsia="宋体" w:cs="宋体"/>
          <w:b/>
          <w:bCs/>
          <w:sz w:val="21"/>
          <w:szCs w:val="21"/>
        </w:rPr>
        <w:t>近三个月（含开标当月）中的任意一个月</w:t>
      </w:r>
      <w:r>
        <w:rPr>
          <w:rFonts w:hint="eastAsia" w:ascii="宋体" w:hAnsi="宋体" w:eastAsia="宋体" w:cs="宋体"/>
          <w:b/>
          <w:szCs w:val="21"/>
        </w:rPr>
        <w:t>的社保缴纳凭证：</w:t>
      </w:r>
    </w:p>
    <w:p w14:paraId="2169867D">
      <w:pPr>
        <w:widowControl w:val="0"/>
        <w:adjustRightInd w:val="0"/>
        <w:snapToGrid w:val="0"/>
        <w:spacing w:line="360" w:lineRule="auto"/>
        <w:rPr>
          <w:rFonts w:ascii="宋体" w:hAnsi="宋体" w:eastAsia="宋体" w:cs="宋体"/>
          <w:b/>
          <w:sz w:val="21"/>
          <w:szCs w:val="21"/>
        </w:rPr>
      </w:pPr>
    </w:p>
    <w:p w14:paraId="1EBE516A">
      <w:pPr>
        <w:numPr>
          <w:ilvl w:val="0"/>
          <w:numId w:val="11"/>
        </w:numPr>
        <w:rPr>
          <w:rFonts w:ascii="宋体" w:hAnsi="宋体" w:cs="宋体"/>
          <w:b/>
          <w:szCs w:val="21"/>
        </w:rPr>
      </w:pPr>
      <w:r>
        <w:rPr>
          <w:rFonts w:hint="eastAsia" w:cs="仿宋" w:asciiTheme="minorEastAsia" w:hAnsiTheme="minorEastAsia"/>
          <w:b/>
          <w:szCs w:val="21"/>
        </w:rPr>
        <w:t>企业股权关系</w:t>
      </w:r>
      <w:r>
        <w:rPr>
          <w:rFonts w:hint="eastAsia" w:ascii="宋体" w:hAnsi="宋体" w:eastAsia="宋体" w:cs="宋体"/>
          <w:b/>
          <w:szCs w:val="21"/>
        </w:rPr>
        <w:t>证明材料</w:t>
      </w:r>
      <w:r>
        <w:rPr>
          <w:rFonts w:hint="eastAsia" w:ascii="宋体" w:hAnsi="宋体" w:cs="宋体"/>
          <w:b/>
          <w:szCs w:val="21"/>
          <w:u w:val="double"/>
        </w:rPr>
        <w:t>（投标人根据自身情况提供证明材料）</w:t>
      </w:r>
      <w:r>
        <w:rPr>
          <w:rFonts w:hint="eastAsia" w:ascii="宋体" w:hAnsi="宋体" w:cs="宋体"/>
          <w:b/>
          <w:szCs w:val="21"/>
        </w:rPr>
        <w:t>：</w:t>
      </w:r>
    </w:p>
    <w:p w14:paraId="79A0F6B6">
      <w:pPr>
        <w:numPr>
          <w:ilvl w:val="255"/>
          <w:numId w:val="0"/>
        </w:numPr>
        <w:rPr>
          <w:rFonts w:asciiTheme="minorEastAsia" w:hAnsiTheme="minorEastAsia" w:cstheme="minorEastAsia"/>
          <w:b/>
          <w:bCs/>
        </w:rPr>
      </w:pPr>
      <w:r>
        <w:rPr>
          <w:rFonts w:hint="eastAsia" w:asciiTheme="minorEastAsia" w:hAnsiTheme="minorEastAsia" w:cstheme="minorEastAsia"/>
          <w:b/>
          <w:bCs/>
        </w:rPr>
        <w:br w:type="page"/>
      </w:r>
    </w:p>
    <w:p w14:paraId="0537B705">
      <w:pPr>
        <w:tabs>
          <w:tab w:val="left" w:pos="360"/>
        </w:tabs>
        <w:spacing w:line="360" w:lineRule="auto"/>
        <w:jc w:val="both"/>
        <w:rPr>
          <w:rFonts w:asciiTheme="minorEastAsia" w:hAnsiTheme="minorEastAsia" w:cstheme="minorEastAsia"/>
          <w:b/>
          <w:bCs/>
        </w:rPr>
      </w:pPr>
      <w:r>
        <w:rPr>
          <w:rFonts w:hint="eastAsia" w:asciiTheme="minorEastAsia" w:hAnsiTheme="minorEastAsia" w:cstheme="minorEastAsia"/>
          <w:b/>
          <w:bCs/>
        </w:rPr>
        <w:t>（二）资格证明文件</w:t>
      </w:r>
    </w:p>
    <w:p w14:paraId="00F9D5C8">
      <w:pPr>
        <w:spacing w:line="360" w:lineRule="auto"/>
        <w:ind w:firstLine="480" w:firstLineChars="200"/>
        <w:rPr>
          <w:rFonts w:asciiTheme="minorEastAsia" w:hAnsiTheme="minorEastAsia" w:cstheme="minorEastAsia"/>
          <w:bCs/>
        </w:rPr>
      </w:pPr>
      <w:r>
        <w:rPr>
          <w:rFonts w:hint="eastAsia" w:asciiTheme="minorEastAsia" w:hAnsiTheme="minorEastAsia" w:cstheme="minorEastAsia"/>
          <w:bCs/>
          <w:lang w:val="en-US" w:eastAsia="zh-CN"/>
        </w:rPr>
        <w:t>1.</w:t>
      </w:r>
      <w:r>
        <w:rPr>
          <w:rFonts w:hint="eastAsia" w:asciiTheme="minorEastAsia" w:hAnsiTheme="minorEastAsia" w:cstheme="minorEastAsia"/>
          <w:bCs/>
        </w:rPr>
        <w:t>供应商须是在中华人民共和国境内经注册独立法人单位，具有独立法人资格或者具有独立承担民事责任的能力的其他组织（提供营业执照或事业单位法人证等法人证明扫描件，原件备查）。【</w:t>
      </w:r>
      <w:r>
        <w:rPr>
          <w:rFonts w:hint="eastAsia" w:ascii="宋体" w:hAnsi="宋体" w:cs="宋体"/>
        </w:rPr>
        <w:t>分支机构投标，须取得具有法人资格的总公司（总所）出具给分支机构的授权书，并提供总公司（总所）和分支机构的营业执照（执业许可证）复印件。已由总公司（总所）授权的，总公司（总所）取得的相关资质证书对分支机构有效，法律法规或者行业另有规定的除外</w:t>
      </w:r>
      <w:r>
        <w:rPr>
          <w:rFonts w:hint="eastAsia" w:ascii="宋体" w:hAnsi="宋体"/>
          <w:bCs/>
          <w:szCs w:val="21"/>
        </w:rPr>
        <w:t>】。</w:t>
      </w:r>
    </w:p>
    <w:p w14:paraId="56E26042">
      <w:pPr>
        <w:ind w:firstLine="0" w:firstLineChars="0"/>
        <w:outlineLvl w:val="9"/>
        <w:rPr>
          <w:rFonts w:hint="default" w:ascii="宋体" w:hAnsi="宋体" w:eastAsia="宋体" w:cs="宋体"/>
          <w:bCs/>
          <w:kern w:val="0"/>
          <w:sz w:val="24"/>
          <w:szCs w:val="32"/>
          <w:lang w:val="en-US" w:eastAsia="zh-CN"/>
        </w:rPr>
      </w:pPr>
      <w:bookmarkStart w:id="28" w:name="_Hlk72257908"/>
      <w:r>
        <w:rPr>
          <w:rFonts w:hint="default" w:ascii="宋体" w:hAnsi="宋体" w:eastAsia="宋体" w:cs="宋体"/>
          <w:bCs/>
          <w:kern w:val="0"/>
          <w:sz w:val="24"/>
          <w:szCs w:val="32"/>
          <w:lang w:val="en-US" w:eastAsia="zh-CN"/>
        </w:rPr>
        <w:br w:type="page"/>
      </w:r>
    </w:p>
    <w:p w14:paraId="2539104E">
      <w:pPr>
        <w:ind w:firstLine="480" w:firstLineChars="200"/>
        <w:outlineLvl w:val="3"/>
        <w:rPr>
          <w:rFonts w:hint="eastAsia" w:ascii="黑体" w:hAnsi="宋体" w:eastAsia="黑体"/>
          <w:bCs/>
          <w:kern w:val="0"/>
          <w:sz w:val="24"/>
          <w:szCs w:val="32"/>
          <w:lang w:val="en-US" w:eastAsia="zh-CN"/>
        </w:rPr>
      </w:pPr>
      <w:r>
        <w:rPr>
          <w:rFonts w:hint="eastAsia" w:ascii="宋体" w:hAnsi="宋体" w:eastAsia="宋体" w:cs="宋体"/>
          <w:bCs/>
          <w:kern w:val="0"/>
          <w:sz w:val="24"/>
          <w:szCs w:val="32"/>
          <w:lang w:val="en-US" w:eastAsia="zh-CN"/>
        </w:rPr>
        <w:t>4.</w:t>
      </w:r>
      <w:r>
        <w:rPr>
          <w:rFonts w:hint="eastAsia" w:ascii="宋体" w:hAnsi="宋体" w:eastAsia="宋体" w:cs="宋体"/>
          <w:bCs/>
          <w:kern w:val="0"/>
          <w:sz w:val="24"/>
          <w:szCs w:val="32"/>
        </w:rPr>
        <w:t>中小企业声明函、残疾人福利性单位声明函</w:t>
      </w:r>
      <w:r>
        <w:rPr>
          <w:rFonts w:hint="eastAsia" w:ascii="宋体" w:hAnsi="宋体" w:eastAsia="宋体" w:cs="宋体"/>
          <w:bCs/>
          <w:kern w:val="0"/>
          <w:sz w:val="24"/>
          <w:szCs w:val="32"/>
          <w:lang w:val="en-US" w:eastAsia="zh-CN"/>
        </w:rPr>
        <w:t>及</w:t>
      </w:r>
      <w:r>
        <w:rPr>
          <w:rFonts w:hint="eastAsia" w:ascii="宋体" w:hAnsi="宋体" w:eastAsia="宋体" w:cs="宋体"/>
          <w:bCs/>
          <w:kern w:val="0"/>
          <w:sz w:val="24"/>
          <w:szCs w:val="32"/>
        </w:rPr>
        <w:t>监狱企业声明函</w:t>
      </w:r>
      <w:r>
        <w:rPr>
          <w:rFonts w:hint="eastAsia" w:ascii="宋体" w:hAnsi="宋体" w:eastAsia="宋体" w:cs="宋体"/>
          <w:bCs/>
          <w:kern w:val="0"/>
          <w:sz w:val="24"/>
          <w:szCs w:val="32"/>
          <w:lang w:eastAsia="zh-CN"/>
        </w:rPr>
        <w:t>（</w:t>
      </w:r>
      <w:r>
        <w:rPr>
          <w:rFonts w:hint="eastAsia" w:ascii="宋体" w:hAnsi="宋体" w:eastAsia="宋体" w:cs="宋体"/>
          <w:bCs/>
          <w:kern w:val="0"/>
          <w:sz w:val="24"/>
          <w:szCs w:val="32"/>
          <w:lang w:val="en-US" w:eastAsia="zh-CN"/>
        </w:rPr>
        <w:t>如有</w:t>
      </w:r>
      <w:r>
        <w:rPr>
          <w:rFonts w:hint="eastAsia" w:ascii="宋体" w:hAnsi="宋体" w:eastAsia="宋体" w:cs="宋体"/>
          <w:bCs/>
          <w:kern w:val="0"/>
          <w:sz w:val="24"/>
          <w:szCs w:val="32"/>
          <w:lang w:eastAsia="zh-CN"/>
        </w:rPr>
        <w:t>）</w:t>
      </w:r>
    </w:p>
    <w:p w14:paraId="4A6BA6A4">
      <w:pPr>
        <w:jc w:val="left"/>
        <w:outlineLvl w:val="3"/>
        <w:rPr>
          <w:rFonts w:hint="eastAsia" w:ascii="宋体" w:hAnsi="宋体" w:eastAsia="宋体" w:cs="宋体"/>
          <w:bCs/>
          <w:kern w:val="0"/>
          <w:sz w:val="21"/>
          <w:szCs w:val="21"/>
        </w:rPr>
      </w:pPr>
    </w:p>
    <w:p w14:paraId="3C7DEE2A">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填写指引：</w:t>
      </w:r>
    </w:p>
    <w:p w14:paraId="0BF31BBD">
      <w:pPr>
        <w:ind w:firstLine="420" w:firstLineChars="200"/>
        <w:outlineLvl w:val="3"/>
        <w:rPr>
          <w:rFonts w:hint="eastAsia" w:ascii="宋体" w:hAnsi="宋体" w:eastAsia="宋体" w:cs="宋体"/>
          <w:color w:val="FF0000"/>
          <w:sz w:val="21"/>
          <w:szCs w:val="21"/>
        </w:rPr>
      </w:pPr>
      <w:r>
        <w:rPr>
          <w:rFonts w:hint="eastAsia" w:ascii="宋体" w:hAnsi="宋体" w:eastAsia="宋体" w:cs="宋体"/>
          <w:bCs/>
          <w:color w:val="FF0000"/>
          <w:kern w:val="0"/>
          <w:sz w:val="21"/>
          <w:szCs w:val="21"/>
        </w:rPr>
        <w:t>1、该部分内容由投标人根据自身实际情况填写，不符合要求的投标人可以不填写或直接删除相应的声明函。</w:t>
      </w:r>
      <w:r>
        <w:rPr>
          <w:rFonts w:hint="eastAsia" w:ascii="宋体" w:hAnsi="宋体" w:eastAsia="宋体" w:cs="宋体"/>
          <w:color w:val="FF0000"/>
          <w:sz w:val="21"/>
          <w:szCs w:val="21"/>
        </w:rPr>
        <w:t>投标人提供的声明函不属实的，属于提供虚假资料谋取中标，依照《中华人民共和国政府采购法》等国家有关规定追究相应责任。</w:t>
      </w:r>
    </w:p>
    <w:p w14:paraId="3D8DCEC9">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2、该部分内容填写需要参考的相关文件：</w:t>
      </w:r>
    </w:p>
    <w:p w14:paraId="5F4E4667">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(1)财政部《政府采购促进中小企业发展管理办法》（财库〔2020〕46号）；</w:t>
      </w:r>
    </w:p>
    <w:p w14:paraId="548F49B2">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(2)《工业和信息化部、国家统计局、国家发展和改革委员会、财政部关于印发中小企业划型标准规定的通知》（工信部联企业〔2011〕300号）</w:t>
      </w:r>
      <w:r>
        <w:rPr>
          <w:rFonts w:hint="eastAsia" w:ascii="宋体" w:hAnsi="宋体" w:eastAsia="宋体" w:cs="宋体"/>
          <w:color w:val="FF0000"/>
          <w:sz w:val="21"/>
          <w:szCs w:val="21"/>
          <w:lang w:eastAsia="zh-CN"/>
        </w:rPr>
        <w:t>；</w:t>
      </w:r>
    </w:p>
    <w:p w14:paraId="231B4A0A">
      <w:pPr>
        <w:ind w:firstLine="420" w:firstLineChars="200"/>
        <w:outlineLvl w:val="3"/>
        <w:rPr>
          <w:rFonts w:hint="eastAsia" w:ascii="宋体" w:hAnsi="宋体" w:eastAsia="宋体" w:cs="宋体"/>
          <w:color w:val="FF0000"/>
          <w:sz w:val="21"/>
          <w:szCs w:val="21"/>
          <w:lang w:eastAsia="zh-CN"/>
        </w:rPr>
      </w:pPr>
      <w:r>
        <w:rPr>
          <w:rFonts w:hint="eastAsia" w:ascii="宋体" w:hAnsi="宋体" w:eastAsia="宋体" w:cs="宋体"/>
          <w:color w:val="FF0000"/>
          <w:sz w:val="21"/>
          <w:szCs w:val="21"/>
        </w:rPr>
        <w:t>(3)《统计上大中小微型企业划分办法(2017)》（国统字〔2017〕213号）</w:t>
      </w:r>
      <w:r>
        <w:rPr>
          <w:rFonts w:hint="eastAsia" w:ascii="宋体" w:hAnsi="宋体" w:eastAsia="宋体" w:cs="宋体"/>
          <w:color w:val="FF0000"/>
          <w:sz w:val="21"/>
          <w:szCs w:val="21"/>
          <w:lang w:eastAsia="zh-CN"/>
        </w:rPr>
        <w:t>；</w:t>
      </w:r>
    </w:p>
    <w:p w14:paraId="2B71B6B7">
      <w:pPr>
        <w:ind w:firstLine="420" w:firstLineChars="200"/>
        <w:outlineLvl w:val="3"/>
        <w:rPr>
          <w:rFonts w:hint="eastAsia" w:ascii="宋体" w:hAnsi="宋体" w:eastAsia="宋体" w:cs="宋体"/>
          <w:color w:val="FF0000"/>
          <w:sz w:val="21"/>
          <w:szCs w:val="21"/>
          <w:lang w:eastAsia="zh-CN"/>
        </w:rPr>
      </w:pPr>
      <w:r>
        <w:rPr>
          <w:rFonts w:hint="eastAsia" w:ascii="宋体" w:hAnsi="宋体" w:eastAsia="宋体" w:cs="宋体"/>
          <w:color w:val="FF0000"/>
          <w:sz w:val="21"/>
          <w:szCs w:val="21"/>
        </w:rPr>
        <w:t>(4)《关于促进残疾人就业政府采购政策的通知》（财库〔2017〕141号）</w:t>
      </w:r>
      <w:r>
        <w:rPr>
          <w:rFonts w:hint="eastAsia" w:ascii="宋体" w:hAnsi="宋体" w:eastAsia="宋体" w:cs="宋体"/>
          <w:color w:val="FF0000"/>
          <w:sz w:val="21"/>
          <w:szCs w:val="21"/>
          <w:lang w:eastAsia="zh-CN"/>
        </w:rPr>
        <w:t>；</w:t>
      </w:r>
    </w:p>
    <w:p w14:paraId="47659EAD">
      <w:pPr>
        <w:ind w:firstLine="420" w:firstLineChars="200"/>
        <w:outlineLvl w:val="3"/>
        <w:rPr>
          <w:rFonts w:hint="eastAsia" w:ascii="宋体" w:hAnsi="宋体" w:eastAsia="宋体" w:cs="宋体"/>
          <w:color w:val="FF0000"/>
          <w:sz w:val="21"/>
          <w:szCs w:val="21"/>
        </w:rPr>
      </w:pPr>
      <w:r>
        <w:rPr>
          <w:rFonts w:hint="eastAsia" w:ascii="宋体" w:hAnsi="宋体" w:eastAsia="宋体" w:cs="宋体"/>
          <w:color w:val="FF0000"/>
          <w:sz w:val="21"/>
          <w:szCs w:val="21"/>
        </w:rPr>
        <w:t>(5)《关于政府采购支持监狱企业发展有关问题的通知》（财库〔2014〕68号）</w:t>
      </w:r>
    </w:p>
    <w:p w14:paraId="7F80DD62">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3、请依照提供的格式和内容填写声明函，不要随意变更格式；声明函不需要盖章或签字</w:t>
      </w:r>
      <w:r>
        <w:rPr>
          <w:rFonts w:hint="eastAsia" w:ascii="宋体" w:hAnsi="宋体" w:eastAsia="宋体" w:cs="宋体"/>
          <w:color w:val="FF0000"/>
          <w:sz w:val="21"/>
          <w:szCs w:val="21"/>
        </w:rPr>
        <w:t>。</w:t>
      </w:r>
    </w:p>
    <w:p w14:paraId="16E72472">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4、声明函具体填写要求：</w:t>
      </w:r>
    </w:p>
    <w:p w14:paraId="340A1B30">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（1）声明是中小企业须填写《中小企业声明函》的以下内容：</w:t>
      </w:r>
    </w:p>
    <w:p w14:paraId="080683B0">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第一处，在“单位名称”下划线处如实填写采购人名称（</w:t>
      </w:r>
      <w:r>
        <w:rPr>
          <w:rFonts w:hint="eastAsia" w:ascii="宋体" w:hAnsi="宋体" w:eastAsia="宋体" w:cs="宋体"/>
          <w:bCs/>
          <w:color w:val="FF0000"/>
          <w:kern w:val="0"/>
          <w:sz w:val="21"/>
          <w:szCs w:val="21"/>
          <w:lang w:val="en-US" w:eastAsia="zh-CN"/>
        </w:rPr>
        <w:t>深圳市龙岗区耳鼻咽喉医院</w:t>
      </w:r>
      <w:r>
        <w:rPr>
          <w:rFonts w:hint="eastAsia" w:ascii="宋体" w:hAnsi="宋体" w:eastAsia="宋体" w:cs="宋体"/>
          <w:bCs/>
          <w:color w:val="FF0000"/>
          <w:kern w:val="0"/>
          <w:sz w:val="21"/>
          <w:szCs w:val="21"/>
        </w:rPr>
        <w:t>）；</w:t>
      </w:r>
    </w:p>
    <w:p w14:paraId="2677A8E9">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第二处，在“项目名称”下划线处如实填写采购</w:t>
      </w:r>
      <w:r>
        <w:rPr>
          <w:rFonts w:hint="eastAsia" w:ascii="宋体" w:hAnsi="宋体" w:eastAsia="宋体" w:cs="宋体"/>
          <w:bCs/>
          <w:color w:val="FF0000"/>
          <w:kern w:val="0"/>
          <w:sz w:val="21"/>
          <w:szCs w:val="21"/>
          <w:lang w:val="en-US" w:eastAsia="zh-CN"/>
        </w:rPr>
        <w:t>文件中确定的</w:t>
      </w:r>
      <w:r>
        <w:rPr>
          <w:rFonts w:hint="eastAsia" w:ascii="宋体" w:hAnsi="宋体" w:eastAsia="宋体" w:cs="宋体"/>
          <w:bCs/>
          <w:color w:val="FF0000"/>
          <w:kern w:val="0"/>
          <w:sz w:val="21"/>
          <w:szCs w:val="21"/>
        </w:rPr>
        <w:t>项目名称</w:t>
      </w:r>
      <w:r>
        <w:rPr>
          <w:rFonts w:hint="eastAsia" w:ascii="宋体" w:hAnsi="宋体" w:eastAsia="宋体" w:cs="宋体"/>
          <w:bCs/>
          <w:color w:val="FF0000"/>
          <w:kern w:val="0"/>
          <w:sz w:val="21"/>
          <w:szCs w:val="21"/>
          <w:lang w:eastAsia="zh-CN"/>
        </w:rPr>
        <w:t>。对于分包方式面向中小企业采购的项目，应标明中小企业的具体分包内容；对于以联合体方式面向中小企业采购的项目，应标明联合体中中小企业所承担的具体内容</w:t>
      </w:r>
      <w:r>
        <w:rPr>
          <w:rFonts w:hint="eastAsia" w:ascii="宋体" w:hAnsi="宋体" w:eastAsia="宋体" w:cs="宋体"/>
          <w:bCs/>
          <w:color w:val="FF0000"/>
          <w:kern w:val="0"/>
          <w:sz w:val="21"/>
          <w:szCs w:val="21"/>
        </w:rPr>
        <w:t>；</w:t>
      </w:r>
    </w:p>
    <w:p w14:paraId="3E5F0A3E">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第三处，在“标的名称”下划线处填写所采购货物（标的）的具体名称（以招标文件第一册第三章用户需求书“货物</w:t>
      </w:r>
      <w:r>
        <w:rPr>
          <w:rFonts w:hint="eastAsia" w:ascii="宋体" w:hAnsi="宋体" w:eastAsia="宋体" w:cs="宋体"/>
          <w:bCs/>
          <w:color w:val="FF0000"/>
          <w:kern w:val="0"/>
          <w:sz w:val="21"/>
          <w:szCs w:val="21"/>
          <w:lang w:val="en-US" w:eastAsia="zh-CN"/>
        </w:rPr>
        <w:t>需求</w:t>
      </w:r>
      <w:r>
        <w:rPr>
          <w:rFonts w:hint="eastAsia" w:ascii="宋体" w:hAnsi="宋体" w:eastAsia="宋体" w:cs="宋体"/>
          <w:bCs/>
          <w:color w:val="FF0000"/>
          <w:kern w:val="0"/>
          <w:sz w:val="21"/>
          <w:szCs w:val="21"/>
        </w:rPr>
        <w:t>明细”的“货物名称”一栏为准）；如果涉及多项货物（标的）为同一企业制造，“标的名称”下划线处可以如实填写多项货物；对于分包方式面向中小企业采购的项目</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“标的名称”应填写采购文件中注明的分包给中小企业的采购标的名称；对于以联合体方式面向中小企业采购的项目“标的名称”应填写采购文件中注明的联合体中中小企业承担的采购标的名称。</w:t>
      </w:r>
    </w:p>
    <w:p w14:paraId="044DED5A">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第四处，在“</w:t>
      </w:r>
      <w:r>
        <w:rPr>
          <w:rFonts w:hint="eastAsia" w:ascii="宋体" w:hAnsi="宋体" w:eastAsia="宋体" w:cs="宋体"/>
          <w:bCs/>
          <w:color w:val="FF0000"/>
          <w:kern w:val="0"/>
          <w:sz w:val="21"/>
          <w:szCs w:val="21"/>
          <w:lang w:val="en-US" w:eastAsia="zh-CN"/>
        </w:rPr>
        <w:t>采购</w:t>
      </w:r>
      <w:r>
        <w:rPr>
          <w:rFonts w:hint="eastAsia" w:ascii="宋体" w:hAnsi="宋体" w:eastAsia="宋体" w:cs="宋体"/>
          <w:bCs/>
          <w:color w:val="FF0000"/>
          <w:kern w:val="0"/>
          <w:sz w:val="21"/>
          <w:szCs w:val="21"/>
        </w:rPr>
        <w:t>文件中明确的所属行业”下划线处填写采购标的对应的中小企业划分标准所属行业（所属行业以招标文件第一册第三章用户需求书“货物清单明细”的“</w:t>
      </w:r>
      <w:r>
        <w:rPr>
          <w:rFonts w:hint="eastAsia" w:ascii="宋体" w:hAnsi="宋体" w:eastAsia="宋体" w:cs="宋体"/>
          <w:bCs/>
          <w:color w:val="FF0000"/>
          <w:kern w:val="0"/>
          <w:sz w:val="21"/>
          <w:szCs w:val="21"/>
          <w:lang w:val="en-US" w:eastAsia="zh-CN"/>
        </w:rPr>
        <w:t>标的所属行业</w:t>
      </w:r>
      <w:r>
        <w:rPr>
          <w:rFonts w:hint="eastAsia" w:ascii="宋体" w:hAnsi="宋体" w:eastAsia="宋体" w:cs="宋体"/>
          <w:bCs/>
          <w:color w:val="FF0000"/>
          <w:kern w:val="0"/>
          <w:sz w:val="21"/>
          <w:szCs w:val="21"/>
        </w:rPr>
        <w:t>”一栏为准）</w:t>
      </w:r>
      <w:r>
        <w:rPr>
          <w:rFonts w:hint="eastAsia" w:ascii="宋体" w:hAnsi="宋体" w:eastAsia="宋体" w:cs="宋体"/>
          <w:bCs/>
          <w:color w:val="FF0000"/>
          <w:kern w:val="0"/>
          <w:sz w:val="21"/>
          <w:szCs w:val="21"/>
          <w:lang w:eastAsia="zh-CN"/>
        </w:rPr>
        <w:t>，并应确保与采购标的涉及的货物制造商本身的所属行业保持一致。对于分包方式面向中小企业采购的项目，“采购文件中明确的所属行业”应按照采购文件中注明的分包给中小企业的采购标的所属行业填写，并应确保与该分包部分采购标的涉及的货物制造商本身的所属行业保持一致；对于以联合体方式面向中小企业采购的项目，“采购文件中明确的所属行业”应按照采购文件中注明的联合体中中小企业承担的采购标的所属行业填写，并应确保与该分包部分采购标的涉及的货物制造商本身的所属行业保持一致；</w:t>
      </w:r>
    </w:p>
    <w:p w14:paraId="1EF83F99">
      <w:pPr>
        <w:ind w:firstLine="420" w:firstLineChars="200"/>
        <w:outlineLvl w:val="3"/>
        <w:rPr>
          <w:rFonts w:hint="eastAsia" w:ascii="宋体" w:hAnsi="宋体" w:eastAsia="宋体" w:cs="宋体"/>
          <w:bCs/>
          <w:color w:val="FF0000"/>
          <w:kern w:val="0"/>
          <w:sz w:val="21"/>
          <w:szCs w:val="21"/>
          <w:lang w:eastAsia="zh-CN"/>
        </w:rPr>
      </w:pPr>
      <w:r>
        <w:rPr>
          <w:rFonts w:hint="eastAsia" w:ascii="宋体" w:hAnsi="宋体" w:eastAsia="宋体" w:cs="宋体"/>
          <w:bCs/>
          <w:color w:val="FF0000"/>
          <w:kern w:val="0"/>
          <w:sz w:val="21"/>
          <w:szCs w:val="21"/>
        </w:rPr>
        <w:t>第五处，在“企业名称”下划线处如实填写</w:t>
      </w:r>
      <w:r>
        <w:rPr>
          <w:rFonts w:hint="eastAsia" w:ascii="宋体" w:hAnsi="宋体" w:eastAsia="宋体" w:cs="宋体"/>
          <w:b/>
          <w:bCs w:val="0"/>
          <w:color w:val="FF0000"/>
          <w:kern w:val="0"/>
          <w:sz w:val="21"/>
          <w:szCs w:val="21"/>
          <w:lang w:val="en-US" w:eastAsia="zh-CN"/>
        </w:rPr>
        <w:t>货物</w:t>
      </w:r>
      <w:r>
        <w:rPr>
          <w:rFonts w:hint="eastAsia" w:ascii="宋体" w:hAnsi="宋体" w:eastAsia="宋体" w:cs="宋体"/>
          <w:b/>
          <w:bCs w:val="0"/>
          <w:color w:val="FF0000"/>
          <w:kern w:val="0"/>
          <w:sz w:val="21"/>
          <w:szCs w:val="21"/>
        </w:rPr>
        <w:t>制造商名称</w:t>
      </w:r>
      <w:r>
        <w:rPr>
          <w:rFonts w:hint="eastAsia" w:ascii="宋体" w:hAnsi="宋体" w:eastAsia="宋体" w:cs="宋体"/>
          <w:b/>
          <w:bCs w:val="0"/>
          <w:color w:val="FF0000"/>
          <w:kern w:val="0"/>
          <w:sz w:val="21"/>
          <w:szCs w:val="21"/>
          <w:lang w:eastAsia="zh-CN"/>
        </w:rPr>
        <w:t>。</w:t>
      </w:r>
      <w:r>
        <w:rPr>
          <w:rFonts w:hint="eastAsia" w:ascii="宋体" w:hAnsi="宋体" w:eastAsia="宋体" w:cs="宋体"/>
          <w:bCs/>
          <w:color w:val="FF0000"/>
          <w:kern w:val="0"/>
          <w:sz w:val="21"/>
          <w:szCs w:val="21"/>
          <w:lang w:eastAsia="zh-CN"/>
        </w:rPr>
        <w:t>对于分包方式面向中小企业采购的项目，“企业名称”应填写分包部分采购标的对应的货物制造商；对于以联合体方式面向中小企业采购的项目，“企业名称”应填写联合体中中小企业承担采购标的对应的货物制造商；</w:t>
      </w:r>
    </w:p>
    <w:p w14:paraId="1A581E3E">
      <w:pPr>
        <w:numPr>
          <w:ilvl w:val="0"/>
          <w:numId w:val="0"/>
        </w:num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lang w:val="en-US" w:eastAsia="zh-CN" w:bidi="ar-SA"/>
        </w:rPr>
        <w:t>第六、</w:t>
      </w:r>
      <w:r>
        <w:rPr>
          <w:rFonts w:hint="eastAsia" w:ascii="宋体" w:hAnsi="宋体" w:eastAsia="宋体" w:cs="宋体"/>
          <w:bCs/>
          <w:color w:val="FF0000"/>
          <w:kern w:val="0"/>
          <w:sz w:val="21"/>
          <w:szCs w:val="21"/>
          <w:lang w:val="en-US" w:eastAsia="zh-CN"/>
        </w:rPr>
        <w:t>七、八处，</w:t>
      </w:r>
      <w:r>
        <w:rPr>
          <w:rFonts w:hint="eastAsia" w:ascii="宋体" w:hAnsi="宋体" w:eastAsia="宋体" w:cs="宋体"/>
          <w:bCs/>
          <w:color w:val="FF0000"/>
          <w:kern w:val="0"/>
          <w:sz w:val="21"/>
          <w:szCs w:val="21"/>
        </w:rPr>
        <w:t>在“从业人员”、“营业收入”、“资产总额”下划线处如实填写从业人员、营业收入、资产总额</w:t>
      </w:r>
      <w:r>
        <w:rPr>
          <w:rFonts w:hint="eastAsia" w:ascii="宋体" w:hAnsi="宋体" w:eastAsia="宋体" w:cs="宋体"/>
          <w:bCs/>
          <w:color w:val="FF0000"/>
          <w:kern w:val="0"/>
          <w:sz w:val="21"/>
          <w:szCs w:val="21"/>
          <w:lang w:eastAsia="zh-CN"/>
        </w:rPr>
        <w:t>。从业人员、资产总额指标以上年度末数据为依据，营业收入指标以上年度累计数据为依据。无上年度数据的新成立企业可不填报。</w:t>
      </w:r>
    </w:p>
    <w:p w14:paraId="383D02B9">
      <w:pPr>
        <w:numPr>
          <w:ilvl w:val="0"/>
          <w:numId w:val="0"/>
        </w:num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lang w:val="en-US" w:eastAsia="zh-CN"/>
        </w:rPr>
        <w:t>第九处，</w:t>
      </w:r>
      <w:r>
        <w:rPr>
          <w:rFonts w:hint="eastAsia" w:ascii="宋体" w:hAnsi="宋体" w:eastAsia="宋体" w:cs="宋体"/>
          <w:bCs/>
          <w:color w:val="FF0000"/>
          <w:kern w:val="0"/>
          <w:sz w:val="21"/>
          <w:szCs w:val="21"/>
        </w:rPr>
        <w:t>在“中型企业、小型企业、微型企业”下划线处应依据企业上年度从业人员、营业收入、资产总额等指标</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按照《中小企业划型标准规定》（工信部联企业〔2011〕300号）、《金融业企业划型标准规定》（银发〔2015〕309号）</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判断《中小企业声明函》载明的货物制造商是否属于采购文件所属行业的中型企业/小型企业/微型企业。</w:t>
      </w:r>
    </w:p>
    <w:p w14:paraId="54FF734F">
      <w:pPr>
        <w:pStyle w:val="39"/>
        <w:ind w:firstLine="420" w:firstLineChars="200"/>
        <w:rPr>
          <w:rFonts w:hint="eastAsia" w:ascii="宋体" w:hAnsi="宋体" w:eastAsia="宋体" w:cs="宋体"/>
          <w:bCs/>
          <w:color w:val="FF0000"/>
          <w:kern w:val="0"/>
          <w:szCs w:val="21"/>
          <w:lang w:eastAsia="zh-CN"/>
        </w:rPr>
      </w:pP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lang w:val="en-US" w:eastAsia="zh-CN"/>
        </w:rPr>
        <w:t>2</w:t>
      </w:r>
      <w:r>
        <w:rPr>
          <w:rFonts w:hint="eastAsia" w:ascii="宋体" w:hAnsi="宋体" w:eastAsia="宋体" w:cs="宋体"/>
          <w:bCs/>
          <w:color w:val="FF0000"/>
          <w:kern w:val="0"/>
          <w:sz w:val="21"/>
          <w:szCs w:val="21"/>
          <w:lang w:eastAsia="zh-CN"/>
        </w:rPr>
        <w:t>）对于已纳入统计部门统计范围的企业，所属行业、从业人员、营业收入、资产总额、规模类型应与统计部门报表保持一致。对于未纳入统计部门统计范围的企业，应对照《国民经济行业分类》确定所属行业，当企业从事两种以上的经济活动时，按照企业从事的主要活动确定所属行业；从业人员、营业收入、资产总额应按照上年度末实际情况填报，并应确保在争议纠纷处理时，可提供相关数据的来源依据。</w:t>
      </w:r>
    </w:p>
    <w:p w14:paraId="102F368F">
      <w:pPr>
        <w:numPr>
          <w:ilvl w:val="0"/>
          <w:numId w:val="0"/>
        </w:num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lang w:val="en-US" w:eastAsia="zh-CN"/>
        </w:rPr>
        <w:t>3</w:t>
      </w:r>
      <w:r>
        <w:rPr>
          <w:rFonts w:hint="eastAsia" w:ascii="宋体" w:hAnsi="宋体" w:eastAsia="宋体" w:cs="宋体"/>
          <w:bCs/>
          <w:color w:val="FF0000"/>
          <w:kern w:val="0"/>
          <w:sz w:val="21"/>
          <w:szCs w:val="21"/>
          <w:lang w:eastAsia="zh-CN"/>
        </w:rPr>
        <w:t>）</w:t>
      </w:r>
      <w:r>
        <w:rPr>
          <w:rFonts w:hint="eastAsia" w:ascii="宋体" w:hAnsi="宋体" w:eastAsia="宋体" w:cs="宋体"/>
          <w:bCs/>
          <w:color w:val="FF0000"/>
          <w:kern w:val="0"/>
          <w:sz w:val="21"/>
          <w:szCs w:val="21"/>
        </w:rPr>
        <w:t>事业单位、社会组织等非企业主体不享受中小企业扶持政策，但事业单位、社会组织等非企业主体提供全部由中小企业制造的货物参加货物采购项目的除外。</w:t>
      </w:r>
    </w:p>
    <w:p w14:paraId="0BE256FF">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w:t>
      </w:r>
      <w:r>
        <w:rPr>
          <w:rFonts w:hint="eastAsia" w:ascii="宋体" w:hAnsi="宋体" w:eastAsia="宋体" w:cs="宋体"/>
          <w:bCs/>
          <w:color w:val="FF0000"/>
          <w:kern w:val="0"/>
          <w:sz w:val="21"/>
          <w:szCs w:val="21"/>
          <w:lang w:val="en-US" w:eastAsia="zh-CN"/>
        </w:rPr>
        <w:t>4</w:t>
      </w:r>
      <w:r>
        <w:rPr>
          <w:rFonts w:hint="eastAsia" w:ascii="宋体" w:hAnsi="宋体" w:eastAsia="宋体" w:cs="宋体"/>
          <w:bCs/>
          <w:color w:val="FF0000"/>
          <w:kern w:val="0"/>
          <w:sz w:val="21"/>
          <w:szCs w:val="21"/>
        </w:rPr>
        <w:t>）声明是残疾人福利性单位须填写《残疾人福利性单位声明函》的相关内容，具体参照以上《中小企业声明函》填写要求执行。</w:t>
      </w:r>
    </w:p>
    <w:p w14:paraId="7E1CCD9F">
      <w:pPr>
        <w:ind w:firstLine="420" w:firstLineChars="200"/>
        <w:outlineLvl w:val="3"/>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w:t>
      </w:r>
      <w:r>
        <w:rPr>
          <w:rFonts w:hint="eastAsia" w:ascii="宋体" w:hAnsi="宋体" w:eastAsia="宋体" w:cs="宋体"/>
          <w:bCs/>
          <w:color w:val="FF0000"/>
          <w:kern w:val="0"/>
          <w:sz w:val="21"/>
          <w:szCs w:val="21"/>
          <w:lang w:val="en-US" w:eastAsia="zh-CN"/>
        </w:rPr>
        <w:t>5</w:t>
      </w:r>
      <w:r>
        <w:rPr>
          <w:rFonts w:hint="eastAsia" w:ascii="宋体" w:hAnsi="宋体" w:eastAsia="宋体" w:cs="宋体"/>
          <w:bCs/>
          <w:color w:val="FF0000"/>
          <w:kern w:val="0"/>
          <w:sz w:val="21"/>
          <w:szCs w:val="21"/>
        </w:rPr>
        <w:t>）声明是监狱企业须填写《监狱企业声明函》的三项内容（填写位置的字体已加粗），具体参照以上《中小企业声明函》填写要求执行。</w:t>
      </w:r>
    </w:p>
    <w:p w14:paraId="5F3E431C">
      <w:pPr>
        <w:ind w:firstLine="420" w:firstLineChars="200"/>
        <w:rPr>
          <w:rFonts w:hint="eastAsia" w:ascii="宋体" w:hAnsi="宋体" w:eastAsia="宋体" w:cs="宋体"/>
          <w:bCs/>
          <w:color w:val="FF0000"/>
          <w:kern w:val="0"/>
          <w:sz w:val="21"/>
          <w:szCs w:val="21"/>
        </w:rPr>
      </w:pPr>
      <w:r>
        <w:rPr>
          <w:rFonts w:hint="eastAsia" w:ascii="宋体" w:hAnsi="宋体" w:eastAsia="宋体" w:cs="宋体"/>
          <w:bCs/>
          <w:color w:val="FF0000"/>
          <w:kern w:val="0"/>
          <w:sz w:val="21"/>
          <w:szCs w:val="21"/>
        </w:rPr>
        <w:t>5、若本项目属于专门面向中小企业、残疾人福利性单位或监狱企业，则声明函有效性由采购人或代理机构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14:paraId="23247D3D">
      <w:pPr>
        <w:pStyle w:val="39"/>
        <w:ind w:firstLine="420" w:firstLineChars="200"/>
      </w:pPr>
      <w:r>
        <w:rPr>
          <w:rFonts w:hint="eastAsia" w:ascii="宋体" w:hAnsi="宋体" w:eastAsia="宋体" w:cs="宋体"/>
          <w:bCs/>
          <w:color w:val="FF0000"/>
          <w:kern w:val="0"/>
          <w:szCs w:val="21"/>
          <w:lang w:val="en-US" w:eastAsia="zh-CN"/>
        </w:rPr>
        <w:t>6、采购人、代理机构、评审委员会在依法进行资格审查、评审过程中，发现《中小企业声明函》存在明显笔误或含义不明确的，应按规定要求供应商进行澄清、说明或补正。澄清修改后符合中小企业条件的供应商，可以享受中小企业扶持政策。</w:t>
      </w:r>
    </w:p>
    <w:p w14:paraId="63EC15EB">
      <w:pPr>
        <w:ind w:firstLine="480" w:firstLineChars="200"/>
      </w:pPr>
    </w:p>
    <w:p w14:paraId="2BED705E">
      <w:pPr>
        <w:numPr>
          <w:ilvl w:val="0"/>
          <w:numId w:val="12"/>
        </w:numPr>
        <w:jc w:val="center"/>
        <w:outlineLvl w:val="3"/>
        <w:rPr>
          <w:b/>
          <w:sz w:val="24"/>
        </w:rPr>
      </w:pPr>
      <w:r>
        <w:rPr>
          <w:b/>
          <w:sz w:val="24"/>
        </w:rPr>
        <w:t>中小企业声明函（货物）</w:t>
      </w:r>
    </w:p>
    <w:p w14:paraId="45945FE8">
      <w:pPr>
        <w:pStyle w:val="2"/>
        <w:widowControl w:val="0"/>
        <w:numPr>
          <w:ilvl w:val="0"/>
          <w:numId w:val="0"/>
        </w:numPr>
        <w:spacing w:line="360" w:lineRule="auto"/>
        <w:jc w:val="both"/>
      </w:pPr>
    </w:p>
    <w:p w14:paraId="26907C7A">
      <w:pPr>
        <w:pStyle w:val="3"/>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本公司（联合体）郑重声明，根据《政府采购促进中小企业发展管理办法》（财库﹝2020﹞46号）的规定，本公司（联合体）参加</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（单位名称）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的</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（项目名称）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采购活动，提供的货物全部由符合政策要求的中小企业制造。相关企业（含联合体中的中小企业、签订分包意向协议的中小企业）的具体情况如下：</w:t>
      </w:r>
    </w:p>
    <w:p w14:paraId="43881E16">
      <w:pPr>
        <w:pStyle w:val="3"/>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（标的名称）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sz w:val="21"/>
          <w:szCs w:val="21"/>
        </w:rPr>
        <w:t>，属于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（采购文件中明确的所属行业）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行业；制造商为</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（企业名称</w:t>
      </w:r>
      <w:r>
        <w:rPr>
          <w:rFonts w:hint="eastAsia" w:asciiTheme="minorEastAsia" w:hAnsiTheme="minorEastAsia" w:eastAsiaTheme="minorEastAsia" w:cstheme="minorEastAsia"/>
          <w:b/>
          <w:bCs/>
          <w:i/>
          <w:iCs/>
          <w:sz w:val="21"/>
          <w:szCs w:val="21"/>
          <w:u w:val="single"/>
          <w:lang w:eastAsia="zh-CN"/>
        </w:rPr>
        <w:t>，要求制造商</w:t>
      </w:r>
      <w:r>
        <w:rPr>
          <w:rFonts w:hint="eastAsia" w:asciiTheme="minorEastAsia" w:hAnsiTheme="minorEastAsia" w:eastAsiaTheme="minorEastAsia" w:cstheme="minorEastAsia"/>
          <w:b/>
          <w:bCs/>
          <w:i/>
          <w:iCs/>
          <w:sz w:val="21"/>
          <w:szCs w:val="21"/>
          <w:u w:val="single"/>
          <w:lang w:val="en-US" w:eastAsia="zh-CN"/>
        </w:rPr>
        <w:t>本身</w:t>
      </w:r>
      <w:r>
        <w:rPr>
          <w:rFonts w:hint="eastAsia" w:asciiTheme="minorEastAsia" w:hAnsiTheme="minorEastAsia" w:eastAsiaTheme="minorEastAsia" w:cstheme="minorEastAsia"/>
          <w:b/>
          <w:bCs/>
          <w:i/>
          <w:iCs/>
          <w:sz w:val="21"/>
          <w:szCs w:val="21"/>
          <w:u w:val="single"/>
          <w:lang w:eastAsia="zh-CN"/>
        </w:rPr>
        <w:t>所属行业应当与招标文件要求的行业相一致</w:t>
      </w:r>
      <w:r>
        <w:rPr>
          <w:rFonts w:hint="eastAsia" w:asciiTheme="minorEastAsia" w:hAnsiTheme="minorEastAsia" w:eastAsiaTheme="minorEastAsia" w:cstheme="minorEastAsia"/>
          <w:b/>
          <w:bCs/>
          <w:i/>
          <w:iCs/>
          <w:sz w:val="21"/>
          <w:szCs w:val="21"/>
          <w:u w:val="single"/>
        </w:rPr>
        <w:t>）</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，从业人员</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人，营业收入为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万元，资产总额为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（中型企业、小型企业、微型企业）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i w:val="0"/>
          <w:iCs w:val="0"/>
          <w:sz w:val="21"/>
          <w:szCs w:val="21"/>
          <w:u w:val="none"/>
          <w:lang w:val="en-US" w:eastAsia="zh-CN"/>
        </w:rPr>
        <w:t>；</w:t>
      </w:r>
    </w:p>
    <w:p w14:paraId="7D1DB135">
      <w:pPr>
        <w:pStyle w:val="3"/>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（标的名称）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sz w:val="21"/>
          <w:szCs w:val="21"/>
        </w:rPr>
        <w:t>，属于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（采购文件中明确的所属行业）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行业；制造商为</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（企业名称</w:t>
      </w:r>
      <w:r>
        <w:rPr>
          <w:rFonts w:hint="eastAsia" w:asciiTheme="minorEastAsia" w:hAnsiTheme="minorEastAsia" w:eastAsiaTheme="minorEastAsia" w:cstheme="minorEastAsia"/>
          <w:b/>
          <w:bCs/>
          <w:i/>
          <w:iCs/>
          <w:sz w:val="21"/>
          <w:szCs w:val="21"/>
          <w:u w:val="single"/>
          <w:lang w:eastAsia="zh-CN"/>
        </w:rPr>
        <w:t>，要求制造商</w:t>
      </w:r>
      <w:r>
        <w:rPr>
          <w:rFonts w:hint="eastAsia" w:asciiTheme="minorEastAsia" w:hAnsiTheme="minorEastAsia" w:eastAsiaTheme="minorEastAsia" w:cstheme="minorEastAsia"/>
          <w:b/>
          <w:bCs/>
          <w:i/>
          <w:iCs/>
          <w:sz w:val="21"/>
          <w:szCs w:val="21"/>
          <w:u w:val="single"/>
          <w:lang w:val="en-US" w:eastAsia="zh-CN"/>
        </w:rPr>
        <w:t>本身</w:t>
      </w:r>
      <w:r>
        <w:rPr>
          <w:rFonts w:hint="eastAsia" w:asciiTheme="minorEastAsia" w:hAnsiTheme="minorEastAsia" w:eastAsiaTheme="minorEastAsia" w:cstheme="minorEastAsia"/>
          <w:b/>
          <w:bCs/>
          <w:i/>
          <w:iCs/>
          <w:sz w:val="21"/>
          <w:szCs w:val="21"/>
          <w:u w:val="single"/>
          <w:lang w:eastAsia="zh-CN"/>
        </w:rPr>
        <w:t>所属行业应当与招标文件要求的行业相一致</w:t>
      </w:r>
      <w:r>
        <w:rPr>
          <w:rFonts w:hint="eastAsia" w:asciiTheme="minorEastAsia" w:hAnsiTheme="minorEastAsia" w:eastAsiaTheme="minorEastAsia" w:cstheme="minorEastAsia"/>
          <w:b/>
          <w:bCs/>
          <w:i/>
          <w:iCs/>
          <w:sz w:val="21"/>
          <w:szCs w:val="21"/>
          <w:u w:val="single"/>
        </w:rPr>
        <w:t>）</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，从业人员</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人，营业收入为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万元，资产总额为</w:t>
      </w:r>
      <w:r>
        <w:rPr>
          <w:rFonts w:hint="eastAsia" w:asciiTheme="minorEastAsia" w:hAnsiTheme="minorEastAsia" w:eastAsiaTheme="minorEastAsia" w:cstheme="minorEastAsia"/>
          <w:b/>
          <w:bCs/>
          <w:i/>
          <w:iCs/>
          <w:sz w:val="21"/>
          <w:szCs w:val="21"/>
          <w:u w:val="single"/>
        </w:rPr>
        <w:t xml:space="preserve"> </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sz w:val="21"/>
          <w:szCs w:val="21"/>
        </w:rPr>
        <w:t>万元，属于</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（中型企业、小型企业、微型企业）</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i w:val="0"/>
          <w:iCs w:val="0"/>
          <w:sz w:val="21"/>
          <w:szCs w:val="21"/>
          <w:u w:val="none"/>
          <w:lang w:val="en-US" w:eastAsia="zh-CN"/>
        </w:rPr>
        <w:t>；</w:t>
      </w:r>
    </w:p>
    <w:p w14:paraId="762600AF">
      <w:pPr>
        <w:pStyle w:val="3"/>
        <w:ind w:firstLine="420" w:firstLineChars="200"/>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w:t>
      </w:r>
    </w:p>
    <w:p w14:paraId="747F01C2">
      <w:pPr>
        <w:pStyle w:val="3"/>
        <w:ind w:firstLine="420" w:firstLineChars="200"/>
        <w:rPr>
          <w:rFonts w:hint="eastAsia" w:asciiTheme="minorEastAsia" w:hAnsiTheme="minorEastAsia" w:eastAsiaTheme="minorEastAsia" w:cstheme="minorEastAsia"/>
          <w:sz w:val="21"/>
          <w:szCs w:val="21"/>
          <w:lang w:val="en-US" w:eastAsia="zh-CN"/>
        </w:rPr>
      </w:pPr>
    </w:p>
    <w:p w14:paraId="5CA09C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3"/>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以上企业，不属于大企业的分支机构，不存在控股股东为大企业的情形，也不存在与大企业的负责人为同一人的情形。</w:t>
      </w:r>
    </w:p>
    <w:p w14:paraId="1BF1CEA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bookmarkStart w:id="29" w:name="_Hlk73562203"/>
      <w:r>
        <w:rPr>
          <w:rFonts w:hint="eastAsia" w:asciiTheme="minorEastAsia" w:hAnsiTheme="minorEastAsia" w:eastAsiaTheme="minorEastAsia" w:cstheme="minorEastAsia"/>
          <w:kern w:val="2"/>
          <w:sz w:val="21"/>
          <w:szCs w:val="21"/>
          <w:lang w:val="en-US" w:eastAsia="zh-CN" w:bidi="ar-SA"/>
        </w:rPr>
        <w:t>本投标人对上述声明内容的真实性负责。如有虚假，将依法承担相应责任。</w:t>
      </w:r>
    </w:p>
    <w:p w14:paraId="773FCD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imes New Roman" w:hAnsi="Times New Roman" w:eastAsia="宋体" w:cs="Times New Roman"/>
          <w:kern w:val="2"/>
          <w:sz w:val="24"/>
          <w:szCs w:val="24"/>
          <w:lang w:val="en-US" w:eastAsia="zh-CN" w:bidi="ar-SA"/>
        </w:rPr>
      </w:pPr>
      <w:r>
        <w:rPr>
          <w:rFonts w:hint="eastAsia" w:asciiTheme="minorEastAsia" w:hAnsiTheme="minorEastAsia" w:eastAsiaTheme="minorEastAsia" w:cstheme="minorEastAsia"/>
          <w:kern w:val="2"/>
          <w:sz w:val="21"/>
          <w:szCs w:val="21"/>
          <w:lang w:val="en-US" w:eastAsia="zh-CN" w:bidi="ar-SA"/>
        </w:rPr>
        <w:t>本投标人已知悉《政府采购促进中小企业发展管理办法》（财库〔2020〕46号）、《中小企业划型标准规定》（工信部联企〔2011〕300号）、《统计上大中小微型企业划分办法（2017）》等规定，承诺提供的声明函内容是真实的，并知悉根据《政府采购促进中小企业发展管理办法》（财库〔2020〕46 号）第二十条规定，投标人按照本办法规定提供声明函内容不实的，属于提供虚假材料谋取中标，依照《</w:t>
      </w:r>
      <w:r>
        <w:rPr>
          <w:rFonts w:hint="eastAsia" w:asciiTheme="minorEastAsia" w:hAnsiTheme="minorEastAsia" w:cstheme="minorEastAsia"/>
          <w:kern w:val="2"/>
          <w:sz w:val="21"/>
          <w:szCs w:val="21"/>
          <w:lang w:val="en-US" w:eastAsia="zh-CN" w:bidi="ar-SA"/>
        </w:rPr>
        <w:t>中华人民共和国</w:t>
      </w:r>
      <w:r>
        <w:rPr>
          <w:rFonts w:hint="eastAsia" w:asciiTheme="minorEastAsia" w:hAnsiTheme="minorEastAsia" w:eastAsiaTheme="minorEastAsia" w:cstheme="minorEastAsia"/>
          <w:kern w:val="2"/>
          <w:sz w:val="21"/>
          <w:szCs w:val="21"/>
          <w:lang w:val="en-US" w:eastAsia="zh-CN" w:bidi="ar-SA"/>
        </w:rPr>
        <w:t>政府采购法》等政府采购有关法律法规规定追究相应责任。</w:t>
      </w:r>
      <w:bookmarkEnd w:id="29"/>
    </w:p>
    <w:p w14:paraId="1ABC66D7">
      <w:pPr>
        <w:ind w:firstLine="480" w:firstLineChars="200"/>
        <w:outlineLvl w:val="3"/>
        <w:rPr>
          <w:rFonts w:ascii="宋体" w:hAnsi="宋体"/>
          <w:bCs/>
          <w:color w:val="FF0000"/>
          <w:kern w:val="0"/>
          <w:szCs w:val="21"/>
        </w:rPr>
      </w:pPr>
    </w:p>
    <w:p w14:paraId="1202817F"/>
    <w:p w14:paraId="34071537">
      <w:pPr>
        <w:ind w:firstLine="480" w:firstLineChars="200"/>
      </w:pPr>
    </w:p>
    <w:p w14:paraId="51B8ADDB">
      <w:pPr>
        <w:jc w:val="center"/>
        <w:outlineLvl w:val="3"/>
        <w:rPr>
          <w:b/>
          <w:sz w:val="24"/>
        </w:rPr>
      </w:pPr>
      <w:r>
        <w:rPr>
          <w:rFonts w:hint="eastAsia"/>
          <w:b/>
          <w:sz w:val="24"/>
        </w:rPr>
        <w:t>2、残疾人福利性单位声明函（货物类）</w:t>
      </w:r>
    </w:p>
    <w:p w14:paraId="50B8680C">
      <w:pPr>
        <w:rPr>
          <w:b/>
          <w:bCs/>
        </w:rPr>
      </w:pPr>
    </w:p>
    <w:p w14:paraId="3B8922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bookmarkStart w:id="30" w:name="_Hlk73562331"/>
      <w:bookmarkStart w:id="31" w:name="_Hlk73562245"/>
      <w:r>
        <w:rPr>
          <w:rFonts w:hint="eastAsia" w:asciiTheme="minorEastAsia" w:hAnsiTheme="minorEastAsia" w:eastAsiaTheme="minorEastAsia" w:cstheme="minorEastAsia"/>
          <w:kern w:val="2"/>
          <w:sz w:val="21"/>
          <w:szCs w:val="21"/>
          <w:lang w:val="en-US" w:eastAsia="zh-CN" w:bidi="ar-SA"/>
        </w:rPr>
        <w:t>本单位郑重声明，根据《财政部 民政部 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（单位名称）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kern w:val="2"/>
          <w:sz w:val="21"/>
          <w:szCs w:val="21"/>
          <w:lang w:val="en-US" w:eastAsia="zh-CN" w:bidi="ar-SA"/>
        </w:rPr>
        <w:t>单位的</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b/>
          <w:bCs/>
          <w:i/>
          <w:iCs/>
          <w:sz w:val="21"/>
          <w:szCs w:val="21"/>
          <w:u w:val="single"/>
        </w:rPr>
        <w:t>（项目名称）</w:t>
      </w:r>
      <w:r>
        <w:rPr>
          <w:rFonts w:hint="eastAsia" w:asciiTheme="minorEastAsia" w:hAnsiTheme="minorEastAsia" w:eastAsiaTheme="minorEastAsia" w:cstheme="minorEastAsia"/>
          <w:b/>
          <w:bCs/>
          <w:i/>
          <w:iCs/>
          <w:sz w:val="21"/>
          <w:szCs w:val="21"/>
          <w:u w:val="single"/>
          <w:lang w:val="en-US" w:eastAsia="zh-CN"/>
        </w:rPr>
        <w:t xml:space="preserve">    </w:t>
      </w:r>
      <w:r>
        <w:rPr>
          <w:rFonts w:hint="eastAsia" w:asciiTheme="minorEastAsia" w:hAnsiTheme="minorEastAsia" w:eastAsiaTheme="minorEastAsia" w:cstheme="minorEastAsia"/>
          <w:kern w:val="2"/>
          <w:sz w:val="21"/>
          <w:szCs w:val="21"/>
          <w:lang w:val="en-US" w:eastAsia="zh-CN" w:bidi="ar-SA"/>
        </w:rPr>
        <w:t>项目采购活动提供本单位制造的货物（由本单位承担工程/提供服务），或者提供其他残疾人福利性单位制造的货物（不包括使用非残疾人福利性单位注册商标的货物）。</w:t>
      </w:r>
    </w:p>
    <w:p w14:paraId="0888B96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本单位对上述声明的真实性负责。如有虚假，将依法承担相应责任。</w:t>
      </w:r>
    </w:p>
    <w:p w14:paraId="43A77F09">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本投标人已知悉《财政部民政部中国残疾人联合会关于促进残疾人就业政府采购政策的通知》（财库〔2017〕141号）的规定，承诺提供的声明函内容是真实的，如提供声明函内容不实，则依法追究相关法律责任。</w:t>
      </w:r>
      <w:bookmarkEnd w:id="30"/>
    </w:p>
    <w:bookmarkEnd w:id="31"/>
    <w:p w14:paraId="7C3CA83E">
      <w:pPr>
        <w:ind w:firstLine="480" w:firstLineChars="200"/>
        <w:rPr>
          <w:rFonts w:ascii="宋体" w:hAnsi="宋体"/>
          <w:szCs w:val="21"/>
        </w:rPr>
      </w:pPr>
    </w:p>
    <w:p w14:paraId="76DE8927">
      <w:pPr>
        <w:ind w:firstLine="480" w:firstLineChars="200"/>
        <w:rPr>
          <w:rFonts w:ascii="宋体" w:hAnsi="宋体"/>
          <w:szCs w:val="21"/>
        </w:rPr>
      </w:pPr>
    </w:p>
    <w:p w14:paraId="420CA348">
      <w:pPr>
        <w:jc w:val="center"/>
        <w:outlineLvl w:val="3"/>
        <w:rPr>
          <w:b/>
          <w:sz w:val="24"/>
        </w:rPr>
      </w:pPr>
      <w:r>
        <w:rPr>
          <w:rFonts w:hint="eastAsia"/>
          <w:b/>
          <w:sz w:val="24"/>
        </w:rPr>
        <w:t>3、监狱企业声明函【货物类，提供监狱企业货物的供应商如需享受优惠政策，还须另行提供省级以上监狱管理局、戒毒管理局（含新疆生产建设兵团）出具的监狱企业证明文件】</w:t>
      </w:r>
    </w:p>
    <w:p w14:paraId="5B956C7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hint="eastAsia" w:ascii="宋体" w:hAnsi="宋体"/>
          <w:sz w:val="21"/>
          <w:szCs w:val="21"/>
        </w:rPr>
        <w:t>本投标人郑重声明，根据《财政部司法部关于政府采购支持监狱企业发展有关问题的通知》（财库〔</w:t>
      </w:r>
      <w:r>
        <w:rPr>
          <w:rFonts w:ascii="宋体" w:hAnsi="宋体"/>
          <w:sz w:val="21"/>
          <w:szCs w:val="21"/>
        </w:rPr>
        <w:t>2014</w:t>
      </w:r>
      <w:r>
        <w:rPr>
          <w:rFonts w:hint="eastAsia" w:ascii="宋体" w:hAnsi="宋体"/>
          <w:sz w:val="21"/>
          <w:szCs w:val="21"/>
        </w:rPr>
        <w:t>〕</w:t>
      </w:r>
      <w:r>
        <w:rPr>
          <w:rFonts w:ascii="宋体" w:hAnsi="宋体"/>
          <w:sz w:val="21"/>
          <w:szCs w:val="21"/>
        </w:rPr>
        <w:t>68</w:t>
      </w:r>
      <w:r>
        <w:rPr>
          <w:rFonts w:hint="eastAsia" w:ascii="宋体" w:hAnsi="宋体"/>
          <w:sz w:val="21"/>
          <w:szCs w:val="21"/>
        </w:rPr>
        <w:t>号）的规定，本投标人</w:t>
      </w:r>
      <w:r>
        <w:rPr>
          <w:rFonts w:ascii="宋体" w:hAnsi="宋体" w:cstheme="minorBidi"/>
          <w:sz w:val="21"/>
          <w:szCs w:val="21"/>
        </w:rPr>
        <w:t>参加</w:t>
      </w:r>
      <w:r>
        <w:rPr>
          <w:rFonts w:ascii="宋体" w:hAnsi="宋体"/>
          <w:b/>
          <w:bCs/>
          <w:i/>
          <w:iCs/>
          <w:sz w:val="21"/>
          <w:szCs w:val="21"/>
          <w:u w:val="single"/>
        </w:rPr>
        <w:t>（</w:t>
      </w:r>
      <w:r>
        <w:rPr>
          <w:rFonts w:hint="eastAsia" w:ascii="宋体" w:hAnsi="宋体"/>
          <w:b/>
          <w:bCs/>
          <w:i/>
          <w:iCs/>
          <w:sz w:val="21"/>
          <w:szCs w:val="21"/>
          <w:u w:val="single"/>
        </w:rPr>
        <w:t>采购人</w:t>
      </w:r>
      <w:r>
        <w:rPr>
          <w:rFonts w:ascii="宋体" w:hAnsi="宋体"/>
          <w:b/>
          <w:bCs/>
          <w:i/>
          <w:iCs/>
          <w:sz w:val="21"/>
          <w:szCs w:val="21"/>
          <w:u w:val="single"/>
        </w:rPr>
        <w:t>名称）</w:t>
      </w:r>
      <w:r>
        <w:rPr>
          <w:rFonts w:ascii="宋体" w:hAnsi="宋体"/>
          <w:sz w:val="21"/>
          <w:szCs w:val="21"/>
        </w:rPr>
        <w:t>的</w:t>
      </w:r>
      <w:r>
        <w:rPr>
          <w:rFonts w:ascii="宋体" w:hAnsi="宋体"/>
          <w:b/>
          <w:bCs/>
          <w:i/>
          <w:iCs/>
          <w:sz w:val="21"/>
          <w:szCs w:val="21"/>
          <w:u w:val="single"/>
        </w:rPr>
        <w:t>（项目名称）</w:t>
      </w:r>
      <w:r>
        <w:rPr>
          <w:rFonts w:ascii="宋体" w:hAnsi="宋体"/>
          <w:sz w:val="21"/>
          <w:szCs w:val="21"/>
        </w:rPr>
        <w:t>采购活动，提供的货物全部由符合政策要求的</w:t>
      </w:r>
      <w:r>
        <w:rPr>
          <w:rFonts w:hint="eastAsia" w:ascii="宋体" w:hAnsi="宋体"/>
          <w:sz w:val="21"/>
          <w:szCs w:val="21"/>
        </w:rPr>
        <w:t>监狱企业</w:t>
      </w:r>
      <w:r>
        <w:rPr>
          <w:rFonts w:ascii="宋体" w:hAnsi="宋体"/>
          <w:sz w:val="21"/>
          <w:szCs w:val="21"/>
        </w:rPr>
        <w:t>制造。相关</w:t>
      </w:r>
      <w:r>
        <w:rPr>
          <w:rFonts w:hint="eastAsia" w:ascii="宋体" w:hAnsi="宋体"/>
          <w:sz w:val="21"/>
          <w:szCs w:val="21"/>
        </w:rPr>
        <w:t>监狱企业</w:t>
      </w:r>
      <w:r>
        <w:rPr>
          <w:rFonts w:ascii="宋体" w:hAnsi="宋体"/>
          <w:sz w:val="21"/>
          <w:szCs w:val="21"/>
        </w:rPr>
        <w:t>的具体情况如下：</w:t>
      </w:r>
    </w:p>
    <w:p w14:paraId="06E4893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sz w:val="21"/>
          <w:szCs w:val="21"/>
        </w:rPr>
        <w:t>1.</w:t>
      </w:r>
      <w:r>
        <w:rPr>
          <w:rFonts w:ascii="宋体" w:hAnsi="宋体"/>
          <w:b/>
          <w:bCs/>
          <w:i/>
          <w:iCs/>
          <w:sz w:val="21"/>
          <w:szCs w:val="21"/>
          <w:u w:val="single"/>
        </w:rPr>
        <w:t xml:space="preserve"> </w:t>
      </w:r>
      <w:r>
        <w:rPr>
          <w:rFonts w:hint="eastAsia" w:ascii="宋体" w:hAnsi="宋体"/>
          <w:b/>
          <w:bCs/>
          <w:i/>
          <w:iCs/>
          <w:sz w:val="21"/>
          <w:szCs w:val="21"/>
          <w:u w:val="single"/>
          <w:lang w:val="en-US" w:eastAsia="zh-CN"/>
        </w:rPr>
        <w:t xml:space="preserve">   </w:t>
      </w:r>
      <w:r>
        <w:rPr>
          <w:rFonts w:ascii="宋体" w:hAnsi="宋体"/>
          <w:b/>
          <w:bCs/>
          <w:i/>
          <w:iCs/>
          <w:sz w:val="21"/>
          <w:szCs w:val="21"/>
          <w:u w:val="single"/>
        </w:rPr>
        <w:t>（标的名称）</w:t>
      </w:r>
      <w:r>
        <w:rPr>
          <w:rFonts w:hint="eastAsia" w:ascii="宋体" w:hAnsi="宋体"/>
          <w:b/>
          <w:bCs/>
          <w:i/>
          <w:iCs/>
          <w:sz w:val="21"/>
          <w:szCs w:val="21"/>
          <w:u w:val="single"/>
          <w:lang w:val="en-US" w:eastAsia="zh-CN"/>
        </w:rPr>
        <w:t xml:space="preserve">    </w:t>
      </w:r>
      <w:r>
        <w:rPr>
          <w:rFonts w:hint="eastAsia" w:ascii="宋体" w:hAnsi="宋体"/>
          <w:sz w:val="21"/>
          <w:szCs w:val="21"/>
        </w:rPr>
        <w:t>，</w:t>
      </w:r>
      <w:r>
        <w:rPr>
          <w:rFonts w:ascii="宋体" w:hAnsi="宋体"/>
          <w:sz w:val="21"/>
          <w:szCs w:val="21"/>
        </w:rPr>
        <w:t>制造商为</w:t>
      </w:r>
      <w:r>
        <w:rPr>
          <w:rFonts w:hint="eastAsia" w:ascii="宋体" w:hAnsi="宋体"/>
          <w:sz w:val="21"/>
          <w:szCs w:val="21"/>
          <w:u w:val="single"/>
          <w:lang w:val="en-US" w:eastAsia="zh-CN"/>
        </w:rPr>
        <w:t xml:space="preserve">    </w:t>
      </w:r>
      <w:r>
        <w:rPr>
          <w:rFonts w:ascii="宋体" w:hAnsi="宋体"/>
          <w:b/>
          <w:bCs/>
          <w:i/>
          <w:iCs/>
          <w:sz w:val="21"/>
          <w:szCs w:val="21"/>
          <w:u w:val="single"/>
        </w:rPr>
        <w:t>（</w:t>
      </w:r>
      <w:r>
        <w:rPr>
          <w:rFonts w:hint="eastAsia" w:ascii="宋体" w:hAnsi="宋体"/>
          <w:b/>
          <w:bCs/>
          <w:i/>
          <w:iCs/>
          <w:sz w:val="21"/>
          <w:szCs w:val="21"/>
          <w:u w:val="single"/>
        </w:rPr>
        <w:t>企业</w:t>
      </w:r>
      <w:r>
        <w:rPr>
          <w:rFonts w:ascii="宋体" w:hAnsi="宋体"/>
          <w:b/>
          <w:bCs/>
          <w:i/>
          <w:iCs/>
          <w:sz w:val="21"/>
          <w:szCs w:val="21"/>
          <w:u w:val="single"/>
        </w:rPr>
        <w:t>名称）</w:t>
      </w:r>
      <w:r>
        <w:rPr>
          <w:rFonts w:hint="eastAsia" w:ascii="宋体" w:hAnsi="宋体"/>
          <w:b/>
          <w:bCs/>
          <w:i/>
          <w:iCs/>
          <w:sz w:val="21"/>
          <w:szCs w:val="21"/>
          <w:u w:val="single"/>
          <w:lang w:val="en-US" w:eastAsia="zh-CN"/>
        </w:rPr>
        <w:t xml:space="preserve">    </w:t>
      </w:r>
      <w:r>
        <w:rPr>
          <w:rFonts w:ascii="宋体" w:hAnsi="宋体"/>
          <w:sz w:val="21"/>
          <w:szCs w:val="21"/>
        </w:rPr>
        <w:t>，属于</w:t>
      </w:r>
      <w:r>
        <w:rPr>
          <w:rFonts w:hint="eastAsia" w:ascii="宋体" w:hAnsi="宋体"/>
          <w:sz w:val="21"/>
          <w:szCs w:val="21"/>
          <w:u w:val="single"/>
          <w:lang w:val="en-US" w:eastAsia="zh-CN"/>
        </w:rPr>
        <w:t xml:space="preserve">  </w:t>
      </w:r>
      <w:r>
        <w:rPr>
          <w:rFonts w:hint="eastAsia" w:ascii="宋体" w:hAnsi="宋体"/>
          <w:b/>
          <w:bCs/>
          <w:sz w:val="21"/>
          <w:szCs w:val="21"/>
          <w:u w:val="single"/>
        </w:rPr>
        <w:t>监狱企业</w:t>
      </w:r>
      <w:r>
        <w:rPr>
          <w:rFonts w:hint="eastAsia" w:ascii="宋体" w:hAnsi="宋体"/>
          <w:b/>
          <w:bCs/>
          <w:sz w:val="21"/>
          <w:szCs w:val="21"/>
          <w:u w:val="single"/>
          <w:lang w:val="en-US" w:eastAsia="zh-CN"/>
        </w:rPr>
        <w:t xml:space="preserve">  </w:t>
      </w:r>
      <w:r>
        <w:rPr>
          <w:rFonts w:ascii="宋体" w:hAnsi="宋体"/>
          <w:sz w:val="21"/>
          <w:szCs w:val="21"/>
        </w:rPr>
        <w:t>；</w:t>
      </w:r>
    </w:p>
    <w:p w14:paraId="2087F4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sz w:val="21"/>
          <w:szCs w:val="21"/>
        </w:rPr>
        <w:t>2.</w:t>
      </w:r>
      <w:r>
        <w:rPr>
          <w:rFonts w:ascii="宋体" w:hAnsi="宋体"/>
          <w:b/>
          <w:bCs/>
          <w:i/>
          <w:iCs/>
          <w:sz w:val="21"/>
          <w:szCs w:val="21"/>
          <w:u w:val="single"/>
        </w:rPr>
        <w:t xml:space="preserve"> </w:t>
      </w:r>
      <w:r>
        <w:rPr>
          <w:rFonts w:hint="eastAsia" w:ascii="宋体" w:hAnsi="宋体"/>
          <w:b/>
          <w:bCs/>
          <w:i/>
          <w:iCs/>
          <w:sz w:val="21"/>
          <w:szCs w:val="21"/>
          <w:u w:val="single"/>
          <w:lang w:val="en-US" w:eastAsia="zh-CN"/>
        </w:rPr>
        <w:t xml:space="preserve">   </w:t>
      </w:r>
      <w:r>
        <w:rPr>
          <w:rFonts w:ascii="宋体" w:hAnsi="宋体"/>
          <w:b/>
          <w:bCs/>
          <w:i/>
          <w:iCs/>
          <w:sz w:val="21"/>
          <w:szCs w:val="21"/>
          <w:u w:val="single"/>
        </w:rPr>
        <w:t>（标的名称）</w:t>
      </w:r>
      <w:r>
        <w:rPr>
          <w:rFonts w:hint="eastAsia" w:ascii="宋体" w:hAnsi="宋体"/>
          <w:b/>
          <w:bCs/>
          <w:i/>
          <w:iCs/>
          <w:sz w:val="21"/>
          <w:szCs w:val="21"/>
          <w:u w:val="single"/>
          <w:lang w:val="en-US" w:eastAsia="zh-CN"/>
        </w:rPr>
        <w:t xml:space="preserve">    </w:t>
      </w:r>
      <w:r>
        <w:rPr>
          <w:rFonts w:hint="eastAsia" w:ascii="宋体" w:hAnsi="宋体"/>
          <w:sz w:val="21"/>
          <w:szCs w:val="21"/>
        </w:rPr>
        <w:t>，</w:t>
      </w:r>
      <w:r>
        <w:rPr>
          <w:rFonts w:ascii="宋体" w:hAnsi="宋体"/>
          <w:sz w:val="21"/>
          <w:szCs w:val="21"/>
        </w:rPr>
        <w:t>制造商为</w:t>
      </w:r>
      <w:r>
        <w:rPr>
          <w:rFonts w:hint="eastAsia" w:ascii="宋体" w:hAnsi="宋体"/>
          <w:sz w:val="21"/>
          <w:szCs w:val="21"/>
          <w:u w:val="single"/>
          <w:lang w:val="en-US" w:eastAsia="zh-CN"/>
        </w:rPr>
        <w:t xml:space="preserve">    </w:t>
      </w:r>
      <w:r>
        <w:rPr>
          <w:rFonts w:ascii="宋体" w:hAnsi="宋体"/>
          <w:b/>
          <w:bCs/>
          <w:i/>
          <w:iCs/>
          <w:sz w:val="21"/>
          <w:szCs w:val="21"/>
          <w:u w:val="single"/>
        </w:rPr>
        <w:t>（</w:t>
      </w:r>
      <w:r>
        <w:rPr>
          <w:rFonts w:hint="eastAsia" w:ascii="宋体" w:hAnsi="宋体"/>
          <w:b/>
          <w:bCs/>
          <w:i/>
          <w:iCs/>
          <w:sz w:val="21"/>
          <w:szCs w:val="21"/>
          <w:u w:val="single"/>
        </w:rPr>
        <w:t>企业</w:t>
      </w:r>
      <w:r>
        <w:rPr>
          <w:rFonts w:ascii="宋体" w:hAnsi="宋体"/>
          <w:b/>
          <w:bCs/>
          <w:i/>
          <w:iCs/>
          <w:sz w:val="21"/>
          <w:szCs w:val="21"/>
          <w:u w:val="single"/>
        </w:rPr>
        <w:t>名称）</w:t>
      </w:r>
      <w:r>
        <w:rPr>
          <w:rFonts w:hint="eastAsia" w:ascii="宋体" w:hAnsi="宋体"/>
          <w:b/>
          <w:bCs/>
          <w:i/>
          <w:iCs/>
          <w:sz w:val="21"/>
          <w:szCs w:val="21"/>
          <w:u w:val="single"/>
          <w:lang w:val="en-US" w:eastAsia="zh-CN"/>
        </w:rPr>
        <w:t xml:space="preserve">    </w:t>
      </w:r>
      <w:r>
        <w:rPr>
          <w:rFonts w:ascii="宋体" w:hAnsi="宋体"/>
          <w:sz w:val="21"/>
          <w:szCs w:val="21"/>
        </w:rPr>
        <w:t>，属于</w:t>
      </w:r>
      <w:r>
        <w:rPr>
          <w:rFonts w:hint="eastAsia" w:ascii="宋体" w:hAnsi="宋体"/>
          <w:sz w:val="21"/>
          <w:szCs w:val="21"/>
          <w:u w:val="single"/>
          <w:lang w:val="en-US" w:eastAsia="zh-CN"/>
        </w:rPr>
        <w:t xml:space="preserve">  </w:t>
      </w:r>
      <w:r>
        <w:rPr>
          <w:rFonts w:hint="eastAsia" w:ascii="宋体" w:hAnsi="宋体"/>
          <w:b/>
          <w:bCs/>
          <w:sz w:val="21"/>
          <w:szCs w:val="21"/>
          <w:u w:val="single"/>
        </w:rPr>
        <w:t>监狱企业</w:t>
      </w:r>
      <w:r>
        <w:rPr>
          <w:rFonts w:hint="eastAsia" w:ascii="宋体" w:hAnsi="宋体"/>
          <w:b/>
          <w:bCs/>
          <w:sz w:val="21"/>
          <w:szCs w:val="21"/>
          <w:u w:val="single"/>
          <w:lang w:val="en-US" w:eastAsia="zh-CN"/>
        </w:rPr>
        <w:t xml:space="preserve">  </w:t>
      </w:r>
      <w:r>
        <w:rPr>
          <w:rFonts w:hint="eastAsia" w:ascii="宋体" w:hAnsi="宋体"/>
          <w:sz w:val="21"/>
          <w:szCs w:val="21"/>
        </w:rPr>
        <w:t>。</w:t>
      </w:r>
    </w:p>
    <w:p w14:paraId="1437CD9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outlineLvl w:val="3"/>
        <w:rPr>
          <w:rFonts w:ascii="宋体" w:hAnsi="宋体"/>
          <w:sz w:val="21"/>
          <w:szCs w:val="21"/>
        </w:rPr>
      </w:pPr>
      <w:r>
        <w:rPr>
          <w:rFonts w:ascii="宋体" w:hAnsi="宋体"/>
          <w:sz w:val="21"/>
          <w:szCs w:val="21"/>
        </w:rPr>
        <w:t xml:space="preserve">…… </w:t>
      </w:r>
    </w:p>
    <w:p w14:paraId="1F0DDE9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宋体" w:hAnsi="宋体"/>
          <w:sz w:val="21"/>
          <w:szCs w:val="21"/>
        </w:rPr>
      </w:pPr>
      <w:r>
        <w:rPr>
          <w:rFonts w:ascii="宋体" w:hAnsi="宋体" w:cstheme="minorBidi"/>
          <w:sz w:val="21"/>
          <w:szCs w:val="21"/>
        </w:rPr>
        <w:t>本</w:t>
      </w:r>
      <w:r>
        <w:rPr>
          <w:rFonts w:hint="eastAsia" w:ascii="宋体" w:hAnsi="宋体" w:cstheme="minorBidi"/>
          <w:sz w:val="21"/>
          <w:szCs w:val="21"/>
        </w:rPr>
        <w:t>投标人</w:t>
      </w:r>
      <w:r>
        <w:rPr>
          <w:rFonts w:ascii="宋体" w:hAnsi="宋体"/>
          <w:sz w:val="21"/>
          <w:szCs w:val="21"/>
        </w:rPr>
        <w:t>对上述声明内容的真实性负责。如有虚假，将依法承担相应责任。</w:t>
      </w:r>
    </w:p>
    <w:p w14:paraId="68C11C4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b/>
          <w:bCs/>
          <w:color w:val="FF0000"/>
          <w:sz w:val="21"/>
          <w:szCs w:val="21"/>
        </w:rPr>
      </w:pPr>
      <w:r>
        <w:rPr>
          <w:rFonts w:hint="eastAsia" w:ascii="宋体" w:hAnsi="宋体"/>
          <w:sz w:val="21"/>
          <w:szCs w:val="21"/>
        </w:rPr>
        <w:t>附：省级以上监狱管理局、戒毒管理局（含新疆生产建设兵团）出具的监狱企业证明文件。</w:t>
      </w:r>
      <w:bookmarkEnd w:id="28"/>
    </w:p>
    <w:p w14:paraId="3024729F">
      <w:pPr>
        <w:keepNext w:val="0"/>
        <w:keepLines w:val="0"/>
        <w:spacing w:line="240" w:lineRule="auto"/>
        <w:outlineLvl w:val="9"/>
        <w:rPr>
          <w:rFonts w:hint="eastAsia" w:asciiTheme="minorEastAsia" w:hAnsiTheme="minorEastAsia" w:cstheme="minorEastAsia"/>
          <w:b/>
          <w:bCs/>
        </w:rPr>
      </w:pPr>
      <w:r>
        <w:rPr>
          <w:rFonts w:hint="eastAsia" w:asciiTheme="minorEastAsia" w:hAnsiTheme="minorEastAsia" w:cstheme="minorEastAsia"/>
          <w:b/>
          <w:bCs/>
        </w:rPr>
        <w:br w:type="page"/>
      </w:r>
    </w:p>
    <w:p w14:paraId="3205DAE8">
      <w:pPr>
        <w:keepNext/>
        <w:keepLines/>
        <w:spacing w:line="420" w:lineRule="exact"/>
        <w:outlineLvl w:val="4"/>
        <w:rPr>
          <w:rFonts w:asciiTheme="minorEastAsia" w:hAnsiTheme="minorEastAsia" w:cstheme="minorEastAsia"/>
          <w:b/>
          <w:bCs/>
        </w:rPr>
      </w:pPr>
      <w:r>
        <w:rPr>
          <w:rFonts w:hint="eastAsia" w:asciiTheme="minorEastAsia" w:hAnsiTheme="minorEastAsia" w:cstheme="minorEastAsia"/>
          <w:b/>
          <w:bCs/>
        </w:rPr>
        <w:t>（三）法定代表人证明书格式</w:t>
      </w:r>
    </w:p>
    <w:p w14:paraId="66A180C5">
      <w:pPr>
        <w:pStyle w:val="7"/>
        <w:jc w:val="center"/>
        <w:rPr>
          <w:rFonts w:asciiTheme="minorEastAsia" w:hAnsiTheme="minorEastAsia" w:eastAsiaTheme="minorEastAsia" w:cstheme="minorEastAsia"/>
          <w:bCs w:val="0"/>
          <w:sz w:val="32"/>
        </w:rPr>
      </w:pPr>
      <w:r>
        <w:rPr>
          <w:rFonts w:hint="eastAsia" w:asciiTheme="minorEastAsia" w:hAnsiTheme="minorEastAsia" w:eastAsiaTheme="minorEastAsia" w:cstheme="minorEastAsia"/>
          <w:bCs w:val="0"/>
          <w:sz w:val="32"/>
        </w:rPr>
        <w:t>法定代表人（负责人）证明书</w:t>
      </w:r>
    </w:p>
    <w:p w14:paraId="7113712B">
      <w:pPr>
        <w:rPr>
          <w:rFonts w:asciiTheme="minorEastAsia" w:hAnsiTheme="minorEastAsia" w:cstheme="minorEastAsia"/>
          <w:sz w:val="21"/>
          <w:szCs w:val="21"/>
        </w:rPr>
      </w:pPr>
    </w:p>
    <w:p w14:paraId="39EE4ACC">
      <w:pPr>
        <w:spacing w:line="360" w:lineRule="auto"/>
        <w:rPr>
          <w:rFonts w:asciiTheme="minorEastAsia" w:hAnsiTheme="minorEastAsia" w:cstheme="minorEastAsia"/>
          <w:sz w:val="21"/>
          <w:szCs w:val="21"/>
        </w:rPr>
      </w:pPr>
      <w:r>
        <w:rPr>
          <w:rFonts w:hint="eastAsia" w:asciiTheme="minorEastAsia" w:hAnsiTheme="minorEastAsia" w:cstheme="minorEastAsia"/>
          <w:sz w:val="21"/>
          <w:szCs w:val="21"/>
        </w:rPr>
        <w:t xml:space="preserve">   </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同志，现任我单位</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职务，为法定代表人（负责人），身份证号：</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 xml:space="preserve"> </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联系电话：</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特此证明。</w:t>
      </w:r>
    </w:p>
    <w:p w14:paraId="301FE53B">
      <w:pPr>
        <w:spacing w:line="360" w:lineRule="auto"/>
        <w:rPr>
          <w:rFonts w:asciiTheme="minorEastAsia" w:hAnsiTheme="minorEastAsia" w:cstheme="minorEastAsia"/>
          <w:sz w:val="21"/>
          <w:szCs w:val="21"/>
        </w:rPr>
      </w:pPr>
      <w:r>
        <w:rPr>
          <w:rFonts w:hint="eastAsia" w:asciiTheme="minorEastAsia" w:hAnsiTheme="minorEastAsia" w:cstheme="minorEastAsia"/>
          <w:sz w:val="21"/>
          <w:szCs w:val="21"/>
        </w:rPr>
        <w:t xml:space="preserve">         </w:t>
      </w:r>
    </w:p>
    <w:p w14:paraId="3F42BAA9">
      <w:pPr>
        <w:spacing w:line="360" w:lineRule="auto"/>
        <w:ind w:left="630" w:hanging="630" w:hangingChars="300"/>
        <w:rPr>
          <w:rFonts w:asciiTheme="minorEastAsia" w:hAnsiTheme="minorEastAsia" w:cstheme="minorEastAsia"/>
          <w:sz w:val="21"/>
          <w:szCs w:val="21"/>
        </w:rPr>
      </w:pPr>
      <w:r>
        <w:rPr>
          <w:rFonts w:hint="eastAsia" w:asciiTheme="minorEastAsia" w:hAnsiTheme="minorEastAsia" w:cstheme="minorEastAsia"/>
          <w:sz w:val="21"/>
          <w:szCs w:val="21"/>
        </w:rPr>
        <w:t>说明：</w:t>
      </w:r>
    </w:p>
    <w:p w14:paraId="47ABBB94">
      <w:pPr>
        <w:spacing w:line="360" w:lineRule="auto"/>
        <w:ind w:left="-720" w:leftChars="-300" w:firstLine="840" w:firstLineChars="400"/>
        <w:rPr>
          <w:rFonts w:asciiTheme="minorEastAsia" w:hAnsiTheme="minorEastAsia" w:cstheme="minorEastAsia"/>
          <w:sz w:val="21"/>
          <w:szCs w:val="21"/>
        </w:rPr>
      </w:pPr>
      <w:r>
        <w:rPr>
          <w:rFonts w:hint="eastAsia" w:asciiTheme="minorEastAsia" w:hAnsiTheme="minorEastAsia" w:cstheme="minorEastAsia"/>
          <w:sz w:val="21"/>
          <w:szCs w:val="21"/>
        </w:rPr>
        <w:t xml:space="preserve">1、法定代表人为投标人（企业事业单位、国家机关、社会团体）的主要行政负责人。   </w:t>
      </w:r>
    </w:p>
    <w:p w14:paraId="71CA48C3">
      <w:pPr>
        <w:spacing w:line="360" w:lineRule="auto"/>
        <w:ind w:left="-720" w:leftChars="-300" w:firstLine="840" w:firstLineChars="400"/>
        <w:rPr>
          <w:rFonts w:asciiTheme="minorEastAsia" w:hAnsiTheme="minorEastAsia" w:cstheme="minorEastAsia"/>
          <w:sz w:val="21"/>
          <w:szCs w:val="21"/>
        </w:rPr>
      </w:pPr>
      <w:r>
        <w:rPr>
          <w:rFonts w:hint="eastAsia" w:asciiTheme="minorEastAsia" w:hAnsiTheme="minorEastAsia" w:cstheme="minorEastAsia"/>
          <w:sz w:val="21"/>
          <w:szCs w:val="21"/>
        </w:rPr>
        <w:t>2、本证明书要求投标供应商同时提供法定代表人（负责人）的身份证扫描件（正反两面）作为附件方为有效。</w:t>
      </w:r>
    </w:p>
    <w:p w14:paraId="16D6009C">
      <w:pPr>
        <w:spacing w:line="360" w:lineRule="auto"/>
        <w:ind w:left="-720" w:leftChars="-300" w:firstLine="840" w:firstLineChars="400"/>
        <w:rPr>
          <w:rFonts w:asciiTheme="minorEastAsia" w:hAnsiTheme="minorEastAsia" w:cstheme="minorEastAsia"/>
          <w:sz w:val="21"/>
          <w:szCs w:val="21"/>
          <w:lang w:eastAsia="zh-Hans"/>
        </w:rPr>
      </w:pPr>
      <w:r>
        <w:rPr>
          <w:rFonts w:hint="eastAsia" w:asciiTheme="minorEastAsia" w:hAnsiTheme="minorEastAsia" w:cstheme="minorEastAsia"/>
          <w:sz w:val="21"/>
          <w:szCs w:val="21"/>
        </w:rPr>
        <w:t>3、</w:t>
      </w:r>
      <w:r>
        <w:rPr>
          <w:rFonts w:hint="eastAsia" w:asciiTheme="minorEastAsia" w:hAnsiTheme="minorEastAsia" w:cstheme="minorEastAsia"/>
          <w:sz w:val="21"/>
          <w:szCs w:val="21"/>
          <w:lang w:eastAsia="zh-Hans"/>
        </w:rPr>
        <w:t>本项目投标授权代表为法定代表人（负责人）的，无需提供</w:t>
      </w:r>
      <w:r>
        <w:rPr>
          <w:rFonts w:hint="eastAsia" w:asciiTheme="minorEastAsia" w:hAnsiTheme="minorEastAsia" w:cstheme="minorEastAsia"/>
          <w:sz w:val="21"/>
          <w:szCs w:val="21"/>
        </w:rPr>
        <w:t>《投标文件签署授权委托书》</w:t>
      </w:r>
      <w:r>
        <w:rPr>
          <w:rFonts w:hint="eastAsia" w:asciiTheme="minorEastAsia" w:hAnsiTheme="minorEastAsia" w:cstheme="minorEastAsia"/>
          <w:sz w:val="21"/>
          <w:szCs w:val="21"/>
          <w:lang w:eastAsia="zh-Hans"/>
        </w:rPr>
        <w:t>。</w:t>
      </w:r>
    </w:p>
    <w:p w14:paraId="7B11E149">
      <w:pPr>
        <w:spacing w:line="360" w:lineRule="auto"/>
        <w:ind w:left="-720" w:leftChars="-300" w:firstLine="840" w:firstLineChars="400"/>
        <w:rPr>
          <w:rFonts w:asciiTheme="minorEastAsia" w:hAnsiTheme="minorEastAsia" w:cstheme="minorEastAsia"/>
          <w:sz w:val="21"/>
          <w:szCs w:val="21"/>
        </w:rPr>
      </w:pPr>
      <w:r>
        <w:rPr>
          <w:rFonts w:hint="eastAsia" w:asciiTheme="minorEastAsia" w:hAnsiTheme="minorEastAsia" w:cstheme="minorEastAsia"/>
          <w:sz w:val="21"/>
          <w:szCs w:val="21"/>
        </w:rPr>
        <w:t>4、内容必须填写真实、清楚，涂改无效，不得转让、买卖。</w:t>
      </w:r>
    </w:p>
    <w:p w14:paraId="1EFF7C87">
      <w:pPr>
        <w:spacing w:line="420" w:lineRule="exact"/>
        <w:rPr>
          <w:rFonts w:asciiTheme="minorEastAsia" w:hAnsiTheme="minorEastAsia" w:cstheme="minorEastAsia"/>
          <w:sz w:val="21"/>
          <w:szCs w:val="21"/>
        </w:rPr>
      </w:pPr>
      <w:r>
        <w:rPr>
          <w:rFonts w:hint="eastAsia" w:asciiTheme="minorEastAsia" w:hAnsiTheme="minorEastAsia" w:cstheme="minorEastAsia"/>
          <w:sz w:val="21"/>
          <w:szCs w:val="21"/>
        </w:rPr>
        <w:t>附：</w:t>
      </w:r>
    </w:p>
    <w:p w14:paraId="19AD1223">
      <w:pPr>
        <w:spacing w:line="420" w:lineRule="exact"/>
        <w:ind w:firstLine="420" w:firstLineChars="200"/>
        <w:rPr>
          <w:rFonts w:asciiTheme="minorEastAsia" w:hAnsiTheme="minorEastAsia" w:cstheme="minorEastAsia"/>
          <w:sz w:val="21"/>
          <w:szCs w:val="21"/>
        </w:rPr>
      </w:pPr>
      <w:r>
        <w:rPr>
          <w:rFonts w:hint="eastAsia" w:asciiTheme="minorEastAsia" w:hAnsiTheme="minorEastAsia" w:cstheme="minorEastAsia"/>
          <w:sz w:val="21"/>
          <w:szCs w:val="21"/>
        </w:rPr>
        <w:t>代表人性别：         年龄：            身份证号码：</w:t>
      </w:r>
    </w:p>
    <w:p w14:paraId="232B3BD5">
      <w:pPr>
        <w:spacing w:line="420" w:lineRule="exact"/>
        <w:ind w:firstLine="420" w:firstLineChars="200"/>
        <w:rPr>
          <w:rFonts w:asciiTheme="minorEastAsia" w:hAnsiTheme="minorEastAsia" w:cstheme="minorEastAsia"/>
          <w:sz w:val="21"/>
          <w:szCs w:val="21"/>
        </w:rPr>
      </w:pPr>
      <w:r>
        <w:rPr>
          <w:rFonts w:hint="eastAsia" w:asciiTheme="minorEastAsia" w:hAnsiTheme="minorEastAsia" w:cstheme="minorEastAsia"/>
          <w:sz w:val="21"/>
          <w:szCs w:val="21"/>
        </w:rPr>
        <w:t>统一社会信用代码：                         经济性质：</w:t>
      </w:r>
    </w:p>
    <w:p w14:paraId="4AB1E984">
      <w:pPr>
        <w:spacing w:line="420" w:lineRule="exact"/>
        <w:ind w:firstLine="420" w:firstLineChars="200"/>
        <w:rPr>
          <w:rFonts w:asciiTheme="minorEastAsia" w:hAnsiTheme="minorEastAsia" w:cstheme="minorEastAsia"/>
          <w:sz w:val="21"/>
          <w:szCs w:val="21"/>
        </w:rPr>
      </w:pPr>
      <w:r>
        <w:rPr>
          <w:rFonts w:hint="eastAsia" w:asciiTheme="minorEastAsia" w:hAnsiTheme="minorEastAsia" w:cstheme="minorEastAsia"/>
          <w:sz w:val="21"/>
          <w:szCs w:val="21"/>
        </w:rPr>
        <w:t>经营范围：</w:t>
      </w:r>
    </w:p>
    <w:p w14:paraId="13AA9F39">
      <w:pPr>
        <w:spacing w:line="420" w:lineRule="exact"/>
        <w:ind w:firstLine="1890" w:firstLineChars="900"/>
        <w:rPr>
          <w:rFonts w:asciiTheme="minorEastAsia" w:hAnsiTheme="minorEastAsia" w:cstheme="minorEastAsia"/>
          <w:sz w:val="21"/>
          <w:szCs w:val="21"/>
        </w:rPr>
      </w:pPr>
    </w:p>
    <w:p w14:paraId="38649282">
      <w:pPr>
        <w:spacing w:line="420" w:lineRule="exact"/>
        <w:ind w:firstLine="4620" w:firstLineChars="2200"/>
        <w:rPr>
          <w:rFonts w:asciiTheme="minorEastAsia" w:hAnsiTheme="minorEastAsia" w:cstheme="minorEastAsia"/>
          <w:sz w:val="21"/>
          <w:szCs w:val="21"/>
        </w:rPr>
      </w:pPr>
      <w:r>
        <w:rPr>
          <w:rFonts w:hint="eastAsia" w:asciiTheme="minorEastAsia" w:hAnsiTheme="minorEastAsia" w:cstheme="minorEastAsia"/>
          <w:sz w:val="21"/>
          <w:szCs w:val="21"/>
        </w:rPr>
        <w:t>投标人名称：</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 xml:space="preserve"> （盖章）</w:t>
      </w:r>
    </w:p>
    <w:p w14:paraId="264B66E1">
      <w:pPr>
        <w:autoSpaceDE w:val="0"/>
        <w:autoSpaceDN w:val="0"/>
        <w:spacing w:line="420" w:lineRule="exact"/>
        <w:ind w:right="890"/>
        <w:textAlignment w:val="bottom"/>
        <w:rPr>
          <w:rFonts w:asciiTheme="minorEastAsia" w:hAnsiTheme="minorEastAsia" w:cstheme="minorEastAsia"/>
          <w:sz w:val="21"/>
          <w:szCs w:val="21"/>
        </w:rPr>
      </w:pPr>
      <w:r>
        <w:rPr>
          <w:rFonts w:hint="eastAsia" w:asciiTheme="minorEastAsia" w:hAnsiTheme="minorEastAsia" w:cstheme="minorEastAsia"/>
          <w:sz w:val="21"/>
          <w:szCs w:val="21"/>
        </w:rPr>
        <w:t>附：法定代表人身份证扫描件</w:t>
      </w:r>
      <w:r>
        <w:rPr>
          <w:rFonts w:hint="eastAsia" w:asciiTheme="minorEastAsia" w:hAnsiTheme="minorEastAsia" w:cstheme="minorEastAsia"/>
          <w:sz w:val="21"/>
          <w:szCs w:val="21"/>
        </w:rPr>
        <mc:AlternateContent>
          <mc:Choice Requires="wpg">
            <w:drawing>
              <wp:anchor distT="0" distB="0" distL="114300" distR="114300" simplePos="0" relativeHeight="251659264" behindDoc="0" locked="0" layoutInCell="1" allowOverlap="1">
                <wp:simplePos x="0" y="0"/>
                <wp:positionH relativeFrom="column">
                  <wp:posOffset>-419735</wp:posOffset>
                </wp:positionH>
                <wp:positionV relativeFrom="paragraph">
                  <wp:posOffset>281305</wp:posOffset>
                </wp:positionV>
                <wp:extent cx="5944235" cy="1590040"/>
                <wp:effectExtent l="4445" t="4445" r="13970" b="5715"/>
                <wp:wrapNone/>
                <wp:docPr id="3" name="组合 17"/>
                <wp:cNvGraphicFramePr/>
                <a:graphic xmlns:a="http://schemas.openxmlformats.org/drawingml/2006/main">
                  <a:graphicData uri="http://schemas.microsoft.com/office/word/2010/wordprocessingGroup">
                    <wpg:wgp>
                      <wpg:cNvGrpSpPr/>
                      <wpg:grpSpPr>
                        <a:xfrm>
                          <a:off x="0" y="0"/>
                          <a:ext cx="5944235" cy="1590040"/>
                          <a:chOff x="703" y="8450"/>
                          <a:chExt cx="9083" cy="2499"/>
                        </a:xfrm>
                        <a:effectLst/>
                      </wpg:grpSpPr>
                      <wps:wsp>
                        <wps:cNvPr id="4" name="矩形 3"/>
                        <wps:cNvSpPr/>
                        <wps:spPr>
                          <a:xfrm>
                            <a:off x="703" y="8450"/>
                            <a:ext cx="4594" cy="24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D5397EE">
                              <w:pPr>
                                <w:jc w:val="center"/>
                              </w:pPr>
                              <w:r>
                                <w:rPr>
                                  <w:rFonts w:hint="eastAsia"/>
                                </w:rPr>
                                <w:t>居民身份证扫描件粘贴处</w:t>
                              </w:r>
                            </w:p>
                            <w:p w14:paraId="0654275B">
                              <w:pPr>
                                <w:ind w:firstLine="1200" w:firstLineChars="500"/>
                              </w:pPr>
                            </w:p>
                            <w:p w14:paraId="3ADAD537">
                              <w:pPr>
                                <w:jc w:val="center"/>
                              </w:pPr>
                              <w:r>
                                <w:rPr>
                                  <w:rFonts w:hint="eastAsia"/>
                                </w:rPr>
                                <w:t>（人像面）</w:t>
                              </w:r>
                            </w:p>
                            <w:p w14:paraId="6C2B69F1"/>
                          </w:txbxContent>
                        </wps:txbx>
                        <wps:bodyPr vert="horz" anchor="t" upright="1"/>
                      </wps:wsp>
                      <wps:wsp>
                        <wps:cNvPr id="9" name="矩形 4"/>
                        <wps:cNvSpPr/>
                        <wps:spPr>
                          <a:xfrm>
                            <a:off x="5505" y="8464"/>
                            <a:ext cx="4281" cy="24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539CD02">
                              <w:pPr>
                                <w:jc w:val="center"/>
                              </w:pPr>
                              <w:r>
                                <w:rPr>
                                  <w:rFonts w:hint="eastAsia"/>
                                </w:rPr>
                                <w:t>居民身份证扫描件粘贴处</w:t>
                              </w:r>
                            </w:p>
                            <w:p w14:paraId="237E2030">
                              <w:pPr>
                                <w:ind w:firstLine="1200" w:firstLineChars="500"/>
                              </w:pPr>
                            </w:p>
                            <w:p w14:paraId="27597D9A">
                              <w:pPr>
                                <w:jc w:val="center"/>
                              </w:pPr>
                              <w:r>
                                <w:rPr>
                                  <w:rFonts w:hint="eastAsia"/>
                                </w:rPr>
                                <w:t>（国徽面）</w:t>
                              </w:r>
                            </w:p>
                            <w:p w14:paraId="3BC51F4F"/>
                          </w:txbxContent>
                        </wps:txbx>
                        <wps:bodyPr vert="horz" anchor="t" upright="1"/>
                      </wps:wsp>
                    </wpg:wgp>
                  </a:graphicData>
                </a:graphic>
              </wp:anchor>
            </w:drawing>
          </mc:Choice>
          <mc:Fallback>
            <w:pict>
              <v:group id="组合 17" o:spid="_x0000_s1026" o:spt="203" style="position:absolute;left:0pt;margin-left:-33.05pt;margin-top:22.15pt;height:125.2pt;width:468.05pt;z-index:251659264;mso-width-relative:page;mso-height-relative:page;" coordorigin="703,8450" coordsize="9083,2499" o:gfxdata="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">
                <o:lock v:ext="edit" aspectratio="f"/>
                <v:rect id="矩形 3" o:spid="_x0000_s1026" o:spt="1" style="position:absolute;left:703;top:8450;height:2455;width:4594;" fillcolor="#FFFFFF" filled="t" stroked="t" coordsize="21600,21600" o:gfxdata="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Fz/R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D5397EE">
                        <w:pPr>
                          <w:jc w:val="center"/>
                        </w:pPr>
                        <w:r>
                          <w:rPr>
                            <w:rFonts w:hint="eastAsia"/>
                          </w:rPr>
                          <w:t>居民身份证扫描件粘贴处</w:t>
                        </w:r>
                      </w:p>
                      <w:p w14:paraId="0654275B">
                        <w:pPr>
                          <w:ind w:firstLine="1200" w:firstLineChars="500"/>
                        </w:pPr>
                      </w:p>
                      <w:p w14:paraId="3ADAD537">
                        <w:pPr>
                          <w:jc w:val="center"/>
                        </w:pPr>
                        <w:r>
                          <w:rPr>
                            <w:rFonts w:hint="eastAsia"/>
                          </w:rPr>
                          <w:t>（人像面）</w:t>
                        </w:r>
                      </w:p>
                      <w:p w14:paraId="6C2B69F1"/>
                    </w:txbxContent>
                  </v:textbox>
                </v:rect>
                <v:rect id="矩形 4" o:spid="_x0000_s1026" o:spt="1" style="position:absolute;left:5505;top:8464;height:2485;width:4281;" fillcolor="#FFFFFF" filled="t" stroked="t" coordsize="21600,21600" o:gfxdata="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YWkE+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4539CD02">
                        <w:pPr>
                          <w:jc w:val="center"/>
                        </w:pPr>
                        <w:r>
                          <w:rPr>
                            <w:rFonts w:hint="eastAsia"/>
                          </w:rPr>
                          <w:t>居民身份证扫描件粘贴处</w:t>
                        </w:r>
                      </w:p>
                      <w:p w14:paraId="237E2030">
                        <w:pPr>
                          <w:ind w:firstLine="1200" w:firstLineChars="500"/>
                        </w:pPr>
                      </w:p>
                      <w:p w14:paraId="27597D9A">
                        <w:pPr>
                          <w:jc w:val="center"/>
                        </w:pPr>
                        <w:r>
                          <w:rPr>
                            <w:rFonts w:hint="eastAsia"/>
                          </w:rPr>
                          <w:t>（国徽面）</w:t>
                        </w:r>
                      </w:p>
                      <w:p w14:paraId="3BC51F4F"/>
                    </w:txbxContent>
                  </v:textbox>
                </v:rect>
              </v:group>
            </w:pict>
          </mc:Fallback>
        </mc:AlternateContent>
      </w:r>
    </w:p>
    <w:p w14:paraId="7C894CA9">
      <w:pPr>
        <w:keepNext/>
        <w:keepLines/>
        <w:spacing w:line="420" w:lineRule="exact"/>
        <w:rPr>
          <w:rFonts w:asciiTheme="minorEastAsia" w:hAnsiTheme="minorEastAsia" w:cstheme="minorEastAsia"/>
          <w:sz w:val="21"/>
          <w:szCs w:val="21"/>
        </w:rPr>
      </w:pPr>
    </w:p>
    <w:p w14:paraId="25AFC29C">
      <w:pPr>
        <w:keepNext/>
        <w:keepLines/>
        <w:spacing w:line="420" w:lineRule="exact"/>
        <w:rPr>
          <w:rFonts w:asciiTheme="minorEastAsia" w:hAnsiTheme="minorEastAsia" w:cstheme="minorEastAsia"/>
          <w:sz w:val="21"/>
          <w:szCs w:val="21"/>
        </w:rPr>
      </w:pPr>
    </w:p>
    <w:p w14:paraId="28FF5E3A">
      <w:pPr>
        <w:keepNext/>
        <w:keepLines/>
        <w:spacing w:line="420" w:lineRule="exact"/>
        <w:rPr>
          <w:rFonts w:asciiTheme="minorEastAsia" w:hAnsiTheme="minorEastAsia" w:cstheme="minorEastAsia"/>
          <w:sz w:val="21"/>
          <w:szCs w:val="21"/>
        </w:rPr>
      </w:pPr>
    </w:p>
    <w:p w14:paraId="0BED329C">
      <w:pPr>
        <w:keepNext/>
        <w:keepLines/>
        <w:spacing w:line="420" w:lineRule="exact"/>
        <w:rPr>
          <w:rFonts w:asciiTheme="minorEastAsia" w:hAnsiTheme="minorEastAsia" w:cstheme="minorEastAsia"/>
          <w:sz w:val="21"/>
          <w:szCs w:val="21"/>
        </w:rPr>
      </w:pPr>
    </w:p>
    <w:p w14:paraId="6F87600F">
      <w:pPr>
        <w:keepNext/>
        <w:keepLines/>
        <w:spacing w:line="420" w:lineRule="exact"/>
        <w:rPr>
          <w:rFonts w:asciiTheme="minorEastAsia" w:hAnsiTheme="minorEastAsia" w:cstheme="minorEastAsia"/>
          <w:sz w:val="21"/>
          <w:szCs w:val="21"/>
        </w:rPr>
      </w:pPr>
    </w:p>
    <w:p w14:paraId="2864A42F">
      <w:pPr>
        <w:keepNext/>
        <w:keepLines/>
        <w:spacing w:line="420" w:lineRule="exact"/>
        <w:rPr>
          <w:rFonts w:asciiTheme="minorEastAsia" w:hAnsiTheme="minorEastAsia" w:cstheme="minorEastAsia"/>
          <w:sz w:val="21"/>
          <w:szCs w:val="21"/>
        </w:rPr>
      </w:pPr>
    </w:p>
    <w:p w14:paraId="333BCDCF">
      <w:pPr>
        <w:keepNext/>
        <w:keepLines/>
        <w:spacing w:line="420" w:lineRule="exact"/>
        <w:rPr>
          <w:rFonts w:asciiTheme="minorEastAsia" w:hAnsiTheme="minorEastAsia" w:cstheme="minorEastAsia"/>
          <w:color w:val="FF0000"/>
          <w:sz w:val="21"/>
          <w:szCs w:val="21"/>
        </w:rPr>
      </w:pPr>
    </w:p>
    <w:p w14:paraId="1D77215E">
      <w:pPr>
        <w:rPr>
          <w:rFonts w:ascii="Calibri" w:hAnsi="Calibri"/>
          <w:szCs w:val="22"/>
        </w:rPr>
      </w:pPr>
      <w:r>
        <w:rPr>
          <w:rFonts w:hint="eastAsia" w:ascii="黑体" w:hAnsi="黑体" w:eastAsia="黑体" w:cs="黑体"/>
          <w:b/>
          <w:bCs/>
          <w:color w:val="FF0000"/>
        </w:rPr>
        <w:t>温馨提示</w:t>
      </w:r>
      <w:r>
        <w:rPr>
          <w:rFonts w:hint="eastAsia" w:ascii="黑体" w:hAnsi="黑体" w:eastAsia="黑体" w:cs="黑体"/>
          <w:color w:val="FF0000"/>
        </w:rPr>
        <w:t>：</w:t>
      </w:r>
      <w:r>
        <w:rPr>
          <w:rFonts w:hint="eastAsia"/>
          <w:color w:val="FF0000"/>
          <w:szCs w:val="21"/>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14:paraId="30AEBD49">
      <w:pPr>
        <w:numPr>
          <w:ilvl w:val="255"/>
          <w:numId w:val="0"/>
        </w:numPr>
        <w:rPr>
          <w:rFonts w:asciiTheme="minorEastAsia" w:hAnsiTheme="minorEastAsia" w:cstheme="minorEastAsia"/>
          <w:b/>
          <w:bCs/>
        </w:rPr>
      </w:pPr>
      <w:r>
        <w:rPr>
          <w:rFonts w:hint="eastAsia" w:asciiTheme="minorEastAsia" w:hAnsiTheme="minorEastAsia" w:cstheme="minorEastAsia"/>
          <w:b/>
          <w:bCs/>
        </w:rPr>
        <w:br w:type="page"/>
      </w:r>
    </w:p>
    <w:p w14:paraId="6CCB36B8">
      <w:pPr>
        <w:spacing w:line="420" w:lineRule="exact"/>
        <w:jc w:val="both"/>
        <w:rPr>
          <w:rFonts w:asciiTheme="minorEastAsia" w:hAnsiTheme="minorEastAsia" w:cstheme="minorEastAsia"/>
          <w:b/>
          <w:bCs/>
        </w:rPr>
      </w:pPr>
      <w:r>
        <w:rPr>
          <w:rFonts w:hint="eastAsia" w:asciiTheme="minorEastAsia" w:hAnsiTheme="minorEastAsia" w:cstheme="minorEastAsia"/>
          <w:b/>
          <w:bCs/>
        </w:rPr>
        <w:t>（四）法定代表人授权书格式（投标人代表为法定代表人的无需提供本格式）</w:t>
      </w:r>
    </w:p>
    <w:p w14:paraId="525E8B8A">
      <w:pPr>
        <w:spacing w:line="420" w:lineRule="exact"/>
        <w:jc w:val="center"/>
        <w:rPr>
          <w:rFonts w:asciiTheme="minorEastAsia" w:hAnsiTheme="minorEastAsia" w:cstheme="minorEastAsia"/>
          <w:b/>
          <w:sz w:val="32"/>
          <w:szCs w:val="32"/>
        </w:rPr>
      </w:pPr>
    </w:p>
    <w:p w14:paraId="17595993">
      <w:pPr>
        <w:spacing w:line="420" w:lineRule="exact"/>
        <w:jc w:val="center"/>
        <w:rPr>
          <w:rFonts w:asciiTheme="minorEastAsia" w:hAnsiTheme="minorEastAsia" w:cstheme="minorEastAsia"/>
          <w:b/>
          <w:sz w:val="32"/>
          <w:szCs w:val="32"/>
        </w:rPr>
      </w:pPr>
      <w:r>
        <w:rPr>
          <w:rFonts w:hint="eastAsia" w:asciiTheme="minorEastAsia" w:hAnsiTheme="minorEastAsia" w:cstheme="minorEastAsia"/>
          <w:b/>
          <w:sz w:val="32"/>
          <w:szCs w:val="32"/>
        </w:rPr>
        <w:t>法定代表人授权书</w:t>
      </w:r>
    </w:p>
    <w:p w14:paraId="6F0B05A4">
      <w:pPr>
        <w:spacing w:line="420" w:lineRule="exact"/>
        <w:jc w:val="center"/>
        <w:rPr>
          <w:rFonts w:asciiTheme="minorEastAsia" w:hAnsiTheme="minorEastAsia" w:cstheme="minorEastAsia"/>
          <w:sz w:val="21"/>
          <w:szCs w:val="21"/>
        </w:rPr>
      </w:pPr>
    </w:p>
    <w:p w14:paraId="5EE31871">
      <w:pPr>
        <w:tabs>
          <w:tab w:val="left" w:pos="426"/>
        </w:tabs>
        <w:autoSpaceDE w:val="0"/>
        <w:autoSpaceDN w:val="0"/>
        <w:adjustRightInd w:val="0"/>
        <w:spacing w:line="360" w:lineRule="auto"/>
        <w:ind w:firstLine="420"/>
        <w:rPr>
          <w:rFonts w:asciiTheme="minorEastAsia" w:hAnsiTheme="minorEastAsia" w:cstheme="minorEastAsia"/>
          <w:sz w:val="21"/>
          <w:szCs w:val="21"/>
        </w:rPr>
      </w:pPr>
      <w:r>
        <w:rPr>
          <w:rFonts w:hint="eastAsia" w:asciiTheme="minorEastAsia" w:hAnsiTheme="minorEastAsia" w:cstheme="minorEastAsia"/>
          <w:sz w:val="21"/>
          <w:szCs w:val="21"/>
          <w:lang w:val="zh-CN"/>
        </w:rPr>
        <w:t>本授权委托书声明：我</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（姓名）系</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（供应商名称）的法定代表人，现授权委托</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（姓名）</w:t>
      </w:r>
      <w:r>
        <w:rPr>
          <w:rFonts w:hint="eastAsia" w:asciiTheme="minorEastAsia" w:hAnsiTheme="minorEastAsia" w:cstheme="minorEastAsia"/>
          <w:sz w:val="21"/>
          <w:szCs w:val="21"/>
        </w:rPr>
        <w:t>为本公司的合法代理人，参加</w:t>
      </w:r>
      <w:r>
        <w:rPr>
          <w:rFonts w:hint="eastAsia" w:asciiTheme="minorEastAsia" w:hAnsiTheme="minorEastAsia" w:cstheme="minorEastAsia"/>
          <w:sz w:val="21"/>
          <w:szCs w:val="21"/>
          <w:u w:val="single"/>
        </w:rPr>
        <w:t xml:space="preserve">  （项目名称、项目编号）  </w:t>
      </w:r>
      <w:r>
        <w:rPr>
          <w:rFonts w:hint="eastAsia" w:asciiTheme="minorEastAsia" w:hAnsiTheme="minorEastAsia" w:cstheme="minorEastAsia"/>
          <w:sz w:val="21"/>
          <w:szCs w:val="21"/>
        </w:rPr>
        <w:t>的采购活动，以本公司名义处理与之有关的事务。</w:t>
      </w:r>
    </w:p>
    <w:p w14:paraId="1BE411F8">
      <w:pPr>
        <w:tabs>
          <w:tab w:val="left" w:pos="426"/>
        </w:tabs>
        <w:autoSpaceDE w:val="0"/>
        <w:autoSpaceDN w:val="0"/>
        <w:adjustRightInd w:val="0"/>
        <w:spacing w:line="360" w:lineRule="auto"/>
        <w:ind w:firstLine="420"/>
        <w:rPr>
          <w:rFonts w:asciiTheme="minorEastAsia" w:hAnsiTheme="minorEastAsia" w:cstheme="minorEastAsia"/>
          <w:sz w:val="21"/>
          <w:szCs w:val="21"/>
        </w:rPr>
      </w:pPr>
      <w:r>
        <w:rPr>
          <w:rFonts w:hint="eastAsia" w:asciiTheme="minorEastAsia" w:hAnsiTheme="minorEastAsia" w:cstheme="minorEastAsia"/>
          <w:sz w:val="21"/>
          <w:szCs w:val="21"/>
        </w:rPr>
        <w:t>本授权书于</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年</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月</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rPr>
        <w:t>日签字生效，</w:t>
      </w:r>
      <w:r>
        <w:rPr>
          <w:rFonts w:hint="eastAsia" w:asciiTheme="minorEastAsia" w:hAnsiTheme="minorEastAsia" w:cstheme="minorEastAsia"/>
          <w:sz w:val="21"/>
          <w:szCs w:val="21"/>
          <w:lang w:val="zh-CN"/>
        </w:rPr>
        <w:t>被授权人无转委托权，特此委托。</w:t>
      </w:r>
    </w:p>
    <w:p w14:paraId="5DCA1762">
      <w:pPr>
        <w:tabs>
          <w:tab w:val="left" w:pos="426"/>
        </w:tabs>
        <w:autoSpaceDE w:val="0"/>
        <w:autoSpaceDN w:val="0"/>
        <w:adjustRightInd w:val="0"/>
        <w:spacing w:before="240" w:beforeLines="100" w:line="360" w:lineRule="auto"/>
        <w:ind w:left="485" w:leftChars="202"/>
        <w:rPr>
          <w:rFonts w:asciiTheme="minorEastAsia" w:hAnsiTheme="minorEastAsia" w:cstheme="minorEastAsia"/>
          <w:sz w:val="21"/>
          <w:szCs w:val="21"/>
          <w:u w:val="single"/>
        </w:rPr>
      </w:pPr>
      <w:r>
        <w:rPr>
          <w:rFonts w:hint="eastAsia" w:asciiTheme="minorEastAsia" w:hAnsiTheme="minorEastAsia" w:cstheme="minorEastAsia"/>
          <w:sz w:val="21"/>
          <w:szCs w:val="21"/>
        </w:rPr>
        <w:t>被授权人姓名</w:t>
      </w:r>
      <w:r>
        <w:rPr>
          <w:rFonts w:hint="eastAsia" w:asciiTheme="minorEastAsia" w:hAnsiTheme="minorEastAsia" w:cstheme="minorEastAsia"/>
          <w:sz w:val="21"/>
          <w:szCs w:val="21"/>
          <w:lang w:val="zh-CN"/>
        </w:rPr>
        <w:t>：</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性别：</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年龄：</w:t>
      </w:r>
      <w:r>
        <w:rPr>
          <w:rFonts w:hint="eastAsia" w:asciiTheme="minorEastAsia" w:hAnsiTheme="minorEastAsia" w:cstheme="minorEastAsia"/>
          <w:sz w:val="21"/>
          <w:szCs w:val="21"/>
          <w:u w:val="single"/>
        </w:rPr>
        <w:t xml:space="preserve">            </w:t>
      </w:r>
    </w:p>
    <w:p w14:paraId="47CEEAB2">
      <w:pPr>
        <w:tabs>
          <w:tab w:val="left" w:pos="426"/>
        </w:tabs>
        <w:autoSpaceDE w:val="0"/>
        <w:autoSpaceDN w:val="0"/>
        <w:adjustRightInd w:val="0"/>
        <w:spacing w:line="360" w:lineRule="auto"/>
        <w:ind w:left="485" w:leftChars="202"/>
        <w:rPr>
          <w:rFonts w:asciiTheme="minorEastAsia" w:hAnsiTheme="minorEastAsia" w:cstheme="minorEastAsia"/>
          <w:sz w:val="21"/>
          <w:szCs w:val="21"/>
          <w:u w:val="single"/>
        </w:rPr>
      </w:pPr>
      <w:r>
        <w:rPr>
          <w:rFonts w:hint="eastAsia" w:asciiTheme="minorEastAsia" w:hAnsiTheme="minorEastAsia" w:cstheme="minorEastAsia"/>
          <w:sz w:val="21"/>
          <w:szCs w:val="21"/>
          <w:lang w:val="zh-CN"/>
        </w:rPr>
        <w:t>身份证号码：</w:t>
      </w:r>
      <w:r>
        <w:rPr>
          <w:rFonts w:hint="eastAsia" w:asciiTheme="minorEastAsia" w:hAnsiTheme="minorEastAsia" w:cstheme="minorEastAsia"/>
          <w:sz w:val="21"/>
          <w:szCs w:val="21"/>
          <w:u w:val="single"/>
        </w:rPr>
        <w:t xml:space="preserve">                                </w:t>
      </w:r>
      <w:r>
        <w:rPr>
          <w:rFonts w:hint="eastAsia" w:asciiTheme="minorEastAsia" w:hAnsiTheme="minorEastAsia" w:cstheme="minorEastAsia"/>
          <w:sz w:val="21"/>
          <w:szCs w:val="21"/>
          <w:lang w:val="zh-CN"/>
        </w:rPr>
        <w:t>职务：</w:t>
      </w:r>
      <w:r>
        <w:rPr>
          <w:rFonts w:hint="eastAsia" w:asciiTheme="minorEastAsia" w:hAnsiTheme="minorEastAsia" w:cstheme="minorEastAsia"/>
          <w:sz w:val="21"/>
          <w:szCs w:val="21"/>
          <w:u w:val="single"/>
        </w:rPr>
        <w:t xml:space="preserve">                  </w:t>
      </w:r>
    </w:p>
    <w:p w14:paraId="572A52D4">
      <w:pPr>
        <w:tabs>
          <w:tab w:val="left" w:pos="5580"/>
        </w:tabs>
        <w:spacing w:line="360" w:lineRule="auto"/>
        <w:ind w:left="485" w:leftChars="202"/>
        <w:rPr>
          <w:rFonts w:asciiTheme="minorEastAsia" w:hAnsiTheme="minorEastAsia" w:cstheme="minorEastAsia"/>
          <w:sz w:val="21"/>
          <w:szCs w:val="21"/>
          <w:u w:val="single"/>
        </w:rPr>
      </w:pPr>
      <w:r>
        <w:rPr>
          <w:rFonts w:hint="eastAsia" w:asciiTheme="minorEastAsia" w:hAnsiTheme="minorEastAsia" w:cstheme="minorEastAsia"/>
          <w:sz w:val="21"/>
          <w:szCs w:val="21"/>
        </w:rPr>
        <w:t>法定代表人（签字或盖章）：</w:t>
      </w:r>
      <w:r>
        <w:rPr>
          <w:rFonts w:hint="eastAsia" w:asciiTheme="minorEastAsia" w:hAnsiTheme="minorEastAsia" w:cstheme="minorEastAsia"/>
          <w:sz w:val="21"/>
          <w:szCs w:val="21"/>
          <w:u w:val="single"/>
        </w:rPr>
        <w:t xml:space="preserve">                            </w:t>
      </w:r>
    </w:p>
    <w:p w14:paraId="18E6BF1F">
      <w:pPr>
        <w:tabs>
          <w:tab w:val="left" w:pos="5580"/>
        </w:tabs>
        <w:spacing w:line="360" w:lineRule="auto"/>
        <w:ind w:left="485" w:leftChars="202"/>
        <w:rPr>
          <w:rFonts w:asciiTheme="minorEastAsia" w:hAnsiTheme="minorEastAsia" w:cstheme="minorEastAsia"/>
          <w:sz w:val="21"/>
          <w:szCs w:val="21"/>
          <w:u w:val="single"/>
        </w:rPr>
      </w:pPr>
      <w:r>
        <w:rPr>
          <w:rFonts w:hint="eastAsia" w:asciiTheme="minorEastAsia" w:hAnsiTheme="minorEastAsia" w:cstheme="minorEastAsia"/>
          <w:sz w:val="21"/>
          <w:szCs w:val="21"/>
        </w:rPr>
        <w:t>被授权人（签字）：</w:t>
      </w:r>
      <w:r>
        <w:rPr>
          <w:rFonts w:hint="eastAsia" w:asciiTheme="minorEastAsia" w:hAnsiTheme="minorEastAsia" w:cstheme="minorEastAsia"/>
          <w:sz w:val="21"/>
          <w:szCs w:val="21"/>
          <w:u w:val="single"/>
        </w:rPr>
        <w:t xml:space="preserve">                                    </w:t>
      </w:r>
    </w:p>
    <w:p w14:paraId="7E8D4C63">
      <w:pPr>
        <w:tabs>
          <w:tab w:val="left" w:pos="426"/>
        </w:tabs>
        <w:ind w:firstLine="420" w:firstLineChars="200"/>
        <w:rPr>
          <w:rFonts w:asciiTheme="minorEastAsia" w:hAnsiTheme="minorEastAsia" w:cstheme="minorEastAsia"/>
          <w:color w:val="000000"/>
          <w:sz w:val="21"/>
          <w:szCs w:val="21"/>
          <w:lang w:bidi="ar"/>
        </w:rPr>
      </w:pPr>
      <w:r>
        <w:rPr>
          <w:rFonts w:hint="eastAsia" w:asciiTheme="minorEastAsia" w:hAnsiTheme="minorEastAsia" w:cstheme="minorEastAsia"/>
          <w:sz w:val="21"/>
          <w:szCs w:val="21"/>
        </w:rPr>
        <w:t xml:space="preserve">供应商（公章）：  </w:t>
      </w:r>
    </w:p>
    <w:p w14:paraId="5A4F4286">
      <w:pPr>
        <w:autoSpaceDE w:val="0"/>
        <w:autoSpaceDN w:val="0"/>
        <w:spacing w:line="420" w:lineRule="exact"/>
        <w:ind w:right="893"/>
        <w:textAlignment w:val="bottom"/>
        <w:rPr>
          <w:rFonts w:asciiTheme="minorEastAsia" w:hAnsiTheme="minorEastAsia" w:cstheme="minorEastAsia"/>
          <w:sz w:val="21"/>
          <w:szCs w:val="21"/>
        </w:rPr>
      </w:pPr>
    </w:p>
    <w:p w14:paraId="4E7EE61A">
      <w:pPr>
        <w:autoSpaceDE w:val="0"/>
        <w:autoSpaceDN w:val="0"/>
        <w:spacing w:line="420" w:lineRule="exact"/>
        <w:ind w:right="890" w:firstLine="420" w:firstLineChars="200"/>
        <w:textAlignment w:val="bottom"/>
        <w:rPr>
          <w:rFonts w:asciiTheme="minorEastAsia" w:hAnsiTheme="minorEastAsia" w:cstheme="minorEastAsia"/>
          <w:sz w:val="21"/>
          <w:szCs w:val="21"/>
        </w:rPr>
      </w:pPr>
      <w:r>
        <w:rPr>
          <w:rFonts w:hint="eastAsia" w:asciiTheme="minorEastAsia" w:hAnsiTheme="minorEastAsia" w:cstheme="minorEastAsia"/>
          <w:sz w:val="21"/>
          <w:szCs w:val="21"/>
        </w:rPr>
        <w:t>附：被授权人身份证扫描件</w:t>
      </w:r>
    </w:p>
    <w:p w14:paraId="4046A821">
      <w:pPr>
        <w:keepNext/>
        <w:keepLines/>
        <w:spacing w:line="420" w:lineRule="exact"/>
        <w:rPr>
          <w:rFonts w:asciiTheme="minorEastAsia" w:hAnsiTheme="minorEastAsia" w:cstheme="minorEastAsia"/>
          <w:b/>
          <w:sz w:val="21"/>
          <w:szCs w:val="21"/>
        </w:rPr>
      </w:pPr>
      <w:r>
        <w:rPr>
          <w:rFonts w:hint="eastAsia" w:asciiTheme="minorEastAsia" w:hAnsiTheme="minorEastAsia" w:cstheme="minorEastAsia"/>
          <w:sz w:val="21"/>
          <w:szCs w:val="21"/>
        </w:rPr>
        <mc:AlternateContent>
          <mc:Choice Requires="wpg">
            <w:drawing>
              <wp:anchor distT="0" distB="0" distL="114300" distR="114300" simplePos="0" relativeHeight="251660288" behindDoc="0" locked="0" layoutInCell="1" allowOverlap="1">
                <wp:simplePos x="0" y="0"/>
                <wp:positionH relativeFrom="column">
                  <wp:posOffset>-419735</wp:posOffset>
                </wp:positionH>
                <wp:positionV relativeFrom="paragraph">
                  <wp:posOffset>281305</wp:posOffset>
                </wp:positionV>
                <wp:extent cx="5944235" cy="1590040"/>
                <wp:effectExtent l="4445" t="4445" r="13970" b="5715"/>
                <wp:wrapNone/>
                <wp:docPr id="10" name="组合 17"/>
                <wp:cNvGraphicFramePr/>
                <a:graphic xmlns:a="http://schemas.openxmlformats.org/drawingml/2006/main">
                  <a:graphicData uri="http://schemas.microsoft.com/office/word/2010/wordprocessingGroup">
                    <wpg:wgp>
                      <wpg:cNvGrpSpPr/>
                      <wpg:grpSpPr>
                        <a:xfrm>
                          <a:off x="0" y="0"/>
                          <a:ext cx="5944235" cy="1590040"/>
                          <a:chOff x="703" y="8450"/>
                          <a:chExt cx="9083" cy="2499"/>
                        </a:xfrm>
                        <a:effectLst/>
                      </wpg:grpSpPr>
                      <wps:wsp>
                        <wps:cNvPr id="11" name="矩形 3"/>
                        <wps:cNvSpPr/>
                        <wps:spPr>
                          <a:xfrm>
                            <a:off x="703" y="8450"/>
                            <a:ext cx="4594" cy="24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72366B9">
                              <w:pPr>
                                <w:jc w:val="center"/>
                              </w:pPr>
                              <w:r>
                                <w:rPr>
                                  <w:rFonts w:hint="eastAsia"/>
                                </w:rPr>
                                <w:t>居民身份证扫描件粘贴处</w:t>
                              </w:r>
                            </w:p>
                            <w:p w14:paraId="5CFD048B">
                              <w:pPr>
                                <w:ind w:firstLine="1200" w:firstLineChars="500"/>
                              </w:pPr>
                            </w:p>
                            <w:p w14:paraId="23F28D22">
                              <w:pPr>
                                <w:jc w:val="center"/>
                              </w:pPr>
                              <w:r>
                                <w:rPr>
                                  <w:rFonts w:hint="eastAsia"/>
                                </w:rPr>
                                <w:t>（人像面）</w:t>
                              </w:r>
                            </w:p>
                            <w:p w14:paraId="3463C4D3"/>
                          </w:txbxContent>
                        </wps:txbx>
                        <wps:bodyPr vert="horz" anchor="t" upright="1"/>
                      </wps:wsp>
                      <wps:wsp>
                        <wps:cNvPr id="12" name="矩形 4"/>
                        <wps:cNvSpPr/>
                        <wps:spPr>
                          <a:xfrm>
                            <a:off x="5505" y="8464"/>
                            <a:ext cx="4281" cy="248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1344E01">
                              <w:pPr>
                                <w:jc w:val="center"/>
                              </w:pPr>
                              <w:r>
                                <w:rPr>
                                  <w:rFonts w:hint="eastAsia"/>
                                </w:rPr>
                                <w:t>居民身份证扫描件粘贴处</w:t>
                              </w:r>
                            </w:p>
                            <w:p w14:paraId="241DF82F">
                              <w:pPr>
                                <w:ind w:firstLine="1200" w:firstLineChars="500"/>
                              </w:pPr>
                            </w:p>
                            <w:p w14:paraId="11108D91">
                              <w:pPr>
                                <w:jc w:val="center"/>
                              </w:pPr>
                              <w:r>
                                <w:rPr>
                                  <w:rFonts w:hint="eastAsia"/>
                                </w:rPr>
                                <w:t>（国徽面）</w:t>
                              </w:r>
                            </w:p>
                            <w:p w14:paraId="51C4DFEB"/>
                          </w:txbxContent>
                        </wps:txbx>
                        <wps:bodyPr vert="horz" anchor="t" upright="1"/>
                      </wps:wsp>
                    </wpg:wgp>
                  </a:graphicData>
                </a:graphic>
              </wp:anchor>
            </w:drawing>
          </mc:Choice>
          <mc:Fallback>
            <w:pict>
              <v:group id="组合 17" o:spid="_x0000_s1026" o:spt="203" style="position:absolute;left:0pt;margin-left:-33.05pt;margin-top:22.15pt;height:125.2pt;width:468.05pt;z-index:251660288;mso-width-relative:page;mso-height-relative:page;" coordorigin="703,8450" coordsize="9083,2499" o:gfxdata="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">
                <o:lock v:ext="edit" aspectratio="f"/>
                <v:rect id="矩形 3" o:spid="_x0000_s1026" o:spt="1" style="position:absolute;left:703;top:8450;height:2455;width:4594;" fillcolor="#FFFFFF" filled="t" stroked="t" coordsize="21600,21600" o:gfxdata="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6tC7C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072366B9">
                        <w:pPr>
                          <w:jc w:val="center"/>
                        </w:pPr>
                        <w:r>
                          <w:rPr>
                            <w:rFonts w:hint="eastAsia"/>
                          </w:rPr>
                          <w:t>居民身份证扫描件粘贴处</w:t>
                        </w:r>
                      </w:p>
                      <w:p w14:paraId="5CFD048B">
                        <w:pPr>
                          <w:ind w:firstLine="1200" w:firstLineChars="500"/>
                        </w:pPr>
                      </w:p>
                      <w:p w14:paraId="23F28D22">
                        <w:pPr>
                          <w:jc w:val="center"/>
                        </w:pPr>
                        <w:r>
                          <w:rPr>
                            <w:rFonts w:hint="eastAsia"/>
                          </w:rPr>
                          <w:t>（人像面）</w:t>
                        </w:r>
                      </w:p>
                      <w:p w14:paraId="3463C4D3"/>
                    </w:txbxContent>
                  </v:textbox>
                </v:rect>
                <v:rect id="矩形 4" o:spid="_x0000_s1026" o:spt="1" style="position:absolute;left:5505;top:8464;height:2485;width:4281;" fillcolor="#FFFFFF" filled="t" stroked="t" coordsize="21600,21600" o:gfxdata="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gIlf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71344E01">
                        <w:pPr>
                          <w:jc w:val="center"/>
                        </w:pPr>
                        <w:r>
                          <w:rPr>
                            <w:rFonts w:hint="eastAsia"/>
                          </w:rPr>
                          <w:t>居民身份证扫描件粘贴处</w:t>
                        </w:r>
                      </w:p>
                      <w:p w14:paraId="241DF82F">
                        <w:pPr>
                          <w:ind w:firstLine="1200" w:firstLineChars="500"/>
                        </w:pPr>
                      </w:p>
                      <w:p w14:paraId="11108D91">
                        <w:pPr>
                          <w:jc w:val="center"/>
                        </w:pPr>
                        <w:r>
                          <w:rPr>
                            <w:rFonts w:hint="eastAsia"/>
                          </w:rPr>
                          <w:t>（国徽面）</w:t>
                        </w:r>
                      </w:p>
                      <w:p w14:paraId="51C4DFEB"/>
                    </w:txbxContent>
                  </v:textbox>
                </v:rect>
              </v:group>
            </w:pict>
          </mc:Fallback>
        </mc:AlternateContent>
      </w:r>
    </w:p>
    <w:p w14:paraId="0F5C82B3">
      <w:pPr>
        <w:keepNext/>
        <w:keepLines/>
        <w:spacing w:line="420" w:lineRule="exact"/>
        <w:rPr>
          <w:rFonts w:asciiTheme="minorEastAsia" w:hAnsiTheme="minorEastAsia" w:cstheme="minorEastAsia"/>
          <w:b/>
          <w:sz w:val="21"/>
          <w:szCs w:val="21"/>
        </w:rPr>
      </w:pPr>
    </w:p>
    <w:p w14:paraId="05C28E7D">
      <w:pPr>
        <w:keepNext/>
        <w:keepLines/>
        <w:spacing w:line="420" w:lineRule="exact"/>
        <w:rPr>
          <w:rFonts w:asciiTheme="minorEastAsia" w:hAnsiTheme="minorEastAsia" w:cstheme="minorEastAsia"/>
          <w:b/>
          <w:sz w:val="21"/>
          <w:szCs w:val="21"/>
        </w:rPr>
      </w:pPr>
    </w:p>
    <w:p w14:paraId="37E57CBE">
      <w:pPr>
        <w:keepNext/>
        <w:keepLines/>
        <w:spacing w:line="420" w:lineRule="exact"/>
        <w:rPr>
          <w:rFonts w:asciiTheme="minorEastAsia" w:hAnsiTheme="minorEastAsia" w:cstheme="minorEastAsia"/>
          <w:b/>
          <w:sz w:val="21"/>
          <w:szCs w:val="21"/>
        </w:rPr>
      </w:pPr>
    </w:p>
    <w:p w14:paraId="0AC8D40A">
      <w:pPr>
        <w:keepNext/>
        <w:keepLines/>
        <w:spacing w:line="420" w:lineRule="exact"/>
        <w:rPr>
          <w:rFonts w:asciiTheme="minorEastAsia" w:hAnsiTheme="minorEastAsia" w:cstheme="minorEastAsia"/>
          <w:b/>
          <w:sz w:val="21"/>
          <w:szCs w:val="21"/>
        </w:rPr>
      </w:pPr>
    </w:p>
    <w:p w14:paraId="62223ACC">
      <w:pPr>
        <w:keepNext/>
        <w:keepLines/>
        <w:spacing w:line="420" w:lineRule="exact"/>
        <w:rPr>
          <w:rFonts w:asciiTheme="minorEastAsia" w:hAnsiTheme="minorEastAsia" w:cstheme="minorEastAsia"/>
          <w:b/>
          <w:sz w:val="21"/>
          <w:szCs w:val="21"/>
        </w:rPr>
      </w:pPr>
    </w:p>
    <w:p w14:paraId="4CCF393B">
      <w:pPr>
        <w:keepNext/>
        <w:keepLines/>
        <w:spacing w:line="420" w:lineRule="exact"/>
        <w:rPr>
          <w:rFonts w:asciiTheme="minorEastAsia" w:hAnsiTheme="minorEastAsia" w:cstheme="minorEastAsia"/>
          <w:b/>
          <w:sz w:val="21"/>
          <w:szCs w:val="21"/>
        </w:rPr>
      </w:pPr>
    </w:p>
    <w:p w14:paraId="26AF47F9">
      <w:pPr>
        <w:spacing w:line="420" w:lineRule="exact"/>
        <w:rPr>
          <w:rFonts w:asciiTheme="minorEastAsia" w:hAnsiTheme="minorEastAsia" w:cstheme="minorEastAsia"/>
          <w:b/>
          <w:bCs/>
          <w:sz w:val="21"/>
          <w:szCs w:val="21"/>
        </w:rPr>
      </w:pPr>
    </w:p>
    <w:p w14:paraId="402C9A84">
      <w:pPr>
        <w:spacing w:line="420" w:lineRule="exact"/>
        <w:rPr>
          <w:rFonts w:asciiTheme="minorEastAsia" w:hAnsiTheme="minorEastAsia" w:cstheme="minorEastAsia"/>
          <w:b/>
          <w:bCs/>
          <w:sz w:val="21"/>
          <w:szCs w:val="21"/>
        </w:rPr>
      </w:pPr>
    </w:p>
    <w:p w14:paraId="5B86EA0E">
      <w:pPr>
        <w:spacing w:line="240" w:lineRule="auto"/>
        <w:rPr>
          <w:rFonts w:asciiTheme="minorEastAsia" w:hAnsiTheme="minorEastAsia" w:cstheme="minorEastAsia"/>
          <w:b/>
          <w:bCs/>
          <w:color w:val="FF0000"/>
          <w:sz w:val="21"/>
          <w:szCs w:val="21"/>
        </w:rPr>
      </w:pPr>
      <w:r>
        <w:rPr>
          <w:rFonts w:hint="eastAsia" w:ascii="黑体" w:hAnsi="黑体" w:eastAsia="黑体" w:cs="黑体"/>
          <w:b/>
          <w:bCs/>
          <w:color w:val="FF0000"/>
        </w:rPr>
        <w:t>温馨提示</w:t>
      </w:r>
      <w:r>
        <w:rPr>
          <w:rFonts w:hint="eastAsia" w:ascii="黑体" w:hAnsi="黑体" w:eastAsia="黑体" w:cs="黑体"/>
          <w:color w:val="FF0000"/>
        </w:rPr>
        <w:t>：</w:t>
      </w:r>
      <w:r>
        <w:rPr>
          <w:rFonts w:hint="eastAsia"/>
          <w:color w:val="FF0000"/>
          <w:szCs w:val="21"/>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14:paraId="2B773A01">
      <w:pPr>
        <w:pStyle w:val="27"/>
        <w:rPr>
          <w:rFonts w:asciiTheme="minorEastAsia" w:hAnsiTheme="minorEastAsia" w:cstheme="minorEastAsia"/>
          <w:spacing w:val="0"/>
        </w:rPr>
      </w:pPr>
      <w:r>
        <w:rPr>
          <w:rFonts w:hint="eastAsia" w:asciiTheme="minorEastAsia" w:hAnsiTheme="minorEastAsia" w:cstheme="minorEastAsia"/>
          <w:b/>
          <w:sz w:val="21"/>
          <w:szCs w:val="21"/>
        </w:rPr>
        <w:br w:type="page"/>
      </w:r>
    </w:p>
    <w:p w14:paraId="13ABBBF1">
      <w:pPr>
        <w:rPr>
          <w:rFonts w:asciiTheme="minorEastAsia" w:hAnsiTheme="minorEastAsia" w:cstheme="minorEastAsia"/>
          <w:b/>
          <w:sz w:val="21"/>
          <w:szCs w:val="21"/>
        </w:rPr>
      </w:pPr>
      <w:r>
        <w:rPr>
          <w:rFonts w:hint="eastAsia" w:asciiTheme="minorEastAsia" w:hAnsiTheme="minorEastAsia" w:cstheme="minorEastAsia"/>
          <w:b/>
          <w:bCs/>
          <w:lang w:val="en-US" w:eastAsia="zh-CN"/>
        </w:rPr>
        <w:t>七</w:t>
      </w:r>
      <w:r>
        <w:rPr>
          <w:rFonts w:hint="eastAsia" w:asciiTheme="minorEastAsia" w:hAnsiTheme="minorEastAsia" w:cstheme="minorEastAsia"/>
          <w:b/>
          <w:bCs/>
        </w:rPr>
        <w:t>、实质性条款偏离表</w:t>
      </w:r>
    </w:p>
    <w:p w14:paraId="0DF3BD9B">
      <w:pPr>
        <w:pStyle w:val="7"/>
        <w:jc w:val="center"/>
        <w:rPr>
          <w:rFonts w:ascii="黑体" w:eastAsia="黑体"/>
          <w:b w:val="0"/>
          <w:sz w:val="24"/>
          <w:szCs w:val="24"/>
        </w:rPr>
      </w:pPr>
      <w:bookmarkStart w:id="32" w:name="_Hlk72092634"/>
      <w:r>
        <w:rPr>
          <w:rFonts w:hint="eastAsia" w:ascii="黑体" w:eastAsia="黑体"/>
          <w:b w:val="0"/>
          <w:sz w:val="24"/>
          <w:szCs w:val="24"/>
        </w:rPr>
        <w:t>实质性条款响应情况表</w:t>
      </w:r>
      <w:bookmarkEnd w:id="32"/>
    </w:p>
    <w:tbl>
      <w:tblPr>
        <w:tblStyle w:val="19"/>
        <w:tblW w:w="9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4523"/>
        <w:gridCol w:w="1749"/>
        <w:gridCol w:w="1334"/>
        <w:gridCol w:w="966"/>
      </w:tblGrid>
      <w:tr w14:paraId="286D9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14:paraId="25F6D011">
            <w:pPr>
              <w:adjustRightInd w:val="0"/>
              <w:snapToGrid w:val="0"/>
              <w:jc w:val="center"/>
              <w:rPr>
                <w:rFonts w:ascii="宋体" w:hAnsi="宋体"/>
                <w:color w:val="auto"/>
                <w:szCs w:val="21"/>
                <w:highlight w:val="none"/>
              </w:rPr>
            </w:pPr>
            <w:bookmarkStart w:id="33" w:name="_Hlk72092651"/>
            <w:r>
              <w:rPr>
                <w:rFonts w:hint="eastAsia" w:ascii="宋体" w:hAnsi="宋体"/>
                <w:color w:val="auto"/>
                <w:szCs w:val="21"/>
                <w:highlight w:val="none"/>
              </w:rPr>
              <w:t>序号</w:t>
            </w:r>
          </w:p>
        </w:tc>
        <w:tc>
          <w:tcPr>
            <w:tcW w:w="4523" w:type="dxa"/>
            <w:vAlign w:val="center"/>
          </w:tcPr>
          <w:p w14:paraId="12A31584">
            <w:pPr>
              <w:adjustRightInd w:val="0"/>
              <w:snapToGrid w:val="0"/>
              <w:jc w:val="center"/>
              <w:rPr>
                <w:rFonts w:ascii="宋体" w:hAnsi="宋体"/>
                <w:color w:val="auto"/>
                <w:szCs w:val="21"/>
                <w:highlight w:val="none"/>
              </w:rPr>
            </w:pPr>
            <w:r>
              <w:rPr>
                <w:rFonts w:hint="eastAsia" w:ascii="宋体" w:hAnsi="宋体"/>
                <w:color w:val="auto"/>
                <w:szCs w:val="21"/>
                <w:highlight w:val="none"/>
              </w:rPr>
              <w:t>实质性条款具体内容</w:t>
            </w:r>
          </w:p>
        </w:tc>
        <w:tc>
          <w:tcPr>
            <w:tcW w:w="1749" w:type="dxa"/>
            <w:vAlign w:val="center"/>
          </w:tcPr>
          <w:p w14:paraId="7C8E3941">
            <w:pPr>
              <w:adjustRightInd w:val="0"/>
              <w:snapToGrid w:val="0"/>
              <w:jc w:val="center"/>
              <w:rPr>
                <w:rFonts w:ascii="宋体" w:hAnsi="宋体"/>
                <w:color w:val="auto"/>
                <w:szCs w:val="21"/>
                <w:highlight w:val="none"/>
              </w:rPr>
            </w:pPr>
            <w:r>
              <w:rPr>
                <w:rFonts w:hint="eastAsia"/>
                <w:color w:val="auto"/>
                <w:highlight w:val="none"/>
              </w:rPr>
              <w:t>投标响应</w:t>
            </w:r>
          </w:p>
        </w:tc>
        <w:tc>
          <w:tcPr>
            <w:tcW w:w="1334" w:type="dxa"/>
            <w:vAlign w:val="center"/>
          </w:tcPr>
          <w:p w14:paraId="6A62189C">
            <w:pPr>
              <w:adjustRightInd w:val="0"/>
              <w:snapToGrid w:val="0"/>
              <w:jc w:val="center"/>
              <w:rPr>
                <w:rFonts w:ascii="宋体" w:hAnsi="宋体"/>
                <w:color w:val="auto"/>
                <w:szCs w:val="21"/>
                <w:highlight w:val="none"/>
              </w:rPr>
            </w:pPr>
            <w:r>
              <w:rPr>
                <w:rFonts w:hint="eastAsia"/>
                <w:color w:val="auto"/>
                <w:highlight w:val="none"/>
              </w:rPr>
              <w:t>偏离情况</w:t>
            </w:r>
          </w:p>
        </w:tc>
        <w:tc>
          <w:tcPr>
            <w:tcW w:w="966" w:type="dxa"/>
            <w:vAlign w:val="center"/>
          </w:tcPr>
          <w:p w14:paraId="7B45204F">
            <w:pPr>
              <w:adjustRightInd w:val="0"/>
              <w:snapToGrid w:val="0"/>
              <w:jc w:val="center"/>
              <w:rPr>
                <w:rFonts w:ascii="宋体" w:hAnsi="宋体"/>
                <w:color w:val="auto"/>
                <w:szCs w:val="21"/>
                <w:highlight w:val="none"/>
              </w:rPr>
            </w:pPr>
            <w:r>
              <w:rPr>
                <w:rFonts w:hint="eastAsia"/>
                <w:color w:val="auto"/>
                <w:highlight w:val="none"/>
              </w:rPr>
              <w:t>说明</w:t>
            </w:r>
          </w:p>
        </w:tc>
      </w:tr>
      <w:bookmarkEnd w:id="33"/>
      <w:tr w14:paraId="455E9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7A93D05F">
            <w:pPr>
              <w:adjustRightInd w:val="0"/>
              <w:snapToGrid w:val="0"/>
              <w:jc w:val="center"/>
              <w:rPr>
                <w:rFonts w:ascii="宋体" w:hAnsi="宋体"/>
                <w:color w:val="auto"/>
                <w:szCs w:val="21"/>
                <w:highlight w:val="none"/>
              </w:rPr>
            </w:pPr>
            <w:r>
              <w:rPr>
                <w:rFonts w:hint="eastAsia" w:ascii="宋体" w:hAnsi="宋体"/>
                <w:color w:val="auto"/>
                <w:szCs w:val="21"/>
                <w:highlight w:val="none"/>
              </w:rPr>
              <w:t>1</w:t>
            </w:r>
          </w:p>
        </w:tc>
        <w:tc>
          <w:tcPr>
            <w:tcW w:w="4523" w:type="dxa"/>
            <w:shd w:val="clear" w:color="auto" w:fill="auto"/>
            <w:vAlign w:val="center"/>
          </w:tcPr>
          <w:p w14:paraId="222A6F5D">
            <w:pPr>
              <w:keepNext w:val="0"/>
              <w:keepLines w:val="0"/>
              <w:suppressLineNumbers w:val="0"/>
              <w:adjustRightInd w:val="0"/>
              <w:snapToGrid w:val="0"/>
              <w:spacing w:before="0" w:beforeAutospacing="0" w:after="0" w:afterAutospacing="0" w:line="240" w:lineRule="auto"/>
              <w:ind w:left="0" w:leftChars="0" w:right="0" w:rightChars="0"/>
              <w:jc w:val="both"/>
              <w:rPr>
                <w:rFonts w:hint="default" w:eastAsiaTheme="minorEastAsia"/>
                <w:b/>
                <w:color w:val="auto"/>
                <w:szCs w:val="24"/>
                <w:highlight w:val="none"/>
                <w:lang w:val="en-US" w:eastAsia="zh-CN"/>
              </w:rPr>
            </w:pPr>
            <w:r>
              <w:rPr>
                <w:rFonts w:hint="eastAsia"/>
                <w:b/>
                <w:color w:val="auto"/>
                <w:szCs w:val="24"/>
                <w:highlight w:val="none"/>
                <w:lang w:val="en-US" w:eastAsia="zh-CN"/>
              </w:rPr>
              <w:t>四、技术要求</w:t>
            </w:r>
          </w:p>
          <w:p w14:paraId="78321EFC">
            <w:pPr>
              <w:keepNext w:val="0"/>
              <w:keepLines w:val="0"/>
              <w:suppressLineNumbers w:val="0"/>
              <w:adjustRightInd w:val="0"/>
              <w:snapToGrid w:val="0"/>
              <w:spacing w:before="0" w:beforeAutospacing="0" w:after="0" w:afterAutospacing="0" w:line="240" w:lineRule="auto"/>
              <w:ind w:left="0" w:leftChars="0" w:right="0" w:rightChars="0"/>
              <w:jc w:val="both"/>
              <w:rPr>
                <w:rFonts w:hint="default" w:ascii="宋体" w:hAnsi="宋体" w:cs="宋体" w:eastAsiaTheme="minorEastAsia"/>
                <w:color w:val="auto"/>
                <w:szCs w:val="24"/>
                <w:highlight w:val="none"/>
                <w:lang w:val="en-US" w:eastAsia="zh-CN"/>
              </w:rPr>
            </w:pPr>
            <w:r>
              <w:rPr>
                <w:rFonts w:hint="eastAsia"/>
                <w:b/>
                <w:color w:val="auto"/>
                <w:szCs w:val="24"/>
                <w:highlight w:val="none"/>
              </w:rPr>
              <w:t>★</w:t>
            </w:r>
            <w:r>
              <w:rPr>
                <w:rFonts w:hint="eastAsia"/>
                <w:color w:val="auto"/>
                <w:highlight w:val="none"/>
              </w:rPr>
              <w:t>第一节</w:t>
            </w:r>
            <w:r>
              <w:rPr>
                <w:color w:val="auto"/>
                <w:highlight w:val="none"/>
              </w:rPr>
              <w:t xml:space="preserve"> </w:t>
            </w:r>
            <w:r>
              <w:rPr>
                <w:rFonts w:hint="eastAsia"/>
                <w:color w:val="auto"/>
                <w:highlight w:val="none"/>
              </w:rPr>
              <w:t>总则</w:t>
            </w:r>
            <w:r>
              <w:rPr>
                <w:rFonts w:hint="eastAsia" w:hAnsi="宋体"/>
                <w:color w:val="auto"/>
                <w:kern w:val="0"/>
                <w:szCs w:val="24"/>
                <w:highlight w:val="none"/>
                <w:lang w:val="en-US" w:eastAsia="zh-CN"/>
              </w:rPr>
              <w:t xml:space="preserve"> </w:t>
            </w:r>
            <w:r>
              <w:rPr>
                <w:rFonts w:hint="eastAsia" w:hAnsi="宋体"/>
                <w:b/>
                <w:bCs/>
                <w:color w:val="auto"/>
                <w:kern w:val="0"/>
                <w:szCs w:val="24"/>
                <w:highlight w:val="none"/>
                <w:lang w:val="en-US" w:eastAsia="zh-CN"/>
              </w:rPr>
              <w:t>全部内容</w:t>
            </w:r>
          </w:p>
        </w:tc>
        <w:tc>
          <w:tcPr>
            <w:tcW w:w="1749" w:type="dxa"/>
            <w:shd w:val="clear" w:color="auto" w:fill="auto"/>
            <w:vAlign w:val="center"/>
          </w:tcPr>
          <w:p w14:paraId="3AC31EDC">
            <w:pPr>
              <w:jc w:val="center"/>
              <w:textAlignment w:val="top"/>
              <w:rPr>
                <w:rFonts w:ascii="宋体" w:hAnsi="宋体" w:eastAsia="宋体" w:cs="宋体"/>
                <w:color w:val="auto"/>
                <w:szCs w:val="21"/>
                <w:highlight w:val="none"/>
              </w:rPr>
            </w:pPr>
          </w:p>
        </w:tc>
        <w:tc>
          <w:tcPr>
            <w:tcW w:w="1334" w:type="dxa"/>
            <w:vAlign w:val="center"/>
          </w:tcPr>
          <w:p w14:paraId="110CBBFD">
            <w:pPr>
              <w:adjustRightInd w:val="0"/>
              <w:snapToGrid w:val="0"/>
              <w:jc w:val="center"/>
              <w:rPr>
                <w:rFonts w:ascii="宋体" w:hAnsi="宋体"/>
                <w:color w:val="auto"/>
                <w:szCs w:val="21"/>
                <w:highlight w:val="none"/>
              </w:rPr>
            </w:pPr>
          </w:p>
        </w:tc>
        <w:tc>
          <w:tcPr>
            <w:tcW w:w="966" w:type="dxa"/>
            <w:shd w:val="clear" w:color="auto" w:fill="auto"/>
            <w:vAlign w:val="center"/>
          </w:tcPr>
          <w:p w14:paraId="3496A17D">
            <w:pPr>
              <w:jc w:val="center"/>
              <w:rPr>
                <w:rFonts w:ascii="宋体" w:hAnsi="宋体" w:cs="宋体"/>
                <w:color w:val="auto"/>
                <w:sz w:val="22"/>
                <w:highlight w:val="none"/>
              </w:rPr>
            </w:pPr>
          </w:p>
        </w:tc>
      </w:tr>
      <w:tr w14:paraId="629FC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403FF534">
            <w:pPr>
              <w:adjustRightInd w:val="0"/>
              <w:snapToGrid w:val="0"/>
              <w:jc w:val="center"/>
              <w:rPr>
                <w:rFonts w:hint="eastAsia"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2</w:t>
            </w:r>
          </w:p>
        </w:tc>
        <w:tc>
          <w:tcPr>
            <w:tcW w:w="4523" w:type="dxa"/>
            <w:shd w:val="clear" w:color="auto" w:fill="auto"/>
            <w:vAlign w:val="center"/>
          </w:tcPr>
          <w:p w14:paraId="45821E7E">
            <w:pPr>
              <w:keepNext w:val="0"/>
              <w:keepLines w:val="0"/>
              <w:suppressLineNumbers w:val="0"/>
              <w:adjustRightInd w:val="0"/>
              <w:snapToGrid w:val="0"/>
              <w:spacing w:before="0" w:beforeAutospacing="0" w:after="0" w:afterAutospacing="0" w:line="240" w:lineRule="auto"/>
              <w:ind w:left="0" w:leftChars="0" w:right="0" w:rightChars="0"/>
              <w:jc w:val="both"/>
              <w:rPr>
                <w:rFonts w:ascii="宋体" w:hAnsi="宋体" w:eastAsia="宋体" w:cs="宋体"/>
                <w:color w:val="auto"/>
                <w:szCs w:val="24"/>
                <w:highlight w:val="none"/>
              </w:rPr>
            </w:pPr>
            <w:r>
              <w:rPr>
                <w:rFonts w:hint="eastAsia"/>
                <w:b/>
                <w:color w:val="auto"/>
                <w:szCs w:val="24"/>
                <w:highlight w:val="none"/>
              </w:rPr>
              <w:t>★</w:t>
            </w:r>
            <w:r>
              <w:rPr>
                <w:rFonts w:hint="eastAsia"/>
                <w:color w:val="auto"/>
                <w:highlight w:val="none"/>
              </w:rPr>
              <w:t xml:space="preserve">第二节 </w:t>
            </w:r>
            <w:r>
              <w:rPr>
                <w:rFonts w:hint="eastAsia"/>
                <w:color w:val="auto"/>
                <w:highlight w:val="none"/>
                <w:lang w:val="en-US" w:eastAsia="zh-CN"/>
              </w:rPr>
              <w:t>技术需求</w:t>
            </w:r>
            <w:r>
              <w:rPr>
                <w:rFonts w:hint="eastAsia"/>
                <w:color w:val="auto"/>
                <w:highlight w:val="none"/>
              </w:rPr>
              <w:t>说明</w:t>
            </w:r>
            <w:r>
              <w:rPr>
                <w:rFonts w:hint="eastAsia"/>
                <w:color w:val="auto"/>
                <w:highlight w:val="none"/>
                <w:lang w:val="en-US" w:eastAsia="zh-CN"/>
              </w:rPr>
              <w:t xml:space="preserve"> </w:t>
            </w:r>
            <w:r>
              <w:rPr>
                <w:rFonts w:hint="eastAsia"/>
                <w:b/>
                <w:bCs/>
                <w:color w:val="auto"/>
                <w:highlight w:val="none"/>
                <w:lang w:val="en-US" w:eastAsia="zh-CN"/>
              </w:rPr>
              <w:t>全部内容</w:t>
            </w:r>
          </w:p>
        </w:tc>
        <w:tc>
          <w:tcPr>
            <w:tcW w:w="1749" w:type="dxa"/>
            <w:shd w:val="clear" w:color="auto" w:fill="auto"/>
            <w:vAlign w:val="center"/>
          </w:tcPr>
          <w:p w14:paraId="477CE44B">
            <w:pPr>
              <w:jc w:val="center"/>
              <w:textAlignment w:val="top"/>
              <w:rPr>
                <w:rFonts w:ascii="宋体" w:hAnsi="宋体" w:eastAsia="宋体" w:cs="宋体"/>
                <w:color w:val="auto"/>
                <w:szCs w:val="21"/>
                <w:highlight w:val="none"/>
              </w:rPr>
            </w:pPr>
          </w:p>
        </w:tc>
        <w:tc>
          <w:tcPr>
            <w:tcW w:w="1334" w:type="dxa"/>
            <w:vAlign w:val="center"/>
          </w:tcPr>
          <w:p w14:paraId="08685EA3">
            <w:pPr>
              <w:adjustRightInd w:val="0"/>
              <w:snapToGrid w:val="0"/>
              <w:jc w:val="center"/>
              <w:rPr>
                <w:rFonts w:ascii="宋体" w:hAnsi="宋体"/>
                <w:color w:val="auto"/>
                <w:szCs w:val="21"/>
                <w:highlight w:val="none"/>
              </w:rPr>
            </w:pPr>
          </w:p>
        </w:tc>
        <w:tc>
          <w:tcPr>
            <w:tcW w:w="966" w:type="dxa"/>
            <w:shd w:val="clear" w:color="auto" w:fill="auto"/>
            <w:vAlign w:val="center"/>
          </w:tcPr>
          <w:p w14:paraId="2430105A">
            <w:pPr>
              <w:jc w:val="center"/>
              <w:rPr>
                <w:rFonts w:ascii="宋体" w:hAnsi="宋体" w:cs="宋体"/>
                <w:color w:val="auto"/>
                <w:sz w:val="22"/>
                <w:highlight w:val="none"/>
              </w:rPr>
            </w:pPr>
          </w:p>
        </w:tc>
      </w:tr>
      <w:tr w14:paraId="4609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1AA3530B">
            <w:pPr>
              <w:adjustRightInd w:val="0"/>
              <w:snapToGrid w:val="0"/>
              <w:jc w:val="center"/>
              <w:rPr>
                <w:rFonts w:hint="eastAsia"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3</w:t>
            </w:r>
          </w:p>
        </w:tc>
        <w:tc>
          <w:tcPr>
            <w:tcW w:w="4523" w:type="dxa"/>
            <w:shd w:val="clear" w:color="auto" w:fill="auto"/>
            <w:vAlign w:val="center"/>
          </w:tcPr>
          <w:p w14:paraId="0BA56472">
            <w:pPr>
              <w:pStyle w:val="5"/>
              <w:widowControl w:val="0"/>
              <w:adjustRightInd/>
              <w:snapToGrid/>
              <w:spacing w:line="240" w:lineRule="auto"/>
              <w:ind w:firstLine="0" w:firstLineChars="0"/>
              <w:jc w:val="both"/>
              <w:rPr>
                <w:rFonts w:hint="eastAsia" w:ascii="宋体" w:hAnsi="宋体" w:eastAsia="宋体" w:cs="宋体"/>
                <w:color w:val="auto"/>
                <w:szCs w:val="24"/>
                <w:highlight w:val="none"/>
              </w:rPr>
            </w:pPr>
            <w:r>
              <w:rPr>
                <w:rFonts w:hint="eastAsia" w:ascii="宋体" w:hAnsi="宋体" w:eastAsia="宋体" w:cs="宋体"/>
                <w:color w:val="auto"/>
                <w:szCs w:val="24"/>
                <w:highlight w:val="none"/>
              </w:rPr>
              <w:t>第三节 主要设备技术参数</w:t>
            </w:r>
          </w:p>
          <w:p w14:paraId="594751DB">
            <w:pPr>
              <w:pStyle w:val="5"/>
              <w:widowControl w:val="0"/>
              <w:spacing w:line="240" w:lineRule="auto"/>
              <w:ind w:firstLine="0" w:firstLineChars="0"/>
              <w:jc w:val="both"/>
              <w:rPr>
                <w:rFonts w:hint="eastAsia" w:ascii="宋体" w:hAnsi="宋体"/>
                <w:b/>
                <w:bCs/>
                <w:color w:val="auto"/>
                <w:sz w:val="24"/>
                <w:szCs w:val="24"/>
                <w:highlight w:val="none"/>
                <w:lang w:val="en-US" w:eastAsia="zh-CN"/>
              </w:rPr>
            </w:pPr>
            <w:r>
              <w:rPr>
                <w:rFonts w:hint="eastAsia" w:ascii="宋体" w:hAnsi="宋体"/>
                <w:b/>
                <w:bCs/>
                <w:color w:val="auto"/>
                <w:sz w:val="24"/>
                <w:szCs w:val="24"/>
                <w:highlight w:val="none"/>
                <w:lang w:val="en-US" w:eastAsia="zh-CN"/>
              </w:rPr>
              <w:t>4.CPU控制器</w:t>
            </w:r>
          </w:p>
          <w:p w14:paraId="29DACB63">
            <w:pPr>
              <w:pStyle w:val="5"/>
              <w:widowControl w:val="0"/>
              <w:ind w:firstLine="0" w:firstLineChars="0"/>
              <w:jc w:val="both"/>
              <w:rPr>
                <w:color w:val="auto"/>
                <w:highlight w:val="none"/>
              </w:rPr>
            </w:pPr>
            <w:r>
              <w:rPr>
                <w:rFonts w:hint="eastAsia"/>
                <w:color w:val="auto"/>
                <w:highlight w:val="none"/>
              </w:rPr>
              <w:t>★</w:t>
            </w:r>
            <w:r>
              <w:rPr>
                <w:rFonts w:hint="eastAsia"/>
                <w:color w:val="auto"/>
                <w:highlight w:val="none"/>
                <w:lang w:val="en-US" w:eastAsia="zh-CN"/>
              </w:rPr>
              <w:t>程序容量（储存器）：18 K。</w:t>
            </w:r>
            <w:r>
              <w:rPr>
                <w:rFonts w:hint="eastAsia"/>
                <w:b/>
                <w:bCs/>
                <w:color w:val="FF0000"/>
                <w:highlight w:val="none"/>
                <w:lang w:val="en-US" w:eastAsia="zh-CN"/>
              </w:rPr>
              <w:t>提供产品样册或官网截图等证明资料。</w:t>
            </w:r>
          </w:p>
        </w:tc>
        <w:tc>
          <w:tcPr>
            <w:tcW w:w="1749" w:type="dxa"/>
            <w:shd w:val="clear" w:color="auto" w:fill="auto"/>
            <w:vAlign w:val="center"/>
          </w:tcPr>
          <w:p w14:paraId="0A991969">
            <w:pPr>
              <w:jc w:val="center"/>
              <w:textAlignment w:val="top"/>
              <w:rPr>
                <w:rFonts w:ascii="宋体" w:hAnsi="宋体" w:eastAsia="宋体" w:cs="宋体"/>
                <w:color w:val="auto"/>
                <w:szCs w:val="21"/>
                <w:highlight w:val="none"/>
              </w:rPr>
            </w:pPr>
          </w:p>
        </w:tc>
        <w:tc>
          <w:tcPr>
            <w:tcW w:w="1334" w:type="dxa"/>
            <w:vAlign w:val="center"/>
          </w:tcPr>
          <w:p w14:paraId="6CF086E5">
            <w:pPr>
              <w:adjustRightInd w:val="0"/>
              <w:snapToGrid w:val="0"/>
              <w:jc w:val="center"/>
              <w:rPr>
                <w:rFonts w:ascii="宋体" w:hAnsi="宋体"/>
                <w:color w:val="auto"/>
                <w:szCs w:val="21"/>
                <w:highlight w:val="none"/>
              </w:rPr>
            </w:pPr>
          </w:p>
        </w:tc>
        <w:tc>
          <w:tcPr>
            <w:tcW w:w="966" w:type="dxa"/>
            <w:shd w:val="clear" w:color="auto" w:fill="auto"/>
            <w:vAlign w:val="center"/>
          </w:tcPr>
          <w:p w14:paraId="2E75B4EE">
            <w:pPr>
              <w:jc w:val="center"/>
              <w:rPr>
                <w:rFonts w:ascii="宋体" w:hAnsi="宋体" w:cs="宋体"/>
                <w:color w:val="auto"/>
                <w:sz w:val="22"/>
                <w:highlight w:val="none"/>
              </w:rPr>
            </w:pPr>
          </w:p>
        </w:tc>
      </w:tr>
      <w:tr w14:paraId="2A01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322D2927">
            <w:pPr>
              <w:adjustRightInd w:val="0"/>
              <w:snapToGrid w:val="0"/>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4</w:t>
            </w:r>
          </w:p>
        </w:tc>
        <w:tc>
          <w:tcPr>
            <w:tcW w:w="4523" w:type="dxa"/>
            <w:shd w:val="clear" w:color="auto" w:fill="auto"/>
            <w:vAlign w:val="center"/>
          </w:tcPr>
          <w:p w14:paraId="43889FD0">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b/>
                <w:color w:val="auto"/>
                <w:szCs w:val="24"/>
                <w:highlight w:val="none"/>
              </w:rPr>
            </w:pPr>
            <w:r>
              <w:rPr>
                <w:rFonts w:hint="eastAsia" w:ascii="宋体" w:hAnsi="宋体"/>
                <w:b/>
                <w:bCs/>
                <w:color w:val="auto"/>
                <w:sz w:val="24"/>
                <w:szCs w:val="24"/>
                <w:highlight w:val="none"/>
                <w:lang w:val="en-US" w:eastAsia="zh-CN"/>
              </w:rPr>
              <w:t>6.</w:t>
            </w:r>
            <w:r>
              <w:rPr>
                <w:rFonts w:hint="eastAsia" w:ascii="宋体" w:hAnsi="宋体"/>
                <w:b/>
                <w:bCs/>
                <w:color w:val="auto"/>
                <w:sz w:val="24"/>
                <w:szCs w:val="24"/>
                <w:highlight w:val="none"/>
                <w:lang w:eastAsia="zh-CN"/>
              </w:rPr>
              <w:t>温湿度传感器</w:t>
            </w:r>
          </w:p>
          <w:p w14:paraId="373D8161">
            <w:pPr>
              <w:pStyle w:val="5"/>
              <w:widowControl w:val="0"/>
              <w:ind w:firstLine="0" w:firstLineChars="0"/>
              <w:rPr>
                <w:color w:val="auto"/>
                <w:highlight w:val="none"/>
              </w:rPr>
            </w:pPr>
            <w:r>
              <w:rPr>
                <w:rFonts w:hint="eastAsia"/>
                <w:b/>
                <w:color w:val="auto"/>
                <w:szCs w:val="24"/>
                <w:highlight w:val="none"/>
              </w:rPr>
              <w:t>★</w:t>
            </w:r>
            <w:r>
              <w:rPr>
                <w:rFonts w:hint="eastAsia" w:ascii="宋体" w:hAnsi="宋体"/>
                <w:color w:val="auto"/>
                <w:sz w:val="24"/>
                <w:szCs w:val="24"/>
                <w:highlight w:val="none"/>
                <w:lang w:eastAsia="zh-CN"/>
              </w:rPr>
              <w:t>适用范围</w:t>
            </w:r>
            <w:r>
              <w:rPr>
                <w:rFonts w:hint="eastAsia" w:ascii="宋体" w:hAnsi="宋体"/>
                <w:color w:val="auto"/>
                <w:sz w:val="24"/>
                <w:szCs w:val="24"/>
                <w:highlight w:val="none"/>
              </w:rPr>
              <w:t>：-5℃~+5</w:t>
            </w:r>
            <w:r>
              <w:rPr>
                <w:rFonts w:hint="eastAsia" w:ascii="宋体" w:hAnsi="宋体"/>
                <w:color w:val="auto"/>
                <w:sz w:val="24"/>
                <w:szCs w:val="24"/>
                <w:highlight w:val="none"/>
                <w:lang w:val="en-US" w:eastAsia="zh-CN"/>
              </w:rPr>
              <w:t>5</w:t>
            </w:r>
            <w:r>
              <w:rPr>
                <w:rFonts w:hint="eastAsia" w:ascii="宋体" w:hAnsi="宋体"/>
                <w:color w:val="auto"/>
                <w:sz w:val="24"/>
                <w:szCs w:val="24"/>
                <w:highlight w:val="none"/>
              </w:rPr>
              <w:t>℃/</w:t>
            </w:r>
            <w:r>
              <w:rPr>
                <w:rFonts w:hint="eastAsia" w:ascii="宋体" w:hAnsi="宋体"/>
                <w:color w:val="auto"/>
                <w:sz w:val="24"/>
                <w:szCs w:val="24"/>
                <w:highlight w:val="none"/>
                <w:lang w:eastAsia="zh-CN"/>
              </w:rPr>
              <w:t>0～95％</w:t>
            </w:r>
            <w:r>
              <w:rPr>
                <w:rFonts w:hint="eastAsia" w:ascii="宋体" w:hAnsi="宋体"/>
                <w:color w:val="auto"/>
                <w:sz w:val="24"/>
                <w:szCs w:val="24"/>
                <w:highlight w:val="none"/>
              </w:rPr>
              <w:t>相对湿度</w:t>
            </w:r>
          </w:p>
        </w:tc>
        <w:tc>
          <w:tcPr>
            <w:tcW w:w="1749" w:type="dxa"/>
            <w:shd w:val="clear" w:color="auto" w:fill="auto"/>
            <w:vAlign w:val="center"/>
          </w:tcPr>
          <w:p w14:paraId="2A92F23D">
            <w:pPr>
              <w:jc w:val="center"/>
              <w:textAlignment w:val="top"/>
              <w:rPr>
                <w:rFonts w:ascii="宋体" w:hAnsi="宋体" w:eastAsia="宋体" w:cs="宋体"/>
                <w:color w:val="auto"/>
                <w:szCs w:val="21"/>
                <w:highlight w:val="none"/>
              </w:rPr>
            </w:pPr>
          </w:p>
        </w:tc>
        <w:tc>
          <w:tcPr>
            <w:tcW w:w="1334" w:type="dxa"/>
            <w:vAlign w:val="center"/>
          </w:tcPr>
          <w:p w14:paraId="7B2DA8EB">
            <w:pPr>
              <w:adjustRightInd w:val="0"/>
              <w:snapToGrid w:val="0"/>
              <w:jc w:val="center"/>
              <w:rPr>
                <w:rFonts w:ascii="宋体" w:hAnsi="宋体"/>
                <w:color w:val="auto"/>
                <w:szCs w:val="21"/>
                <w:highlight w:val="none"/>
              </w:rPr>
            </w:pPr>
          </w:p>
        </w:tc>
        <w:tc>
          <w:tcPr>
            <w:tcW w:w="966" w:type="dxa"/>
            <w:shd w:val="clear" w:color="auto" w:fill="auto"/>
            <w:vAlign w:val="center"/>
          </w:tcPr>
          <w:p w14:paraId="1674E5BF">
            <w:pPr>
              <w:jc w:val="center"/>
              <w:rPr>
                <w:rFonts w:ascii="宋体" w:hAnsi="宋体" w:cs="宋体"/>
                <w:color w:val="auto"/>
                <w:sz w:val="22"/>
                <w:highlight w:val="none"/>
              </w:rPr>
            </w:pPr>
          </w:p>
        </w:tc>
      </w:tr>
      <w:tr w14:paraId="14EF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7EDD9612">
            <w:pPr>
              <w:adjustRightInd w:val="0"/>
              <w:snapToGrid w:val="0"/>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5</w:t>
            </w:r>
          </w:p>
        </w:tc>
        <w:tc>
          <w:tcPr>
            <w:tcW w:w="4523" w:type="dxa"/>
            <w:shd w:val="clear" w:color="auto" w:fill="auto"/>
            <w:vAlign w:val="center"/>
          </w:tcPr>
          <w:p w14:paraId="765C1384">
            <w:pPr>
              <w:pStyle w:val="5"/>
              <w:widowControl w:val="0"/>
              <w:ind w:firstLine="0" w:firstLineChars="0"/>
              <w:rPr>
                <w:rFonts w:hint="eastAsia" w:ascii="宋体" w:hAnsi="宋体" w:eastAsia="宋体" w:cs="宋体"/>
                <w:b/>
                <w:bCs w:val="0"/>
                <w:color w:val="auto"/>
                <w:sz w:val="24"/>
                <w:szCs w:val="24"/>
                <w:highlight w:val="none"/>
              </w:rPr>
            </w:pPr>
            <w:r>
              <w:rPr>
                <w:rFonts w:hint="eastAsia" w:ascii="宋体" w:hAnsi="宋体" w:eastAsia="宋体" w:cs="宋体"/>
                <w:b/>
                <w:bCs w:val="0"/>
                <w:color w:val="auto"/>
                <w:sz w:val="24"/>
                <w:szCs w:val="24"/>
                <w:highlight w:val="none"/>
              </w:rPr>
              <w:t>★</w:t>
            </w:r>
            <w:r>
              <w:rPr>
                <w:rFonts w:hint="eastAsia" w:ascii="宋体" w:hAnsi="宋体" w:eastAsia="宋体" w:cs="宋体"/>
                <w:b/>
                <w:bCs w:val="0"/>
                <w:color w:val="auto"/>
                <w:kern w:val="0"/>
                <w:sz w:val="24"/>
                <w:szCs w:val="24"/>
                <w:highlight w:val="none"/>
                <w:lang w:val="en-US" w:eastAsia="zh-CN" w:bidi="ar"/>
              </w:rPr>
              <w:t>4、履约时间：</w:t>
            </w:r>
            <w:r>
              <w:rPr>
                <w:rFonts w:hint="eastAsia" w:ascii="宋体" w:hAnsi="宋体" w:eastAsia="宋体" w:cs="宋体"/>
                <w:color w:val="auto"/>
                <w:kern w:val="0"/>
                <w:sz w:val="24"/>
                <w:szCs w:val="24"/>
                <w:highlight w:val="none"/>
                <w:lang w:val="en-US" w:eastAsia="zh-CN" w:bidi="ar"/>
              </w:rPr>
              <w:t>合同签订后60日历天内完成整个工程的工程量并且合格。每逾期1天，承担1000元/天的违约金。</w:t>
            </w:r>
          </w:p>
        </w:tc>
        <w:tc>
          <w:tcPr>
            <w:tcW w:w="1749" w:type="dxa"/>
            <w:shd w:val="clear" w:color="auto" w:fill="auto"/>
            <w:vAlign w:val="center"/>
          </w:tcPr>
          <w:p w14:paraId="0FF68621">
            <w:pPr>
              <w:jc w:val="center"/>
              <w:textAlignment w:val="top"/>
              <w:rPr>
                <w:rFonts w:ascii="宋体" w:hAnsi="宋体" w:eastAsia="宋体" w:cs="宋体"/>
                <w:color w:val="auto"/>
                <w:szCs w:val="21"/>
                <w:highlight w:val="none"/>
              </w:rPr>
            </w:pPr>
          </w:p>
        </w:tc>
        <w:tc>
          <w:tcPr>
            <w:tcW w:w="1334" w:type="dxa"/>
            <w:vAlign w:val="center"/>
          </w:tcPr>
          <w:p w14:paraId="6DD6E078">
            <w:pPr>
              <w:adjustRightInd w:val="0"/>
              <w:snapToGrid w:val="0"/>
              <w:jc w:val="center"/>
              <w:rPr>
                <w:rFonts w:ascii="宋体" w:hAnsi="宋体"/>
                <w:color w:val="auto"/>
                <w:szCs w:val="21"/>
                <w:highlight w:val="none"/>
              </w:rPr>
            </w:pPr>
          </w:p>
        </w:tc>
        <w:tc>
          <w:tcPr>
            <w:tcW w:w="966" w:type="dxa"/>
            <w:shd w:val="clear" w:color="auto" w:fill="auto"/>
            <w:vAlign w:val="center"/>
          </w:tcPr>
          <w:p w14:paraId="02692DB4">
            <w:pPr>
              <w:jc w:val="center"/>
              <w:rPr>
                <w:rFonts w:ascii="宋体" w:hAnsi="宋体" w:cs="宋体"/>
                <w:color w:val="auto"/>
                <w:sz w:val="22"/>
                <w:highlight w:val="none"/>
              </w:rPr>
            </w:pPr>
          </w:p>
        </w:tc>
      </w:tr>
      <w:tr w14:paraId="36465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3D23EDC5">
            <w:pPr>
              <w:adjustRightInd w:val="0"/>
              <w:snapToGrid w:val="0"/>
              <w:jc w:val="center"/>
              <w:rPr>
                <w:rFonts w:hint="default" w:ascii="宋体" w:hAnsi="宋体"/>
                <w:color w:val="auto"/>
                <w:szCs w:val="21"/>
                <w:highlight w:val="none"/>
                <w:lang w:val="en-US" w:eastAsia="zh-CN"/>
              </w:rPr>
            </w:pPr>
            <w:r>
              <w:rPr>
                <w:rFonts w:hint="eastAsia" w:ascii="宋体" w:hAnsi="宋体"/>
                <w:color w:val="auto"/>
                <w:szCs w:val="21"/>
                <w:highlight w:val="none"/>
                <w:lang w:val="en-US" w:eastAsia="zh-CN"/>
              </w:rPr>
              <w:t>6</w:t>
            </w:r>
          </w:p>
        </w:tc>
        <w:tc>
          <w:tcPr>
            <w:tcW w:w="4523" w:type="dxa"/>
            <w:shd w:val="clear" w:color="auto" w:fill="auto"/>
            <w:vAlign w:val="center"/>
          </w:tcPr>
          <w:p w14:paraId="1E3E948D">
            <w:pPr>
              <w:widowControl/>
              <w:rPr>
                <w:rFonts w:hint="eastAsia" w:ascii="宋体" w:hAnsi="宋体" w:eastAsia="宋体" w:cs="宋体"/>
                <w:b/>
                <w:bCs w:val="0"/>
                <w:color w:val="auto"/>
                <w:sz w:val="24"/>
                <w:szCs w:val="24"/>
                <w:highlight w:val="none"/>
              </w:rPr>
            </w:pPr>
            <w:r>
              <w:rPr>
                <w:rFonts w:hint="eastAsia" w:ascii="宋体" w:hAnsi="宋体" w:eastAsia="宋体" w:cs="宋体"/>
                <w:b w:val="0"/>
                <w:bCs/>
                <w:color w:val="auto"/>
                <w:sz w:val="24"/>
                <w:szCs w:val="24"/>
                <w:highlight w:val="none"/>
              </w:rPr>
              <w:t>★</w:t>
            </w:r>
            <w:r>
              <w:rPr>
                <w:rFonts w:hint="eastAsia" w:ascii="宋体" w:hAnsi="宋体" w:eastAsia="宋体" w:cs="宋体"/>
                <w:bCs/>
                <w:color w:val="auto"/>
                <w:kern w:val="0"/>
                <w:sz w:val="24"/>
                <w:szCs w:val="24"/>
                <w:highlight w:val="none"/>
                <w:lang w:val="en-US" w:eastAsia="zh-CN" w:bidi="ar"/>
              </w:rPr>
              <w:t>8、质保期：2年。</w:t>
            </w:r>
          </w:p>
        </w:tc>
        <w:tc>
          <w:tcPr>
            <w:tcW w:w="1749" w:type="dxa"/>
            <w:shd w:val="clear" w:color="auto" w:fill="auto"/>
            <w:vAlign w:val="center"/>
          </w:tcPr>
          <w:p w14:paraId="5DCC71AA">
            <w:pPr>
              <w:jc w:val="center"/>
              <w:textAlignment w:val="top"/>
              <w:rPr>
                <w:rFonts w:ascii="宋体" w:hAnsi="宋体" w:eastAsia="宋体" w:cs="宋体"/>
                <w:color w:val="auto"/>
                <w:szCs w:val="21"/>
                <w:highlight w:val="none"/>
              </w:rPr>
            </w:pPr>
          </w:p>
        </w:tc>
        <w:tc>
          <w:tcPr>
            <w:tcW w:w="1334" w:type="dxa"/>
            <w:vAlign w:val="center"/>
          </w:tcPr>
          <w:p w14:paraId="5FCE351F">
            <w:pPr>
              <w:adjustRightInd w:val="0"/>
              <w:snapToGrid w:val="0"/>
              <w:jc w:val="center"/>
              <w:rPr>
                <w:rFonts w:ascii="宋体" w:hAnsi="宋体"/>
                <w:color w:val="auto"/>
                <w:szCs w:val="21"/>
                <w:highlight w:val="none"/>
              </w:rPr>
            </w:pPr>
          </w:p>
        </w:tc>
        <w:tc>
          <w:tcPr>
            <w:tcW w:w="966" w:type="dxa"/>
            <w:shd w:val="clear" w:color="auto" w:fill="auto"/>
            <w:vAlign w:val="center"/>
          </w:tcPr>
          <w:p w14:paraId="13AD3192">
            <w:pPr>
              <w:jc w:val="center"/>
              <w:rPr>
                <w:rFonts w:ascii="宋体" w:hAnsi="宋体" w:cs="宋体"/>
                <w:color w:val="auto"/>
                <w:sz w:val="22"/>
                <w:highlight w:val="none"/>
              </w:rPr>
            </w:pPr>
          </w:p>
        </w:tc>
      </w:tr>
    </w:tbl>
    <w:p w14:paraId="37EF6AB6">
      <w:pPr>
        <w:ind w:firstLine="482" w:firstLineChars="200"/>
        <w:rPr>
          <w:b/>
          <w:szCs w:val="22"/>
        </w:rPr>
      </w:pPr>
    </w:p>
    <w:p w14:paraId="38D05C0D">
      <w:pPr>
        <w:ind w:firstLine="482" w:firstLineChars="200"/>
        <w:rPr>
          <w:b/>
          <w:szCs w:val="22"/>
        </w:rPr>
      </w:pPr>
      <w:r>
        <w:rPr>
          <w:rFonts w:hint="eastAsia"/>
          <w:b/>
          <w:szCs w:val="22"/>
        </w:rPr>
        <w:t>注：1.上表所列各项均为不可负偏离条款。</w:t>
      </w:r>
    </w:p>
    <w:p w14:paraId="24444D56">
      <w:pPr>
        <w:ind w:firstLine="482" w:firstLineChars="200"/>
        <w:rPr>
          <w:b/>
          <w:szCs w:val="22"/>
        </w:rPr>
      </w:pPr>
      <w:r>
        <w:rPr>
          <w:rFonts w:hint="eastAsia"/>
          <w:b/>
          <w:szCs w:val="22"/>
        </w:rPr>
        <w:t>2.“投标响应”一栏应当详细填写投标人自身响应情况，而不能不合理照搬照抄招实质性条款具体内容。</w:t>
      </w:r>
    </w:p>
    <w:p w14:paraId="20A654DB">
      <w:pPr>
        <w:ind w:firstLine="482" w:firstLineChars="200"/>
        <w:rPr>
          <w:b/>
          <w:szCs w:val="22"/>
        </w:rPr>
      </w:pPr>
      <w:r>
        <w:rPr>
          <w:rFonts w:hint="eastAsia"/>
          <w:b/>
          <w:szCs w:val="22"/>
        </w:rPr>
        <w:t>3</w:t>
      </w:r>
      <w:r>
        <w:rPr>
          <w:b/>
          <w:szCs w:val="22"/>
        </w:rPr>
        <w:t>.</w:t>
      </w:r>
      <w:r>
        <w:rPr>
          <w:rFonts w:hint="eastAsia"/>
          <w:b/>
          <w:szCs w:val="22"/>
        </w:rPr>
        <w:t>“偏离情况”一栏应填写“正偏离”、“负偏离”或“无偏离”，</w:t>
      </w:r>
      <w:r>
        <w:rPr>
          <w:rFonts w:hint="eastAsia"/>
          <w:b/>
        </w:rPr>
        <w:t>“正偏离”表示“投标响应优于实质性条款具体内容要求”，“负偏离”表示“投标响应不满足实质性条款具体内容要求”，“无偏离”表示“投标响应与实质性条款具体内容要求一致”。</w:t>
      </w:r>
    </w:p>
    <w:p w14:paraId="066FBFF0">
      <w:pPr>
        <w:ind w:firstLine="482" w:firstLineChars="200"/>
        <w:rPr>
          <w:b/>
        </w:rPr>
      </w:pPr>
      <w:r>
        <w:rPr>
          <w:b/>
        </w:rPr>
        <w:t>4.</w:t>
      </w:r>
      <w:r>
        <w:rPr>
          <w:rFonts w:hint="eastAsia"/>
          <w:b/>
        </w:rPr>
        <w:t>评审委员会有权对投标响应情况作出判断（作出评审结论）。</w:t>
      </w:r>
    </w:p>
    <w:p w14:paraId="3D761311">
      <w:pPr>
        <w:ind w:firstLine="482" w:firstLineChars="200"/>
        <w:rPr>
          <w:b/>
          <w:szCs w:val="22"/>
        </w:rPr>
      </w:pPr>
      <w:r>
        <w:rPr>
          <w:b/>
          <w:szCs w:val="22"/>
        </w:rPr>
        <w:t>5</w:t>
      </w:r>
      <w:r>
        <w:rPr>
          <w:rFonts w:hint="eastAsia"/>
          <w:b/>
          <w:szCs w:val="22"/>
        </w:rPr>
        <w:t>.实质性响应条款“投标响应情况”与投标文件其它内容冲突的，以实质性响应条款“投标响应情况”为准。</w:t>
      </w:r>
    </w:p>
    <w:p w14:paraId="776D5529">
      <w:pPr>
        <w:spacing w:line="360" w:lineRule="exact"/>
        <w:ind w:firstLine="482" w:firstLineChars="200"/>
        <w:jc w:val="both"/>
        <w:rPr>
          <w:rFonts w:asciiTheme="minorEastAsia" w:hAnsiTheme="minorEastAsia" w:cstheme="minorEastAsia"/>
          <w:b/>
          <w:color w:val="FF0000"/>
          <w:sz w:val="21"/>
          <w:szCs w:val="21"/>
        </w:rPr>
      </w:pPr>
      <w:r>
        <w:rPr>
          <w:rFonts w:hint="eastAsia"/>
          <w:b/>
          <w:color w:val="FF0000"/>
          <w:szCs w:val="22"/>
        </w:rPr>
        <w:t>6.要求提供证明资料，在“说明”一栏中列明证明资料的位置,以便评审；未要求提供证明材料的，投标人可以不提供。</w:t>
      </w:r>
    </w:p>
    <w:p w14:paraId="660F254F">
      <w:pPr>
        <w:spacing w:line="420" w:lineRule="exact"/>
        <w:outlineLvl w:val="3"/>
        <w:rPr>
          <w:rFonts w:asciiTheme="minorEastAsia" w:hAnsiTheme="minorEastAsia" w:cstheme="minorEastAsia"/>
          <w:b/>
          <w:bCs/>
        </w:rPr>
        <w:sectPr>
          <w:headerReference r:id="rId3" w:type="default"/>
          <w:pgSz w:w="11906" w:h="16838"/>
          <w:pgMar w:top="2098" w:right="1474" w:bottom="1984" w:left="1587" w:header="720" w:footer="720" w:gutter="0"/>
          <w:pgBorders>
            <w:top w:val="none" w:sz="0" w:space="0"/>
            <w:left w:val="none" w:sz="0" w:space="0"/>
            <w:bottom w:val="none" w:sz="0" w:space="0"/>
            <w:right w:val="none" w:sz="0" w:space="0"/>
          </w:pgBorders>
          <w:cols w:space="720" w:num="1"/>
        </w:sectPr>
      </w:pPr>
    </w:p>
    <w:p w14:paraId="41F42B26">
      <w:pPr>
        <w:rPr>
          <w:rFonts w:asciiTheme="minorEastAsia" w:hAnsiTheme="minorEastAsia" w:cstheme="minorEastAsia"/>
          <w:b/>
        </w:rPr>
      </w:pPr>
      <w:r>
        <w:rPr>
          <w:rFonts w:hint="eastAsia" w:asciiTheme="minorEastAsia" w:hAnsiTheme="minorEastAsia" w:cstheme="minorEastAsia"/>
          <w:b/>
          <w:lang w:val="en-US" w:eastAsia="zh-CN"/>
        </w:rPr>
        <w:t>八</w:t>
      </w:r>
      <w:r>
        <w:rPr>
          <w:rFonts w:hint="eastAsia" w:asciiTheme="minorEastAsia" w:hAnsiTheme="minorEastAsia" w:cstheme="minorEastAsia"/>
          <w:b/>
        </w:rPr>
        <w:t>、项目报价表</w:t>
      </w:r>
    </w:p>
    <w:p w14:paraId="0397E485">
      <w:pPr>
        <w:tabs>
          <w:tab w:val="left" w:pos="720"/>
        </w:tabs>
        <w:ind w:firstLine="2741" w:firstLineChars="1300"/>
        <w:rPr>
          <w:rFonts w:asciiTheme="minorEastAsia" w:hAnsiTheme="minorEastAsia" w:cstheme="minorEastAsia"/>
          <w:b/>
          <w:sz w:val="21"/>
          <w:szCs w:val="21"/>
        </w:rPr>
      </w:pPr>
    </w:p>
    <w:p w14:paraId="4FBC51E4">
      <w:pPr>
        <w:pStyle w:val="7"/>
        <w:jc w:val="center"/>
        <w:rPr>
          <w:rFonts w:ascii="黑体" w:eastAsia="黑体"/>
          <w:b w:val="0"/>
          <w:sz w:val="24"/>
          <w:szCs w:val="24"/>
        </w:rPr>
      </w:pPr>
      <w:r>
        <w:rPr>
          <w:rFonts w:hint="eastAsia"/>
          <w:sz w:val="24"/>
        </w:rPr>
        <w:t>（一）分项报价表</w:t>
      </w:r>
    </w:p>
    <w:tbl>
      <w:tblPr>
        <w:tblStyle w:val="19"/>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905"/>
        <w:gridCol w:w="1840"/>
        <w:gridCol w:w="456"/>
        <w:gridCol w:w="456"/>
        <w:gridCol w:w="456"/>
        <w:gridCol w:w="456"/>
        <w:gridCol w:w="456"/>
        <w:gridCol w:w="456"/>
        <w:gridCol w:w="615"/>
        <w:gridCol w:w="615"/>
        <w:gridCol w:w="936"/>
        <w:gridCol w:w="942"/>
      </w:tblGrid>
      <w:tr w14:paraId="0F03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654480DF">
            <w:pPr>
              <w:jc w:val="center"/>
              <w:rPr>
                <w:bCs/>
                <w:szCs w:val="21"/>
              </w:rPr>
            </w:pPr>
            <w:r>
              <w:rPr>
                <w:rFonts w:hint="eastAsia"/>
                <w:bCs/>
                <w:szCs w:val="21"/>
              </w:rPr>
              <w:t>序号</w:t>
            </w:r>
          </w:p>
        </w:tc>
        <w:tc>
          <w:tcPr>
            <w:tcW w:w="500" w:type="pct"/>
            <w:vAlign w:val="center"/>
          </w:tcPr>
          <w:p w14:paraId="7A23EBBC">
            <w:pPr>
              <w:jc w:val="center"/>
              <w:rPr>
                <w:rFonts w:hint="default" w:eastAsiaTheme="minorEastAsia"/>
                <w:bCs/>
                <w:szCs w:val="21"/>
                <w:lang w:val="en-US" w:eastAsia="zh-CN"/>
              </w:rPr>
            </w:pPr>
            <w:r>
              <w:rPr>
                <w:rFonts w:hint="eastAsia"/>
                <w:bCs/>
                <w:szCs w:val="21"/>
                <w:lang w:val="en-US" w:eastAsia="zh-CN"/>
              </w:rPr>
              <w:t>项目信息</w:t>
            </w:r>
          </w:p>
        </w:tc>
        <w:tc>
          <w:tcPr>
            <w:tcW w:w="1017" w:type="pct"/>
            <w:vAlign w:val="center"/>
          </w:tcPr>
          <w:p w14:paraId="2FB79AEF">
            <w:pPr>
              <w:jc w:val="center"/>
              <w:rPr>
                <w:bCs/>
                <w:szCs w:val="21"/>
              </w:rPr>
            </w:pPr>
            <w:r>
              <w:rPr>
                <w:rFonts w:hint="eastAsia"/>
                <w:bCs/>
                <w:szCs w:val="21"/>
              </w:rPr>
              <w:t>货物名称</w:t>
            </w:r>
          </w:p>
        </w:tc>
        <w:tc>
          <w:tcPr>
            <w:tcW w:w="252" w:type="pct"/>
            <w:vAlign w:val="center"/>
          </w:tcPr>
          <w:p w14:paraId="0CDC46F0">
            <w:pPr>
              <w:jc w:val="center"/>
              <w:rPr>
                <w:bCs/>
                <w:szCs w:val="21"/>
              </w:rPr>
            </w:pPr>
            <w:r>
              <w:rPr>
                <w:rFonts w:hint="eastAsia"/>
                <w:szCs w:val="21"/>
              </w:rPr>
              <w:t>品牌</w:t>
            </w:r>
          </w:p>
        </w:tc>
        <w:tc>
          <w:tcPr>
            <w:tcW w:w="252" w:type="pct"/>
            <w:vAlign w:val="center"/>
          </w:tcPr>
          <w:p w14:paraId="1A866A69">
            <w:pPr>
              <w:jc w:val="center"/>
              <w:rPr>
                <w:bCs/>
                <w:szCs w:val="21"/>
              </w:rPr>
            </w:pPr>
            <w:r>
              <w:rPr>
                <w:rFonts w:hint="eastAsia"/>
                <w:szCs w:val="21"/>
              </w:rPr>
              <w:t>规格/型号</w:t>
            </w:r>
          </w:p>
        </w:tc>
        <w:tc>
          <w:tcPr>
            <w:tcW w:w="252" w:type="pct"/>
            <w:vAlign w:val="center"/>
          </w:tcPr>
          <w:p w14:paraId="487ADB9A">
            <w:pPr>
              <w:jc w:val="center"/>
              <w:rPr>
                <w:bCs/>
                <w:szCs w:val="21"/>
              </w:rPr>
            </w:pPr>
            <w:r>
              <w:rPr>
                <w:rFonts w:hint="eastAsia"/>
                <w:b/>
                <w:color w:val="FF0000"/>
                <w:szCs w:val="21"/>
              </w:rPr>
              <w:t>原产地</w:t>
            </w:r>
          </w:p>
        </w:tc>
        <w:tc>
          <w:tcPr>
            <w:tcW w:w="252" w:type="pct"/>
            <w:vAlign w:val="center"/>
          </w:tcPr>
          <w:p w14:paraId="49652909">
            <w:pPr>
              <w:jc w:val="center"/>
              <w:rPr>
                <w:bCs/>
                <w:szCs w:val="21"/>
              </w:rPr>
            </w:pPr>
            <w:r>
              <w:rPr>
                <w:rFonts w:hint="eastAsia"/>
                <w:szCs w:val="21"/>
              </w:rPr>
              <w:t>制造商名称</w:t>
            </w:r>
          </w:p>
        </w:tc>
        <w:tc>
          <w:tcPr>
            <w:tcW w:w="252" w:type="pct"/>
            <w:vAlign w:val="center"/>
          </w:tcPr>
          <w:p w14:paraId="4429B1AD">
            <w:pPr>
              <w:jc w:val="center"/>
              <w:rPr>
                <w:bCs/>
                <w:szCs w:val="21"/>
              </w:rPr>
            </w:pPr>
            <w:r>
              <w:rPr>
                <w:rFonts w:hint="eastAsia"/>
                <w:bCs/>
                <w:szCs w:val="21"/>
              </w:rPr>
              <w:t>数量</w:t>
            </w:r>
          </w:p>
        </w:tc>
        <w:tc>
          <w:tcPr>
            <w:tcW w:w="252" w:type="pct"/>
            <w:vAlign w:val="center"/>
          </w:tcPr>
          <w:p w14:paraId="65AAA91C">
            <w:pPr>
              <w:jc w:val="center"/>
              <w:rPr>
                <w:bCs/>
                <w:szCs w:val="21"/>
              </w:rPr>
            </w:pPr>
            <w:r>
              <w:rPr>
                <w:rFonts w:hint="eastAsia"/>
                <w:bCs/>
                <w:szCs w:val="21"/>
              </w:rPr>
              <w:t>单位</w:t>
            </w:r>
          </w:p>
        </w:tc>
        <w:tc>
          <w:tcPr>
            <w:tcW w:w="339" w:type="pct"/>
            <w:vAlign w:val="center"/>
          </w:tcPr>
          <w:p w14:paraId="2CDB968D">
            <w:pPr>
              <w:jc w:val="center"/>
              <w:rPr>
                <w:bCs/>
                <w:szCs w:val="21"/>
              </w:rPr>
            </w:pPr>
            <w:r>
              <w:rPr>
                <w:rFonts w:hint="eastAsia"/>
                <w:szCs w:val="21"/>
              </w:rPr>
              <w:t>单价(元)</w:t>
            </w:r>
          </w:p>
        </w:tc>
        <w:tc>
          <w:tcPr>
            <w:tcW w:w="339" w:type="pct"/>
            <w:vAlign w:val="center"/>
          </w:tcPr>
          <w:p w14:paraId="702333FE">
            <w:pPr>
              <w:jc w:val="center"/>
              <w:rPr>
                <w:bCs/>
                <w:szCs w:val="21"/>
              </w:rPr>
            </w:pPr>
            <w:r>
              <w:rPr>
                <w:rFonts w:hint="eastAsia"/>
                <w:szCs w:val="21"/>
              </w:rPr>
              <w:t>合价(元)</w:t>
            </w:r>
          </w:p>
        </w:tc>
        <w:tc>
          <w:tcPr>
            <w:tcW w:w="517" w:type="pct"/>
            <w:vAlign w:val="center"/>
          </w:tcPr>
          <w:p w14:paraId="72C58F32">
            <w:pPr>
              <w:jc w:val="center"/>
              <w:rPr>
                <w:rFonts w:hint="eastAsia"/>
                <w:szCs w:val="21"/>
                <w:lang w:val="en-US" w:eastAsia="zh-CN"/>
              </w:rPr>
            </w:pPr>
            <w:r>
              <w:rPr>
                <w:rFonts w:hint="eastAsia"/>
                <w:szCs w:val="21"/>
                <w:lang w:val="en-US" w:eastAsia="zh-CN"/>
              </w:rPr>
              <w:t>合计</w:t>
            </w:r>
          </w:p>
          <w:p w14:paraId="48A5DDC0">
            <w:pPr>
              <w:pStyle w:val="2"/>
              <w:rPr>
                <w:rFonts w:hint="eastAsia"/>
                <w:lang w:val="en-US" w:eastAsia="zh-CN"/>
              </w:rPr>
            </w:pPr>
            <w:r>
              <w:rPr>
                <w:rFonts w:hint="eastAsia"/>
                <w:szCs w:val="21"/>
                <w:lang w:val="en-US" w:eastAsia="zh-CN"/>
              </w:rPr>
              <w:t>（元）</w:t>
            </w:r>
          </w:p>
        </w:tc>
        <w:tc>
          <w:tcPr>
            <w:tcW w:w="520" w:type="pct"/>
            <w:vAlign w:val="center"/>
          </w:tcPr>
          <w:p w14:paraId="534AA312">
            <w:pPr>
              <w:jc w:val="center"/>
              <w:rPr>
                <w:szCs w:val="21"/>
              </w:rPr>
            </w:pPr>
            <w:r>
              <w:rPr>
                <w:rFonts w:hint="eastAsia"/>
                <w:szCs w:val="21"/>
              </w:rPr>
              <w:t>预算金额（元）</w:t>
            </w:r>
          </w:p>
        </w:tc>
      </w:tr>
      <w:tr w14:paraId="716A4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7AC0AACA">
            <w:pPr>
              <w:adjustRightInd w:val="0"/>
              <w:snapToGrid w:val="0"/>
              <w:jc w:val="center"/>
              <w:rPr>
                <w:bCs/>
                <w:color w:val="auto"/>
                <w:szCs w:val="21"/>
              </w:rPr>
            </w:pPr>
            <w:r>
              <w:rPr>
                <w:rFonts w:hint="eastAsia" w:ascii="宋体" w:hAnsi="宋体" w:eastAsia="宋体" w:cs="宋体"/>
                <w:color w:val="auto"/>
                <w:sz w:val="24"/>
                <w:szCs w:val="24"/>
                <w:lang w:val="en-US" w:eastAsia="zh-CN"/>
              </w:rPr>
              <w:t>1</w:t>
            </w:r>
          </w:p>
        </w:tc>
        <w:tc>
          <w:tcPr>
            <w:tcW w:w="500" w:type="pct"/>
            <w:vMerge w:val="restart"/>
            <w:vAlign w:val="center"/>
          </w:tcPr>
          <w:p w14:paraId="647742BE">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r>
              <w:rPr>
                <w:rFonts w:hint="eastAsia"/>
                <w:color w:val="auto"/>
                <w:sz w:val="21"/>
                <w:szCs w:val="21"/>
                <w:lang w:val="en-US" w:eastAsia="zh-CN"/>
              </w:rPr>
              <w:t>ENT202610-002</w:t>
            </w:r>
            <w:r>
              <w:rPr>
                <w:rFonts w:hint="eastAsia"/>
                <w:color w:val="auto"/>
                <w:sz w:val="24"/>
                <w:szCs w:val="24"/>
                <w:lang w:val="en-US" w:eastAsia="zh-CN"/>
              </w:rPr>
              <w:br w:type="textWrapping"/>
            </w:r>
            <w:r>
              <w:rPr>
                <w:rFonts w:hint="eastAsia"/>
                <w:color w:val="auto"/>
                <w:sz w:val="24"/>
                <w:szCs w:val="24"/>
                <w:lang w:val="en-US" w:eastAsia="zh-CN"/>
              </w:rPr>
              <w:t>动物房显示设备及控制系统配套设备（三次招标）</w:t>
            </w:r>
          </w:p>
        </w:tc>
        <w:tc>
          <w:tcPr>
            <w:tcW w:w="1017" w:type="pct"/>
            <w:vAlign w:val="center"/>
          </w:tcPr>
          <w:p w14:paraId="6DB31FAB">
            <w:pPr>
              <w:keepNext w:val="0"/>
              <w:keepLines w:val="0"/>
              <w:widowControl/>
              <w:suppressLineNumbers w:val="0"/>
              <w:jc w:val="center"/>
              <w:textAlignment w:val="center"/>
              <w:rPr>
                <w:bCs/>
                <w:color w:val="auto"/>
                <w:szCs w:val="21"/>
              </w:rPr>
            </w:pPr>
            <w:r>
              <w:rPr>
                <w:rFonts w:hint="eastAsia" w:ascii="宋体" w:hAnsi="宋体" w:eastAsia="宋体" w:cs="宋体"/>
                <w:i w:val="0"/>
                <w:iCs w:val="0"/>
                <w:color w:val="auto"/>
                <w:kern w:val="0"/>
                <w:sz w:val="24"/>
                <w:szCs w:val="24"/>
                <w:u w:val="none"/>
                <w:lang w:val="en-US" w:eastAsia="zh-CN" w:bidi="ar"/>
              </w:rPr>
              <w:t>拼接屏</w:t>
            </w:r>
          </w:p>
        </w:tc>
        <w:tc>
          <w:tcPr>
            <w:tcW w:w="252" w:type="pct"/>
            <w:vAlign w:val="center"/>
          </w:tcPr>
          <w:p w14:paraId="0F86072B">
            <w:pPr>
              <w:jc w:val="center"/>
              <w:rPr>
                <w:bCs/>
                <w:szCs w:val="21"/>
              </w:rPr>
            </w:pPr>
          </w:p>
        </w:tc>
        <w:tc>
          <w:tcPr>
            <w:tcW w:w="252" w:type="pct"/>
            <w:vAlign w:val="center"/>
          </w:tcPr>
          <w:p w14:paraId="159C1658">
            <w:pPr>
              <w:jc w:val="center"/>
              <w:rPr>
                <w:bCs/>
                <w:szCs w:val="21"/>
              </w:rPr>
            </w:pPr>
          </w:p>
        </w:tc>
        <w:tc>
          <w:tcPr>
            <w:tcW w:w="252" w:type="pct"/>
            <w:vAlign w:val="center"/>
          </w:tcPr>
          <w:p w14:paraId="4E2FE5FF">
            <w:pPr>
              <w:jc w:val="center"/>
              <w:rPr>
                <w:bCs/>
                <w:szCs w:val="21"/>
              </w:rPr>
            </w:pPr>
          </w:p>
        </w:tc>
        <w:tc>
          <w:tcPr>
            <w:tcW w:w="252" w:type="pct"/>
            <w:vAlign w:val="center"/>
          </w:tcPr>
          <w:p w14:paraId="09BCA861">
            <w:pPr>
              <w:jc w:val="center"/>
              <w:rPr>
                <w:bCs/>
                <w:szCs w:val="21"/>
              </w:rPr>
            </w:pPr>
          </w:p>
        </w:tc>
        <w:tc>
          <w:tcPr>
            <w:tcW w:w="252" w:type="pct"/>
            <w:shd w:val="clear" w:color="auto" w:fill="auto"/>
            <w:vAlign w:val="center"/>
          </w:tcPr>
          <w:p w14:paraId="180BFDDC">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6</w:t>
            </w:r>
          </w:p>
        </w:tc>
        <w:tc>
          <w:tcPr>
            <w:tcW w:w="252" w:type="pct"/>
            <w:shd w:val="clear" w:color="auto" w:fill="auto"/>
            <w:vAlign w:val="center"/>
          </w:tcPr>
          <w:p w14:paraId="43CCA022">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套</w:t>
            </w:r>
          </w:p>
        </w:tc>
        <w:tc>
          <w:tcPr>
            <w:tcW w:w="339" w:type="pct"/>
            <w:vAlign w:val="center"/>
          </w:tcPr>
          <w:p w14:paraId="373BC0A7">
            <w:pPr>
              <w:jc w:val="center"/>
              <w:rPr>
                <w:bCs/>
                <w:szCs w:val="21"/>
              </w:rPr>
            </w:pPr>
          </w:p>
        </w:tc>
        <w:tc>
          <w:tcPr>
            <w:tcW w:w="339" w:type="pct"/>
            <w:vAlign w:val="center"/>
          </w:tcPr>
          <w:p w14:paraId="69BBCCAA">
            <w:pPr>
              <w:jc w:val="center"/>
              <w:rPr>
                <w:rFonts w:hint="default" w:eastAsiaTheme="minorEastAsia"/>
                <w:bCs/>
                <w:szCs w:val="21"/>
                <w:lang w:val="en-US" w:eastAsia="zh-CN"/>
              </w:rPr>
            </w:pPr>
          </w:p>
        </w:tc>
        <w:tc>
          <w:tcPr>
            <w:tcW w:w="517" w:type="pct"/>
            <w:vMerge w:val="restart"/>
            <w:vAlign w:val="center"/>
          </w:tcPr>
          <w:p w14:paraId="322A312C">
            <w:pPr>
              <w:jc w:val="center"/>
              <w:rPr>
                <w:rFonts w:hint="eastAsia"/>
                <w:bCs/>
                <w:szCs w:val="21"/>
                <w:lang w:val="en-US" w:eastAsia="zh-CN"/>
              </w:rPr>
            </w:pPr>
          </w:p>
        </w:tc>
        <w:tc>
          <w:tcPr>
            <w:tcW w:w="520" w:type="pct"/>
            <w:vMerge w:val="restart"/>
            <w:vAlign w:val="center"/>
          </w:tcPr>
          <w:p w14:paraId="4509C0C3">
            <w:pPr>
              <w:jc w:val="center"/>
              <w:rPr>
                <w:rFonts w:hint="default" w:eastAsiaTheme="minorEastAsia"/>
                <w:bCs/>
                <w:szCs w:val="21"/>
                <w:lang w:val="en-US" w:eastAsia="zh-CN"/>
              </w:rPr>
            </w:pPr>
            <w:r>
              <w:rPr>
                <w:rFonts w:hint="eastAsia"/>
                <w:bCs/>
                <w:szCs w:val="21"/>
                <w:lang w:val="en-US" w:eastAsia="zh-CN"/>
              </w:rPr>
              <w:t>194150</w:t>
            </w:r>
          </w:p>
        </w:tc>
      </w:tr>
      <w:tr w14:paraId="6B2CC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6D7229E6">
            <w:pPr>
              <w:adjustRightInd w:val="0"/>
              <w:snapToGrid w:val="0"/>
              <w:jc w:val="center"/>
              <w:rPr>
                <w:rFonts w:hint="eastAsia" w:eastAsiaTheme="minorEastAsia"/>
                <w:bCs/>
                <w:color w:val="auto"/>
                <w:szCs w:val="21"/>
                <w:lang w:eastAsia="zh-CN"/>
              </w:rPr>
            </w:pPr>
            <w:r>
              <w:rPr>
                <w:rFonts w:hint="eastAsia" w:ascii="宋体" w:hAnsi="宋体" w:eastAsia="宋体" w:cs="宋体"/>
                <w:color w:val="auto"/>
                <w:sz w:val="24"/>
                <w:szCs w:val="24"/>
                <w:lang w:val="en-US" w:eastAsia="zh-CN"/>
              </w:rPr>
              <w:t>2</w:t>
            </w:r>
          </w:p>
        </w:tc>
        <w:tc>
          <w:tcPr>
            <w:tcW w:w="500" w:type="pct"/>
            <w:vMerge w:val="continue"/>
            <w:vAlign w:val="center"/>
          </w:tcPr>
          <w:p w14:paraId="5E9D213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4DE5A379">
            <w:pPr>
              <w:keepNext w:val="0"/>
              <w:keepLines w:val="0"/>
              <w:widowControl/>
              <w:suppressLineNumbers w:val="0"/>
              <w:jc w:val="center"/>
              <w:textAlignment w:val="center"/>
              <w:rPr>
                <w:bCs/>
                <w:color w:val="auto"/>
                <w:szCs w:val="21"/>
              </w:rPr>
            </w:pPr>
            <w:r>
              <w:rPr>
                <w:rFonts w:hint="eastAsia" w:ascii="宋体" w:hAnsi="宋体" w:eastAsia="宋体" w:cs="宋体"/>
                <w:i w:val="0"/>
                <w:iCs w:val="0"/>
                <w:color w:val="auto"/>
                <w:kern w:val="0"/>
                <w:sz w:val="24"/>
                <w:szCs w:val="24"/>
                <w:u w:val="none"/>
                <w:lang w:val="en-US" w:eastAsia="zh-CN" w:bidi="ar"/>
              </w:rPr>
              <w:t>拼接屏支架</w:t>
            </w:r>
          </w:p>
        </w:tc>
        <w:tc>
          <w:tcPr>
            <w:tcW w:w="252" w:type="pct"/>
            <w:vAlign w:val="center"/>
          </w:tcPr>
          <w:p w14:paraId="469552AA">
            <w:pPr>
              <w:jc w:val="center"/>
              <w:rPr>
                <w:bCs/>
                <w:szCs w:val="21"/>
              </w:rPr>
            </w:pPr>
          </w:p>
        </w:tc>
        <w:tc>
          <w:tcPr>
            <w:tcW w:w="252" w:type="pct"/>
            <w:vAlign w:val="center"/>
          </w:tcPr>
          <w:p w14:paraId="15C17554">
            <w:pPr>
              <w:jc w:val="center"/>
              <w:rPr>
                <w:bCs/>
                <w:szCs w:val="21"/>
              </w:rPr>
            </w:pPr>
          </w:p>
        </w:tc>
        <w:tc>
          <w:tcPr>
            <w:tcW w:w="252" w:type="pct"/>
            <w:vAlign w:val="center"/>
          </w:tcPr>
          <w:p w14:paraId="01861357">
            <w:pPr>
              <w:jc w:val="center"/>
              <w:rPr>
                <w:bCs/>
                <w:szCs w:val="21"/>
              </w:rPr>
            </w:pPr>
          </w:p>
        </w:tc>
        <w:tc>
          <w:tcPr>
            <w:tcW w:w="252" w:type="pct"/>
            <w:vAlign w:val="center"/>
          </w:tcPr>
          <w:p w14:paraId="4A210785">
            <w:pPr>
              <w:jc w:val="center"/>
              <w:rPr>
                <w:bCs/>
                <w:szCs w:val="21"/>
              </w:rPr>
            </w:pPr>
          </w:p>
        </w:tc>
        <w:tc>
          <w:tcPr>
            <w:tcW w:w="252" w:type="pct"/>
            <w:shd w:val="clear" w:color="auto" w:fill="auto"/>
            <w:vAlign w:val="center"/>
          </w:tcPr>
          <w:p w14:paraId="0C3A12BD">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1</w:t>
            </w:r>
          </w:p>
        </w:tc>
        <w:tc>
          <w:tcPr>
            <w:tcW w:w="252" w:type="pct"/>
            <w:shd w:val="clear" w:color="auto" w:fill="auto"/>
            <w:vAlign w:val="center"/>
          </w:tcPr>
          <w:p w14:paraId="2C35702A">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套</w:t>
            </w:r>
          </w:p>
        </w:tc>
        <w:tc>
          <w:tcPr>
            <w:tcW w:w="339" w:type="pct"/>
            <w:vAlign w:val="center"/>
          </w:tcPr>
          <w:p w14:paraId="5CE0B0D1">
            <w:pPr>
              <w:jc w:val="center"/>
              <w:rPr>
                <w:bCs/>
                <w:szCs w:val="21"/>
              </w:rPr>
            </w:pPr>
          </w:p>
        </w:tc>
        <w:tc>
          <w:tcPr>
            <w:tcW w:w="339" w:type="pct"/>
            <w:vAlign w:val="center"/>
          </w:tcPr>
          <w:p w14:paraId="4CB9B8D1">
            <w:pPr>
              <w:jc w:val="center"/>
              <w:rPr>
                <w:bCs/>
                <w:szCs w:val="21"/>
              </w:rPr>
            </w:pPr>
          </w:p>
        </w:tc>
        <w:tc>
          <w:tcPr>
            <w:tcW w:w="517" w:type="pct"/>
            <w:vMerge w:val="continue"/>
            <w:vAlign w:val="center"/>
          </w:tcPr>
          <w:p w14:paraId="3441D06C">
            <w:pPr>
              <w:jc w:val="center"/>
              <w:rPr>
                <w:bCs/>
                <w:szCs w:val="21"/>
              </w:rPr>
            </w:pPr>
          </w:p>
        </w:tc>
        <w:tc>
          <w:tcPr>
            <w:tcW w:w="520" w:type="pct"/>
            <w:vMerge w:val="continue"/>
            <w:vAlign w:val="center"/>
          </w:tcPr>
          <w:p w14:paraId="3A2F05BE">
            <w:pPr>
              <w:jc w:val="center"/>
              <w:rPr>
                <w:bCs/>
                <w:szCs w:val="21"/>
              </w:rPr>
            </w:pPr>
          </w:p>
        </w:tc>
      </w:tr>
      <w:tr w14:paraId="67838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3F212E11">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3</w:t>
            </w:r>
          </w:p>
        </w:tc>
        <w:tc>
          <w:tcPr>
            <w:tcW w:w="500" w:type="pct"/>
            <w:vMerge w:val="continue"/>
            <w:vAlign w:val="center"/>
          </w:tcPr>
          <w:p w14:paraId="42AD991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26FD75E4">
            <w:pPr>
              <w:keepNext w:val="0"/>
              <w:keepLines w:val="0"/>
              <w:widowControl/>
              <w:suppressLineNumbers w:val="0"/>
              <w:jc w:val="center"/>
              <w:textAlignment w:val="center"/>
              <w:rPr>
                <w:rFonts w:hint="eastAsia" w:eastAsiaTheme="minor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HDMI高清线</w:t>
            </w:r>
          </w:p>
        </w:tc>
        <w:tc>
          <w:tcPr>
            <w:tcW w:w="252" w:type="pct"/>
            <w:vAlign w:val="center"/>
          </w:tcPr>
          <w:p w14:paraId="38562B1F">
            <w:pPr>
              <w:jc w:val="center"/>
              <w:rPr>
                <w:bCs/>
                <w:szCs w:val="21"/>
              </w:rPr>
            </w:pPr>
          </w:p>
        </w:tc>
        <w:tc>
          <w:tcPr>
            <w:tcW w:w="252" w:type="pct"/>
            <w:vAlign w:val="center"/>
          </w:tcPr>
          <w:p w14:paraId="130681EC">
            <w:pPr>
              <w:jc w:val="center"/>
              <w:rPr>
                <w:bCs/>
                <w:szCs w:val="21"/>
              </w:rPr>
            </w:pPr>
          </w:p>
        </w:tc>
        <w:tc>
          <w:tcPr>
            <w:tcW w:w="252" w:type="pct"/>
            <w:vAlign w:val="center"/>
          </w:tcPr>
          <w:p w14:paraId="37A40A06">
            <w:pPr>
              <w:jc w:val="center"/>
              <w:rPr>
                <w:bCs/>
                <w:szCs w:val="21"/>
              </w:rPr>
            </w:pPr>
          </w:p>
        </w:tc>
        <w:tc>
          <w:tcPr>
            <w:tcW w:w="252" w:type="pct"/>
            <w:vAlign w:val="center"/>
          </w:tcPr>
          <w:p w14:paraId="60466AFC">
            <w:pPr>
              <w:jc w:val="center"/>
              <w:rPr>
                <w:bCs/>
                <w:szCs w:val="21"/>
              </w:rPr>
            </w:pPr>
          </w:p>
        </w:tc>
        <w:tc>
          <w:tcPr>
            <w:tcW w:w="252" w:type="pct"/>
            <w:shd w:val="clear" w:color="auto" w:fill="auto"/>
            <w:vAlign w:val="center"/>
          </w:tcPr>
          <w:p w14:paraId="00987ECC">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6</w:t>
            </w:r>
          </w:p>
        </w:tc>
        <w:tc>
          <w:tcPr>
            <w:tcW w:w="252" w:type="pct"/>
            <w:shd w:val="clear" w:color="auto" w:fill="auto"/>
            <w:vAlign w:val="center"/>
          </w:tcPr>
          <w:p w14:paraId="3EDA4E03">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根</w:t>
            </w:r>
          </w:p>
        </w:tc>
        <w:tc>
          <w:tcPr>
            <w:tcW w:w="339" w:type="pct"/>
            <w:vAlign w:val="center"/>
          </w:tcPr>
          <w:p w14:paraId="1D9C0C97">
            <w:pPr>
              <w:jc w:val="center"/>
              <w:rPr>
                <w:bCs/>
                <w:szCs w:val="21"/>
              </w:rPr>
            </w:pPr>
          </w:p>
        </w:tc>
        <w:tc>
          <w:tcPr>
            <w:tcW w:w="339" w:type="pct"/>
            <w:vAlign w:val="center"/>
          </w:tcPr>
          <w:p w14:paraId="67CB3C8D">
            <w:pPr>
              <w:jc w:val="center"/>
              <w:rPr>
                <w:bCs/>
                <w:szCs w:val="21"/>
              </w:rPr>
            </w:pPr>
          </w:p>
        </w:tc>
        <w:tc>
          <w:tcPr>
            <w:tcW w:w="517" w:type="pct"/>
            <w:vMerge w:val="continue"/>
            <w:vAlign w:val="center"/>
          </w:tcPr>
          <w:p w14:paraId="39C20E82">
            <w:pPr>
              <w:jc w:val="center"/>
              <w:rPr>
                <w:bCs/>
                <w:szCs w:val="21"/>
              </w:rPr>
            </w:pPr>
          </w:p>
        </w:tc>
        <w:tc>
          <w:tcPr>
            <w:tcW w:w="520" w:type="pct"/>
            <w:vMerge w:val="continue"/>
            <w:vAlign w:val="center"/>
          </w:tcPr>
          <w:p w14:paraId="37CF86BC">
            <w:pPr>
              <w:jc w:val="center"/>
              <w:rPr>
                <w:bCs/>
                <w:szCs w:val="21"/>
              </w:rPr>
            </w:pPr>
          </w:p>
        </w:tc>
      </w:tr>
      <w:tr w14:paraId="527DE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22E1F97D">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4</w:t>
            </w:r>
          </w:p>
        </w:tc>
        <w:tc>
          <w:tcPr>
            <w:tcW w:w="500" w:type="pct"/>
            <w:vMerge w:val="continue"/>
            <w:vAlign w:val="center"/>
          </w:tcPr>
          <w:p w14:paraId="1A49DD38">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124545DA">
            <w:pPr>
              <w:keepNext w:val="0"/>
              <w:keepLines w:val="0"/>
              <w:widowControl/>
              <w:suppressLineNumbers w:val="0"/>
              <w:jc w:val="center"/>
              <w:textAlignment w:val="center"/>
              <w:rPr>
                <w:rFonts w:hint="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解码器</w:t>
            </w:r>
          </w:p>
        </w:tc>
        <w:tc>
          <w:tcPr>
            <w:tcW w:w="252" w:type="pct"/>
            <w:vAlign w:val="center"/>
          </w:tcPr>
          <w:p w14:paraId="0F521CF7">
            <w:pPr>
              <w:jc w:val="center"/>
              <w:rPr>
                <w:bCs/>
                <w:szCs w:val="21"/>
              </w:rPr>
            </w:pPr>
          </w:p>
        </w:tc>
        <w:tc>
          <w:tcPr>
            <w:tcW w:w="252" w:type="pct"/>
            <w:vAlign w:val="center"/>
          </w:tcPr>
          <w:p w14:paraId="1D23FB11">
            <w:pPr>
              <w:jc w:val="center"/>
              <w:rPr>
                <w:bCs/>
                <w:szCs w:val="21"/>
              </w:rPr>
            </w:pPr>
          </w:p>
        </w:tc>
        <w:tc>
          <w:tcPr>
            <w:tcW w:w="252" w:type="pct"/>
            <w:vAlign w:val="center"/>
          </w:tcPr>
          <w:p w14:paraId="6B9BC85D">
            <w:pPr>
              <w:jc w:val="center"/>
              <w:rPr>
                <w:bCs/>
                <w:szCs w:val="21"/>
              </w:rPr>
            </w:pPr>
          </w:p>
        </w:tc>
        <w:tc>
          <w:tcPr>
            <w:tcW w:w="252" w:type="pct"/>
            <w:vAlign w:val="center"/>
          </w:tcPr>
          <w:p w14:paraId="4FE81FCB">
            <w:pPr>
              <w:jc w:val="center"/>
              <w:rPr>
                <w:bCs/>
                <w:szCs w:val="21"/>
              </w:rPr>
            </w:pPr>
          </w:p>
        </w:tc>
        <w:tc>
          <w:tcPr>
            <w:tcW w:w="252" w:type="pct"/>
            <w:shd w:val="clear" w:color="auto" w:fill="auto"/>
            <w:vAlign w:val="center"/>
          </w:tcPr>
          <w:p w14:paraId="3FF11AE8">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1</w:t>
            </w:r>
          </w:p>
        </w:tc>
        <w:tc>
          <w:tcPr>
            <w:tcW w:w="252" w:type="pct"/>
            <w:shd w:val="clear" w:color="auto" w:fill="auto"/>
            <w:vAlign w:val="center"/>
          </w:tcPr>
          <w:p w14:paraId="41E6E530">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台</w:t>
            </w:r>
          </w:p>
        </w:tc>
        <w:tc>
          <w:tcPr>
            <w:tcW w:w="339" w:type="pct"/>
            <w:vAlign w:val="center"/>
          </w:tcPr>
          <w:p w14:paraId="4E2B8D35">
            <w:pPr>
              <w:jc w:val="center"/>
              <w:rPr>
                <w:bCs/>
                <w:szCs w:val="21"/>
              </w:rPr>
            </w:pPr>
          </w:p>
        </w:tc>
        <w:tc>
          <w:tcPr>
            <w:tcW w:w="339" w:type="pct"/>
            <w:vAlign w:val="center"/>
          </w:tcPr>
          <w:p w14:paraId="500E9332">
            <w:pPr>
              <w:jc w:val="center"/>
              <w:rPr>
                <w:bCs/>
                <w:szCs w:val="21"/>
              </w:rPr>
            </w:pPr>
          </w:p>
        </w:tc>
        <w:tc>
          <w:tcPr>
            <w:tcW w:w="517" w:type="pct"/>
            <w:vMerge w:val="continue"/>
            <w:vAlign w:val="center"/>
          </w:tcPr>
          <w:p w14:paraId="5C98CC9D">
            <w:pPr>
              <w:jc w:val="center"/>
              <w:rPr>
                <w:bCs/>
                <w:szCs w:val="21"/>
              </w:rPr>
            </w:pPr>
          </w:p>
        </w:tc>
        <w:tc>
          <w:tcPr>
            <w:tcW w:w="520" w:type="pct"/>
            <w:vMerge w:val="continue"/>
            <w:vAlign w:val="center"/>
          </w:tcPr>
          <w:p w14:paraId="1AB5BD3B">
            <w:pPr>
              <w:jc w:val="center"/>
              <w:rPr>
                <w:bCs/>
                <w:szCs w:val="21"/>
              </w:rPr>
            </w:pPr>
          </w:p>
        </w:tc>
      </w:tr>
      <w:tr w14:paraId="6518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21E95A6D">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5</w:t>
            </w:r>
          </w:p>
        </w:tc>
        <w:tc>
          <w:tcPr>
            <w:tcW w:w="500" w:type="pct"/>
            <w:vMerge w:val="continue"/>
            <w:vAlign w:val="center"/>
          </w:tcPr>
          <w:p w14:paraId="5F40F351">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443140CE">
            <w:pPr>
              <w:keepNext w:val="0"/>
              <w:keepLines w:val="0"/>
              <w:widowControl/>
              <w:suppressLineNumbers w:val="0"/>
              <w:jc w:val="center"/>
              <w:textAlignment w:val="center"/>
              <w:rPr>
                <w:rFonts w:hint="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控制柜</w:t>
            </w:r>
          </w:p>
        </w:tc>
        <w:tc>
          <w:tcPr>
            <w:tcW w:w="252" w:type="pct"/>
            <w:vAlign w:val="center"/>
          </w:tcPr>
          <w:p w14:paraId="291FE03B">
            <w:pPr>
              <w:jc w:val="center"/>
              <w:rPr>
                <w:bCs/>
                <w:szCs w:val="21"/>
              </w:rPr>
            </w:pPr>
          </w:p>
        </w:tc>
        <w:tc>
          <w:tcPr>
            <w:tcW w:w="252" w:type="pct"/>
            <w:vAlign w:val="center"/>
          </w:tcPr>
          <w:p w14:paraId="1DAE2682">
            <w:pPr>
              <w:jc w:val="center"/>
              <w:rPr>
                <w:bCs/>
                <w:szCs w:val="21"/>
              </w:rPr>
            </w:pPr>
          </w:p>
        </w:tc>
        <w:tc>
          <w:tcPr>
            <w:tcW w:w="252" w:type="pct"/>
            <w:vAlign w:val="center"/>
          </w:tcPr>
          <w:p w14:paraId="12E57383">
            <w:pPr>
              <w:jc w:val="center"/>
              <w:rPr>
                <w:bCs/>
                <w:szCs w:val="21"/>
              </w:rPr>
            </w:pPr>
          </w:p>
        </w:tc>
        <w:tc>
          <w:tcPr>
            <w:tcW w:w="252" w:type="pct"/>
            <w:vAlign w:val="center"/>
          </w:tcPr>
          <w:p w14:paraId="52FFE615">
            <w:pPr>
              <w:jc w:val="center"/>
              <w:rPr>
                <w:bCs/>
                <w:szCs w:val="21"/>
              </w:rPr>
            </w:pPr>
          </w:p>
        </w:tc>
        <w:tc>
          <w:tcPr>
            <w:tcW w:w="252" w:type="pct"/>
            <w:shd w:val="clear" w:color="auto" w:fill="auto"/>
            <w:vAlign w:val="center"/>
          </w:tcPr>
          <w:p w14:paraId="4B0D9C51">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1</w:t>
            </w:r>
          </w:p>
        </w:tc>
        <w:tc>
          <w:tcPr>
            <w:tcW w:w="252" w:type="pct"/>
            <w:shd w:val="clear" w:color="auto" w:fill="auto"/>
            <w:vAlign w:val="center"/>
          </w:tcPr>
          <w:p w14:paraId="19B1C3A9">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台</w:t>
            </w:r>
          </w:p>
        </w:tc>
        <w:tc>
          <w:tcPr>
            <w:tcW w:w="339" w:type="pct"/>
            <w:vAlign w:val="center"/>
          </w:tcPr>
          <w:p w14:paraId="688EE52A">
            <w:pPr>
              <w:jc w:val="center"/>
              <w:rPr>
                <w:bCs/>
                <w:szCs w:val="21"/>
              </w:rPr>
            </w:pPr>
          </w:p>
        </w:tc>
        <w:tc>
          <w:tcPr>
            <w:tcW w:w="339" w:type="pct"/>
            <w:vAlign w:val="center"/>
          </w:tcPr>
          <w:p w14:paraId="513EC380">
            <w:pPr>
              <w:jc w:val="center"/>
              <w:rPr>
                <w:bCs/>
                <w:szCs w:val="21"/>
              </w:rPr>
            </w:pPr>
          </w:p>
        </w:tc>
        <w:tc>
          <w:tcPr>
            <w:tcW w:w="517" w:type="pct"/>
            <w:vMerge w:val="continue"/>
            <w:vAlign w:val="center"/>
          </w:tcPr>
          <w:p w14:paraId="1D1D3DFB">
            <w:pPr>
              <w:jc w:val="center"/>
              <w:rPr>
                <w:bCs/>
                <w:szCs w:val="21"/>
              </w:rPr>
            </w:pPr>
          </w:p>
        </w:tc>
        <w:tc>
          <w:tcPr>
            <w:tcW w:w="520" w:type="pct"/>
            <w:vMerge w:val="continue"/>
            <w:vAlign w:val="center"/>
          </w:tcPr>
          <w:p w14:paraId="2515A847">
            <w:pPr>
              <w:jc w:val="center"/>
              <w:rPr>
                <w:bCs/>
                <w:szCs w:val="21"/>
              </w:rPr>
            </w:pPr>
          </w:p>
        </w:tc>
      </w:tr>
      <w:tr w14:paraId="4A0A4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587B1702">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6</w:t>
            </w:r>
          </w:p>
        </w:tc>
        <w:tc>
          <w:tcPr>
            <w:tcW w:w="500" w:type="pct"/>
            <w:vMerge w:val="continue"/>
            <w:vAlign w:val="center"/>
          </w:tcPr>
          <w:p w14:paraId="2431ABA7">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11DCF37A">
            <w:pPr>
              <w:keepNext w:val="0"/>
              <w:keepLines w:val="0"/>
              <w:widowControl/>
              <w:suppressLineNumbers w:val="0"/>
              <w:jc w:val="center"/>
              <w:textAlignment w:val="center"/>
              <w:rPr>
                <w:rFonts w:hint="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系统授权USB硬件锁</w:t>
            </w:r>
          </w:p>
        </w:tc>
        <w:tc>
          <w:tcPr>
            <w:tcW w:w="252" w:type="pct"/>
            <w:vAlign w:val="center"/>
          </w:tcPr>
          <w:p w14:paraId="12335952">
            <w:pPr>
              <w:jc w:val="center"/>
              <w:rPr>
                <w:bCs/>
                <w:szCs w:val="21"/>
              </w:rPr>
            </w:pPr>
          </w:p>
        </w:tc>
        <w:tc>
          <w:tcPr>
            <w:tcW w:w="252" w:type="pct"/>
            <w:vAlign w:val="center"/>
          </w:tcPr>
          <w:p w14:paraId="56D9CF0F">
            <w:pPr>
              <w:jc w:val="center"/>
              <w:rPr>
                <w:bCs/>
                <w:szCs w:val="21"/>
              </w:rPr>
            </w:pPr>
          </w:p>
        </w:tc>
        <w:tc>
          <w:tcPr>
            <w:tcW w:w="252" w:type="pct"/>
            <w:vAlign w:val="center"/>
          </w:tcPr>
          <w:p w14:paraId="4B45D743">
            <w:pPr>
              <w:jc w:val="center"/>
              <w:rPr>
                <w:bCs/>
                <w:szCs w:val="21"/>
              </w:rPr>
            </w:pPr>
          </w:p>
        </w:tc>
        <w:tc>
          <w:tcPr>
            <w:tcW w:w="252" w:type="pct"/>
            <w:vAlign w:val="center"/>
          </w:tcPr>
          <w:p w14:paraId="1B8BED99">
            <w:pPr>
              <w:jc w:val="center"/>
              <w:rPr>
                <w:bCs/>
                <w:szCs w:val="21"/>
              </w:rPr>
            </w:pPr>
          </w:p>
        </w:tc>
        <w:tc>
          <w:tcPr>
            <w:tcW w:w="252" w:type="pct"/>
            <w:shd w:val="clear" w:color="auto" w:fill="auto"/>
            <w:vAlign w:val="center"/>
          </w:tcPr>
          <w:p w14:paraId="673000D7">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1</w:t>
            </w:r>
          </w:p>
        </w:tc>
        <w:tc>
          <w:tcPr>
            <w:tcW w:w="252" w:type="pct"/>
            <w:shd w:val="clear" w:color="auto" w:fill="auto"/>
            <w:vAlign w:val="center"/>
          </w:tcPr>
          <w:p w14:paraId="45640CBE">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套</w:t>
            </w:r>
          </w:p>
        </w:tc>
        <w:tc>
          <w:tcPr>
            <w:tcW w:w="339" w:type="pct"/>
            <w:vAlign w:val="center"/>
          </w:tcPr>
          <w:p w14:paraId="0A720B05">
            <w:pPr>
              <w:jc w:val="center"/>
              <w:rPr>
                <w:bCs/>
                <w:szCs w:val="21"/>
              </w:rPr>
            </w:pPr>
          </w:p>
        </w:tc>
        <w:tc>
          <w:tcPr>
            <w:tcW w:w="339" w:type="pct"/>
            <w:vAlign w:val="center"/>
          </w:tcPr>
          <w:p w14:paraId="5BD7F28B">
            <w:pPr>
              <w:jc w:val="center"/>
              <w:rPr>
                <w:bCs/>
                <w:szCs w:val="21"/>
              </w:rPr>
            </w:pPr>
          </w:p>
        </w:tc>
        <w:tc>
          <w:tcPr>
            <w:tcW w:w="517" w:type="pct"/>
            <w:vMerge w:val="continue"/>
            <w:vAlign w:val="center"/>
          </w:tcPr>
          <w:p w14:paraId="7C62C49A">
            <w:pPr>
              <w:jc w:val="center"/>
              <w:rPr>
                <w:bCs/>
                <w:szCs w:val="21"/>
              </w:rPr>
            </w:pPr>
          </w:p>
        </w:tc>
        <w:tc>
          <w:tcPr>
            <w:tcW w:w="520" w:type="pct"/>
            <w:vMerge w:val="continue"/>
            <w:vAlign w:val="center"/>
          </w:tcPr>
          <w:p w14:paraId="5AA8A585">
            <w:pPr>
              <w:jc w:val="center"/>
              <w:rPr>
                <w:bCs/>
                <w:szCs w:val="21"/>
              </w:rPr>
            </w:pPr>
          </w:p>
        </w:tc>
      </w:tr>
      <w:tr w14:paraId="41A6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138CECCF">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7</w:t>
            </w:r>
          </w:p>
        </w:tc>
        <w:tc>
          <w:tcPr>
            <w:tcW w:w="500" w:type="pct"/>
            <w:vMerge w:val="continue"/>
            <w:vAlign w:val="center"/>
          </w:tcPr>
          <w:p w14:paraId="4891180D">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12328437">
            <w:pPr>
              <w:keepNext w:val="0"/>
              <w:keepLines w:val="0"/>
              <w:widowControl/>
              <w:suppressLineNumbers w:val="0"/>
              <w:jc w:val="center"/>
              <w:textAlignment w:val="center"/>
              <w:rPr>
                <w:rFonts w:hint="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CPU控制器</w:t>
            </w:r>
          </w:p>
        </w:tc>
        <w:tc>
          <w:tcPr>
            <w:tcW w:w="252" w:type="pct"/>
            <w:vAlign w:val="center"/>
          </w:tcPr>
          <w:p w14:paraId="7996B7B4">
            <w:pPr>
              <w:jc w:val="center"/>
              <w:rPr>
                <w:bCs/>
                <w:szCs w:val="21"/>
              </w:rPr>
            </w:pPr>
          </w:p>
        </w:tc>
        <w:tc>
          <w:tcPr>
            <w:tcW w:w="252" w:type="pct"/>
            <w:vAlign w:val="center"/>
          </w:tcPr>
          <w:p w14:paraId="347E18E5">
            <w:pPr>
              <w:jc w:val="center"/>
              <w:rPr>
                <w:bCs/>
                <w:szCs w:val="21"/>
              </w:rPr>
            </w:pPr>
          </w:p>
        </w:tc>
        <w:tc>
          <w:tcPr>
            <w:tcW w:w="252" w:type="pct"/>
            <w:vAlign w:val="center"/>
          </w:tcPr>
          <w:p w14:paraId="0F325CFE">
            <w:pPr>
              <w:jc w:val="center"/>
              <w:rPr>
                <w:bCs/>
                <w:szCs w:val="21"/>
              </w:rPr>
            </w:pPr>
          </w:p>
        </w:tc>
        <w:tc>
          <w:tcPr>
            <w:tcW w:w="252" w:type="pct"/>
            <w:vAlign w:val="center"/>
          </w:tcPr>
          <w:p w14:paraId="6A94AF77">
            <w:pPr>
              <w:jc w:val="center"/>
              <w:rPr>
                <w:bCs/>
                <w:szCs w:val="21"/>
              </w:rPr>
            </w:pPr>
          </w:p>
        </w:tc>
        <w:tc>
          <w:tcPr>
            <w:tcW w:w="252" w:type="pct"/>
            <w:shd w:val="clear" w:color="auto" w:fill="auto"/>
            <w:vAlign w:val="center"/>
          </w:tcPr>
          <w:p w14:paraId="52E4B325">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1</w:t>
            </w:r>
          </w:p>
        </w:tc>
        <w:tc>
          <w:tcPr>
            <w:tcW w:w="252" w:type="pct"/>
            <w:shd w:val="clear" w:color="auto" w:fill="auto"/>
            <w:vAlign w:val="center"/>
          </w:tcPr>
          <w:p w14:paraId="51279EF5">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台</w:t>
            </w:r>
          </w:p>
        </w:tc>
        <w:tc>
          <w:tcPr>
            <w:tcW w:w="339" w:type="pct"/>
            <w:vAlign w:val="center"/>
          </w:tcPr>
          <w:p w14:paraId="702DBB06">
            <w:pPr>
              <w:jc w:val="center"/>
              <w:rPr>
                <w:bCs/>
                <w:szCs w:val="21"/>
              </w:rPr>
            </w:pPr>
          </w:p>
        </w:tc>
        <w:tc>
          <w:tcPr>
            <w:tcW w:w="339" w:type="pct"/>
            <w:vAlign w:val="center"/>
          </w:tcPr>
          <w:p w14:paraId="480DACF3">
            <w:pPr>
              <w:jc w:val="center"/>
              <w:rPr>
                <w:bCs/>
                <w:szCs w:val="21"/>
              </w:rPr>
            </w:pPr>
          </w:p>
        </w:tc>
        <w:tc>
          <w:tcPr>
            <w:tcW w:w="517" w:type="pct"/>
            <w:vMerge w:val="continue"/>
            <w:vAlign w:val="center"/>
          </w:tcPr>
          <w:p w14:paraId="2A2DEC64">
            <w:pPr>
              <w:jc w:val="center"/>
              <w:rPr>
                <w:bCs/>
                <w:szCs w:val="21"/>
              </w:rPr>
            </w:pPr>
          </w:p>
        </w:tc>
        <w:tc>
          <w:tcPr>
            <w:tcW w:w="520" w:type="pct"/>
            <w:vMerge w:val="continue"/>
            <w:vAlign w:val="center"/>
          </w:tcPr>
          <w:p w14:paraId="6CD0A36B">
            <w:pPr>
              <w:jc w:val="center"/>
              <w:rPr>
                <w:bCs/>
                <w:szCs w:val="21"/>
              </w:rPr>
            </w:pPr>
          </w:p>
        </w:tc>
      </w:tr>
      <w:tr w14:paraId="52351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420F0E18">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8</w:t>
            </w:r>
          </w:p>
        </w:tc>
        <w:tc>
          <w:tcPr>
            <w:tcW w:w="500" w:type="pct"/>
            <w:vMerge w:val="continue"/>
            <w:vAlign w:val="center"/>
          </w:tcPr>
          <w:p w14:paraId="2F61F92F">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6B49AF14">
            <w:pPr>
              <w:keepNext w:val="0"/>
              <w:keepLines w:val="0"/>
              <w:widowControl/>
              <w:suppressLineNumbers w:val="0"/>
              <w:jc w:val="center"/>
              <w:textAlignment w:val="center"/>
              <w:rPr>
                <w:rFonts w:hint="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扩展模块</w:t>
            </w:r>
          </w:p>
        </w:tc>
        <w:tc>
          <w:tcPr>
            <w:tcW w:w="252" w:type="pct"/>
            <w:vAlign w:val="center"/>
          </w:tcPr>
          <w:p w14:paraId="38DD4802">
            <w:pPr>
              <w:jc w:val="center"/>
              <w:rPr>
                <w:bCs/>
                <w:szCs w:val="21"/>
              </w:rPr>
            </w:pPr>
          </w:p>
        </w:tc>
        <w:tc>
          <w:tcPr>
            <w:tcW w:w="252" w:type="pct"/>
            <w:vAlign w:val="center"/>
          </w:tcPr>
          <w:p w14:paraId="60ED04BA">
            <w:pPr>
              <w:jc w:val="center"/>
              <w:rPr>
                <w:bCs/>
                <w:szCs w:val="21"/>
              </w:rPr>
            </w:pPr>
          </w:p>
        </w:tc>
        <w:tc>
          <w:tcPr>
            <w:tcW w:w="252" w:type="pct"/>
            <w:vAlign w:val="center"/>
          </w:tcPr>
          <w:p w14:paraId="06B04788">
            <w:pPr>
              <w:jc w:val="center"/>
              <w:rPr>
                <w:bCs/>
                <w:szCs w:val="21"/>
              </w:rPr>
            </w:pPr>
          </w:p>
        </w:tc>
        <w:tc>
          <w:tcPr>
            <w:tcW w:w="252" w:type="pct"/>
            <w:vAlign w:val="center"/>
          </w:tcPr>
          <w:p w14:paraId="1F813A5A">
            <w:pPr>
              <w:jc w:val="center"/>
              <w:rPr>
                <w:bCs/>
                <w:szCs w:val="21"/>
              </w:rPr>
            </w:pPr>
          </w:p>
        </w:tc>
        <w:tc>
          <w:tcPr>
            <w:tcW w:w="252" w:type="pct"/>
            <w:shd w:val="clear" w:color="auto" w:fill="auto"/>
            <w:vAlign w:val="center"/>
          </w:tcPr>
          <w:p w14:paraId="14F5687B">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6</w:t>
            </w:r>
          </w:p>
        </w:tc>
        <w:tc>
          <w:tcPr>
            <w:tcW w:w="252" w:type="pct"/>
            <w:shd w:val="clear" w:color="auto" w:fill="auto"/>
            <w:vAlign w:val="center"/>
          </w:tcPr>
          <w:p w14:paraId="618CBDA9">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台</w:t>
            </w:r>
          </w:p>
        </w:tc>
        <w:tc>
          <w:tcPr>
            <w:tcW w:w="339" w:type="pct"/>
            <w:vAlign w:val="center"/>
          </w:tcPr>
          <w:p w14:paraId="372FC3D3">
            <w:pPr>
              <w:jc w:val="center"/>
              <w:rPr>
                <w:bCs/>
                <w:szCs w:val="21"/>
              </w:rPr>
            </w:pPr>
          </w:p>
        </w:tc>
        <w:tc>
          <w:tcPr>
            <w:tcW w:w="339" w:type="pct"/>
            <w:vAlign w:val="center"/>
          </w:tcPr>
          <w:p w14:paraId="7026BD54">
            <w:pPr>
              <w:jc w:val="center"/>
              <w:rPr>
                <w:bCs/>
                <w:szCs w:val="21"/>
              </w:rPr>
            </w:pPr>
          </w:p>
        </w:tc>
        <w:tc>
          <w:tcPr>
            <w:tcW w:w="517" w:type="pct"/>
            <w:vMerge w:val="continue"/>
            <w:vAlign w:val="center"/>
          </w:tcPr>
          <w:p w14:paraId="75767820">
            <w:pPr>
              <w:jc w:val="center"/>
              <w:rPr>
                <w:bCs/>
                <w:szCs w:val="21"/>
              </w:rPr>
            </w:pPr>
          </w:p>
        </w:tc>
        <w:tc>
          <w:tcPr>
            <w:tcW w:w="520" w:type="pct"/>
            <w:vMerge w:val="continue"/>
            <w:vAlign w:val="center"/>
          </w:tcPr>
          <w:p w14:paraId="6EC976FE">
            <w:pPr>
              <w:jc w:val="center"/>
              <w:rPr>
                <w:bCs/>
                <w:szCs w:val="21"/>
              </w:rPr>
            </w:pPr>
          </w:p>
        </w:tc>
      </w:tr>
      <w:tr w14:paraId="2AF7A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 w:type="pct"/>
            <w:vAlign w:val="center"/>
          </w:tcPr>
          <w:p w14:paraId="75088029">
            <w:pPr>
              <w:adjustRightInd w:val="0"/>
              <w:snapToGrid w:val="0"/>
              <w:jc w:val="center"/>
              <w:rPr>
                <w:rFonts w:hint="eastAsia"/>
                <w:bCs/>
                <w:color w:val="auto"/>
                <w:szCs w:val="21"/>
              </w:rPr>
            </w:pPr>
            <w:r>
              <w:rPr>
                <w:rFonts w:hint="eastAsia" w:ascii="宋体" w:hAnsi="宋体" w:eastAsia="宋体" w:cs="宋体"/>
                <w:color w:val="auto"/>
                <w:sz w:val="24"/>
                <w:szCs w:val="24"/>
                <w:lang w:val="en-US" w:eastAsia="zh-CN"/>
              </w:rPr>
              <w:t>9</w:t>
            </w:r>
          </w:p>
        </w:tc>
        <w:tc>
          <w:tcPr>
            <w:tcW w:w="500" w:type="pct"/>
            <w:vMerge w:val="continue"/>
            <w:vAlign w:val="center"/>
          </w:tcPr>
          <w:p w14:paraId="377DE82C">
            <w:pPr>
              <w:keepNext w:val="0"/>
              <w:keepLines w:val="0"/>
              <w:widowControl/>
              <w:suppressLineNumbers w:val="0"/>
              <w:jc w:val="center"/>
              <w:textAlignment w:val="center"/>
              <w:rPr>
                <w:rFonts w:hint="eastAsia" w:ascii="宋体" w:hAnsi="宋体" w:eastAsia="宋体" w:cs="宋体"/>
                <w:i w:val="0"/>
                <w:iCs w:val="0"/>
                <w:color w:val="auto"/>
                <w:kern w:val="0"/>
                <w:sz w:val="24"/>
                <w:szCs w:val="24"/>
                <w:u w:val="none"/>
                <w:lang w:val="en-US" w:eastAsia="zh-CN" w:bidi="ar"/>
              </w:rPr>
            </w:pPr>
          </w:p>
        </w:tc>
        <w:tc>
          <w:tcPr>
            <w:tcW w:w="1017" w:type="pct"/>
            <w:vAlign w:val="center"/>
          </w:tcPr>
          <w:p w14:paraId="1E97E8CB">
            <w:pPr>
              <w:keepNext w:val="0"/>
              <w:keepLines w:val="0"/>
              <w:widowControl/>
              <w:suppressLineNumbers w:val="0"/>
              <w:jc w:val="center"/>
              <w:textAlignment w:val="center"/>
              <w:rPr>
                <w:rFonts w:hint="eastAsia"/>
                <w:bCs/>
                <w:color w:val="auto"/>
                <w:szCs w:val="21"/>
                <w:lang w:eastAsia="zh-CN"/>
              </w:rPr>
            </w:pPr>
            <w:r>
              <w:rPr>
                <w:rFonts w:hint="eastAsia" w:ascii="宋体" w:hAnsi="宋体" w:eastAsia="宋体" w:cs="宋体"/>
                <w:i w:val="0"/>
                <w:iCs w:val="0"/>
                <w:color w:val="auto"/>
                <w:kern w:val="0"/>
                <w:sz w:val="24"/>
                <w:szCs w:val="24"/>
                <w:u w:val="none"/>
                <w:lang w:val="en-US" w:eastAsia="zh-CN" w:bidi="ar"/>
              </w:rPr>
              <w:t>温湿度监测设备</w:t>
            </w:r>
          </w:p>
        </w:tc>
        <w:tc>
          <w:tcPr>
            <w:tcW w:w="252" w:type="pct"/>
            <w:vAlign w:val="center"/>
          </w:tcPr>
          <w:p w14:paraId="695B996B">
            <w:pPr>
              <w:jc w:val="center"/>
              <w:rPr>
                <w:bCs/>
                <w:szCs w:val="21"/>
              </w:rPr>
            </w:pPr>
          </w:p>
        </w:tc>
        <w:tc>
          <w:tcPr>
            <w:tcW w:w="252" w:type="pct"/>
            <w:vAlign w:val="center"/>
          </w:tcPr>
          <w:p w14:paraId="3A6D3F79">
            <w:pPr>
              <w:jc w:val="center"/>
              <w:rPr>
                <w:bCs/>
                <w:szCs w:val="21"/>
              </w:rPr>
            </w:pPr>
          </w:p>
        </w:tc>
        <w:tc>
          <w:tcPr>
            <w:tcW w:w="252" w:type="pct"/>
            <w:vAlign w:val="center"/>
          </w:tcPr>
          <w:p w14:paraId="42B4ACEB">
            <w:pPr>
              <w:jc w:val="center"/>
              <w:rPr>
                <w:bCs/>
                <w:szCs w:val="21"/>
              </w:rPr>
            </w:pPr>
          </w:p>
        </w:tc>
        <w:tc>
          <w:tcPr>
            <w:tcW w:w="252" w:type="pct"/>
            <w:vAlign w:val="center"/>
          </w:tcPr>
          <w:p w14:paraId="1A157016">
            <w:pPr>
              <w:jc w:val="center"/>
              <w:rPr>
                <w:bCs/>
                <w:szCs w:val="21"/>
              </w:rPr>
            </w:pPr>
          </w:p>
        </w:tc>
        <w:tc>
          <w:tcPr>
            <w:tcW w:w="252" w:type="pct"/>
            <w:shd w:val="clear" w:color="auto" w:fill="auto"/>
            <w:vAlign w:val="center"/>
          </w:tcPr>
          <w:p w14:paraId="7560F221">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22</w:t>
            </w:r>
          </w:p>
        </w:tc>
        <w:tc>
          <w:tcPr>
            <w:tcW w:w="252" w:type="pct"/>
            <w:shd w:val="clear" w:color="auto" w:fill="auto"/>
            <w:vAlign w:val="center"/>
          </w:tcPr>
          <w:p w14:paraId="3710F078">
            <w:pPr>
              <w:keepNext w:val="0"/>
              <w:keepLines w:val="0"/>
              <w:widowControl/>
              <w:suppressLineNumbers w:val="0"/>
              <w:jc w:val="center"/>
              <w:textAlignment w:val="center"/>
              <w:rPr>
                <w:rFonts w:hint="eastAsia" w:ascii="宋体" w:hAnsi="宋体" w:eastAsia="宋体" w:cs="宋体"/>
                <w:color w:val="auto"/>
                <w:sz w:val="24"/>
                <w:szCs w:val="24"/>
                <w:lang w:val="en-US" w:eastAsia="zh-CN" w:bidi="ar-SA"/>
              </w:rPr>
            </w:pPr>
            <w:r>
              <w:rPr>
                <w:rFonts w:hint="eastAsia" w:ascii="宋体" w:hAnsi="宋体" w:eastAsia="宋体" w:cs="宋体"/>
                <w:i w:val="0"/>
                <w:iCs w:val="0"/>
                <w:color w:val="auto"/>
                <w:kern w:val="0"/>
                <w:sz w:val="24"/>
                <w:szCs w:val="24"/>
                <w:u w:val="none"/>
                <w:lang w:val="en-US" w:eastAsia="zh-CN" w:bidi="ar"/>
              </w:rPr>
              <w:t>套</w:t>
            </w:r>
          </w:p>
        </w:tc>
        <w:tc>
          <w:tcPr>
            <w:tcW w:w="339" w:type="pct"/>
            <w:vAlign w:val="center"/>
          </w:tcPr>
          <w:p w14:paraId="3A44DC99">
            <w:pPr>
              <w:jc w:val="center"/>
              <w:rPr>
                <w:bCs/>
                <w:szCs w:val="21"/>
              </w:rPr>
            </w:pPr>
          </w:p>
        </w:tc>
        <w:tc>
          <w:tcPr>
            <w:tcW w:w="339" w:type="pct"/>
            <w:vAlign w:val="center"/>
          </w:tcPr>
          <w:p w14:paraId="745FD900">
            <w:pPr>
              <w:jc w:val="center"/>
              <w:rPr>
                <w:bCs/>
                <w:szCs w:val="21"/>
              </w:rPr>
            </w:pPr>
          </w:p>
        </w:tc>
        <w:tc>
          <w:tcPr>
            <w:tcW w:w="517" w:type="pct"/>
            <w:vMerge w:val="continue"/>
            <w:vAlign w:val="center"/>
          </w:tcPr>
          <w:p w14:paraId="33D0DAFF">
            <w:pPr>
              <w:jc w:val="center"/>
              <w:rPr>
                <w:bCs/>
                <w:szCs w:val="21"/>
              </w:rPr>
            </w:pPr>
          </w:p>
        </w:tc>
        <w:tc>
          <w:tcPr>
            <w:tcW w:w="520" w:type="pct"/>
            <w:vMerge w:val="continue"/>
            <w:vAlign w:val="center"/>
          </w:tcPr>
          <w:p w14:paraId="369F7F7C">
            <w:pPr>
              <w:jc w:val="center"/>
              <w:rPr>
                <w:bCs/>
                <w:szCs w:val="21"/>
              </w:rPr>
            </w:pPr>
          </w:p>
        </w:tc>
      </w:tr>
      <w:tr w14:paraId="4DE69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13"/>
            <w:vAlign w:val="center"/>
          </w:tcPr>
          <w:p w14:paraId="12124BED">
            <w:pPr>
              <w:jc w:val="center"/>
              <w:rPr>
                <w:bCs/>
                <w:szCs w:val="21"/>
              </w:rPr>
            </w:pPr>
            <w:r>
              <w:rPr>
                <w:rFonts w:hint="eastAsia"/>
                <w:bCs/>
                <w:szCs w:val="21"/>
              </w:rPr>
              <w:t>合计（即投标总价；币种：人民币；单位：元） 小写：         大写：</w:t>
            </w:r>
          </w:p>
        </w:tc>
      </w:tr>
    </w:tbl>
    <w:p w14:paraId="2932F0AF">
      <w:pPr>
        <w:tabs>
          <w:tab w:val="left" w:pos="720"/>
        </w:tabs>
        <w:ind w:firstLine="3132" w:firstLineChars="1300"/>
        <w:rPr>
          <w:b/>
        </w:rPr>
      </w:pPr>
    </w:p>
    <w:p w14:paraId="5A00AE8A">
      <w:pPr>
        <w:pStyle w:val="2"/>
        <w:rPr>
          <w:rFonts w:ascii="宋体" w:hAnsi="宋体"/>
          <w:b/>
        </w:rPr>
      </w:pPr>
    </w:p>
    <w:p w14:paraId="2112ACA3">
      <w:pPr>
        <w:pStyle w:val="3"/>
        <w:rPr>
          <w:rFonts w:hint="eastAsia" w:ascii="宋体" w:hAnsi="宋体"/>
          <w:b/>
          <w:lang w:val="en-US" w:eastAsia="zh-CN"/>
        </w:rPr>
      </w:pPr>
      <w:r>
        <w:rPr>
          <w:rFonts w:hint="eastAsia" w:ascii="宋体" w:hAnsi="宋体"/>
          <w:b/>
          <w:lang w:val="en-US" w:eastAsia="zh-CN"/>
        </w:rPr>
        <w:t>投标单位（盖章）：</w:t>
      </w:r>
    </w:p>
    <w:p w14:paraId="1556349D">
      <w:pPr>
        <w:pStyle w:val="3"/>
        <w:rPr>
          <w:rFonts w:hint="default" w:ascii="宋体" w:hAnsi="宋体"/>
          <w:b/>
          <w:lang w:val="en-US" w:eastAsia="zh-CN"/>
        </w:rPr>
      </w:pPr>
      <w:r>
        <w:rPr>
          <w:rFonts w:hint="eastAsia" w:ascii="宋体" w:hAnsi="宋体"/>
          <w:b/>
          <w:lang w:val="en-US" w:eastAsia="zh-CN"/>
        </w:rPr>
        <w:t>日期：</w:t>
      </w:r>
    </w:p>
    <w:p w14:paraId="73E85063">
      <w:pPr>
        <w:pStyle w:val="3"/>
        <w:rPr>
          <w:rFonts w:ascii="宋体" w:hAnsi="宋体"/>
          <w:b/>
        </w:rPr>
      </w:pPr>
    </w:p>
    <w:p w14:paraId="38664491">
      <w:pPr>
        <w:ind w:firstLine="442" w:firstLineChars="200"/>
        <w:rPr>
          <w:rFonts w:hint="eastAsia" w:ascii="宋体" w:hAnsi="宋体"/>
          <w:b/>
          <w:sz w:val="22"/>
          <w:szCs w:val="22"/>
        </w:rPr>
      </w:pPr>
    </w:p>
    <w:p w14:paraId="26F502C9">
      <w:pPr>
        <w:ind w:firstLine="442" w:firstLineChars="200"/>
        <w:rPr>
          <w:rFonts w:ascii="宋体" w:hAnsi="宋体"/>
          <w:b/>
          <w:sz w:val="22"/>
          <w:szCs w:val="22"/>
        </w:rPr>
      </w:pPr>
      <w:r>
        <w:rPr>
          <w:rFonts w:hint="eastAsia" w:ascii="宋体" w:hAnsi="宋体"/>
          <w:b/>
          <w:sz w:val="22"/>
          <w:szCs w:val="22"/>
        </w:rPr>
        <w:t>注：1.本表可按同样格式扩展。</w:t>
      </w:r>
    </w:p>
    <w:p w14:paraId="3E6B0D4F">
      <w:pPr>
        <w:ind w:firstLine="433" w:firstLineChars="196"/>
        <w:rPr>
          <w:rFonts w:ascii="宋体" w:hAnsi="宋体"/>
          <w:b/>
          <w:sz w:val="22"/>
          <w:szCs w:val="22"/>
        </w:rPr>
      </w:pPr>
      <w:r>
        <w:rPr>
          <w:rFonts w:hint="eastAsia" w:ascii="宋体" w:hAnsi="宋体"/>
          <w:b/>
          <w:sz w:val="22"/>
          <w:szCs w:val="22"/>
        </w:rPr>
        <w:t>2</w:t>
      </w:r>
      <w:r>
        <w:rPr>
          <w:rFonts w:ascii="宋体" w:hAnsi="宋体"/>
          <w:b/>
          <w:sz w:val="22"/>
          <w:szCs w:val="22"/>
        </w:rPr>
        <w:t>.</w:t>
      </w:r>
      <w:r>
        <w:rPr>
          <w:rFonts w:hint="eastAsia" w:ascii="宋体" w:hAnsi="宋体"/>
          <w:b/>
          <w:sz w:val="22"/>
          <w:szCs w:val="22"/>
        </w:rPr>
        <w:t>“品牌”可以与商标一致，也可以填写便于区分其他公司商品的制造商简称或者制造商认可的品牌名称。</w:t>
      </w:r>
    </w:p>
    <w:p w14:paraId="064BEFF7">
      <w:pPr>
        <w:ind w:firstLine="433" w:firstLineChars="196"/>
        <w:rPr>
          <w:b/>
          <w:sz w:val="22"/>
          <w:szCs w:val="22"/>
        </w:rPr>
      </w:pPr>
      <w:r>
        <w:rPr>
          <w:rFonts w:hint="eastAsia" w:ascii="宋体" w:hAnsi="宋体"/>
          <w:b/>
          <w:sz w:val="22"/>
          <w:szCs w:val="22"/>
        </w:rPr>
        <w:t>3.如所投货物属于定制类的非量产货物或无具体型号的货物，可以在“规格/型号”栏目仅填写规格信息而不填型号信息（型号信息用“定制”描述即可）；</w:t>
      </w:r>
      <w:bookmarkStart w:id="34" w:name="_Hlk73646428"/>
      <w:r>
        <w:rPr>
          <w:rFonts w:hint="eastAsia" w:ascii="宋体" w:hAnsi="宋体"/>
          <w:b/>
          <w:sz w:val="22"/>
          <w:szCs w:val="22"/>
        </w:rPr>
        <w:t>此类填写错误或缺漏（所投货物为定制类的非量产货物但供应商却错误填报了型号）的不利后果</w:t>
      </w:r>
      <w:r>
        <w:rPr>
          <w:rFonts w:hint="eastAsia"/>
          <w:b/>
          <w:sz w:val="22"/>
          <w:szCs w:val="22"/>
        </w:rPr>
        <w:t>由供应商承担。经评审委员会认定，在使用综合评分法的项目中一项此类填写错误或缺漏将按照一项普通招标技术要求（一般参数/普通参数）负偏离扣分处理。</w:t>
      </w:r>
      <w:bookmarkEnd w:id="34"/>
    </w:p>
    <w:p w14:paraId="09668D69">
      <w:pPr>
        <w:ind w:firstLine="433" w:firstLineChars="196"/>
        <w:rPr>
          <w:rFonts w:ascii="宋体" w:hAnsi="宋体"/>
          <w:b/>
          <w:sz w:val="22"/>
          <w:szCs w:val="22"/>
        </w:rPr>
      </w:pPr>
      <w:r>
        <w:rPr>
          <w:rFonts w:ascii="宋体" w:hAnsi="宋体"/>
          <w:b/>
          <w:sz w:val="22"/>
          <w:szCs w:val="22"/>
        </w:rPr>
        <w:t>3</w:t>
      </w:r>
      <w:r>
        <w:rPr>
          <w:rFonts w:hint="eastAsia" w:ascii="宋体" w:hAnsi="宋体"/>
          <w:b/>
          <w:sz w:val="22"/>
          <w:szCs w:val="22"/>
        </w:rPr>
        <w:t>.“原产地”是指货物的实际生产加工地，非品牌所在地</w:t>
      </w:r>
    </w:p>
    <w:p w14:paraId="71A94E8C">
      <w:pPr>
        <w:ind w:firstLine="433" w:firstLineChars="196"/>
        <w:rPr>
          <w:rFonts w:ascii="宋体" w:hAnsi="宋体"/>
          <w:b/>
          <w:sz w:val="22"/>
          <w:szCs w:val="22"/>
        </w:rPr>
      </w:pPr>
      <w:r>
        <w:rPr>
          <w:rFonts w:ascii="宋体" w:hAnsi="宋体"/>
          <w:b/>
          <w:sz w:val="22"/>
          <w:szCs w:val="22"/>
        </w:rPr>
        <w:t>4</w:t>
      </w:r>
      <w:r>
        <w:rPr>
          <w:rFonts w:hint="eastAsia" w:ascii="宋体" w:hAnsi="宋体"/>
          <w:b/>
          <w:sz w:val="22"/>
          <w:szCs w:val="22"/>
        </w:rPr>
        <w:t>.所投货物均应填写制造商名称，“制造商”是指产品品牌厂商，产品代工制造的，应填写接受委托生产制造的制造商。</w:t>
      </w:r>
    </w:p>
    <w:p w14:paraId="681D9F08">
      <w:pPr>
        <w:ind w:firstLine="442" w:firstLineChars="200"/>
        <w:rPr>
          <w:rFonts w:ascii="宋体" w:hAnsi="宋体"/>
          <w:b/>
          <w:sz w:val="22"/>
          <w:szCs w:val="22"/>
        </w:rPr>
      </w:pPr>
      <w:r>
        <w:rPr>
          <w:rFonts w:ascii="宋体" w:hAnsi="宋体"/>
          <w:b/>
          <w:sz w:val="22"/>
          <w:szCs w:val="22"/>
        </w:rPr>
        <w:t>5</w:t>
      </w:r>
      <w:r>
        <w:rPr>
          <w:rFonts w:hint="eastAsia" w:ascii="宋体" w:hAnsi="宋体"/>
          <w:b/>
          <w:sz w:val="22"/>
          <w:szCs w:val="22"/>
        </w:rPr>
        <w:t>.以上分项报价表的投标总价应当与开标一览表的投标总价一致。</w:t>
      </w:r>
    </w:p>
    <w:p w14:paraId="3B09076C">
      <w:pPr>
        <w:ind w:firstLine="442" w:firstLineChars="200"/>
        <w:rPr>
          <w:rFonts w:ascii="宋体" w:hAnsi="宋体"/>
          <w:b/>
          <w:sz w:val="22"/>
          <w:szCs w:val="22"/>
        </w:rPr>
      </w:pPr>
      <w:r>
        <w:rPr>
          <w:rFonts w:ascii="宋体" w:hAnsi="宋体"/>
          <w:b/>
          <w:sz w:val="22"/>
          <w:szCs w:val="22"/>
        </w:rPr>
        <w:t>6</w:t>
      </w:r>
      <w:r>
        <w:rPr>
          <w:rFonts w:hint="eastAsia" w:ascii="宋体" w:hAnsi="宋体"/>
          <w:b/>
          <w:sz w:val="22"/>
          <w:szCs w:val="22"/>
        </w:rPr>
        <w:t>.单价、合价和投标总价为包干价，即三者均应包含货物的价款、包装、运输、装卸、安装、调试、技术指导、培训、咨询、服务、保险、税费、检测、验收合格交付使用之前以及技术和售后服务等其他各项有关费用。</w:t>
      </w:r>
    </w:p>
    <w:p w14:paraId="266AB5BE">
      <w:pPr>
        <w:ind w:firstLine="442" w:firstLineChars="200"/>
        <w:rPr>
          <w:rFonts w:ascii="宋体" w:hAnsi="宋体"/>
          <w:b/>
          <w:sz w:val="22"/>
          <w:szCs w:val="22"/>
        </w:rPr>
      </w:pPr>
      <w:r>
        <w:rPr>
          <w:rFonts w:ascii="宋体" w:hAnsi="宋体"/>
          <w:b/>
          <w:sz w:val="22"/>
          <w:szCs w:val="22"/>
        </w:rPr>
        <w:t>7</w:t>
      </w:r>
      <w:r>
        <w:rPr>
          <w:rFonts w:hint="eastAsia" w:ascii="宋体" w:hAnsi="宋体"/>
          <w:b/>
          <w:sz w:val="22"/>
          <w:szCs w:val="22"/>
        </w:rPr>
        <w:t>.所有价格应按“招标文件”中规定的货币单位填写；投标总价应为以上各分项价格之和；投标总价和项目报价表中单个采购预算条目报价均不得超过对应的财政预算限额，否则将导致投标无效。</w:t>
      </w:r>
    </w:p>
    <w:p w14:paraId="37A35211">
      <w:pPr>
        <w:ind w:firstLine="482" w:firstLineChars="200"/>
        <w:rPr>
          <w:rFonts w:ascii="宋体" w:hAnsi="宋体"/>
          <w:b/>
          <w:color w:val="FF0000"/>
        </w:rPr>
      </w:pPr>
    </w:p>
    <w:p w14:paraId="5EDD6DF2">
      <w:pPr>
        <w:ind w:firstLine="482" w:firstLineChars="200"/>
        <w:rPr>
          <w:rFonts w:ascii="宋体" w:hAnsi="宋体"/>
          <w:b/>
          <w:color w:val="FF0000"/>
        </w:rPr>
      </w:pPr>
    </w:p>
    <w:p w14:paraId="7EE69E58">
      <w:pPr>
        <w:tabs>
          <w:tab w:val="left" w:pos="720"/>
        </w:tabs>
        <w:jc w:val="center"/>
        <w:rPr>
          <w:b/>
        </w:rPr>
      </w:pPr>
      <w:r>
        <w:rPr>
          <w:rFonts w:hint="eastAsia"/>
          <w:b/>
        </w:rPr>
        <w:t>（二）核心产品品牌</w:t>
      </w:r>
    </w:p>
    <w:p w14:paraId="798E966B">
      <w:pPr>
        <w:ind w:firstLine="482" w:firstLineChars="200"/>
        <w:rPr>
          <w:rFonts w:ascii="宋体" w:hAnsi="宋体"/>
          <w:b/>
          <w:color w:val="FF0000"/>
        </w:rPr>
      </w:pPr>
    </w:p>
    <w:p w14:paraId="7BC94683">
      <w:pPr>
        <w:ind w:firstLine="482" w:firstLineChars="200"/>
        <w:rPr>
          <w:rFonts w:ascii="宋体" w:hAnsi="宋体"/>
          <w:b/>
        </w:rPr>
      </w:pPr>
      <w:r>
        <w:rPr>
          <w:rFonts w:hint="eastAsia"/>
          <w:b/>
        </w:rPr>
        <w:t>我单位所投核心产品的品牌为：</w:t>
      </w:r>
      <w:r>
        <w:rPr>
          <w:rFonts w:hint="eastAsia"/>
          <w:b/>
          <w:u w:val="single"/>
        </w:rPr>
        <w:t xml:space="preserve">               </w:t>
      </w:r>
      <w:r>
        <w:rPr>
          <w:rFonts w:hint="eastAsia"/>
          <w:b/>
        </w:rPr>
        <w:t>。</w:t>
      </w:r>
    </w:p>
    <w:p w14:paraId="46F22483">
      <w:pPr>
        <w:ind w:firstLine="482" w:firstLineChars="200"/>
        <w:rPr>
          <w:rFonts w:ascii="宋体" w:hAnsi="宋体"/>
          <w:b/>
          <w:color w:val="FF0000"/>
        </w:rPr>
      </w:pPr>
    </w:p>
    <w:p w14:paraId="318E4869">
      <w:pPr>
        <w:ind w:firstLine="480" w:firstLineChars="200"/>
        <w:rPr>
          <w:rFonts w:ascii="宋体" w:hAnsi="宋体"/>
        </w:rPr>
      </w:pPr>
      <w:r>
        <w:rPr>
          <w:rFonts w:hint="eastAsia" w:ascii="宋体" w:hAnsi="宋体"/>
        </w:rPr>
        <w:t>备注：单一产品采购项目，核心产品即为该单一产品。</w:t>
      </w:r>
    </w:p>
    <w:p w14:paraId="7F3599EB">
      <w:pPr>
        <w:ind w:firstLine="482" w:firstLineChars="200"/>
        <w:rPr>
          <w:rFonts w:ascii="宋体" w:hAnsi="宋体"/>
          <w:b/>
          <w:color w:val="FF0000"/>
        </w:rPr>
      </w:pPr>
    </w:p>
    <w:p w14:paraId="2992B89D">
      <w:pPr>
        <w:ind w:firstLine="482" w:firstLineChars="200"/>
        <w:jc w:val="center"/>
        <w:rPr>
          <w:rFonts w:hint="eastAsia"/>
          <w:b/>
        </w:rPr>
      </w:pPr>
    </w:p>
    <w:p w14:paraId="2763AA0F">
      <w:pPr>
        <w:tabs>
          <w:tab w:val="left" w:pos="720"/>
        </w:tabs>
        <w:ind w:firstLine="1928" w:firstLineChars="800"/>
        <w:rPr>
          <w:b/>
          <w:sz w:val="24"/>
        </w:rPr>
      </w:pPr>
      <w:r>
        <w:rPr>
          <w:rFonts w:hint="eastAsia"/>
          <w:b/>
          <w:sz w:val="24"/>
        </w:rPr>
        <w:t>（三）可选配件报价清单（不包括在总报价内）</w:t>
      </w:r>
    </w:p>
    <w:p w14:paraId="43EEA0E9">
      <w:pPr>
        <w:ind w:firstLine="482" w:firstLineChars="200"/>
        <w:rPr>
          <w:rFonts w:hAnsi="宋体"/>
          <w:b/>
          <w:bCs/>
          <w:szCs w:val="21"/>
        </w:rPr>
      </w:pPr>
      <w:r>
        <w:rPr>
          <w:rFonts w:hint="eastAsia" w:hAnsi="宋体"/>
          <w:b/>
          <w:bCs/>
          <w:szCs w:val="21"/>
        </w:rPr>
        <w:t>注：格式可以参照《（一）分项报价表》表格，并提供相应的品牌/规格/型号、原产地、制造商信息（没有品牌、型号的，用“定制”描述即可）、单价等详细信息</w:t>
      </w:r>
    </w:p>
    <w:p w14:paraId="1AE25759">
      <w:pPr>
        <w:ind w:firstLine="482" w:firstLineChars="200"/>
        <w:rPr>
          <w:rFonts w:hAnsi="宋体"/>
          <w:b/>
          <w:bCs/>
          <w:sz w:val="24"/>
        </w:rPr>
      </w:pPr>
    </w:p>
    <w:p w14:paraId="715BD01D">
      <w:pPr>
        <w:ind w:firstLine="482" w:firstLineChars="200"/>
        <w:rPr>
          <w:rFonts w:hAnsi="宋体"/>
          <w:b/>
          <w:bCs/>
          <w:sz w:val="24"/>
        </w:rPr>
      </w:pPr>
    </w:p>
    <w:p w14:paraId="0279621A">
      <w:pPr>
        <w:tabs>
          <w:tab w:val="left" w:pos="720"/>
        </w:tabs>
        <w:jc w:val="center"/>
        <w:rPr>
          <w:b/>
          <w:sz w:val="24"/>
        </w:rPr>
      </w:pPr>
      <w:r>
        <w:rPr>
          <w:rFonts w:hint="eastAsia"/>
          <w:b/>
          <w:sz w:val="24"/>
        </w:rPr>
        <w:t>（四）投标人认为需要涉及的其他内容报价清单</w:t>
      </w:r>
    </w:p>
    <w:p w14:paraId="44A38A80">
      <w:pPr>
        <w:ind w:firstLine="422" w:firstLineChars="200"/>
        <w:rPr>
          <w:rFonts w:asciiTheme="minorEastAsia" w:hAnsiTheme="minorEastAsia" w:cstheme="minorEastAsia"/>
          <w:b/>
          <w:color w:val="FF0000"/>
          <w:sz w:val="21"/>
          <w:szCs w:val="21"/>
        </w:rPr>
      </w:pPr>
    </w:p>
    <w:p w14:paraId="23D8A63E">
      <w:pPr>
        <w:spacing w:line="360" w:lineRule="exact"/>
        <w:jc w:val="center"/>
        <w:rPr>
          <w:rFonts w:asciiTheme="minorEastAsia" w:hAnsiTheme="minorEastAsia" w:cstheme="minorEastAsia"/>
          <w:b/>
          <w:sz w:val="21"/>
          <w:szCs w:val="21"/>
        </w:rPr>
      </w:pPr>
      <w:bookmarkStart w:id="35" w:name="_Toc45995263"/>
      <w:bookmarkStart w:id="36" w:name="_Toc36971355"/>
      <w:bookmarkStart w:id="37" w:name="_Toc7167"/>
    </w:p>
    <w:p w14:paraId="09DC5D5D">
      <w:pPr>
        <w:spacing w:line="420" w:lineRule="exact"/>
        <w:outlineLvl w:val="3"/>
        <w:rPr>
          <w:rFonts w:asciiTheme="minorEastAsia" w:hAnsiTheme="minorEastAsia" w:cstheme="minorEastAsia"/>
          <w:b/>
          <w:sz w:val="21"/>
          <w:szCs w:val="21"/>
        </w:rPr>
      </w:pPr>
    </w:p>
    <w:p w14:paraId="33A5190B">
      <w:pPr>
        <w:spacing w:line="420" w:lineRule="exact"/>
        <w:outlineLvl w:val="3"/>
        <w:rPr>
          <w:rFonts w:asciiTheme="minorEastAsia" w:hAnsiTheme="minorEastAsia" w:cstheme="minorEastAsia"/>
          <w:b/>
          <w:sz w:val="21"/>
          <w:szCs w:val="21"/>
        </w:rPr>
      </w:pPr>
    </w:p>
    <w:bookmarkEnd w:id="35"/>
    <w:bookmarkEnd w:id="36"/>
    <w:p w14:paraId="55157632">
      <w:pPr>
        <w:numPr>
          <w:ilvl w:val="255"/>
          <w:numId w:val="0"/>
        </w:numPr>
        <w:rPr>
          <w:rFonts w:asciiTheme="minorEastAsia" w:hAnsiTheme="minorEastAsia" w:cstheme="minorEastAsia"/>
          <w:b/>
          <w:bCs/>
        </w:rPr>
      </w:pPr>
      <w:r>
        <w:rPr>
          <w:rFonts w:hint="eastAsia" w:asciiTheme="minorEastAsia" w:hAnsiTheme="minorEastAsia" w:cstheme="minorEastAsia"/>
          <w:b/>
          <w:bCs/>
        </w:rPr>
        <w:br w:type="page"/>
      </w:r>
    </w:p>
    <w:p w14:paraId="253D803F">
      <w:pPr>
        <w:spacing w:line="420" w:lineRule="exact"/>
        <w:outlineLvl w:val="3"/>
        <w:rPr>
          <w:rFonts w:asciiTheme="minorEastAsia" w:hAnsiTheme="minorEastAsia" w:cstheme="minorEastAsia"/>
          <w:b/>
          <w:bCs/>
        </w:rPr>
      </w:pPr>
      <w:r>
        <w:rPr>
          <w:rFonts w:hint="eastAsia" w:asciiTheme="minorEastAsia" w:hAnsiTheme="minorEastAsia" w:cstheme="minorEastAsia"/>
          <w:b/>
          <w:bCs/>
        </w:rPr>
        <w:t>九、技术要求偏离表</w:t>
      </w:r>
      <w:bookmarkEnd w:id="37"/>
    </w:p>
    <w:tbl>
      <w:tblPr>
        <w:tblStyle w:val="19"/>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913"/>
        <w:gridCol w:w="5066"/>
        <w:gridCol w:w="839"/>
        <w:gridCol w:w="839"/>
        <w:gridCol w:w="526"/>
      </w:tblGrid>
      <w:tr w14:paraId="02434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482" w:type="pct"/>
            <w:shd w:val="clear" w:color="auto" w:fill="auto"/>
            <w:vAlign w:val="center"/>
          </w:tcPr>
          <w:p w14:paraId="4A1C3BDB">
            <w:pPr>
              <w:keepNext w:val="0"/>
              <w:keepLines w:val="0"/>
              <w:suppressLineNumbers w:val="0"/>
              <w:spacing w:before="0" w:beforeAutospacing="0" w:after="0" w:afterAutospacing="0"/>
              <w:ind w:left="0" w:leftChars="0" w:right="0" w:rightChars="0"/>
              <w:jc w:val="both"/>
              <w:rPr>
                <w:rFonts w:hint="default" w:cs="Times New Roman"/>
                <w:sz w:val="24"/>
                <w:szCs w:val="24"/>
                <w:lang w:val="en-US" w:eastAsia="zh-CN" w:bidi="ar-SA"/>
              </w:rPr>
            </w:pPr>
            <w:r>
              <w:rPr>
                <w:rFonts w:hint="eastAsia" w:cs="Times New Roman"/>
                <w:sz w:val="24"/>
                <w:szCs w:val="24"/>
                <w:lang w:val="en-US" w:eastAsia="zh-CN" w:bidi="ar-SA"/>
              </w:rPr>
              <w:t>序号</w:t>
            </w:r>
          </w:p>
        </w:tc>
        <w:tc>
          <w:tcPr>
            <w:tcW w:w="504" w:type="pct"/>
            <w:shd w:val="clear" w:color="auto" w:fill="auto"/>
            <w:vAlign w:val="center"/>
          </w:tcPr>
          <w:p w14:paraId="0F17C1F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sz w:val="24"/>
                <w:szCs w:val="24"/>
                <w:lang w:val="en-US" w:eastAsia="zh-CN" w:bidi="ar-SA"/>
              </w:rPr>
            </w:pPr>
            <w:r>
              <w:rPr>
                <w:rFonts w:hint="eastAsia" w:cs="Times New Roman"/>
                <w:sz w:val="24"/>
                <w:szCs w:val="24"/>
                <w:lang w:val="en-US" w:eastAsia="zh-CN" w:bidi="ar-SA"/>
              </w:rPr>
              <w:t>货物名称</w:t>
            </w:r>
          </w:p>
        </w:tc>
        <w:tc>
          <w:tcPr>
            <w:tcW w:w="2796" w:type="pct"/>
            <w:vAlign w:val="center"/>
          </w:tcPr>
          <w:p w14:paraId="28026568">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r>
              <w:rPr>
                <w:rFonts w:hint="eastAsia"/>
                <w:sz w:val="24"/>
              </w:rPr>
              <w:t>招标技术要求</w:t>
            </w:r>
          </w:p>
        </w:tc>
        <w:tc>
          <w:tcPr>
            <w:tcW w:w="463" w:type="pct"/>
            <w:vAlign w:val="center"/>
          </w:tcPr>
          <w:p w14:paraId="541A3C05">
            <w:pPr>
              <w:keepNext w:val="0"/>
              <w:keepLines w:val="0"/>
              <w:suppressLineNumbers w:val="0"/>
              <w:spacing w:before="0" w:beforeAutospacing="0" w:after="0" w:afterAutospacing="0"/>
              <w:ind w:left="0" w:right="0"/>
              <w:jc w:val="center"/>
              <w:rPr>
                <w:rFonts w:hint="eastAsia"/>
                <w:sz w:val="24"/>
              </w:rPr>
            </w:pPr>
            <w:r>
              <w:rPr>
                <w:rFonts w:hint="eastAsia"/>
                <w:sz w:val="24"/>
              </w:rPr>
              <w:t>投标技术响应</w:t>
            </w:r>
          </w:p>
        </w:tc>
        <w:tc>
          <w:tcPr>
            <w:tcW w:w="463" w:type="pct"/>
            <w:vAlign w:val="center"/>
          </w:tcPr>
          <w:p w14:paraId="57D4CF48">
            <w:pPr>
              <w:keepNext w:val="0"/>
              <w:keepLines w:val="0"/>
              <w:suppressLineNumbers w:val="0"/>
              <w:spacing w:before="0" w:beforeAutospacing="0" w:after="0" w:afterAutospacing="0"/>
              <w:ind w:left="0" w:right="0"/>
              <w:jc w:val="center"/>
              <w:rPr>
                <w:rFonts w:hint="eastAsia"/>
                <w:sz w:val="24"/>
              </w:rPr>
            </w:pPr>
            <w:r>
              <w:rPr>
                <w:rFonts w:hint="eastAsia"/>
                <w:sz w:val="24"/>
              </w:rPr>
              <w:t>偏离情况</w:t>
            </w:r>
          </w:p>
        </w:tc>
        <w:tc>
          <w:tcPr>
            <w:tcW w:w="290" w:type="pct"/>
            <w:vAlign w:val="center"/>
          </w:tcPr>
          <w:p w14:paraId="729E330C">
            <w:pPr>
              <w:keepNext w:val="0"/>
              <w:keepLines w:val="0"/>
              <w:suppressLineNumbers w:val="0"/>
              <w:spacing w:before="0" w:beforeAutospacing="0" w:after="0" w:afterAutospacing="0"/>
              <w:ind w:left="0" w:right="0"/>
              <w:jc w:val="center"/>
              <w:rPr>
                <w:rFonts w:hint="eastAsia" w:eastAsiaTheme="minorEastAsia"/>
                <w:sz w:val="24"/>
                <w:lang w:val="en-US" w:eastAsia="zh-CN"/>
              </w:rPr>
            </w:pPr>
            <w:r>
              <w:rPr>
                <w:rFonts w:hint="eastAsia"/>
                <w:sz w:val="24"/>
                <w:lang w:val="en-US" w:eastAsia="zh-CN"/>
              </w:rPr>
              <w:t>说明</w:t>
            </w:r>
          </w:p>
        </w:tc>
      </w:tr>
      <w:tr w14:paraId="79B75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restart"/>
            <w:shd w:val="clear" w:color="auto" w:fill="auto"/>
            <w:vAlign w:val="center"/>
          </w:tcPr>
          <w:p w14:paraId="4E418BFE">
            <w:pPr>
              <w:keepNext w:val="0"/>
              <w:keepLines w:val="0"/>
              <w:suppressLineNumbers w:val="0"/>
              <w:spacing w:before="0" w:beforeAutospacing="0" w:after="0" w:afterAutospacing="0"/>
              <w:ind w:left="0" w:leftChars="0" w:right="0" w:rightChars="0"/>
              <w:jc w:val="center"/>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1</w:t>
            </w:r>
          </w:p>
        </w:tc>
        <w:tc>
          <w:tcPr>
            <w:tcW w:w="504" w:type="pct"/>
            <w:vMerge w:val="restart"/>
            <w:shd w:val="clear" w:color="auto" w:fill="auto"/>
            <w:vAlign w:val="center"/>
          </w:tcPr>
          <w:p w14:paraId="5DF7450A">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000000" w:themeColor="text1"/>
                <w:sz w:val="24"/>
                <w:szCs w:val="21"/>
                <w:lang w:val="en-US" w:eastAsia="zh-CN" w:bidi="ar-SA"/>
                <w14:textFill>
                  <w14:solidFill>
                    <w14:schemeClr w14:val="tx1"/>
                  </w14:solidFill>
                </w14:textFill>
              </w:rPr>
            </w:pPr>
            <w:r>
              <w:rPr>
                <w:rFonts w:hint="eastAsia" w:ascii="宋体" w:hAnsi="宋体"/>
                <w:b/>
                <w:bCs/>
                <w:color w:val="auto"/>
                <w:sz w:val="21"/>
                <w:szCs w:val="21"/>
                <w:lang w:val="en-US" w:eastAsia="zh-CN"/>
              </w:rPr>
              <w:t>1.拼接控制屏</w:t>
            </w:r>
          </w:p>
        </w:tc>
        <w:tc>
          <w:tcPr>
            <w:tcW w:w="2796" w:type="pct"/>
            <w:vAlign w:val="center"/>
          </w:tcPr>
          <w:p w14:paraId="560DE691">
            <w:pPr>
              <w:pStyle w:val="5"/>
              <w:pageBreakBefore w:val="0"/>
              <w:widowControl w:val="0"/>
              <w:numPr>
                <w:ilvl w:val="0"/>
                <w:numId w:val="13"/>
              </w:numPr>
              <w:kinsoku/>
              <w:wordWrap/>
              <w:overflowPunct/>
              <w:topLinePunct w:val="0"/>
              <w:autoSpaceDE/>
              <w:autoSpaceDN/>
              <w:bidi w:val="0"/>
              <w:adjustRightInd/>
              <w:spacing w:line="240" w:lineRule="auto"/>
              <w:ind w:left="0" w:leftChars="0" w:firstLine="422" w:firstLineChars="200"/>
              <w:jc w:val="both"/>
              <w:textAlignment w:val="auto"/>
              <w:rPr>
                <w:rFonts w:hint="eastAsia" w:ascii="宋体" w:hAnsi="宋体"/>
                <w:b/>
                <w:bCs/>
                <w:color w:val="auto"/>
                <w:sz w:val="21"/>
                <w:szCs w:val="21"/>
              </w:rPr>
            </w:pPr>
            <w:r>
              <w:rPr>
                <w:rFonts w:hint="eastAsia" w:ascii="宋体" w:hAnsi="宋体"/>
                <w:b/>
                <w:bCs/>
                <w:color w:val="auto"/>
                <w:sz w:val="21"/>
                <w:szCs w:val="21"/>
                <w:lang w:val="en-US" w:eastAsia="zh-CN"/>
              </w:rPr>
              <w:t>拼接控制屏</w:t>
            </w:r>
          </w:p>
          <w:p w14:paraId="2A99699B">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（1）功能需求：</w:t>
            </w:r>
          </w:p>
          <w:p w14:paraId="498AE141">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color w:val="000000" w:themeColor="text1"/>
                <w:szCs w:val="21"/>
                <w14:textFill>
                  <w14:solidFill>
                    <w14:schemeClr w14:val="tx1"/>
                  </w14:solidFill>
                </w14:textFill>
              </w:rPr>
            </w:pPr>
            <w:r>
              <w:rPr>
                <w:rFonts w:hint="eastAsia" w:ascii="宋体" w:hAnsi="宋体"/>
                <w:color w:val="auto"/>
                <w:sz w:val="21"/>
                <w:szCs w:val="21"/>
                <w:lang w:val="en-US" w:eastAsia="zh-CN"/>
              </w:rPr>
              <w:t>以设施平面图方式实时显示房间温湿度。</w:t>
            </w:r>
          </w:p>
        </w:tc>
        <w:tc>
          <w:tcPr>
            <w:tcW w:w="463" w:type="pct"/>
          </w:tcPr>
          <w:p w14:paraId="5494BC0C">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47F947A1">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299C58ED">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C04F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7E71F3FF">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364C73E5">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72C0797C">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b/>
                <w:bCs/>
                <w:color w:val="auto"/>
                <w:sz w:val="21"/>
                <w:szCs w:val="21"/>
                <w:lang w:val="en-US" w:eastAsia="zh-CN"/>
              </w:rPr>
            </w:pPr>
            <w:r>
              <w:rPr>
                <w:rFonts w:hint="eastAsia" w:ascii="宋体" w:hAnsi="宋体"/>
                <w:color w:val="auto"/>
                <w:sz w:val="21"/>
                <w:szCs w:val="21"/>
                <w:lang w:val="en-US" w:eastAsia="zh-CN"/>
              </w:rPr>
              <w:t>以设施平面图方式实时显示房间压差。</w:t>
            </w:r>
          </w:p>
        </w:tc>
        <w:tc>
          <w:tcPr>
            <w:tcW w:w="463" w:type="pct"/>
          </w:tcPr>
          <w:p w14:paraId="522E4312">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6953B994">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0CF60FB1">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679C4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601B8232">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0880FFB0">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296D9F1F">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w:t>
            </w:r>
            <w:r>
              <w:rPr>
                <w:rFonts w:hint="eastAsia" w:ascii="宋体" w:hAnsi="宋体"/>
                <w:color w:val="auto"/>
                <w:sz w:val="21"/>
                <w:szCs w:val="21"/>
                <w:lang w:val="en-US" w:eastAsia="zh-CN"/>
              </w:rPr>
              <w:t>以系统控制原理图的形式展现控制界面并设定控制参数、控制操作界面</w:t>
            </w:r>
          </w:p>
        </w:tc>
        <w:tc>
          <w:tcPr>
            <w:tcW w:w="463" w:type="pct"/>
          </w:tcPr>
          <w:p w14:paraId="162D99C9">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0A64CC06">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36A57A08">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519F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1881215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3039453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67040289">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（2）显示功能技术参数：</w:t>
            </w:r>
          </w:p>
          <w:p w14:paraId="50CB1666">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color w:val="000000" w:themeColor="text1"/>
                <w:szCs w:val="21"/>
                <w14:textFill>
                  <w14:solidFill>
                    <w14:schemeClr w14:val="tx1"/>
                  </w14:solidFill>
                </w14:textFill>
              </w:rPr>
            </w:pPr>
            <w:r>
              <w:rPr>
                <w:rFonts w:hint="eastAsia" w:ascii="宋体" w:hAnsi="宋体"/>
                <w:b/>
                <w:bCs/>
                <w:color w:val="auto"/>
                <w:sz w:val="21"/>
                <w:szCs w:val="21"/>
                <w:lang w:val="en-US" w:eastAsia="zh-CN"/>
              </w:rPr>
              <w:t>▲</w:t>
            </w:r>
            <w:r>
              <w:rPr>
                <w:rFonts w:hint="default" w:ascii="宋体" w:hAnsi="宋体"/>
                <w:color w:val="auto"/>
                <w:sz w:val="21"/>
                <w:szCs w:val="21"/>
                <w:lang w:val="en-US" w:eastAsia="zh-CN"/>
              </w:rPr>
              <w:t>55寸，支持1920*1080P输入</w:t>
            </w:r>
          </w:p>
        </w:tc>
        <w:tc>
          <w:tcPr>
            <w:tcW w:w="463" w:type="pct"/>
          </w:tcPr>
          <w:p w14:paraId="18D8B2FF">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4C8F6A14">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049930C8">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147B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5E3D5470">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4E25965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5D0A933D">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420" w:firstLineChars="200"/>
              <w:jc w:val="both"/>
              <w:textAlignment w:val="auto"/>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单屏尺寸长1213.5*宽684.3mm</w:t>
            </w:r>
          </w:p>
        </w:tc>
        <w:tc>
          <w:tcPr>
            <w:tcW w:w="463" w:type="pct"/>
          </w:tcPr>
          <w:p w14:paraId="36450B50">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52AE07F3">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5CFCAF15">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6CD3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36EC669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6A100839">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0BDCF71C">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420" w:firstLineChars="200"/>
              <w:jc w:val="both"/>
              <w:textAlignment w:val="auto"/>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亮度500cd/㎡</w:t>
            </w:r>
          </w:p>
        </w:tc>
        <w:tc>
          <w:tcPr>
            <w:tcW w:w="463" w:type="pct"/>
          </w:tcPr>
          <w:p w14:paraId="02E12169">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6704AE54">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3B4C1DEA">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4A50E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585EEBB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6E1971C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61252173">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420" w:firstLineChars="200"/>
              <w:jc w:val="both"/>
              <w:textAlignment w:val="auto"/>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对比度：4000:1</w:t>
            </w:r>
          </w:p>
        </w:tc>
        <w:tc>
          <w:tcPr>
            <w:tcW w:w="463" w:type="pct"/>
          </w:tcPr>
          <w:p w14:paraId="62C6A7D8">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6C26B25E">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467FB041">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5450E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1C9267A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79E12F6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2C1CD58B">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420" w:firstLineChars="200"/>
              <w:jc w:val="both"/>
              <w:textAlignment w:val="auto"/>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双边物理拼3.5mm</w:t>
            </w:r>
          </w:p>
        </w:tc>
        <w:tc>
          <w:tcPr>
            <w:tcW w:w="463" w:type="pct"/>
          </w:tcPr>
          <w:p w14:paraId="1DA231DC">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76E65393">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644D2CB2">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1F5B3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82" w:type="pct"/>
            <w:vMerge w:val="continue"/>
            <w:shd w:val="clear" w:color="auto" w:fill="auto"/>
            <w:vAlign w:val="center"/>
          </w:tcPr>
          <w:p w14:paraId="2E5E745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28276D4D">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vAlign w:val="center"/>
          </w:tcPr>
          <w:p w14:paraId="22087514">
            <w:pPr>
              <w:keepNext w:val="0"/>
              <w:keepLines w:val="0"/>
              <w:suppressLineNumbers w:val="0"/>
              <w:spacing w:before="0" w:beforeAutospacing="0" w:after="0" w:afterAutospacing="0" w:line="240" w:lineRule="auto"/>
              <w:ind w:left="0" w:right="0" w:firstLine="420" w:firstLineChars="200"/>
              <w:jc w:val="both"/>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色彩饱和度97%</w:t>
            </w:r>
          </w:p>
        </w:tc>
        <w:tc>
          <w:tcPr>
            <w:tcW w:w="463" w:type="pct"/>
          </w:tcPr>
          <w:p w14:paraId="7750E4B6">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2E5C34BC">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64EFAAC9">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35837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2" w:type="pct"/>
            <w:vMerge w:val="continue"/>
            <w:shd w:val="clear" w:color="auto" w:fill="auto"/>
            <w:vAlign w:val="center"/>
          </w:tcPr>
          <w:p w14:paraId="3DA3295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4186901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70473A30">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（3）自控系统可视化</w:t>
            </w:r>
          </w:p>
          <w:p w14:paraId="4F97475C">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整合自控系统采集的全范围运行数据，将各点位设备运行状态、工艺参数、能耗信息等核心内容以动态流程图、趋势图、统计表等形式直观呈现，支持管理人员根据需求切换不同显示视图，快速掌握系统整体运行工况；</w:t>
            </w:r>
          </w:p>
          <w:p w14:paraId="74EB1B47">
            <w:pPr>
              <w:pStyle w:val="5"/>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20" w:firstLineChars="200"/>
              <w:jc w:val="both"/>
              <w:textAlignment w:val="auto"/>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支持与告警模块联动，当参数超阈值、设备故障等异常情况发生时，自动在可视化界面高亮标注异常区域，辅助管理人员快速定位问题，有效提升异常响应与处置效率。</w:t>
            </w:r>
          </w:p>
        </w:tc>
        <w:tc>
          <w:tcPr>
            <w:tcW w:w="463" w:type="pct"/>
          </w:tcPr>
          <w:p w14:paraId="615BA627">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463" w:type="pct"/>
          </w:tcPr>
          <w:p w14:paraId="7AA0E47F">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c>
          <w:tcPr>
            <w:tcW w:w="290" w:type="pct"/>
          </w:tcPr>
          <w:p w14:paraId="629B04EB">
            <w:pPr>
              <w:keepNext w:val="0"/>
              <w:keepLines w:val="0"/>
              <w:suppressLineNumbers w:val="0"/>
              <w:spacing w:before="0" w:beforeAutospacing="0" w:after="0" w:afterAutospacing="0"/>
              <w:ind w:left="0" w:right="0"/>
              <w:jc w:val="center"/>
              <w:rPr>
                <w:rFonts w:hint="default"/>
                <w:color w:val="000000" w:themeColor="text1"/>
                <w:szCs w:val="21"/>
                <w14:textFill>
                  <w14:solidFill>
                    <w14:schemeClr w14:val="tx1"/>
                  </w14:solidFill>
                </w14:textFill>
              </w:rPr>
            </w:pPr>
          </w:p>
        </w:tc>
      </w:tr>
      <w:tr w14:paraId="197E5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shd w:val="clear" w:color="auto" w:fill="auto"/>
            <w:vAlign w:val="center"/>
          </w:tcPr>
          <w:p w14:paraId="5DF91E9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r>
              <w:rPr>
                <w:rFonts w:hint="eastAsia" w:cs="Times New Roman"/>
                <w:color w:val="000000" w:themeColor="text1"/>
                <w:sz w:val="24"/>
                <w:szCs w:val="21"/>
                <w:lang w:val="en-US" w:eastAsia="zh-CN" w:bidi="ar-SA"/>
                <w14:textFill>
                  <w14:solidFill>
                    <w14:schemeClr w14:val="tx1"/>
                  </w14:solidFill>
                </w14:textFill>
              </w:rPr>
              <w:t>2</w:t>
            </w:r>
          </w:p>
        </w:tc>
        <w:tc>
          <w:tcPr>
            <w:tcW w:w="504" w:type="pct"/>
            <w:shd w:val="clear" w:color="auto" w:fill="auto"/>
            <w:vAlign w:val="center"/>
          </w:tcPr>
          <w:p w14:paraId="5E420B51">
            <w:pPr>
              <w:pStyle w:val="5"/>
              <w:pageBreakBefore w:val="0"/>
              <w:widowControl w:val="0"/>
              <w:numPr>
                <w:ilvl w:val="-1"/>
                <w:numId w:val="0"/>
              </w:numPr>
              <w:kinsoku/>
              <w:wordWrap/>
              <w:overflowPunct/>
              <w:topLinePunct w:val="0"/>
              <w:autoSpaceDE/>
              <w:autoSpaceDN/>
              <w:bidi w:val="0"/>
              <w:adjustRightInd/>
              <w:spacing w:line="240" w:lineRule="auto"/>
              <w:jc w:val="center"/>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2.▲系统授权USB硬件锁</w:t>
            </w:r>
          </w:p>
          <w:p w14:paraId="760A824B">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29C567E8">
            <w:pPr>
              <w:pStyle w:val="5"/>
              <w:pageBreakBefore w:val="0"/>
              <w:widowControl w:val="0"/>
              <w:numPr>
                <w:ilvl w:val="-1"/>
                <w:numId w:val="0"/>
              </w:numPr>
              <w:kinsoku/>
              <w:wordWrap/>
              <w:overflowPunct/>
              <w:topLinePunct w:val="0"/>
              <w:autoSpaceDE/>
              <w:autoSpaceDN/>
              <w:bidi w:val="0"/>
              <w:adjustRightIn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2.▲系统授权USB硬件锁</w:t>
            </w:r>
          </w:p>
          <w:p w14:paraId="4A4FC998">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sz w:val="21"/>
                <w:szCs w:val="21"/>
              </w:rPr>
            </w:pPr>
            <w:r>
              <w:rPr>
                <w:rFonts w:hint="eastAsia" w:ascii="宋体" w:hAnsi="宋体"/>
                <w:color w:val="auto"/>
                <w:sz w:val="21"/>
                <w:szCs w:val="21"/>
                <w:lang w:val="en-US" w:eastAsia="zh-CN"/>
              </w:rPr>
              <w:t>配套软件</w:t>
            </w:r>
            <w:r>
              <w:rPr>
                <w:rFonts w:hint="eastAsia" w:ascii="宋体" w:hAnsi="宋体"/>
                <w:color w:val="auto"/>
                <w:sz w:val="21"/>
                <w:szCs w:val="21"/>
              </w:rPr>
              <w:t>要求满足当前 IT 流行技术，包括 B/S 结构、WEB SERVICE 技术、JAVA 技术、XML 技术等，以备将来与信息系统的集成。具有功能强、开放性好、易于安装使用的特点；</w:t>
            </w:r>
            <w:r>
              <w:rPr>
                <w:rFonts w:hint="eastAsia" w:ascii="宋体" w:hAnsi="宋体"/>
                <w:b/>
                <w:bCs/>
                <w:color w:val="auto"/>
                <w:sz w:val="21"/>
                <w:szCs w:val="21"/>
                <w:lang w:val="en-US" w:eastAsia="zh-CN"/>
              </w:rPr>
              <w:t>配套软件</w:t>
            </w:r>
            <w:r>
              <w:rPr>
                <w:rFonts w:hint="eastAsia" w:ascii="宋体" w:hAnsi="宋体"/>
                <w:color w:val="auto"/>
                <w:sz w:val="21"/>
                <w:szCs w:val="21"/>
              </w:rPr>
              <w:t>遵循各种工业标准，并采用开放式的系统结构。</w:t>
            </w:r>
          </w:p>
          <w:p w14:paraId="54153EEA">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sz w:val="21"/>
                <w:szCs w:val="21"/>
              </w:rPr>
            </w:pPr>
            <w:r>
              <w:rPr>
                <w:rFonts w:hint="eastAsia" w:ascii="宋体" w:hAnsi="宋体"/>
                <w:color w:val="auto"/>
                <w:sz w:val="21"/>
                <w:szCs w:val="21"/>
                <w:lang w:eastAsia="zh-CN"/>
              </w:rPr>
              <w:t>登录</w:t>
            </w:r>
            <w:r>
              <w:rPr>
                <w:rFonts w:hint="eastAsia" w:ascii="宋体" w:hAnsi="宋体"/>
                <w:color w:val="auto"/>
                <w:sz w:val="21"/>
                <w:szCs w:val="21"/>
              </w:rPr>
              <w:t>用户可授权可设置不少于 5 个等级的权限，并可根据项目本身设置不同用户操作不同区域的功能。应提供满足系统运行功能、二次开发、维修维护以及符合开发系统标准的系统软件、应用软件和应用编程软件包等全套软件。</w:t>
            </w:r>
          </w:p>
          <w:p w14:paraId="29B4914A">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eastAsia" w:ascii="宋体" w:hAnsi="宋体"/>
                <w:color w:val="auto"/>
                <w:sz w:val="21"/>
                <w:szCs w:val="21"/>
                <w:lang w:val="en-US" w:eastAsia="zh-CN"/>
              </w:rPr>
            </w:pPr>
            <w:r>
              <w:rPr>
                <w:rFonts w:hint="eastAsia" w:ascii="宋体" w:hAnsi="宋体"/>
                <w:color w:val="auto"/>
                <w:sz w:val="21"/>
                <w:szCs w:val="21"/>
              </w:rPr>
              <w:t>需提供标准的 OPC 接口及协议与</w:t>
            </w:r>
            <w:r>
              <w:rPr>
                <w:rFonts w:hint="eastAsia" w:ascii="宋体" w:hAnsi="宋体"/>
                <w:color w:val="auto"/>
                <w:sz w:val="21"/>
                <w:szCs w:val="21"/>
                <w:lang w:eastAsia="zh-CN"/>
              </w:rPr>
              <w:t>自控</w:t>
            </w:r>
            <w:r>
              <w:rPr>
                <w:rFonts w:hint="eastAsia" w:ascii="宋体" w:hAnsi="宋体"/>
                <w:color w:val="auto"/>
                <w:sz w:val="21"/>
                <w:szCs w:val="21"/>
              </w:rPr>
              <w:t>系统进行集成。系统平台应按实时、多用户和多进程对资源进行分配和管理。系统将拥有事件驱动顺序以及优化结构装配，以便系统能在正常巡检控制的同时及时响应处理实时情况与紧急任务。同时，系统平台还应具备网络管理、标准网络协议</w:t>
            </w:r>
            <w:r>
              <w:rPr>
                <w:rFonts w:hint="eastAsia" w:ascii="宋体" w:hAnsi="宋体"/>
                <w:color w:val="auto"/>
                <w:sz w:val="21"/>
                <w:szCs w:val="21"/>
                <w:lang w:eastAsia="zh-CN"/>
              </w:rPr>
              <w:t>、</w:t>
            </w:r>
            <w:r>
              <w:rPr>
                <w:rFonts w:hint="eastAsia" w:ascii="宋体" w:hAnsi="宋体"/>
                <w:color w:val="auto"/>
                <w:sz w:val="21"/>
                <w:szCs w:val="21"/>
              </w:rPr>
              <w:t>远程通信管理以及符合计算机技术发展趋势的</w:t>
            </w:r>
            <w:r>
              <w:rPr>
                <w:rFonts w:hint="eastAsia" w:ascii="宋体" w:hAnsi="宋体"/>
                <w:color w:val="auto"/>
                <w:sz w:val="21"/>
                <w:szCs w:val="21"/>
                <w:lang w:eastAsia="zh-CN"/>
              </w:rPr>
              <w:t>能力</w:t>
            </w:r>
            <w:r>
              <w:rPr>
                <w:rFonts w:hint="eastAsia" w:ascii="宋体" w:hAnsi="宋体"/>
                <w:color w:val="auto"/>
                <w:sz w:val="21"/>
                <w:szCs w:val="21"/>
              </w:rPr>
              <w:t>。软件应按模块形式设计，以利于应用的扩展和修改。</w:t>
            </w:r>
            <w:r>
              <w:rPr>
                <w:rFonts w:hint="eastAsia" w:ascii="宋体" w:hAnsi="宋体"/>
                <w:b/>
                <w:bCs/>
                <w:color w:val="auto"/>
                <w:sz w:val="21"/>
                <w:szCs w:val="21"/>
                <w:lang w:val="en-US" w:eastAsia="zh-CN"/>
              </w:rPr>
              <w:t>配套软件</w:t>
            </w:r>
            <w:r>
              <w:rPr>
                <w:rFonts w:hint="eastAsia" w:ascii="宋体" w:hAnsi="宋体"/>
                <w:color w:val="auto"/>
                <w:sz w:val="21"/>
                <w:szCs w:val="21"/>
              </w:rPr>
              <w:t>应确保中央控制中心出现故障时，现场控制器继续独立执行其监控功能。</w:t>
            </w:r>
            <w:r>
              <w:rPr>
                <w:rFonts w:hint="eastAsia" w:ascii="宋体" w:hAnsi="宋体"/>
                <w:color w:val="auto"/>
                <w:sz w:val="21"/>
                <w:szCs w:val="21"/>
                <w:lang w:val="en-US" w:eastAsia="zh-CN"/>
              </w:rPr>
              <w:t>核心功能：</w:t>
            </w:r>
          </w:p>
          <w:p w14:paraId="533F3FC5">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（1）</w:t>
            </w:r>
            <w:r>
              <w:rPr>
                <w:rFonts w:hint="default" w:ascii="宋体" w:hAnsi="宋体"/>
                <w:b/>
                <w:bCs/>
                <w:color w:val="auto"/>
                <w:sz w:val="21"/>
                <w:szCs w:val="21"/>
                <w:lang w:val="en-US" w:eastAsia="zh-CN"/>
              </w:rPr>
              <w:t>通信与连接</w:t>
            </w:r>
          </w:p>
          <w:p w14:paraId="2D464362">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支持通过工业以太网（Industrial Ethernet）/ PROFIBUS进行通信</w:t>
            </w:r>
          </w:p>
          <w:p w14:paraId="6F2A8042">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支持OPC UA服务器（DA、HDA）</w:t>
            </w:r>
          </w:p>
          <w:p w14:paraId="6ACDF83A">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（2）</w:t>
            </w:r>
            <w:r>
              <w:rPr>
                <w:rFonts w:hint="default" w:ascii="宋体" w:hAnsi="宋体"/>
                <w:b/>
                <w:bCs/>
                <w:color w:val="auto"/>
                <w:sz w:val="21"/>
                <w:szCs w:val="21"/>
                <w:lang w:val="en-US" w:eastAsia="zh-CN"/>
              </w:rPr>
              <w:t>变量管理</w:t>
            </w:r>
          </w:p>
          <w:p w14:paraId="4DF5094F">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外部变量数量由许可证决定（可选128、512、2048、8192、65536、102400、153600、262144个PowerTag）</w:t>
            </w:r>
            <w:r>
              <w:rPr>
                <w:rFonts w:hint="eastAsia" w:ascii="宋体" w:hAnsi="宋体"/>
                <w:color w:val="auto"/>
                <w:sz w:val="21"/>
                <w:szCs w:val="21"/>
                <w:lang w:val="en-US" w:eastAsia="zh-CN"/>
              </w:rPr>
              <w:t>，需满足本项目建设需求</w:t>
            </w:r>
          </w:p>
          <w:p w14:paraId="16E57552">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内部变量不限数量，包含在每一个RT/RC许可证中</w:t>
            </w:r>
          </w:p>
          <w:p w14:paraId="55F8B81A">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支持嵌套变量结构（Nested Tag structures），便于组织和管理复杂变量</w:t>
            </w:r>
          </w:p>
          <w:p w14:paraId="2626BAE0">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支持将变量直接导入并创建为结构变量</w:t>
            </w:r>
          </w:p>
          <w:p w14:paraId="6D43519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（3）</w:t>
            </w:r>
            <w:r>
              <w:rPr>
                <w:rFonts w:hint="default" w:ascii="宋体" w:hAnsi="宋体"/>
                <w:b/>
                <w:bCs/>
                <w:color w:val="auto"/>
                <w:sz w:val="21"/>
                <w:szCs w:val="21"/>
                <w:lang w:val="en-US" w:eastAsia="zh-CN"/>
              </w:rPr>
              <w:t>报警管理</w:t>
            </w:r>
          </w:p>
          <w:p w14:paraId="3769BA1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支持报警记录功能，可组态报警类别、报警类型、报警确认机制</w:t>
            </w:r>
          </w:p>
          <w:p w14:paraId="700D785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支持系统报警和状态变量管理</w:t>
            </w:r>
          </w:p>
          <w:p w14:paraId="14C20119">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支持报警的显示、确认、归档与报表输出</w:t>
            </w:r>
          </w:p>
          <w:p w14:paraId="6AF1416B">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支持报警依赖的可视化</w:t>
            </w:r>
          </w:p>
          <w:p w14:paraId="5AB9FE57">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支持掉电后重新装载功能，确保电源故障后报警数据可恢复</w:t>
            </w:r>
          </w:p>
          <w:p w14:paraId="48F6532F">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（4）</w:t>
            </w:r>
            <w:r>
              <w:rPr>
                <w:rFonts w:hint="default" w:ascii="宋体" w:hAnsi="宋体"/>
                <w:b/>
                <w:bCs/>
                <w:color w:val="auto"/>
                <w:sz w:val="21"/>
                <w:szCs w:val="21"/>
                <w:lang w:val="en-US" w:eastAsia="zh-CN"/>
              </w:rPr>
              <w:t>数据归档</w:t>
            </w:r>
          </w:p>
          <w:p w14:paraId="0C6F2472">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基础许可证已包含512个归档变量</w:t>
            </w:r>
          </w:p>
          <w:p w14:paraId="1D13767B">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支持变量快速归档、变量慢速归档、报警消息归档三大核心归档模块</w:t>
            </w:r>
          </w:p>
          <w:p w14:paraId="2BBA54AC">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支持按日、周、年等多种周期进行归档记录</w:t>
            </w:r>
          </w:p>
          <w:p w14:paraId="4006F197">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支持差异归档等高级归档方法</w:t>
            </w:r>
          </w:p>
          <w:p w14:paraId="26BAEEA7">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采用Microsoft SQL Server作为实时数据库</w:t>
            </w:r>
          </w:p>
          <w:p w14:paraId="6B526AE0">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（5）</w:t>
            </w:r>
            <w:r>
              <w:rPr>
                <w:rFonts w:hint="default" w:ascii="宋体" w:hAnsi="宋体"/>
                <w:b/>
                <w:bCs/>
                <w:color w:val="auto"/>
                <w:sz w:val="21"/>
                <w:szCs w:val="21"/>
                <w:lang w:val="en-US" w:eastAsia="zh-CN"/>
              </w:rPr>
              <w:t>报表系统</w:t>
            </w:r>
          </w:p>
          <w:p w14:paraId="0888AC56">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提供时间和事件触发的文档化报表输出功能</w:t>
            </w:r>
          </w:p>
          <w:p w14:paraId="65700E92">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支持报警报表、过程数据报表等多种类型</w:t>
            </w:r>
          </w:p>
          <w:p w14:paraId="1F7218BC">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（6）</w:t>
            </w:r>
            <w:r>
              <w:rPr>
                <w:rFonts w:hint="default" w:ascii="宋体" w:hAnsi="宋体"/>
                <w:b/>
                <w:bCs/>
                <w:color w:val="auto"/>
                <w:sz w:val="21"/>
                <w:szCs w:val="21"/>
                <w:lang w:val="en-US" w:eastAsia="zh-CN"/>
              </w:rPr>
              <w:t>用户管理</w:t>
            </w:r>
          </w:p>
          <w:p w14:paraId="1B82CBF7">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提供用户管理和权限分配工具</w:t>
            </w:r>
          </w:p>
          <w:p w14:paraId="3521C3D1">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支持密码保护和访问权限控制</w:t>
            </w:r>
          </w:p>
          <w:p w14:paraId="4AAB8D17">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（7）</w:t>
            </w:r>
            <w:r>
              <w:rPr>
                <w:rFonts w:hint="default" w:ascii="宋体" w:hAnsi="宋体"/>
                <w:b/>
                <w:bCs/>
                <w:color w:val="auto"/>
                <w:sz w:val="21"/>
                <w:szCs w:val="21"/>
                <w:lang w:val="en-US" w:eastAsia="zh-CN"/>
              </w:rPr>
              <w:t>脚本与编程接口</w:t>
            </w:r>
          </w:p>
          <w:p w14:paraId="0F4174C8">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支持全局脚本（Global Script）编程</w:t>
            </w:r>
          </w:p>
          <w:p w14:paraId="6D98161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支持Visual Basic for Applications (VBA) 进行个性化扩展</w:t>
            </w:r>
          </w:p>
          <w:p w14:paraId="4501A1A0">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支持ActiveX控件集成</w:t>
            </w:r>
          </w:p>
          <w:p w14:paraId="5A4C4F8B">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支持.NET和XMAL控件</w:t>
            </w:r>
          </w:p>
          <w:p w14:paraId="7CF0B7ED">
            <w:pPr>
              <w:pStyle w:val="5"/>
              <w:widowControl w:val="0"/>
              <w:spacing w:line="240" w:lineRule="auto"/>
              <w:ind w:firstLine="420" w:firstLineChars="200"/>
              <w:jc w:val="both"/>
              <w:rPr>
                <w:rFonts w:hint="default"/>
                <w:color w:val="000000" w:themeColor="text1"/>
                <w:szCs w:val="21"/>
                <w14:textFill>
                  <w14:solidFill>
                    <w14:schemeClr w14:val="tx1"/>
                  </w14:solidFill>
                </w14:textFill>
              </w:rPr>
            </w:pPr>
            <w:r>
              <w:rPr>
                <w:rFonts w:hint="default" w:ascii="宋体" w:hAnsi="宋体"/>
                <w:color w:val="auto"/>
                <w:sz w:val="21"/>
                <w:szCs w:val="21"/>
                <w:lang w:val="en-US" w:eastAsia="zh-CN"/>
              </w:rPr>
              <w:t>支持OPC跨厂商通信</w:t>
            </w:r>
          </w:p>
        </w:tc>
        <w:tc>
          <w:tcPr>
            <w:tcW w:w="463" w:type="pct"/>
          </w:tcPr>
          <w:p w14:paraId="15DD1E5D">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7DFFED30">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2E1C94C0">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6B341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restart"/>
            <w:shd w:val="clear" w:color="auto" w:fill="auto"/>
            <w:vAlign w:val="center"/>
          </w:tcPr>
          <w:p w14:paraId="3522BB1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r>
              <w:rPr>
                <w:rFonts w:hint="eastAsia" w:cs="Times New Roman"/>
                <w:color w:val="000000" w:themeColor="text1"/>
                <w:sz w:val="24"/>
                <w:szCs w:val="21"/>
                <w:lang w:val="en-US" w:eastAsia="zh-CN" w:bidi="ar-SA"/>
                <w14:textFill>
                  <w14:solidFill>
                    <w14:schemeClr w14:val="tx1"/>
                  </w14:solidFill>
                </w14:textFill>
              </w:rPr>
              <w:t>3</w:t>
            </w:r>
          </w:p>
        </w:tc>
        <w:tc>
          <w:tcPr>
            <w:tcW w:w="504" w:type="pct"/>
            <w:vMerge w:val="restart"/>
            <w:shd w:val="clear" w:color="auto" w:fill="auto"/>
            <w:vAlign w:val="center"/>
          </w:tcPr>
          <w:p w14:paraId="32377FA1">
            <w:pPr>
              <w:pStyle w:val="5"/>
              <w:pageBreakBefore w:val="0"/>
              <w:widowControl w:val="0"/>
              <w:numPr>
                <w:ilvl w:val="0"/>
                <w:numId w:val="0"/>
              </w:numPr>
              <w:kinsoku/>
              <w:wordWrap/>
              <w:overflowPunct/>
              <w:topLinePunct w:val="0"/>
              <w:autoSpaceDE/>
              <w:autoSpaceDN/>
              <w:bidi w:val="0"/>
              <w:adjustRightInd/>
              <w:spacing w:line="240" w:lineRule="auto"/>
              <w:jc w:val="both"/>
              <w:textAlignment w:val="auto"/>
              <w:rPr>
                <w:rFonts w:hint="eastAsia" w:ascii="宋体" w:hAnsi="宋体"/>
                <w:b/>
                <w:bCs/>
                <w:color w:val="auto"/>
                <w:sz w:val="21"/>
                <w:szCs w:val="21"/>
              </w:rPr>
            </w:pPr>
            <w:r>
              <w:rPr>
                <w:rFonts w:hint="eastAsia" w:ascii="宋体" w:hAnsi="宋体"/>
                <w:b/>
                <w:bCs/>
                <w:color w:val="auto"/>
                <w:sz w:val="21"/>
                <w:szCs w:val="21"/>
                <w:lang w:val="en-US" w:eastAsia="zh-CN"/>
              </w:rPr>
              <w:t>3.控制柜</w:t>
            </w:r>
          </w:p>
          <w:p w14:paraId="5865E6F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212D5D4C">
            <w:pPr>
              <w:pStyle w:val="5"/>
              <w:pageBreakBefore w:val="0"/>
              <w:widowControl w:val="0"/>
              <w:numPr>
                <w:ilvl w:val="0"/>
                <w:numId w:val="0"/>
              </w:numPr>
              <w:kinsoku/>
              <w:wordWrap/>
              <w:overflowPunct/>
              <w:topLinePunct w:val="0"/>
              <w:autoSpaceDE/>
              <w:autoSpaceDN/>
              <w:bidi w:val="0"/>
              <w:adjustRightInd/>
              <w:spacing w:line="240" w:lineRule="auto"/>
              <w:ind w:leftChars="200"/>
              <w:jc w:val="both"/>
              <w:textAlignment w:val="auto"/>
              <w:rPr>
                <w:rFonts w:hint="eastAsia" w:ascii="宋体" w:hAnsi="宋体"/>
                <w:b/>
                <w:bCs/>
                <w:color w:val="auto"/>
                <w:sz w:val="21"/>
                <w:szCs w:val="21"/>
              </w:rPr>
            </w:pPr>
            <w:r>
              <w:rPr>
                <w:rFonts w:hint="eastAsia" w:ascii="宋体" w:hAnsi="宋体"/>
                <w:b/>
                <w:bCs/>
                <w:color w:val="auto"/>
                <w:sz w:val="21"/>
                <w:szCs w:val="21"/>
                <w:lang w:val="en-US" w:eastAsia="zh-CN"/>
              </w:rPr>
              <w:t>3.CPU控制柜</w:t>
            </w:r>
          </w:p>
          <w:p w14:paraId="6AA166F9">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pPr>
            <w:r>
              <w:rPr>
                <w:rFonts w:hint="eastAsia" w:ascii="宋体" w:hAnsi="宋体"/>
                <w:b/>
                <w:bCs/>
                <w:color w:val="auto"/>
                <w:sz w:val="21"/>
                <w:szCs w:val="21"/>
                <w:lang w:val="en-US" w:eastAsia="zh-CN"/>
              </w:rPr>
              <w:t>（1）</w:t>
            </w:r>
            <w:r>
              <w:rPr>
                <w:rFonts w:hint="default" w:ascii="宋体" w:hAnsi="宋体"/>
                <w:b/>
                <w:bCs/>
                <w:color w:val="auto"/>
                <w:sz w:val="21"/>
                <w:szCs w:val="21"/>
                <w:lang w:val="en-US" w:eastAsia="zh-CN"/>
              </w:rPr>
              <w:t>柜内布局与分区</w:t>
            </w:r>
          </w:p>
          <w:p w14:paraId="0647624B">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分区原则：按“信号流向”划分，避免交叉干扰。</w:t>
            </w:r>
          </w:p>
          <w:p w14:paraId="0860ED5E">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0" w:firstLineChars="200"/>
              <w:jc w:val="both"/>
              <w:textAlignment w:val="auto"/>
              <w:rPr>
                <w:rFonts w:hint="default" w:ascii="宋体" w:hAnsi="宋体"/>
                <w:color w:val="auto"/>
                <w:sz w:val="21"/>
                <w:szCs w:val="21"/>
                <w:lang w:val="en-US" w:eastAsia="zh-CN"/>
              </w:rPr>
            </w:pPr>
            <w:r>
              <w:rPr>
                <w:rFonts w:hint="default" w:ascii="宋体" w:hAnsi="宋体"/>
                <w:color w:val="auto"/>
                <w:sz w:val="21"/>
                <w:szCs w:val="21"/>
                <w:lang w:val="en-US" w:eastAsia="zh-CN"/>
              </w:rPr>
              <w:t>间距要求：控制器与开关电源之间应保持≥50mm的垂直间距，以避免开关电源产生的热量影响处理器稳定性。</w:t>
            </w:r>
          </w:p>
        </w:tc>
        <w:tc>
          <w:tcPr>
            <w:tcW w:w="463" w:type="pct"/>
          </w:tcPr>
          <w:p w14:paraId="6272FFF9">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14519820">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0D322A54">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6FF6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302568D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3BBEC3F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3F356B5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jc w:val="both"/>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（2）▲</w:t>
            </w:r>
            <w:r>
              <w:rPr>
                <w:rFonts w:hint="default" w:ascii="宋体" w:hAnsi="宋体"/>
                <w:b/>
                <w:bCs/>
                <w:color w:val="auto"/>
                <w:sz w:val="21"/>
                <w:szCs w:val="21"/>
                <w:lang w:val="en-US" w:eastAsia="zh-CN"/>
              </w:rPr>
              <w:t>元器件安装与选型要求</w:t>
            </w:r>
          </w:p>
          <w:tbl>
            <w:tblPr>
              <w:tblStyle w:val="19"/>
              <w:tblW w:w="5007" w:type="pct"/>
              <w:tblInd w:w="-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90"/>
              <w:gridCol w:w="3867"/>
            </w:tblGrid>
            <w:tr w14:paraId="1B313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861" w:type="pct"/>
                  <w:tcBorders>
                    <w:top w:val="single" w:color="000000" w:sz="12" w:space="0"/>
                    <w:left w:val="nil"/>
                    <w:bottom w:val="single" w:color="000000" w:sz="4" w:space="0"/>
                    <w:right w:val="single" w:color="auto" w:sz="4" w:space="0"/>
                    <w:tl2br w:val="nil"/>
                  </w:tcBorders>
                  <w:shd w:val="clear" w:color="auto" w:fill="FFFFFF"/>
                  <w:noWrap w:val="0"/>
                  <w:tcMar>
                    <w:top w:w="150" w:type="dxa"/>
                    <w:left w:w="-1" w:type="dxa"/>
                    <w:bottom w:w="150" w:type="dxa"/>
                    <w:right w:w="240" w:type="dxa"/>
                  </w:tcMar>
                  <w:vAlign w:val="center"/>
                </w:tcPr>
                <w:p w14:paraId="3DB37181">
                  <w:pPr>
                    <w:keepNext w:val="0"/>
                    <w:keepLines w:val="0"/>
                    <w:widowControl/>
                    <w:suppressLineNumbers w:val="0"/>
                    <w:spacing w:line="240" w:lineRule="auto"/>
                    <w:jc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val="en-US" w:eastAsia="zh-CN" w:bidi="ar"/>
                    </w:rPr>
                    <w:t>元件类型</w:t>
                  </w:r>
                </w:p>
              </w:tc>
              <w:tc>
                <w:tcPr>
                  <w:tcW w:w="4138" w:type="pct"/>
                  <w:tcBorders>
                    <w:top w:val="single" w:color="000000" w:sz="12" w:space="0"/>
                    <w:left w:val="single" w:color="auto" w:sz="4" w:space="0"/>
                    <w:bottom w:val="single" w:color="000000" w:sz="4" w:space="0"/>
                    <w:right w:val="nil"/>
                  </w:tcBorders>
                  <w:shd w:val="clear" w:color="auto" w:fill="FFFFFF"/>
                  <w:noWrap w:val="0"/>
                  <w:tcMar>
                    <w:top w:w="150" w:type="dxa"/>
                    <w:left w:w="240" w:type="dxa"/>
                    <w:bottom w:w="150" w:type="dxa"/>
                    <w:right w:w="240" w:type="dxa"/>
                  </w:tcMar>
                  <w:vAlign w:val="center"/>
                </w:tcPr>
                <w:p w14:paraId="46EEE951">
                  <w:pPr>
                    <w:keepNext w:val="0"/>
                    <w:keepLines w:val="0"/>
                    <w:widowControl/>
                    <w:suppressLineNumbers w:val="0"/>
                    <w:spacing w:line="240" w:lineRule="auto"/>
                    <w:jc w:val="center"/>
                    <w:rPr>
                      <w:rFonts w:hint="eastAsia" w:ascii="宋体" w:hAnsi="宋体" w:eastAsia="宋体" w:cs="宋体"/>
                      <w:b/>
                      <w:bCs/>
                      <w:color w:val="000000"/>
                      <w:sz w:val="21"/>
                      <w:szCs w:val="21"/>
                    </w:rPr>
                  </w:pPr>
                  <w:r>
                    <w:rPr>
                      <w:rFonts w:hint="eastAsia" w:ascii="宋体" w:hAnsi="宋体" w:eastAsia="宋体" w:cs="宋体"/>
                      <w:b/>
                      <w:bCs/>
                      <w:color w:val="000000"/>
                      <w:kern w:val="0"/>
                      <w:sz w:val="21"/>
                      <w:szCs w:val="21"/>
                      <w:lang w:val="en-US" w:eastAsia="zh-CN" w:bidi="ar"/>
                    </w:rPr>
                    <w:t>制作与选型要求</w:t>
                  </w:r>
                </w:p>
              </w:tc>
            </w:tr>
            <w:tr w14:paraId="3F527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861" w:type="pct"/>
                  <w:tcBorders>
                    <w:top w:val="single" w:color="000000" w:sz="4" w:space="0"/>
                    <w:left w:val="nil"/>
                    <w:bottom w:val="single" w:color="auto" w:sz="4" w:space="0"/>
                    <w:right w:val="single" w:color="auto" w:sz="4" w:space="0"/>
                  </w:tcBorders>
                  <w:shd w:val="clear" w:color="auto" w:fill="FFFFFF"/>
                  <w:noWrap w:val="0"/>
                  <w:tcMar>
                    <w:top w:w="150" w:type="dxa"/>
                    <w:left w:w="-1" w:type="dxa"/>
                    <w:bottom w:w="150" w:type="dxa"/>
                    <w:right w:w="240" w:type="dxa"/>
                  </w:tcMar>
                  <w:vAlign w:val="center"/>
                </w:tcPr>
                <w:p w14:paraId="7E1A2B24">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PLC/DDC控制器及扩展模块</w:t>
                  </w:r>
                </w:p>
              </w:tc>
              <w:tc>
                <w:tcPr>
                  <w:tcW w:w="4138" w:type="pct"/>
                  <w:tcBorders>
                    <w:top w:val="single" w:color="000000" w:sz="4" w:space="0"/>
                    <w:left w:val="single" w:color="auto" w:sz="4" w:space="0"/>
                    <w:bottom w:val="single" w:color="auto" w:sz="4" w:space="0"/>
                    <w:right w:val="nil"/>
                  </w:tcBorders>
                  <w:shd w:val="clear" w:color="auto" w:fill="FFFFFF"/>
                  <w:noWrap w:val="0"/>
                  <w:tcMar>
                    <w:top w:w="150" w:type="dxa"/>
                    <w:left w:w="240" w:type="dxa"/>
                    <w:bottom w:w="150" w:type="dxa"/>
                    <w:right w:w="-1" w:type="dxa"/>
                  </w:tcMar>
                  <w:vAlign w:val="center"/>
                </w:tcPr>
                <w:p w14:paraId="32B3366A">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必须严格按厂家安装手册安装在</w:t>
                  </w:r>
                  <w:r>
                    <w:rPr>
                      <w:rFonts w:hint="eastAsia" w:ascii="宋体" w:hAnsi="宋体" w:eastAsia="宋体" w:cs="宋体"/>
                      <w:b w:val="0"/>
                      <w:bCs/>
                      <w:color w:val="000000"/>
                      <w:kern w:val="0"/>
                      <w:sz w:val="21"/>
                      <w:szCs w:val="21"/>
                      <w:lang w:val="en-US" w:eastAsia="zh-CN" w:bidi="ar"/>
                    </w:rPr>
                    <w:t>接地金属导轨（DIN导轨）</w:t>
                  </w:r>
                  <w:r>
                    <w:rPr>
                      <w:rFonts w:hint="eastAsia" w:ascii="宋体" w:hAnsi="宋体" w:eastAsia="宋体" w:cs="宋体"/>
                      <w:color w:val="000000"/>
                      <w:kern w:val="0"/>
                      <w:sz w:val="21"/>
                      <w:szCs w:val="21"/>
                      <w:lang w:val="en-US" w:eastAsia="zh-CN" w:bidi="ar"/>
                    </w:rPr>
                    <w:t>上。模块间连接总线（背板总线）插接必须紧固，两侧预留</w:t>
                  </w:r>
                  <w:r>
                    <w:rPr>
                      <w:rFonts w:hint="eastAsia" w:ascii="宋体" w:hAnsi="宋体" w:eastAsia="宋体" w:cs="宋体"/>
                      <w:b w:val="0"/>
                      <w:bCs/>
                      <w:color w:val="000000"/>
                      <w:kern w:val="0"/>
                      <w:sz w:val="21"/>
                      <w:szCs w:val="21"/>
                      <w:lang w:val="en-US" w:eastAsia="zh-CN" w:bidi="ar"/>
                    </w:rPr>
                    <w:t>≥25mm</w:t>
                  </w:r>
                  <w:r>
                    <w:rPr>
                      <w:rFonts w:hint="eastAsia" w:ascii="宋体" w:hAnsi="宋体" w:eastAsia="宋体" w:cs="宋体"/>
                      <w:color w:val="000000"/>
                      <w:kern w:val="0"/>
                      <w:sz w:val="21"/>
                      <w:szCs w:val="21"/>
                      <w:lang w:val="en-US" w:eastAsia="zh-CN" w:bidi="ar"/>
                    </w:rPr>
                    <w:t>空间用于散热。</w:t>
                  </w:r>
                </w:p>
              </w:tc>
            </w:tr>
            <w:tr w14:paraId="66A99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861" w:type="pct"/>
                  <w:tcBorders>
                    <w:top w:val="single" w:color="auto" w:sz="4" w:space="0"/>
                    <w:left w:val="nil"/>
                    <w:bottom w:val="single" w:color="auto" w:sz="4" w:space="0"/>
                    <w:right w:val="single" w:color="auto" w:sz="4" w:space="0"/>
                  </w:tcBorders>
                  <w:shd w:val="clear" w:color="auto" w:fill="FFFFFF"/>
                  <w:noWrap w:val="0"/>
                  <w:tcMar>
                    <w:top w:w="150" w:type="dxa"/>
                    <w:left w:w="-1" w:type="dxa"/>
                    <w:bottom w:w="150" w:type="dxa"/>
                    <w:right w:w="240" w:type="dxa"/>
                  </w:tcMar>
                  <w:vAlign w:val="center"/>
                </w:tcPr>
                <w:p w14:paraId="687DEF7B">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开关电源</w:t>
                  </w:r>
                </w:p>
              </w:tc>
              <w:tc>
                <w:tcPr>
                  <w:tcW w:w="4138" w:type="pct"/>
                  <w:tcBorders>
                    <w:top w:val="single" w:color="auto" w:sz="4" w:space="0"/>
                    <w:left w:val="single" w:color="auto" w:sz="4" w:space="0"/>
                    <w:bottom w:val="single" w:color="auto" w:sz="4" w:space="0"/>
                    <w:right w:val="nil"/>
                  </w:tcBorders>
                  <w:shd w:val="clear" w:color="auto" w:fill="FFFFFF"/>
                  <w:noWrap w:val="0"/>
                  <w:tcMar>
                    <w:top w:w="150" w:type="dxa"/>
                    <w:left w:w="240" w:type="dxa"/>
                    <w:bottom w:w="150" w:type="dxa"/>
                    <w:right w:w="-1" w:type="dxa"/>
                  </w:tcMar>
                  <w:vAlign w:val="center"/>
                </w:tcPr>
                <w:p w14:paraId="6D344C74">
                  <w:pPr>
                    <w:keepNext w:val="0"/>
                    <w:keepLines w:val="0"/>
                    <w:widowControl/>
                    <w:suppressLineNumbers w:val="0"/>
                    <w:spacing w:line="240" w:lineRule="auto"/>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功率须留有</w:t>
                  </w:r>
                  <w:r>
                    <w:rPr>
                      <w:rFonts w:hint="eastAsia" w:ascii="宋体" w:hAnsi="宋体" w:eastAsia="宋体" w:cs="宋体"/>
                      <w:b w:val="0"/>
                      <w:bCs/>
                      <w:color w:val="000000"/>
                      <w:kern w:val="0"/>
                      <w:sz w:val="21"/>
                      <w:szCs w:val="21"/>
                      <w:lang w:val="en-US" w:eastAsia="zh-CN" w:bidi="ar"/>
                    </w:rPr>
                    <w:t>≥30%</w:t>
                  </w:r>
                  <w:r>
                    <w:rPr>
                      <w:rFonts w:hint="eastAsia" w:ascii="宋体" w:hAnsi="宋体" w:eastAsia="宋体" w:cs="宋体"/>
                      <w:color w:val="000000"/>
                      <w:kern w:val="0"/>
                      <w:sz w:val="21"/>
                      <w:szCs w:val="21"/>
                      <w:lang w:val="en-US" w:eastAsia="zh-CN" w:bidi="ar"/>
                    </w:rPr>
                    <w:t>余量。推荐安装于柜体侧下方，若为自然散热，其上下方向不得被遮挡；</w:t>
                  </w:r>
                </w:p>
                <w:p w14:paraId="03D1D227">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若为强迫风冷，风扇进风口应朝下。</w:t>
                  </w:r>
                </w:p>
              </w:tc>
            </w:tr>
            <w:tr w14:paraId="39FCC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861" w:type="pct"/>
                  <w:tcBorders>
                    <w:top w:val="single" w:color="auto" w:sz="4" w:space="0"/>
                    <w:left w:val="nil"/>
                    <w:bottom w:val="single" w:color="auto" w:sz="4" w:space="0"/>
                    <w:right w:val="single" w:color="auto" w:sz="4" w:space="0"/>
                  </w:tcBorders>
                  <w:shd w:val="clear" w:color="auto" w:fill="FFFFFF"/>
                  <w:noWrap w:val="0"/>
                  <w:tcMar>
                    <w:top w:w="150" w:type="dxa"/>
                    <w:left w:w="-1" w:type="dxa"/>
                    <w:bottom w:w="150" w:type="dxa"/>
                    <w:right w:w="240" w:type="dxa"/>
                  </w:tcMar>
                  <w:vAlign w:val="center"/>
                </w:tcPr>
                <w:p w14:paraId="2A3B71ED">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中间继电器</w:t>
                  </w:r>
                </w:p>
              </w:tc>
              <w:tc>
                <w:tcPr>
                  <w:tcW w:w="4138" w:type="pct"/>
                  <w:tcBorders>
                    <w:top w:val="single" w:color="auto" w:sz="4" w:space="0"/>
                    <w:left w:val="single" w:color="auto" w:sz="4" w:space="0"/>
                    <w:bottom w:val="single" w:color="auto" w:sz="4" w:space="0"/>
                    <w:right w:val="nil"/>
                  </w:tcBorders>
                  <w:shd w:val="clear" w:color="auto" w:fill="FFFFFF"/>
                  <w:noWrap w:val="0"/>
                  <w:tcMar>
                    <w:top w:w="150" w:type="dxa"/>
                    <w:left w:w="240" w:type="dxa"/>
                    <w:bottom w:w="150" w:type="dxa"/>
                    <w:right w:w="-1" w:type="dxa"/>
                  </w:tcMar>
                  <w:vAlign w:val="center"/>
                </w:tcPr>
                <w:p w14:paraId="1633F560">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继电器插座必须带固定夹，防止振动松脱。</w:t>
                  </w:r>
                </w:p>
              </w:tc>
            </w:tr>
            <w:tr w14:paraId="6A8CC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861" w:type="pct"/>
                  <w:tcBorders>
                    <w:top w:val="single" w:color="auto" w:sz="4" w:space="0"/>
                    <w:left w:val="nil"/>
                    <w:bottom w:val="single" w:color="000000" w:sz="12" w:space="0"/>
                    <w:right w:val="single" w:color="auto" w:sz="4" w:space="0"/>
                  </w:tcBorders>
                  <w:shd w:val="clear" w:color="auto" w:fill="FFFFFF"/>
                  <w:noWrap w:val="0"/>
                  <w:tcMar>
                    <w:top w:w="150" w:type="dxa"/>
                    <w:left w:w="-1" w:type="dxa"/>
                    <w:bottom w:w="150" w:type="dxa"/>
                    <w:right w:w="240" w:type="dxa"/>
                  </w:tcMar>
                  <w:vAlign w:val="center"/>
                </w:tcPr>
                <w:p w14:paraId="4943D7A6">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b w:val="0"/>
                      <w:bCs/>
                      <w:color w:val="000000"/>
                      <w:kern w:val="0"/>
                      <w:sz w:val="21"/>
                      <w:szCs w:val="21"/>
                      <w:lang w:val="en-US" w:eastAsia="zh-CN" w:bidi="ar"/>
                    </w:rPr>
                    <w:t>接线端子</w:t>
                  </w:r>
                </w:p>
              </w:tc>
              <w:tc>
                <w:tcPr>
                  <w:tcW w:w="4138" w:type="pct"/>
                  <w:tcBorders>
                    <w:top w:val="single" w:color="auto" w:sz="4" w:space="0"/>
                    <w:left w:val="single" w:color="auto" w:sz="4" w:space="0"/>
                    <w:bottom w:val="single" w:color="000000" w:sz="12" w:space="0"/>
                    <w:right w:val="nil"/>
                  </w:tcBorders>
                  <w:shd w:val="clear" w:color="auto" w:fill="FFFFFF"/>
                  <w:noWrap w:val="0"/>
                  <w:tcMar>
                    <w:top w:w="150" w:type="dxa"/>
                    <w:left w:w="240" w:type="dxa"/>
                    <w:bottom w:w="150" w:type="dxa"/>
                    <w:right w:w="-1" w:type="dxa"/>
                  </w:tcMar>
                  <w:vAlign w:val="center"/>
                </w:tcPr>
                <w:p w14:paraId="725ECA9A">
                  <w:pPr>
                    <w:keepNext w:val="0"/>
                    <w:keepLines w:val="0"/>
                    <w:widowControl/>
                    <w:suppressLineNumbers w:val="0"/>
                    <w:spacing w:line="240" w:lineRule="auto"/>
                    <w:jc w:val="left"/>
                    <w:rPr>
                      <w:rFonts w:hint="eastAsia" w:ascii="宋体" w:hAnsi="宋体" w:eastAsia="宋体" w:cs="宋体"/>
                      <w:color w:val="000000"/>
                      <w:sz w:val="21"/>
                      <w:szCs w:val="21"/>
                    </w:rPr>
                  </w:pPr>
                  <w:r>
                    <w:rPr>
                      <w:rFonts w:hint="eastAsia" w:ascii="宋体" w:hAnsi="宋体" w:eastAsia="宋体" w:cs="宋体"/>
                      <w:color w:val="000000"/>
                      <w:kern w:val="0"/>
                      <w:sz w:val="21"/>
                      <w:szCs w:val="21"/>
                      <w:lang w:val="en-US" w:eastAsia="zh-CN" w:bidi="ar"/>
                    </w:rPr>
                    <w:t>信号端子（弱电）与电源端子（强电）应使用</w:t>
                  </w:r>
                  <w:r>
                    <w:rPr>
                      <w:rFonts w:hint="eastAsia" w:ascii="宋体" w:hAnsi="宋体" w:eastAsia="宋体" w:cs="宋体"/>
                      <w:b w:val="0"/>
                      <w:bCs/>
                      <w:color w:val="000000"/>
                      <w:kern w:val="0"/>
                      <w:sz w:val="21"/>
                      <w:szCs w:val="21"/>
                      <w:lang w:val="en-US" w:eastAsia="zh-CN" w:bidi="ar"/>
                    </w:rPr>
                    <w:t>不同颜色区分</w:t>
                  </w:r>
                  <w:r>
                    <w:rPr>
                      <w:rFonts w:hint="eastAsia" w:ascii="宋体" w:hAnsi="宋体" w:eastAsia="宋体" w:cs="宋体"/>
                      <w:color w:val="000000"/>
                      <w:kern w:val="0"/>
                      <w:sz w:val="21"/>
                      <w:szCs w:val="21"/>
                      <w:lang w:val="en-US" w:eastAsia="zh-CN" w:bidi="ar"/>
                    </w:rPr>
                    <w:t>（如灰色用于信号，蓝色用于中性线，黄绿色用于地线）。</w:t>
                  </w:r>
                </w:p>
              </w:tc>
            </w:tr>
          </w:tbl>
          <w:p w14:paraId="4CEA0212">
            <w:pPr>
              <w:pStyle w:val="5"/>
              <w:widowControl w:val="0"/>
              <w:spacing w:line="240" w:lineRule="auto"/>
              <w:ind w:firstLine="420" w:firstLineChars="200"/>
              <w:jc w:val="both"/>
              <w:rPr>
                <w:rFonts w:hint="default" w:ascii="宋体" w:hAnsi="宋体"/>
                <w:color w:val="auto"/>
                <w:sz w:val="21"/>
                <w:szCs w:val="21"/>
                <w:lang w:val="en-US" w:eastAsia="zh-CN"/>
              </w:rPr>
            </w:pPr>
          </w:p>
        </w:tc>
        <w:tc>
          <w:tcPr>
            <w:tcW w:w="463" w:type="pct"/>
          </w:tcPr>
          <w:p w14:paraId="07D217B4">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3F569521">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3FE2A4F7">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73E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142D5E6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0AE61B3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4ECD3B4C">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（3）</w:t>
            </w:r>
            <w:r>
              <w:rPr>
                <w:rFonts w:hint="default" w:ascii="宋体" w:hAnsi="宋体"/>
                <w:b/>
                <w:bCs/>
                <w:color w:val="auto"/>
                <w:sz w:val="21"/>
                <w:szCs w:val="21"/>
                <w:lang w:val="en-US" w:eastAsia="zh-CN"/>
              </w:rPr>
              <w:t>布线工艺与线缆标识</w:t>
            </w:r>
          </w:p>
          <w:p w14:paraId="473D4141">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屏蔽处理：模拟量信号线（AI/AO）及通讯线（RS485）必须使用双绞屏蔽电缆。屏蔽层应在控制柜侧单端接地，剥线时屏蔽层应拧成一股，套上热缩管后压接至接地排，严禁屏蔽线直接悬空或与模块0V端子短接。</w:t>
            </w:r>
          </w:p>
          <w:p w14:paraId="148B3C04">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线径要求：</w:t>
            </w:r>
          </w:p>
          <w:p w14:paraId="66CA1DB0">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开关电源进线使用≥2.5mm²多股铜线。</w:t>
            </w:r>
          </w:p>
          <w:p w14:paraId="2747A6D2">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继电器公共端使用≥1.5mm²多股铜线</w:t>
            </w:r>
          </w:p>
          <w:p w14:paraId="019B2A8F">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I/O模块信号线、24V开关量输入输出：使或≥1.0mm²多股软线。</w:t>
            </w:r>
          </w:p>
          <w:p w14:paraId="2712A638">
            <w:pPr>
              <w:pStyle w:val="5"/>
              <w:widowControl w:val="0"/>
              <w:spacing w:line="240" w:lineRule="auto"/>
              <w:ind w:firstLine="420" w:firstLineChars="200"/>
              <w:jc w:val="both"/>
              <w:rPr>
                <w:rFonts w:hint="default" w:ascii="宋体" w:hAnsi="宋体"/>
                <w:color w:val="auto"/>
                <w:sz w:val="21"/>
                <w:szCs w:val="21"/>
                <w:lang w:val="en-US" w:eastAsia="zh-CN"/>
              </w:rPr>
            </w:pPr>
            <w:r>
              <w:rPr>
                <w:rFonts w:hint="eastAsia" w:ascii="宋体" w:hAnsi="宋体" w:eastAsia="宋体" w:cs="宋体"/>
                <w:sz w:val="21"/>
                <w:szCs w:val="21"/>
                <w:lang w:val="en-US" w:eastAsia="zh-CN"/>
              </w:rPr>
              <w:t>线号标识：每根导线两端都必须套上线号管（标记管）。线号管内容应包含“柜位号+端子号”或原理图位号（如：PLC1_AI_01）。线号管应清晰、朝向统一（水平线从左到右阅读，垂直线从下到上阅读）。</w:t>
            </w:r>
          </w:p>
        </w:tc>
        <w:tc>
          <w:tcPr>
            <w:tcW w:w="463" w:type="pct"/>
          </w:tcPr>
          <w:p w14:paraId="4B956CE2">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53730DD8">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49ACE244">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65DDE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569F715D">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1B092C5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54C0078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textAlignment w:val="auto"/>
            </w:pPr>
            <w:r>
              <w:rPr>
                <w:rFonts w:hint="eastAsia" w:ascii="宋体" w:hAnsi="宋体"/>
                <w:b/>
                <w:bCs/>
                <w:color w:val="auto"/>
                <w:sz w:val="21"/>
                <w:szCs w:val="21"/>
                <w:lang w:val="en-US" w:eastAsia="zh-CN"/>
              </w:rPr>
              <w:t>（4）</w:t>
            </w:r>
            <w:r>
              <w:rPr>
                <w:rFonts w:hint="default" w:ascii="宋体" w:hAnsi="宋体"/>
                <w:b/>
                <w:bCs/>
                <w:color w:val="auto"/>
                <w:sz w:val="21"/>
                <w:szCs w:val="21"/>
                <w:lang w:val="en-US" w:eastAsia="zh-CN"/>
              </w:rPr>
              <w:t>散热与防尘措施</w:t>
            </w:r>
          </w:p>
          <w:p w14:paraId="0CE5F535">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散热方式：若柜内发热量不大（仅PLC+电源），可依靠柜体自然对流，顶部需开设散热孔并加装防尘滤网。若安装有较大功率驱动器（如步进/伺服驱动器），必须加装轴流风扇（上出风），风扇电源应单独控制且具备故障报警接点。</w:t>
            </w:r>
          </w:p>
          <w:p w14:paraId="4516CB23">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default" w:ascii="宋体" w:hAnsi="宋体"/>
                <w:color w:val="auto"/>
                <w:sz w:val="21"/>
                <w:szCs w:val="21"/>
                <w:lang w:val="en-US" w:eastAsia="zh-CN"/>
              </w:rPr>
            </w:pPr>
            <w:r>
              <w:rPr>
                <w:rFonts w:hint="default" w:ascii="宋体" w:hAnsi="宋体" w:eastAsia="宋体" w:cs="宋体"/>
                <w:sz w:val="21"/>
                <w:szCs w:val="21"/>
                <w:lang w:val="en-US" w:eastAsia="zh-CN"/>
              </w:rPr>
              <w:t>防尘防水：柜门缝隙处应加装密封胶条。进线电缆孔必须使用电缆防水接头或防火泥封堵，防止灰尘和小动物进入。</w:t>
            </w:r>
          </w:p>
        </w:tc>
        <w:tc>
          <w:tcPr>
            <w:tcW w:w="463" w:type="pct"/>
          </w:tcPr>
          <w:p w14:paraId="40EF4932">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30CDF652">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6C1DADD3">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3933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57F5EC0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7E5E8FF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4EA6CB8C">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textAlignment w:val="auto"/>
              <w:rPr>
                <w:rFonts w:hint="eastAsia" w:ascii="宋体" w:hAnsi="宋体" w:eastAsia="宋体" w:cs="宋体"/>
                <w:sz w:val="21"/>
                <w:szCs w:val="21"/>
                <w:lang w:val="en-US" w:eastAsia="zh-CN"/>
              </w:rPr>
            </w:pPr>
            <w:r>
              <w:rPr>
                <w:rFonts w:hint="eastAsia" w:ascii="宋体" w:hAnsi="宋体"/>
                <w:b/>
                <w:bCs/>
                <w:color w:val="auto"/>
                <w:sz w:val="21"/>
                <w:szCs w:val="21"/>
                <w:lang w:val="en-US" w:eastAsia="zh-CN"/>
              </w:rPr>
              <w:t>（5）</w:t>
            </w:r>
            <w:r>
              <w:rPr>
                <w:rFonts w:hint="default" w:ascii="宋体" w:hAnsi="宋体"/>
                <w:b/>
                <w:bCs/>
                <w:color w:val="auto"/>
                <w:sz w:val="21"/>
                <w:szCs w:val="21"/>
                <w:lang w:val="en-US" w:eastAsia="zh-CN"/>
              </w:rPr>
              <w:t>铭牌与面板标识</w:t>
            </w:r>
          </w:p>
          <w:p w14:paraId="3242F698">
            <w:pPr>
              <w:pageBreakBefore w:val="0"/>
              <w:widowControl w:val="0"/>
              <w:numPr>
                <w:ilvl w:val="0"/>
                <w:numId w:val="5"/>
              </w:numPr>
              <w:kinsoku/>
              <w:wordWrap/>
              <w:overflowPunct/>
              <w:topLinePunct w:val="0"/>
              <w:autoSpaceDE/>
              <w:autoSpaceDN/>
              <w:bidi w:val="0"/>
              <w:adjustRightInd/>
              <w:spacing w:before="0" w:line="240" w:lineRule="auto"/>
              <w:ind w:firstLine="420" w:firstLineChars="200"/>
              <w:textAlignment w:val="auto"/>
              <w:rPr>
                <w:rFonts w:hint="eastAsia" w:ascii="宋体" w:hAnsi="宋体" w:eastAsia="宋体" w:cs="宋体"/>
                <w:sz w:val="21"/>
                <w:szCs w:val="21"/>
                <w:lang w:val="en-US" w:eastAsia="zh-CN"/>
              </w:rPr>
            </w:pPr>
            <w:r>
              <w:rPr>
                <w:rFonts w:hint="default" w:ascii="宋体" w:hAnsi="宋体" w:eastAsia="宋体" w:cs="宋体"/>
                <w:sz w:val="21"/>
                <w:szCs w:val="21"/>
                <w:lang w:val="en-US" w:eastAsia="zh-CN"/>
              </w:rPr>
              <w:t>铭牌：柜体正面必须有清晰的铭牌，标注制造单位、额定电压（AC 220/380V）、防护等级（IP40或IP54）、出厂编号及日期。</w:t>
            </w:r>
          </w:p>
          <w:p w14:paraId="6E6D56DB">
            <w:pPr>
              <w:pStyle w:val="5"/>
              <w:widowControl w:val="0"/>
              <w:spacing w:line="240" w:lineRule="auto"/>
              <w:ind w:firstLine="420" w:firstLineChars="200"/>
              <w:jc w:val="both"/>
              <w:rPr>
                <w:rFonts w:hint="default" w:ascii="宋体" w:hAnsi="宋体"/>
                <w:color w:val="auto"/>
                <w:sz w:val="21"/>
                <w:szCs w:val="21"/>
                <w:lang w:val="en-US" w:eastAsia="zh-CN"/>
              </w:rPr>
            </w:pPr>
            <w:r>
              <w:rPr>
                <w:rFonts w:hint="default" w:ascii="宋体" w:hAnsi="宋体" w:eastAsia="宋体" w:cs="宋体"/>
                <w:sz w:val="21"/>
                <w:szCs w:val="21"/>
                <w:lang w:val="en-US" w:eastAsia="zh-CN"/>
              </w:rPr>
              <w:t>面板标识：柜门上所有指示灯、转换开关、触摸屏下方必须有中文/英文功能标牌</w:t>
            </w:r>
            <w:r>
              <w:rPr>
                <w:rFonts w:hint="eastAsia" w:ascii="宋体" w:hAnsi="宋体" w:cs="宋体"/>
                <w:sz w:val="21"/>
                <w:szCs w:val="21"/>
                <w:lang w:val="en-US" w:eastAsia="zh-CN"/>
              </w:rPr>
              <w:t>；</w:t>
            </w:r>
            <w:r>
              <w:rPr>
                <w:rFonts w:hint="default" w:ascii="宋体" w:hAnsi="宋体" w:eastAsia="宋体" w:cs="宋体"/>
                <w:sz w:val="21"/>
                <w:szCs w:val="21"/>
                <w:lang w:val="en-US" w:eastAsia="zh-CN"/>
              </w:rPr>
              <w:t>柜内所有PLC模块、电源、继电器底座必须有与图纸对应的永久性标签。</w:t>
            </w:r>
          </w:p>
        </w:tc>
        <w:tc>
          <w:tcPr>
            <w:tcW w:w="463" w:type="pct"/>
          </w:tcPr>
          <w:p w14:paraId="78CA42DD">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4E2083A3">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3D594DBE">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026EF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4D28FFC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7A228AA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3661B173">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422" w:firstLineChars="200"/>
              <w:textAlignment w:val="auto"/>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（6）</w:t>
            </w:r>
            <w:r>
              <w:rPr>
                <w:rFonts w:hint="default" w:ascii="宋体" w:hAnsi="宋体"/>
                <w:b/>
                <w:bCs/>
                <w:color w:val="auto"/>
                <w:sz w:val="21"/>
                <w:szCs w:val="21"/>
                <w:lang w:val="en-US" w:eastAsia="zh-CN"/>
              </w:rPr>
              <w:t>出厂及现场验收试验</w:t>
            </w:r>
          </w:p>
          <w:p w14:paraId="0711021A">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rPr>
                <w:rFonts w:hint="default"/>
                <w:sz w:val="21"/>
                <w:szCs w:val="21"/>
                <w:lang w:val="en-US" w:eastAsia="zh-CN"/>
              </w:rPr>
            </w:pPr>
            <w:r>
              <w:rPr>
                <w:rFonts w:hint="default"/>
                <w:sz w:val="21"/>
                <w:szCs w:val="21"/>
                <w:lang w:val="en-US" w:eastAsia="zh-CN"/>
              </w:rPr>
              <w:t>重点测试项目如下：</w:t>
            </w:r>
          </w:p>
          <w:tbl>
            <w:tblPr>
              <w:tblStyle w:val="19"/>
              <w:tblW w:w="4998" w:type="pct"/>
              <w:tblInd w:w="-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965"/>
              <w:gridCol w:w="3883"/>
            </w:tblGrid>
            <w:tr w14:paraId="5FED4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rPr>
              <w:tc>
                <w:tcPr>
                  <w:tcW w:w="995" w:type="pct"/>
                  <w:tcBorders>
                    <w:top w:val="single" w:color="auto" w:sz="12"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4493C342">
                  <w:pPr>
                    <w:keepNext w:val="0"/>
                    <w:keepLines w:val="0"/>
                    <w:widowControl/>
                    <w:suppressLineNumbers w:val="0"/>
                    <w:spacing w:line="240" w:lineRule="auto"/>
                    <w:jc w:val="center"/>
                    <w:rPr>
                      <w:rFonts w:hint="eastAsia" w:ascii="宋体" w:hAnsi="宋体" w:eastAsia="宋体" w:cs="宋体"/>
                      <w:b/>
                      <w:bCs/>
                      <w:sz w:val="21"/>
                      <w:szCs w:val="21"/>
                    </w:rPr>
                  </w:pPr>
                  <w:r>
                    <w:rPr>
                      <w:rFonts w:hint="eastAsia" w:ascii="宋体" w:hAnsi="宋体" w:eastAsia="宋体" w:cs="宋体"/>
                      <w:b/>
                      <w:bCs/>
                      <w:kern w:val="0"/>
                      <w:sz w:val="21"/>
                      <w:szCs w:val="21"/>
                      <w:lang w:val="en-US" w:eastAsia="zh-CN" w:bidi="ar"/>
                    </w:rPr>
                    <w:t>试验项目</w:t>
                  </w:r>
                </w:p>
              </w:tc>
              <w:tc>
                <w:tcPr>
                  <w:tcW w:w="4004" w:type="pct"/>
                  <w:tcBorders>
                    <w:top w:val="single" w:color="auto" w:sz="12" w:space="0"/>
                    <w:left w:val="single" w:color="auto" w:sz="4" w:space="0"/>
                    <w:bottom w:val="single" w:color="auto" w:sz="4" w:space="0"/>
                    <w:right w:val="nil"/>
                  </w:tcBorders>
                  <w:shd w:val="clear" w:color="auto" w:fill="auto"/>
                  <w:noWrap w:val="0"/>
                  <w:tcMar>
                    <w:top w:w="150" w:type="dxa"/>
                    <w:left w:w="240" w:type="dxa"/>
                    <w:bottom w:w="150" w:type="dxa"/>
                    <w:right w:w="240" w:type="dxa"/>
                  </w:tcMar>
                  <w:vAlign w:val="center"/>
                </w:tcPr>
                <w:p w14:paraId="6F217A47">
                  <w:pPr>
                    <w:keepNext w:val="0"/>
                    <w:keepLines w:val="0"/>
                    <w:widowControl/>
                    <w:suppressLineNumbers w:val="0"/>
                    <w:spacing w:line="240" w:lineRule="auto"/>
                    <w:jc w:val="center"/>
                    <w:rPr>
                      <w:rFonts w:hint="eastAsia" w:ascii="宋体" w:hAnsi="宋体" w:eastAsia="宋体" w:cs="宋体"/>
                      <w:b/>
                      <w:bCs/>
                      <w:sz w:val="21"/>
                      <w:szCs w:val="21"/>
                    </w:rPr>
                  </w:pPr>
                  <w:r>
                    <w:rPr>
                      <w:rFonts w:hint="eastAsia" w:ascii="宋体" w:hAnsi="宋体" w:eastAsia="宋体" w:cs="宋体"/>
                      <w:b/>
                      <w:bCs/>
                      <w:kern w:val="0"/>
                      <w:sz w:val="21"/>
                      <w:szCs w:val="21"/>
                      <w:lang w:val="en-US" w:eastAsia="zh-CN" w:bidi="ar"/>
                    </w:rPr>
                    <w:t>具体要求</w:t>
                  </w:r>
                </w:p>
              </w:tc>
            </w:tr>
            <w:tr w14:paraId="1BE85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95" w:type="pct"/>
                  <w:tcBorders>
                    <w:top w:val="single" w:color="auto" w:sz="4"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721552F0">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绝缘电阻测试</w:t>
                  </w:r>
                </w:p>
              </w:tc>
              <w:tc>
                <w:tcPr>
                  <w:tcW w:w="4004" w:type="pct"/>
                  <w:tcBorders>
                    <w:top w:val="single" w:color="auto" w:sz="4" w:space="0"/>
                    <w:left w:val="single" w:color="auto" w:sz="4" w:space="0"/>
                    <w:bottom w:val="single" w:color="auto" w:sz="4" w:space="0"/>
                    <w:right w:val="nil"/>
                  </w:tcBorders>
                  <w:shd w:val="clear" w:color="auto" w:fill="auto"/>
                  <w:noWrap w:val="0"/>
                  <w:tcMar>
                    <w:top w:w="150" w:type="dxa"/>
                    <w:left w:w="240" w:type="dxa"/>
                    <w:bottom w:w="150" w:type="dxa"/>
                    <w:right w:w="-1" w:type="dxa"/>
                  </w:tcMar>
                  <w:vAlign w:val="center"/>
                </w:tcPr>
                <w:p w14:paraId="6C2EC0C8">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必须注意</w:t>
                  </w:r>
                  <w:r>
                    <w:rPr>
                      <w:rFonts w:hint="eastAsia" w:ascii="宋体" w:hAnsi="宋体" w:eastAsia="宋体" w:cs="宋体"/>
                      <w:kern w:val="0"/>
                      <w:sz w:val="21"/>
                      <w:szCs w:val="21"/>
                      <w:lang w:val="en-US" w:eastAsia="zh-CN" w:bidi="ar"/>
                    </w:rPr>
                    <w:t>：测试前应</w:t>
                  </w:r>
                  <w:r>
                    <w:rPr>
                      <w:rFonts w:hint="eastAsia" w:ascii="宋体" w:hAnsi="宋体" w:eastAsia="宋体" w:cs="宋体"/>
                      <w:b/>
                      <w:bCs/>
                      <w:kern w:val="0"/>
                      <w:sz w:val="21"/>
                      <w:szCs w:val="21"/>
                      <w:lang w:val="en-US" w:eastAsia="zh-CN" w:bidi="ar"/>
                    </w:rPr>
                    <w:t>短接所有PLC输入输出端</w:t>
                  </w:r>
                  <w:r>
                    <w:rPr>
                      <w:rFonts w:hint="eastAsia" w:ascii="宋体" w:hAnsi="宋体" w:eastAsia="宋体" w:cs="宋体"/>
                      <w:kern w:val="0"/>
                      <w:sz w:val="21"/>
                      <w:szCs w:val="21"/>
                      <w:lang w:val="en-US" w:eastAsia="zh-CN" w:bidi="ar"/>
                    </w:rPr>
                    <w:t>或</w:t>
                  </w:r>
                  <w:r>
                    <w:rPr>
                      <w:rFonts w:hint="eastAsia" w:ascii="宋体" w:hAnsi="宋体" w:eastAsia="宋体" w:cs="宋体"/>
                      <w:b/>
                      <w:bCs/>
                      <w:kern w:val="0"/>
                      <w:sz w:val="21"/>
                      <w:szCs w:val="21"/>
                      <w:lang w:val="en-US" w:eastAsia="zh-CN" w:bidi="ar"/>
                    </w:rPr>
                    <w:t>断开PLC电源线</w:t>
                  </w:r>
                  <w:r>
                    <w:rPr>
                      <w:rFonts w:hint="eastAsia" w:ascii="宋体" w:hAnsi="宋体" w:eastAsia="宋体" w:cs="宋体"/>
                      <w:kern w:val="0"/>
                      <w:sz w:val="21"/>
                      <w:szCs w:val="21"/>
                      <w:lang w:val="en-US" w:eastAsia="zh-CN" w:bidi="ar"/>
                    </w:rPr>
                    <w:t>！使用500V兆欧表测量（电源进线回路与地之间），绝缘电阻应 &gt;</w:t>
                  </w:r>
                  <w:r>
                    <w:rPr>
                      <w:rFonts w:hint="eastAsia" w:ascii="宋体" w:hAnsi="宋体" w:eastAsia="宋体" w:cs="宋体"/>
                      <w:b/>
                      <w:bCs/>
                      <w:kern w:val="0"/>
                      <w:sz w:val="21"/>
                      <w:szCs w:val="21"/>
                      <w:lang w:val="en-US" w:eastAsia="zh-CN" w:bidi="ar"/>
                    </w:rPr>
                    <w:t>20MΩ</w:t>
                  </w:r>
                  <w:r>
                    <w:rPr>
                      <w:rFonts w:hint="eastAsia" w:ascii="宋体" w:hAnsi="宋体" w:eastAsia="宋体" w:cs="宋体"/>
                      <w:kern w:val="0"/>
                      <w:sz w:val="21"/>
                      <w:szCs w:val="21"/>
                      <w:lang w:val="en-US" w:eastAsia="zh-CN" w:bidi="ar"/>
                    </w:rPr>
                    <w:t>（严禁用高压摇表直接打PLC模块端子，极易击穿）。</w:t>
                  </w:r>
                </w:p>
              </w:tc>
            </w:tr>
            <w:tr w14:paraId="30FEC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95" w:type="pct"/>
                  <w:tcBorders>
                    <w:top w:val="single" w:color="auto" w:sz="4"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418841E7">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供电测试</w:t>
                  </w:r>
                </w:p>
              </w:tc>
              <w:tc>
                <w:tcPr>
                  <w:tcW w:w="4004" w:type="pct"/>
                  <w:tcBorders>
                    <w:top w:val="single" w:color="auto" w:sz="4" w:space="0"/>
                    <w:left w:val="single" w:color="auto" w:sz="4" w:space="0"/>
                    <w:bottom w:val="single" w:color="auto" w:sz="4" w:space="0"/>
                    <w:right w:val="nil"/>
                  </w:tcBorders>
                  <w:shd w:val="clear" w:color="auto" w:fill="auto"/>
                  <w:noWrap w:val="0"/>
                  <w:tcMar>
                    <w:top w:w="150" w:type="dxa"/>
                    <w:left w:w="240" w:type="dxa"/>
                    <w:bottom w:w="150" w:type="dxa"/>
                    <w:right w:w="-1" w:type="dxa"/>
                  </w:tcMar>
                  <w:vAlign w:val="center"/>
                </w:tcPr>
                <w:p w14:paraId="480DC2AF">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检查开关电源输出是否稳定（24V ±5%），纹波系数是否满足控制器要求（一般 &lt; 100mV）。</w:t>
                  </w:r>
                </w:p>
              </w:tc>
            </w:tr>
            <w:tr w14:paraId="51A48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95" w:type="pct"/>
                  <w:tcBorders>
                    <w:top w:val="single" w:color="auto" w:sz="4" w:space="0"/>
                    <w:left w:val="nil"/>
                    <w:bottom w:val="single" w:color="auto" w:sz="4" w:space="0"/>
                    <w:right w:val="single" w:color="auto" w:sz="4" w:space="0"/>
                  </w:tcBorders>
                  <w:shd w:val="clear" w:color="auto" w:fill="auto"/>
                  <w:noWrap w:val="0"/>
                  <w:tcMar>
                    <w:top w:w="150" w:type="dxa"/>
                    <w:left w:w="-1" w:type="dxa"/>
                    <w:bottom w:w="150" w:type="dxa"/>
                    <w:right w:w="240" w:type="dxa"/>
                  </w:tcMar>
                  <w:vAlign w:val="center"/>
                </w:tcPr>
                <w:p w14:paraId="240FF41B">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I/O通道校验</w:t>
                  </w:r>
                </w:p>
              </w:tc>
              <w:tc>
                <w:tcPr>
                  <w:tcW w:w="4004" w:type="pct"/>
                  <w:tcBorders>
                    <w:top w:val="single" w:color="auto" w:sz="4" w:space="0"/>
                    <w:left w:val="single" w:color="auto" w:sz="4" w:space="0"/>
                    <w:bottom w:val="single" w:color="auto" w:sz="4" w:space="0"/>
                    <w:right w:val="nil"/>
                  </w:tcBorders>
                  <w:shd w:val="clear" w:color="auto" w:fill="auto"/>
                  <w:noWrap w:val="0"/>
                  <w:tcMar>
                    <w:top w:w="150" w:type="dxa"/>
                    <w:left w:w="240" w:type="dxa"/>
                    <w:bottom w:w="150" w:type="dxa"/>
                    <w:right w:w="-1" w:type="dxa"/>
                  </w:tcMar>
                  <w:vAlign w:val="center"/>
                </w:tcPr>
                <w:p w14:paraId="7B5C8BC4">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逐个短接/断开数字量输入点，逐个给定4-20mA标准信号源校验模拟量，确保上位机读数与现场实际值误差在允许范围内。</w:t>
                  </w:r>
                </w:p>
              </w:tc>
            </w:tr>
            <w:tr w14:paraId="5CE00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95" w:type="pct"/>
                  <w:tcBorders>
                    <w:top w:val="single" w:color="auto" w:sz="4" w:space="0"/>
                    <w:left w:val="nil"/>
                    <w:bottom w:val="single" w:color="auto" w:sz="12" w:space="0"/>
                    <w:right w:val="single" w:color="auto" w:sz="4" w:space="0"/>
                  </w:tcBorders>
                  <w:shd w:val="clear" w:color="auto" w:fill="auto"/>
                  <w:noWrap w:val="0"/>
                  <w:tcMar>
                    <w:top w:w="150" w:type="dxa"/>
                    <w:left w:w="-1" w:type="dxa"/>
                    <w:bottom w:w="150" w:type="dxa"/>
                    <w:right w:w="240" w:type="dxa"/>
                  </w:tcMar>
                  <w:vAlign w:val="center"/>
                </w:tcPr>
                <w:p w14:paraId="4C77EBDE">
                  <w:pPr>
                    <w:keepNext w:val="0"/>
                    <w:keepLines w:val="0"/>
                    <w:widowControl/>
                    <w:suppressLineNumbers w:val="0"/>
                    <w:spacing w:line="240" w:lineRule="auto"/>
                    <w:jc w:val="center"/>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接地连续性</w:t>
                  </w:r>
                </w:p>
              </w:tc>
              <w:tc>
                <w:tcPr>
                  <w:tcW w:w="4004" w:type="pct"/>
                  <w:tcBorders>
                    <w:top w:val="single" w:color="auto" w:sz="4" w:space="0"/>
                    <w:left w:val="single" w:color="auto" w:sz="4" w:space="0"/>
                    <w:bottom w:val="single" w:color="auto" w:sz="12" w:space="0"/>
                    <w:right w:val="nil"/>
                  </w:tcBorders>
                  <w:shd w:val="clear" w:color="auto" w:fill="auto"/>
                  <w:noWrap w:val="0"/>
                  <w:tcMar>
                    <w:top w:w="150" w:type="dxa"/>
                    <w:left w:w="240" w:type="dxa"/>
                    <w:bottom w:w="150" w:type="dxa"/>
                    <w:right w:w="-1" w:type="dxa"/>
                  </w:tcMar>
                  <w:vAlign w:val="center"/>
                </w:tcPr>
                <w:p w14:paraId="10A8B066">
                  <w:pPr>
                    <w:keepNext w:val="0"/>
                    <w:keepLines w:val="0"/>
                    <w:widowControl/>
                    <w:suppressLineNumbers w:val="0"/>
                    <w:spacing w:line="240" w:lineRule="auto"/>
                    <w:jc w:val="left"/>
                    <w:rPr>
                      <w:rFonts w:hint="eastAsia" w:ascii="宋体" w:hAnsi="宋体" w:eastAsia="宋体" w:cs="宋体"/>
                      <w:sz w:val="21"/>
                      <w:szCs w:val="21"/>
                    </w:rPr>
                  </w:pPr>
                  <w:r>
                    <w:rPr>
                      <w:rFonts w:hint="eastAsia" w:ascii="宋体" w:hAnsi="宋体" w:eastAsia="宋体" w:cs="宋体"/>
                      <w:kern w:val="0"/>
                      <w:sz w:val="21"/>
                      <w:szCs w:val="21"/>
                      <w:lang w:val="en-US" w:eastAsia="zh-CN" w:bidi="ar"/>
                    </w:rPr>
                    <w:t>用万用表测量柜体门与接地母排之间的电阻，应 &lt; 0.1Ω。</w:t>
                  </w:r>
                </w:p>
              </w:tc>
            </w:tr>
          </w:tbl>
          <w:p w14:paraId="67F000D3">
            <w:pPr>
              <w:pStyle w:val="5"/>
              <w:widowControl w:val="0"/>
              <w:spacing w:line="240" w:lineRule="auto"/>
              <w:ind w:firstLine="420" w:firstLineChars="200"/>
              <w:jc w:val="both"/>
              <w:rPr>
                <w:rFonts w:hint="default" w:ascii="宋体" w:hAnsi="宋体"/>
                <w:color w:val="auto"/>
                <w:sz w:val="21"/>
                <w:szCs w:val="21"/>
                <w:lang w:val="en-US" w:eastAsia="zh-CN"/>
              </w:rPr>
            </w:pPr>
          </w:p>
        </w:tc>
        <w:tc>
          <w:tcPr>
            <w:tcW w:w="463" w:type="pct"/>
          </w:tcPr>
          <w:p w14:paraId="72E1CCD1">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079EACDD">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0D149D95">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A1B7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482" w:type="pct"/>
            <w:vMerge w:val="restart"/>
            <w:shd w:val="clear" w:color="auto" w:fill="auto"/>
            <w:vAlign w:val="center"/>
          </w:tcPr>
          <w:p w14:paraId="48EB15FE">
            <w:pPr>
              <w:keepNext w:val="0"/>
              <w:keepLines w:val="0"/>
              <w:suppressLineNumbers w:val="0"/>
              <w:spacing w:before="0" w:beforeAutospacing="0" w:after="0" w:afterAutospacing="0"/>
              <w:ind w:left="0" w:leftChars="0" w:right="0" w:rightChars="0"/>
              <w:jc w:val="center"/>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4</w:t>
            </w:r>
          </w:p>
        </w:tc>
        <w:tc>
          <w:tcPr>
            <w:tcW w:w="504" w:type="pct"/>
            <w:vMerge w:val="restart"/>
            <w:shd w:val="clear" w:color="auto" w:fill="auto"/>
            <w:vAlign w:val="center"/>
          </w:tcPr>
          <w:p w14:paraId="1F1184EA">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r>
              <w:rPr>
                <w:rFonts w:hint="eastAsia" w:ascii="宋体" w:hAnsi="宋体"/>
                <w:b/>
                <w:bCs/>
                <w:color w:val="auto"/>
                <w:sz w:val="21"/>
                <w:szCs w:val="21"/>
                <w:lang w:val="en-US" w:eastAsia="zh-CN"/>
              </w:rPr>
              <w:t>4.CPU控制器</w:t>
            </w:r>
          </w:p>
        </w:tc>
        <w:tc>
          <w:tcPr>
            <w:tcW w:w="2796" w:type="pct"/>
          </w:tcPr>
          <w:p w14:paraId="0700F0CA">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宋体" w:hAnsi="宋体"/>
                <w:color w:val="auto"/>
                <w:sz w:val="21"/>
                <w:szCs w:val="21"/>
                <w:lang w:val="en-US" w:eastAsia="zh-CN"/>
              </w:rPr>
            </w:pPr>
            <w:r>
              <w:rPr>
                <w:rFonts w:hint="eastAsia" w:ascii="宋体" w:hAnsi="宋体"/>
                <w:b/>
                <w:bCs/>
                <w:color w:val="auto"/>
                <w:sz w:val="21"/>
                <w:szCs w:val="21"/>
                <w:lang w:val="en-US" w:eastAsia="zh-CN"/>
              </w:rPr>
              <w:t>4.CPU控制器</w:t>
            </w:r>
          </w:p>
          <w:p w14:paraId="0C5B1917">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b/>
                <w:bCs/>
                <w:color w:val="000000" w:themeColor="text1"/>
                <w:szCs w:val="21"/>
                <w14:textFill>
                  <w14:solidFill>
                    <w14:schemeClr w14:val="tx1"/>
                  </w14:solidFill>
                </w14:textFill>
              </w:rPr>
            </w:pPr>
            <w:r>
              <w:rPr>
                <w:rFonts w:hint="eastAsia" w:ascii="宋体" w:hAnsi="宋体"/>
                <w:color w:val="auto"/>
                <w:sz w:val="21"/>
                <w:szCs w:val="21"/>
                <w:lang w:val="en-US" w:eastAsia="zh-CN"/>
              </w:rPr>
              <w:t>供电电压：AC 85 ~ 264 V</w:t>
            </w:r>
          </w:p>
        </w:tc>
        <w:tc>
          <w:tcPr>
            <w:tcW w:w="463" w:type="pct"/>
          </w:tcPr>
          <w:p w14:paraId="5A3F4B97">
            <w:pPr>
              <w:keepNext w:val="0"/>
              <w:keepLines w:val="0"/>
              <w:suppressLineNumbers w:val="0"/>
              <w:spacing w:before="0" w:beforeAutospacing="0" w:after="0" w:afterAutospacing="0"/>
              <w:ind w:left="0" w:right="0"/>
              <w:rPr>
                <w:rFonts w:hint="default"/>
                <w:b/>
                <w:bCs/>
                <w:color w:val="FF0000"/>
                <w:szCs w:val="21"/>
              </w:rPr>
            </w:pPr>
          </w:p>
        </w:tc>
        <w:tc>
          <w:tcPr>
            <w:tcW w:w="463" w:type="pct"/>
          </w:tcPr>
          <w:p w14:paraId="0993E71E">
            <w:pPr>
              <w:keepNext w:val="0"/>
              <w:keepLines w:val="0"/>
              <w:suppressLineNumbers w:val="0"/>
              <w:spacing w:before="0" w:beforeAutospacing="0" w:after="0" w:afterAutospacing="0"/>
              <w:ind w:left="0" w:right="0"/>
              <w:rPr>
                <w:rFonts w:hint="default"/>
                <w:b/>
                <w:bCs/>
                <w:color w:val="FF0000"/>
                <w:szCs w:val="21"/>
              </w:rPr>
            </w:pPr>
          </w:p>
        </w:tc>
        <w:tc>
          <w:tcPr>
            <w:tcW w:w="290" w:type="pct"/>
          </w:tcPr>
          <w:p w14:paraId="3D3369D1">
            <w:pPr>
              <w:keepNext w:val="0"/>
              <w:keepLines w:val="0"/>
              <w:suppressLineNumbers w:val="0"/>
              <w:spacing w:before="0" w:beforeAutospacing="0" w:after="0" w:afterAutospacing="0"/>
              <w:ind w:left="0" w:right="0"/>
              <w:rPr>
                <w:rFonts w:hint="default"/>
                <w:b/>
                <w:bCs/>
                <w:color w:val="FF0000"/>
                <w:szCs w:val="21"/>
              </w:rPr>
            </w:pPr>
          </w:p>
        </w:tc>
      </w:tr>
      <w:tr w14:paraId="3C0B3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482" w:type="pct"/>
            <w:vMerge w:val="continue"/>
            <w:shd w:val="clear" w:color="auto" w:fill="auto"/>
            <w:vAlign w:val="center"/>
          </w:tcPr>
          <w:p w14:paraId="28EDF36A">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p>
        </w:tc>
        <w:tc>
          <w:tcPr>
            <w:tcW w:w="504" w:type="pct"/>
            <w:vMerge w:val="continue"/>
            <w:shd w:val="clear" w:color="auto" w:fill="auto"/>
            <w:vAlign w:val="center"/>
          </w:tcPr>
          <w:p w14:paraId="52323269">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p>
        </w:tc>
        <w:tc>
          <w:tcPr>
            <w:tcW w:w="2796" w:type="pct"/>
          </w:tcPr>
          <w:p w14:paraId="00DB1914">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b/>
                <w:bCs/>
                <w:color w:val="000000" w:themeColor="text1"/>
                <w:szCs w:val="21"/>
                <w14:textFill>
                  <w14:solidFill>
                    <w14:schemeClr w14:val="tx1"/>
                  </w14:solidFill>
                </w14:textFill>
              </w:rPr>
            </w:pPr>
            <w:r>
              <w:rPr>
                <w:rFonts w:hint="eastAsia" w:ascii="宋体" w:hAnsi="宋体"/>
                <w:color w:val="auto"/>
                <w:sz w:val="21"/>
                <w:szCs w:val="21"/>
                <w:lang w:val="en-US" w:eastAsia="zh-CN"/>
              </w:rPr>
              <w:t>电源频率：47 ~ 63 Hz</w:t>
            </w:r>
          </w:p>
        </w:tc>
        <w:tc>
          <w:tcPr>
            <w:tcW w:w="463" w:type="pct"/>
          </w:tcPr>
          <w:p w14:paraId="34599188">
            <w:pPr>
              <w:keepNext w:val="0"/>
              <w:keepLines w:val="0"/>
              <w:suppressLineNumbers w:val="0"/>
              <w:spacing w:before="0" w:beforeAutospacing="0" w:after="0" w:afterAutospacing="0"/>
              <w:ind w:left="0" w:right="0"/>
              <w:rPr>
                <w:rFonts w:hint="default"/>
                <w:b/>
                <w:bCs/>
                <w:color w:val="FF0000"/>
                <w:szCs w:val="21"/>
              </w:rPr>
            </w:pPr>
          </w:p>
        </w:tc>
        <w:tc>
          <w:tcPr>
            <w:tcW w:w="463" w:type="pct"/>
          </w:tcPr>
          <w:p w14:paraId="1E7F17B9">
            <w:pPr>
              <w:keepNext w:val="0"/>
              <w:keepLines w:val="0"/>
              <w:suppressLineNumbers w:val="0"/>
              <w:spacing w:before="0" w:beforeAutospacing="0" w:after="0" w:afterAutospacing="0"/>
              <w:ind w:left="0" w:right="0"/>
              <w:rPr>
                <w:rFonts w:hint="default"/>
                <w:b/>
                <w:bCs/>
                <w:color w:val="FF0000"/>
                <w:szCs w:val="21"/>
              </w:rPr>
            </w:pPr>
          </w:p>
        </w:tc>
        <w:tc>
          <w:tcPr>
            <w:tcW w:w="290" w:type="pct"/>
          </w:tcPr>
          <w:p w14:paraId="49A2598D">
            <w:pPr>
              <w:keepNext w:val="0"/>
              <w:keepLines w:val="0"/>
              <w:suppressLineNumbers w:val="0"/>
              <w:spacing w:before="0" w:beforeAutospacing="0" w:after="0" w:afterAutospacing="0"/>
              <w:ind w:left="0" w:right="0"/>
              <w:rPr>
                <w:rFonts w:hint="default"/>
                <w:b/>
                <w:bCs/>
                <w:color w:val="FF0000"/>
                <w:szCs w:val="21"/>
              </w:rPr>
            </w:pPr>
          </w:p>
        </w:tc>
      </w:tr>
      <w:tr w14:paraId="7F725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482" w:type="pct"/>
            <w:vMerge w:val="continue"/>
            <w:shd w:val="clear" w:color="auto" w:fill="auto"/>
            <w:vAlign w:val="center"/>
          </w:tcPr>
          <w:p w14:paraId="6F52CD8C">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p>
        </w:tc>
        <w:tc>
          <w:tcPr>
            <w:tcW w:w="504" w:type="pct"/>
            <w:vMerge w:val="continue"/>
            <w:shd w:val="clear" w:color="auto" w:fill="auto"/>
            <w:vAlign w:val="center"/>
          </w:tcPr>
          <w:p w14:paraId="41B807B4">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p>
        </w:tc>
        <w:tc>
          <w:tcPr>
            <w:tcW w:w="2796" w:type="pct"/>
          </w:tcPr>
          <w:p w14:paraId="67ADC51F">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b/>
                <w:bCs/>
                <w:color w:val="000000" w:themeColor="text1"/>
                <w:szCs w:val="21"/>
                <w14:textFill>
                  <w14:solidFill>
                    <w14:schemeClr w14:val="tx1"/>
                  </w14:solidFill>
                </w14:textFill>
              </w:rPr>
            </w:pPr>
            <w:r>
              <w:rPr>
                <w:rFonts w:hint="eastAsia" w:ascii="宋体" w:hAnsi="宋体"/>
                <w:color w:val="auto"/>
                <w:sz w:val="21"/>
                <w:szCs w:val="21"/>
                <w:lang w:val="en-US" w:eastAsia="zh-CN"/>
              </w:rPr>
              <w:t>功耗：14 W （最大）</w:t>
            </w:r>
          </w:p>
        </w:tc>
        <w:tc>
          <w:tcPr>
            <w:tcW w:w="463" w:type="pct"/>
          </w:tcPr>
          <w:p w14:paraId="5EF65378">
            <w:pPr>
              <w:keepNext w:val="0"/>
              <w:keepLines w:val="0"/>
              <w:suppressLineNumbers w:val="0"/>
              <w:spacing w:before="0" w:beforeAutospacing="0" w:after="0" w:afterAutospacing="0"/>
              <w:ind w:left="0" w:right="0"/>
              <w:rPr>
                <w:rFonts w:hint="default"/>
                <w:b/>
                <w:bCs/>
                <w:color w:val="FF0000"/>
                <w:szCs w:val="21"/>
              </w:rPr>
            </w:pPr>
          </w:p>
        </w:tc>
        <w:tc>
          <w:tcPr>
            <w:tcW w:w="463" w:type="pct"/>
          </w:tcPr>
          <w:p w14:paraId="77112916">
            <w:pPr>
              <w:keepNext w:val="0"/>
              <w:keepLines w:val="0"/>
              <w:suppressLineNumbers w:val="0"/>
              <w:spacing w:before="0" w:beforeAutospacing="0" w:after="0" w:afterAutospacing="0"/>
              <w:ind w:left="0" w:right="0"/>
              <w:rPr>
                <w:rFonts w:hint="default"/>
                <w:b/>
                <w:bCs/>
                <w:color w:val="FF0000"/>
                <w:szCs w:val="21"/>
              </w:rPr>
            </w:pPr>
          </w:p>
        </w:tc>
        <w:tc>
          <w:tcPr>
            <w:tcW w:w="290" w:type="pct"/>
          </w:tcPr>
          <w:p w14:paraId="6629E7FD">
            <w:pPr>
              <w:keepNext w:val="0"/>
              <w:keepLines w:val="0"/>
              <w:suppressLineNumbers w:val="0"/>
              <w:spacing w:before="0" w:beforeAutospacing="0" w:after="0" w:afterAutospacing="0"/>
              <w:ind w:left="0" w:right="0"/>
              <w:rPr>
                <w:rFonts w:hint="default"/>
                <w:b/>
                <w:bCs/>
                <w:color w:val="FF0000"/>
                <w:szCs w:val="21"/>
              </w:rPr>
            </w:pPr>
          </w:p>
        </w:tc>
      </w:tr>
      <w:tr w14:paraId="14BE3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trPr>
        <w:tc>
          <w:tcPr>
            <w:tcW w:w="482" w:type="pct"/>
            <w:vMerge w:val="continue"/>
            <w:shd w:val="clear" w:color="auto" w:fill="auto"/>
            <w:vAlign w:val="center"/>
          </w:tcPr>
          <w:p w14:paraId="73D5FAB4">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p>
        </w:tc>
        <w:tc>
          <w:tcPr>
            <w:tcW w:w="504" w:type="pct"/>
            <w:vMerge w:val="continue"/>
            <w:shd w:val="clear" w:color="auto" w:fill="auto"/>
            <w:vAlign w:val="center"/>
          </w:tcPr>
          <w:p w14:paraId="0C9A2B0E">
            <w:pPr>
              <w:keepNext w:val="0"/>
              <w:keepLines w:val="0"/>
              <w:suppressLineNumbers w:val="0"/>
              <w:spacing w:before="0" w:beforeAutospacing="0" w:after="0" w:afterAutospacing="0"/>
              <w:ind w:left="0" w:leftChars="0" w:right="0" w:rightChars="0"/>
              <w:jc w:val="center"/>
              <w:rPr>
                <w:rFonts w:hint="eastAsia" w:ascii="Times New Roman" w:hAnsi="Times New Roman" w:cs="Times New Roman" w:eastAsiaTheme="minorEastAsia"/>
                <w:b/>
                <w:bCs/>
                <w:color w:val="FF0000"/>
                <w:sz w:val="24"/>
                <w:szCs w:val="21"/>
                <w:lang w:val="en-US" w:eastAsia="zh-CN" w:bidi="ar-SA"/>
              </w:rPr>
            </w:pPr>
          </w:p>
        </w:tc>
        <w:tc>
          <w:tcPr>
            <w:tcW w:w="2796" w:type="pct"/>
          </w:tcPr>
          <w:p w14:paraId="0090E1E2">
            <w:pPr>
              <w:pStyle w:val="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default"/>
                <w:b/>
                <w:bCs/>
                <w:color w:val="000000" w:themeColor="text1"/>
                <w:szCs w:val="21"/>
                <w14:textFill>
                  <w14:solidFill>
                    <w14:schemeClr w14:val="tx1"/>
                  </w14:solidFill>
                </w14:textFill>
              </w:rPr>
            </w:pPr>
            <w:r>
              <w:rPr>
                <w:rFonts w:hint="eastAsia" w:ascii="宋体" w:hAnsi="宋体"/>
                <w:color w:val="auto"/>
                <w:sz w:val="21"/>
                <w:szCs w:val="21"/>
                <w:lang w:val="en-US" w:eastAsia="zh-CN"/>
              </w:rPr>
              <w:t>冲击电流 （最大）：8.9 A (264 V 时）</w:t>
            </w:r>
          </w:p>
        </w:tc>
        <w:tc>
          <w:tcPr>
            <w:tcW w:w="463" w:type="pct"/>
          </w:tcPr>
          <w:p w14:paraId="4D07DA2D">
            <w:pPr>
              <w:keepNext w:val="0"/>
              <w:keepLines w:val="0"/>
              <w:suppressLineNumbers w:val="0"/>
              <w:spacing w:before="0" w:beforeAutospacing="0" w:after="0" w:afterAutospacing="0"/>
              <w:ind w:left="0" w:right="0"/>
              <w:rPr>
                <w:rFonts w:hint="default"/>
                <w:b/>
                <w:bCs/>
                <w:color w:val="FF0000"/>
                <w:szCs w:val="21"/>
              </w:rPr>
            </w:pPr>
          </w:p>
        </w:tc>
        <w:tc>
          <w:tcPr>
            <w:tcW w:w="463" w:type="pct"/>
          </w:tcPr>
          <w:p w14:paraId="741C0D8B">
            <w:pPr>
              <w:keepNext w:val="0"/>
              <w:keepLines w:val="0"/>
              <w:suppressLineNumbers w:val="0"/>
              <w:spacing w:before="0" w:beforeAutospacing="0" w:after="0" w:afterAutospacing="0"/>
              <w:ind w:left="0" w:right="0"/>
              <w:rPr>
                <w:rFonts w:hint="default"/>
                <w:b/>
                <w:bCs/>
                <w:color w:val="FF0000"/>
                <w:szCs w:val="21"/>
              </w:rPr>
            </w:pPr>
          </w:p>
        </w:tc>
        <w:tc>
          <w:tcPr>
            <w:tcW w:w="290" w:type="pct"/>
          </w:tcPr>
          <w:p w14:paraId="197B1DBC">
            <w:pPr>
              <w:keepNext w:val="0"/>
              <w:keepLines w:val="0"/>
              <w:suppressLineNumbers w:val="0"/>
              <w:spacing w:before="0" w:beforeAutospacing="0" w:after="0" w:afterAutospacing="0"/>
              <w:ind w:left="0" w:right="0"/>
              <w:rPr>
                <w:rFonts w:hint="default"/>
                <w:b/>
                <w:bCs/>
                <w:color w:val="FF0000"/>
                <w:szCs w:val="21"/>
              </w:rPr>
            </w:pPr>
          </w:p>
        </w:tc>
      </w:tr>
      <w:tr w14:paraId="3BAB0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restart"/>
            <w:shd w:val="clear" w:color="auto" w:fill="auto"/>
            <w:vAlign w:val="center"/>
          </w:tcPr>
          <w:p w14:paraId="271525EC">
            <w:pPr>
              <w:keepNext w:val="0"/>
              <w:keepLines w:val="0"/>
              <w:suppressLineNumbers w:val="0"/>
              <w:spacing w:before="0" w:beforeAutospacing="0" w:after="0" w:afterAutospacing="0"/>
              <w:ind w:left="0" w:leftChars="0" w:right="0" w:rightChars="0"/>
              <w:jc w:val="center"/>
              <w:rPr>
                <w:rFonts w:hint="default" w:ascii="宋体" w:hAnsi="宋体"/>
                <w:b/>
                <w:bCs/>
                <w:color w:val="auto"/>
                <w:sz w:val="21"/>
                <w:szCs w:val="21"/>
                <w:lang w:val="en-US" w:eastAsia="zh-CN"/>
              </w:rPr>
            </w:pPr>
            <w:r>
              <w:rPr>
                <w:rFonts w:hint="eastAsia" w:ascii="宋体" w:hAnsi="宋体"/>
                <w:b/>
                <w:bCs/>
                <w:color w:val="auto"/>
                <w:sz w:val="21"/>
                <w:szCs w:val="21"/>
                <w:lang w:val="en-US" w:eastAsia="zh-CN"/>
              </w:rPr>
              <w:t>5</w:t>
            </w:r>
          </w:p>
        </w:tc>
        <w:tc>
          <w:tcPr>
            <w:tcW w:w="504" w:type="pct"/>
            <w:vMerge w:val="restart"/>
            <w:shd w:val="clear" w:color="auto" w:fill="auto"/>
            <w:vAlign w:val="center"/>
          </w:tcPr>
          <w:p w14:paraId="5148C842">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r>
              <w:rPr>
                <w:rFonts w:hint="eastAsia" w:ascii="宋体" w:hAnsi="宋体"/>
                <w:b/>
                <w:bCs/>
                <w:color w:val="auto"/>
                <w:sz w:val="21"/>
                <w:szCs w:val="21"/>
                <w:lang w:val="en-US" w:eastAsia="zh-CN"/>
              </w:rPr>
              <w:t>5.控制器扩展模块</w:t>
            </w:r>
          </w:p>
        </w:tc>
        <w:tc>
          <w:tcPr>
            <w:tcW w:w="2796" w:type="pct"/>
          </w:tcPr>
          <w:p w14:paraId="6F0E98A9">
            <w:pPr>
              <w:pStyle w:val="5"/>
              <w:pageBreakBefore w:val="0"/>
              <w:widowControl w:val="0"/>
              <w:numPr>
                <w:ilvl w:val="-1"/>
                <w:numId w:val="0"/>
              </w:numPr>
              <w:kinsoku/>
              <w:wordWrap/>
              <w:overflowPunct/>
              <w:topLinePunct w:val="0"/>
              <w:autoSpaceDE/>
              <w:autoSpaceDN/>
              <w:bidi w:val="0"/>
              <w:adjustRightInd/>
              <w:spacing w:line="240" w:lineRule="auto"/>
              <w:textAlignment w:val="auto"/>
              <w:rPr>
                <w:rFonts w:hint="eastAsia" w:ascii="宋体" w:hAnsi="宋体"/>
                <w:b/>
                <w:bCs/>
                <w:color w:val="auto"/>
                <w:sz w:val="21"/>
                <w:szCs w:val="21"/>
                <w:lang w:val="en-US" w:eastAsia="zh-CN"/>
              </w:rPr>
            </w:pPr>
            <w:r>
              <w:rPr>
                <w:rFonts w:hint="eastAsia" w:ascii="宋体" w:hAnsi="宋体"/>
                <w:b/>
                <w:bCs/>
                <w:color w:val="auto"/>
                <w:sz w:val="21"/>
                <w:szCs w:val="21"/>
                <w:lang w:val="en-US" w:eastAsia="zh-CN"/>
              </w:rPr>
              <w:t>5.控制器扩展模块</w:t>
            </w:r>
          </w:p>
          <w:p w14:paraId="4A3ECC2E">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default"/>
                <w:color w:val="000000" w:themeColor="text1"/>
                <w:szCs w:val="21"/>
                <w14:textFill>
                  <w14:solidFill>
                    <w14:schemeClr w14:val="tx1"/>
                  </w14:solidFill>
                </w14:textFill>
              </w:rPr>
            </w:pPr>
            <w:r>
              <w:rPr>
                <w:rFonts w:hint="eastAsia" w:ascii="宋体" w:hAnsi="宋体"/>
                <w:color w:val="auto"/>
                <w:sz w:val="21"/>
                <w:szCs w:val="21"/>
                <w:lang w:val="en-US" w:eastAsia="zh-CN"/>
              </w:rPr>
              <w:t>扩展DI模块：单个模块小于或等于16路输入，24VDC</w:t>
            </w:r>
          </w:p>
        </w:tc>
        <w:tc>
          <w:tcPr>
            <w:tcW w:w="463" w:type="pct"/>
          </w:tcPr>
          <w:p w14:paraId="258DF423">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23A0A13A">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22CA5516">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29471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4E57D2D7">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4E3CF51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193F165D">
            <w:pPr>
              <w:pStyle w:val="5"/>
              <w:widowControl w:val="0"/>
              <w:spacing w:line="240" w:lineRule="auto"/>
              <w:ind w:firstLine="0" w:firstLineChars="0"/>
              <w:rPr>
                <w:rFonts w:hint="eastAsia" w:ascii="宋体" w:hAnsi="宋体"/>
                <w:color w:val="auto"/>
                <w:sz w:val="21"/>
                <w:szCs w:val="21"/>
                <w:lang w:val="en-US" w:eastAsia="zh-CN"/>
              </w:rPr>
            </w:pPr>
            <w:r>
              <w:rPr>
                <w:rFonts w:hint="eastAsia" w:ascii="宋体" w:hAnsi="宋体"/>
                <w:color w:val="auto"/>
                <w:sz w:val="21"/>
                <w:szCs w:val="21"/>
                <w:lang w:val="en-US" w:eastAsia="zh-CN"/>
              </w:rPr>
              <w:t>扩展DO模块：单个模块小于或等于16路输出，24VDC</w:t>
            </w:r>
          </w:p>
        </w:tc>
        <w:tc>
          <w:tcPr>
            <w:tcW w:w="463" w:type="pct"/>
          </w:tcPr>
          <w:p w14:paraId="6D7F5341">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199EA8D6">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58AC74CB">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627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0857742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4F00815A">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7F42E013">
            <w:pPr>
              <w:pStyle w:val="5"/>
              <w:widowControl w:val="0"/>
              <w:spacing w:line="240" w:lineRule="auto"/>
              <w:ind w:firstLine="0" w:firstLineChars="0"/>
              <w:rPr>
                <w:rFonts w:hint="eastAsia" w:ascii="宋体" w:hAnsi="宋体"/>
                <w:color w:val="auto"/>
                <w:sz w:val="21"/>
                <w:szCs w:val="21"/>
                <w:lang w:val="en-US" w:eastAsia="zh-CN"/>
              </w:rPr>
            </w:pPr>
            <w:r>
              <w:rPr>
                <w:rFonts w:hint="eastAsia" w:ascii="宋体" w:hAnsi="宋体"/>
                <w:b/>
                <w:bCs/>
                <w:color w:val="auto"/>
                <w:sz w:val="21"/>
                <w:szCs w:val="21"/>
                <w:lang w:val="en-US" w:eastAsia="zh-CN"/>
              </w:rPr>
              <w:t>▲</w:t>
            </w:r>
            <w:r>
              <w:rPr>
                <w:rFonts w:hint="eastAsia" w:ascii="宋体" w:hAnsi="宋体"/>
                <w:color w:val="auto"/>
                <w:sz w:val="21"/>
                <w:szCs w:val="21"/>
                <w:lang w:val="en-US" w:eastAsia="zh-CN"/>
              </w:rPr>
              <w:t>扩展AI模块：单个模块小于或等于8路输入，16位精度</w:t>
            </w:r>
          </w:p>
        </w:tc>
        <w:tc>
          <w:tcPr>
            <w:tcW w:w="463" w:type="pct"/>
          </w:tcPr>
          <w:p w14:paraId="664245E3">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4263D394">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64A88FE2">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1042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482" w:type="pct"/>
            <w:vMerge w:val="continue"/>
            <w:shd w:val="clear" w:color="auto" w:fill="auto"/>
            <w:vAlign w:val="center"/>
          </w:tcPr>
          <w:p w14:paraId="563456A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7C44F61E">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7CAE4D26">
            <w:pPr>
              <w:widowControl w:val="0"/>
              <w:spacing w:line="240" w:lineRule="auto"/>
              <w:ind w:firstLine="0" w:firstLineChars="0"/>
              <w:rPr>
                <w:rFonts w:hint="eastAsia" w:ascii="宋体" w:hAnsi="宋体"/>
                <w:color w:val="auto"/>
                <w:sz w:val="21"/>
                <w:szCs w:val="21"/>
                <w:lang w:val="en-US" w:eastAsia="zh-CN"/>
              </w:rPr>
            </w:pPr>
            <w:r>
              <w:rPr>
                <w:rFonts w:hint="eastAsia" w:ascii="宋体" w:hAnsi="宋体"/>
                <w:color w:val="auto"/>
                <w:sz w:val="21"/>
                <w:szCs w:val="21"/>
                <w:lang w:val="en-US" w:eastAsia="zh-CN"/>
              </w:rPr>
              <w:t>扩展AO模块：单个模块小于或等于8路输出，16位精度</w:t>
            </w:r>
          </w:p>
        </w:tc>
        <w:tc>
          <w:tcPr>
            <w:tcW w:w="463" w:type="pct"/>
          </w:tcPr>
          <w:p w14:paraId="23BE89A8">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4D532989">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1EA0BDAB">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0F14C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 w:hRule="atLeast"/>
        </w:trPr>
        <w:tc>
          <w:tcPr>
            <w:tcW w:w="482" w:type="pct"/>
            <w:vMerge w:val="restart"/>
            <w:shd w:val="clear" w:color="auto" w:fill="auto"/>
            <w:vAlign w:val="center"/>
          </w:tcPr>
          <w:p w14:paraId="700CF1A4">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r>
              <w:rPr>
                <w:rFonts w:hint="eastAsia" w:cs="Times New Roman"/>
                <w:color w:val="000000" w:themeColor="text1"/>
                <w:sz w:val="24"/>
                <w:szCs w:val="21"/>
                <w:lang w:val="en-US" w:eastAsia="zh-CN" w:bidi="ar-SA"/>
                <w14:textFill>
                  <w14:solidFill>
                    <w14:schemeClr w14:val="tx1"/>
                  </w14:solidFill>
                </w14:textFill>
              </w:rPr>
              <w:t>6</w:t>
            </w:r>
          </w:p>
        </w:tc>
        <w:tc>
          <w:tcPr>
            <w:tcW w:w="504" w:type="pct"/>
            <w:vMerge w:val="restart"/>
            <w:shd w:val="clear" w:color="auto" w:fill="auto"/>
            <w:vAlign w:val="center"/>
          </w:tcPr>
          <w:p w14:paraId="69434947">
            <w:pPr>
              <w:pStyle w:val="5"/>
              <w:pageBreakBefore w:val="0"/>
              <w:widowControl w:val="0"/>
              <w:numPr>
                <w:ilvl w:val="-1"/>
                <w:numId w:val="0"/>
              </w:numPr>
              <w:kinsoku/>
              <w:wordWrap/>
              <w:overflowPunct/>
              <w:topLinePunct w:val="0"/>
              <w:autoSpaceDE/>
              <w:autoSpaceDN/>
              <w:bidi w:val="0"/>
              <w:adjustRightInd/>
              <w:spacing w:line="240" w:lineRule="auto"/>
              <w:jc w:val="center"/>
              <w:textAlignment w:val="auto"/>
              <w:rPr>
                <w:rFonts w:hint="eastAsia" w:ascii="宋体" w:hAnsi="宋体"/>
                <w:b/>
                <w:bCs/>
                <w:color w:val="auto"/>
                <w:sz w:val="21"/>
                <w:szCs w:val="21"/>
              </w:rPr>
            </w:pPr>
            <w:r>
              <w:rPr>
                <w:rFonts w:hint="eastAsia" w:ascii="宋体" w:hAnsi="宋体"/>
                <w:b/>
                <w:bCs/>
                <w:color w:val="auto"/>
                <w:sz w:val="21"/>
                <w:szCs w:val="21"/>
                <w:lang w:val="en-US" w:eastAsia="zh-CN"/>
              </w:rPr>
              <w:t>6.</w:t>
            </w:r>
            <w:r>
              <w:rPr>
                <w:rFonts w:hint="eastAsia" w:ascii="宋体" w:hAnsi="宋体"/>
                <w:b/>
                <w:bCs/>
                <w:color w:val="auto"/>
                <w:sz w:val="21"/>
                <w:szCs w:val="21"/>
                <w:lang w:eastAsia="zh-CN"/>
              </w:rPr>
              <w:t>温湿度传感器</w:t>
            </w:r>
          </w:p>
          <w:p w14:paraId="7C28450C">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67BACED1">
            <w:pPr>
              <w:pStyle w:val="5"/>
              <w:pageBreakBefore w:val="0"/>
              <w:widowControl w:val="0"/>
              <w:numPr>
                <w:ilvl w:val="-1"/>
                <w:numId w:val="0"/>
              </w:numPr>
              <w:kinsoku/>
              <w:wordWrap/>
              <w:overflowPunct/>
              <w:topLinePunct w:val="0"/>
              <w:autoSpaceDE/>
              <w:autoSpaceDN/>
              <w:bidi w:val="0"/>
              <w:adjustRightInd/>
              <w:spacing w:line="240" w:lineRule="auto"/>
              <w:jc w:val="both"/>
              <w:textAlignment w:val="auto"/>
              <w:rPr>
                <w:rFonts w:hint="eastAsia" w:ascii="宋体" w:hAnsi="宋体"/>
                <w:b/>
                <w:bCs/>
                <w:color w:val="auto"/>
                <w:sz w:val="21"/>
                <w:szCs w:val="21"/>
              </w:rPr>
            </w:pPr>
            <w:r>
              <w:rPr>
                <w:rFonts w:hint="eastAsia" w:ascii="宋体" w:hAnsi="宋体"/>
                <w:b/>
                <w:bCs/>
                <w:color w:val="auto"/>
                <w:sz w:val="21"/>
                <w:szCs w:val="21"/>
                <w:lang w:val="en-US" w:eastAsia="zh-CN"/>
              </w:rPr>
              <w:t>6.</w:t>
            </w:r>
            <w:r>
              <w:rPr>
                <w:rFonts w:hint="eastAsia" w:ascii="宋体" w:hAnsi="宋体"/>
                <w:b/>
                <w:bCs/>
                <w:color w:val="auto"/>
                <w:sz w:val="21"/>
                <w:szCs w:val="21"/>
                <w:lang w:eastAsia="zh-CN"/>
              </w:rPr>
              <w:t>温湿度传感器</w:t>
            </w:r>
          </w:p>
          <w:p w14:paraId="440A0046">
            <w:pPr>
              <w:pStyle w:val="5"/>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color w:val="000000" w:themeColor="text1"/>
                <w:szCs w:val="21"/>
                <w14:textFill>
                  <w14:solidFill>
                    <w14:schemeClr w14:val="tx1"/>
                  </w14:solidFill>
                </w14:textFill>
              </w:rPr>
            </w:pPr>
            <w:r>
              <w:rPr>
                <w:rFonts w:hint="eastAsia" w:ascii="宋体" w:hAnsi="宋体"/>
                <w:color w:val="auto"/>
                <w:sz w:val="21"/>
                <w:szCs w:val="21"/>
              </w:rPr>
              <w:t>输出信号：</w:t>
            </w:r>
            <w:r>
              <w:rPr>
                <w:rFonts w:hint="eastAsia" w:ascii="宋体" w:hAnsi="宋体"/>
                <w:color w:val="auto"/>
                <w:sz w:val="21"/>
                <w:szCs w:val="21"/>
                <w:lang w:val="en-US" w:eastAsia="zh-CN"/>
              </w:rPr>
              <w:t>4-20mA/</w:t>
            </w:r>
            <w:r>
              <w:rPr>
                <w:rFonts w:hint="eastAsia" w:ascii="宋体" w:hAnsi="宋体"/>
                <w:color w:val="auto"/>
                <w:sz w:val="21"/>
                <w:szCs w:val="21"/>
              </w:rPr>
              <w:t>0-10V</w:t>
            </w:r>
          </w:p>
        </w:tc>
        <w:tc>
          <w:tcPr>
            <w:tcW w:w="463" w:type="pct"/>
          </w:tcPr>
          <w:p w14:paraId="444B5283">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44D1AEFB">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05521900">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1E146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2" w:type="pct"/>
            <w:vMerge w:val="continue"/>
            <w:shd w:val="clear" w:color="auto" w:fill="auto"/>
            <w:vAlign w:val="center"/>
          </w:tcPr>
          <w:p w14:paraId="336FC0BF">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5D2CCBA5">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3AF2FD9C">
            <w:pPr>
              <w:keepNext w:val="0"/>
              <w:keepLines w:val="0"/>
              <w:suppressLineNumbers w:val="0"/>
              <w:spacing w:before="0" w:beforeAutospacing="0" w:after="0" w:afterAutospacing="0" w:line="240" w:lineRule="auto"/>
              <w:ind w:left="0" w:right="0"/>
              <w:jc w:val="both"/>
              <w:rPr>
                <w:rFonts w:hint="default"/>
                <w:color w:val="000000" w:themeColor="text1"/>
                <w:szCs w:val="21"/>
                <w14:textFill>
                  <w14:solidFill>
                    <w14:schemeClr w14:val="tx1"/>
                  </w14:solidFill>
                </w14:textFill>
              </w:rPr>
            </w:pPr>
            <w:r>
              <w:rPr>
                <w:rFonts w:hint="eastAsia" w:ascii="宋体" w:hAnsi="宋体"/>
                <w:b/>
                <w:bCs/>
                <w:color w:val="auto"/>
                <w:sz w:val="21"/>
                <w:szCs w:val="21"/>
                <w:lang w:val="en-US" w:eastAsia="zh-CN"/>
              </w:rPr>
              <w:t>▲</w:t>
            </w:r>
            <w:r>
              <w:rPr>
                <w:rFonts w:hint="eastAsia" w:ascii="宋体" w:hAnsi="宋体"/>
                <w:color w:val="auto"/>
                <w:sz w:val="21"/>
                <w:szCs w:val="21"/>
              </w:rPr>
              <w:t>精度</w:t>
            </w:r>
            <w:r>
              <w:rPr>
                <w:rFonts w:hint="eastAsia" w:ascii="宋体" w:hAnsi="宋体"/>
                <w:color w:val="auto"/>
                <w:sz w:val="21"/>
                <w:szCs w:val="21"/>
                <w:lang w:eastAsia="zh-CN"/>
              </w:rPr>
              <w:t>：</w:t>
            </w:r>
            <w:r>
              <w:rPr>
                <w:rFonts w:hint="eastAsia" w:ascii="宋体" w:hAnsi="宋体"/>
                <w:color w:val="auto"/>
                <w:sz w:val="21"/>
                <w:szCs w:val="21"/>
                <w:lang w:val="en-US" w:eastAsia="zh-CN"/>
              </w:rPr>
              <w:t>典型值±</w:t>
            </w:r>
            <w:r>
              <w:rPr>
                <w:rFonts w:hint="eastAsia" w:ascii="宋体" w:hAnsi="宋体"/>
                <w:color w:val="auto"/>
                <w:sz w:val="21"/>
                <w:szCs w:val="21"/>
              </w:rPr>
              <w:t>3％</w:t>
            </w:r>
            <w:r>
              <w:rPr>
                <w:rFonts w:hint="eastAsia" w:ascii="宋体" w:hAnsi="宋体"/>
                <w:color w:val="auto"/>
                <w:sz w:val="21"/>
                <w:szCs w:val="21"/>
                <w:lang w:val="en-US" w:eastAsia="zh-CN"/>
              </w:rPr>
              <w:t>RH,±0.5℃，</w:t>
            </w:r>
            <w:r>
              <w:rPr>
                <w:rFonts w:hint="eastAsia" w:ascii="宋体" w:hAnsi="宋体"/>
                <w:b/>
                <w:bCs/>
                <w:color w:val="FF0000"/>
                <w:sz w:val="21"/>
                <w:szCs w:val="21"/>
                <w:lang w:val="en-US" w:eastAsia="zh-CN"/>
              </w:rPr>
              <w:t>提供产品样册等证明资料。</w:t>
            </w:r>
          </w:p>
        </w:tc>
        <w:tc>
          <w:tcPr>
            <w:tcW w:w="463" w:type="pct"/>
          </w:tcPr>
          <w:p w14:paraId="7E19152B">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16B14179">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7F126B8D">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31A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2" w:type="pct"/>
            <w:vMerge w:val="continue"/>
            <w:shd w:val="clear" w:color="auto" w:fill="auto"/>
            <w:vAlign w:val="center"/>
          </w:tcPr>
          <w:p w14:paraId="02B95776">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bookmarkStart w:id="38" w:name="_Hlk72096176"/>
          </w:p>
        </w:tc>
        <w:tc>
          <w:tcPr>
            <w:tcW w:w="504" w:type="pct"/>
            <w:vMerge w:val="continue"/>
            <w:shd w:val="clear" w:color="auto" w:fill="auto"/>
            <w:vAlign w:val="center"/>
          </w:tcPr>
          <w:p w14:paraId="1280AC13">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585BEE7C">
            <w:pPr>
              <w:keepNext w:val="0"/>
              <w:keepLines w:val="0"/>
              <w:suppressLineNumbers w:val="0"/>
              <w:spacing w:before="0" w:beforeAutospacing="0" w:after="0" w:afterAutospacing="0" w:line="240" w:lineRule="auto"/>
              <w:ind w:left="0" w:right="0"/>
              <w:jc w:val="both"/>
              <w:rPr>
                <w:rFonts w:hint="eastAsia" w:ascii="宋体" w:hAnsi="宋体"/>
                <w:color w:val="000000" w:themeColor="text1"/>
                <w:szCs w:val="21"/>
                <w14:textFill>
                  <w14:solidFill>
                    <w14:schemeClr w14:val="tx1"/>
                  </w14:solidFill>
                </w14:textFill>
              </w:rPr>
            </w:pPr>
            <w:r>
              <w:rPr>
                <w:rFonts w:hint="eastAsia" w:ascii="宋体" w:hAnsi="宋体"/>
                <w:color w:val="auto"/>
                <w:sz w:val="21"/>
                <w:szCs w:val="21"/>
                <w:lang w:val="en-US" w:eastAsia="zh-CN"/>
              </w:rPr>
              <w:t>防护等级：IP30</w:t>
            </w:r>
          </w:p>
        </w:tc>
        <w:tc>
          <w:tcPr>
            <w:tcW w:w="463" w:type="pct"/>
          </w:tcPr>
          <w:p w14:paraId="422DC4CE">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6D368AC2">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4172CD04">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r w14:paraId="70FB9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82" w:type="pct"/>
            <w:vMerge w:val="continue"/>
            <w:shd w:val="clear" w:color="auto" w:fill="auto"/>
            <w:vAlign w:val="center"/>
          </w:tcPr>
          <w:p w14:paraId="1D148A01">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504" w:type="pct"/>
            <w:vMerge w:val="continue"/>
            <w:shd w:val="clear" w:color="auto" w:fill="auto"/>
            <w:vAlign w:val="center"/>
          </w:tcPr>
          <w:p w14:paraId="4608E788">
            <w:pPr>
              <w:keepNext w:val="0"/>
              <w:keepLines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000000" w:themeColor="text1"/>
                <w:sz w:val="24"/>
                <w:szCs w:val="21"/>
                <w:lang w:val="en-US" w:eastAsia="zh-CN" w:bidi="ar-SA"/>
                <w14:textFill>
                  <w14:solidFill>
                    <w14:schemeClr w14:val="tx1"/>
                  </w14:solidFill>
                </w14:textFill>
              </w:rPr>
            </w:pPr>
          </w:p>
        </w:tc>
        <w:tc>
          <w:tcPr>
            <w:tcW w:w="2796" w:type="pct"/>
          </w:tcPr>
          <w:p w14:paraId="0E9DD453">
            <w:pPr>
              <w:keepNext w:val="0"/>
              <w:keepLines w:val="0"/>
              <w:suppressLineNumbers w:val="0"/>
              <w:spacing w:before="0" w:beforeAutospacing="0" w:after="0" w:afterAutospacing="0" w:line="240" w:lineRule="auto"/>
              <w:ind w:left="0" w:right="0"/>
              <w:jc w:val="both"/>
              <w:rPr>
                <w:rFonts w:hint="eastAsia" w:ascii="宋体" w:hAnsi="宋体"/>
                <w:color w:val="000000" w:themeColor="text1"/>
                <w:szCs w:val="21"/>
                <w14:textFill>
                  <w14:solidFill>
                    <w14:schemeClr w14:val="tx1"/>
                  </w14:solidFill>
                </w14:textFill>
              </w:rPr>
            </w:pPr>
            <w:r>
              <w:rPr>
                <w:rFonts w:hint="eastAsia" w:ascii="宋体" w:hAnsi="宋体"/>
                <w:b/>
                <w:bCs/>
                <w:color w:val="auto"/>
                <w:sz w:val="21"/>
                <w:szCs w:val="21"/>
                <w:lang w:val="en-US" w:eastAsia="zh-CN"/>
              </w:rPr>
              <w:t>▲</w:t>
            </w:r>
            <w:r>
              <w:rPr>
                <w:rFonts w:hint="eastAsia" w:ascii="宋体" w:hAnsi="宋体"/>
                <w:color w:val="auto"/>
                <w:sz w:val="21"/>
                <w:szCs w:val="21"/>
                <w:lang w:val="en-US" w:eastAsia="zh-CN"/>
              </w:rPr>
              <w:t>其他：带本地显示，</w:t>
            </w:r>
            <w:r>
              <w:rPr>
                <w:rFonts w:hint="eastAsia" w:ascii="宋体" w:hAnsi="宋体"/>
                <w:b/>
                <w:bCs/>
                <w:color w:val="FF0000"/>
                <w:sz w:val="21"/>
                <w:szCs w:val="21"/>
                <w:lang w:val="en-US" w:eastAsia="zh-CN"/>
              </w:rPr>
              <w:t>提供产品样册等证明资料。</w:t>
            </w:r>
          </w:p>
        </w:tc>
        <w:tc>
          <w:tcPr>
            <w:tcW w:w="463" w:type="pct"/>
          </w:tcPr>
          <w:p w14:paraId="6E86DFE6">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463" w:type="pct"/>
          </w:tcPr>
          <w:p w14:paraId="7CDA6171">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c>
          <w:tcPr>
            <w:tcW w:w="290" w:type="pct"/>
          </w:tcPr>
          <w:p w14:paraId="5F3392AD">
            <w:pPr>
              <w:keepNext w:val="0"/>
              <w:keepLines w:val="0"/>
              <w:suppressLineNumbers w:val="0"/>
              <w:spacing w:before="0" w:beforeAutospacing="0" w:after="0" w:afterAutospacing="0"/>
              <w:ind w:left="0" w:right="0"/>
              <w:rPr>
                <w:rFonts w:hint="default"/>
                <w:color w:val="000000" w:themeColor="text1"/>
                <w:szCs w:val="21"/>
                <w14:textFill>
                  <w14:solidFill>
                    <w14:schemeClr w14:val="tx1"/>
                  </w14:solidFill>
                </w14:textFill>
              </w:rPr>
            </w:pPr>
          </w:p>
        </w:tc>
      </w:tr>
    </w:tbl>
    <w:p w14:paraId="44C96A5D">
      <w:pPr>
        <w:rPr>
          <w:rFonts w:asciiTheme="minorEastAsia" w:hAnsiTheme="minorEastAsia" w:cstheme="minorEastAsia"/>
          <w:b/>
          <w:color w:val="FF0000"/>
          <w:sz w:val="21"/>
          <w:szCs w:val="21"/>
        </w:rPr>
      </w:pPr>
    </w:p>
    <w:p w14:paraId="183FF3C0">
      <w:pPr>
        <w:rPr>
          <w:rFonts w:asciiTheme="minorEastAsia" w:hAnsiTheme="minorEastAsia" w:cstheme="minorEastAsia"/>
          <w:b/>
          <w:color w:val="FF0000"/>
          <w:sz w:val="21"/>
          <w:szCs w:val="21"/>
        </w:rPr>
      </w:pPr>
    </w:p>
    <w:bookmarkEnd w:id="38"/>
    <w:p w14:paraId="6EA9849C">
      <w:pPr>
        <w:rPr>
          <w:szCs w:val="21"/>
        </w:rPr>
      </w:pPr>
      <w:bookmarkStart w:id="39" w:name="_Hlk72095977"/>
      <w:r>
        <w:rPr>
          <w:rFonts w:hint="eastAsia"/>
          <w:b/>
          <w:bCs/>
          <w:szCs w:val="21"/>
          <w:highlight w:val="yellow"/>
        </w:rPr>
        <w:t>证明资料</w:t>
      </w:r>
      <w:r>
        <w:rPr>
          <w:rFonts w:hint="eastAsia"/>
          <w:szCs w:val="21"/>
          <w:highlight w:val="yellow"/>
        </w:rPr>
        <w:t>【如有的话，提供的证明资料应统一编号（排序），格式自定】</w:t>
      </w:r>
      <w:bookmarkEnd w:id="39"/>
      <w:r>
        <w:rPr>
          <w:rFonts w:hint="eastAsia"/>
          <w:szCs w:val="21"/>
          <w:highlight w:val="yellow"/>
        </w:rPr>
        <w:t>：</w:t>
      </w:r>
    </w:p>
    <w:p w14:paraId="1E44AEA1">
      <w:pPr>
        <w:ind w:firstLine="482" w:firstLineChars="200"/>
        <w:rPr>
          <w:b/>
          <w:szCs w:val="21"/>
        </w:rPr>
      </w:pPr>
    </w:p>
    <w:p w14:paraId="4A5C9D3D">
      <w:pPr>
        <w:ind w:firstLine="482" w:firstLineChars="200"/>
        <w:rPr>
          <w:b/>
          <w:szCs w:val="21"/>
        </w:rPr>
      </w:pPr>
    </w:p>
    <w:p w14:paraId="685270F5">
      <w:pPr>
        <w:ind w:firstLine="482" w:firstLineChars="200"/>
        <w:jc w:val="center"/>
        <w:rPr>
          <w:rFonts w:hint="eastAsia"/>
          <w:b/>
          <w:color w:val="FF0000"/>
          <w:szCs w:val="21"/>
        </w:rPr>
      </w:pPr>
    </w:p>
    <w:p w14:paraId="4A4321AB">
      <w:pPr>
        <w:ind w:firstLine="482" w:firstLineChars="200"/>
        <w:jc w:val="center"/>
        <w:rPr>
          <w:rFonts w:hint="eastAsia"/>
          <w:b/>
          <w:color w:val="FF0000"/>
          <w:szCs w:val="21"/>
        </w:rPr>
      </w:pPr>
    </w:p>
    <w:p w14:paraId="72D49B4E">
      <w:pPr>
        <w:ind w:firstLine="482" w:firstLineChars="200"/>
        <w:jc w:val="center"/>
        <w:rPr>
          <w:bCs/>
          <w:szCs w:val="21"/>
        </w:rPr>
      </w:pPr>
      <w:r>
        <w:rPr>
          <w:rFonts w:hint="eastAsia"/>
          <w:b/>
          <w:color w:val="FF0000"/>
          <w:szCs w:val="21"/>
        </w:rPr>
        <w:t>《技术要求偏离表》编制指引：</w:t>
      </w:r>
    </w:p>
    <w:p w14:paraId="34A2149D">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b w:val="0"/>
          <w:bCs/>
          <w:sz w:val="21"/>
          <w:szCs w:val="21"/>
        </w:rPr>
      </w:pPr>
      <w:r>
        <w:rPr>
          <w:rFonts w:hint="eastAsia"/>
          <w:b w:val="0"/>
          <w:bCs/>
          <w:sz w:val="21"/>
          <w:szCs w:val="21"/>
        </w:rPr>
        <w:t>《技术要求偏离表》编制指引：</w:t>
      </w:r>
    </w:p>
    <w:p w14:paraId="737A3649">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b w:val="0"/>
          <w:bCs/>
          <w:sz w:val="21"/>
          <w:szCs w:val="21"/>
        </w:rPr>
      </w:pPr>
      <w:r>
        <w:rPr>
          <w:rFonts w:hint="eastAsia"/>
          <w:b w:val="0"/>
          <w:bCs/>
          <w:sz w:val="21"/>
          <w:szCs w:val="21"/>
        </w:rPr>
        <w:t>1、技术要求偏离表的序号、货物名称、招标技术要求等栏目对应“用户需求书”中的“技术要求”章节相关内容。</w:t>
      </w:r>
    </w:p>
    <w:p w14:paraId="72DEC6B5">
      <w:pPr>
        <w:pStyle w:val="15"/>
        <w:keepNext w:val="0"/>
        <w:keepLines w:val="0"/>
        <w:pageBreakBefore w:val="0"/>
        <w:widowControl/>
        <w:kinsoku/>
        <w:wordWrap/>
        <w:overflowPunct/>
        <w:topLinePunct w:val="0"/>
        <w:autoSpaceDE/>
        <w:autoSpaceDN/>
        <w:bidi w:val="0"/>
        <w:adjustRightInd/>
        <w:snapToGrid/>
        <w:spacing w:beforeAutospacing="0" w:afterAutospacing="0"/>
        <w:ind w:firstLine="420" w:firstLineChars="200"/>
        <w:jc w:val="both"/>
        <w:textAlignment w:val="auto"/>
        <w:outlineLvl w:val="1"/>
        <w:rPr>
          <w:rFonts w:hint="eastAsia" w:ascii="Times New Roman" w:hAnsi="Times New Roman" w:eastAsia="宋体" w:cs="Times New Roman"/>
          <w:b w:val="0"/>
          <w:bCs/>
          <w:color w:val="FF0000"/>
          <w:kern w:val="2"/>
          <w:sz w:val="21"/>
          <w:szCs w:val="21"/>
          <w:lang w:val="en-US" w:eastAsia="zh-CN"/>
        </w:rPr>
      </w:pPr>
      <w:r>
        <w:rPr>
          <w:b w:val="0"/>
          <w:bCs/>
          <w:sz w:val="21"/>
          <w:szCs w:val="21"/>
        </w:rPr>
        <w:t>2</w:t>
      </w:r>
      <w:r>
        <w:rPr>
          <w:rFonts w:hint="eastAsia"/>
          <w:b w:val="0"/>
          <w:bCs/>
          <w:sz w:val="21"/>
          <w:szCs w:val="21"/>
        </w:rPr>
        <w:t>、“投标技术响应”一栏必须一一对照“招标技术要求”，详细填写投标人自身投标货物的具体参数，而不能不合理照搬照抄招标文件的技术要求，以体现具体响应情况。</w:t>
      </w:r>
      <w:r>
        <w:rPr>
          <w:rFonts w:hint="eastAsia" w:ascii="Times New Roman" w:hAnsi="Times New Roman" w:eastAsia="宋体" w:cs="Times New Roman"/>
          <w:b w:val="0"/>
          <w:bCs/>
          <w:color w:val="FF0000"/>
          <w:kern w:val="2"/>
          <w:sz w:val="21"/>
          <w:szCs w:val="21"/>
          <w:u w:val="none"/>
          <w:lang w:val="en-US" w:eastAsia="zh-CN"/>
        </w:rPr>
        <w:t>“投标技术响应”必须与</w:t>
      </w:r>
      <w:r>
        <w:rPr>
          <w:rFonts w:hint="eastAsia" w:cs="Times New Roman"/>
          <w:b w:val="0"/>
          <w:bCs/>
          <w:color w:val="FF0000"/>
          <w:kern w:val="2"/>
          <w:sz w:val="21"/>
          <w:szCs w:val="21"/>
          <w:u w:val="none"/>
          <w:lang w:val="en-US" w:eastAsia="zh-CN"/>
        </w:rPr>
        <w:t>所投产品</w:t>
      </w:r>
      <w:r>
        <w:rPr>
          <w:rFonts w:hint="eastAsia" w:ascii="Times New Roman" w:hAnsi="Times New Roman" w:eastAsia="宋体" w:cs="Times New Roman"/>
          <w:b w:val="0"/>
          <w:bCs/>
          <w:color w:val="FF0000"/>
          <w:kern w:val="2"/>
          <w:sz w:val="21"/>
          <w:szCs w:val="21"/>
          <w:u w:val="none"/>
          <w:lang w:val="en-US" w:eastAsia="zh-CN"/>
        </w:rPr>
        <w:t>客观实际保持一致，响应不实且情节严重的，经查实，将依法记入供应商诚信档案或受到行政处罚。</w:t>
      </w:r>
    </w:p>
    <w:p w14:paraId="2078E7E5">
      <w:pPr>
        <w:keepNext w:val="0"/>
        <w:keepLines w:val="0"/>
        <w:pageBreakBefore w:val="0"/>
        <w:kinsoku/>
        <w:wordWrap/>
        <w:overflowPunct/>
        <w:topLinePunct w:val="0"/>
        <w:autoSpaceDE/>
        <w:autoSpaceDN/>
        <w:bidi w:val="0"/>
        <w:adjustRightInd/>
        <w:snapToGrid/>
        <w:spacing w:beforeAutospacing="0" w:afterAutospacing="0"/>
        <w:ind w:firstLine="420" w:firstLineChars="200"/>
        <w:textAlignment w:val="auto"/>
        <w:rPr>
          <w:rFonts w:hint="eastAsia" w:ascii="Times New Roman" w:hAnsi="Times New Roman" w:eastAsia="宋体" w:cs="Times New Roman"/>
          <w:b w:val="0"/>
          <w:bCs/>
          <w:color w:val="FF0000"/>
          <w:kern w:val="2"/>
          <w:sz w:val="21"/>
          <w:szCs w:val="21"/>
          <w:u w:val="none"/>
          <w:lang w:val="en-US" w:eastAsia="zh-CN" w:bidi="ar-SA"/>
        </w:rPr>
      </w:pPr>
      <w:r>
        <w:rPr>
          <w:b w:val="0"/>
          <w:bCs/>
          <w:sz w:val="21"/>
          <w:szCs w:val="21"/>
        </w:rPr>
        <w:t>3</w:t>
      </w:r>
      <w:r>
        <w:rPr>
          <w:rFonts w:hint="eastAsia"/>
          <w:b w:val="0"/>
          <w:bCs/>
          <w:sz w:val="21"/>
          <w:szCs w:val="21"/>
        </w:rPr>
        <w:t>、“偏离情况”一栏填写如实填写“正偏离”、“负偏离”或“无偏离”，其中：“正偏离”表示“投标响应优于招标技术要求”，“负偏离”表示“投标响应不满足招标技术要求”，“无偏离”表示“投标响应与招标技术要求一致”。“投标技术响应”对比“招标技术要求”存在响应不全（包括未响应整项招标技术要求或者未响应一项招标技术要求的部分内容），均视为“负偏离”。带★号条款为不可</w:t>
      </w:r>
      <w:r>
        <w:rPr>
          <w:rFonts w:hint="eastAsia"/>
          <w:b w:val="0"/>
          <w:bCs/>
          <w:sz w:val="21"/>
          <w:szCs w:val="21"/>
          <w:lang w:val="en-US" w:eastAsia="zh-CN"/>
        </w:rPr>
        <w:t>负</w:t>
      </w:r>
      <w:r>
        <w:rPr>
          <w:rFonts w:hint="eastAsia"/>
          <w:b w:val="0"/>
          <w:bCs/>
          <w:sz w:val="21"/>
          <w:szCs w:val="21"/>
        </w:rPr>
        <w:t>偏离条款，不作为评分准则中的评分内容</w:t>
      </w:r>
      <w:r>
        <w:rPr>
          <w:rFonts w:hint="eastAsia" w:eastAsia="宋体"/>
          <w:b w:val="0"/>
          <w:bCs/>
          <w:sz w:val="21"/>
          <w:szCs w:val="21"/>
          <w:lang w:eastAsia="zh-CN"/>
        </w:rPr>
        <w:t>，</w:t>
      </w:r>
      <w:r>
        <w:rPr>
          <w:rFonts w:hint="eastAsia"/>
          <w:b w:val="0"/>
          <w:bCs/>
          <w:sz w:val="21"/>
          <w:szCs w:val="21"/>
        </w:rPr>
        <w:t>如未响应或出现负偏离的，将</w:t>
      </w:r>
      <w:r>
        <w:rPr>
          <w:rFonts w:hint="eastAsia"/>
          <w:b w:val="0"/>
          <w:bCs/>
          <w:sz w:val="21"/>
          <w:szCs w:val="21"/>
          <w:lang w:val="en-US" w:eastAsia="zh-CN"/>
        </w:rPr>
        <w:t>做</w:t>
      </w:r>
      <w:r>
        <w:rPr>
          <w:rFonts w:hint="eastAsia"/>
          <w:b w:val="0"/>
          <w:bCs/>
          <w:sz w:val="21"/>
          <w:szCs w:val="21"/>
        </w:rPr>
        <w:t>投标无效处理</w:t>
      </w:r>
      <w:r>
        <w:rPr>
          <w:rFonts w:hint="eastAsia"/>
          <w:b w:val="0"/>
          <w:bCs/>
          <w:sz w:val="21"/>
          <w:szCs w:val="21"/>
          <w:lang w:val="en-US" w:eastAsia="zh-CN"/>
        </w:rPr>
        <w:t>。</w:t>
      </w:r>
      <w:r>
        <w:rPr>
          <w:rFonts w:hint="eastAsia" w:ascii="Times New Roman" w:hAnsi="Times New Roman" w:eastAsia="宋体" w:cs="Times New Roman"/>
          <w:b w:val="0"/>
          <w:bCs/>
          <w:color w:val="FF0000"/>
          <w:kern w:val="2"/>
          <w:sz w:val="21"/>
          <w:szCs w:val="21"/>
          <w:u w:val="none"/>
          <w:lang w:val="en-US" w:eastAsia="zh-CN" w:bidi="ar-SA"/>
        </w:rPr>
        <w:t>“偏离情况”必须与所投产品客观实际保持一致，响应不实且情节严重的，经查实，将依法记入供应商诚信档案或受到行政处罚。</w:t>
      </w:r>
    </w:p>
    <w:p w14:paraId="18A0C64F">
      <w:pPr>
        <w:ind w:firstLine="420" w:firstLineChars="200"/>
        <w:rPr>
          <w:b w:val="0"/>
          <w:bCs/>
          <w:sz w:val="21"/>
          <w:szCs w:val="21"/>
        </w:rPr>
      </w:pPr>
      <w:r>
        <w:rPr>
          <w:b w:val="0"/>
          <w:bCs/>
          <w:sz w:val="21"/>
          <w:szCs w:val="21"/>
        </w:rPr>
        <w:t>4</w:t>
      </w:r>
      <w:r>
        <w:rPr>
          <w:rFonts w:hint="eastAsia"/>
          <w:b w:val="0"/>
          <w:bCs/>
          <w:sz w:val="21"/>
          <w:szCs w:val="21"/>
        </w:rPr>
        <w:t>、未要求提供证明资料的招标技术要求，可以不提供证明资料（如实响应即可）。</w:t>
      </w:r>
    </w:p>
    <w:p w14:paraId="3F096B88">
      <w:pPr>
        <w:ind w:firstLine="420" w:firstLineChars="200"/>
        <w:rPr>
          <w:b w:val="0"/>
          <w:bCs/>
          <w:sz w:val="21"/>
          <w:szCs w:val="21"/>
        </w:rPr>
      </w:pPr>
      <w:r>
        <w:rPr>
          <w:rFonts w:hint="eastAsia"/>
          <w:b w:val="0"/>
          <w:bCs/>
          <w:sz w:val="21"/>
          <w:szCs w:val="21"/>
        </w:rPr>
        <w:t>5、证明资料条款响应要求：要求提供证明资料（且已对证明资料的形式、内容作出明确要求）进行响应的条款，应当在“说明”一栏中列明是否提供了符合要求的证明资料，以及所提供证明资料在表后“证明资料”中的编号（位置）,以便评审；此类条款应严格依照要求的形式、内容提供证明资料，如未提供证明资料（或：证明资料的形式、内容等不符合要求；证明资料显示不符合招标技术要求；证明资料模糊不清无法判断或未显示是否满足招标技术要求），且投标人在“偏离情况”一栏响应为“正偏离”或“无偏离”的，经评审委员会认定，将判定为负偏离。</w:t>
      </w:r>
    </w:p>
    <w:p w14:paraId="7CE2379E">
      <w:pPr>
        <w:ind w:firstLine="420" w:firstLineChars="200"/>
        <w:rPr>
          <w:b w:val="0"/>
          <w:bCs/>
          <w:sz w:val="21"/>
          <w:szCs w:val="21"/>
        </w:rPr>
      </w:pPr>
      <w:r>
        <w:rPr>
          <w:rFonts w:hint="eastAsia"/>
          <w:b w:val="0"/>
          <w:bCs/>
          <w:sz w:val="21"/>
          <w:szCs w:val="21"/>
        </w:rPr>
        <w:t>6、表后“证明资料”部分内容的编制：提供的所有证明资料应当统一编号（排序），且证明资料的编号（顺序）、数量和名称（形式）均应与“说明”一栏所填内容保持一致（一一对应），以便评审委员会查看。未按照招标文件要求在表后放置证明材料的供应商将承担不利后果，经评审委员会认定，相关技术要求将判定为负偏离。</w:t>
      </w:r>
    </w:p>
    <w:p w14:paraId="66E424D1">
      <w:pPr>
        <w:ind w:firstLine="420" w:firstLineChars="200"/>
        <w:rPr>
          <w:b w:val="0"/>
          <w:bCs/>
          <w:sz w:val="21"/>
          <w:szCs w:val="21"/>
        </w:rPr>
      </w:pPr>
      <w:r>
        <w:rPr>
          <w:rFonts w:hint="eastAsia"/>
          <w:b w:val="0"/>
          <w:bCs/>
          <w:sz w:val="21"/>
          <w:szCs w:val="21"/>
        </w:rPr>
        <w:t>7、证明资料的形式及其它具体要求：</w:t>
      </w:r>
    </w:p>
    <w:p w14:paraId="0E026C92">
      <w:pPr>
        <w:ind w:firstLine="420" w:firstLineChars="200"/>
        <w:rPr>
          <w:b w:val="0"/>
          <w:bCs/>
          <w:sz w:val="21"/>
          <w:szCs w:val="21"/>
        </w:rPr>
      </w:pPr>
      <w:r>
        <w:rPr>
          <w:rFonts w:hint="eastAsia"/>
          <w:b w:val="0"/>
          <w:bCs/>
          <w:sz w:val="21"/>
          <w:szCs w:val="21"/>
        </w:rPr>
        <w:t>（1）除照片、图片（截图）及不需加盖公章的文字说明（技术说明）外，其它证明资料均要求为原件扫描件；</w:t>
      </w:r>
    </w:p>
    <w:p w14:paraId="7E46E782">
      <w:pPr>
        <w:ind w:firstLine="420" w:firstLineChars="200"/>
        <w:rPr>
          <w:b w:val="0"/>
          <w:bCs/>
          <w:sz w:val="21"/>
          <w:szCs w:val="21"/>
        </w:rPr>
      </w:pPr>
      <w:r>
        <w:rPr>
          <w:rFonts w:hint="eastAsia"/>
          <w:b w:val="0"/>
          <w:bCs/>
          <w:sz w:val="21"/>
          <w:szCs w:val="21"/>
        </w:rPr>
        <w:t>（2）提供证明资料的形式包括但不限于：a.制造商公布（出具）的产品说明书、产品彩页；b.我国政府机构出具的产品检验和核准证件等；c.第三方机构出具的检测（检验、测试）报告、认证证书等；已对证明资料的形式、内容作出具体要求的，必须严格按要求的形式、内容提供证明资料；</w:t>
      </w:r>
    </w:p>
    <w:p w14:paraId="4DDBC511">
      <w:pPr>
        <w:ind w:firstLine="420" w:firstLineChars="200"/>
        <w:rPr>
          <w:b w:val="0"/>
          <w:bCs/>
          <w:sz w:val="21"/>
          <w:szCs w:val="21"/>
        </w:rPr>
      </w:pPr>
      <w:r>
        <w:rPr>
          <w:rFonts w:hint="eastAsia"/>
          <w:b w:val="0"/>
          <w:bCs/>
          <w:sz w:val="21"/>
          <w:szCs w:val="21"/>
        </w:rPr>
        <w:t>（3）产品说明书或彩页应为制造商公布（出具）的中文产品说明书或彩页；提供外文说明书或彩页的，必须同时提供加盖制造商公章的对应中文翻译说明，评标依据以中文翻译内容为准，外文说明书或彩页仅供参考；产品说明书或彩页的尺寸和清晰度应该能够在电脑上被阅读、识别和判断；</w:t>
      </w:r>
    </w:p>
    <w:p w14:paraId="4E24D595">
      <w:pPr>
        <w:ind w:firstLine="420" w:firstLineChars="200"/>
        <w:rPr>
          <w:b w:val="0"/>
          <w:bCs/>
          <w:sz w:val="21"/>
          <w:szCs w:val="21"/>
        </w:rPr>
      </w:pPr>
      <w:r>
        <w:rPr>
          <w:rFonts w:hint="eastAsia"/>
          <w:b w:val="0"/>
          <w:bCs/>
          <w:sz w:val="21"/>
          <w:szCs w:val="21"/>
        </w:rPr>
        <w:t>我国政府机构出具的产品检验和核准证件应为证件正面、背面和附件标注的全部具体内容；产品检验和核准证件的尺寸和清晰度应该能够在电脑上被阅读、识别和判断；</w:t>
      </w:r>
    </w:p>
    <w:p w14:paraId="5165C037">
      <w:pPr>
        <w:ind w:firstLine="420" w:firstLineChars="200"/>
        <w:rPr>
          <w:b w:val="0"/>
          <w:bCs/>
          <w:sz w:val="21"/>
          <w:szCs w:val="21"/>
        </w:rPr>
      </w:pPr>
      <w:r>
        <w:rPr>
          <w:rFonts w:hint="eastAsia"/>
          <w:b w:val="0"/>
          <w:bCs/>
          <w:sz w:val="21"/>
          <w:szCs w:val="21"/>
        </w:rPr>
        <w:t>第三方机构出具的检测（检验、测试）报告、认证（证明）证书应为中文报告或证书；提供外文报告或证书的，必须同时提供对应的中文翻译文字说明，评标依据以中文翻译文字说明内容为准，外文报告或证书仅供参考；报告或证书的尺寸和清晰度应该能够在电脑上被阅读、识别和判断；</w:t>
      </w:r>
    </w:p>
    <w:p w14:paraId="6312221B">
      <w:pPr>
        <w:ind w:firstLine="420" w:firstLineChars="200"/>
        <w:rPr>
          <w:b w:val="0"/>
          <w:bCs/>
          <w:sz w:val="21"/>
          <w:szCs w:val="21"/>
        </w:rPr>
      </w:pPr>
      <w:r>
        <w:rPr>
          <w:rFonts w:hint="eastAsia"/>
          <w:b w:val="0"/>
          <w:bCs/>
          <w:sz w:val="21"/>
          <w:szCs w:val="21"/>
        </w:rPr>
        <w:t>其它证明资料的形式要求参照以上要求执行；</w:t>
      </w:r>
    </w:p>
    <w:p w14:paraId="18DC7457">
      <w:pPr>
        <w:ind w:firstLine="420" w:firstLineChars="200"/>
        <w:rPr>
          <w:b w:val="0"/>
          <w:bCs/>
          <w:sz w:val="21"/>
          <w:szCs w:val="21"/>
        </w:rPr>
      </w:pPr>
      <w:r>
        <w:rPr>
          <w:rFonts w:hint="eastAsia"/>
          <w:b w:val="0"/>
          <w:bCs/>
          <w:sz w:val="21"/>
          <w:szCs w:val="21"/>
        </w:rPr>
        <w:t>（4）证明资料均要求原件备查。</w:t>
      </w:r>
    </w:p>
    <w:p w14:paraId="48FFB1F9">
      <w:pPr>
        <w:ind w:firstLine="422" w:firstLineChars="200"/>
        <w:rPr>
          <w:rFonts w:hint="eastAsia" w:eastAsia="宋体"/>
          <w:b/>
          <w:bCs w:val="0"/>
          <w:sz w:val="21"/>
          <w:szCs w:val="21"/>
          <w:lang w:val="en-US" w:eastAsia="zh-CN"/>
        </w:rPr>
      </w:pPr>
      <w:r>
        <w:rPr>
          <w:rFonts w:hint="eastAsia"/>
          <w:b/>
          <w:bCs w:val="0"/>
          <w:sz w:val="21"/>
          <w:szCs w:val="21"/>
          <w:lang w:val="en-US" w:eastAsia="zh-CN"/>
        </w:rPr>
        <w:t>8、</w:t>
      </w:r>
      <w:r>
        <w:rPr>
          <w:rFonts w:hint="eastAsia"/>
          <w:b/>
          <w:bCs w:val="0"/>
          <w:szCs w:val="21"/>
        </w:rPr>
        <w:t>投标供应商严格核实所提交检测报告的真实性，除通过国家市场监督管理总局的全国认证认可信息公共服务平台核实报告编号、出具机构等基础信息外，还应尽可能通过检测报告出具机构的官网、邮箱、电话等可靠途径查询所提交检测报告具体内容的真实性（不可轻信检测报告上载明的网址、电话、二维码等），并留存核实过程证据备查，避免因未尽核实义务在投标文件中提交伪造、变造的虚假检测报告而被相关部门予以行政处罚</w:t>
      </w:r>
      <w:r>
        <w:rPr>
          <w:rFonts w:hint="eastAsia"/>
          <w:b/>
          <w:bCs w:val="0"/>
          <w:szCs w:val="21"/>
          <w:lang w:eastAsia="zh-CN"/>
        </w:rPr>
        <w:t>。</w:t>
      </w:r>
    </w:p>
    <w:p w14:paraId="50ACAA72">
      <w:pPr>
        <w:ind w:firstLine="420" w:firstLineChars="200"/>
        <w:rPr>
          <w:b w:val="0"/>
          <w:bCs/>
          <w:sz w:val="21"/>
          <w:szCs w:val="21"/>
        </w:rPr>
      </w:pPr>
      <w:r>
        <w:rPr>
          <w:rFonts w:hint="eastAsia"/>
          <w:b w:val="0"/>
          <w:bCs/>
          <w:sz w:val="21"/>
          <w:szCs w:val="21"/>
          <w:lang w:val="en-US" w:eastAsia="zh-CN"/>
        </w:rPr>
        <w:t>9</w:t>
      </w:r>
      <w:r>
        <w:rPr>
          <w:rFonts w:hint="eastAsia"/>
          <w:b w:val="0"/>
          <w:bCs/>
          <w:sz w:val="21"/>
          <w:szCs w:val="21"/>
        </w:rPr>
        <w:t>、其它注意事项：</w:t>
      </w:r>
    </w:p>
    <w:p w14:paraId="23738A52">
      <w:pPr>
        <w:ind w:firstLine="420" w:firstLineChars="200"/>
        <w:rPr>
          <w:b w:val="0"/>
          <w:bCs/>
          <w:sz w:val="21"/>
          <w:szCs w:val="21"/>
        </w:rPr>
      </w:pPr>
      <w:r>
        <w:rPr>
          <w:rFonts w:hint="eastAsia"/>
          <w:b w:val="0"/>
          <w:bCs/>
          <w:sz w:val="21"/>
          <w:szCs w:val="21"/>
        </w:rPr>
        <w:t>（1）评审委员会有权对投标人的响应情况作出判断（评审结论）；</w:t>
      </w:r>
    </w:p>
    <w:p w14:paraId="078B44BA">
      <w:pPr>
        <w:ind w:firstLine="420" w:firstLineChars="200"/>
        <w:rPr>
          <w:b w:val="0"/>
          <w:bCs/>
          <w:sz w:val="21"/>
          <w:szCs w:val="21"/>
        </w:rPr>
      </w:pPr>
      <w:r>
        <w:rPr>
          <w:rFonts w:hint="eastAsia"/>
          <w:b w:val="0"/>
          <w:bCs/>
          <w:sz w:val="21"/>
          <w:szCs w:val="21"/>
        </w:rPr>
        <w:t>（2）评审委员会有权对以谋取中标为目的的技术规格模糊响应（如有意不合理照搬照抄招标文件的技术要求）或虚假响应予以认定，并视情况经政府集中采购机构报主管部门进行处理。</w:t>
      </w:r>
    </w:p>
    <w:p w14:paraId="22E67156">
      <w:pPr>
        <w:rPr>
          <w:rFonts w:asciiTheme="minorEastAsia" w:hAnsiTheme="minorEastAsia" w:cstheme="minorEastAsia"/>
          <w:b/>
          <w:bCs/>
        </w:rPr>
      </w:pPr>
      <w:r>
        <w:rPr>
          <w:rFonts w:hint="eastAsia" w:asciiTheme="minorEastAsia" w:hAnsiTheme="minorEastAsia" w:cstheme="minorEastAsia"/>
          <w:b/>
          <w:bCs/>
        </w:rPr>
        <w:br w:type="page"/>
      </w:r>
    </w:p>
    <w:p w14:paraId="37ECA386">
      <w:pPr>
        <w:keepNext/>
        <w:keepLines/>
        <w:widowControl w:val="0"/>
        <w:numPr>
          <w:ilvl w:val="255"/>
          <w:numId w:val="0"/>
        </w:numPr>
        <w:jc w:val="both"/>
        <w:outlineLvl w:val="3"/>
        <w:rPr>
          <w:rFonts w:hint="eastAsia" w:asciiTheme="minorEastAsia" w:hAnsiTheme="minorEastAsia" w:cstheme="minorEastAsia"/>
          <w:b/>
          <w:bCs/>
          <w:kern w:val="2"/>
        </w:rPr>
      </w:pPr>
      <w:r>
        <w:rPr>
          <w:rFonts w:hint="eastAsia" w:asciiTheme="minorEastAsia" w:hAnsiTheme="minorEastAsia" w:cstheme="minorEastAsia"/>
          <w:b/>
          <w:bCs/>
          <w:kern w:val="2"/>
          <w:lang w:val="en-US" w:eastAsia="zh-CN"/>
        </w:rPr>
        <w:t>十</w:t>
      </w:r>
      <w:r>
        <w:rPr>
          <w:rFonts w:hint="eastAsia" w:asciiTheme="minorEastAsia" w:hAnsiTheme="minorEastAsia" w:cstheme="minorEastAsia"/>
          <w:b/>
          <w:bCs/>
          <w:kern w:val="2"/>
        </w:rPr>
        <w:t>、其他响应评分的内容及佐证材料</w:t>
      </w:r>
    </w:p>
    <w:p w14:paraId="553134DE">
      <w:pPr>
        <w:keepNext w:val="0"/>
        <w:keepLines w:val="0"/>
        <w:widowControl/>
        <w:numPr>
          <w:ilvl w:val="-1"/>
          <w:numId w:val="0"/>
        </w:numPr>
        <w:jc w:val="left"/>
        <w:outlineLvl w:val="9"/>
        <w:rPr>
          <w:rFonts w:hint="eastAsia" w:asciiTheme="minorEastAsia" w:hAnsiTheme="minorEastAsia" w:cstheme="minorEastAsia"/>
          <w:b/>
          <w:bCs/>
          <w:kern w:val="2"/>
        </w:rPr>
      </w:pPr>
      <w:r>
        <w:rPr>
          <w:rFonts w:hint="eastAsia" w:asciiTheme="minorEastAsia" w:hAnsiTheme="minorEastAsia" w:cstheme="minorEastAsia"/>
          <w:b/>
          <w:bCs/>
          <w:kern w:val="2"/>
        </w:rPr>
        <w:br w:type="page"/>
      </w:r>
    </w:p>
    <w:p w14:paraId="6918C846">
      <w:pPr>
        <w:pStyle w:val="18"/>
      </w:pPr>
      <w:r>
        <w:rPr>
          <w:rFonts w:hint="eastAsia"/>
          <w:b/>
          <w:bCs/>
          <w:lang w:val="en-US" w:eastAsia="zh-CN"/>
        </w:rPr>
        <w:t>十一、</w:t>
      </w:r>
      <w:r>
        <w:rPr>
          <w:rFonts w:hint="eastAsia"/>
          <w:b/>
          <w:bCs/>
        </w:rPr>
        <w:t>投标人认为需要加以说明的其他内容</w:t>
      </w:r>
    </w:p>
    <w:p w14:paraId="26D807AC">
      <w:pPr>
        <w:spacing w:line="420" w:lineRule="exact"/>
        <w:ind w:firstLine="422" w:firstLineChars="200"/>
        <w:rPr>
          <w:rFonts w:asciiTheme="minorEastAsia" w:hAnsiTheme="minorEastAsia" w:cstheme="minorEastAsia"/>
          <w:b/>
          <w:sz w:val="21"/>
          <w:szCs w:val="21"/>
        </w:rPr>
      </w:pPr>
    </w:p>
    <w:p w14:paraId="435D4164">
      <w:pPr>
        <w:pStyle w:val="27"/>
        <w:rPr>
          <w:rFonts w:asciiTheme="minorEastAsia" w:hAnsiTheme="minorEastAsia" w:cstheme="minorEastAsia"/>
          <w:b/>
          <w:sz w:val="21"/>
          <w:szCs w:val="21"/>
        </w:rPr>
      </w:pPr>
    </w:p>
    <w:p w14:paraId="3B3D24E8">
      <w:pPr>
        <w:pStyle w:val="27"/>
        <w:rPr>
          <w:rFonts w:asciiTheme="minorEastAsia" w:hAnsiTheme="minorEastAsia" w:cstheme="minorEastAsia"/>
          <w:b/>
          <w:sz w:val="21"/>
          <w:szCs w:val="21"/>
        </w:rPr>
      </w:pPr>
    </w:p>
    <w:p w14:paraId="39C39FF0">
      <w:pPr>
        <w:jc w:val="both"/>
        <w:rPr>
          <w:rFonts w:ascii="宋体" w:hAnsi="宋体" w:eastAsia="宋体" w:cs="宋体"/>
          <w:b/>
          <w:bCs/>
          <w:sz w:val="32"/>
          <w:szCs w:val="32"/>
        </w:rPr>
      </w:pPr>
    </w:p>
    <w:p w14:paraId="02E133B4">
      <w:pPr>
        <w:spacing w:line="560" w:lineRule="exact"/>
        <w:ind w:firstLine="482" w:firstLineChars="200"/>
        <w:jc w:val="both"/>
        <w:rPr>
          <w:rFonts w:asciiTheme="minorEastAsia" w:hAnsiTheme="minorEastAsia" w:cstheme="minorEastAsia"/>
          <w:b/>
        </w:rPr>
      </w:pPr>
    </w:p>
    <w:p w14:paraId="6A814CB9"/>
    <w:p w14:paraId="5080F2EA"/>
    <w:p w14:paraId="5207EDB1"/>
    <w:sectPr>
      <w:headerReference r:id="rId4" w:type="default"/>
      <w:pgSz w:w="11906" w:h="16838"/>
      <w:pgMar w:top="2098" w:right="1474" w:bottom="1984" w:left="1587" w:header="720" w:footer="720" w:gutter="0"/>
      <w:pgBorders>
        <w:top w:val="none" w:sz="0" w:space="0"/>
        <w:left w:val="none" w:sz="0" w:space="0"/>
        <w:bottom w:val="none" w:sz="0" w:space="0"/>
        <w:right w:val="none" w:sz="0" w:space="0"/>
      </w:pgBorders>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69402">
    <w:pPr>
      <w:pStyle w:val="13"/>
      <w:pBdr>
        <w:bottom w:val="none" w:color="000000"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174995">
    <w:pPr>
      <w:pStyle w:val="13"/>
      <w:pBdr>
        <w:bottom w:val="none" w:color="000000"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424733"/>
    <w:multiLevelType w:val="multilevel"/>
    <w:tmpl w:val="9C424733"/>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9F014E4A"/>
    <w:multiLevelType w:val="singleLevel"/>
    <w:tmpl w:val="9F014E4A"/>
    <w:lvl w:ilvl="0" w:tentative="0">
      <w:start w:val="5"/>
      <w:numFmt w:val="chineseCounting"/>
      <w:suff w:val="nothing"/>
      <w:lvlText w:val="%1、"/>
      <w:lvlJc w:val="left"/>
      <w:rPr>
        <w:rFonts w:hint="eastAsia"/>
      </w:rPr>
    </w:lvl>
  </w:abstractNum>
  <w:abstractNum w:abstractNumId="2">
    <w:nsid w:val="B609221C"/>
    <w:multiLevelType w:val="singleLevel"/>
    <w:tmpl w:val="B609221C"/>
    <w:lvl w:ilvl="0" w:tentative="0">
      <w:start w:val="1"/>
      <w:numFmt w:val="decimal"/>
      <w:suff w:val="nothing"/>
      <w:lvlText w:val="%1、"/>
      <w:lvlJc w:val="left"/>
    </w:lvl>
  </w:abstractNum>
  <w:abstractNum w:abstractNumId="3">
    <w:nsid w:val="B7811B20"/>
    <w:multiLevelType w:val="singleLevel"/>
    <w:tmpl w:val="B7811B20"/>
    <w:lvl w:ilvl="0" w:tentative="0">
      <w:start w:val="2"/>
      <w:numFmt w:val="decimal"/>
      <w:suff w:val="nothing"/>
      <w:lvlText w:val="（%1）"/>
      <w:lvlJc w:val="left"/>
    </w:lvl>
  </w:abstractNum>
  <w:abstractNum w:abstractNumId="4">
    <w:nsid w:val="B8A383CD"/>
    <w:multiLevelType w:val="singleLevel"/>
    <w:tmpl w:val="B8A383CD"/>
    <w:lvl w:ilvl="0" w:tentative="0">
      <w:start w:val="1"/>
      <w:numFmt w:val="decimalEnclosedCircleChinese"/>
      <w:suff w:val="nothing"/>
      <w:lvlText w:val="%1　"/>
      <w:lvlJc w:val="left"/>
      <w:pPr>
        <w:ind w:left="0" w:firstLine="400"/>
      </w:pPr>
      <w:rPr>
        <w:rFonts w:hint="eastAsia"/>
      </w:rPr>
    </w:lvl>
  </w:abstractNum>
  <w:abstractNum w:abstractNumId="5">
    <w:nsid w:val="B92DC596"/>
    <w:multiLevelType w:val="multilevel"/>
    <w:tmpl w:val="B92DC596"/>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6">
    <w:nsid w:val="C1950ABE"/>
    <w:multiLevelType w:val="singleLevel"/>
    <w:tmpl w:val="C1950ABE"/>
    <w:lvl w:ilvl="0" w:tentative="0">
      <w:start w:val="1"/>
      <w:numFmt w:val="decimal"/>
      <w:lvlText w:val="%1."/>
      <w:lvlJc w:val="left"/>
      <w:pPr>
        <w:ind w:left="0" w:firstLine="454"/>
      </w:pPr>
      <w:rPr>
        <w:rFonts w:hint="default"/>
      </w:rPr>
    </w:lvl>
  </w:abstractNum>
  <w:abstractNum w:abstractNumId="7">
    <w:nsid w:val="C92E82FE"/>
    <w:multiLevelType w:val="multilevel"/>
    <w:tmpl w:val="C92E82FE"/>
    <w:lvl w:ilvl="0" w:tentative="0">
      <w:start w:val="1"/>
      <w:numFmt w:val="decimal"/>
      <w:lvlText w:val="%1."/>
      <w:lvlJc w:val="left"/>
      <w:pPr>
        <w:ind w:left="425" w:hanging="425"/>
      </w:pPr>
      <w:rPr>
        <w:rFonts w:hint="default"/>
      </w:rPr>
    </w:lvl>
    <w:lvl w:ilvl="1" w:tentative="0">
      <w:start w:val="1"/>
      <w:numFmt w:val="decimal"/>
      <w:lvlText w:val="(%2)"/>
      <w:lvlJc w:val="left"/>
      <w:pPr>
        <w:tabs>
          <w:tab w:val="left" w:pos="840"/>
        </w:tabs>
        <w:ind w:left="840" w:leftChars="0" w:hanging="420" w:firstLineChars="0"/>
      </w:pPr>
      <w:rPr>
        <w:rFonts w:hint="default" w:ascii="宋体" w:hAnsi="宋体" w:eastAsia="宋体" w:cs="宋体"/>
        <w:sz w:val="21"/>
        <w:szCs w:val="21"/>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8">
    <w:nsid w:val="049CA71F"/>
    <w:multiLevelType w:val="singleLevel"/>
    <w:tmpl w:val="049CA71F"/>
    <w:lvl w:ilvl="0" w:tentative="0">
      <w:start w:val="5"/>
      <w:numFmt w:val="chineseCounting"/>
      <w:suff w:val="nothing"/>
      <w:lvlText w:val="%1、"/>
      <w:lvlJc w:val="left"/>
      <w:rPr>
        <w:rFonts w:hint="eastAsia"/>
      </w:rPr>
    </w:lvl>
  </w:abstractNum>
  <w:abstractNum w:abstractNumId="9">
    <w:nsid w:val="12CC7F8F"/>
    <w:multiLevelType w:val="singleLevel"/>
    <w:tmpl w:val="12CC7F8F"/>
    <w:lvl w:ilvl="0" w:tentative="0">
      <w:start w:val="1"/>
      <w:numFmt w:val="decimal"/>
      <w:suff w:val="nothing"/>
      <w:lvlText w:val="%1．"/>
      <w:lvlJc w:val="left"/>
      <w:pPr>
        <w:ind w:left="0" w:firstLine="400"/>
      </w:pPr>
      <w:rPr>
        <w:rFonts w:hint="default"/>
      </w:rPr>
    </w:lvl>
  </w:abstractNum>
  <w:abstractNum w:abstractNumId="10">
    <w:nsid w:val="1D4451DB"/>
    <w:multiLevelType w:val="singleLevel"/>
    <w:tmpl w:val="1D4451DB"/>
    <w:lvl w:ilvl="0" w:tentative="0">
      <w:start w:val="1"/>
      <w:numFmt w:val="decimal"/>
      <w:lvlText w:val="(%1)"/>
      <w:lvlJc w:val="left"/>
      <w:pPr>
        <w:ind w:left="425" w:hanging="425"/>
      </w:pPr>
      <w:rPr>
        <w:rFonts w:hint="default"/>
        <w:sz w:val="21"/>
        <w:szCs w:val="21"/>
      </w:rPr>
    </w:lvl>
  </w:abstractNum>
  <w:abstractNum w:abstractNumId="11">
    <w:nsid w:val="23434AEF"/>
    <w:multiLevelType w:val="singleLevel"/>
    <w:tmpl w:val="23434AEF"/>
    <w:lvl w:ilvl="0" w:tentative="0">
      <w:start w:val="1"/>
      <w:numFmt w:val="bullet"/>
      <w:lvlText w:val=""/>
      <w:lvlJc w:val="left"/>
      <w:pPr>
        <w:ind w:left="0" w:hanging="360"/>
      </w:pPr>
      <w:rPr>
        <w:rFonts w:hint="default" w:ascii="Symbol" w:hAnsi="Symbol" w:cs="Symbol"/>
        <w:sz w:val="20"/>
      </w:rPr>
    </w:lvl>
  </w:abstractNum>
  <w:abstractNum w:abstractNumId="12">
    <w:nsid w:val="78D54744"/>
    <w:multiLevelType w:val="multilevel"/>
    <w:tmpl w:val="78D54744"/>
    <w:lvl w:ilvl="0" w:tentative="0">
      <w:start w:val="1"/>
      <w:numFmt w:val="decimal"/>
      <w:lvlText w:val="%1."/>
      <w:lvlJc w:val="left"/>
      <w:pPr>
        <w:tabs>
          <w:tab w:val="left" w:pos="780"/>
        </w:tabs>
        <w:ind w:left="78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10"/>
  </w:num>
  <w:num w:numId="3">
    <w:abstractNumId w:val="7"/>
  </w:num>
  <w:num w:numId="4">
    <w:abstractNumId w:val="0"/>
  </w:num>
  <w:num w:numId="5">
    <w:abstractNumId w:val="11"/>
  </w:num>
  <w:num w:numId="6">
    <w:abstractNumId w:val="8"/>
  </w:num>
  <w:num w:numId="7">
    <w:abstractNumId w:val="12"/>
  </w:num>
  <w:num w:numId="8">
    <w:abstractNumId w:val="1"/>
  </w:num>
  <w:num w:numId="9">
    <w:abstractNumId w:val="6"/>
  </w:num>
  <w:num w:numId="10">
    <w:abstractNumId w:val="4"/>
  </w:num>
  <w:num w:numId="11">
    <w:abstractNumId w:val="3"/>
  </w:num>
  <w:num w:numId="12">
    <w:abstractNumId w:val="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EzZmJhNTllNzgxNzQwZWU0YTYwNjA0NTIzMTdhYTMifQ=="/>
  </w:docVars>
  <w:rsids>
    <w:rsidRoot w:val="3D7440F2"/>
    <w:rsid w:val="00056A87"/>
    <w:rsid w:val="00215AA4"/>
    <w:rsid w:val="0045657D"/>
    <w:rsid w:val="008168AB"/>
    <w:rsid w:val="00AB4F82"/>
    <w:rsid w:val="00C50A0D"/>
    <w:rsid w:val="0100390C"/>
    <w:rsid w:val="013331D3"/>
    <w:rsid w:val="024D385E"/>
    <w:rsid w:val="03373831"/>
    <w:rsid w:val="033B1034"/>
    <w:rsid w:val="049E27B6"/>
    <w:rsid w:val="04C55DBC"/>
    <w:rsid w:val="055E6C0F"/>
    <w:rsid w:val="06247F85"/>
    <w:rsid w:val="06A04C33"/>
    <w:rsid w:val="07683FB9"/>
    <w:rsid w:val="08266EB1"/>
    <w:rsid w:val="08624EAC"/>
    <w:rsid w:val="08B374B6"/>
    <w:rsid w:val="08BD30CD"/>
    <w:rsid w:val="08D86A88"/>
    <w:rsid w:val="09BC4137"/>
    <w:rsid w:val="0A8530D4"/>
    <w:rsid w:val="0B1258C1"/>
    <w:rsid w:val="0B4B61BD"/>
    <w:rsid w:val="0B512A4A"/>
    <w:rsid w:val="0BB721C8"/>
    <w:rsid w:val="0C0C0B59"/>
    <w:rsid w:val="0C4A0131"/>
    <w:rsid w:val="0CB803CA"/>
    <w:rsid w:val="0D940BB1"/>
    <w:rsid w:val="0DCC0459"/>
    <w:rsid w:val="0DF66693"/>
    <w:rsid w:val="0E3C625E"/>
    <w:rsid w:val="0EE06A04"/>
    <w:rsid w:val="0F2904D1"/>
    <w:rsid w:val="0F4E53F3"/>
    <w:rsid w:val="0F673186"/>
    <w:rsid w:val="0FE36A1F"/>
    <w:rsid w:val="0FE95EB3"/>
    <w:rsid w:val="106975CA"/>
    <w:rsid w:val="106C3291"/>
    <w:rsid w:val="108654B0"/>
    <w:rsid w:val="10E65EFD"/>
    <w:rsid w:val="110805BA"/>
    <w:rsid w:val="110C1984"/>
    <w:rsid w:val="118322A2"/>
    <w:rsid w:val="11885844"/>
    <w:rsid w:val="11910E6A"/>
    <w:rsid w:val="12107727"/>
    <w:rsid w:val="127A1044"/>
    <w:rsid w:val="12CC1965"/>
    <w:rsid w:val="137220F3"/>
    <w:rsid w:val="138D2581"/>
    <w:rsid w:val="13A33C39"/>
    <w:rsid w:val="13FD1DA2"/>
    <w:rsid w:val="14221993"/>
    <w:rsid w:val="148F2B7D"/>
    <w:rsid w:val="149C16A8"/>
    <w:rsid w:val="14A66C6D"/>
    <w:rsid w:val="15675CC7"/>
    <w:rsid w:val="15CA354C"/>
    <w:rsid w:val="16AE2FEC"/>
    <w:rsid w:val="17262DA7"/>
    <w:rsid w:val="182F1ABD"/>
    <w:rsid w:val="189D5A8C"/>
    <w:rsid w:val="190A6EA1"/>
    <w:rsid w:val="19B25567"/>
    <w:rsid w:val="19F8741E"/>
    <w:rsid w:val="1AAD4AEC"/>
    <w:rsid w:val="1B9F1857"/>
    <w:rsid w:val="1CAB418C"/>
    <w:rsid w:val="1D3369BF"/>
    <w:rsid w:val="1DE8505A"/>
    <w:rsid w:val="1E5A6BB7"/>
    <w:rsid w:val="1E780154"/>
    <w:rsid w:val="1EB678A8"/>
    <w:rsid w:val="1F242A63"/>
    <w:rsid w:val="1F2E4862"/>
    <w:rsid w:val="1F497D22"/>
    <w:rsid w:val="1FB737FD"/>
    <w:rsid w:val="1FD1579B"/>
    <w:rsid w:val="200C59D1"/>
    <w:rsid w:val="202570CE"/>
    <w:rsid w:val="20DA182C"/>
    <w:rsid w:val="21347F82"/>
    <w:rsid w:val="22226190"/>
    <w:rsid w:val="22282297"/>
    <w:rsid w:val="22C42589"/>
    <w:rsid w:val="240F716E"/>
    <w:rsid w:val="242B606B"/>
    <w:rsid w:val="24364576"/>
    <w:rsid w:val="250A1B47"/>
    <w:rsid w:val="257F56D8"/>
    <w:rsid w:val="25810C5E"/>
    <w:rsid w:val="26335254"/>
    <w:rsid w:val="27351E1F"/>
    <w:rsid w:val="27BC2BBD"/>
    <w:rsid w:val="27D03788"/>
    <w:rsid w:val="27D8088F"/>
    <w:rsid w:val="28B74948"/>
    <w:rsid w:val="28DE1ED5"/>
    <w:rsid w:val="292F2731"/>
    <w:rsid w:val="29317A9F"/>
    <w:rsid w:val="29464ABA"/>
    <w:rsid w:val="294A756A"/>
    <w:rsid w:val="296255D1"/>
    <w:rsid w:val="298634AE"/>
    <w:rsid w:val="29CB73CA"/>
    <w:rsid w:val="2A506B87"/>
    <w:rsid w:val="2AE52632"/>
    <w:rsid w:val="2AE7627B"/>
    <w:rsid w:val="2AF6794A"/>
    <w:rsid w:val="2B78566B"/>
    <w:rsid w:val="2B85488A"/>
    <w:rsid w:val="2C8A2ED1"/>
    <w:rsid w:val="2D594487"/>
    <w:rsid w:val="2D634ABA"/>
    <w:rsid w:val="2D7E5A35"/>
    <w:rsid w:val="2DA426B1"/>
    <w:rsid w:val="2E0F5063"/>
    <w:rsid w:val="2E801F68"/>
    <w:rsid w:val="2F2971AE"/>
    <w:rsid w:val="2F9E36DF"/>
    <w:rsid w:val="30263342"/>
    <w:rsid w:val="30CB545E"/>
    <w:rsid w:val="311D7D22"/>
    <w:rsid w:val="31575516"/>
    <w:rsid w:val="31835AFD"/>
    <w:rsid w:val="319331E3"/>
    <w:rsid w:val="320873B5"/>
    <w:rsid w:val="322D55F0"/>
    <w:rsid w:val="32526998"/>
    <w:rsid w:val="32712BD2"/>
    <w:rsid w:val="32991B20"/>
    <w:rsid w:val="32E4633A"/>
    <w:rsid w:val="33260700"/>
    <w:rsid w:val="337D05BA"/>
    <w:rsid w:val="33B83F01"/>
    <w:rsid w:val="33FE167D"/>
    <w:rsid w:val="34767A38"/>
    <w:rsid w:val="34923248"/>
    <w:rsid w:val="355C48AD"/>
    <w:rsid w:val="35710373"/>
    <w:rsid w:val="3685081A"/>
    <w:rsid w:val="37661A13"/>
    <w:rsid w:val="37DC05FC"/>
    <w:rsid w:val="38206C2F"/>
    <w:rsid w:val="384161E2"/>
    <w:rsid w:val="38983E4E"/>
    <w:rsid w:val="391B123B"/>
    <w:rsid w:val="396B2A3F"/>
    <w:rsid w:val="39D07618"/>
    <w:rsid w:val="3A0975A8"/>
    <w:rsid w:val="3A0F080A"/>
    <w:rsid w:val="3A1E0635"/>
    <w:rsid w:val="3A341B26"/>
    <w:rsid w:val="3A7F2FBB"/>
    <w:rsid w:val="3A8C639A"/>
    <w:rsid w:val="3ACC0B8B"/>
    <w:rsid w:val="3ACE4909"/>
    <w:rsid w:val="3AF86E26"/>
    <w:rsid w:val="3B1E4C78"/>
    <w:rsid w:val="3C140424"/>
    <w:rsid w:val="3D6F7148"/>
    <w:rsid w:val="3D7440F2"/>
    <w:rsid w:val="3DD2498B"/>
    <w:rsid w:val="3E1458A7"/>
    <w:rsid w:val="3E764706"/>
    <w:rsid w:val="3ECC5802"/>
    <w:rsid w:val="3ED745E6"/>
    <w:rsid w:val="3F724CCD"/>
    <w:rsid w:val="3FDE5182"/>
    <w:rsid w:val="407A02DD"/>
    <w:rsid w:val="40A627BD"/>
    <w:rsid w:val="414E1930"/>
    <w:rsid w:val="41E72FC5"/>
    <w:rsid w:val="42415A41"/>
    <w:rsid w:val="43134A69"/>
    <w:rsid w:val="4351587E"/>
    <w:rsid w:val="436A288B"/>
    <w:rsid w:val="43982D3D"/>
    <w:rsid w:val="43E71ED9"/>
    <w:rsid w:val="444063A5"/>
    <w:rsid w:val="449F6565"/>
    <w:rsid w:val="46411ABA"/>
    <w:rsid w:val="46E22257"/>
    <w:rsid w:val="46F13C28"/>
    <w:rsid w:val="471A5EFE"/>
    <w:rsid w:val="47B21FD0"/>
    <w:rsid w:val="47EF4992"/>
    <w:rsid w:val="48C437EC"/>
    <w:rsid w:val="49A308A5"/>
    <w:rsid w:val="49C76797"/>
    <w:rsid w:val="4A283338"/>
    <w:rsid w:val="4AB10DA0"/>
    <w:rsid w:val="4AC36B75"/>
    <w:rsid w:val="4AFA44F5"/>
    <w:rsid w:val="4B814C16"/>
    <w:rsid w:val="4B9A5798"/>
    <w:rsid w:val="4BE12DDC"/>
    <w:rsid w:val="4C1710D6"/>
    <w:rsid w:val="4C460AB6"/>
    <w:rsid w:val="4C8E5CA5"/>
    <w:rsid w:val="4CC4300C"/>
    <w:rsid w:val="4D4B7289"/>
    <w:rsid w:val="4E565ADE"/>
    <w:rsid w:val="4E713C73"/>
    <w:rsid w:val="4F454F19"/>
    <w:rsid w:val="4F812CCE"/>
    <w:rsid w:val="4FFD05E3"/>
    <w:rsid w:val="506917F9"/>
    <w:rsid w:val="50A27E93"/>
    <w:rsid w:val="515A4471"/>
    <w:rsid w:val="518F3560"/>
    <w:rsid w:val="51AE6039"/>
    <w:rsid w:val="51B0405F"/>
    <w:rsid w:val="51DE07A0"/>
    <w:rsid w:val="52080119"/>
    <w:rsid w:val="525C2CAD"/>
    <w:rsid w:val="52634E37"/>
    <w:rsid w:val="526B3F2A"/>
    <w:rsid w:val="52BE79EE"/>
    <w:rsid w:val="52ED7144"/>
    <w:rsid w:val="52FB3500"/>
    <w:rsid w:val="53013A3B"/>
    <w:rsid w:val="53A641C9"/>
    <w:rsid w:val="549C6871"/>
    <w:rsid w:val="5505061C"/>
    <w:rsid w:val="55954F6F"/>
    <w:rsid w:val="56E842B2"/>
    <w:rsid w:val="57184310"/>
    <w:rsid w:val="57404B3D"/>
    <w:rsid w:val="57647187"/>
    <w:rsid w:val="57916407"/>
    <w:rsid w:val="57A2219C"/>
    <w:rsid w:val="57A8352A"/>
    <w:rsid w:val="57CD6716"/>
    <w:rsid w:val="5A523CFC"/>
    <w:rsid w:val="5A5D394D"/>
    <w:rsid w:val="5AE32837"/>
    <w:rsid w:val="5C1938D9"/>
    <w:rsid w:val="5C9C4D80"/>
    <w:rsid w:val="5CA72002"/>
    <w:rsid w:val="5E8D575F"/>
    <w:rsid w:val="5EE017FC"/>
    <w:rsid w:val="5F3D1A70"/>
    <w:rsid w:val="5F5B3D80"/>
    <w:rsid w:val="5F69362B"/>
    <w:rsid w:val="5FB4280A"/>
    <w:rsid w:val="60EF7510"/>
    <w:rsid w:val="60FB482B"/>
    <w:rsid w:val="613F605C"/>
    <w:rsid w:val="62594319"/>
    <w:rsid w:val="6280757E"/>
    <w:rsid w:val="62896A3E"/>
    <w:rsid w:val="62AD115F"/>
    <w:rsid w:val="62DE42A4"/>
    <w:rsid w:val="635F7193"/>
    <w:rsid w:val="63B8098A"/>
    <w:rsid w:val="63DF6526"/>
    <w:rsid w:val="63E37150"/>
    <w:rsid w:val="63FB5F07"/>
    <w:rsid w:val="64085183"/>
    <w:rsid w:val="64175BE2"/>
    <w:rsid w:val="64BB489D"/>
    <w:rsid w:val="651E3C75"/>
    <w:rsid w:val="652B6423"/>
    <w:rsid w:val="65430DC9"/>
    <w:rsid w:val="65696C96"/>
    <w:rsid w:val="659775F4"/>
    <w:rsid w:val="65DC2D1D"/>
    <w:rsid w:val="65F056C5"/>
    <w:rsid w:val="66203ACE"/>
    <w:rsid w:val="667E3083"/>
    <w:rsid w:val="66D93700"/>
    <w:rsid w:val="67065B78"/>
    <w:rsid w:val="6760172C"/>
    <w:rsid w:val="67CE0FFF"/>
    <w:rsid w:val="684806EA"/>
    <w:rsid w:val="69BE0C34"/>
    <w:rsid w:val="6A2007AB"/>
    <w:rsid w:val="6A4B0471"/>
    <w:rsid w:val="6A4F3879"/>
    <w:rsid w:val="6A554ED2"/>
    <w:rsid w:val="6ACD532A"/>
    <w:rsid w:val="6AEB15CB"/>
    <w:rsid w:val="6B1967C5"/>
    <w:rsid w:val="6BC35752"/>
    <w:rsid w:val="6BDB1DA7"/>
    <w:rsid w:val="6D85303B"/>
    <w:rsid w:val="6DFE2615"/>
    <w:rsid w:val="6EB92134"/>
    <w:rsid w:val="6ED10938"/>
    <w:rsid w:val="6ED8429D"/>
    <w:rsid w:val="6EF23D7F"/>
    <w:rsid w:val="6F5002D8"/>
    <w:rsid w:val="6FFD4170"/>
    <w:rsid w:val="70F863C0"/>
    <w:rsid w:val="71940AAA"/>
    <w:rsid w:val="720D6D06"/>
    <w:rsid w:val="72A30BE1"/>
    <w:rsid w:val="72AE4FE5"/>
    <w:rsid w:val="72DA4B3B"/>
    <w:rsid w:val="743E1047"/>
    <w:rsid w:val="74BB4445"/>
    <w:rsid w:val="756F18B8"/>
    <w:rsid w:val="758365B6"/>
    <w:rsid w:val="76562678"/>
    <w:rsid w:val="771445E4"/>
    <w:rsid w:val="77461476"/>
    <w:rsid w:val="78BB2C66"/>
    <w:rsid w:val="792702FB"/>
    <w:rsid w:val="79B50AEB"/>
    <w:rsid w:val="79F00D50"/>
    <w:rsid w:val="7A142E68"/>
    <w:rsid w:val="7A2C7CFF"/>
    <w:rsid w:val="7A631AEF"/>
    <w:rsid w:val="7AA75AF9"/>
    <w:rsid w:val="7ACA7190"/>
    <w:rsid w:val="7BA31302"/>
    <w:rsid w:val="7BE73D72"/>
    <w:rsid w:val="7C14589E"/>
    <w:rsid w:val="7C6B51DB"/>
    <w:rsid w:val="7C907A13"/>
    <w:rsid w:val="7C9C690A"/>
    <w:rsid w:val="7CE16A13"/>
    <w:rsid w:val="7DA75BED"/>
    <w:rsid w:val="7E6F1B67"/>
    <w:rsid w:val="7E9F4771"/>
    <w:rsid w:val="7ED45C39"/>
    <w:rsid w:val="7F8B5F22"/>
    <w:rsid w:val="DEFFF7F4"/>
    <w:rsid w:val="F79F914B"/>
    <w:rsid w:val="FF767439"/>
    <w:rsid w:val="FFFFA16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9"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9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cs="Times New Roman" w:eastAsiaTheme="minorEastAsia"/>
      <w:sz w:val="24"/>
      <w:szCs w:val="24"/>
      <w:lang w:val="en-US" w:eastAsia="zh-CN" w:bidi="ar-SA"/>
    </w:rPr>
  </w:style>
  <w:style w:type="paragraph" w:styleId="4">
    <w:name w:val="heading 1"/>
    <w:basedOn w:val="1"/>
    <w:next w:val="5"/>
    <w:qFormat/>
    <w:uiPriority w:val="9"/>
    <w:pPr>
      <w:spacing w:before="340" w:after="330" w:line="360" w:lineRule="auto"/>
      <w:jc w:val="center"/>
      <w:outlineLvl w:val="0"/>
    </w:pPr>
    <w:rPr>
      <w:rFonts w:eastAsia="黑体"/>
      <w:kern w:val="44"/>
      <w:szCs w:val="44"/>
    </w:rPr>
  </w:style>
  <w:style w:type="paragraph" w:styleId="6">
    <w:name w:val="heading 2"/>
    <w:basedOn w:val="7"/>
    <w:next w:val="8"/>
    <w:qFormat/>
    <w:uiPriority w:val="0"/>
    <w:pPr>
      <w:adjustRightInd w:val="0"/>
      <w:jc w:val="center"/>
      <w:textAlignment w:val="baseline"/>
      <w:outlineLvl w:val="1"/>
    </w:pPr>
    <w:rPr>
      <w:szCs w:val="20"/>
    </w:rPr>
  </w:style>
  <w:style w:type="paragraph" w:styleId="7">
    <w:name w:val="heading 3"/>
    <w:basedOn w:val="8"/>
    <w:next w:val="1"/>
    <w:qFormat/>
    <w:uiPriority w:val="9"/>
    <w:pPr>
      <w:spacing w:before="260" w:after="260"/>
      <w:outlineLvl w:val="2"/>
    </w:pPr>
    <w:rPr>
      <w:rFonts w:ascii="宋体" w:hAnsi="宋体" w:eastAsia="宋体"/>
      <w:szCs w:val="32"/>
    </w:rPr>
  </w:style>
  <w:style w:type="paragraph" w:styleId="8">
    <w:name w:val="heading 4"/>
    <w:basedOn w:val="1"/>
    <w:next w:val="1"/>
    <w:qFormat/>
    <w:uiPriority w:val="9"/>
    <w:pPr>
      <w:keepNext/>
      <w:keepLines/>
      <w:spacing w:before="280" w:after="290" w:line="376" w:lineRule="auto"/>
      <w:outlineLvl w:val="3"/>
    </w:pPr>
    <w:rPr>
      <w:rFonts w:ascii="Arial" w:hAnsi="Arial" w:eastAsia="黑体"/>
      <w:b/>
      <w:bCs/>
      <w:sz w:val="28"/>
      <w:szCs w:val="28"/>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rPr>
      <w:rFonts w:asciiTheme="minorHAnsi" w:hAnsiTheme="minorHAnsi" w:cstheme="minorBidi"/>
      <w:szCs w:val="22"/>
    </w:rPr>
  </w:style>
  <w:style w:type="paragraph" w:styleId="3">
    <w:name w:val="Body Text 2"/>
    <w:basedOn w:val="1"/>
    <w:qFormat/>
    <w:uiPriority w:val="0"/>
    <w:pPr>
      <w:spacing w:line="360" w:lineRule="auto"/>
    </w:pPr>
  </w:style>
  <w:style w:type="paragraph" w:styleId="5">
    <w:name w:val="Normal Indent"/>
    <w:basedOn w:val="1"/>
    <w:qFormat/>
    <w:uiPriority w:val="0"/>
    <w:pPr>
      <w:ind w:firstLine="420" w:firstLineChars="200"/>
    </w:pPr>
  </w:style>
  <w:style w:type="paragraph" w:styleId="9">
    <w:name w:val="annotation text"/>
    <w:basedOn w:val="1"/>
    <w:link w:val="37"/>
    <w:semiHidden/>
    <w:qFormat/>
    <w:uiPriority w:val="99"/>
    <w:pPr>
      <w:autoSpaceDE w:val="0"/>
      <w:autoSpaceDN w:val="0"/>
      <w:adjustRightInd w:val="0"/>
      <w:textAlignment w:val="baseline"/>
    </w:pPr>
    <w:rPr>
      <w:rFonts w:ascii="宋体"/>
      <w:sz w:val="34"/>
      <w:szCs w:val="20"/>
    </w:rPr>
  </w:style>
  <w:style w:type="paragraph" w:styleId="10">
    <w:name w:val="Body Text Indent"/>
    <w:basedOn w:val="1"/>
    <w:qFormat/>
    <w:uiPriority w:val="0"/>
    <w:pPr>
      <w:spacing w:line="360" w:lineRule="auto"/>
      <w:ind w:firstLine="420" w:firstLineChars="200"/>
    </w:pPr>
  </w:style>
  <w:style w:type="paragraph" w:styleId="11">
    <w:name w:val="Plain Text"/>
    <w:basedOn w:val="1"/>
    <w:unhideWhenUsed/>
    <w:qFormat/>
    <w:uiPriority w:val="0"/>
    <w:pPr>
      <w:widowControl w:val="0"/>
      <w:jc w:val="both"/>
    </w:pPr>
    <w:rPr>
      <w:rFonts w:ascii="宋体" w:hAnsi="Courier New" w:eastAsia="宋体"/>
      <w:kern w:val="2"/>
      <w:sz w:val="21"/>
      <w:szCs w:val="20"/>
    </w:rPr>
  </w:style>
  <w:style w:type="paragraph" w:styleId="12">
    <w:name w:val="footer"/>
    <w:basedOn w:val="1"/>
    <w:link w:val="36"/>
    <w:qFormat/>
    <w:uiPriority w:val="0"/>
    <w:pPr>
      <w:tabs>
        <w:tab w:val="center" w:pos="4153"/>
        <w:tab w:val="right" w:pos="8306"/>
      </w:tabs>
      <w:snapToGrid w:val="0"/>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qFormat/>
    <w:uiPriority w:val="0"/>
    <w:pPr>
      <w:tabs>
        <w:tab w:val="left" w:pos="426"/>
      </w:tabs>
      <w:spacing w:before="240" w:after="60" w:line="312" w:lineRule="auto"/>
      <w:jc w:val="center"/>
      <w:outlineLvl w:val="1"/>
    </w:pPr>
    <w:rPr>
      <w:rFonts w:ascii="Cambria" w:hAnsi="Cambria"/>
      <w:b/>
      <w:bCs/>
      <w:kern w:val="28"/>
      <w:sz w:val="28"/>
      <w:szCs w:val="32"/>
    </w:rPr>
  </w:style>
  <w:style w:type="paragraph" w:styleId="15">
    <w:name w:val="Normal (Web)"/>
    <w:basedOn w:val="1"/>
    <w:qFormat/>
    <w:uiPriority w:val="99"/>
  </w:style>
  <w:style w:type="paragraph" w:styleId="16">
    <w:name w:val="Title"/>
    <w:basedOn w:val="1"/>
    <w:next w:val="1"/>
    <w:qFormat/>
    <w:uiPriority w:val="0"/>
    <w:pPr>
      <w:spacing w:before="240" w:after="60" w:line="276" w:lineRule="auto"/>
      <w:jc w:val="center"/>
      <w:outlineLvl w:val="0"/>
    </w:pPr>
    <w:rPr>
      <w:rFonts w:ascii="Cambria" w:hAnsi="Cambria"/>
      <w:b/>
      <w:bCs/>
      <w:sz w:val="32"/>
      <w:szCs w:val="32"/>
    </w:rPr>
  </w:style>
  <w:style w:type="paragraph" w:styleId="17">
    <w:name w:val="annotation subject"/>
    <w:basedOn w:val="9"/>
    <w:next w:val="9"/>
    <w:link w:val="38"/>
    <w:qFormat/>
    <w:uiPriority w:val="0"/>
    <w:pPr>
      <w:autoSpaceDE/>
      <w:autoSpaceDN/>
      <w:adjustRightInd/>
      <w:textAlignment w:val="auto"/>
    </w:pPr>
    <w:rPr>
      <w:rFonts w:ascii="Times New Roman"/>
      <w:b/>
      <w:bCs/>
      <w:sz w:val="24"/>
      <w:szCs w:val="24"/>
    </w:rPr>
  </w:style>
  <w:style w:type="paragraph" w:styleId="18">
    <w:name w:val="Body Text First Indent 2"/>
    <w:basedOn w:val="10"/>
    <w:semiHidden/>
    <w:unhideWhenUsed/>
    <w:qFormat/>
    <w:uiPriority w:val="99"/>
    <w:pPr>
      <w:spacing w:afterLines="25"/>
    </w:pPr>
  </w:style>
  <w:style w:type="table" w:styleId="20">
    <w:name w:val="Table Grid"/>
    <w:basedOn w:val="19"/>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rFonts w:ascii="Tahoma" w:hAnsi="Tahoma" w:eastAsia="宋体"/>
      <w:b/>
      <w:bCs/>
      <w:spacing w:val="10"/>
      <w:kern w:val="2"/>
      <w:sz w:val="24"/>
      <w:szCs w:val="24"/>
      <w:lang w:val="en-US" w:eastAsia="zh-CN" w:bidi="ar-SA"/>
    </w:rPr>
  </w:style>
  <w:style w:type="character" w:styleId="23">
    <w:name w:val="annotation reference"/>
    <w:basedOn w:val="21"/>
    <w:qFormat/>
    <w:uiPriority w:val="0"/>
    <w:rPr>
      <w:sz w:val="21"/>
      <w:szCs w:val="21"/>
    </w:rPr>
  </w:style>
  <w:style w:type="paragraph" w:customStyle="1" w:styleId="24">
    <w:name w:val="样式3"/>
    <w:basedOn w:val="25"/>
    <w:next w:val="1"/>
    <w:qFormat/>
    <w:uiPriority w:val="0"/>
    <w:pPr>
      <w:adjustRightInd/>
      <w:textAlignment w:val="auto"/>
    </w:pPr>
    <w:rPr>
      <w:rFonts w:ascii="Times New Roman" w:hAnsi="Times New Roman" w:eastAsia="宋体" w:cs="Times New Roman"/>
      <w:kern w:val="2"/>
      <w:sz w:val="21"/>
      <w:szCs w:val="20"/>
    </w:rPr>
  </w:style>
  <w:style w:type="paragraph" w:customStyle="1" w:styleId="25">
    <w:name w:val="样式2"/>
    <w:basedOn w:val="1"/>
    <w:qFormat/>
    <w:uiPriority w:val="0"/>
    <w:pPr>
      <w:adjustRightInd/>
      <w:ind w:left="200" w:leftChars="200"/>
      <w:textAlignment w:val="auto"/>
    </w:pPr>
    <w:rPr>
      <w:rFonts w:hAnsi="宋体" w:eastAsia="宋体"/>
      <w:b/>
      <w:kern w:val="2"/>
      <w:szCs w:val="24"/>
    </w:rPr>
  </w:style>
  <w:style w:type="paragraph" w:styleId="26">
    <w:name w:val="Quote"/>
    <w:basedOn w:val="1"/>
    <w:next w:val="1"/>
    <w:qFormat/>
    <w:uiPriority w:val="99"/>
    <w:pPr>
      <w:widowControl w:val="0"/>
      <w:jc w:val="both"/>
    </w:pPr>
    <w:rPr>
      <w:rFonts w:ascii="Calibri" w:hAnsi="Calibri" w:cs="Calibri"/>
      <w:i/>
      <w:iCs/>
      <w:color w:val="000000"/>
      <w:kern w:val="2"/>
      <w:sz w:val="22"/>
      <w:szCs w:val="22"/>
    </w:rPr>
  </w:style>
  <w:style w:type="paragraph" w:customStyle="1" w:styleId="27">
    <w:name w:val="表格文字"/>
    <w:basedOn w:val="1"/>
    <w:qFormat/>
    <w:uiPriority w:val="99"/>
    <w:pPr>
      <w:spacing w:before="25" w:after="25"/>
    </w:pPr>
    <w:rPr>
      <w:spacing w:val="10"/>
    </w:rPr>
  </w:style>
  <w:style w:type="paragraph" w:customStyle="1" w:styleId="28">
    <w:name w:val="列出段落1"/>
    <w:basedOn w:val="1"/>
    <w:qFormat/>
    <w:uiPriority w:val="0"/>
    <w:pPr>
      <w:widowControl w:val="0"/>
      <w:ind w:firstLine="420"/>
      <w:jc w:val="both"/>
    </w:pPr>
    <w:rPr>
      <w:rFonts w:ascii="Calibri" w:hAnsi="Calibri" w:eastAsia="宋体" w:cs="Calibri"/>
      <w:kern w:val="2"/>
      <w:sz w:val="21"/>
      <w:szCs w:val="21"/>
    </w:rPr>
  </w:style>
  <w:style w:type="paragraph" w:styleId="29">
    <w:name w:val="List Paragraph"/>
    <w:basedOn w:val="1"/>
    <w:qFormat/>
    <w:uiPriority w:val="34"/>
    <w:pPr>
      <w:widowControl w:val="0"/>
      <w:ind w:firstLine="420" w:firstLineChars="200"/>
      <w:jc w:val="both"/>
    </w:pPr>
    <w:rPr>
      <w:rFonts w:ascii="Calibri" w:hAnsi="Calibri" w:eastAsia="宋体"/>
      <w:kern w:val="2"/>
      <w:sz w:val="21"/>
    </w:rPr>
  </w:style>
  <w:style w:type="paragraph" w:customStyle="1" w:styleId="30">
    <w:name w:val="￥正文"/>
    <w:basedOn w:val="1"/>
    <w:qFormat/>
    <w:uiPriority w:val="0"/>
    <w:pPr>
      <w:tabs>
        <w:tab w:val="left" w:pos="426"/>
      </w:tabs>
      <w:ind w:firstLine="200" w:firstLineChars="200"/>
    </w:pPr>
    <w:rPr>
      <w:rFonts w:ascii="Calibri" w:hAnsi="Calibri"/>
      <w:kern w:val="2"/>
      <w:szCs w:val="20"/>
    </w:rPr>
  </w:style>
  <w:style w:type="paragraph" w:customStyle="1" w:styleId="31">
    <w:name w:val="Table Text"/>
    <w:basedOn w:val="1"/>
    <w:semiHidden/>
    <w:qFormat/>
    <w:uiPriority w:val="0"/>
    <w:rPr>
      <w:rFonts w:ascii="微软雅黑" w:hAnsi="微软雅黑" w:eastAsia="微软雅黑" w:cs="微软雅黑"/>
      <w:lang w:eastAsia="en-US"/>
    </w:rPr>
  </w:style>
  <w:style w:type="table" w:customStyle="1" w:styleId="32">
    <w:name w:val="Table Normal"/>
    <w:semiHidden/>
    <w:unhideWhenUsed/>
    <w:qFormat/>
    <w:uiPriority w:val="0"/>
    <w:tblPr>
      <w:tblCellMar>
        <w:top w:w="0" w:type="dxa"/>
        <w:left w:w="0" w:type="dxa"/>
        <w:bottom w:w="0" w:type="dxa"/>
        <w:right w:w="0" w:type="dxa"/>
      </w:tblCellMar>
    </w:tblPr>
  </w:style>
  <w:style w:type="paragraph" w:customStyle="1" w:styleId="33">
    <w:name w:val="普通(网站)1"/>
    <w:basedOn w:val="1"/>
    <w:qFormat/>
    <w:uiPriority w:val="0"/>
    <w:pPr>
      <w:spacing w:before="100" w:beforeAutospacing="1" w:after="100" w:afterAutospacing="1"/>
    </w:pPr>
    <w:rPr>
      <w:rFonts w:ascii="Calibri" w:hAnsi="Calibri" w:eastAsia="宋体"/>
      <w:b/>
      <w:bCs/>
      <w:szCs w:val="36"/>
      <w:u w:val="single"/>
    </w:rPr>
  </w:style>
  <w:style w:type="paragraph" w:customStyle="1" w:styleId="34">
    <w:name w:val="Default"/>
    <w:qFormat/>
    <w:uiPriority w:val="0"/>
    <w:pPr>
      <w:widowControl w:val="0"/>
      <w:autoSpaceDE w:val="0"/>
      <w:autoSpaceDN w:val="0"/>
    </w:pPr>
    <w:rPr>
      <w:rFonts w:ascii="Times New Roman" w:hAnsi="Times New Roman" w:eastAsia="宋体" w:cs="Times New Roman"/>
      <w:color w:val="000000"/>
      <w:sz w:val="24"/>
      <w:szCs w:val="24"/>
      <w:lang w:val="en-US" w:eastAsia="zh-CN" w:bidi="ar-SA"/>
    </w:rPr>
  </w:style>
  <w:style w:type="paragraph" w:customStyle="1" w:styleId="35">
    <w:name w:val="_Style 33"/>
    <w:basedOn w:val="1"/>
    <w:next w:val="29"/>
    <w:qFormat/>
    <w:uiPriority w:val="34"/>
    <w:pPr>
      <w:ind w:firstLine="420" w:firstLineChars="200"/>
    </w:pPr>
    <w:rPr>
      <w:rFonts w:eastAsia="宋体"/>
      <w:sz w:val="21"/>
    </w:rPr>
  </w:style>
  <w:style w:type="character" w:customStyle="1" w:styleId="36">
    <w:name w:val="页脚 字符"/>
    <w:basedOn w:val="21"/>
    <w:link w:val="12"/>
    <w:qFormat/>
    <w:uiPriority w:val="0"/>
    <w:rPr>
      <w:rFonts w:eastAsiaTheme="minorEastAsia"/>
      <w:sz w:val="18"/>
      <w:szCs w:val="18"/>
    </w:rPr>
  </w:style>
  <w:style w:type="character" w:customStyle="1" w:styleId="37">
    <w:name w:val="批注文字 字符"/>
    <w:basedOn w:val="21"/>
    <w:link w:val="9"/>
    <w:semiHidden/>
    <w:qFormat/>
    <w:uiPriority w:val="99"/>
    <w:rPr>
      <w:rFonts w:ascii="宋体" w:eastAsiaTheme="minorEastAsia"/>
      <w:sz w:val="34"/>
    </w:rPr>
  </w:style>
  <w:style w:type="character" w:customStyle="1" w:styleId="38">
    <w:name w:val="批注主题 字符"/>
    <w:basedOn w:val="37"/>
    <w:link w:val="17"/>
    <w:qFormat/>
    <w:uiPriority w:val="0"/>
    <w:rPr>
      <w:rFonts w:ascii="宋体" w:eastAsiaTheme="minorEastAsia"/>
      <w:b/>
      <w:bCs/>
      <w:sz w:val="24"/>
      <w:szCs w:val="24"/>
    </w:rPr>
  </w:style>
  <w:style w:type="paragraph" w:styleId="39">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40">
    <w:name w:val="2标题 2"/>
    <w:basedOn w:val="41"/>
    <w:next w:val="1"/>
    <w:qFormat/>
    <w:uiPriority w:val="0"/>
    <w:pPr>
      <w:pageBreakBefore w:val="0"/>
      <w:suppressLineNumbers/>
      <w:tabs>
        <w:tab w:val="left" w:pos="992"/>
      </w:tabs>
      <w:snapToGrid w:val="0"/>
      <w:outlineLvl w:val="1"/>
    </w:pPr>
    <w:rPr>
      <w:rFonts w:ascii="宋体" w:hAnsi="Arial"/>
      <w:bCs w:val="0"/>
    </w:rPr>
  </w:style>
  <w:style w:type="paragraph" w:customStyle="1" w:styleId="41">
    <w:name w:val="1标题1"/>
    <w:basedOn w:val="42"/>
    <w:qFormat/>
    <w:uiPriority w:val="0"/>
    <w:pPr>
      <w:pageBreakBefore/>
      <w:ind w:left="0" w:leftChars="0"/>
    </w:pPr>
    <w:rPr>
      <w:rFonts w:cs="宋体"/>
    </w:rPr>
  </w:style>
  <w:style w:type="paragraph" w:customStyle="1" w:styleId="42">
    <w:name w:val="样式 标题 1标题1 + 加粗"/>
    <w:basedOn w:val="4"/>
    <w:qFormat/>
    <w:uiPriority w:val="0"/>
    <w:pPr>
      <w:spacing w:before="120" w:after="120"/>
      <w:ind w:left="200" w:leftChars="200"/>
      <w:jc w:val="left"/>
    </w:pPr>
    <w:rPr>
      <w:b/>
      <w:bCs/>
    </w:rPr>
  </w:style>
  <w:style w:type="character" w:customStyle="1" w:styleId="43">
    <w:name w:val="font31"/>
    <w:basedOn w:val="21"/>
    <w:qFormat/>
    <w:uiPriority w:val="0"/>
    <w:rPr>
      <w:rFonts w:hint="eastAsia" w:ascii="仿宋" w:hAnsi="仿宋" w:eastAsia="仿宋" w:cs="仿宋"/>
      <w:b/>
      <w:bCs/>
      <w:color w:val="000000"/>
      <w:sz w:val="20"/>
      <w:szCs w:val="20"/>
      <w:u w:val="none"/>
    </w:rPr>
  </w:style>
  <w:style w:type="character" w:customStyle="1" w:styleId="44">
    <w:name w:val="font41"/>
    <w:basedOn w:val="21"/>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54</Pages>
  <Words>2746</Words>
  <Characters>2795</Characters>
  <Lines>1</Lines>
  <Paragraphs>1</Paragraphs>
  <TotalTime>974</TotalTime>
  <ScaleCrop>false</ScaleCrop>
  <LinksUpToDate>false</LinksUpToDate>
  <CharactersWithSpaces>2840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2026-04-21T07:22:00Z</dcterms:created>
  <dc:creator>Administrator</dc:creator>
  <cp:lastModifiedBy>Administrator</cp:lastModifiedBy>
  <cp:lastPrinted>2026-10-09T02:01:00Z</cp:lastPrinted>
  <dcterms:modified xsi:type="dcterms:W3CDTF">2026-10-29T00:07:31Z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797D79FFAA6B4F1D879650ADB059E309_13</vt:lpwstr>
  </property>
  <property fmtid="{D5CDD505-2E9C-101B-9397-08002B2CF9AE}" pid="4" name="KSOTemplateDocerSaveRecord">
    <vt:lpwstr>eyJoZGlkIjoiZWNlMGI2NzFjZDAyMzZkOTE4OTkyMDZmODFlZjcwMWQifQ==</vt:lpwstr>
  </property>
</Properties>
</file>