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37C7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kern w:val="0"/>
          <w:sz w:val="44"/>
          <w:szCs w:val="44"/>
          <w:highlight w:val="none"/>
          <w:lang w:val="en-US" w:eastAsia="zh-CN"/>
        </w:rPr>
      </w:pPr>
      <w:r>
        <w:rPr>
          <w:rFonts w:hint="eastAsia" w:ascii="方正小标宋简体" w:hAnsi="方正小标宋简体" w:eastAsia="方正小标宋简体" w:cs="方正小标宋简体"/>
          <w:b w:val="0"/>
          <w:kern w:val="0"/>
          <w:sz w:val="44"/>
          <w:szCs w:val="44"/>
          <w:highlight w:val="none"/>
          <w:lang w:val="en-US" w:eastAsia="zh-CN"/>
        </w:rPr>
        <w:t>龙岗区城投集团投资项目后评价服务（二次）公开招标（自主）采购公告</w:t>
      </w:r>
    </w:p>
    <w:p w14:paraId="2AE51D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38941BDA">
      <w:pPr>
        <w:spacing w:line="560" w:lineRule="exact"/>
        <w:ind w:firstLine="640" w:firstLineChars="200"/>
        <w:rPr>
          <w:rFonts w:hint="eastAsia" w:ascii="黑体" w:hAnsi="黑体" w:eastAsia="黑体" w:cs="黑体"/>
          <w:b w:val="0"/>
          <w:bCs w:val="0"/>
          <w:color w:val="000000"/>
          <w:sz w:val="32"/>
          <w:szCs w:val="32"/>
          <w:highlight w:val="none"/>
          <w:lang w:val="en-US" w:eastAsia="zh-CN"/>
        </w:rPr>
      </w:pPr>
      <w:r>
        <w:rPr>
          <w:rFonts w:hint="eastAsia" w:ascii="黑体" w:hAnsi="黑体" w:eastAsia="黑体" w:cs="黑体"/>
          <w:b w:val="0"/>
          <w:bCs w:val="0"/>
          <w:color w:val="000000"/>
          <w:sz w:val="32"/>
          <w:szCs w:val="32"/>
          <w:highlight w:val="none"/>
          <w:lang w:val="en-US" w:eastAsia="zh-CN"/>
        </w:rPr>
        <w:t>一、项目概况</w:t>
      </w:r>
    </w:p>
    <w:p w14:paraId="22B132A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Cs/>
          <w:color w:val="auto"/>
          <w:sz w:val="32"/>
          <w:szCs w:val="32"/>
        </w:rPr>
        <w:t>（一）项目名称：</w:t>
      </w:r>
      <w:r>
        <w:rPr>
          <w:rFonts w:hint="eastAsia" w:ascii="仿宋_GB2312" w:hAnsi="仿宋_GB2312" w:eastAsia="仿宋_GB2312" w:cs="仿宋_GB2312"/>
          <w:color w:val="auto"/>
          <w:sz w:val="32"/>
          <w:szCs w:val="32"/>
          <w:lang w:val="en-US" w:eastAsia="zh-CN"/>
        </w:rPr>
        <w:t>龙岗区城投集团2026年度集团投资项目后评价服务采购</w:t>
      </w:r>
    </w:p>
    <w:p w14:paraId="613AD48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bCs/>
          <w:color w:val="auto"/>
          <w:sz w:val="32"/>
          <w:szCs w:val="32"/>
        </w:rPr>
        <w:t>（二）采购人：</w:t>
      </w:r>
      <w:r>
        <w:rPr>
          <w:rFonts w:hint="eastAsia" w:ascii="仿宋_GB2312" w:hAnsi="仿宋_GB2312" w:eastAsia="仿宋_GB2312" w:cs="仿宋_GB2312"/>
          <w:color w:val="auto"/>
          <w:sz w:val="32"/>
          <w:szCs w:val="32"/>
        </w:rPr>
        <w:t>深圳市龙岗区城市建设投资集团有限公司</w:t>
      </w:r>
    </w:p>
    <w:p w14:paraId="572B0644">
      <w:pPr>
        <w:spacing w:line="560" w:lineRule="exact"/>
        <w:ind w:firstLine="640" w:firstLineChars="200"/>
        <w:rPr>
          <w:rFonts w:hint="eastAsia" w:ascii="黑体" w:hAnsi="黑体" w:eastAsia="黑体" w:cs="黑体"/>
          <w:b w:val="0"/>
          <w:bCs w:val="0"/>
          <w:color w:val="000000"/>
          <w:sz w:val="32"/>
          <w:szCs w:val="32"/>
          <w:highlight w:val="none"/>
          <w:lang w:val="en-US" w:eastAsia="zh-CN"/>
        </w:rPr>
      </w:pPr>
      <w:r>
        <w:rPr>
          <w:rFonts w:hint="eastAsia" w:ascii="黑体" w:hAnsi="黑体" w:eastAsia="黑体" w:cs="黑体"/>
          <w:b w:val="0"/>
          <w:bCs w:val="0"/>
          <w:color w:val="000000"/>
          <w:sz w:val="32"/>
          <w:szCs w:val="32"/>
          <w:highlight w:val="none"/>
          <w:lang w:val="en-US" w:eastAsia="zh-CN"/>
        </w:rPr>
        <w:t>二、服务内容</w:t>
      </w:r>
    </w:p>
    <w:p w14:paraId="748A7EC5">
      <w:pPr>
        <w:spacing w:line="560" w:lineRule="exact"/>
        <w:ind w:firstLine="640" w:firstLineChars="200"/>
        <w:rPr>
          <w:rFonts w:hint="eastAsia" w:ascii="楷体" w:hAnsi="楷体" w:eastAsia="楷体" w:cs="仿宋_GB2312"/>
          <w:bCs/>
          <w:sz w:val="32"/>
          <w:szCs w:val="32"/>
        </w:rPr>
      </w:pPr>
      <w:r>
        <w:rPr>
          <w:rFonts w:hint="eastAsia" w:ascii="楷体" w:hAnsi="楷体" w:eastAsia="楷体" w:cs="仿宋_GB2312"/>
          <w:bCs/>
          <w:sz w:val="32"/>
          <w:szCs w:val="32"/>
        </w:rPr>
        <w:t>（一）后评价对象</w:t>
      </w:r>
    </w:p>
    <w:p w14:paraId="5AD623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olor w:val="000000"/>
          <w:kern w:val="0"/>
          <w:sz w:val="32"/>
          <w:szCs w:val="32"/>
          <w:highlight w:val="none"/>
          <w:u w:val="none"/>
          <w:lang w:val="en-US" w:eastAsia="zh-CN" w:bidi="ar"/>
        </w:rPr>
      </w:pPr>
      <w:r>
        <w:rPr>
          <w:rFonts w:hint="eastAsia" w:ascii="仿宋_GB2312" w:hAnsi="仿宋_GB2312" w:eastAsia="仿宋_GB2312" w:cs="仿宋_GB2312"/>
          <w:i w:val="0"/>
          <w:iCs w:val="0"/>
          <w:color w:val="000000"/>
          <w:kern w:val="0"/>
          <w:sz w:val="32"/>
          <w:szCs w:val="32"/>
          <w:highlight w:val="none"/>
          <w:u w:val="none"/>
          <w:lang w:val="en-US" w:eastAsia="zh-CN" w:bidi="ar"/>
        </w:rPr>
        <w:t>固定资产投资项目1个：龙岗16处保障性租赁住房项目，共6436套房，总面积311155.12平方米。</w:t>
      </w:r>
    </w:p>
    <w:p w14:paraId="24C7496F">
      <w:pPr>
        <w:spacing w:line="560" w:lineRule="exact"/>
        <w:ind w:firstLine="640" w:firstLineChars="200"/>
        <w:rPr>
          <w:rFonts w:hint="eastAsia" w:ascii="楷体" w:hAnsi="楷体" w:eastAsia="楷体" w:cs="仿宋_GB2312"/>
          <w:bCs/>
          <w:sz w:val="32"/>
          <w:szCs w:val="32"/>
        </w:rPr>
      </w:pPr>
      <w:r>
        <w:rPr>
          <w:rFonts w:hint="eastAsia" w:ascii="楷体" w:hAnsi="楷体" w:eastAsia="楷体" w:cs="仿宋_GB2312"/>
          <w:bCs/>
          <w:sz w:val="32"/>
          <w:szCs w:val="32"/>
        </w:rPr>
        <w:t>（二）后评价内容</w:t>
      </w:r>
    </w:p>
    <w:p w14:paraId="6542C6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sz w:val="32"/>
          <w:szCs w:val="32"/>
        </w:rPr>
        <w:t>《深圳市龙岗区城市建设投资集团有限公司投资项目后评价工作指引》</w:t>
      </w:r>
      <w:r>
        <w:rPr>
          <w:rFonts w:hint="eastAsia" w:ascii="仿宋_GB2312" w:hAnsi="仿宋_GB2312" w:eastAsia="仿宋_GB2312" w:cs="仿宋_GB2312"/>
          <w:sz w:val="32"/>
          <w:szCs w:val="32"/>
          <w:lang w:eastAsia="zh-CN"/>
        </w:rPr>
        <w:t>相关要求，</w:t>
      </w:r>
      <w:r>
        <w:rPr>
          <w:rFonts w:hint="eastAsia" w:ascii="仿宋_GB2312" w:hAnsi="仿宋_GB2312" w:eastAsia="仿宋_GB2312" w:cs="仿宋_GB2312"/>
          <w:sz w:val="32"/>
          <w:szCs w:val="32"/>
        </w:rPr>
        <w:t>主要从投资实施过程、投资实施效果和投资总结三方面进行评价,总结经验教训,提出改进措施，以改善企业投资管理，优化企业发展战略</w:t>
      </w:r>
      <w:r>
        <w:rPr>
          <w:rFonts w:hint="eastAsia" w:ascii="仿宋_GB2312" w:hAnsi="仿宋_GB2312" w:eastAsia="仿宋_GB2312" w:cs="仿宋_GB2312"/>
          <w:sz w:val="32"/>
          <w:szCs w:val="32"/>
          <w:lang w:eastAsia="zh-CN"/>
        </w:rPr>
        <w:t>。</w:t>
      </w:r>
    </w:p>
    <w:p w14:paraId="6CBD3BF0">
      <w:pPr>
        <w:spacing w:line="560" w:lineRule="exact"/>
        <w:ind w:firstLine="640" w:firstLineChars="200"/>
        <w:rPr>
          <w:rFonts w:hint="eastAsia"/>
          <w:color w:val="auto"/>
          <w:lang w:val="en-US" w:eastAsia="zh-CN"/>
        </w:rPr>
      </w:pPr>
      <w:r>
        <w:rPr>
          <w:rFonts w:hint="eastAsia" w:ascii="仿宋_GB2312" w:hAnsi="仿宋_GB2312" w:eastAsia="仿宋_GB2312" w:cs="仿宋_GB2312"/>
          <w:color w:val="auto"/>
          <w:kern w:val="2"/>
          <w:sz w:val="32"/>
          <w:szCs w:val="32"/>
          <w:lang w:val="en-US" w:eastAsia="zh-CN" w:bidi="ar"/>
        </w:rPr>
        <w:t>应提供的项目成果包括但不限于：纳入本次招标范围的1个项目的综合后评价分析报告（电子及纸质文档资料）。</w:t>
      </w:r>
    </w:p>
    <w:p w14:paraId="3C3F9217">
      <w:pPr>
        <w:spacing w:line="560" w:lineRule="exact"/>
        <w:ind w:firstLine="640" w:firstLineChars="200"/>
        <w:rPr>
          <w:rFonts w:hint="eastAsia" w:ascii="楷体" w:hAnsi="楷体" w:eastAsia="楷体" w:cs="仿宋_GB2312"/>
          <w:bCs/>
          <w:sz w:val="32"/>
          <w:szCs w:val="32"/>
        </w:rPr>
      </w:pPr>
      <w:r>
        <w:rPr>
          <w:rFonts w:hint="eastAsia" w:ascii="楷体" w:hAnsi="楷体" w:eastAsia="楷体" w:cs="仿宋_GB2312"/>
          <w:bCs/>
          <w:sz w:val="32"/>
          <w:szCs w:val="32"/>
        </w:rPr>
        <w:t>（三）后评价服务标准</w:t>
      </w:r>
    </w:p>
    <w:p w14:paraId="28B10F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在现场调查、资料收集和相关部门访谈等的基础上，综合运用定性定量研究、对比分析法、可持续性评价法等多种方式，形成固定资产投资项目《综合后评价报告》(参考格式详见附件</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p>
    <w:p w14:paraId="4C66798E">
      <w:pPr>
        <w:spacing w:line="560" w:lineRule="exact"/>
        <w:ind w:firstLine="640" w:firstLineChars="200"/>
        <w:rPr>
          <w:rFonts w:hint="eastAsia" w:ascii="黑体" w:hAnsi="黑体" w:eastAsia="黑体" w:cs="黑体"/>
          <w:b w:val="0"/>
          <w:bCs w:val="0"/>
          <w:color w:val="000000"/>
          <w:sz w:val="32"/>
          <w:szCs w:val="32"/>
          <w:highlight w:val="none"/>
          <w:lang w:val="en-US" w:eastAsia="zh-CN"/>
        </w:rPr>
      </w:pPr>
      <w:r>
        <w:rPr>
          <w:rFonts w:hint="eastAsia" w:ascii="黑体" w:hAnsi="黑体" w:eastAsia="黑体" w:cs="黑体"/>
          <w:b w:val="0"/>
          <w:bCs w:val="0"/>
          <w:color w:val="000000"/>
          <w:sz w:val="32"/>
          <w:szCs w:val="32"/>
          <w:highlight w:val="none"/>
          <w:lang w:val="en-US" w:eastAsia="zh-CN"/>
        </w:rPr>
        <w:t>三、服务期限</w:t>
      </w:r>
    </w:p>
    <w:p w14:paraId="113017C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_GB2312" w:hAnsi="仿宋_GB2312" w:eastAsia="仿宋_GB2312" w:cs="仿宋_GB2312"/>
          <w:b w:val="0"/>
          <w:kern w:val="0"/>
          <w:sz w:val="32"/>
          <w:szCs w:val="32"/>
          <w:highlight w:val="none"/>
          <w:lang w:val="en-US" w:eastAsia="zh-CN"/>
        </w:rPr>
      </w:pPr>
      <w:r>
        <w:rPr>
          <w:rFonts w:hint="eastAsia" w:ascii="仿宋_GB2312" w:hAnsi="仿宋_GB2312" w:eastAsia="仿宋_GB2312" w:cs="仿宋_GB2312"/>
          <w:b w:val="0"/>
          <w:kern w:val="0"/>
          <w:sz w:val="32"/>
          <w:szCs w:val="32"/>
          <w:highlight w:val="none"/>
          <w:lang w:val="en-US" w:eastAsia="zh-CN"/>
        </w:rPr>
        <w:t>自合同签订之日起60个日历天内出具后评价报告初稿、90个日历天内完成合同约定全部工作。</w:t>
      </w:r>
    </w:p>
    <w:p w14:paraId="714D3998">
      <w:pPr>
        <w:spacing w:line="560" w:lineRule="exact"/>
        <w:ind w:firstLine="640" w:firstLineChars="200"/>
        <w:rPr>
          <w:rFonts w:hint="eastAsia" w:ascii="黑体" w:hAnsi="黑体" w:eastAsia="黑体" w:cs="黑体"/>
          <w:b w:val="0"/>
          <w:bCs w:val="0"/>
          <w:color w:val="000000"/>
          <w:sz w:val="32"/>
          <w:szCs w:val="32"/>
          <w:highlight w:val="none"/>
          <w:lang w:val="en-US" w:eastAsia="zh-CN"/>
        </w:rPr>
      </w:pPr>
      <w:r>
        <w:rPr>
          <w:rFonts w:hint="eastAsia" w:ascii="黑体" w:hAnsi="黑体" w:eastAsia="黑体" w:cs="黑体"/>
          <w:b w:val="0"/>
          <w:bCs w:val="0"/>
          <w:color w:val="000000"/>
          <w:sz w:val="32"/>
          <w:szCs w:val="32"/>
          <w:highlight w:val="none"/>
          <w:lang w:val="en-US" w:eastAsia="zh-CN"/>
        </w:rPr>
        <w:t>四、遴选上限价</w:t>
      </w:r>
    </w:p>
    <w:p w14:paraId="09F399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eastAsia="zh-CN"/>
        </w:rPr>
        <w:t>含税</w:t>
      </w:r>
      <w:r>
        <w:rPr>
          <w:rFonts w:hint="eastAsia" w:ascii="仿宋_GB2312" w:hAnsi="仿宋_GB2312" w:eastAsia="仿宋_GB2312" w:cs="仿宋_GB2312"/>
          <w:b w:val="0"/>
          <w:bCs w:val="0"/>
          <w:sz w:val="32"/>
          <w:szCs w:val="32"/>
          <w:highlight w:val="none"/>
          <w:lang w:eastAsia="zh-CN"/>
        </w:rPr>
        <w:t>价</w:t>
      </w:r>
      <w:r>
        <w:rPr>
          <w:rFonts w:hint="eastAsia" w:ascii="仿宋_GB2312" w:hAnsi="仿宋_GB2312" w:eastAsia="仿宋_GB2312" w:cs="仿宋_GB2312"/>
          <w:b w:val="0"/>
          <w:bCs w:val="0"/>
          <w:sz w:val="32"/>
          <w:szCs w:val="32"/>
          <w:highlight w:val="none"/>
          <w:lang w:val="en-US" w:eastAsia="zh-CN"/>
        </w:rPr>
        <w:t>12.43</w:t>
      </w:r>
      <w:r>
        <w:rPr>
          <w:rFonts w:hint="eastAsia" w:ascii="仿宋_GB2312" w:hAnsi="仿宋_GB2312" w:eastAsia="仿宋_GB2312" w:cs="仿宋_GB2312"/>
          <w:sz w:val="32"/>
          <w:szCs w:val="32"/>
          <w:highlight w:val="none"/>
        </w:rPr>
        <w:t>万元（</w:t>
      </w:r>
      <w:r>
        <w:rPr>
          <w:rFonts w:hint="eastAsia" w:ascii="仿宋_GB2312" w:hAnsi="仿宋_GB2312" w:eastAsia="仿宋_GB2312" w:cs="仿宋_GB2312"/>
          <w:sz w:val="32"/>
          <w:szCs w:val="32"/>
        </w:rPr>
        <w:t>最高限价）</w:t>
      </w:r>
      <w:r>
        <w:rPr>
          <w:rFonts w:hint="eastAsia" w:ascii="仿宋_GB2312" w:hAnsi="仿宋_GB2312" w:eastAsia="仿宋_GB2312" w:cs="仿宋_GB2312"/>
          <w:sz w:val="32"/>
          <w:szCs w:val="32"/>
          <w:lang w:eastAsia="zh-CN"/>
        </w:rPr>
        <w:t>。</w:t>
      </w:r>
    </w:p>
    <w:p w14:paraId="422F23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响应单位在此限额下自行报价；</w:t>
      </w:r>
      <w:r>
        <w:rPr>
          <w:rFonts w:hint="eastAsia" w:ascii="仿宋_GB2312" w:hAnsi="仿宋_GB2312" w:eastAsia="仿宋_GB2312" w:cs="仿宋_GB2312"/>
          <w:b w:val="0"/>
          <w:bCs w:val="0"/>
          <w:sz w:val="32"/>
          <w:szCs w:val="32"/>
          <w:lang w:val="en-US" w:eastAsia="zh-CN"/>
        </w:rPr>
        <w:t>合同采用含税总价包干，成交供应商的响应报价即为最终合同价。</w:t>
      </w:r>
    </w:p>
    <w:p w14:paraId="15ACE1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color w:val="000000"/>
          <w:sz w:val="32"/>
          <w:szCs w:val="32"/>
          <w:highlight w:val="none"/>
          <w:lang w:eastAsia="zh-CN"/>
        </w:rPr>
        <w:t>五、</w:t>
      </w:r>
      <w:r>
        <w:rPr>
          <w:rFonts w:hint="eastAsia" w:ascii="黑体" w:hAnsi="黑体" w:eastAsia="黑体" w:cs="黑体"/>
          <w:b w:val="0"/>
          <w:bCs w:val="0"/>
          <w:sz w:val="32"/>
          <w:szCs w:val="32"/>
          <w:lang w:val="en-US" w:eastAsia="zh-CN"/>
        </w:rPr>
        <w:t>响应单位资格要求</w:t>
      </w:r>
    </w:p>
    <w:p w14:paraId="68435E8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（一）在中华人民共和国境内注册，具有独立法人资格；</w:t>
      </w:r>
    </w:p>
    <w:p w14:paraId="2F433DD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（二）具备壹级房地产估价机构资质等级且资产评估机构备案；</w:t>
      </w:r>
    </w:p>
    <w:p w14:paraId="36B9E2F7">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（三）具有丰富的投资后评价服务经验（提供近三年合同证明至少2个</w:t>
      </w:r>
      <w:r>
        <w:rPr>
          <w:rFonts w:hint="eastAsia" w:ascii="仿宋_GB2312" w:hAnsi="仿宋_GB2312" w:eastAsia="仿宋_GB2312" w:cs="仿宋_GB2312"/>
          <w:sz w:val="32"/>
          <w:szCs w:val="32"/>
          <w:highlight w:val="none"/>
          <w:lang w:eastAsia="zh-CN"/>
        </w:rPr>
        <w:t>房地产</w:t>
      </w:r>
      <w:r>
        <w:rPr>
          <w:rFonts w:hint="eastAsia" w:ascii="仿宋_GB2312" w:hAnsi="仿宋_GB2312" w:eastAsia="仿宋_GB2312" w:cs="仿宋_GB2312"/>
          <w:sz w:val="32"/>
          <w:szCs w:val="32"/>
          <w:highlight w:val="none"/>
        </w:rPr>
        <w:t>投资</w:t>
      </w:r>
      <w:r>
        <w:rPr>
          <w:rFonts w:hint="eastAsia" w:ascii="仿宋_GB2312" w:hAnsi="仿宋_GB2312" w:eastAsia="仿宋_GB2312" w:cs="仿宋_GB2312"/>
          <w:sz w:val="32"/>
          <w:szCs w:val="32"/>
        </w:rPr>
        <w:t>后评价项目</w:t>
      </w:r>
      <w:r>
        <w:rPr>
          <w:rFonts w:hint="eastAsia" w:ascii="仿宋_GB2312" w:hAnsi="仿宋_GB2312" w:eastAsia="仿宋_GB2312" w:cs="仿宋_GB2312"/>
          <w:sz w:val="32"/>
          <w:szCs w:val="32"/>
          <w:lang w:eastAsia="zh-CN"/>
        </w:rPr>
        <w:t>；</w:t>
      </w:r>
    </w:p>
    <w:p w14:paraId="173F590F">
      <w:pPr>
        <w:pStyle w:val="2"/>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（四）承担该项目可行性研究报告编制、评估、规划设计、监理、项目管理等相关工作的中介机构不得作为该项目后评价工作的中介机构；</w:t>
      </w:r>
    </w:p>
    <w:p w14:paraId="49B6854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）投标人不得以联合体形式参与本项目投标，且同一</w:t>
      </w:r>
      <w:r>
        <w:rPr>
          <w:rFonts w:hint="eastAsia" w:ascii="仿宋_GB2312" w:hAnsi="仿宋_GB2312" w:eastAsia="仿宋_GB2312" w:cs="仿宋_GB2312"/>
          <w:sz w:val="32"/>
          <w:szCs w:val="32"/>
          <w:lang w:eastAsia="zh-CN"/>
        </w:rPr>
        <w:t>集团</w:t>
      </w:r>
      <w:r>
        <w:rPr>
          <w:rFonts w:hint="eastAsia" w:ascii="仿宋_GB2312" w:hAnsi="仿宋_GB2312" w:eastAsia="仿宋_GB2312" w:cs="仿宋_GB2312"/>
          <w:sz w:val="32"/>
          <w:szCs w:val="32"/>
        </w:rPr>
        <w:t>公司下只允许有一家机构投标。</w:t>
      </w:r>
    </w:p>
    <w:p w14:paraId="46E3B5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六、评审方法</w:t>
      </w:r>
    </w:p>
    <w:p w14:paraId="1A496C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综合评分法（评分表见附件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322C5F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七、合同主要条款</w:t>
      </w:r>
    </w:p>
    <w:p w14:paraId="7579801E">
      <w:pPr>
        <w:widowControl w:val="0"/>
        <w:spacing w:after="0" w:line="560" w:lineRule="exact"/>
        <w:ind w:firstLine="640" w:firstLineChars="200"/>
        <w:jc w:val="both"/>
        <w:rPr>
          <w:rFonts w:hint="eastAsia" w:ascii="Times New Roman" w:hAnsi="Times New Roman" w:eastAsia="仿宋_GB2312" w:cs="仿宋_GB2312"/>
          <w:color w:val="auto"/>
          <w:kern w:val="2"/>
          <w:sz w:val="32"/>
          <w:szCs w:val="32"/>
          <w:lang w:val="en-US" w:eastAsia="zh-CN"/>
        </w:rPr>
      </w:pPr>
      <w:r>
        <w:rPr>
          <w:rFonts w:hint="eastAsia" w:ascii="Times New Roman" w:hAnsi="Times New Roman" w:eastAsia="仿宋_GB2312" w:cs="仿宋_GB2312"/>
          <w:color w:val="auto"/>
          <w:kern w:val="2"/>
          <w:sz w:val="32"/>
          <w:szCs w:val="32"/>
          <w:lang w:val="en-US" w:eastAsia="zh-CN"/>
        </w:rPr>
        <w:t>合同签订后，支付服务费的10%；出具后评价报告初稿后，支付服务费的40%；后评价报告经城投集团审核通过后形成终稿，支付服务费的40%；服务费的10%作为履约考核评价费，经采购人履约评价考核后根据结果支付。履约评价考核结果为优秀的【90分及以上的】，支付全部履约评价考核费用（即合同相应金额的10%）；结果为合格【60分以上（含）至90分以下】的，支付50%的履约评价考核费用（即合同相应金额的5%）；结果为不合格【60分以下（不含）】的，剩余10%的履约评价考核费用（即合同相应金额的10%）全部不予支付。供应商参与遴选、签订合同视为接受甲方的单方履约评价结果，同意由甲方根据单方履约评价结果支付履约评价费。</w:t>
      </w:r>
    </w:p>
    <w:p w14:paraId="14B50087">
      <w:pPr>
        <w:widowControl w:val="0"/>
        <w:spacing w:after="0" w:line="560" w:lineRule="exact"/>
        <w:ind w:firstLine="640" w:firstLineChars="200"/>
        <w:jc w:val="both"/>
        <w:rPr>
          <w:rFonts w:hint="eastAsia"/>
        </w:rPr>
      </w:pPr>
      <w:r>
        <w:rPr>
          <w:rFonts w:hint="eastAsia" w:ascii="Times New Roman" w:hAnsi="Times New Roman" w:eastAsia="仿宋_GB2312" w:cs="仿宋_GB2312"/>
          <w:color w:val="auto"/>
          <w:kern w:val="2"/>
          <w:sz w:val="32"/>
          <w:szCs w:val="32"/>
          <w:lang w:val="en-US" w:eastAsia="zh-CN"/>
        </w:rPr>
        <w:t>如因决策等原因导致项目投资终止的，甲方有权单方解除合同，根据上述付款节点结算款项，剩余付款节点对应的款项及履约评价考核费用不予支付，甲方不承担其他违约责任。</w:t>
      </w:r>
    </w:p>
    <w:p w14:paraId="771585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八、响应文件要求</w:t>
      </w:r>
    </w:p>
    <w:p w14:paraId="11048E5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本次</w:t>
      </w:r>
      <w:r>
        <w:rPr>
          <w:rFonts w:hint="eastAsia" w:ascii="仿宋_GB2312" w:hAnsi="仿宋_GB2312" w:eastAsia="仿宋_GB2312" w:cs="仿宋_GB2312"/>
          <w:sz w:val="32"/>
          <w:szCs w:val="32"/>
          <w:highlight w:val="none"/>
          <w:lang w:eastAsia="zh-CN"/>
        </w:rPr>
        <w:t>二次</w:t>
      </w:r>
      <w:r>
        <w:rPr>
          <w:rFonts w:hint="eastAsia" w:ascii="仿宋_GB2312" w:hAnsi="仿宋_GB2312" w:eastAsia="仿宋_GB2312" w:cs="仿宋_GB2312"/>
          <w:sz w:val="32"/>
          <w:szCs w:val="32"/>
          <w:highlight w:val="none"/>
        </w:rPr>
        <w:t>公告时间从</w:t>
      </w:r>
      <w:r>
        <w:rPr>
          <w:rFonts w:hint="eastAsia" w:ascii="仿宋_GB2312" w:hAnsi="仿宋_GB2312" w:eastAsia="仿宋_GB2312" w:cs="仿宋_GB2312"/>
          <w:sz w:val="32"/>
          <w:szCs w:val="32"/>
          <w:highlight w:val="none"/>
          <w:lang w:val="en-US" w:eastAsia="zh-CN"/>
        </w:rPr>
        <w:t>2026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2026年11</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日止</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3个工作日</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，响应供应商应于</w:t>
      </w:r>
      <w:r>
        <w:rPr>
          <w:rFonts w:hint="eastAsia" w:ascii="仿宋_GB2312" w:hAnsi="仿宋_GB2312" w:eastAsia="仿宋_GB2312" w:cs="仿宋_GB2312"/>
          <w:sz w:val="32"/>
          <w:szCs w:val="32"/>
          <w:highlight w:val="none"/>
          <w:lang w:val="en-US" w:eastAsia="zh-CN"/>
        </w:rPr>
        <w:t>2026年11</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日1</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:00前将响应文件1正4副密封（统一密封，密封处加盖公章）送交到龙岗区中心城腾飞路创投大厦</w:t>
      </w:r>
      <w:r>
        <w:rPr>
          <w:rFonts w:hint="eastAsia" w:ascii="仿宋_GB2312" w:hAnsi="仿宋_GB2312" w:eastAsia="仿宋_GB2312" w:cs="仿宋_GB2312"/>
          <w:sz w:val="32"/>
          <w:szCs w:val="32"/>
          <w:highlight w:val="none"/>
          <w:lang w:val="en-US" w:eastAsia="zh-CN"/>
        </w:rPr>
        <w:t>2317</w:t>
      </w:r>
      <w:r>
        <w:rPr>
          <w:rFonts w:hint="eastAsia" w:ascii="仿宋_GB2312" w:hAnsi="仿宋_GB2312" w:eastAsia="仿宋_GB2312" w:cs="仿宋_GB2312"/>
          <w:sz w:val="32"/>
          <w:szCs w:val="32"/>
          <w:highlight w:val="none"/>
        </w:rPr>
        <w:t>室（深圳市龙岗</w:t>
      </w:r>
      <w:bookmarkStart w:id="1" w:name="_GoBack"/>
      <w:bookmarkEnd w:id="1"/>
      <w:r>
        <w:rPr>
          <w:rFonts w:hint="eastAsia" w:ascii="仿宋_GB2312" w:hAnsi="仿宋_GB2312" w:eastAsia="仿宋_GB2312" w:cs="仿宋_GB2312"/>
          <w:sz w:val="32"/>
          <w:szCs w:val="32"/>
          <w:highlight w:val="none"/>
        </w:rPr>
        <w:t>区城市建设投资集团有限公司</w:t>
      </w:r>
      <w:r>
        <w:rPr>
          <w:rFonts w:hint="eastAsia" w:ascii="仿宋_GB2312" w:hAnsi="仿宋_GB2312" w:eastAsia="仿宋_GB2312" w:cs="仿宋_GB2312"/>
          <w:sz w:val="32"/>
          <w:szCs w:val="32"/>
          <w:highlight w:val="none"/>
          <w:lang w:eastAsia="zh-CN"/>
        </w:rPr>
        <w:t>企业管理</w:t>
      </w:r>
      <w:r>
        <w:rPr>
          <w:rFonts w:hint="eastAsia" w:ascii="仿宋_GB2312" w:hAnsi="仿宋_GB2312" w:eastAsia="仿宋_GB2312" w:cs="仿宋_GB2312"/>
          <w:sz w:val="32"/>
          <w:szCs w:val="32"/>
          <w:highlight w:val="none"/>
        </w:rPr>
        <w:t>部，联系人：</w:t>
      </w:r>
      <w:r>
        <w:rPr>
          <w:rFonts w:hint="eastAsia" w:ascii="仿宋_GB2312" w:hAnsi="仿宋_GB2312" w:eastAsia="仿宋_GB2312" w:cs="仿宋_GB2312"/>
          <w:sz w:val="32"/>
          <w:szCs w:val="32"/>
          <w:highlight w:val="none"/>
          <w:lang w:val="en-US" w:eastAsia="zh-CN"/>
        </w:rPr>
        <w:t>谢</w:t>
      </w:r>
      <w:r>
        <w:rPr>
          <w:rFonts w:hint="eastAsia" w:ascii="仿宋_GB2312" w:hAnsi="仿宋_GB2312" w:eastAsia="仿宋_GB2312" w:cs="仿宋_GB2312"/>
          <w:sz w:val="32"/>
          <w:szCs w:val="32"/>
          <w:highlight w:val="none"/>
          <w:lang w:eastAsia="zh-CN"/>
        </w:rPr>
        <w:t>小姐</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color w:val="000000"/>
          <w:sz w:val="32"/>
          <w:szCs w:val="32"/>
          <w:highlight w:val="none"/>
        </w:rPr>
        <w:t>0755-28</w:t>
      </w:r>
      <w:r>
        <w:rPr>
          <w:rFonts w:hint="eastAsia" w:ascii="仿宋_GB2312" w:hAnsi="仿宋_GB2312" w:eastAsia="仿宋_GB2312" w:cs="仿宋_GB2312"/>
          <w:color w:val="000000"/>
          <w:sz w:val="32"/>
          <w:szCs w:val="32"/>
          <w:highlight w:val="none"/>
          <w:lang w:val="en-US" w:eastAsia="zh-CN"/>
        </w:rPr>
        <w:t>998608</w:t>
      </w:r>
      <w:r>
        <w:rPr>
          <w:rFonts w:hint="eastAsia" w:ascii="仿宋_GB2312" w:hAnsi="仿宋_GB2312" w:eastAsia="仿宋_GB2312" w:cs="仿宋_GB2312"/>
          <w:sz w:val="32"/>
          <w:szCs w:val="32"/>
          <w:highlight w:val="none"/>
        </w:rPr>
        <w:t>），逾期送达或未按要求密封将予以拒收或原封退回。</w:t>
      </w:r>
    </w:p>
    <w:p w14:paraId="18D9F41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响应文件包含承诺函、采购人要求提供的资料等，详见附件。</w:t>
      </w:r>
    </w:p>
    <w:p w14:paraId="0BD7AFA2">
      <w:pPr>
        <w:pStyle w:val="2"/>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供应商如在第一次公告期间已经提交投标文件的,二次公告期间无需重新提交投标文件。</w:t>
      </w:r>
    </w:p>
    <w:p w14:paraId="22133996">
      <w:pPr>
        <w:numPr>
          <w:ilvl w:val="0"/>
          <w:numId w:val="0"/>
        </w:numPr>
        <w:spacing w:line="360" w:lineRule="auto"/>
        <w:ind w:firstLine="640" w:firstLineChars="200"/>
        <w:rPr>
          <w:rFonts w:hint="eastAsia"/>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若二次公告期满后，有效响应单位仅有2家的，则拆封响应文件继续评审，有效响应单位仅有1家的，则直接选定承包单位。</w:t>
      </w:r>
    </w:p>
    <w:p w14:paraId="6E718F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九、遴选结果公示</w:t>
      </w:r>
    </w:p>
    <w:p w14:paraId="03BE3A3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rPr>
      </w:pPr>
      <w:r>
        <w:rPr>
          <w:rFonts w:hint="eastAsia" w:ascii="仿宋_GB2312" w:hAnsi="仿宋_GB2312" w:eastAsia="仿宋_GB2312" w:cs="仿宋_GB2312"/>
          <w:sz w:val="32"/>
          <w:szCs w:val="32"/>
        </w:rPr>
        <w:t>递交响应文件截止后，采购人将自行组织响应文件开启、评审等工作，确定成交服务单位后将在龙岗区城投集团官网进行公示。</w:t>
      </w:r>
    </w:p>
    <w:p w14:paraId="743B45ED">
      <w:pPr>
        <w:keepNext w:val="0"/>
        <w:keepLines w:val="0"/>
        <w:pageBreakBefore w:val="0"/>
        <w:widowControl w:val="0"/>
        <w:kinsoku/>
        <w:wordWrap/>
        <w:overflowPunct/>
        <w:topLinePunct w:val="0"/>
        <w:autoSpaceDE/>
        <w:autoSpaceDN/>
        <w:bidi w:val="0"/>
        <w:adjustRightInd/>
        <w:snapToGrid/>
        <w:spacing w:line="540" w:lineRule="exact"/>
        <w:textAlignment w:val="auto"/>
        <w:outlineLvl w:val="9"/>
        <w:rPr>
          <w:rFonts w:hint="eastAsia" w:ascii="仿宋_GB2312" w:hAnsi="仿宋_GB2312" w:eastAsia="仿宋_GB2312" w:cs="仿宋_GB2312"/>
          <w:sz w:val="32"/>
          <w:szCs w:val="32"/>
        </w:rPr>
      </w:pPr>
    </w:p>
    <w:p w14:paraId="469981C5">
      <w:pPr>
        <w:keepNext w:val="0"/>
        <w:keepLines w:val="0"/>
        <w:pageBreakBefore w:val="0"/>
        <w:widowControl w:val="0"/>
        <w:kinsoku/>
        <w:wordWrap/>
        <w:overflowPunct/>
        <w:topLinePunct w:val="0"/>
        <w:autoSpaceDE/>
        <w:autoSpaceDN/>
        <w:bidi w:val="0"/>
        <w:adjustRightInd/>
        <w:snapToGrid/>
        <w:spacing w:line="540" w:lineRule="exac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特别说明：</w:t>
      </w:r>
    </w:p>
    <w:p w14:paraId="64D99EF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项资格要求均满足，方为资格审查合格。资格不符合要求的供应商不能进入比选程序。</w:t>
      </w:r>
    </w:p>
    <w:p w14:paraId="3177D35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2.所有响应单位视为同意上述公告内容，确定为成交服务单位后按公告约定与采购人签署合同。</w:t>
      </w:r>
    </w:p>
    <w:p w14:paraId="3110F20A">
      <w:pPr>
        <w:spacing w:line="560" w:lineRule="exact"/>
        <w:ind w:firstLine="640" w:firstLineChars="200"/>
        <w:rPr>
          <w:rFonts w:hint="eastAsia" w:ascii="国标黑体" w:hAnsi="国标黑体" w:eastAsia="国标黑体" w:cs="国标黑体"/>
          <w:b w:val="0"/>
          <w:bCs w:val="0"/>
          <w:color w:val="000000"/>
          <w:sz w:val="32"/>
          <w:szCs w:val="32"/>
          <w:highlight w:val="none"/>
        </w:rPr>
      </w:pPr>
    </w:p>
    <w:p w14:paraId="54BEE20F">
      <w:pPr>
        <w:spacing w:line="560" w:lineRule="exact"/>
        <w:ind w:firstLine="640" w:firstLineChars="200"/>
        <w:jc w:val="right"/>
        <w:rPr>
          <w:rFonts w:hint="eastAsia" w:ascii="仿宋_GB2312" w:hAnsi="仿宋_GB2312" w:eastAsia="仿宋_GB2312" w:cs="仿宋_GB2312"/>
          <w:color w:val="000000"/>
          <w:sz w:val="32"/>
          <w:szCs w:val="32"/>
          <w:highlight w:val="none"/>
        </w:rPr>
      </w:pPr>
    </w:p>
    <w:p w14:paraId="4A24660B">
      <w:pPr>
        <w:spacing w:line="560" w:lineRule="exact"/>
        <w:ind w:firstLine="640" w:firstLineChars="200"/>
        <w:jc w:val="right"/>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深圳市龙岗区</w:t>
      </w:r>
      <w:r>
        <w:rPr>
          <w:rFonts w:hint="eastAsia" w:ascii="仿宋_GB2312" w:hAnsi="仿宋_GB2312" w:eastAsia="仿宋_GB2312" w:cs="仿宋_GB2312"/>
          <w:color w:val="000000"/>
          <w:sz w:val="32"/>
          <w:szCs w:val="32"/>
          <w:highlight w:val="none"/>
          <w:lang w:eastAsia="zh-CN"/>
        </w:rPr>
        <w:t>城市建设投资集团</w:t>
      </w:r>
      <w:r>
        <w:rPr>
          <w:rFonts w:hint="eastAsia" w:ascii="仿宋_GB2312" w:hAnsi="仿宋_GB2312" w:eastAsia="仿宋_GB2312" w:cs="仿宋_GB2312"/>
          <w:color w:val="000000"/>
          <w:sz w:val="32"/>
          <w:szCs w:val="32"/>
          <w:highlight w:val="none"/>
        </w:rPr>
        <w:t>有限公司</w:t>
      </w:r>
    </w:p>
    <w:p w14:paraId="3A2F256F">
      <w:pPr>
        <w:spacing w:line="560" w:lineRule="exact"/>
        <w:ind w:firstLine="640" w:firstLineChars="200"/>
        <w:jc w:val="center"/>
        <w:rPr>
          <w:rFonts w:hint="eastAsia" w:ascii="仿宋_GB2312" w:hAnsi="仿宋_GB2312" w:eastAsia="仿宋_GB2312" w:cs="仿宋_GB2312"/>
          <w:b/>
          <w:kern w:val="2"/>
          <w:sz w:val="32"/>
          <w:szCs w:val="32"/>
          <w:highlight w:val="none"/>
          <w:lang w:val="en-US" w:eastAsia="zh-CN"/>
        </w:rPr>
      </w:pPr>
      <w:r>
        <w:rPr>
          <w:rFonts w:hint="eastAsia" w:ascii="仿宋_GB2312" w:hAnsi="仿宋_GB2312" w:eastAsia="仿宋_GB2312" w:cs="仿宋_GB2312"/>
          <w:color w:val="000000"/>
          <w:sz w:val="32"/>
          <w:szCs w:val="32"/>
          <w:highlight w:val="none"/>
        </w:rPr>
        <w:t xml:space="preserve">                       202</w:t>
      </w:r>
      <w:r>
        <w:rPr>
          <w:rFonts w:hint="eastAsia" w:ascii="仿宋_GB2312" w:hAnsi="仿宋_GB2312" w:eastAsia="仿宋_GB2312" w:cs="仿宋_GB2312"/>
          <w:color w:val="000000"/>
          <w:sz w:val="32"/>
          <w:szCs w:val="32"/>
          <w:highlight w:val="none"/>
          <w:lang w:val="en-US" w:eastAsia="zh-CN"/>
        </w:rPr>
        <w:t>6</w:t>
      </w:r>
      <w:r>
        <w:rPr>
          <w:rFonts w:hint="eastAsia" w:ascii="仿宋_GB2312" w:hAnsi="仿宋_GB2312" w:eastAsia="仿宋_GB2312" w:cs="仿宋_GB2312"/>
          <w:color w:val="000000"/>
          <w:sz w:val="32"/>
          <w:szCs w:val="32"/>
          <w:highlight w:val="none"/>
        </w:rPr>
        <w:t>年</w:t>
      </w:r>
      <w:r>
        <w:rPr>
          <w:rFonts w:hint="eastAsia" w:ascii="仿宋_GB2312" w:hAnsi="仿宋_GB2312" w:eastAsia="仿宋_GB2312" w:cs="仿宋_GB2312"/>
          <w:color w:val="000000"/>
          <w:sz w:val="32"/>
          <w:szCs w:val="32"/>
          <w:highlight w:val="none"/>
          <w:lang w:val="en-US" w:eastAsia="zh-CN"/>
        </w:rPr>
        <w:t>10</w:t>
      </w:r>
      <w:r>
        <w:rPr>
          <w:rFonts w:hint="eastAsia" w:ascii="仿宋_GB2312" w:hAnsi="仿宋_GB2312" w:eastAsia="仿宋_GB2312" w:cs="仿宋_GB2312"/>
          <w:color w:val="000000"/>
          <w:sz w:val="32"/>
          <w:szCs w:val="32"/>
          <w:highlight w:val="none"/>
        </w:rPr>
        <w:t>月</w:t>
      </w:r>
      <w:r>
        <w:rPr>
          <w:rFonts w:hint="eastAsia" w:ascii="仿宋_GB2312" w:hAnsi="仿宋_GB2312" w:eastAsia="仿宋_GB2312" w:cs="仿宋_GB2312"/>
          <w:color w:val="000000"/>
          <w:sz w:val="32"/>
          <w:szCs w:val="32"/>
          <w:highlight w:val="none"/>
          <w:lang w:val="en-US" w:eastAsia="zh-CN"/>
        </w:rPr>
        <w:t>29</w:t>
      </w:r>
      <w:r>
        <w:rPr>
          <w:rFonts w:hint="eastAsia" w:ascii="仿宋_GB2312" w:hAnsi="仿宋_GB2312" w:eastAsia="仿宋_GB2312" w:cs="仿宋_GB2312"/>
          <w:color w:val="000000"/>
          <w:sz w:val="32"/>
          <w:szCs w:val="32"/>
          <w:highlight w:val="none"/>
        </w:rPr>
        <w:t>日</w:t>
      </w:r>
    </w:p>
    <w:p w14:paraId="239E14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14:paraId="641458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sectPr>
          <w:footerReference r:id="rId3" w:type="default"/>
          <w:pgSz w:w="11906" w:h="16838"/>
          <w:pgMar w:top="2098" w:right="1474" w:bottom="1984" w:left="1587" w:header="851" w:footer="992" w:gutter="0"/>
          <w:pgNumType w:fmt="decimal"/>
          <w:cols w:space="425" w:num="1"/>
          <w:docGrid w:type="lines" w:linePitch="312" w:charSpace="0"/>
        </w:sectPr>
      </w:pPr>
    </w:p>
    <w:p w14:paraId="618E68B6">
      <w:pPr>
        <w:spacing w:line="500" w:lineRule="exact"/>
        <w:rPr>
          <w:rFonts w:ascii="仿宋" w:hAnsi="仿宋" w:eastAsia="仿宋"/>
          <w:b/>
          <w:color w:val="auto"/>
          <w:sz w:val="30"/>
          <w:szCs w:val="30"/>
        </w:rPr>
      </w:pPr>
      <w:r>
        <w:rPr>
          <w:rFonts w:hint="eastAsia" w:ascii="黑体" w:hAnsi="黑体" w:eastAsia="黑体" w:cs="黑体"/>
          <w:b w:val="0"/>
          <w:bCs w:val="0"/>
          <w:color w:val="auto"/>
          <w:sz w:val="32"/>
          <w:szCs w:val="32"/>
          <w:lang w:eastAsia="zh-CN"/>
        </w:rPr>
        <w:t>附件</w:t>
      </w:r>
      <w:r>
        <w:rPr>
          <w:rFonts w:hint="eastAsia" w:ascii="黑体" w:hAnsi="黑体" w:eastAsia="黑体" w:cs="黑体"/>
          <w:b w:val="0"/>
          <w:bCs w:val="0"/>
          <w:color w:val="auto"/>
          <w:sz w:val="32"/>
          <w:szCs w:val="32"/>
          <w:lang w:val="en-US" w:eastAsia="zh-CN"/>
        </w:rPr>
        <w:t>1</w:t>
      </w:r>
    </w:p>
    <w:p w14:paraId="2B662DD6">
      <w:pPr>
        <w:pStyle w:val="13"/>
        <w:keepNext w:val="0"/>
        <w:keepLines w:val="0"/>
        <w:pageBreakBefore w:val="0"/>
        <w:widowControl/>
        <w:kinsoku/>
        <w:wordWrap/>
        <w:overflowPunct/>
        <w:topLinePunct w:val="0"/>
        <w:autoSpaceDE/>
        <w:autoSpaceDN/>
        <w:bidi w:val="0"/>
        <w:spacing w:line="560" w:lineRule="exact"/>
        <w:jc w:val="center"/>
        <w:textAlignment w:val="auto"/>
        <w:rPr>
          <w:rFonts w:hint="default"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响应</w:t>
      </w:r>
      <w:r>
        <w:rPr>
          <w:rFonts w:hint="default" w:ascii="方正小标宋简体" w:hAnsi="方正小标宋简体" w:eastAsia="方正小标宋简体" w:cs="方正小标宋简体"/>
          <w:b w:val="0"/>
          <w:bCs/>
          <w:sz w:val="44"/>
          <w:szCs w:val="44"/>
          <w:lang w:val="en-US" w:eastAsia="zh-CN"/>
        </w:rPr>
        <w:t>文件要求一览</w:t>
      </w:r>
      <w:r>
        <w:rPr>
          <w:rFonts w:hint="eastAsia" w:ascii="方正小标宋简体" w:hAnsi="方正小标宋简体" w:eastAsia="方正小标宋简体" w:cs="方正小标宋简体"/>
          <w:b w:val="0"/>
          <w:bCs/>
          <w:sz w:val="44"/>
          <w:szCs w:val="44"/>
          <w:lang w:val="en-US" w:eastAsia="zh-CN"/>
        </w:rPr>
        <w:t>表</w:t>
      </w:r>
    </w:p>
    <w:tbl>
      <w:tblPr>
        <w:tblStyle w:val="10"/>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3478"/>
        <w:gridCol w:w="4518"/>
      </w:tblGrid>
      <w:tr w14:paraId="6941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5" w:hRule="atLeast"/>
        </w:trPr>
        <w:tc>
          <w:tcPr>
            <w:tcW w:w="1035" w:type="dxa"/>
            <w:noWrap w:val="0"/>
            <w:vAlign w:val="center"/>
          </w:tcPr>
          <w:p w14:paraId="7A51FA17">
            <w:pPr>
              <w:pStyle w:val="14"/>
              <w:spacing w:line="360" w:lineRule="exact"/>
              <w:ind w:firstLine="0" w:firstLineChars="0"/>
              <w:jc w:val="center"/>
              <w:rPr>
                <w:rFonts w:ascii="宋体" w:hAnsi="宋体"/>
                <w:color w:val="auto"/>
                <w:sz w:val="24"/>
              </w:rPr>
            </w:pPr>
            <w:r>
              <w:rPr>
                <w:rFonts w:hint="eastAsia" w:ascii="宋体" w:hAnsi="宋体"/>
                <w:color w:val="auto"/>
                <w:sz w:val="24"/>
              </w:rPr>
              <w:t>序号</w:t>
            </w:r>
          </w:p>
        </w:tc>
        <w:tc>
          <w:tcPr>
            <w:tcW w:w="3478" w:type="dxa"/>
            <w:noWrap w:val="0"/>
            <w:vAlign w:val="center"/>
          </w:tcPr>
          <w:p w14:paraId="18184956">
            <w:pPr>
              <w:pStyle w:val="14"/>
              <w:spacing w:line="360" w:lineRule="exact"/>
              <w:ind w:firstLine="0" w:firstLineChars="0"/>
              <w:jc w:val="center"/>
              <w:rPr>
                <w:rFonts w:ascii="宋体" w:hAnsi="宋体"/>
                <w:color w:val="auto"/>
                <w:sz w:val="24"/>
              </w:rPr>
            </w:pPr>
            <w:r>
              <w:rPr>
                <w:rFonts w:ascii="宋体" w:hAnsi="宋体"/>
                <w:color w:val="auto"/>
                <w:sz w:val="24"/>
              </w:rPr>
              <w:t>文件名称</w:t>
            </w:r>
          </w:p>
        </w:tc>
        <w:tc>
          <w:tcPr>
            <w:tcW w:w="4518" w:type="dxa"/>
            <w:noWrap w:val="0"/>
            <w:vAlign w:val="center"/>
          </w:tcPr>
          <w:p w14:paraId="04BF2684">
            <w:pPr>
              <w:pStyle w:val="14"/>
              <w:spacing w:line="360" w:lineRule="exact"/>
              <w:ind w:firstLine="0" w:firstLineChars="0"/>
              <w:jc w:val="center"/>
              <w:rPr>
                <w:rFonts w:ascii="宋体" w:hAnsi="宋体"/>
                <w:color w:val="auto"/>
                <w:sz w:val="24"/>
              </w:rPr>
            </w:pPr>
            <w:r>
              <w:rPr>
                <w:rFonts w:ascii="宋体" w:hAnsi="宋体"/>
                <w:color w:val="auto"/>
                <w:sz w:val="24"/>
              </w:rPr>
              <w:t>要求说明</w:t>
            </w:r>
          </w:p>
        </w:tc>
      </w:tr>
      <w:tr w14:paraId="723D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noWrap w:val="0"/>
            <w:vAlign w:val="center"/>
          </w:tcPr>
          <w:p w14:paraId="66B7C7BF">
            <w:pPr>
              <w:pStyle w:val="14"/>
              <w:spacing w:line="360" w:lineRule="exact"/>
              <w:ind w:firstLine="0" w:firstLineChars="0"/>
              <w:jc w:val="center"/>
              <w:rPr>
                <w:rFonts w:ascii="宋体" w:hAnsi="宋体"/>
                <w:color w:val="auto"/>
                <w:szCs w:val="21"/>
              </w:rPr>
            </w:pPr>
            <w:r>
              <w:rPr>
                <w:rFonts w:hint="eastAsia" w:ascii="宋体" w:hAnsi="宋体"/>
                <w:color w:val="auto"/>
                <w:szCs w:val="21"/>
              </w:rPr>
              <w:t>1</w:t>
            </w:r>
          </w:p>
        </w:tc>
        <w:tc>
          <w:tcPr>
            <w:tcW w:w="3478" w:type="dxa"/>
            <w:noWrap w:val="0"/>
            <w:vAlign w:val="center"/>
          </w:tcPr>
          <w:p w14:paraId="7A2C587E">
            <w:pPr>
              <w:adjustRightInd w:val="0"/>
              <w:snapToGrid w:val="0"/>
              <w:spacing w:line="580" w:lineRule="exact"/>
              <w:jc w:val="left"/>
              <w:rPr>
                <w:rFonts w:ascii="宋体" w:hAnsi="宋体"/>
                <w:color w:val="auto"/>
                <w:szCs w:val="21"/>
              </w:rPr>
            </w:pPr>
            <w:r>
              <w:rPr>
                <w:rFonts w:hint="eastAsia" w:ascii="宋体" w:hAnsi="宋体"/>
                <w:color w:val="auto"/>
                <w:szCs w:val="21"/>
              </w:rPr>
              <w:t>基本情况资料</w:t>
            </w:r>
          </w:p>
        </w:tc>
        <w:tc>
          <w:tcPr>
            <w:tcW w:w="4518" w:type="dxa"/>
            <w:noWrap w:val="0"/>
            <w:vAlign w:val="center"/>
          </w:tcPr>
          <w:p w14:paraId="14E5E4C3">
            <w:pPr>
              <w:adjustRightInd w:val="0"/>
              <w:snapToGrid w:val="0"/>
              <w:spacing w:line="520" w:lineRule="exact"/>
              <w:jc w:val="left"/>
              <w:rPr>
                <w:rFonts w:ascii="宋体" w:hAnsi="宋体"/>
                <w:color w:val="auto"/>
                <w:szCs w:val="21"/>
              </w:rPr>
            </w:pPr>
            <w:r>
              <w:rPr>
                <w:rFonts w:hint="eastAsia" w:ascii="宋体" w:hAnsi="宋体"/>
                <w:color w:val="auto"/>
                <w:szCs w:val="21"/>
              </w:rPr>
              <w:t>提供营业执照复印件、</w:t>
            </w:r>
            <w:r>
              <w:rPr>
                <w:rFonts w:hint="eastAsia" w:ascii="宋体" w:hAnsi="宋体" w:eastAsia="宋体" w:cs="Times New Roman"/>
                <w:color w:val="auto"/>
                <w:sz w:val="21"/>
                <w:szCs w:val="21"/>
              </w:rPr>
              <w:t>壹级房地产估价机构资质</w:t>
            </w:r>
            <w:r>
              <w:rPr>
                <w:rFonts w:hint="eastAsia" w:ascii="宋体" w:hAnsi="宋体" w:cs="Times New Roman"/>
                <w:color w:val="auto"/>
                <w:sz w:val="21"/>
                <w:szCs w:val="21"/>
                <w:lang w:val="en-US" w:eastAsia="zh-CN"/>
              </w:rPr>
              <w:t>证书、</w:t>
            </w:r>
            <w:r>
              <w:rPr>
                <w:rFonts w:hint="eastAsia" w:ascii="宋体" w:hAnsi="宋体" w:eastAsia="宋体" w:cs="Times New Roman"/>
                <w:color w:val="auto"/>
                <w:sz w:val="21"/>
                <w:szCs w:val="21"/>
              </w:rPr>
              <w:t>资产评估机构备案</w:t>
            </w:r>
            <w:r>
              <w:rPr>
                <w:rFonts w:hint="eastAsia" w:ascii="宋体" w:hAnsi="宋体" w:cs="Times New Roman"/>
                <w:color w:val="auto"/>
                <w:sz w:val="21"/>
                <w:szCs w:val="21"/>
                <w:lang w:val="en-US" w:eastAsia="zh-CN"/>
              </w:rPr>
              <w:t>证</w:t>
            </w:r>
            <w:r>
              <w:rPr>
                <w:rFonts w:hint="eastAsia" w:ascii="宋体" w:hAnsi="宋体"/>
                <w:color w:val="auto"/>
                <w:szCs w:val="21"/>
              </w:rPr>
              <w:t>、法定代表人证明书及身份证复印件、法定代表人授权委托书及身份证复印件。</w:t>
            </w:r>
          </w:p>
        </w:tc>
      </w:tr>
      <w:tr w14:paraId="15C9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noWrap w:val="0"/>
            <w:vAlign w:val="center"/>
          </w:tcPr>
          <w:p w14:paraId="05013F45">
            <w:pPr>
              <w:pStyle w:val="14"/>
              <w:spacing w:line="360" w:lineRule="exact"/>
              <w:ind w:firstLine="0" w:firstLineChars="0"/>
              <w:jc w:val="center"/>
              <w:rPr>
                <w:rFonts w:hint="eastAsia" w:ascii="宋体" w:hAnsi="宋体" w:eastAsia="宋体"/>
                <w:color w:val="auto"/>
                <w:szCs w:val="21"/>
                <w:lang w:val="en-US" w:eastAsia="zh-CN"/>
              </w:rPr>
            </w:pPr>
            <w:r>
              <w:rPr>
                <w:rFonts w:hint="eastAsia" w:ascii="宋体" w:hAnsi="宋体"/>
                <w:color w:val="auto"/>
                <w:szCs w:val="21"/>
                <w:lang w:val="en-US" w:eastAsia="zh-CN"/>
              </w:rPr>
              <w:t>2</w:t>
            </w:r>
          </w:p>
        </w:tc>
        <w:tc>
          <w:tcPr>
            <w:tcW w:w="3478" w:type="dxa"/>
            <w:noWrap w:val="0"/>
            <w:vAlign w:val="center"/>
          </w:tcPr>
          <w:p w14:paraId="7DB71989">
            <w:pPr>
              <w:adjustRightInd w:val="0"/>
              <w:snapToGrid w:val="0"/>
              <w:spacing w:line="580" w:lineRule="exact"/>
              <w:jc w:val="left"/>
              <w:rPr>
                <w:rFonts w:hint="eastAsia" w:ascii="宋体" w:hAnsi="宋体"/>
                <w:color w:val="auto"/>
                <w:szCs w:val="21"/>
              </w:rPr>
            </w:pPr>
            <w:r>
              <w:rPr>
                <w:rFonts w:hint="eastAsia" w:ascii="宋体" w:hAnsi="宋体"/>
                <w:color w:val="auto"/>
                <w:szCs w:val="21"/>
                <w:lang w:val="en-US" w:eastAsia="zh-CN"/>
              </w:rPr>
              <w:t>业绩证明</w:t>
            </w:r>
          </w:p>
        </w:tc>
        <w:tc>
          <w:tcPr>
            <w:tcW w:w="4518" w:type="dxa"/>
            <w:noWrap w:val="0"/>
            <w:vAlign w:val="center"/>
          </w:tcPr>
          <w:p w14:paraId="5A9A7567">
            <w:pPr>
              <w:adjustRightInd w:val="0"/>
              <w:snapToGrid w:val="0"/>
              <w:spacing w:line="520" w:lineRule="exact"/>
              <w:jc w:val="left"/>
              <w:rPr>
                <w:rFonts w:hint="eastAsia" w:ascii="宋体" w:hAnsi="宋体"/>
                <w:color w:val="auto"/>
                <w:szCs w:val="21"/>
              </w:rPr>
            </w:pPr>
            <w:r>
              <w:rPr>
                <w:rFonts w:hint="eastAsia" w:ascii="宋体" w:hAnsi="宋体"/>
                <w:color w:val="auto"/>
                <w:szCs w:val="21"/>
              </w:rPr>
              <w:t>业绩合同复印件</w:t>
            </w:r>
            <w:r>
              <w:rPr>
                <w:rFonts w:hint="eastAsia" w:ascii="宋体" w:hAnsi="宋体"/>
                <w:color w:val="auto"/>
                <w:szCs w:val="21"/>
                <w:lang w:val="en-US" w:eastAsia="zh-CN"/>
              </w:rPr>
              <w:t>及对应后评价项目报告的首页复印件，同时提供合同复印件及后评价报告显示项目团队人员页面。</w:t>
            </w:r>
          </w:p>
        </w:tc>
      </w:tr>
      <w:tr w14:paraId="277E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noWrap w:val="0"/>
            <w:vAlign w:val="center"/>
          </w:tcPr>
          <w:p w14:paraId="38AD8242">
            <w:pPr>
              <w:pStyle w:val="14"/>
              <w:spacing w:line="360" w:lineRule="exact"/>
              <w:ind w:firstLine="0" w:firstLineChars="0"/>
              <w:jc w:val="center"/>
              <w:rPr>
                <w:rFonts w:hint="eastAsia" w:ascii="宋体" w:hAnsi="宋体" w:eastAsia="宋体"/>
                <w:color w:val="auto"/>
                <w:szCs w:val="21"/>
                <w:lang w:val="en-US" w:eastAsia="zh-CN"/>
              </w:rPr>
            </w:pPr>
            <w:r>
              <w:rPr>
                <w:rFonts w:hint="eastAsia" w:ascii="宋体" w:hAnsi="宋体"/>
                <w:color w:val="auto"/>
                <w:szCs w:val="21"/>
                <w:lang w:val="en-US" w:eastAsia="zh-CN"/>
              </w:rPr>
              <w:t>3</w:t>
            </w:r>
          </w:p>
        </w:tc>
        <w:tc>
          <w:tcPr>
            <w:tcW w:w="3478" w:type="dxa"/>
            <w:noWrap w:val="0"/>
            <w:vAlign w:val="center"/>
          </w:tcPr>
          <w:p w14:paraId="2E8C99F6">
            <w:pPr>
              <w:adjustRightInd w:val="0"/>
              <w:snapToGrid w:val="0"/>
              <w:spacing w:line="580" w:lineRule="exact"/>
              <w:jc w:val="left"/>
              <w:rPr>
                <w:rFonts w:ascii="宋体" w:hAnsi="宋体"/>
                <w:color w:val="auto"/>
                <w:szCs w:val="21"/>
              </w:rPr>
            </w:pPr>
            <w:r>
              <w:rPr>
                <w:rFonts w:hint="eastAsia" w:ascii="宋体" w:hAnsi="宋体"/>
                <w:color w:val="auto"/>
                <w:szCs w:val="21"/>
              </w:rPr>
              <w:t>承诺函</w:t>
            </w:r>
          </w:p>
        </w:tc>
        <w:tc>
          <w:tcPr>
            <w:tcW w:w="4518" w:type="dxa"/>
            <w:noWrap w:val="0"/>
            <w:vAlign w:val="center"/>
          </w:tcPr>
          <w:p w14:paraId="2959F7BA">
            <w:pPr>
              <w:pStyle w:val="14"/>
              <w:spacing w:line="360" w:lineRule="exact"/>
              <w:ind w:firstLine="0" w:firstLineChars="0"/>
              <w:jc w:val="left"/>
              <w:rPr>
                <w:rFonts w:hint="eastAsia" w:ascii="宋体" w:hAnsi="宋体"/>
                <w:color w:val="auto"/>
                <w:szCs w:val="21"/>
              </w:rPr>
            </w:pPr>
            <w:r>
              <w:rPr>
                <w:rFonts w:hint="eastAsia" w:ascii="宋体" w:hAnsi="宋体" w:cs="仿宋"/>
                <w:color w:val="auto"/>
                <w:szCs w:val="21"/>
              </w:rPr>
              <w:t>报价不得超过遴选上限价，保留小数点后</w:t>
            </w:r>
            <w:r>
              <w:rPr>
                <w:rFonts w:hint="eastAsia" w:ascii="宋体" w:hAnsi="宋体" w:cs="仿宋"/>
                <w:color w:val="auto"/>
                <w:szCs w:val="21"/>
                <w:lang w:val="en-US" w:eastAsia="zh-CN"/>
              </w:rPr>
              <w:t>2</w:t>
            </w:r>
            <w:r>
              <w:rPr>
                <w:rFonts w:hint="eastAsia" w:ascii="宋体" w:hAnsi="宋体" w:cs="仿宋"/>
                <w:color w:val="auto"/>
                <w:szCs w:val="21"/>
              </w:rPr>
              <w:t>位，格式后附。</w:t>
            </w:r>
          </w:p>
        </w:tc>
      </w:tr>
      <w:tr w14:paraId="097F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noWrap w:val="0"/>
            <w:vAlign w:val="center"/>
          </w:tcPr>
          <w:p w14:paraId="0531B5C3">
            <w:pPr>
              <w:pStyle w:val="14"/>
              <w:spacing w:line="360" w:lineRule="exact"/>
              <w:ind w:firstLine="0" w:firstLineChars="0"/>
              <w:jc w:val="center"/>
              <w:rPr>
                <w:rFonts w:ascii="宋体" w:hAnsi="宋体"/>
                <w:color w:val="auto"/>
                <w:szCs w:val="21"/>
              </w:rPr>
            </w:pPr>
            <w:r>
              <w:rPr>
                <w:rFonts w:hint="eastAsia" w:ascii="宋体" w:hAnsi="宋体"/>
                <w:color w:val="auto"/>
                <w:szCs w:val="21"/>
              </w:rPr>
              <w:t>4</w:t>
            </w:r>
          </w:p>
        </w:tc>
        <w:tc>
          <w:tcPr>
            <w:tcW w:w="3478" w:type="dxa"/>
            <w:noWrap w:val="0"/>
            <w:vAlign w:val="center"/>
          </w:tcPr>
          <w:p w14:paraId="118991A9">
            <w:pPr>
              <w:pStyle w:val="14"/>
              <w:spacing w:line="360" w:lineRule="exact"/>
              <w:ind w:firstLine="0" w:firstLineChars="0"/>
              <w:jc w:val="left"/>
              <w:rPr>
                <w:rFonts w:ascii="宋体" w:hAnsi="宋体" w:cs="宋体"/>
                <w:color w:val="auto"/>
                <w:kern w:val="0"/>
                <w:szCs w:val="21"/>
              </w:rPr>
            </w:pPr>
            <w:r>
              <w:rPr>
                <w:rFonts w:hint="eastAsia" w:ascii="宋体" w:hAnsi="宋体" w:cs="宋体"/>
                <w:color w:val="auto"/>
                <w:kern w:val="0"/>
                <w:szCs w:val="21"/>
              </w:rPr>
              <w:t>拟派遣团队</w:t>
            </w:r>
          </w:p>
        </w:tc>
        <w:tc>
          <w:tcPr>
            <w:tcW w:w="4518" w:type="dxa"/>
            <w:noWrap w:val="0"/>
            <w:vAlign w:val="center"/>
          </w:tcPr>
          <w:p w14:paraId="07DFA40B">
            <w:pPr>
              <w:pStyle w:val="14"/>
              <w:spacing w:line="360" w:lineRule="exact"/>
              <w:ind w:firstLine="0" w:firstLineChars="0"/>
              <w:jc w:val="left"/>
              <w:rPr>
                <w:rFonts w:hint="eastAsia" w:ascii="宋体" w:hAnsi="宋体"/>
                <w:color w:val="auto"/>
                <w:szCs w:val="21"/>
              </w:rPr>
            </w:pPr>
            <w:r>
              <w:rPr>
                <w:rFonts w:hint="eastAsia" w:ascii="宋体" w:hAnsi="宋体"/>
                <w:color w:val="auto"/>
                <w:szCs w:val="21"/>
              </w:rPr>
              <w:t>提供项目负责人及团队成员相应工作经历及学历、学位证书</w:t>
            </w:r>
            <w:r>
              <w:rPr>
                <w:rFonts w:hint="eastAsia" w:ascii="宋体" w:hAnsi="宋体"/>
                <w:color w:val="auto"/>
                <w:szCs w:val="21"/>
                <w:lang w:val="en-US" w:eastAsia="zh-CN"/>
              </w:rPr>
              <w:t>及资格、职称证书</w:t>
            </w:r>
            <w:r>
              <w:rPr>
                <w:rFonts w:hint="eastAsia" w:ascii="宋体" w:hAnsi="宋体"/>
                <w:color w:val="auto"/>
                <w:szCs w:val="21"/>
              </w:rPr>
              <w:t>复印件。</w:t>
            </w:r>
          </w:p>
        </w:tc>
      </w:tr>
      <w:tr w14:paraId="413C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noWrap w:val="0"/>
            <w:vAlign w:val="center"/>
          </w:tcPr>
          <w:p w14:paraId="7E0795C2">
            <w:pPr>
              <w:pStyle w:val="14"/>
              <w:spacing w:line="360" w:lineRule="exact"/>
              <w:ind w:firstLine="0" w:firstLineChars="0"/>
              <w:jc w:val="center"/>
              <w:rPr>
                <w:rFonts w:hint="eastAsia" w:ascii="宋体" w:hAnsi="宋体"/>
                <w:color w:val="auto"/>
                <w:szCs w:val="21"/>
              </w:rPr>
            </w:pPr>
            <w:r>
              <w:rPr>
                <w:rFonts w:hint="eastAsia" w:ascii="宋体" w:hAnsi="宋体"/>
                <w:color w:val="auto"/>
                <w:szCs w:val="21"/>
              </w:rPr>
              <w:t>5</w:t>
            </w:r>
          </w:p>
        </w:tc>
        <w:tc>
          <w:tcPr>
            <w:tcW w:w="3478" w:type="dxa"/>
            <w:noWrap w:val="0"/>
            <w:vAlign w:val="center"/>
          </w:tcPr>
          <w:p w14:paraId="2D0FFFCC">
            <w:pPr>
              <w:pStyle w:val="14"/>
              <w:spacing w:line="360" w:lineRule="exact"/>
              <w:ind w:firstLine="0" w:firstLineChars="0"/>
              <w:jc w:val="left"/>
              <w:rPr>
                <w:rFonts w:ascii="宋体" w:hAnsi="宋体" w:cs="宋体"/>
                <w:color w:val="auto"/>
                <w:kern w:val="0"/>
                <w:szCs w:val="21"/>
              </w:rPr>
            </w:pPr>
            <w:r>
              <w:rPr>
                <w:rFonts w:hint="eastAsia" w:ascii="宋体" w:hAnsi="宋体" w:cs="宋体"/>
                <w:color w:val="auto"/>
                <w:kern w:val="0"/>
                <w:szCs w:val="21"/>
              </w:rPr>
              <w:t>项目服务方案</w:t>
            </w:r>
          </w:p>
        </w:tc>
        <w:tc>
          <w:tcPr>
            <w:tcW w:w="4518" w:type="dxa"/>
            <w:noWrap w:val="0"/>
            <w:vAlign w:val="center"/>
          </w:tcPr>
          <w:p w14:paraId="635A9A94">
            <w:pPr>
              <w:pStyle w:val="14"/>
              <w:spacing w:line="360" w:lineRule="exact"/>
              <w:ind w:firstLine="0" w:firstLineChars="0"/>
              <w:jc w:val="left"/>
              <w:rPr>
                <w:rFonts w:ascii="宋体" w:hAnsi="宋体"/>
                <w:color w:val="auto"/>
                <w:szCs w:val="21"/>
              </w:rPr>
            </w:pPr>
            <w:r>
              <w:rPr>
                <w:rFonts w:hint="eastAsia" w:ascii="宋体" w:hAnsi="宋体"/>
                <w:color w:val="auto"/>
                <w:szCs w:val="21"/>
                <w:lang w:val="en-US" w:eastAsia="zh-CN"/>
              </w:rPr>
              <w:t>参考本公告附件二技术评审服务方</w:t>
            </w:r>
            <w:r>
              <w:rPr>
                <w:rFonts w:hint="eastAsia" w:ascii="宋体" w:hAnsi="宋体"/>
                <w:color w:val="auto"/>
                <w:szCs w:val="21"/>
              </w:rPr>
              <w:t>案</w:t>
            </w:r>
            <w:r>
              <w:rPr>
                <w:rFonts w:hint="eastAsia" w:ascii="宋体" w:hAnsi="宋体"/>
                <w:color w:val="auto"/>
                <w:szCs w:val="21"/>
                <w:lang w:val="en-US" w:eastAsia="zh-CN"/>
              </w:rPr>
              <w:t>评审提供</w:t>
            </w:r>
            <w:r>
              <w:rPr>
                <w:rFonts w:hint="eastAsia" w:ascii="宋体" w:hAnsi="宋体"/>
                <w:color w:val="auto"/>
                <w:szCs w:val="21"/>
              </w:rPr>
              <w:t>。</w:t>
            </w:r>
          </w:p>
        </w:tc>
      </w:tr>
      <w:tr w14:paraId="7C4C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noWrap w:val="0"/>
            <w:vAlign w:val="center"/>
          </w:tcPr>
          <w:p w14:paraId="7AAEE93F">
            <w:pPr>
              <w:pStyle w:val="14"/>
              <w:spacing w:line="360" w:lineRule="exact"/>
              <w:ind w:firstLine="0" w:firstLineChars="0"/>
              <w:jc w:val="center"/>
              <w:rPr>
                <w:rFonts w:hint="eastAsia" w:ascii="宋体" w:hAnsi="宋体"/>
                <w:color w:val="auto"/>
                <w:szCs w:val="21"/>
              </w:rPr>
            </w:pPr>
            <w:r>
              <w:rPr>
                <w:rFonts w:hint="eastAsia" w:ascii="宋体" w:hAnsi="宋体"/>
                <w:color w:val="auto"/>
                <w:szCs w:val="21"/>
              </w:rPr>
              <w:t>6</w:t>
            </w:r>
          </w:p>
        </w:tc>
        <w:tc>
          <w:tcPr>
            <w:tcW w:w="3478" w:type="dxa"/>
            <w:noWrap w:val="0"/>
            <w:vAlign w:val="center"/>
          </w:tcPr>
          <w:p w14:paraId="08E6252F">
            <w:pPr>
              <w:pStyle w:val="14"/>
              <w:spacing w:line="360" w:lineRule="exact"/>
              <w:ind w:firstLine="0" w:firstLineChars="0"/>
              <w:jc w:val="left"/>
              <w:rPr>
                <w:rFonts w:hint="eastAsia" w:ascii="宋体" w:hAnsi="宋体" w:cs="宋体"/>
                <w:color w:val="auto"/>
                <w:kern w:val="0"/>
                <w:szCs w:val="21"/>
              </w:rPr>
            </w:pPr>
            <w:r>
              <w:rPr>
                <w:rFonts w:hint="eastAsia" w:ascii="宋体" w:hAnsi="宋体" w:cs="宋体"/>
                <w:color w:val="auto"/>
                <w:kern w:val="0"/>
                <w:szCs w:val="21"/>
              </w:rPr>
              <w:t>报价人认为需要加以说明的其他内容</w:t>
            </w:r>
          </w:p>
        </w:tc>
        <w:tc>
          <w:tcPr>
            <w:tcW w:w="4518" w:type="dxa"/>
            <w:noWrap w:val="0"/>
            <w:vAlign w:val="center"/>
          </w:tcPr>
          <w:p w14:paraId="6C14BCA1">
            <w:pPr>
              <w:pStyle w:val="14"/>
              <w:spacing w:line="360" w:lineRule="exact"/>
              <w:ind w:firstLine="0" w:firstLineChars="0"/>
              <w:jc w:val="left"/>
              <w:rPr>
                <w:rFonts w:hint="eastAsia" w:ascii="宋体" w:hAnsi="宋体"/>
                <w:color w:val="auto"/>
                <w:szCs w:val="21"/>
              </w:rPr>
            </w:pPr>
            <w:r>
              <w:rPr>
                <w:rFonts w:hint="eastAsia" w:ascii="宋体" w:hAnsi="宋体"/>
                <w:color w:val="auto"/>
                <w:szCs w:val="21"/>
              </w:rPr>
              <w:t>如有。</w:t>
            </w:r>
          </w:p>
        </w:tc>
      </w:tr>
    </w:tbl>
    <w:p w14:paraId="76BBF283">
      <w:pPr>
        <w:rPr>
          <w:rFonts w:hint="default" w:ascii="仿宋_GB2312" w:eastAsia="仿宋_GB2312"/>
          <w:color w:val="auto"/>
          <w:sz w:val="24"/>
        </w:rPr>
      </w:pPr>
      <w:r>
        <w:rPr>
          <w:rFonts w:hint="eastAsia" w:ascii="仿宋_GB2312" w:eastAsia="仿宋_GB2312"/>
          <w:color w:val="auto"/>
          <w:sz w:val="24"/>
        </w:rPr>
        <w:t>备注：以上提供资料均须加盖公章，未加盖公章资料视为无效资料。</w:t>
      </w:r>
      <w:r>
        <w:rPr>
          <w:rFonts w:hint="eastAsia" w:ascii="仿宋_GB2312" w:eastAsia="仿宋_GB2312"/>
          <w:color w:val="auto"/>
          <w:sz w:val="24"/>
          <w:lang w:val="en-US" w:eastAsia="zh-CN"/>
        </w:rPr>
        <w:t>且应制作目录编写目录对应页码。</w:t>
      </w:r>
    </w:p>
    <w:p w14:paraId="6AF050E7">
      <w:pPr>
        <w:pStyle w:val="2"/>
        <w:rPr>
          <w:rFonts w:hint="eastAsia"/>
        </w:rPr>
        <w:sectPr>
          <w:pgSz w:w="11906" w:h="16838"/>
          <w:pgMar w:top="2098" w:right="1474" w:bottom="1984" w:left="1587" w:header="851" w:footer="992" w:gutter="0"/>
          <w:pgNumType w:fmt="decimal"/>
          <w:cols w:space="425" w:num="1"/>
          <w:docGrid w:type="lines" w:linePitch="312" w:charSpace="0"/>
        </w:sectPr>
      </w:pPr>
    </w:p>
    <w:p w14:paraId="78333868">
      <w:pPr>
        <w:keepNext w:val="0"/>
        <w:keepLines w:val="0"/>
        <w:pageBreakBefore w:val="0"/>
        <w:kinsoku/>
        <w:wordWrap/>
        <w:overflowPunct/>
        <w:topLinePunct w:val="0"/>
        <w:autoSpaceDE/>
        <w:autoSpaceDN/>
        <w:bidi w:val="0"/>
        <w:spacing w:line="56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附件</w:t>
      </w:r>
      <w:r>
        <w:rPr>
          <w:rFonts w:hint="eastAsia" w:ascii="黑体" w:hAnsi="黑体" w:eastAsia="黑体" w:cs="黑体"/>
          <w:b w:val="0"/>
          <w:bCs w:val="0"/>
          <w:sz w:val="32"/>
          <w:szCs w:val="32"/>
          <w:lang w:val="en-US" w:eastAsia="zh-CN"/>
        </w:rPr>
        <w:t>2</w:t>
      </w:r>
    </w:p>
    <w:p w14:paraId="082C1A93">
      <w:pPr>
        <w:pStyle w:val="13"/>
        <w:keepNext w:val="0"/>
        <w:keepLines w:val="0"/>
        <w:pageBreakBefore w:val="0"/>
        <w:widowControl/>
        <w:kinsoku/>
        <w:wordWrap/>
        <w:overflowPunct/>
        <w:topLinePunct w:val="0"/>
        <w:autoSpaceDE/>
        <w:autoSpaceDN/>
        <w:bidi w:val="0"/>
        <w:spacing w:line="560" w:lineRule="exact"/>
        <w:jc w:val="center"/>
        <w:textAlignment w:val="auto"/>
        <w:rPr>
          <w:rFonts w:hint="default"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综合评分表</w:t>
      </w:r>
    </w:p>
    <w:tbl>
      <w:tblPr>
        <w:tblStyle w:val="10"/>
        <w:tblW w:w="90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914"/>
        <w:gridCol w:w="3755"/>
        <w:gridCol w:w="1433"/>
        <w:gridCol w:w="1267"/>
        <w:gridCol w:w="1004"/>
      </w:tblGrid>
      <w:tr w14:paraId="69AD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blHeader/>
          <w:jc w:val="center"/>
        </w:trPr>
        <w:tc>
          <w:tcPr>
            <w:tcW w:w="663" w:type="dxa"/>
            <w:shd w:val="clear" w:color="auto" w:fill="DEEAF6"/>
            <w:noWrap w:val="0"/>
            <w:vAlign w:val="center"/>
          </w:tcPr>
          <w:p w14:paraId="555E14B5">
            <w:pPr>
              <w:widowControl/>
              <w:adjustRightInd w:val="0"/>
              <w:snapToGrid w:val="0"/>
              <w:spacing w:line="0" w:lineRule="atLeast"/>
              <w:jc w:val="center"/>
              <w:rPr>
                <w:rFonts w:ascii="宋体" w:hAnsi="宋体" w:cs="宋体"/>
                <w:b/>
                <w:color w:val="auto"/>
                <w:szCs w:val="21"/>
              </w:rPr>
            </w:pPr>
            <w:bookmarkStart w:id="0" w:name="_Hlk17297611"/>
            <w:r>
              <w:rPr>
                <w:rFonts w:hint="eastAsia" w:ascii="宋体" w:hAnsi="宋体" w:cs="宋体"/>
                <w:b/>
                <w:color w:val="auto"/>
                <w:szCs w:val="21"/>
              </w:rPr>
              <w:t>序号</w:t>
            </w:r>
          </w:p>
        </w:tc>
        <w:tc>
          <w:tcPr>
            <w:tcW w:w="914" w:type="dxa"/>
            <w:shd w:val="clear" w:color="auto" w:fill="DEEAF6"/>
            <w:noWrap w:val="0"/>
            <w:vAlign w:val="center"/>
          </w:tcPr>
          <w:p w14:paraId="5F147C0B">
            <w:pPr>
              <w:widowControl/>
              <w:adjustRightInd w:val="0"/>
              <w:snapToGrid w:val="0"/>
              <w:spacing w:line="0" w:lineRule="atLeast"/>
              <w:jc w:val="center"/>
              <w:rPr>
                <w:rFonts w:ascii="宋体" w:hAnsi="宋体" w:cs="宋体"/>
                <w:b/>
                <w:color w:val="auto"/>
                <w:szCs w:val="21"/>
              </w:rPr>
            </w:pPr>
            <w:r>
              <w:rPr>
                <w:rFonts w:hint="eastAsia" w:ascii="宋体" w:hAnsi="宋体" w:cs="宋体"/>
                <w:b/>
                <w:color w:val="auto"/>
                <w:szCs w:val="21"/>
              </w:rPr>
              <w:t>评审</w:t>
            </w:r>
          </w:p>
          <w:p w14:paraId="24664C80">
            <w:pPr>
              <w:widowControl/>
              <w:adjustRightInd w:val="0"/>
              <w:snapToGrid w:val="0"/>
              <w:spacing w:line="0" w:lineRule="atLeast"/>
              <w:jc w:val="center"/>
              <w:rPr>
                <w:rFonts w:ascii="宋体" w:hAnsi="宋体" w:cs="宋体"/>
                <w:b/>
                <w:color w:val="auto"/>
                <w:szCs w:val="21"/>
              </w:rPr>
            </w:pPr>
            <w:r>
              <w:rPr>
                <w:rFonts w:hint="eastAsia" w:ascii="宋体" w:hAnsi="宋体" w:cs="宋体"/>
                <w:b/>
                <w:color w:val="auto"/>
                <w:szCs w:val="21"/>
              </w:rPr>
              <w:t>项目</w:t>
            </w:r>
          </w:p>
        </w:tc>
        <w:tc>
          <w:tcPr>
            <w:tcW w:w="3755" w:type="dxa"/>
            <w:shd w:val="clear" w:color="auto" w:fill="DEEAF6"/>
            <w:noWrap w:val="0"/>
            <w:vAlign w:val="center"/>
          </w:tcPr>
          <w:p w14:paraId="75328CFC">
            <w:pPr>
              <w:widowControl/>
              <w:adjustRightInd w:val="0"/>
              <w:snapToGrid w:val="0"/>
              <w:spacing w:line="0" w:lineRule="atLeast"/>
              <w:jc w:val="center"/>
              <w:rPr>
                <w:rFonts w:ascii="宋体" w:hAnsi="宋体" w:cs="宋体"/>
                <w:b/>
                <w:color w:val="auto"/>
                <w:szCs w:val="21"/>
              </w:rPr>
            </w:pPr>
            <w:r>
              <w:rPr>
                <w:rFonts w:hint="eastAsia" w:ascii="宋体" w:hAnsi="宋体" w:cs="宋体"/>
                <w:b/>
                <w:color w:val="auto"/>
                <w:szCs w:val="21"/>
              </w:rPr>
              <w:t>评审标准</w:t>
            </w:r>
          </w:p>
        </w:tc>
        <w:tc>
          <w:tcPr>
            <w:tcW w:w="1433" w:type="dxa"/>
            <w:shd w:val="clear" w:color="auto" w:fill="DEEAF6"/>
            <w:noWrap w:val="0"/>
            <w:vAlign w:val="center"/>
          </w:tcPr>
          <w:p w14:paraId="1BEB8E25">
            <w:pPr>
              <w:widowControl/>
              <w:adjustRightInd w:val="0"/>
              <w:snapToGrid w:val="0"/>
              <w:spacing w:line="0" w:lineRule="atLeast"/>
              <w:jc w:val="center"/>
              <w:rPr>
                <w:rFonts w:ascii="宋体" w:hAnsi="宋体" w:cs="宋体"/>
                <w:b/>
                <w:color w:val="auto"/>
                <w:szCs w:val="21"/>
              </w:rPr>
            </w:pPr>
            <w:r>
              <w:rPr>
                <w:rFonts w:hint="eastAsia" w:ascii="宋体" w:hAnsi="宋体" w:cs="宋体"/>
                <w:b/>
                <w:color w:val="auto"/>
                <w:szCs w:val="21"/>
              </w:rPr>
              <w:t>证明材料</w:t>
            </w:r>
          </w:p>
        </w:tc>
        <w:tc>
          <w:tcPr>
            <w:tcW w:w="1267" w:type="dxa"/>
            <w:shd w:val="clear" w:color="auto" w:fill="DEEAF6"/>
            <w:noWrap w:val="0"/>
            <w:vAlign w:val="center"/>
          </w:tcPr>
          <w:p w14:paraId="50ED257F">
            <w:pPr>
              <w:widowControl/>
              <w:adjustRightInd w:val="0"/>
              <w:snapToGrid w:val="0"/>
              <w:spacing w:line="0" w:lineRule="atLeast"/>
              <w:jc w:val="center"/>
              <w:rPr>
                <w:rFonts w:ascii="宋体" w:hAnsi="宋体" w:cs="宋体"/>
                <w:b/>
                <w:color w:val="auto"/>
                <w:szCs w:val="21"/>
              </w:rPr>
            </w:pPr>
            <w:r>
              <w:rPr>
                <w:rFonts w:hint="eastAsia" w:ascii="宋体" w:hAnsi="宋体" w:cs="宋体"/>
                <w:b/>
                <w:color w:val="auto"/>
                <w:szCs w:val="21"/>
              </w:rPr>
              <w:t>分值</w:t>
            </w:r>
          </w:p>
        </w:tc>
        <w:tc>
          <w:tcPr>
            <w:tcW w:w="1004" w:type="dxa"/>
            <w:shd w:val="clear" w:color="auto" w:fill="DEEAF6"/>
            <w:noWrap w:val="0"/>
            <w:vAlign w:val="top"/>
          </w:tcPr>
          <w:p w14:paraId="305DB242">
            <w:pPr>
              <w:widowControl/>
              <w:adjustRightInd w:val="0"/>
              <w:snapToGrid w:val="0"/>
              <w:spacing w:line="0" w:lineRule="atLeast"/>
              <w:jc w:val="center"/>
              <w:rPr>
                <w:rFonts w:ascii="宋体" w:hAnsi="宋体" w:cs="宋体"/>
                <w:b/>
                <w:color w:val="auto"/>
                <w:szCs w:val="21"/>
              </w:rPr>
            </w:pPr>
          </w:p>
        </w:tc>
      </w:tr>
      <w:tr w14:paraId="038C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663" w:type="dxa"/>
            <w:noWrap w:val="0"/>
            <w:vAlign w:val="center"/>
          </w:tcPr>
          <w:p w14:paraId="52006ED0">
            <w:pPr>
              <w:widowControl/>
              <w:adjustRightInd w:val="0"/>
              <w:snapToGrid w:val="0"/>
              <w:spacing w:line="0" w:lineRule="atLeast"/>
              <w:jc w:val="cente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1</w:t>
            </w:r>
          </w:p>
        </w:tc>
        <w:tc>
          <w:tcPr>
            <w:tcW w:w="914" w:type="dxa"/>
            <w:noWrap w:val="0"/>
            <w:vAlign w:val="center"/>
          </w:tcPr>
          <w:p w14:paraId="70630291">
            <w:pPr>
              <w:spacing w:line="0" w:lineRule="atLeast"/>
              <w:jc w:val="center"/>
              <w:rPr>
                <w:rFonts w:ascii="宋体" w:hAnsi="宋体" w:cs="宋体"/>
                <w:color w:val="auto"/>
                <w:szCs w:val="21"/>
              </w:rPr>
            </w:pPr>
            <w:r>
              <w:rPr>
                <w:rFonts w:hint="eastAsia" w:ascii="宋体" w:hAnsi="宋体" w:cs="宋体"/>
                <w:color w:val="auto"/>
                <w:szCs w:val="21"/>
              </w:rPr>
              <w:t>报价</w:t>
            </w:r>
          </w:p>
          <w:p w14:paraId="66013BCD">
            <w:pPr>
              <w:spacing w:line="0" w:lineRule="atLeast"/>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rPr>
              <w:t>得分</w:t>
            </w:r>
          </w:p>
        </w:tc>
        <w:tc>
          <w:tcPr>
            <w:tcW w:w="3755" w:type="dxa"/>
            <w:noWrap w:val="0"/>
            <w:vAlign w:val="center"/>
          </w:tcPr>
          <w:p w14:paraId="1D14437D">
            <w:pPr>
              <w:spacing w:line="0" w:lineRule="atLeast"/>
              <w:rPr>
                <w:rFonts w:hint="eastAsia" w:ascii="宋体" w:hAnsi="宋体" w:eastAsia="宋体" w:cs="宋体"/>
                <w:color w:val="auto"/>
                <w:kern w:val="2"/>
                <w:sz w:val="21"/>
                <w:szCs w:val="21"/>
                <w:lang w:val="en-US" w:eastAsia="zh-CN" w:bidi="ar-SA"/>
              </w:rPr>
            </w:pPr>
            <w:r>
              <w:rPr>
                <w:rFonts w:hint="eastAsia"/>
                <w:bCs/>
                <w:szCs w:val="21"/>
                <w:highlight w:val="none"/>
              </w:rPr>
              <w:t>价格分计算方法：报价为平均数的为最高分即满分。假设供应商的报价结果分别为B1、B2、B3...Bn， 则报价的平均数为C=[B1＋B2＋B3＋……＋Bn]÷n，供应商n的报价得分=</w:t>
            </w:r>
            <w:r>
              <w:rPr>
                <w:rFonts w:hint="eastAsia"/>
                <w:bCs/>
                <w:szCs w:val="21"/>
                <w:highlight w:val="none"/>
                <w:lang w:eastAsia="zh-CN"/>
              </w:rPr>
              <w:t>2</w:t>
            </w:r>
            <w:r>
              <w:rPr>
                <w:rFonts w:hint="eastAsia"/>
                <w:bCs/>
                <w:szCs w:val="21"/>
                <w:highlight w:val="none"/>
              </w:rPr>
              <w:t>0×{1-(∣Bn－C∣)÷C}</w:t>
            </w:r>
          </w:p>
        </w:tc>
        <w:tc>
          <w:tcPr>
            <w:tcW w:w="1433" w:type="dxa"/>
            <w:noWrap w:val="0"/>
            <w:vAlign w:val="center"/>
          </w:tcPr>
          <w:p w14:paraId="4FCCE4B8">
            <w:pPr>
              <w:adjustRightInd w:val="0"/>
              <w:snapToGrid w:val="0"/>
              <w:spacing w:line="0" w:lineRule="atLeast"/>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rPr>
              <w:t>提供响应报价，并加盖公章</w:t>
            </w:r>
          </w:p>
        </w:tc>
        <w:tc>
          <w:tcPr>
            <w:tcW w:w="1267" w:type="dxa"/>
            <w:noWrap w:val="0"/>
            <w:vAlign w:val="center"/>
          </w:tcPr>
          <w:p w14:paraId="35A2E2EE">
            <w:pPr>
              <w:spacing w:line="0" w:lineRule="atLeast"/>
              <w:jc w:val="center"/>
              <w:rPr>
                <w:rFonts w:hint="eastAsia" w:ascii="宋体" w:hAnsi="宋体" w:cs="宋体" w:eastAsiaTheme="minorEastAsia"/>
                <w:color w:val="auto"/>
                <w:kern w:val="2"/>
                <w:sz w:val="21"/>
                <w:szCs w:val="21"/>
                <w:lang w:val="en-US" w:eastAsia="zh-CN" w:bidi="ar-SA"/>
              </w:rPr>
            </w:pPr>
            <w:r>
              <w:rPr>
                <w:rFonts w:hint="eastAsia" w:ascii="宋体" w:hAnsi="宋体" w:cs="宋体"/>
                <w:color w:val="auto"/>
                <w:szCs w:val="21"/>
                <w:lang w:val="en-US" w:eastAsia="zh-CN"/>
              </w:rPr>
              <w:t>20</w:t>
            </w:r>
            <w:r>
              <w:rPr>
                <w:rFonts w:hint="eastAsia" w:ascii="宋体" w:hAnsi="宋体" w:cs="宋体"/>
                <w:color w:val="auto"/>
                <w:szCs w:val="21"/>
              </w:rPr>
              <w:t>分</w:t>
            </w:r>
          </w:p>
        </w:tc>
        <w:tc>
          <w:tcPr>
            <w:tcW w:w="1004" w:type="dxa"/>
            <w:noWrap w:val="0"/>
            <w:vAlign w:val="center"/>
          </w:tcPr>
          <w:p w14:paraId="1ABCA5B7">
            <w:pPr>
              <w:widowControl/>
              <w:adjustRightInd w:val="0"/>
              <w:snapToGrid w:val="0"/>
              <w:spacing w:line="0" w:lineRule="atLeast"/>
              <w:jc w:val="center"/>
              <w:rPr>
                <w:rFonts w:ascii="宋体" w:hAnsi="宋体" w:cs="宋体"/>
                <w:color w:val="auto"/>
                <w:szCs w:val="21"/>
              </w:rPr>
            </w:pPr>
          </w:p>
        </w:tc>
      </w:tr>
      <w:tr w14:paraId="1DAD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663" w:type="dxa"/>
            <w:noWrap w:val="0"/>
            <w:vAlign w:val="center"/>
          </w:tcPr>
          <w:p w14:paraId="3081133B">
            <w:pPr>
              <w:widowControl/>
              <w:adjustRightInd w:val="0"/>
              <w:snapToGrid w:val="0"/>
              <w:spacing w:line="0" w:lineRule="atLeast"/>
              <w:jc w:val="center"/>
              <w:rPr>
                <w:rFonts w:hint="eastAsia" w:ascii="宋体" w:hAnsi="宋体" w:cs="宋体" w:eastAsiaTheme="minorEastAsia"/>
                <w:color w:val="auto"/>
                <w:szCs w:val="21"/>
                <w:lang w:val="en-US" w:eastAsia="zh-CN"/>
              </w:rPr>
            </w:pPr>
            <w:r>
              <w:rPr>
                <w:rFonts w:hint="eastAsia" w:ascii="宋体" w:hAnsi="宋体" w:cs="宋体"/>
                <w:color w:val="auto"/>
                <w:szCs w:val="21"/>
                <w:lang w:val="en-US" w:eastAsia="zh-CN"/>
              </w:rPr>
              <w:t>2</w:t>
            </w:r>
          </w:p>
        </w:tc>
        <w:tc>
          <w:tcPr>
            <w:tcW w:w="914" w:type="dxa"/>
            <w:noWrap w:val="0"/>
            <w:vAlign w:val="center"/>
          </w:tcPr>
          <w:p w14:paraId="45F83842">
            <w:pPr>
              <w:spacing w:line="0" w:lineRule="atLeast"/>
              <w:jc w:val="center"/>
              <w:rPr>
                <w:rFonts w:hint="eastAsia" w:ascii="宋体" w:hAnsi="宋体" w:cs="宋体"/>
                <w:color w:val="auto"/>
                <w:szCs w:val="21"/>
              </w:rPr>
            </w:pPr>
            <w:r>
              <w:rPr>
                <w:rFonts w:hint="eastAsia" w:ascii="宋体" w:hAnsi="宋体" w:cs="宋体"/>
                <w:color w:val="auto"/>
                <w:szCs w:val="21"/>
              </w:rPr>
              <w:t>同类业绩情况</w:t>
            </w:r>
          </w:p>
        </w:tc>
        <w:tc>
          <w:tcPr>
            <w:tcW w:w="3755" w:type="dxa"/>
            <w:noWrap w:val="0"/>
            <w:vAlign w:val="center"/>
          </w:tcPr>
          <w:p w14:paraId="0AED36D5">
            <w:pPr>
              <w:ind w:left="-78" w:leftChars="-37" w:right="-73" w:rightChars="-35"/>
              <w:jc w:val="left"/>
              <w:rPr>
                <w:rFonts w:hint="eastAsia" w:ascii="宋体" w:hAnsi="宋体" w:cs="宋体"/>
                <w:color w:val="auto"/>
                <w:szCs w:val="21"/>
              </w:rPr>
            </w:pPr>
            <w:r>
              <w:rPr>
                <w:rFonts w:hint="eastAsia" w:ascii="宋体" w:hAnsi="宋体" w:cs="宋体"/>
                <w:color w:val="auto"/>
                <w:szCs w:val="21"/>
              </w:rPr>
              <w:t>提供</w:t>
            </w:r>
            <w:r>
              <w:rPr>
                <w:rFonts w:hint="eastAsia" w:ascii="宋体" w:hAnsi="宋体" w:cs="宋体"/>
                <w:color w:val="auto"/>
                <w:szCs w:val="21"/>
                <w:lang w:eastAsia="zh-CN"/>
              </w:rPr>
              <w:t>近三年</w:t>
            </w:r>
            <w:r>
              <w:rPr>
                <w:rFonts w:hint="eastAsia" w:ascii="宋体" w:hAnsi="宋体" w:cs="宋体"/>
                <w:color w:val="auto"/>
                <w:szCs w:val="21"/>
              </w:rPr>
              <w:t>不少于三个投资后评价服务项目合同：</w:t>
            </w:r>
          </w:p>
          <w:p w14:paraId="6CBE109D">
            <w:pPr>
              <w:ind w:left="-78" w:leftChars="-37" w:right="-73" w:rightChars="-35"/>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保障房类</w:t>
            </w:r>
            <w:r>
              <w:rPr>
                <w:rFonts w:hint="eastAsia" w:ascii="宋体" w:hAnsi="宋体" w:cs="宋体"/>
                <w:color w:val="auto"/>
                <w:szCs w:val="21"/>
                <w:highlight w:val="none"/>
              </w:rPr>
              <w:t>项目投资后评价</w:t>
            </w:r>
            <w:r>
              <w:rPr>
                <w:rFonts w:hint="eastAsia" w:ascii="宋体" w:hAnsi="宋体" w:cs="宋体"/>
                <w:color w:val="auto"/>
                <w:szCs w:val="21"/>
                <w:highlight w:val="none"/>
                <w:lang w:eastAsia="zh-CN"/>
              </w:rPr>
              <w:t>经验</w:t>
            </w:r>
            <w:r>
              <w:rPr>
                <w:rFonts w:hint="eastAsia" w:ascii="宋体" w:hAnsi="宋体" w:cs="宋体"/>
                <w:color w:val="auto"/>
                <w:szCs w:val="21"/>
                <w:highlight w:val="none"/>
              </w:rPr>
              <w:t>，每个</w:t>
            </w:r>
            <w:r>
              <w:rPr>
                <w:rFonts w:hint="eastAsia" w:ascii="宋体" w:hAnsi="宋体" w:cs="宋体"/>
                <w:color w:val="auto"/>
                <w:szCs w:val="21"/>
                <w:highlight w:val="none"/>
                <w:lang w:eastAsia="zh-CN"/>
              </w:rPr>
              <w:t>物业项目</w:t>
            </w:r>
            <w:r>
              <w:rPr>
                <w:rFonts w:hint="eastAsia" w:ascii="宋体" w:hAnsi="宋体" w:cs="宋体"/>
                <w:color w:val="auto"/>
                <w:szCs w:val="21"/>
                <w:highlight w:val="none"/>
              </w:rPr>
              <w:t>得4分，本项满分得12分</w:t>
            </w:r>
            <w:r>
              <w:rPr>
                <w:rFonts w:hint="eastAsia" w:ascii="宋体" w:hAnsi="宋体" w:cs="宋体"/>
                <w:color w:val="auto"/>
                <w:szCs w:val="21"/>
                <w:highlight w:val="none"/>
                <w:lang w:val="en-US" w:eastAsia="zh-CN"/>
              </w:rPr>
              <w:t>；</w:t>
            </w:r>
          </w:p>
          <w:p w14:paraId="0364328B">
            <w:pPr>
              <w:ind w:left="-78" w:leftChars="-37" w:right="-73" w:rightChars="-35"/>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其他房地</w:t>
            </w:r>
            <w:r>
              <w:rPr>
                <w:rFonts w:hint="eastAsia" w:ascii="宋体" w:hAnsi="宋体" w:cs="宋体"/>
                <w:color w:val="auto"/>
                <w:szCs w:val="21"/>
                <w:highlight w:val="none"/>
                <w:lang w:eastAsia="zh-CN"/>
              </w:rPr>
              <w:t>产</w:t>
            </w:r>
            <w:r>
              <w:rPr>
                <w:rFonts w:hint="eastAsia" w:ascii="宋体" w:hAnsi="宋体" w:cs="宋体"/>
                <w:color w:val="auto"/>
                <w:szCs w:val="21"/>
                <w:highlight w:val="none"/>
                <w:lang w:val="en-US" w:eastAsia="zh-CN"/>
              </w:rPr>
              <w:t>开发类</w:t>
            </w:r>
            <w:r>
              <w:rPr>
                <w:rFonts w:hint="eastAsia" w:ascii="宋体" w:hAnsi="宋体" w:cs="宋体"/>
                <w:color w:val="auto"/>
                <w:szCs w:val="21"/>
                <w:highlight w:val="none"/>
              </w:rPr>
              <w:t>项目投资后评价</w:t>
            </w:r>
            <w:r>
              <w:rPr>
                <w:rFonts w:hint="eastAsia" w:ascii="宋体" w:hAnsi="宋体" w:cs="宋体"/>
                <w:color w:val="auto"/>
                <w:szCs w:val="21"/>
                <w:highlight w:val="none"/>
                <w:lang w:eastAsia="zh-CN"/>
              </w:rPr>
              <w:t>经验</w:t>
            </w:r>
            <w:r>
              <w:rPr>
                <w:rFonts w:hint="eastAsia" w:ascii="宋体" w:hAnsi="宋体" w:cs="宋体"/>
                <w:color w:val="auto"/>
                <w:szCs w:val="21"/>
                <w:highlight w:val="none"/>
              </w:rPr>
              <w:t>，每个</w:t>
            </w:r>
            <w:r>
              <w:rPr>
                <w:rFonts w:hint="eastAsia" w:ascii="宋体" w:hAnsi="宋体" w:cs="宋体"/>
                <w:color w:val="auto"/>
                <w:szCs w:val="21"/>
                <w:highlight w:val="none"/>
                <w:lang w:eastAsia="zh-CN"/>
              </w:rPr>
              <w:t>项目</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分，本项满分得</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分；</w:t>
            </w:r>
          </w:p>
          <w:p w14:paraId="69A33BE9">
            <w:pPr>
              <w:ind w:left="-78" w:leftChars="-37" w:right="-73" w:rightChars="-35"/>
              <w:rPr>
                <w:rFonts w:hint="eastAsia" w:ascii="宋体" w:hAnsi="宋体" w:cs="宋体"/>
                <w:color w:val="auto"/>
                <w:szCs w:val="21"/>
                <w:lang w:eastAsia="zh-CN"/>
              </w:rPr>
            </w:pPr>
            <w:r>
              <w:rPr>
                <w:rFonts w:hint="eastAsia" w:ascii="宋体" w:hAnsi="宋体" w:cs="宋体"/>
                <w:color w:val="auto"/>
                <w:szCs w:val="21"/>
              </w:rPr>
              <w:t>本项目合计最高得</w:t>
            </w:r>
            <w:r>
              <w:rPr>
                <w:rFonts w:hint="eastAsia" w:ascii="宋体" w:hAnsi="宋体" w:cs="宋体"/>
                <w:color w:val="auto"/>
                <w:szCs w:val="21"/>
                <w:lang w:val="en-US" w:eastAsia="zh-CN"/>
              </w:rPr>
              <w:t>24</w:t>
            </w:r>
            <w:r>
              <w:rPr>
                <w:rFonts w:hint="eastAsia" w:ascii="宋体" w:hAnsi="宋体" w:cs="宋体"/>
                <w:color w:val="auto"/>
                <w:szCs w:val="21"/>
              </w:rPr>
              <w:t>分</w:t>
            </w:r>
            <w:r>
              <w:rPr>
                <w:rFonts w:hint="eastAsia" w:ascii="宋体" w:hAnsi="宋体" w:cs="宋体"/>
                <w:color w:val="auto"/>
                <w:szCs w:val="21"/>
                <w:lang w:eastAsia="zh-CN"/>
              </w:rPr>
              <w:t>；</w:t>
            </w:r>
          </w:p>
          <w:p w14:paraId="544EB31A">
            <w:pPr>
              <w:spacing w:line="0" w:lineRule="atLeast"/>
              <w:rPr>
                <w:rFonts w:hint="eastAsia" w:ascii="宋体" w:hAnsi="宋体" w:cs="宋体"/>
                <w:color w:val="auto"/>
                <w:szCs w:val="21"/>
                <w:lang w:val="en-US" w:eastAsia="zh-CN"/>
              </w:rPr>
            </w:pPr>
            <w:r>
              <w:rPr>
                <w:rFonts w:hint="eastAsia" w:ascii="宋体" w:hAnsi="宋体" w:cs="宋体"/>
                <w:color w:val="auto"/>
                <w:szCs w:val="21"/>
              </w:rPr>
              <w:t>（提供项目合同关键页复印件</w:t>
            </w:r>
            <w:r>
              <w:rPr>
                <w:rFonts w:hint="eastAsia" w:ascii="宋体" w:hAnsi="宋体" w:cs="宋体"/>
                <w:color w:val="auto"/>
                <w:szCs w:val="21"/>
                <w:lang w:eastAsia="zh-CN"/>
              </w:rPr>
              <w:t>、</w:t>
            </w:r>
            <w:r>
              <w:rPr>
                <w:rFonts w:hint="eastAsia" w:ascii="宋体" w:hAnsi="宋体" w:cs="宋体"/>
                <w:color w:val="auto"/>
                <w:szCs w:val="21"/>
                <w:highlight w:val="none"/>
                <w:lang w:val="en-US" w:eastAsia="zh-CN"/>
              </w:rPr>
              <w:t>报告的首页复印件</w:t>
            </w:r>
            <w:r>
              <w:rPr>
                <w:rFonts w:hint="eastAsia" w:ascii="宋体" w:hAnsi="宋体" w:cs="宋体"/>
                <w:color w:val="auto"/>
                <w:szCs w:val="21"/>
              </w:rPr>
              <w:t>，加盖投标人公章，原件备查。未按要求提供相关材料或扫描件不清晰导致无法识别的不得分。)</w:t>
            </w:r>
          </w:p>
        </w:tc>
        <w:tc>
          <w:tcPr>
            <w:tcW w:w="1433" w:type="dxa"/>
            <w:noWrap w:val="0"/>
            <w:vAlign w:val="center"/>
          </w:tcPr>
          <w:p w14:paraId="07FD1B00">
            <w:pPr>
              <w:adjustRightInd w:val="0"/>
              <w:snapToGrid w:val="0"/>
              <w:spacing w:line="0" w:lineRule="atLeast"/>
              <w:jc w:val="center"/>
              <w:rPr>
                <w:rFonts w:hint="eastAsia" w:ascii="宋体" w:hAnsi="宋体" w:cs="宋体"/>
                <w:color w:val="auto"/>
                <w:szCs w:val="21"/>
              </w:rPr>
            </w:pPr>
            <w:r>
              <w:rPr>
                <w:rFonts w:hint="eastAsia"/>
                <w:color w:val="auto"/>
                <w:szCs w:val="21"/>
              </w:rPr>
              <w:t>提供相应合同文件、成果文件，并加盖公章</w:t>
            </w:r>
          </w:p>
        </w:tc>
        <w:tc>
          <w:tcPr>
            <w:tcW w:w="1267" w:type="dxa"/>
            <w:noWrap w:val="0"/>
            <w:vAlign w:val="center"/>
          </w:tcPr>
          <w:p w14:paraId="7E7C5B18">
            <w:pPr>
              <w:spacing w:line="0" w:lineRule="atLeast"/>
              <w:jc w:val="center"/>
              <w:rPr>
                <w:rFonts w:hint="default" w:ascii="宋体" w:hAnsi="宋体" w:cs="宋体"/>
                <w:color w:val="auto"/>
                <w:szCs w:val="21"/>
                <w:lang w:val="en-US" w:eastAsia="zh-CN"/>
              </w:rPr>
            </w:pPr>
            <w:r>
              <w:rPr>
                <w:rFonts w:hint="eastAsia" w:ascii="宋体" w:hAnsi="宋体" w:cs="宋体"/>
                <w:color w:val="auto"/>
                <w:szCs w:val="21"/>
                <w:lang w:val="en-US" w:eastAsia="zh-CN"/>
              </w:rPr>
              <w:t>24分</w:t>
            </w:r>
          </w:p>
        </w:tc>
        <w:tc>
          <w:tcPr>
            <w:tcW w:w="1004" w:type="dxa"/>
            <w:noWrap w:val="0"/>
            <w:vAlign w:val="center"/>
          </w:tcPr>
          <w:p w14:paraId="2753C531">
            <w:pPr>
              <w:widowControl/>
              <w:adjustRightInd w:val="0"/>
              <w:snapToGrid w:val="0"/>
              <w:spacing w:line="0" w:lineRule="atLeast"/>
              <w:jc w:val="center"/>
              <w:rPr>
                <w:rFonts w:ascii="宋体" w:hAnsi="宋体" w:cs="宋体"/>
                <w:color w:val="auto"/>
                <w:szCs w:val="21"/>
              </w:rPr>
            </w:pPr>
          </w:p>
        </w:tc>
      </w:tr>
      <w:tr w14:paraId="69E8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663" w:type="dxa"/>
            <w:noWrap w:val="0"/>
            <w:vAlign w:val="center"/>
          </w:tcPr>
          <w:p w14:paraId="44C7E8B2">
            <w:pPr>
              <w:widowControl/>
              <w:adjustRightInd w:val="0"/>
              <w:snapToGrid w:val="0"/>
              <w:spacing w:line="0" w:lineRule="atLeast"/>
              <w:jc w:val="center"/>
              <w:rPr>
                <w:rFonts w:hint="eastAsia" w:ascii="宋体" w:hAnsi="宋体" w:cs="宋体"/>
                <w:color w:val="auto"/>
                <w:szCs w:val="21"/>
              </w:rPr>
            </w:pPr>
            <w:r>
              <w:rPr>
                <w:rFonts w:hint="eastAsia" w:ascii="宋体" w:hAnsi="宋体" w:cs="宋体"/>
                <w:color w:val="auto"/>
                <w:szCs w:val="21"/>
                <w:lang w:val="en-US" w:eastAsia="zh-CN"/>
              </w:rPr>
              <w:t>3</w:t>
            </w:r>
          </w:p>
        </w:tc>
        <w:tc>
          <w:tcPr>
            <w:tcW w:w="914" w:type="dxa"/>
            <w:noWrap w:val="0"/>
            <w:vAlign w:val="center"/>
          </w:tcPr>
          <w:p w14:paraId="4298DE52">
            <w:pPr>
              <w:spacing w:line="0" w:lineRule="atLeast"/>
              <w:jc w:val="center"/>
              <w:rPr>
                <w:rFonts w:hint="eastAsia" w:ascii="宋体" w:hAnsi="宋体" w:cs="宋体"/>
                <w:color w:val="auto"/>
                <w:szCs w:val="21"/>
              </w:rPr>
            </w:pPr>
            <w:r>
              <w:rPr>
                <w:rFonts w:hint="eastAsia" w:ascii="宋体" w:hAnsi="宋体" w:cs="宋体"/>
                <w:color w:val="auto"/>
                <w:szCs w:val="21"/>
              </w:rPr>
              <w:t>拟安排的项目团队成员情况</w:t>
            </w:r>
          </w:p>
        </w:tc>
        <w:tc>
          <w:tcPr>
            <w:tcW w:w="3755" w:type="dxa"/>
            <w:noWrap w:val="0"/>
            <w:vAlign w:val="center"/>
          </w:tcPr>
          <w:p w14:paraId="115E8F2E">
            <w:pPr>
              <w:spacing w:line="0" w:lineRule="atLeast"/>
              <w:rPr>
                <w:rFonts w:hint="eastAsia" w:ascii="宋体" w:hAnsi="宋体" w:cs="宋体"/>
                <w:color w:val="auto"/>
                <w:szCs w:val="21"/>
              </w:rPr>
            </w:pPr>
            <w:r>
              <w:rPr>
                <w:rFonts w:hint="eastAsia" w:ascii="宋体" w:hAnsi="宋体" w:cs="宋体"/>
                <w:color w:val="auto"/>
                <w:szCs w:val="21"/>
              </w:rPr>
              <w:t>（1）项目负责人具有15年以上的从业经验，满足条件得</w:t>
            </w:r>
            <w:r>
              <w:rPr>
                <w:rFonts w:hint="eastAsia" w:ascii="宋体" w:hAnsi="宋体" w:cs="宋体"/>
                <w:color w:val="auto"/>
                <w:szCs w:val="21"/>
                <w:lang w:val="en-US" w:eastAsia="zh-CN"/>
              </w:rPr>
              <w:t>3</w:t>
            </w:r>
            <w:r>
              <w:rPr>
                <w:rFonts w:hint="eastAsia" w:ascii="宋体" w:hAnsi="宋体" w:cs="宋体"/>
                <w:color w:val="auto"/>
                <w:szCs w:val="21"/>
              </w:rPr>
              <w:t>分；具备高级经济师职称</w:t>
            </w:r>
            <w:r>
              <w:rPr>
                <w:rFonts w:hint="eastAsia" w:ascii="宋体" w:hAnsi="宋体" w:cs="宋体"/>
                <w:color w:val="auto"/>
                <w:szCs w:val="21"/>
                <w:lang w:eastAsia="zh-CN"/>
              </w:rPr>
              <w:t>或注册会计师证</w:t>
            </w:r>
            <w:r>
              <w:rPr>
                <w:rFonts w:hint="eastAsia" w:ascii="宋体" w:hAnsi="宋体" w:cs="宋体"/>
                <w:color w:val="auto"/>
                <w:szCs w:val="21"/>
              </w:rPr>
              <w:t>，满足条件得</w:t>
            </w:r>
            <w:r>
              <w:rPr>
                <w:rFonts w:hint="eastAsia" w:ascii="宋体" w:hAnsi="宋体" w:cs="宋体"/>
                <w:color w:val="auto"/>
                <w:szCs w:val="21"/>
                <w:lang w:val="en-US" w:eastAsia="zh-CN"/>
              </w:rPr>
              <w:t>3</w:t>
            </w:r>
            <w:r>
              <w:rPr>
                <w:rFonts w:hint="eastAsia" w:ascii="宋体" w:hAnsi="宋体" w:cs="宋体"/>
                <w:color w:val="auto"/>
                <w:szCs w:val="21"/>
              </w:rPr>
              <w:t>分；具备资产评估师或房地产评估资格证书，满足条件得</w:t>
            </w:r>
            <w:r>
              <w:rPr>
                <w:rFonts w:hint="eastAsia" w:ascii="宋体" w:hAnsi="宋体" w:cs="宋体"/>
                <w:color w:val="auto"/>
                <w:szCs w:val="21"/>
                <w:lang w:val="en-US" w:eastAsia="zh-CN"/>
              </w:rPr>
              <w:t>3</w:t>
            </w:r>
            <w:r>
              <w:rPr>
                <w:rFonts w:hint="eastAsia" w:ascii="宋体" w:hAnsi="宋体" w:cs="宋体"/>
                <w:color w:val="auto"/>
                <w:szCs w:val="21"/>
              </w:rPr>
              <w:t>分；本项满分得</w:t>
            </w:r>
            <w:r>
              <w:rPr>
                <w:rFonts w:hint="eastAsia" w:ascii="宋体" w:hAnsi="宋体" w:cs="宋体"/>
                <w:color w:val="auto"/>
                <w:szCs w:val="21"/>
                <w:lang w:val="en-US" w:eastAsia="zh-CN"/>
              </w:rPr>
              <w:t>9</w:t>
            </w:r>
            <w:r>
              <w:rPr>
                <w:rFonts w:hint="eastAsia" w:ascii="宋体" w:hAnsi="宋体" w:cs="宋体"/>
                <w:color w:val="auto"/>
                <w:szCs w:val="21"/>
              </w:rPr>
              <w:t>分；</w:t>
            </w:r>
          </w:p>
          <w:p w14:paraId="57B611AD">
            <w:pPr>
              <w:spacing w:line="0" w:lineRule="atLeast"/>
              <w:rPr>
                <w:rFonts w:hint="eastAsia" w:ascii="宋体" w:hAnsi="宋体" w:cs="宋体"/>
                <w:color w:val="auto"/>
                <w:szCs w:val="21"/>
              </w:rPr>
            </w:pPr>
            <w:r>
              <w:rPr>
                <w:rFonts w:hint="eastAsia" w:ascii="宋体" w:hAnsi="宋体" w:cs="宋体"/>
                <w:color w:val="auto"/>
                <w:szCs w:val="21"/>
              </w:rPr>
              <w:t>（2）拟安排的项目团队成员同时具备资产评估和房地产估价资格证书，满足条件每位得</w:t>
            </w:r>
            <w:r>
              <w:rPr>
                <w:rFonts w:hint="eastAsia" w:ascii="宋体" w:hAnsi="宋体" w:cs="宋体"/>
                <w:color w:val="auto"/>
                <w:szCs w:val="21"/>
                <w:lang w:val="en-US" w:eastAsia="zh-CN"/>
              </w:rPr>
              <w:t>3</w:t>
            </w:r>
            <w:r>
              <w:rPr>
                <w:rFonts w:hint="eastAsia" w:ascii="宋体" w:hAnsi="宋体" w:cs="宋体"/>
                <w:color w:val="auto"/>
                <w:szCs w:val="21"/>
              </w:rPr>
              <w:t>分；或者同时具备咨询工程师证书和造价工程师证书，满足条件每位得</w:t>
            </w:r>
            <w:r>
              <w:rPr>
                <w:rFonts w:hint="eastAsia" w:ascii="宋体" w:hAnsi="宋体" w:cs="宋体"/>
                <w:color w:val="auto"/>
                <w:szCs w:val="21"/>
                <w:lang w:val="en-US" w:eastAsia="zh-CN"/>
              </w:rPr>
              <w:t>3</w:t>
            </w:r>
            <w:r>
              <w:rPr>
                <w:rFonts w:hint="eastAsia" w:ascii="宋体" w:hAnsi="宋体" w:cs="宋体"/>
                <w:color w:val="auto"/>
                <w:szCs w:val="21"/>
              </w:rPr>
              <w:t>分；本项满分得</w:t>
            </w:r>
            <w:r>
              <w:rPr>
                <w:rFonts w:hint="eastAsia" w:ascii="宋体" w:hAnsi="宋体" w:cs="宋体"/>
                <w:color w:val="auto"/>
                <w:szCs w:val="21"/>
                <w:lang w:val="en-US" w:eastAsia="zh-CN"/>
              </w:rPr>
              <w:t>9</w:t>
            </w:r>
            <w:r>
              <w:rPr>
                <w:rFonts w:hint="eastAsia" w:ascii="宋体" w:hAnsi="宋体" w:cs="宋体"/>
                <w:color w:val="auto"/>
                <w:szCs w:val="21"/>
              </w:rPr>
              <w:t>分。</w:t>
            </w:r>
          </w:p>
          <w:p w14:paraId="70D6264D">
            <w:pPr>
              <w:spacing w:line="0" w:lineRule="atLeast"/>
              <w:rPr>
                <w:rFonts w:ascii="宋体" w:hAnsi="宋体" w:cs="宋体"/>
                <w:color w:val="auto"/>
                <w:szCs w:val="21"/>
              </w:rPr>
            </w:pPr>
            <w:r>
              <w:rPr>
                <w:rFonts w:hint="eastAsia" w:ascii="宋体" w:hAnsi="宋体" w:cs="宋体"/>
                <w:color w:val="auto"/>
                <w:szCs w:val="21"/>
              </w:rPr>
              <w:t>本项目合计最高得</w:t>
            </w:r>
            <w:r>
              <w:rPr>
                <w:rFonts w:hint="eastAsia" w:ascii="宋体" w:hAnsi="宋体" w:cs="宋体"/>
                <w:color w:val="auto"/>
                <w:szCs w:val="21"/>
                <w:lang w:val="en-US" w:eastAsia="zh-CN"/>
              </w:rPr>
              <w:t>18</w:t>
            </w:r>
            <w:r>
              <w:rPr>
                <w:rFonts w:hint="eastAsia" w:ascii="宋体" w:hAnsi="宋体" w:cs="宋体"/>
                <w:color w:val="auto"/>
                <w:szCs w:val="21"/>
              </w:rPr>
              <w:t>分。</w:t>
            </w:r>
            <w:r>
              <w:rPr>
                <w:rFonts w:hint="eastAsia" w:ascii="宋体" w:hAnsi="宋体" w:cs="宋体"/>
                <w:color w:val="auto"/>
                <w:sz w:val="21"/>
                <w:szCs w:val="21"/>
              </w:rPr>
              <w:t>(提供团队成员资格证书和职称证书复印件，相关工作经验证明并加盖投标人公章，原件备查。不清晰或未提供不得分。)</w:t>
            </w:r>
          </w:p>
        </w:tc>
        <w:tc>
          <w:tcPr>
            <w:tcW w:w="1433" w:type="dxa"/>
            <w:noWrap w:val="0"/>
            <w:vAlign w:val="center"/>
          </w:tcPr>
          <w:p w14:paraId="43C16ECF">
            <w:pPr>
              <w:adjustRightInd w:val="0"/>
              <w:snapToGrid w:val="0"/>
              <w:spacing w:line="0" w:lineRule="atLeast"/>
              <w:rPr>
                <w:rFonts w:hint="eastAsia"/>
                <w:color w:val="auto"/>
                <w:szCs w:val="21"/>
              </w:rPr>
            </w:pPr>
            <w:r>
              <w:rPr>
                <w:rFonts w:hint="eastAsia"/>
                <w:color w:val="auto"/>
                <w:szCs w:val="21"/>
              </w:rPr>
              <w:t>提供相应合同文件、成果文件</w:t>
            </w:r>
            <w:r>
              <w:rPr>
                <w:rFonts w:hint="eastAsia"/>
                <w:color w:val="auto"/>
                <w:szCs w:val="21"/>
                <w:lang w:eastAsia="zh-CN"/>
              </w:rPr>
              <w:t>、</w:t>
            </w:r>
            <w:r>
              <w:rPr>
                <w:rFonts w:hint="eastAsia"/>
                <w:color w:val="auto"/>
                <w:szCs w:val="21"/>
              </w:rPr>
              <w:t>相应工作经历及证书复印件，并加盖公章</w:t>
            </w:r>
          </w:p>
        </w:tc>
        <w:tc>
          <w:tcPr>
            <w:tcW w:w="1267" w:type="dxa"/>
            <w:noWrap w:val="0"/>
            <w:vAlign w:val="center"/>
          </w:tcPr>
          <w:p w14:paraId="54FD3A49">
            <w:pPr>
              <w:widowControl/>
              <w:adjustRightInd w:val="0"/>
              <w:snapToGrid w:val="0"/>
              <w:spacing w:line="0" w:lineRule="atLeast"/>
              <w:jc w:val="center"/>
              <w:rPr>
                <w:rFonts w:hint="eastAsia" w:ascii="宋体" w:hAnsi="宋体" w:cs="宋体"/>
                <w:color w:val="auto"/>
                <w:szCs w:val="21"/>
                <w:lang w:val="en-US" w:eastAsia="zh-CN"/>
              </w:rPr>
            </w:pPr>
            <w:r>
              <w:rPr>
                <w:rFonts w:hint="eastAsia" w:ascii="宋体" w:hAnsi="宋体" w:cs="宋体"/>
                <w:color w:val="auto"/>
                <w:szCs w:val="21"/>
                <w:lang w:val="en-US" w:eastAsia="zh-CN"/>
              </w:rPr>
              <w:t>18</w:t>
            </w:r>
            <w:r>
              <w:rPr>
                <w:rFonts w:hint="eastAsia" w:ascii="宋体" w:hAnsi="宋体" w:cs="宋体"/>
                <w:color w:val="auto"/>
                <w:szCs w:val="21"/>
              </w:rPr>
              <w:t>分</w:t>
            </w:r>
          </w:p>
        </w:tc>
        <w:tc>
          <w:tcPr>
            <w:tcW w:w="1004" w:type="dxa"/>
            <w:noWrap w:val="0"/>
            <w:vAlign w:val="center"/>
          </w:tcPr>
          <w:p w14:paraId="77899E02">
            <w:pPr>
              <w:widowControl/>
              <w:adjustRightInd w:val="0"/>
              <w:snapToGrid w:val="0"/>
              <w:spacing w:line="0" w:lineRule="atLeast"/>
              <w:jc w:val="center"/>
              <w:rPr>
                <w:rFonts w:ascii="宋体" w:hAnsi="宋体" w:cs="宋体"/>
                <w:color w:val="auto"/>
                <w:szCs w:val="21"/>
              </w:rPr>
            </w:pPr>
          </w:p>
        </w:tc>
      </w:tr>
      <w:tr w14:paraId="0588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663" w:type="dxa"/>
            <w:noWrap w:val="0"/>
            <w:vAlign w:val="center"/>
          </w:tcPr>
          <w:p w14:paraId="3A48551A">
            <w:pPr>
              <w:widowControl/>
              <w:adjustRightInd w:val="0"/>
              <w:snapToGrid w:val="0"/>
              <w:spacing w:line="0" w:lineRule="atLeast"/>
              <w:jc w:val="center"/>
              <w:rPr>
                <w:rFonts w:hint="default" w:ascii="宋体" w:hAnsi="宋体" w:cs="宋体"/>
                <w:color w:val="auto"/>
                <w:szCs w:val="21"/>
                <w:lang w:val="en-US" w:eastAsia="zh-CN"/>
              </w:rPr>
            </w:pPr>
            <w:r>
              <w:rPr>
                <w:rFonts w:hint="eastAsia" w:ascii="宋体" w:hAnsi="宋体" w:cs="宋体"/>
                <w:color w:val="auto"/>
                <w:szCs w:val="21"/>
                <w:lang w:val="en-US" w:eastAsia="zh-CN"/>
              </w:rPr>
              <w:t>4</w:t>
            </w:r>
          </w:p>
        </w:tc>
        <w:tc>
          <w:tcPr>
            <w:tcW w:w="914" w:type="dxa"/>
            <w:noWrap w:val="0"/>
            <w:vAlign w:val="center"/>
          </w:tcPr>
          <w:p w14:paraId="5B9A60E8">
            <w:pPr>
              <w:spacing w:line="0" w:lineRule="atLeast"/>
              <w:jc w:val="center"/>
              <w:rPr>
                <w:rFonts w:hint="eastAsia" w:ascii="宋体" w:hAnsi="宋体" w:cs="宋体" w:eastAsiaTheme="minorEastAsia"/>
                <w:color w:val="auto"/>
                <w:szCs w:val="21"/>
                <w:lang w:eastAsia="zh-CN"/>
              </w:rPr>
            </w:pPr>
            <w:r>
              <w:rPr>
                <w:rFonts w:hint="eastAsia" w:ascii="宋体" w:hAnsi="宋体" w:cs="宋体"/>
                <w:color w:val="auto"/>
                <w:szCs w:val="21"/>
                <w:lang w:eastAsia="zh-CN"/>
              </w:rPr>
              <w:t>项目服务方案</w:t>
            </w:r>
          </w:p>
        </w:tc>
        <w:tc>
          <w:tcPr>
            <w:tcW w:w="3755" w:type="dxa"/>
            <w:noWrap w:val="0"/>
            <w:vAlign w:val="center"/>
          </w:tcPr>
          <w:p w14:paraId="51B75880">
            <w:pPr>
              <w:ind w:left="-78" w:leftChars="-37" w:right="-73" w:rightChars="-35"/>
              <w:rPr>
                <w:rFonts w:hint="eastAsia" w:ascii="宋体" w:hAnsi="宋体" w:cs="宋体"/>
                <w:szCs w:val="21"/>
              </w:rPr>
            </w:pPr>
            <w:r>
              <w:rPr>
                <w:rFonts w:hint="eastAsia" w:ascii="宋体" w:hAnsi="宋体" w:cs="宋体"/>
                <w:szCs w:val="21"/>
              </w:rPr>
              <w:t>在投标文件中详细说明项目服务方案及合理化建议，详细阐述</w:t>
            </w:r>
            <w:r>
              <w:rPr>
                <w:rFonts w:hint="eastAsia" w:ascii="宋体" w:hAnsi="宋体" w:cs="宋体"/>
                <w:szCs w:val="21"/>
                <w:lang w:eastAsia="zh-CN"/>
              </w:rPr>
              <w:t>项目</w:t>
            </w:r>
            <w:r>
              <w:rPr>
                <w:rFonts w:hint="eastAsia" w:ascii="宋体" w:hAnsi="宋体" w:cs="宋体"/>
                <w:szCs w:val="21"/>
              </w:rPr>
              <w:t>服务方案，要求有科学的工作方法，流畅的工作流程及完善的沟通回应机制和应急机制，并提出应对措施和相关合理化建议，评分规则如下：</w:t>
            </w:r>
          </w:p>
          <w:p w14:paraId="3CBBD7B7">
            <w:pPr>
              <w:ind w:left="-78" w:leftChars="-37" w:right="-73" w:rightChars="-35"/>
              <w:rPr>
                <w:rFonts w:hint="eastAsia" w:ascii="宋体" w:hAnsi="宋体" w:cs="宋体"/>
                <w:szCs w:val="21"/>
              </w:rPr>
            </w:pPr>
            <w:r>
              <w:rPr>
                <w:rFonts w:hint="eastAsia" w:ascii="宋体" w:hAnsi="宋体" w:cs="宋体"/>
                <w:szCs w:val="21"/>
              </w:rPr>
              <w:t>（1）</w:t>
            </w:r>
            <w:r>
              <w:rPr>
                <w:rFonts w:hint="eastAsia" w:ascii="宋体" w:hAnsi="宋体" w:cs="宋体"/>
                <w:szCs w:val="21"/>
                <w:lang w:eastAsia="zh-CN"/>
              </w:rPr>
              <w:t>项目</w:t>
            </w:r>
            <w:r>
              <w:rPr>
                <w:rFonts w:hint="eastAsia" w:ascii="宋体" w:hAnsi="宋体" w:cs="宋体"/>
                <w:szCs w:val="21"/>
              </w:rPr>
              <w:t>服务方案详细，工作方法科学，评价为优，得</w:t>
            </w:r>
            <w:r>
              <w:rPr>
                <w:rFonts w:hint="eastAsia" w:ascii="宋体" w:hAnsi="宋体" w:cs="宋体"/>
                <w:szCs w:val="21"/>
                <w:lang w:val="en-US" w:eastAsia="zh-CN"/>
              </w:rPr>
              <w:t>20</w:t>
            </w:r>
            <w:r>
              <w:rPr>
                <w:rFonts w:hint="eastAsia" w:ascii="宋体" w:hAnsi="宋体" w:cs="宋体"/>
                <w:szCs w:val="21"/>
              </w:rPr>
              <w:t>分；</w:t>
            </w:r>
          </w:p>
          <w:p w14:paraId="3A66CD85">
            <w:pPr>
              <w:ind w:left="-78" w:leftChars="-37" w:right="-73" w:rightChars="-35"/>
              <w:rPr>
                <w:rFonts w:hint="eastAsia" w:ascii="宋体" w:hAnsi="宋体" w:cs="宋体"/>
                <w:szCs w:val="21"/>
              </w:rPr>
            </w:pPr>
            <w:r>
              <w:rPr>
                <w:rFonts w:hint="eastAsia" w:ascii="宋体" w:hAnsi="宋体" w:cs="宋体"/>
                <w:szCs w:val="21"/>
              </w:rPr>
              <w:t>（2）</w:t>
            </w:r>
            <w:r>
              <w:rPr>
                <w:rFonts w:hint="eastAsia" w:ascii="宋体" w:hAnsi="宋体" w:cs="宋体"/>
                <w:szCs w:val="21"/>
                <w:lang w:eastAsia="zh-CN"/>
              </w:rPr>
              <w:t>项目</w:t>
            </w:r>
            <w:r>
              <w:rPr>
                <w:rFonts w:hint="eastAsia" w:ascii="宋体" w:hAnsi="宋体" w:cs="宋体"/>
                <w:szCs w:val="21"/>
              </w:rPr>
              <w:t>服务方案较详细，工作方法较科学，评价为良，得</w:t>
            </w:r>
            <w:r>
              <w:rPr>
                <w:rFonts w:hint="eastAsia" w:ascii="宋体" w:hAnsi="宋体" w:cs="宋体"/>
                <w:szCs w:val="21"/>
                <w:lang w:val="en-US" w:eastAsia="zh-CN"/>
              </w:rPr>
              <w:t>12</w:t>
            </w:r>
            <w:r>
              <w:rPr>
                <w:rFonts w:hint="eastAsia" w:ascii="宋体" w:hAnsi="宋体" w:cs="宋体"/>
                <w:szCs w:val="21"/>
              </w:rPr>
              <w:t>分；</w:t>
            </w:r>
          </w:p>
          <w:p w14:paraId="7FF661DC">
            <w:pPr>
              <w:ind w:left="-78" w:leftChars="-37" w:right="-73" w:rightChars="-35"/>
              <w:rPr>
                <w:rFonts w:hint="eastAsia" w:ascii="宋体" w:hAnsi="宋体" w:cs="宋体"/>
                <w:szCs w:val="21"/>
              </w:rPr>
            </w:pPr>
            <w:r>
              <w:rPr>
                <w:rFonts w:hint="eastAsia" w:ascii="宋体" w:hAnsi="宋体" w:cs="宋体"/>
                <w:szCs w:val="21"/>
              </w:rPr>
              <w:t>（3）</w:t>
            </w:r>
            <w:r>
              <w:rPr>
                <w:rFonts w:hint="eastAsia" w:ascii="宋体" w:hAnsi="宋体" w:cs="宋体"/>
                <w:szCs w:val="21"/>
                <w:lang w:eastAsia="zh-CN"/>
              </w:rPr>
              <w:t>项目</w:t>
            </w:r>
            <w:r>
              <w:rPr>
                <w:rFonts w:hint="eastAsia" w:ascii="宋体" w:hAnsi="宋体" w:cs="宋体"/>
                <w:szCs w:val="21"/>
              </w:rPr>
              <w:t>服务方案不详细，工作方法不科学，评价为差，不得分；</w:t>
            </w:r>
          </w:p>
          <w:p w14:paraId="437061E1">
            <w:pPr>
              <w:spacing w:line="0" w:lineRule="atLeast"/>
              <w:rPr>
                <w:rFonts w:hint="eastAsia" w:ascii="宋体" w:hAnsi="宋体" w:cs="宋体"/>
                <w:color w:val="auto"/>
                <w:szCs w:val="21"/>
              </w:rPr>
            </w:pPr>
            <w:r>
              <w:rPr>
                <w:rFonts w:hint="eastAsia" w:ascii="宋体" w:hAnsi="宋体" w:cs="宋体"/>
                <w:szCs w:val="21"/>
              </w:rPr>
              <w:t>未提供详细说明不得分。</w:t>
            </w:r>
          </w:p>
        </w:tc>
        <w:tc>
          <w:tcPr>
            <w:tcW w:w="1433" w:type="dxa"/>
            <w:noWrap w:val="0"/>
            <w:vAlign w:val="center"/>
          </w:tcPr>
          <w:p w14:paraId="27191A11">
            <w:pPr>
              <w:adjustRightInd w:val="0"/>
              <w:snapToGrid w:val="0"/>
              <w:spacing w:line="0" w:lineRule="atLeast"/>
              <w:jc w:val="center"/>
              <w:rPr>
                <w:rFonts w:hint="eastAsia" w:ascii="宋体" w:hAnsi="宋体" w:cs="宋体" w:eastAsiaTheme="minorEastAsia"/>
                <w:color w:val="auto"/>
                <w:szCs w:val="21"/>
                <w:lang w:eastAsia="zh-CN"/>
              </w:rPr>
            </w:pPr>
            <w:r>
              <w:rPr>
                <w:rFonts w:hint="eastAsia" w:ascii="宋体" w:hAnsi="宋体" w:cs="宋体"/>
                <w:color w:val="auto"/>
                <w:szCs w:val="21"/>
              </w:rPr>
              <w:t>提供技术服务方案，并加盖</w:t>
            </w:r>
            <w:r>
              <w:rPr>
                <w:rFonts w:hint="eastAsia" w:ascii="宋体" w:hAnsi="宋体" w:cs="宋体"/>
                <w:color w:val="auto"/>
                <w:szCs w:val="21"/>
                <w:lang w:eastAsia="zh-CN"/>
              </w:rPr>
              <w:t>公章</w:t>
            </w:r>
          </w:p>
        </w:tc>
        <w:tc>
          <w:tcPr>
            <w:tcW w:w="1267" w:type="dxa"/>
            <w:noWrap w:val="0"/>
            <w:vAlign w:val="center"/>
          </w:tcPr>
          <w:p w14:paraId="172BDCBE">
            <w:pPr>
              <w:spacing w:line="0" w:lineRule="atLeast"/>
              <w:jc w:val="center"/>
              <w:rPr>
                <w:rFonts w:hint="default" w:ascii="宋体" w:hAnsi="宋体" w:cs="宋体"/>
                <w:color w:val="auto"/>
                <w:szCs w:val="21"/>
                <w:lang w:val="en-US" w:eastAsia="zh-CN"/>
              </w:rPr>
            </w:pPr>
            <w:r>
              <w:rPr>
                <w:rFonts w:hint="eastAsia" w:ascii="宋体" w:hAnsi="宋体" w:cs="宋体"/>
                <w:color w:val="auto"/>
                <w:szCs w:val="21"/>
                <w:lang w:val="en-US" w:eastAsia="zh-CN"/>
              </w:rPr>
              <w:t>20分</w:t>
            </w:r>
          </w:p>
        </w:tc>
        <w:tc>
          <w:tcPr>
            <w:tcW w:w="1004" w:type="dxa"/>
            <w:noWrap w:val="0"/>
            <w:vAlign w:val="center"/>
          </w:tcPr>
          <w:p w14:paraId="4981A2A8">
            <w:pPr>
              <w:spacing w:line="0" w:lineRule="atLeast"/>
              <w:jc w:val="center"/>
              <w:rPr>
                <w:rFonts w:ascii="宋体" w:hAnsi="宋体" w:cs="宋体"/>
                <w:color w:val="auto"/>
                <w:szCs w:val="21"/>
              </w:rPr>
            </w:pPr>
          </w:p>
        </w:tc>
      </w:tr>
      <w:tr w14:paraId="00C7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663" w:type="dxa"/>
            <w:noWrap w:val="0"/>
            <w:vAlign w:val="center"/>
          </w:tcPr>
          <w:p w14:paraId="2F05AE8D">
            <w:pPr>
              <w:widowControl/>
              <w:adjustRightInd w:val="0"/>
              <w:snapToGrid w:val="0"/>
              <w:spacing w:line="0" w:lineRule="atLeast"/>
              <w:jc w:val="center"/>
              <w:rPr>
                <w:rFonts w:hint="default" w:ascii="宋体" w:hAnsi="宋体" w:cs="宋体"/>
                <w:color w:val="auto"/>
                <w:szCs w:val="21"/>
                <w:lang w:val="en-US" w:eastAsia="zh-CN"/>
              </w:rPr>
            </w:pPr>
            <w:r>
              <w:rPr>
                <w:rFonts w:hint="eastAsia" w:ascii="宋体" w:hAnsi="宋体" w:cs="宋体"/>
                <w:color w:val="auto"/>
                <w:szCs w:val="21"/>
                <w:lang w:val="en-US" w:eastAsia="zh-CN"/>
              </w:rPr>
              <w:t>5</w:t>
            </w:r>
          </w:p>
        </w:tc>
        <w:tc>
          <w:tcPr>
            <w:tcW w:w="914" w:type="dxa"/>
            <w:noWrap w:val="0"/>
            <w:vAlign w:val="center"/>
          </w:tcPr>
          <w:p w14:paraId="112C3CE0">
            <w:pPr>
              <w:spacing w:line="0" w:lineRule="atLeast"/>
              <w:jc w:val="center"/>
              <w:rPr>
                <w:rFonts w:hint="eastAsia" w:ascii="宋体" w:hAnsi="宋体" w:cs="宋体"/>
                <w:color w:val="auto"/>
                <w:szCs w:val="21"/>
                <w:lang w:eastAsia="zh-CN"/>
              </w:rPr>
            </w:pPr>
            <w:r>
              <w:rPr>
                <w:rFonts w:hint="eastAsia" w:ascii="宋体" w:hAnsi="宋体" w:cs="宋体"/>
                <w:szCs w:val="21"/>
              </w:rPr>
              <w:t>服务质量保障措施</w:t>
            </w:r>
          </w:p>
        </w:tc>
        <w:tc>
          <w:tcPr>
            <w:tcW w:w="3755" w:type="dxa"/>
            <w:noWrap w:val="0"/>
            <w:vAlign w:val="center"/>
          </w:tcPr>
          <w:p w14:paraId="18531E7D">
            <w:pPr>
              <w:ind w:left="-78" w:leftChars="-37" w:right="-73" w:rightChars="-35"/>
              <w:rPr>
                <w:rFonts w:hint="eastAsia" w:ascii="宋体" w:hAnsi="宋体" w:cs="宋体"/>
                <w:szCs w:val="21"/>
              </w:rPr>
            </w:pPr>
            <w:r>
              <w:rPr>
                <w:rFonts w:hint="eastAsia" w:ascii="宋体" w:hAnsi="宋体" w:cs="宋体"/>
                <w:szCs w:val="21"/>
              </w:rPr>
              <w:t>在投标文件中详细说明服务质量保障措施，评分规则如下：</w:t>
            </w:r>
          </w:p>
          <w:p w14:paraId="3C8B9B74">
            <w:pPr>
              <w:ind w:left="-78" w:leftChars="-37" w:right="-73" w:rightChars="-35"/>
              <w:rPr>
                <w:rFonts w:hint="eastAsia" w:ascii="宋体" w:hAnsi="宋体" w:cs="宋体"/>
                <w:szCs w:val="21"/>
              </w:rPr>
            </w:pPr>
            <w:r>
              <w:rPr>
                <w:rFonts w:hint="eastAsia" w:ascii="宋体" w:hAnsi="宋体" w:cs="宋体"/>
                <w:szCs w:val="21"/>
              </w:rPr>
              <w:t>（1）服务质量保障措施详细，安排合理，评价为优，得10分；</w:t>
            </w:r>
          </w:p>
          <w:p w14:paraId="270A9A51">
            <w:pPr>
              <w:ind w:left="-78" w:leftChars="-37" w:right="-73" w:rightChars="-35"/>
              <w:rPr>
                <w:rFonts w:hint="eastAsia" w:ascii="宋体" w:hAnsi="宋体" w:cs="宋体"/>
                <w:szCs w:val="21"/>
              </w:rPr>
            </w:pPr>
            <w:r>
              <w:rPr>
                <w:rFonts w:hint="eastAsia" w:ascii="宋体" w:hAnsi="宋体" w:cs="宋体"/>
                <w:szCs w:val="21"/>
              </w:rPr>
              <w:t>（2）服务质量保障措施较详细，安排合理，评价为良，得5分；</w:t>
            </w:r>
          </w:p>
          <w:p w14:paraId="69F0477E">
            <w:pPr>
              <w:ind w:left="-78" w:leftChars="-37" w:right="-73" w:rightChars="-35"/>
              <w:rPr>
                <w:rFonts w:hint="eastAsia" w:ascii="宋体" w:hAnsi="宋体" w:cs="宋体"/>
                <w:szCs w:val="21"/>
              </w:rPr>
            </w:pPr>
            <w:r>
              <w:rPr>
                <w:rFonts w:hint="eastAsia" w:ascii="宋体" w:hAnsi="宋体" w:cs="宋体"/>
                <w:szCs w:val="21"/>
              </w:rPr>
              <w:t>（3）服务质量保障措施不详细，安排较差，评价为差，不得分。</w:t>
            </w:r>
          </w:p>
          <w:p w14:paraId="2B57140E">
            <w:pPr>
              <w:spacing w:line="0" w:lineRule="atLeast"/>
              <w:rPr>
                <w:rFonts w:hint="eastAsia" w:ascii="宋体" w:hAnsi="宋体" w:cs="宋体"/>
                <w:szCs w:val="21"/>
              </w:rPr>
            </w:pPr>
            <w:r>
              <w:rPr>
                <w:rFonts w:hint="eastAsia" w:ascii="宋体" w:hAnsi="宋体" w:cs="宋体"/>
                <w:szCs w:val="21"/>
              </w:rPr>
              <w:t>未提供详细说明不得分。</w:t>
            </w:r>
          </w:p>
        </w:tc>
        <w:tc>
          <w:tcPr>
            <w:tcW w:w="1433" w:type="dxa"/>
            <w:noWrap w:val="0"/>
            <w:vAlign w:val="center"/>
          </w:tcPr>
          <w:p w14:paraId="1B41B80F">
            <w:pPr>
              <w:adjustRightInd w:val="0"/>
              <w:snapToGrid w:val="0"/>
              <w:spacing w:line="0" w:lineRule="atLeast"/>
              <w:jc w:val="center"/>
              <w:rPr>
                <w:rFonts w:hint="eastAsia" w:ascii="宋体" w:hAnsi="宋体" w:cs="宋体" w:eastAsiaTheme="minorEastAsia"/>
                <w:color w:val="auto"/>
                <w:szCs w:val="21"/>
                <w:lang w:eastAsia="zh-CN"/>
              </w:rPr>
            </w:pPr>
            <w:r>
              <w:rPr>
                <w:rFonts w:hint="eastAsia" w:ascii="宋体" w:hAnsi="宋体" w:cs="宋体"/>
                <w:color w:val="auto"/>
                <w:szCs w:val="21"/>
              </w:rPr>
              <w:t>提供</w:t>
            </w:r>
            <w:r>
              <w:rPr>
                <w:rFonts w:hint="eastAsia" w:ascii="宋体" w:hAnsi="宋体" w:cs="宋体"/>
                <w:color w:val="auto"/>
                <w:szCs w:val="21"/>
                <w:lang w:eastAsia="zh-CN"/>
              </w:rPr>
              <w:t>服务质量保障措施</w:t>
            </w:r>
            <w:r>
              <w:rPr>
                <w:rFonts w:hint="eastAsia" w:ascii="宋体" w:hAnsi="宋体" w:cs="宋体"/>
                <w:color w:val="auto"/>
                <w:szCs w:val="21"/>
              </w:rPr>
              <w:t>，并加盖</w:t>
            </w:r>
            <w:r>
              <w:rPr>
                <w:rFonts w:hint="eastAsia" w:ascii="宋体" w:hAnsi="宋体" w:cs="宋体"/>
                <w:color w:val="auto"/>
                <w:szCs w:val="21"/>
                <w:lang w:eastAsia="zh-CN"/>
              </w:rPr>
              <w:t>公章</w:t>
            </w:r>
          </w:p>
        </w:tc>
        <w:tc>
          <w:tcPr>
            <w:tcW w:w="1267" w:type="dxa"/>
            <w:noWrap w:val="0"/>
            <w:vAlign w:val="center"/>
          </w:tcPr>
          <w:p w14:paraId="0D955089">
            <w:pPr>
              <w:spacing w:line="0" w:lineRule="atLeast"/>
              <w:jc w:val="center"/>
              <w:rPr>
                <w:rFonts w:hint="default" w:ascii="宋体" w:hAnsi="宋体" w:cs="宋体"/>
                <w:color w:val="auto"/>
                <w:szCs w:val="21"/>
                <w:lang w:val="en-US" w:eastAsia="zh-CN"/>
              </w:rPr>
            </w:pPr>
            <w:r>
              <w:rPr>
                <w:rFonts w:hint="eastAsia" w:ascii="宋体" w:hAnsi="宋体" w:cs="宋体"/>
                <w:color w:val="auto"/>
                <w:szCs w:val="21"/>
                <w:lang w:val="en-US" w:eastAsia="zh-CN"/>
              </w:rPr>
              <w:t>10分</w:t>
            </w:r>
          </w:p>
        </w:tc>
        <w:tc>
          <w:tcPr>
            <w:tcW w:w="1004" w:type="dxa"/>
            <w:noWrap w:val="0"/>
            <w:vAlign w:val="center"/>
          </w:tcPr>
          <w:p w14:paraId="4CCA6FB9">
            <w:pPr>
              <w:spacing w:line="0" w:lineRule="atLeast"/>
              <w:jc w:val="center"/>
              <w:rPr>
                <w:rFonts w:ascii="宋体" w:hAnsi="宋体" w:cs="宋体"/>
                <w:color w:val="auto"/>
                <w:szCs w:val="21"/>
              </w:rPr>
            </w:pPr>
          </w:p>
        </w:tc>
      </w:tr>
      <w:tr w14:paraId="114A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663" w:type="dxa"/>
            <w:noWrap w:val="0"/>
            <w:vAlign w:val="center"/>
          </w:tcPr>
          <w:p w14:paraId="1627042D">
            <w:pPr>
              <w:widowControl/>
              <w:adjustRightInd w:val="0"/>
              <w:snapToGrid w:val="0"/>
              <w:spacing w:line="0" w:lineRule="atLeast"/>
              <w:jc w:val="center"/>
              <w:rPr>
                <w:rFonts w:hint="default" w:ascii="宋体" w:hAnsi="宋体" w:cs="宋体"/>
                <w:color w:val="auto"/>
                <w:szCs w:val="21"/>
                <w:lang w:val="en-US" w:eastAsia="zh-CN"/>
              </w:rPr>
            </w:pPr>
            <w:r>
              <w:rPr>
                <w:rFonts w:hint="eastAsia" w:ascii="宋体" w:hAnsi="宋体" w:cs="宋体"/>
                <w:color w:val="auto"/>
                <w:szCs w:val="21"/>
                <w:lang w:val="en-US" w:eastAsia="zh-CN"/>
              </w:rPr>
              <w:t>6</w:t>
            </w:r>
          </w:p>
        </w:tc>
        <w:tc>
          <w:tcPr>
            <w:tcW w:w="914" w:type="dxa"/>
            <w:noWrap w:val="0"/>
            <w:vAlign w:val="center"/>
          </w:tcPr>
          <w:p w14:paraId="562A3B00">
            <w:pPr>
              <w:spacing w:line="0" w:lineRule="atLeast"/>
              <w:jc w:val="center"/>
              <w:rPr>
                <w:rFonts w:hint="eastAsia" w:ascii="宋体" w:hAnsi="宋体" w:cs="宋体"/>
                <w:szCs w:val="21"/>
              </w:rPr>
            </w:pPr>
            <w:r>
              <w:rPr>
                <w:rFonts w:hint="eastAsia" w:ascii="宋体" w:hAnsi="宋体" w:cs="宋体"/>
                <w:szCs w:val="21"/>
              </w:rPr>
              <w:t>项目完成服务承诺</w:t>
            </w:r>
          </w:p>
        </w:tc>
        <w:tc>
          <w:tcPr>
            <w:tcW w:w="3755" w:type="dxa"/>
            <w:noWrap w:val="0"/>
            <w:vAlign w:val="center"/>
          </w:tcPr>
          <w:p w14:paraId="0B994980">
            <w:pPr>
              <w:ind w:left="-78" w:leftChars="-37" w:right="-73" w:rightChars="-35"/>
              <w:rPr>
                <w:rFonts w:hint="eastAsia" w:ascii="宋体" w:hAnsi="宋体" w:cs="宋体"/>
                <w:szCs w:val="21"/>
              </w:rPr>
            </w:pPr>
            <w:r>
              <w:rPr>
                <w:rFonts w:hint="eastAsia" w:ascii="宋体" w:hAnsi="宋体" w:cs="宋体"/>
                <w:szCs w:val="21"/>
              </w:rPr>
              <w:t>在投标文件中详细说明项目完成（服务期满）后的服务承诺，评分规则如下：</w:t>
            </w:r>
          </w:p>
          <w:p w14:paraId="0B11CACF">
            <w:pPr>
              <w:ind w:left="-78" w:leftChars="-37" w:right="-73" w:rightChars="-35"/>
              <w:rPr>
                <w:rFonts w:hint="eastAsia" w:ascii="宋体" w:hAnsi="宋体" w:cs="宋体"/>
                <w:szCs w:val="21"/>
              </w:rPr>
            </w:pPr>
            <w:r>
              <w:rPr>
                <w:rFonts w:hint="eastAsia" w:ascii="宋体" w:hAnsi="宋体" w:cs="宋体"/>
                <w:szCs w:val="21"/>
              </w:rPr>
              <w:t>（1）项目完成后的服务承诺详细，安排合理，评价为优，得</w:t>
            </w:r>
            <w:r>
              <w:rPr>
                <w:rFonts w:hint="eastAsia" w:ascii="宋体" w:hAnsi="宋体" w:cs="宋体"/>
                <w:szCs w:val="21"/>
                <w:lang w:val="en-US" w:eastAsia="zh-CN"/>
              </w:rPr>
              <w:t>8</w:t>
            </w:r>
            <w:r>
              <w:rPr>
                <w:rFonts w:hint="eastAsia" w:ascii="宋体" w:hAnsi="宋体" w:cs="宋体"/>
                <w:szCs w:val="21"/>
              </w:rPr>
              <w:t>分；</w:t>
            </w:r>
          </w:p>
          <w:p w14:paraId="16D753E6">
            <w:pPr>
              <w:ind w:left="-78" w:leftChars="-37" w:right="-73" w:rightChars="-35"/>
              <w:rPr>
                <w:rFonts w:hint="eastAsia" w:ascii="宋体" w:hAnsi="宋体" w:cs="宋体"/>
                <w:szCs w:val="21"/>
              </w:rPr>
            </w:pPr>
            <w:r>
              <w:rPr>
                <w:rFonts w:hint="eastAsia" w:ascii="宋体" w:hAnsi="宋体" w:cs="宋体"/>
                <w:szCs w:val="21"/>
              </w:rPr>
              <w:t>（2）项目完成后的服务承诺较详细，安排合理，评价为良，得</w:t>
            </w:r>
            <w:r>
              <w:rPr>
                <w:rFonts w:hint="eastAsia" w:ascii="宋体" w:hAnsi="宋体" w:cs="宋体"/>
                <w:szCs w:val="21"/>
                <w:lang w:val="en-US" w:eastAsia="zh-CN"/>
              </w:rPr>
              <w:t>4</w:t>
            </w:r>
            <w:r>
              <w:rPr>
                <w:rFonts w:hint="eastAsia" w:ascii="宋体" w:hAnsi="宋体" w:cs="宋体"/>
                <w:szCs w:val="21"/>
              </w:rPr>
              <w:t>分；</w:t>
            </w:r>
          </w:p>
          <w:p w14:paraId="002D6AB6">
            <w:pPr>
              <w:ind w:left="-78" w:leftChars="-37" w:right="-73" w:rightChars="-35"/>
              <w:rPr>
                <w:rFonts w:hint="eastAsia" w:ascii="宋体" w:hAnsi="宋体" w:cs="宋体"/>
                <w:szCs w:val="21"/>
              </w:rPr>
            </w:pPr>
            <w:r>
              <w:rPr>
                <w:rFonts w:hint="eastAsia" w:ascii="宋体" w:hAnsi="宋体" w:cs="宋体"/>
                <w:szCs w:val="21"/>
              </w:rPr>
              <w:t>（3）项目完成后的服务承诺不详细，安排较差，评价为差，不得分；</w:t>
            </w:r>
          </w:p>
          <w:p w14:paraId="70506A67">
            <w:pPr>
              <w:spacing w:line="0" w:lineRule="atLeast"/>
              <w:rPr>
                <w:rFonts w:hint="eastAsia" w:ascii="宋体" w:hAnsi="宋体" w:cs="宋体"/>
                <w:szCs w:val="21"/>
              </w:rPr>
            </w:pPr>
            <w:r>
              <w:rPr>
                <w:rFonts w:hint="eastAsia" w:ascii="宋体" w:hAnsi="宋体" w:cs="宋体"/>
                <w:szCs w:val="21"/>
              </w:rPr>
              <w:t>未提供详细说明不得分。</w:t>
            </w:r>
          </w:p>
        </w:tc>
        <w:tc>
          <w:tcPr>
            <w:tcW w:w="1433" w:type="dxa"/>
            <w:noWrap w:val="0"/>
            <w:vAlign w:val="center"/>
          </w:tcPr>
          <w:p w14:paraId="656041AC">
            <w:pPr>
              <w:adjustRightInd w:val="0"/>
              <w:snapToGrid w:val="0"/>
              <w:spacing w:line="0" w:lineRule="atLeast"/>
              <w:jc w:val="center"/>
              <w:rPr>
                <w:rFonts w:hint="eastAsia" w:ascii="宋体" w:hAnsi="宋体" w:cs="宋体" w:eastAsiaTheme="minorEastAsia"/>
                <w:color w:val="auto"/>
                <w:szCs w:val="21"/>
                <w:lang w:eastAsia="zh-CN"/>
              </w:rPr>
            </w:pPr>
            <w:r>
              <w:rPr>
                <w:rFonts w:hint="eastAsia" w:ascii="宋体" w:hAnsi="宋体" w:cs="宋体"/>
                <w:color w:val="auto"/>
                <w:szCs w:val="21"/>
              </w:rPr>
              <w:t>提供</w:t>
            </w:r>
            <w:r>
              <w:rPr>
                <w:rFonts w:hint="eastAsia" w:ascii="宋体" w:hAnsi="宋体" w:cs="宋体"/>
                <w:color w:val="auto"/>
                <w:szCs w:val="21"/>
                <w:lang w:eastAsia="zh-CN"/>
              </w:rPr>
              <w:t>服务承诺</w:t>
            </w:r>
            <w:r>
              <w:rPr>
                <w:rFonts w:hint="eastAsia" w:ascii="宋体" w:hAnsi="宋体" w:cs="宋体"/>
                <w:color w:val="auto"/>
                <w:szCs w:val="21"/>
              </w:rPr>
              <w:t>，并加盖</w:t>
            </w:r>
            <w:r>
              <w:rPr>
                <w:rFonts w:hint="eastAsia" w:ascii="宋体" w:hAnsi="宋体" w:cs="宋体"/>
                <w:color w:val="auto"/>
                <w:szCs w:val="21"/>
                <w:lang w:eastAsia="zh-CN"/>
              </w:rPr>
              <w:t>公章</w:t>
            </w:r>
          </w:p>
        </w:tc>
        <w:tc>
          <w:tcPr>
            <w:tcW w:w="1267" w:type="dxa"/>
            <w:noWrap w:val="0"/>
            <w:vAlign w:val="center"/>
          </w:tcPr>
          <w:p w14:paraId="70B1FFAB">
            <w:pPr>
              <w:spacing w:line="0" w:lineRule="atLeast"/>
              <w:jc w:val="center"/>
              <w:rPr>
                <w:rFonts w:hint="default" w:ascii="宋体" w:hAnsi="宋体" w:cs="宋体"/>
                <w:color w:val="auto"/>
                <w:szCs w:val="21"/>
                <w:lang w:val="en-US" w:eastAsia="zh-CN"/>
              </w:rPr>
            </w:pPr>
            <w:r>
              <w:rPr>
                <w:rFonts w:hint="eastAsia" w:ascii="宋体" w:hAnsi="宋体" w:cs="宋体"/>
                <w:color w:val="auto"/>
                <w:szCs w:val="21"/>
                <w:lang w:val="en-US" w:eastAsia="zh-CN"/>
              </w:rPr>
              <w:t>8分</w:t>
            </w:r>
          </w:p>
        </w:tc>
        <w:tc>
          <w:tcPr>
            <w:tcW w:w="1004" w:type="dxa"/>
            <w:noWrap w:val="0"/>
            <w:vAlign w:val="center"/>
          </w:tcPr>
          <w:p w14:paraId="58A9ED72">
            <w:pPr>
              <w:spacing w:line="0" w:lineRule="atLeast"/>
              <w:jc w:val="center"/>
              <w:rPr>
                <w:rFonts w:ascii="宋体" w:hAnsi="宋体" w:cs="宋体"/>
                <w:color w:val="auto"/>
                <w:szCs w:val="21"/>
              </w:rPr>
            </w:pPr>
          </w:p>
        </w:tc>
      </w:tr>
      <w:tr w14:paraId="70E7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6765" w:type="dxa"/>
            <w:gridSpan w:val="4"/>
            <w:noWrap w:val="0"/>
            <w:vAlign w:val="center"/>
          </w:tcPr>
          <w:p w14:paraId="24631981">
            <w:pPr>
              <w:widowControl/>
              <w:adjustRightInd w:val="0"/>
              <w:snapToGrid w:val="0"/>
              <w:spacing w:line="0" w:lineRule="atLeast"/>
              <w:jc w:val="center"/>
              <w:rPr>
                <w:rFonts w:ascii="宋体" w:hAnsi="宋体" w:cs="宋体"/>
                <w:color w:val="auto"/>
                <w:szCs w:val="21"/>
              </w:rPr>
            </w:pPr>
            <w:r>
              <w:rPr>
                <w:rFonts w:hint="eastAsia" w:ascii="宋体" w:hAnsi="宋体" w:cs="宋体"/>
                <w:color w:val="auto"/>
                <w:szCs w:val="21"/>
              </w:rPr>
              <w:t>合计</w:t>
            </w:r>
          </w:p>
        </w:tc>
        <w:tc>
          <w:tcPr>
            <w:tcW w:w="1267" w:type="dxa"/>
            <w:noWrap w:val="0"/>
            <w:vAlign w:val="center"/>
          </w:tcPr>
          <w:p w14:paraId="6206B7A4">
            <w:pPr>
              <w:widowControl/>
              <w:adjustRightInd w:val="0"/>
              <w:snapToGrid w:val="0"/>
              <w:spacing w:line="0" w:lineRule="atLeast"/>
              <w:jc w:val="center"/>
              <w:rPr>
                <w:rFonts w:ascii="宋体" w:hAnsi="宋体" w:cs="宋体"/>
                <w:color w:val="auto"/>
                <w:szCs w:val="21"/>
              </w:rPr>
            </w:pPr>
            <w:r>
              <w:rPr>
                <w:rFonts w:hint="eastAsia" w:ascii="宋体" w:hAnsi="宋体" w:cs="宋体"/>
                <w:color w:val="auto"/>
                <w:szCs w:val="21"/>
              </w:rPr>
              <w:t>100分</w:t>
            </w:r>
          </w:p>
        </w:tc>
        <w:tc>
          <w:tcPr>
            <w:tcW w:w="1004" w:type="dxa"/>
            <w:noWrap w:val="0"/>
            <w:vAlign w:val="center"/>
          </w:tcPr>
          <w:p w14:paraId="51494AB8">
            <w:pPr>
              <w:adjustRightInd w:val="0"/>
              <w:snapToGrid w:val="0"/>
              <w:spacing w:line="0" w:lineRule="atLeast"/>
              <w:jc w:val="center"/>
              <w:rPr>
                <w:rFonts w:ascii="宋体" w:hAnsi="宋体" w:cs="宋体"/>
                <w:color w:val="auto"/>
                <w:szCs w:val="21"/>
              </w:rPr>
            </w:pPr>
          </w:p>
        </w:tc>
      </w:tr>
      <w:tr w14:paraId="6C51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6765" w:type="dxa"/>
            <w:gridSpan w:val="4"/>
            <w:noWrap w:val="0"/>
            <w:vAlign w:val="center"/>
          </w:tcPr>
          <w:p w14:paraId="6019BFC8">
            <w:pPr>
              <w:widowControl/>
              <w:adjustRightInd w:val="0"/>
              <w:snapToGrid w:val="0"/>
              <w:spacing w:line="0" w:lineRule="atLeast"/>
              <w:jc w:val="center"/>
              <w:rPr>
                <w:rFonts w:ascii="宋体" w:hAnsi="宋体" w:cs="宋体"/>
                <w:color w:val="auto"/>
                <w:szCs w:val="21"/>
              </w:rPr>
            </w:pPr>
            <w:r>
              <w:rPr>
                <w:rFonts w:hint="eastAsia" w:ascii="宋体" w:hAnsi="宋体" w:cs="宋体"/>
                <w:b/>
                <w:bCs/>
                <w:color w:val="auto"/>
                <w:szCs w:val="21"/>
              </w:rPr>
              <w:t>拟推荐成交候选供应商</w:t>
            </w:r>
            <w:r>
              <w:rPr>
                <w:rFonts w:hint="eastAsia" w:ascii="宋体" w:hAnsi="宋体" w:cs="宋体"/>
                <w:b/>
                <w:bCs/>
                <w:color w:val="000000"/>
                <w:szCs w:val="21"/>
                <w:highlight w:val="none"/>
              </w:rPr>
              <w:t>（原则推荐评审综合得分最高的单位）</w:t>
            </w:r>
          </w:p>
        </w:tc>
        <w:tc>
          <w:tcPr>
            <w:tcW w:w="1267" w:type="dxa"/>
            <w:noWrap w:val="0"/>
            <w:vAlign w:val="center"/>
          </w:tcPr>
          <w:p w14:paraId="70F01F14">
            <w:pPr>
              <w:widowControl/>
              <w:adjustRightInd w:val="0"/>
              <w:snapToGrid w:val="0"/>
              <w:spacing w:line="0" w:lineRule="atLeast"/>
              <w:jc w:val="center"/>
              <w:rPr>
                <w:rFonts w:ascii="宋体" w:hAnsi="宋体" w:cs="宋体"/>
                <w:color w:val="auto"/>
                <w:szCs w:val="21"/>
              </w:rPr>
            </w:pPr>
          </w:p>
        </w:tc>
        <w:tc>
          <w:tcPr>
            <w:tcW w:w="1004" w:type="dxa"/>
            <w:noWrap w:val="0"/>
            <w:vAlign w:val="center"/>
          </w:tcPr>
          <w:p w14:paraId="1184AB40">
            <w:pPr>
              <w:adjustRightInd w:val="0"/>
              <w:snapToGrid w:val="0"/>
              <w:spacing w:line="0" w:lineRule="atLeast"/>
              <w:jc w:val="center"/>
              <w:rPr>
                <w:rFonts w:ascii="宋体" w:hAnsi="宋体" w:cs="宋体"/>
                <w:color w:val="auto"/>
                <w:szCs w:val="21"/>
              </w:rPr>
            </w:pPr>
          </w:p>
        </w:tc>
      </w:tr>
      <w:bookmarkEnd w:id="0"/>
    </w:tbl>
    <w:p w14:paraId="12B62E6D">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before="0" w:line="480" w:lineRule="exact"/>
        <w:ind w:left="0" w:leftChars="0"/>
        <w:jc w:val="both"/>
        <w:textAlignment w:val="auto"/>
        <w:rPr>
          <w:rFonts w:hint="default" w:ascii="黑体" w:hAnsi="黑体" w:eastAsia="黑体" w:cs="黑体"/>
          <w:kern w:val="2"/>
          <w:sz w:val="21"/>
          <w:szCs w:val="21"/>
          <w:highlight w:val="none"/>
        </w:rPr>
      </w:pPr>
      <w:r>
        <w:rPr>
          <w:rFonts w:ascii="黑体" w:hAnsi="黑体" w:eastAsia="黑体" w:cs="黑体"/>
          <w:kern w:val="2"/>
          <w:sz w:val="21"/>
          <w:szCs w:val="21"/>
          <w:highlight w:val="none"/>
        </w:rPr>
        <w:t>备注：</w:t>
      </w:r>
      <w:r>
        <w:rPr>
          <w:rFonts w:ascii="黑体" w:hAnsi="黑体" w:eastAsia="黑体" w:cs="黑体"/>
          <w:kern w:val="2"/>
          <w:sz w:val="21"/>
          <w:szCs w:val="21"/>
          <w:highlight w:val="none"/>
          <w:lang w:val="en-US"/>
        </w:rPr>
        <w:t>1.</w:t>
      </w:r>
      <w:r>
        <w:rPr>
          <w:rFonts w:ascii="黑体" w:hAnsi="黑体" w:eastAsia="黑体" w:cs="黑体"/>
          <w:kern w:val="2"/>
          <w:sz w:val="21"/>
          <w:szCs w:val="21"/>
          <w:highlight w:val="none"/>
        </w:rPr>
        <w:t>各项评审打分按照四舍五入，小数点后保留</w:t>
      </w:r>
      <w:r>
        <w:rPr>
          <w:rFonts w:ascii="黑体" w:hAnsi="黑体" w:eastAsia="黑体" w:cs="黑体"/>
          <w:kern w:val="2"/>
          <w:sz w:val="21"/>
          <w:szCs w:val="21"/>
          <w:highlight w:val="none"/>
          <w:lang w:val="en-US"/>
        </w:rPr>
        <w:t>2</w:t>
      </w:r>
      <w:r>
        <w:rPr>
          <w:rFonts w:ascii="黑体" w:hAnsi="黑体" w:eastAsia="黑体" w:cs="黑体"/>
          <w:kern w:val="2"/>
          <w:sz w:val="21"/>
          <w:szCs w:val="21"/>
          <w:highlight w:val="none"/>
        </w:rPr>
        <w:t>位进行计算；</w:t>
      </w:r>
    </w:p>
    <w:p w14:paraId="2FF42307">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before="0" w:line="480" w:lineRule="exact"/>
        <w:ind w:left="0" w:leftChars="0" w:hanging="1050"/>
        <w:jc w:val="both"/>
        <w:textAlignment w:val="auto"/>
        <w:rPr>
          <w:rFonts w:ascii="黑体" w:hAnsi="黑体" w:eastAsia="黑体" w:cs="黑体"/>
          <w:kern w:val="2"/>
          <w:sz w:val="21"/>
          <w:szCs w:val="21"/>
          <w:highlight w:val="none"/>
        </w:rPr>
        <w:sectPr>
          <w:pgSz w:w="11906" w:h="16838"/>
          <w:pgMar w:top="2098" w:right="1474" w:bottom="1984" w:left="1587" w:header="851" w:footer="992" w:gutter="0"/>
          <w:pgNumType w:fmt="decimal"/>
          <w:cols w:space="425" w:num="1"/>
          <w:docGrid w:type="lines" w:linePitch="312" w:charSpace="0"/>
        </w:sectPr>
      </w:pPr>
      <w:r>
        <w:rPr>
          <w:rFonts w:ascii="黑体" w:hAnsi="黑体" w:eastAsia="黑体" w:cs="黑体"/>
          <w:kern w:val="2"/>
          <w:sz w:val="21"/>
          <w:szCs w:val="21"/>
          <w:highlight w:val="none"/>
          <w:lang w:val="en-US"/>
        </w:rPr>
        <w:t xml:space="preserve">          2.</w:t>
      </w:r>
      <w:r>
        <w:rPr>
          <w:rFonts w:ascii="黑体" w:hAnsi="黑体" w:eastAsia="黑体" w:cs="黑体"/>
          <w:kern w:val="2"/>
          <w:sz w:val="21"/>
          <w:szCs w:val="21"/>
          <w:highlight w:val="none"/>
        </w:rPr>
        <w:t>若出现拟推荐成交候选供应商票数相同的情况，以未推荐上述单位的评审专家对并列第一的候选供应商既定打分排序作为最终选定依据。</w:t>
      </w:r>
    </w:p>
    <w:p w14:paraId="04D2B94D">
      <w:pPr>
        <w:keepNext w:val="0"/>
        <w:keepLines w:val="0"/>
        <w:pageBreakBefore w:val="0"/>
        <w:kinsoku/>
        <w:wordWrap/>
        <w:overflowPunct/>
        <w:topLinePunct w:val="0"/>
        <w:autoSpaceDE/>
        <w:autoSpaceDN/>
        <w:bidi w:val="0"/>
        <w:adjustRightInd/>
        <w:snapToGrid/>
        <w:spacing w:line="480" w:lineRule="exact"/>
        <w:jc w:val="left"/>
        <w:textAlignment w:val="auto"/>
        <w:rPr>
          <w:rFonts w:hint="eastAsia" w:hAnsi="宋体"/>
          <w:sz w:val="36"/>
          <w:szCs w:val="36"/>
          <w:lang w:val="en-US" w:eastAsia="zh-CN"/>
        </w:rPr>
      </w:pPr>
      <w:r>
        <w:rPr>
          <w:rFonts w:hint="eastAsia" w:ascii="黑体" w:hAnsi="黑体" w:eastAsia="黑体" w:cs="黑体"/>
          <w:b w:val="0"/>
          <w:bCs w:val="0"/>
          <w:sz w:val="32"/>
          <w:szCs w:val="32"/>
          <w:lang w:val="en-US" w:eastAsia="zh-CN"/>
        </w:rPr>
        <w:t xml:space="preserve">附件3 </w:t>
      </w:r>
      <w:r>
        <w:rPr>
          <w:rFonts w:hint="eastAsia" w:ascii="黑体" w:hAnsi="黑体" w:eastAsia="黑体" w:cs="黑体"/>
          <w:b/>
          <w:bCs/>
          <w:sz w:val="32"/>
          <w:szCs w:val="32"/>
          <w:lang w:val="en-US" w:eastAsia="zh-CN"/>
        </w:rPr>
        <w:t xml:space="preserve"> </w:t>
      </w:r>
      <w:r>
        <w:rPr>
          <w:rFonts w:hint="eastAsia" w:ascii="黑体" w:hAnsi="黑体" w:eastAsia="黑体" w:cs="黑体"/>
          <w:sz w:val="32"/>
          <w:szCs w:val="32"/>
          <w:lang w:val="en-US" w:eastAsia="zh-CN"/>
        </w:rPr>
        <w:t xml:space="preserve">  </w:t>
      </w:r>
      <w:r>
        <w:rPr>
          <w:rFonts w:hint="eastAsia" w:hAnsi="宋体"/>
          <w:sz w:val="30"/>
          <w:szCs w:val="30"/>
          <w:lang w:val="en-US" w:eastAsia="zh-CN"/>
        </w:rPr>
        <w:t xml:space="preserve"> </w:t>
      </w:r>
      <w:r>
        <w:rPr>
          <w:rFonts w:hint="eastAsia" w:hAnsi="宋体"/>
          <w:sz w:val="36"/>
          <w:szCs w:val="36"/>
          <w:lang w:val="en-US" w:eastAsia="zh-CN"/>
        </w:rPr>
        <w:t xml:space="preserve">        </w:t>
      </w:r>
    </w:p>
    <w:p w14:paraId="5BC8D78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承诺函</w:t>
      </w:r>
    </w:p>
    <w:p w14:paraId="58FB5548">
      <w:pPr>
        <w:pStyle w:val="2"/>
        <w:keepNext w:val="0"/>
        <w:keepLines w:val="0"/>
        <w:pageBreakBefore w:val="0"/>
        <w:kinsoku/>
        <w:wordWrap/>
        <w:overflowPunct/>
        <w:topLinePunct w:val="0"/>
        <w:autoSpaceDE/>
        <w:autoSpaceDN/>
        <w:bidi w:val="0"/>
        <w:adjustRightInd/>
        <w:snapToGrid/>
        <w:spacing w:line="480" w:lineRule="exact"/>
        <w:textAlignment w:val="auto"/>
        <w:rPr>
          <w:rFonts w:hAnsi="宋体"/>
          <w:bCs/>
          <w:sz w:val="24"/>
          <w:szCs w:val="24"/>
        </w:rPr>
      </w:pPr>
      <w:r>
        <w:rPr>
          <w:rFonts w:hint="eastAsia" w:hAnsi="宋体"/>
          <w:bCs/>
          <w:sz w:val="24"/>
          <w:szCs w:val="24"/>
        </w:rPr>
        <w:t>致采购人:</w:t>
      </w:r>
      <w:r>
        <w:rPr>
          <w:rFonts w:hint="eastAsia" w:hAnsi="宋体"/>
          <w:sz w:val="24"/>
          <w:szCs w:val="24"/>
          <w:u w:val="single"/>
        </w:rPr>
        <w:t xml:space="preserve"> 深圳市龙岗区城市建设投资集团有限公司</w:t>
      </w:r>
    </w:p>
    <w:p w14:paraId="033FD67B">
      <w:pPr>
        <w:keepNext w:val="0"/>
        <w:keepLines w:val="0"/>
        <w:pageBreakBefore w:val="0"/>
        <w:widowControl/>
        <w:kinsoku/>
        <w:wordWrap/>
        <w:overflowPunct/>
        <w:topLinePunct w:val="0"/>
        <w:autoSpaceDE/>
        <w:autoSpaceDN/>
        <w:bidi w:val="0"/>
        <w:adjustRightInd/>
        <w:snapToGrid/>
        <w:spacing w:line="480" w:lineRule="exact"/>
        <w:ind w:left="105" w:leftChars="50" w:firstLine="480" w:firstLineChars="200"/>
        <w:jc w:val="both"/>
        <w:textAlignment w:val="auto"/>
        <w:rPr>
          <w:rFonts w:hAnsi="宋体"/>
          <w:bCs/>
          <w:sz w:val="24"/>
          <w:szCs w:val="24"/>
        </w:rPr>
      </w:pPr>
      <w:r>
        <w:rPr>
          <w:rFonts w:hint="eastAsia" w:hAnsi="宋体"/>
          <w:bCs/>
          <w:sz w:val="24"/>
          <w:szCs w:val="24"/>
        </w:rPr>
        <w:t>为了确保</w:t>
      </w:r>
      <w:r>
        <w:rPr>
          <w:rFonts w:hint="eastAsia" w:ascii="Times New Roman" w:hAnsi="宋体" w:eastAsia="宋体" w:cs="Times New Roman"/>
          <w:b w:val="0"/>
          <w:bCs/>
          <w:kern w:val="2"/>
          <w:sz w:val="24"/>
          <w:szCs w:val="24"/>
          <w:lang w:val="en-US" w:eastAsia="zh-CN" w:bidi="ar"/>
        </w:rPr>
        <w:t>区城投集团投资项目后评价服务采购</w:t>
      </w:r>
      <w:r>
        <w:rPr>
          <w:rFonts w:hint="eastAsia" w:hAnsi="宋体"/>
          <w:bCs/>
          <w:sz w:val="24"/>
          <w:szCs w:val="24"/>
        </w:rPr>
        <w:t>工作</w:t>
      </w:r>
      <w:r>
        <w:rPr>
          <w:rFonts w:hint="eastAsia" w:hAnsi="宋体"/>
          <w:bCs/>
          <w:sz w:val="24"/>
          <w:szCs w:val="24"/>
          <w:lang w:val="en-US" w:eastAsia="zh-CN"/>
        </w:rPr>
        <w:t>的</w:t>
      </w:r>
      <w:r>
        <w:rPr>
          <w:rFonts w:hint="eastAsia" w:hAnsi="宋体"/>
          <w:bCs/>
          <w:sz w:val="24"/>
          <w:szCs w:val="24"/>
        </w:rPr>
        <w:t>顺利进行，我方将严格执行建设工程招标投标管理的法律法规，并完全接受</w:t>
      </w:r>
      <w:r>
        <w:rPr>
          <w:rFonts w:hint="eastAsia" w:ascii="Times New Roman" w:hAnsi="宋体" w:eastAsia="宋体" w:cs="Times New Roman"/>
          <w:b w:val="0"/>
          <w:bCs/>
          <w:kern w:val="2"/>
          <w:sz w:val="24"/>
          <w:szCs w:val="24"/>
          <w:lang w:val="en-US" w:eastAsia="zh-CN" w:bidi="ar"/>
        </w:rPr>
        <w:t>区城投集团投资项目后评价服务采购</w:t>
      </w:r>
      <w:r>
        <w:rPr>
          <w:rFonts w:hint="eastAsia" w:hAnsi="宋体"/>
          <w:bCs/>
          <w:sz w:val="24"/>
          <w:szCs w:val="24"/>
        </w:rPr>
        <w:t>公告的所有内容及要求，为此作出如下承诺：</w:t>
      </w:r>
    </w:p>
    <w:p w14:paraId="6B5AF4D6">
      <w:pPr>
        <w:pStyle w:val="2"/>
        <w:keepNext w:val="0"/>
        <w:keepLines w:val="0"/>
        <w:pageBreakBefore w:val="0"/>
        <w:numPr>
          <w:ilvl w:val="0"/>
          <w:numId w:val="2"/>
        </w:numPr>
        <w:kinsoku/>
        <w:wordWrap/>
        <w:overflowPunct/>
        <w:topLinePunct w:val="0"/>
        <w:autoSpaceDE/>
        <w:autoSpaceDN/>
        <w:bidi w:val="0"/>
        <w:adjustRightInd/>
        <w:snapToGrid/>
        <w:spacing w:line="480" w:lineRule="exact"/>
        <w:ind w:firstLine="480" w:firstLineChars="200"/>
        <w:textAlignment w:val="auto"/>
        <w:rPr>
          <w:rFonts w:hAnsi="宋体"/>
          <w:b/>
          <w:sz w:val="24"/>
          <w:szCs w:val="24"/>
        </w:rPr>
      </w:pPr>
      <w:r>
        <w:rPr>
          <w:rFonts w:hint="eastAsia" w:hAnsi="宋体"/>
          <w:b/>
          <w:bCs/>
          <w:sz w:val="24"/>
          <w:szCs w:val="24"/>
        </w:rPr>
        <w:t>根</w:t>
      </w:r>
      <w:r>
        <w:rPr>
          <w:rFonts w:hint="eastAsia" w:hAnsi="宋体"/>
          <w:b/>
          <w:sz w:val="24"/>
          <w:szCs w:val="24"/>
        </w:rPr>
        <w:t>据企业自身情况，理性报价，不会以低于成本的报价竞标，并愿以</w:t>
      </w:r>
      <w:r>
        <w:rPr>
          <w:rFonts w:hint="eastAsia" w:hAnsi="宋体"/>
          <w:b/>
          <w:sz w:val="24"/>
          <w:szCs w:val="24"/>
          <w:u w:val="single"/>
        </w:rPr>
        <w:t xml:space="preserve">       </w:t>
      </w:r>
      <w:r>
        <w:rPr>
          <w:rFonts w:hint="eastAsia" w:hAnsi="宋体"/>
          <w:b/>
          <w:sz w:val="24"/>
          <w:szCs w:val="24"/>
        </w:rPr>
        <w:t>万元，按照采购人要求承包本项目工作，并签署服务合同。否则，我方愿意承担任何风险。（响应供应商填写）</w:t>
      </w:r>
    </w:p>
    <w:p w14:paraId="558866CF">
      <w:pPr>
        <w:pStyle w:val="2"/>
        <w:keepNext w:val="0"/>
        <w:keepLines w:val="0"/>
        <w:pageBreakBefore w:val="0"/>
        <w:numPr>
          <w:ilvl w:val="0"/>
          <w:numId w:val="2"/>
        </w:numPr>
        <w:kinsoku/>
        <w:wordWrap/>
        <w:overflowPunct/>
        <w:topLinePunct w:val="0"/>
        <w:autoSpaceDE/>
        <w:autoSpaceDN/>
        <w:bidi w:val="0"/>
        <w:adjustRightInd/>
        <w:snapToGrid/>
        <w:spacing w:line="480" w:lineRule="exact"/>
        <w:ind w:firstLine="480" w:firstLineChars="200"/>
        <w:textAlignment w:val="auto"/>
        <w:rPr>
          <w:rFonts w:hAnsi="宋体"/>
          <w:bCs/>
          <w:sz w:val="24"/>
          <w:szCs w:val="24"/>
        </w:rPr>
      </w:pPr>
      <w:r>
        <w:rPr>
          <w:rFonts w:hint="eastAsia" w:hAnsi="宋体"/>
          <w:bCs/>
          <w:sz w:val="24"/>
          <w:szCs w:val="24"/>
        </w:rPr>
        <w:t>本单位及拟派遣项目团队近三年（从公告截止之日起倒算）内无任何行贿犯罪记录。</w:t>
      </w:r>
    </w:p>
    <w:p w14:paraId="3E99F5FB">
      <w:pPr>
        <w:pStyle w:val="2"/>
        <w:keepNext w:val="0"/>
        <w:keepLines w:val="0"/>
        <w:pageBreakBefore w:val="0"/>
        <w:numPr>
          <w:ilvl w:val="0"/>
          <w:numId w:val="2"/>
        </w:numPr>
        <w:kinsoku/>
        <w:wordWrap/>
        <w:overflowPunct/>
        <w:topLinePunct w:val="0"/>
        <w:autoSpaceDE/>
        <w:autoSpaceDN/>
        <w:bidi w:val="0"/>
        <w:adjustRightInd/>
        <w:snapToGrid/>
        <w:spacing w:line="480" w:lineRule="exact"/>
        <w:ind w:firstLine="480" w:firstLineChars="200"/>
        <w:textAlignment w:val="auto"/>
        <w:rPr>
          <w:rFonts w:hAnsi="宋体"/>
          <w:bCs/>
          <w:sz w:val="24"/>
          <w:szCs w:val="24"/>
        </w:rPr>
      </w:pPr>
      <w:r>
        <w:rPr>
          <w:rFonts w:hint="eastAsia" w:hAnsi="宋体"/>
          <w:bCs/>
          <w:sz w:val="24"/>
          <w:szCs w:val="24"/>
        </w:rPr>
        <w:t>一旦我方中选，将与委托单位友好合作，并以不低于自身已有同类工作案例中最优的质量标准、进度要求、团队配置执行委托工作任务，自觉接受委托单位的日常监管和履约评价，为委托单位提供优质、高效服务，确保承接工作质量。</w:t>
      </w:r>
    </w:p>
    <w:p w14:paraId="053273FB">
      <w:pPr>
        <w:pStyle w:val="2"/>
        <w:keepNext w:val="0"/>
        <w:keepLines w:val="0"/>
        <w:pageBreakBefore w:val="0"/>
        <w:numPr>
          <w:ilvl w:val="0"/>
          <w:numId w:val="2"/>
        </w:numPr>
        <w:kinsoku/>
        <w:wordWrap/>
        <w:overflowPunct/>
        <w:topLinePunct w:val="0"/>
        <w:autoSpaceDE/>
        <w:autoSpaceDN/>
        <w:bidi w:val="0"/>
        <w:adjustRightInd/>
        <w:snapToGrid/>
        <w:spacing w:line="480" w:lineRule="exact"/>
        <w:ind w:firstLine="480" w:firstLineChars="200"/>
        <w:textAlignment w:val="auto"/>
        <w:rPr>
          <w:rFonts w:hAnsi="宋体"/>
          <w:bCs/>
          <w:sz w:val="24"/>
          <w:szCs w:val="24"/>
        </w:rPr>
      </w:pPr>
      <w:r>
        <w:rPr>
          <w:rFonts w:hint="eastAsia" w:hAnsi="宋体"/>
          <w:bCs/>
          <w:sz w:val="24"/>
          <w:szCs w:val="24"/>
        </w:rPr>
        <w:t>我方承诺履行项目管理班子配备义务，不擅自更换遴选时的项目团队（注册执业人员），如不能继续履行职责确需更换的，所更换人员为我单位职工，其从业资格不低于遴选时承诺条件。</w:t>
      </w:r>
    </w:p>
    <w:p w14:paraId="52A22A51">
      <w:pPr>
        <w:pStyle w:val="2"/>
        <w:keepNext w:val="0"/>
        <w:keepLines w:val="0"/>
        <w:pageBreakBefore w:val="0"/>
        <w:numPr>
          <w:ilvl w:val="0"/>
          <w:numId w:val="2"/>
        </w:numPr>
        <w:kinsoku/>
        <w:wordWrap/>
        <w:overflowPunct/>
        <w:topLinePunct w:val="0"/>
        <w:autoSpaceDE/>
        <w:autoSpaceDN/>
        <w:bidi w:val="0"/>
        <w:adjustRightInd/>
        <w:snapToGrid/>
        <w:spacing w:line="480" w:lineRule="exact"/>
        <w:ind w:firstLine="480" w:firstLineChars="200"/>
        <w:textAlignment w:val="auto"/>
        <w:rPr>
          <w:rFonts w:hAnsi="宋体"/>
          <w:bCs/>
          <w:sz w:val="24"/>
          <w:szCs w:val="24"/>
        </w:rPr>
      </w:pPr>
      <w:r>
        <w:rPr>
          <w:rFonts w:hint="eastAsia" w:hAnsi="宋体"/>
          <w:bCs/>
          <w:sz w:val="24"/>
          <w:szCs w:val="24"/>
        </w:rPr>
        <w:t>如果违反本承诺书中任何条款，我方愿意接受：</w:t>
      </w:r>
    </w:p>
    <w:p w14:paraId="4E5F9563">
      <w:pPr>
        <w:pStyle w:val="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Ansi="宋体"/>
          <w:bCs/>
          <w:sz w:val="24"/>
          <w:szCs w:val="24"/>
        </w:rPr>
      </w:pPr>
      <w:r>
        <w:rPr>
          <w:rFonts w:hint="eastAsia" w:hAnsi="宋体"/>
          <w:bCs/>
          <w:sz w:val="24"/>
          <w:szCs w:val="24"/>
        </w:rPr>
        <w:t>（1）视作我方单方面违约，并按照合同规定向贵方支付违约金或解除合同；</w:t>
      </w:r>
    </w:p>
    <w:p w14:paraId="042CA04E">
      <w:pPr>
        <w:pStyle w:val="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Ansi="宋体"/>
          <w:bCs/>
          <w:sz w:val="24"/>
          <w:szCs w:val="24"/>
        </w:rPr>
      </w:pPr>
      <w:r>
        <w:rPr>
          <w:rFonts w:hint="eastAsia" w:hAnsi="宋体"/>
          <w:bCs/>
          <w:sz w:val="24"/>
          <w:szCs w:val="24"/>
        </w:rPr>
        <w:t>（2）履约评价评定为合格及以下；</w:t>
      </w:r>
    </w:p>
    <w:p w14:paraId="71FBC0AB">
      <w:pPr>
        <w:pStyle w:val="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Ansi="宋体"/>
          <w:bCs/>
          <w:sz w:val="24"/>
          <w:szCs w:val="24"/>
        </w:rPr>
      </w:pPr>
      <w:r>
        <w:rPr>
          <w:rFonts w:hint="eastAsia" w:hAnsi="宋体"/>
          <w:bCs/>
          <w:sz w:val="24"/>
          <w:szCs w:val="24"/>
        </w:rPr>
        <w:t>（3）贵方今后可拒绝我方参与投标；</w:t>
      </w:r>
    </w:p>
    <w:p w14:paraId="70E42D98">
      <w:pPr>
        <w:pStyle w:val="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ascii="宋体" w:hAnsi="宋体"/>
          <w:bCs/>
          <w:sz w:val="24"/>
        </w:rPr>
      </w:pPr>
      <w:r>
        <w:rPr>
          <w:rFonts w:hint="eastAsia" w:hAnsi="宋体"/>
          <w:bCs/>
          <w:sz w:val="24"/>
          <w:szCs w:val="24"/>
        </w:rPr>
        <w:t>（4）建设行政主管部门或相关主管部门的不良行为记录、行政处罚。</w:t>
      </w:r>
    </w:p>
    <w:p w14:paraId="197F14BE">
      <w:pPr>
        <w:keepNext w:val="0"/>
        <w:keepLines w:val="0"/>
        <w:pageBreakBefore w:val="0"/>
        <w:kinsoku/>
        <w:wordWrap/>
        <w:overflowPunct/>
        <w:topLinePunct w:val="0"/>
        <w:autoSpaceDE/>
        <w:autoSpaceDN/>
        <w:bidi w:val="0"/>
        <w:adjustRightInd/>
        <w:snapToGrid/>
        <w:spacing w:line="480" w:lineRule="exact"/>
        <w:ind w:firstLine="3600" w:firstLineChars="1500"/>
        <w:textAlignment w:val="auto"/>
        <w:rPr>
          <w:rFonts w:hint="eastAsia" w:ascii="宋体" w:hAnsi="宋体"/>
          <w:bCs/>
          <w:sz w:val="24"/>
        </w:rPr>
      </w:pPr>
      <w:r>
        <w:rPr>
          <w:rFonts w:hint="eastAsia" w:ascii="宋体" w:hAnsi="宋体"/>
          <w:bCs/>
          <w:sz w:val="24"/>
        </w:rPr>
        <w:t>承诺单位（盖章）：</w:t>
      </w:r>
    </w:p>
    <w:p w14:paraId="7318DD3F">
      <w:pPr>
        <w:keepNext w:val="0"/>
        <w:keepLines w:val="0"/>
        <w:pageBreakBefore w:val="0"/>
        <w:kinsoku/>
        <w:wordWrap/>
        <w:overflowPunct/>
        <w:topLinePunct w:val="0"/>
        <w:autoSpaceDE/>
        <w:autoSpaceDN/>
        <w:bidi w:val="0"/>
        <w:adjustRightInd/>
        <w:snapToGrid/>
        <w:spacing w:line="480" w:lineRule="exact"/>
        <w:ind w:firstLine="3600" w:firstLineChars="1500"/>
        <w:textAlignment w:val="auto"/>
        <w:rPr>
          <w:rFonts w:ascii="宋体" w:hAnsi="宋体"/>
          <w:bCs/>
          <w:sz w:val="24"/>
        </w:rPr>
      </w:pPr>
      <w:r>
        <w:rPr>
          <w:rFonts w:hint="eastAsia" w:ascii="宋体" w:hAnsi="宋体"/>
          <w:bCs/>
          <w:sz w:val="24"/>
        </w:rPr>
        <w:t>法定代表人或授权委托人（签字或盖私章）：</w:t>
      </w:r>
    </w:p>
    <w:p w14:paraId="2DA42B4D">
      <w:pPr>
        <w:keepNext w:val="0"/>
        <w:keepLines w:val="0"/>
        <w:pageBreakBefore w:val="0"/>
        <w:kinsoku/>
        <w:wordWrap/>
        <w:overflowPunct/>
        <w:topLinePunct w:val="0"/>
        <w:autoSpaceDE/>
        <w:autoSpaceDN/>
        <w:bidi w:val="0"/>
        <w:adjustRightInd/>
        <w:snapToGrid/>
        <w:spacing w:line="480" w:lineRule="exact"/>
        <w:ind w:firstLine="3600" w:firstLineChars="1500"/>
        <w:textAlignment w:val="auto"/>
        <w:rPr>
          <w:rFonts w:hint="default" w:ascii="仿宋_GB2312" w:hAnsi="Times New Roman" w:eastAsia="仿宋_GB2312"/>
          <w:b w:val="0"/>
          <w:bCs w:val="0"/>
          <w:kern w:val="2"/>
          <w:sz w:val="30"/>
          <w:szCs w:val="30"/>
          <w:lang w:val="en-US" w:eastAsia="zh-CN" w:bidi="ar-SA"/>
        </w:rPr>
      </w:pPr>
      <w:r>
        <w:rPr>
          <w:rFonts w:hint="eastAsia" w:ascii="宋体" w:hAnsi="宋体"/>
          <w:bCs/>
          <w:sz w:val="24"/>
        </w:rPr>
        <w:t>签署日期：    年    月    日</w:t>
      </w:r>
    </w:p>
    <w:p w14:paraId="2B25FAB8">
      <w:pPr>
        <w:pStyle w:val="9"/>
        <w:rPr>
          <w:rFonts w:hint="eastAsia"/>
        </w:rPr>
        <w:sectPr>
          <w:headerReference r:id="rId4" w:type="default"/>
          <w:footerReference r:id="rId5" w:type="default"/>
          <w:footerReference r:id="rId6" w:type="even"/>
          <w:pgSz w:w="11906" w:h="16838"/>
          <w:pgMar w:top="2098" w:right="1474" w:bottom="1984" w:left="1588" w:header="851" w:footer="992" w:gutter="0"/>
          <w:pgNumType w:fmt="decimal"/>
          <w:cols w:space="720" w:num="1"/>
          <w:docGrid w:type="linesAndChars" w:linePitch="312" w:charSpace="0"/>
        </w:sectPr>
      </w:pPr>
    </w:p>
    <w:p w14:paraId="26A46405">
      <w:pPr>
        <w:keepNext w:val="0"/>
        <w:keepLines w:val="0"/>
        <w:pageBreakBefore w:val="0"/>
        <w:widowControl w:val="0"/>
        <w:kinsoku/>
        <w:wordWrap/>
        <w:overflowPunct/>
        <w:topLinePunct w:val="0"/>
        <w:autoSpaceDE/>
        <w:autoSpaceDN w:val="0"/>
        <w:bidi w:val="0"/>
        <w:adjustRightInd/>
        <w:snapToGrid w:val="0"/>
        <w:spacing w:line="560" w:lineRule="exact"/>
        <w:ind w:firstLine="0" w:firstLineChars="0"/>
        <w:jc w:val="left"/>
        <w:textAlignment w:val="auto"/>
        <w:rPr>
          <w:rFonts w:hint="eastAsia" w:ascii="黑体" w:hAnsi="黑体" w:eastAsia="黑体" w:cs="黑体"/>
          <w:color w:val="auto"/>
          <w:sz w:val="32"/>
          <w:szCs w:val="32"/>
          <w:highlight w:val="none"/>
          <w:lang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4</w:t>
      </w:r>
    </w:p>
    <w:p w14:paraId="07213DC6">
      <w:pPr>
        <w:autoSpaceDN w:val="0"/>
        <w:snapToGrid w:val="0"/>
        <w:spacing w:line="550" w:lineRule="exact"/>
        <w:rPr>
          <w:rFonts w:hint="eastAsia" w:ascii="仿宋_GB2312" w:hAnsi="宋体" w:eastAsia="仿宋_GB2312"/>
          <w:color w:val="auto"/>
          <w:sz w:val="32"/>
          <w:szCs w:val="32"/>
          <w:highlight w:val="none"/>
        </w:rPr>
      </w:pPr>
    </w:p>
    <w:p w14:paraId="2CA0B82C">
      <w:pPr>
        <w:autoSpaceDN w:val="0"/>
        <w:snapToGrid w:val="0"/>
        <w:spacing w:line="55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固定资产投资项目《综合后评价报告》格式</w:t>
      </w:r>
    </w:p>
    <w:p w14:paraId="394F64A2">
      <w:pPr>
        <w:autoSpaceDN w:val="0"/>
        <w:snapToGrid w:val="0"/>
        <w:spacing w:line="550" w:lineRule="exact"/>
        <w:rPr>
          <w:rFonts w:hint="eastAsia" w:ascii="黑体" w:hAnsi="宋体" w:eastAsia="黑体"/>
          <w:color w:val="auto"/>
          <w:sz w:val="32"/>
          <w:szCs w:val="32"/>
          <w:highlight w:val="none"/>
        </w:rPr>
      </w:pPr>
    </w:p>
    <w:p w14:paraId="7054EBAD">
      <w:pPr>
        <w:autoSpaceDN w:val="0"/>
        <w:snapToGrid w:val="0"/>
        <w:spacing w:line="550" w:lineRule="exact"/>
        <w:ind w:firstLine="627" w:firstLineChars="196"/>
        <w:rPr>
          <w:rFonts w:hint="eastAsia" w:ascii="黑体" w:hAnsi="宋体" w:eastAsia="黑体"/>
          <w:color w:val="auto"/>
          <w:sz w:val="32"/>
          <w:szCs w:val="32"/>
          <w:highlight w:val="none"/>
        </w:rPr>
      </w:pPr>
      <w:r>
        <w:rPr>
          <w:rFonts w:hint="eastAsia" w:ascii="黑体" w:hAnsi="宋体" w:eastAsia="黑体"/>
          <w:color w:val="auto"/>
          <w:sz w:val="32"/>
          <w:szCs w:val="32"/>
          <w:highlight w:val="none"/>
        </w:rPr>
        <w:t>一、项目概况</w:t>
      </w:r>
    </w:p>
    <w:p w14:paraId="501445B6">
      <w:pPr>
        <w:autoSpaceDN w:val="0"/>
        <w:snapToGrid w:val="0"/>
        <w:spacing w:line="550" w:lineRule="exact"/>
        <w:ind w:firstLine="640" w:firstLineChars="200"/>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主要包括项目名称、投资方、建设地点、建设规模和内容、总投资、资金来源、建设周期、运营现状及经济效益评价等。</w:t>
      </w:r>
    </w:p>
    <w:p w14:paraId="2FFE6F07">
      <w:pPr>
        <w:autoSpaceDN w:val="0"/>
        <w:snapToGrid w:val="0"/>
        <w:spacing w:line="550" w:lineRule="exact"/>
        <w:ind w:firstLine="627" w:firstLineChars="196"/>
        <w:rPr>
          <w:rFonts w:hint="eastAsia" w:ascii="黑体" w:hAnsi="宋体" w:eastAsia="黑体"/>
          <w:color w:val="auto"/>
          <w:sz w:val="32"/>
          <w:szCs w:val="32"/>
          <w:highlight w:val="none"/>
        </w:rPr>
      </w:pPr>
      <w:r>
        <w:rPr>
          <w:rFonts w:hint="eastAsia" w:ascii="黑体" w:hAnsi="宋体" w:eastAsia="黑体"/>
          <w:color w:val="auto"/>
          <w:sz w:val="32"/>
          <w:szCs w:val="32"/>
          <w:highlight w:val="none"/>
        </w:rPr>
        <w:t>二、投资实施过程评价</w:t>
      </w:r>
    </w:p>
    <w:p w14:paraId="1A082677">
      <w:pPr>
        <w:snapToGrid w:val="0"/>
        <w:spacing w:line="550" w:lineRule="exact"/>
        <w:ind w:firstLine="627" w:firstLineChars="196"/>
        <w:rPr>
          <w:rFonts w:hint="eastAsia" w:ascii="仿宋_GB2312" w:eastAsia="仿宋_GB2312"/>
          <w:color w:val="auto"/>
          <w:sz w:val="32"/>
          <w:szCs w:val="32"/>
          <w:highlight w:val="none"/>
        </w:rPr>
      </w:pPr>
      <w:r>
        <w:rPr>
          <w:rFonts w:hint="eastAsia" w:ascii="仿宋_GB2312" w:hAnsi="宋体" w:eastAsia="仿宋_GB2312"/>
          <w:color w:val="auto"/>
          <w:sz w:val="32"/>
          <w:szCs w:val="32"/>
          <w:highlight w:val="none"/>
        </w:rPr>
        <w:t>（一）</w:t>
      </w:r>
      <w:r>
        <w:rPr>
          <w:rFonts w:hint="eastAsia" w:ascii="仿宋_GB2312" w:eastAsia="仿宋_GB2312"/>
          <w:color w:val="auto"/>
          <w:sz w:val="32"/>
          <w:szCs w:val="32"/>
          <w:highlight w:val="none"/>
        </w:rPr>
        <w:t>项目前期决策：包括项目立项、可行性研究、论证、评估或评审、决策、许可等。</w:t>
      </w:r>
    </w:p>
    <w:p w14:paraId="0C0E1848">
      <w:pPr>
        <w:autoSpaceDN w:val="0"/>
        <w:snapToGrid w:val="0"/>
        <w:spacing w:line="550" w:lineRule="exact"/>
        <w:ind w:firstLine="688" w:firstLineChars="215"/>
        <w:rPr>
          <w:rFonts w:hint="eastAsia" w:ascii="仿宋_GB2312" w:eastAsia="仿宋_GB2312"/>
          <w:color w:val="auto"/>
          <w:sz w:val="32"/>
          <w:szCs w:val="32"/>
          <w:highlight w:val="none"/>
        </w:rPr>
      </w:pPr>
      <w:r>
        <w:rPr>
          <w:rFonts w:hint="eastAsia" w:ascii="仿宋_GB2312" w:hAnsi="宋体" w:eastAsia="仿宋_GB2312"/>
          <w:color w:val="auto"/>
          <w:sz w:val="32"/>
          <w:szCs w:val="32"/>
          <w:highlight w:val="none"/>
        </w:rPr>
        <w:t>（二）</w:t>
      </w:r>
      <w:r>
        <w:rPr>
          <w:rFonts w:hint="eastAsia" w:ascii="仿宋_GB2312" w:eastAsia="仿宋_GB2312"/>
          <w:color w:val="auto"/>
          <w:sz w:val="32"/>
          <w:szCs w:val="32"/>
          <w:highlight w:val="none"/>
        </w:rPr>
        <w:t>项目实施准备：包括工程勘察设计；资金计划和融资方案，实际来源及融资方式，资金结构变化及原因；采购招投标、合同条款和协议、法人设立、有关开工报批等。</w:t>
      </w:r>
    </w:p>
    <w:p w14:paraId="7C503BFA">
      <w:pPr>
        <w:autoSpaceDN w:val="0"/>
        <w:snapToGrid w:val="0"/>
        <w:spacing w:line="550" w:lineRule="exact"/>
        <w:ind w:firstLine="688" w:firstLineChars="215"/>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（三）</w:t>
      </w:r>
      <w:r>
        <w:rPr>
          <w:rFonts w:hint="eastAsia" w:ascii="仿宋_GB2312" w:eastAsia="仿宋_GB2312"/>
          <w:color w:val="auto"/>
          <w:sz w:val="32"/>
          <w:szCs w:val="32"/>
          <w:highlight w:val="none"/>
        </w:rPr>
        <w:t>项目实施：包括项目合同执行、重大设计变更、工程进度控制、投资控制、质量控制、资金支付和管理等。</w:t>
      </w:r>
    </w:p>
    <w:p w14:paraId="6BF389D5">
      <w:pPr>
        <w:autoSpaceDN w:val="0"/>
        <w:snapToGrid w:val="0"/>
        <w:spacing w:line="550" w:lineRule="exact"/>
        <w:ind w:firstLine="688" w:firstLineChars="215"/>
        <w:rPr>
          <w:rFonts w:hint="eastAsia" w:ascii="宋体" w:hAnsi="宋体"/>
          <w:color w:val="auto"/>
          <w:highlight w:val="none"/>
        </w:rPr>
      </w:pPr>
      <w:r>
        <w:rPr>
          <w:rFonts w:hint="eastAsia" w:ascii="仿宋_GB2312" w:hAnsi="宋体" w:eastAsia="仿宋_GB2312"/>
          <w:color w:val="auto"/>
          <w:sz w:val="32"/>
          <w:szCs w:val="32"/>
          <w:highlight w:val="none"/>
        </w:rPr>
        <w:t>（四）</w:t>
      </w:r>
      <w:r>
        <w:rPr>
          <w:rFonts w:hint="eastAsia" w:ascii="仿宋_GB2312" w:eastAsia="仿宋_GB2312"/>
          <w:color w:val="auto"/>
          <w:sz w:val="32"/>
          <w:szCs w:val="32"/>
          <w:highlight w:val="none"/>
        </w:rPr>
        <w:t>竣工验收及运营：包括工程竣工和验收、技术水平和设计能力达标、试生产运行、运营管理等。</w:t>
      </w:r>
    </w:p>
    <w:p w14:paraId="3966DA5F">
      <w:pPr>
        <w:autoSpaceDN w:val="0"/>
        <w:snapToGrid w:val="0"/>
        <w:spacing w:line="550" w:lineRule="exact"/>
        <w:ind w:firstLine="627" w:firstLineChars="196"/>
        <w:rPr>
          <w:rFonts w:hint="eastAsia" w:ascii="黑体" w:hAnsi="宋体" w:eastAsia="黑体"/>
          <w:color w:val="auto"/>
          <w:sz w:val="32"/>
          <w:szCs w:val="32"/>
          <w:highlight w:val="none"/>
        </w:rPr>
      </w:pPr>
      <w:r>
        <w:rPr>
          <w:rFonts w:hint="eastAsia" w:ascii="黑体" w:hAnsi="宋体" w:eastAsia="黑体"/>
          <w:color w:val="auto"/>
          <w:sz w:val="32"/>
          <w:szCs w:val="32"/>
          <w:highlight w:val="none"/>
        </w:rPr>
        <w:t>三、投资实施效果评价</w:t>
      </w:r>
    </w:p>
    <w:p w14:paraId="19C2A7C4">
      <w:pPr>
        <w:snapToGrid w:val="0"/>
        <w:spacing w:line="550" w:lineRule="exact"/>
        <w:ind w:firstLine="640" w:firstLineChars="200"/>
        <w:rPr>
          <w:rFonts w:hint="eastAsia" w:ascii="仿宋_GB2312" w:eastAsia="仿宋_GB2312"/>
          <w:color w:val="auto"/>
          <w:sz w:val="32"/>
          <w:szCs w:val="32"/>
          <w:highlight w:val="none"/>
        </w:rPr>
      </w:pPr>
      <w:r>
        <w:rPr>
          <w:rFonts w:hint="eastAsia" w:ascii="仿宋_GB2312" w:hAnsi="宋体" w:eastAsia="仿宋_GB2312"/>
          <w:color w:val="auto"/>
          <w:sz w:val="32"/>
          <w:szCs w:val="32"/>
          <w:highlight w:val="none"/>
        </w:rPr>
        <w:t>（一）项目</w:t>
      </w:r>
      <w:r>
        <w:rPr>
          <w:rFonts w:hint="eastAsia" w:ascii="仿宋_GB2312" w:eastAsia="仿宋_GB2312"/>
          <w:color w:val="auto"/>
          <w:sz w:val="32"/>
          <w:szCs w:val="32"/>
          <w:highlight w:val="none"/>
        </w:rPr>
        <w:t>技术效果评价：包括工艺、技术和装备的先进性、适用性、经济性、安全性，建筑工程质量及安全，资源、能源利用合理性等。</w:t>
      </w:r>
    </w:p>
    <w:p w14:paraId="3256A418">
      <w:pPr>
        <w:autoSpaceDN w:val="0"/>
        <w:snapToGrid w:val="0"/>
        <w:spacing w:line="550" w:lineRule="exact"/>
        <w:ind w:firstLine="688" w:firstLineChars="215"/>
        <w:rPr>
          <w:rFonts w:hint="eastAsia" w:ascii="仿宋_GB2312" w:eastAsia="仿宋_GB2312"/>
          <w:color w:val="auto"/>
          <w:sz w:val="32"/>
          <w:szCs w:val="32"/>
          <w:highlight w:val="none"/>
        </w:rPr>
      </w:pPr>
      <w:r>
        <w:rPr>
          <w:rFonts w:hint="eastAsia" w:ascii="仿宋_GB2312" w:hAnsi="宋体" w:eastAsia="仿宋_GB2312"/>
          <w:color w:val="auto"/>
          <w:sz w:val="32"/>
          <w:szCs w:val="32"/>
          <w:highlight w:val="none"/>
        </w:rPr>
        <w:t>（二）</w:t>
      </w:r>
      <w:r>
        <w:rPr>
          <w:rFonts w:hint="eastAsia" w:ascii="仿宋_GB2312" w:eastAsia="仿宋_GB2312"/>
          <w:color w:val="auto"/>
          <w:sz w:val="32"/>
          <w:szCs w:val="32"/>
          <w:highlight w:val="none"/>
        </w:rPr>
        <w:t>项目经济效益评价：包括项目实际总投资和负债状况、重新测算的项目财务评价指标、经济评价指标、偿债能力等。</w:t>
      </w:r>
    </w:p>
    <w:p w14:paraId="5E1B9792">
      <w:pPr>
        <w:autoSpaceDN w:val="0"/>
        <w:snapToGrid w:val="0"/>
        <w:spacing w:line="550" w:lineRule="exact"/>
        <w:ind w:firstLine="537" w:firstLineChars="168"/>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（三）项目经营管理评价：包括管理体制与监控；组织结构与效率；激励机制与协调；规章制度与程序；人员结构与能力；领导水平与创新等。</w:t>
      </w:r>
    </w:p>
    <w:p w14:paraId="6F97399F">
      <w:pPr>
        <w:autoSpaceDN w:val="0"/>
        <w:snapToGrid w:val="0"/>
        <w:spacing w:line="550" w:lineRule="exact"/>
        <w:ind w:firstLine="531" w:firstLineChars="166"/>
        <w:rPr>
          <w:rFonts w:hint="eastAsia" w:ascii="仿宋_GB2312" w:eastAsia="仿宋_GB2312"/>
          <w:color w:val="auto"/>
          <w:sz w:val="32"/>
          <w:szCs w:val="32"/>
          <w:highlight w:val="none"/>
        </w:rPr>
      </w:pPr>
      <w:r>
        <w:rPr>
          <w:rFonts w:hint="eastAsia" w:ascii="仿宋_GB2312" w:hAnsi="宋体" w:eastAsia="仿宋_GB2312"/>
          <w:color w:val="auto"/>
          <w:sz w:val="32"/>
          <w:szCs w:val="32"/>
          <w:highlight w:val="none"/>
        </w:rPr>
        <w:t>（四）</w:t>
      </w:r>
      <w:r>
        <w:rPr>
          <w:rFonts w:hint="eastAsia" w:ascii="仿宋_GB2312" w:eastAsia="仿宋_GB2312"/>
          <w:color w:val="auto"/>
          <w:sz w:val="32"/>
          <w:szCs w:val="32"/>
          <w:highlight w:val="none"/>
        </w:rPr>
        <w:t>项目目标实现程度评价：包括项目内容完成程度、运行和竣工验收条件；项目运行达到的技术水平，产品质量达到相关标准；项目财务和经济的预期目标等。</w:t>
      </w:r>
    </w:p>
    <w:p w14:paraId="75EBC9F4">
      <w:pPr>
        <w:snapToGrid w:val="0"/>
        <w:spacing w:line="550" w:lineRule="exact"/>
        <w:ind w:firstLine="627" w:firstLineChars="196"/>
        <w:rPr>
          <w:rFonts w:hint="eastAsia" w:ascii="仿宋_GB2312" w:eastAsia="仿宋_GB2312"/>
          <w:color w:val="auto"/>
          <w:sz w:val="32"/>
          <w:szCs w:val="32"/>
          <w:highlight w:val="none"/>
        </w:rPr>
      </w:pPr>
      <w:r>
        <w:rPr>
          <w:rFonts w:hint="eastAsia" w:ascii="仿宋_GB2312" w:hAnsi="宋体" w:eastAsia="仿宋_GB2312"/>
          <w:color w:val="auto"/>
          <w:sz w:val="32"/>
          <w:szCs w:val="32"/>
          <w:highlight w:val="none"/>
        </w:rPr>
        <w:t>（五）</w:t>
      </w:r>
      <w:r>
        <w:rPr>
          <w:rFonts w:hint="eastAsia" w:ascii="仿宋_GB2312" w:eastAsia="仿宋_GB2312"/>
          <w:color w:val="auto"/>
          <w:sz w:val="32"/>
          <w:szCs w:val="32"/>
          <w:highlight w:val="none"/>
        </w:rPr>
        <w:t>项目可持续能力评价：包括财务状况、技术水平、污染控制、企业管理体制与激励机制和产品竞争能力等内部因素；资源、环境、生态、物流条件、政策环境、市场变化及其趋势等外部条件。</w:t>
      </w:r>
    </w:p>
    <w:p w14:paraId="71413741">
      <w:pPr>
        <w:autoSpaceDN w:val="0"/>
        <w:snapToGrid w:val="0"/>
        <w:spacing w:line="550" w:lineRule="exact"/>
        <w:ind w:firstLine="627" w:firstLineChars="196"/>
        <w:rPr>
          <w:rFonts w:hint="eastAsia" w:ascii="黑体" w:hAnsi="宋体" w:eastAsia="黑体"/>
          <w:color w:val="auto"/>
          <w:sz w:val="32"/>
          <w:szCs w:val="32"/>
          <w:highlight w:val="none"/>
        </w:rPr>
      </w:pPr>
      <w:r>
        <w:rPr>
          <w:rFonts w:hint="eastAsia" w:ascii="黑体" w:hAnsi="宋体" w:eastAsia="黑体"/>
          <w:color w:val="auto"/>
          <w:sz w:val="32"/>
          <w:szCs w:val="32"/>
          <w:highlight w:val="none"/>
        </w:rPr>
        <w:t>四、其它内容评价</w:t>
      </w:r>
    </w:p>
    <w:p w14:paraId="2E6E395B">
      <w:pPr>
        <w:autoSpaceDN w:val="0"/>
        <w:snapToGrid w:val="0"/>
        <w:spacing w:line="550" w:lineRule="exact"/>
        <w:ind w:firstLine="645"/>
        <w:rPr>
          <w:rFonts w:hint="eastAsia" w:ascii="仿宋_GB2312" w:hAnsi="宋体" w:eastAsia="仿宋_GB2312"/>
          <w:color w:val="auto"/>
          <w:sz w:val="32"/>
          <w:szCs w:val="32"/>
          <w:highlight w:val="none"/>
        </w:rPr>
      </w:pPr>
      <w:r>
        <w:rPr>
          <w:rFonts w:hint="eastAsia" w:ascii="仿宋_GB2312" w:eastAsia="仿宋_GB2312"/>
          <w:color w:val="auto"/>
          <w:sz w:val="32"/>
          <w:szCs w:val="32"/>
          <w:highlight w:val="none"/>
        </w:rPr>
        <w:t>包括</w:t>
      </w:r>
      <w:r>
        <w:rPr>
          <w:rFonts w:hint="eastAsia" w:ascii="仿宋_GB2312" w:hAnsi="宋体" w:eastAsia="仿宋_GB2312"/>
          <w:color w:val="auto"/>
          <w:sz w:val="32"/>
          <w:szCs w:val="32"/>
          <w:highlight w:val="none"/>
        </w:rPr>
        <w:t>上级产权单位要求或企业根据实际情况需要增加的其它评价内容等。</w:t>
      </w:r>
    </w:p>
    <w:p w14:paraId="363CB05F">
      <w:pPr>
        <w:autoSpaceDN w:val="0"/>
        <w:snapToGrid w:val="0"/>
        <w:spacing w:line="550" w:lineRule="exact"/>
        <w:ind w:firstLine="627" w:firstLineChars="196"/>
        <w:rPr>
          <w:rFonts w:hint="eastAsia" w:ascii="黑体" w:hAnsi="宋体" w:eastAsia="黑体"/>
          <w:color w:val="auto"/>
          <w:sz w:val="32"/>
          <w:szCs w:val="32"/>
          <w:highlight w:val="none"/>
        </w:rPr>
      </w:pPr>
      <w:r>
        <w:rPr>
          <w:rFonts w:hint="eastAsia" w:ascii="黑体" w:hAnsi="宋体" w:eastAsia="黑体"/>
          <w:color w:val="auto"/>
          <w:sz w:val="32"/>
          <w:szCs w:val="32"/>
          <w:highlight w:val="none"/>
        </w:rPr>
        <w:t>五、存在的主要问题</w:t>
      </w:r>
    </w:p>
    <w:p w14:paraId="6D779A07">
      <w:pPr>
        <w:autoSpaceDN w:val="0"/>
        <w:snapToGrid w:val="0"/>
        <w:spacing w:line="550" w:lineRule="exact"/>
        <w:ind w:firstLine="694" w:firstLineChars="217"/>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主要从项目的必要性、决策、实施过程、运营、效益效果、管理等方面全面客观描述。</w:t>
      </w:r>
    </w:p>
    <w:p w14:paraId="1DAD350C">
      <w:pPr>
        <w:autoSpaceDN w:val="0"/>
        <w:snapToGrid w:val="0"/>
        <w:spacing w:line="550" w:lineRule="exact"/>
        <w:ind w:firstLine="627" w:firstLineChars="196"/>
        <w:rPr>
          <w:rFonts w:hint="eastAsia" w:ascii="黑体" w:hAnsi="宋体" w:eastAsia="黑体"/>
          <w:color w:val="auto"/>
          <w:sz w:val="32"/>
          <w:szCs w:val="32"/>
          <w:highlight w:val="none"/>
        </w:rPr>
      </w:pPr>
      <w:r>
        <w:rPr>
          <w:rFonts w:hint="eastAsia" w:ascii="黑体" w:hAnsi="宋体" w:eastAsia="黑体"/>
          <w:color w:val="auto"/>
          <w:sz w:val="32"/>
          <w:szCs w:val="32"/>
          <w:highlight w:val="none"/>
        </w:rPr>
        <w:t>六、项目建设的主要经验教训与结论</w:t>
      </w:r>
    </w:p>
    <w:p w14:paraId="63F8E733">
      <w:pPr>
        <w:autoSpaceDN w:val="0"/>
        <w:snapToGrid w:val="0"/>
        <w:spacing w:line="550" w:lineRule="exact"/>
        <w:ind w:firstLine="694" w:firstLineChars="217"/>
        <w:rPr>
          <w:rFonts w:hint="eastAsia" w:ascii="仿宋_GB2312" w:hAnsi="宋体" w:eastAsia="仿宋_GB2312"/>
          <w:color w:val="auto"/>
          <w:sz w:val="32"/>
          <w:szCs w:val="32"/>
          <w:highlight w:val="none"/>
        </w:rPr>
      </w:pPr>
      <w:r>
        <w:rPr>
          <w:rFonts w:hint="eastAsia" w:ascii="仿宋_GB2312" w:hAnsi="宋体" w:eastAsia="仿宋_GB2312"/>
          <w:color w:val="auto"/>
          <w:sz w:val="32"/>
          <w:szCs w:val="32"/>
          <w:highlight w:val="none"/>
        </w:rPr>
        <w:t>从项目实施过程的回顾与总结、项目效果和效益的评价、项目的目标实现程度及可持续性评价等几个方面进行综合分析，总结归纳项目建设运营的主要经验、教训与结论。</w:t>
      </w:r>
    </w:p>
    <w:p w14:paraId="0732F2B0">
      <w:pPr>
        <w:autoSpaceDN w:val="0"/>
        <w:snapToGrid w:val="0"/>
        <w:spacing w:line="550" w:lineRule="exact"/>
        <w:ind w:firstLine="627" w:firstLineChars="196"/>
        <w:rPr>
          <w:rFonts w:hint="eastAsia" w:ascii="黑体" w:hAnsi="宋体" w:eastAsia="黑体"/>
          <w:color w:val="auto"/>
          <w:sz w:val="32"/>
          <w:szCs w:val="32"/>
          <w:highlight w:val="none"/>
        </w:rPr>
      </w:pPr>
      <w:r>
        <w:rPr>
          <w:rFonts w:hint="eastAsia" w:ascii="黑体" w:hAnsi="宋体" w:eastAsia="黑体"/>
          <w:color w:val="auto"/>
          <w:sz w:val="32"/>
          <w:szCs w:val="32"/>
          <w:highlight w:val="none"/>
        </w:rPr>
        <w:t>七、对策和建议</w:t>
      </w:r>
    </w:p>
    <w:p w14:paraId="5C9C8F4D">
      <w:pPr>
        <w:autoSpaceDN w:val="0"/>
        <w:snapToGrid w:val="0"/>
        <w:spacing w:line="550" w:lineRule="exact"/>
        <w:ind w:firstLine="640" w:firstLineChars="200"/>
        <w:rPr>
          <w:rFonts w:hint="eastAsia" w:eastAsia="仿宋_GB2312"/>
          <w:lang w:eastAsia="zh-CN"/>
        </w:rPr>
      </w:pPr>
      <w:r>
        <w:rPr>
          <w:rFonts w:hint="eastAsia" w:ascii="仿宋_GB2312" w:hAnsi="宋体" w:eastAsia="仿宋_GB2312"/>
          <w:color w:val="auto"/>
          <w:sz w:val="32"/>
          <w:szCs w:val="32"/>
          <w:highlight w:val="none"/>
        </w:rPr>
        <w:t>针对</w:t>
      </w:r>
      <w:r>
        <w:rPr>
          <w:rFonts w:hint="eastAsia" w:ascii="仿宋_GB2312" w:hAnsi="宋体" w:eastAsia="仿宋_GB2312"/>
          <w:color w:val="auto"/>
          <w:spacing w:val="-6"/>
          <w:sz w:val="32"/>
          <w:szCs w:val="32"/>
          <w:highlight w:val="none"/>
        </w:rPr>
        <w:t>项目存在的主要问题，结合经验教训，从提高决策水平和投资收益、改进项目建设运营管理出发，提出相应的对策和建议</w:t>
      </w:r>
      <w:r>
        <w:rPr>
          <w:rFonts w:hint="eastAsia" w:ascii="仿宋_GB2312" w:hAnsi="宋体" w:eastAsia="仿宋_GB2312"/>
          <w:color w:val="auto"/>
          <w:spacing w:val="-6"/>
          <w:sz w:val="32"/>
          <w:szCs w:val="32"/>
          <w:highlight w:val="none"/>
          <w:lang w:eastAsia="zh-CN"/>
        </w:rPr>
        <w:t>。</w:t>
      </w:r>
    </w:p>
    <w:sectPr>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公文黑体">
    <w:panose1 w:val="02000500000000000000"/>
    <w:charset w:val="86"/>
    <w:family w:val="auto"/>
    <w:pitch w:val="default"/>
    <w:sig w:usb0="A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国标黑体">
    <w:panose1 w:val="02000500000000000000"/>
    <w:charset w:val="86"/>
    <w:family w:val="auto"/>
    <w:pitch w:val="default"/>
    <w:sig w:usb0="00000001" w:usb1="08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A6FB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CB4219">
                          <w:pPr>
                            <w:pStyle w:val="7"/>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CB4219">
                    <w:pPr>
                      <w:pStyle w:val="7"/>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EF48B">
    <w:pPr>
      <w:pStyle w:val="7"/>
      <w:ind w:right="360"/>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FBCD85">
                          <w:pPr>
                            <w:pStyle w:val="7"/>
                            <w:rPr>
                              <w:rStyle w:val="12"/>
                            </w:rPr>
                          </w:pPr>
                          <w:r>
                            <w:rPr>
                              <w:rStyle w:val="12"/>
                            </w:rPr>
                            <w:t xml:space="preserve">— </w:t>
                          </w:r>
                          <w:r>
                            <w:rPr>
                              <w:rStyle w:val="12"/>
                              <w:rFonts w:hint="eastAsia" w:asciiTheme="majorEastAsia" w:hAnsiTheme="majorEastAsia" w:eastAsiaTheme="majorEastAsia" w:cstheme="majorEastAsia"/>
                              <w:sz w:val="24"/>
                              <w:szCs w:val="24"/>
                            </w:rPr>
                            <w:fldChar w:fldCharType="begin"/>
                          </w:r>
                          <w:r>
                            <w:rPr>
                              <w:rStyle w:val="12"/>
                              <w:rFonts w:hint="eastAsia" w:asciiTheme="majorEastAsia" w:hAnsiTheme="majorEastAsia" w:eastAsiaTheme="majorEastAsia" w:cstheme="majorEastAsia"/>
                              <w:sz w:val="24"/>
                              <w:szCs w:val="24"/>
                            </w:rPr>
                            <w:instrText xml:space="preserve"> PAGE  \* MERGEFORMAT </w:instrText>
                          </w:r>
                          <w:r>
                            <w:rPr>
                              <w:rStyle w:val="12"/>
                              <w:rFonts w:hint="eastAsia" w:asciiTheme="majorEastAsia" w:hAnsiTheme="majorEastAsia" w:eastAsiaTheme="majorEastAsia" w:cstheme="majorEastAsia"/>
                              <w:sz w:val="24"/>
                              <w:szCs w:val="24"/>
                            </w:rPr>
                            <w:fldChar w:fldCharType="separate"/>
                          </w:r>
                          <w:r>
                            <w:rPr>
                              <w:rStyle w:val="12"/>
                              <w:rFonts w:hint="eastAsia" w:asciiTheme="majorEastAsia" w:hAnsiTheme="majorEastAsia" w:eastAsiaTheme="majorEastAsia" w:cstheme="majorEastAsia"/>
                              <w:sz w:val="24"/>
                              <w:szCs w:val="24"/>
                            </w:rPr>
                            <w:t>8</w:t>
                          </w:r>
                          <w:r>
                            <w:rPr>
                              <w:rStyle w:val="12"/>
                              <w:rFonts w:hint="eastAsia" w:asciiTheme="majorEastAsia" w:hAnsiTheme="majorEastAsia" w:eastAsiaTheme="majorEastAsia" w:cstheme="majorEastAsia"/>
                              <w:sz w:val="24"/>
                              <w:szCs w:val="24"/>
                            </w:rPr>
                            <w:fldChar w:fldCharType="end"/>
                          </w:r>
                          <w:r>
                            <w:rPr>
                              <w:rStyle w:val="12"/>
                              <w:rFonts w:hint="eastAsia" w:asciiTheme="majorEastAsia" w:hAnsiTheme="majorEastAsia" w:eastAsiaTheme="majorEastAsia" w:cstheme="majorEastAsia"/>
                              <w:sz w:val="24"/>
                              <w:szCs w:val="24"/>
                            </w:rPr>
                            <w:t xml:space="preserve"> </w:t>
                          </w:r>
                          <w:r>
                            <w:rPr>
                              <w:rStyle w:val="12"/>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AFBCD85">
                    <w:pPr>
                      <w:pStyle w:val="7"/>
                      <w:rPr>
                        <w:rStyle w:val="12"/>
                      </w:rPr>
                    </w:pPr>
                    <w:r>
                      <w:rPr>
                        <w:rStyle w:val="12"/>
                      </w:rPr>
                      <w:t xml:space="preserve">— </w:t>
                    </w:r>
                    <w:r>
                      <w:rPr>
                        <w:rStyle w:val="12"/>
                        <w:rFonts w:hint="eastAsia" w:asciiTheme="majorEastAsia" w:hAnsiTheme="majorEastAsia" w:eastAsiaTheme="majorEastAsia" w:cstheme="majorEastAsia"/>
                        <w:sz w:val="24"/>
                        <w:szCs w:val="24"/>
                      </w:rPr>
                      <w:fldChar w:fldCharType="begin"/>
                    </w:r>
                    <w:r>
                      <w:rPr>
                        <w:rStyle w:val="12"/>
                        <w:rFonts w:hint="eastAsia" w:asciiTheme="majorEastAsia" w:hAnsiTheme="majorEastAsia" w:eastAsiaTheme="majorEastAsia" w:cstheme="majorEastAsia"/>
                        <w:sz w:val="24"/>
                        <w:szCs w:val="24"/>
                      </w:rPr>
                      <w:instrText xml:space="preserve"> PAGE  \* MERGEFORMAT </w:instrText>
                    </w:r>
                    <w:r>
                      <w:rPr>
                        <w:rStyle w:val="12"/>
                        <w:rFonts w:hint="eastAsia" w:asciiTheme="majorEastAsia" w:hAnsiTheme="majorEastAsia" w:eastAsiaTheme="majorEastAsia" w:cstheme="majorEastAsia"/>
                        <w:sz w:val="24"/>
                        <w:szCs w:val="24"/>
                      </w:rPr>
                      <w:fldChar w:fldCharType="separate"/>
                    </w:r>
                    <w:r>
                      <w:rPr>
                        <w:rStyle w:val="12"/>
                        <w:rFonts w:hint="eastAsia" w:asciiTheme="majorEastAsia" w:hAnsiTheme="majorEastAsia" w:eastAsiaTheme="majorEastAsia" w:cstheme="majorEastAsia"/>
                        <w:sz w:val="24"/>
                        <w:szCs w:val="24"/>
                      </w:rPr>
                      <w:t>8</w:t>
                    </w:r>
                    <w:r>
                      <w:rPr>
                        <w:rStyle w:val="12"/>
                        <w:rFonts w:hint="eastAsia" w:asciiTheme="majorEastAsia" w:hAnsiTheme="majorEastAsia" w:eastAsiaTheme="majorEastAsia" w:cstheme="majorEastAsia"/>
                        <w:sz w:val="24"/>
                        <w:szCs w:val="24"/>
                      </w:rPr>
                      <w:fldChar w:fldCharType="end"/>
                    </w:r>
                    <w:r>
                      <w:rPr>
                        <w:rStyle w:val="12"/>
                        <w:rFonts w:hint="eastAsia" w:asciiTheme="majorEastAsia" w:hAnsiTheme="majorEastAsia" w:eastAsiaTheme="majorEastAsia" w:cstheme="majorEastAsia"/>
                        <w:sz w:val="24"/>
                        <w:szCs w:val="24"/>
                      </w:rPr>
                      <w:t xml:space="preserve"> </w:t>
                    </w:r>
                    <w:r>
                      <w:rPr>
                        <w:rStyle w:val="12"/>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6D5AC">
    <w:pPr>
      <w:pStyle w:val="7"/>
      <w:framePr w:wrap="around" w:vAnchor="text" w:hAnchor="margin" w:xAlign="center" w:y="1"/>
      <w:rPr>
        <w:rStyle w:val="12"/>
      </w:rPr>
    </w:pPr>
    <w:r>
      <w:fldChar w:fldCharType="begin"/>
    </w:r>
    <w:r>
      <w:rPr>
        <w:rStyle w:val="12"/>
      </w:rPr>
      <w:instrText xml:space="preserve">PAGE  </w:instrText>
    </w:r>
    <w:r>
      <w:fldChar w:fldCharType="end"/>
    </w:r>
  </w:p>
  <w:p w14:paraId="0C763BA8">
    <w:pPr>
      <w:pStyle w:val="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DB076">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A4C42"/>
    <w:multiLevelType w:val="singleLevel"/>
    <w:tmpl w:val="AB2A4C42"/>
    <w:lvl w:ilvl="0" w:tentative="0">
      <w:start w:val="1"/>
      <w:numFmt w:val="decimal"/>
      <w:suff w:val="nothing"/>
      <w:lvlText w:val="%1、"/>
      <w:lvlJc w:val="left"/>
    </w:lvl>
  </w:abstractNum>
  <w:abstractNum w:abstractNumId="1">
    <w:nsid w:val="ACE214A0"/>
    <w:multiLevelType w:val="singleLevel"/>
    <w:tmpl w:val="ACE214A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1EFE75CC"/>
    <w:rsid w:val="37FD8D15"/>
    <w:rsid w:val="3C274778"/>
    <w:rsid w:val="3EB5F5B2"/>
    <w:rsid w:val="4A1947CF"/>
    <w:rsid w:val="5BE60C45"/>
    <w:rsid w:val="5F9F1E75"/>
    <w:rsid w:val="67FF8151"/>
    <w:rsid w:val="6ED0466F"/>
    <w:rsid w:val="6FCB480A"/>
    <w:rsid w:val="713FE6F7"/>
    <w:rsid w:val="77F5F261"/>
    <w:rsid w:val="7AE4BB69"/>
    <w:rsid w:val="7B2FBDE8"/>
    <w:rsid w:val="7CFF76D7"/>
    <w:rsid w:val="7DA78C22"/>
    <w:rsid w:val="7EF991AF"/>
    <w:rsid w:val="9BBB2E19"/>
    <w:rsid w:val="B5C734E1"/>
    <w:rsid w:val="BB73A5BA"/>
    <w:rsid w:val="BDBE997B"/>
    <w:rsid w:val="BFE74D68"/>
    <w:rsid w:val="D7D765BB"/>
    <w:rsid w:val="D9DF4178"/>
    <w:rsid w:val="DEDFE93A"/>
    <w:rsid w:val="EE5F3391"/>
    <w:rsid w:val="F1FE128F"/>
    <w:rsid w:val="F39D471A"/>
    <w:rsid w:val="F5FFAFE5"/>
    <w:rsid w:val="FB5E70D9"/>
    <w:rsid w:val="FBDF6451"/>
    <w:rsid w:val="FF575D81"/>
    <w:rsid w:val="FFCED5EE"/>
    <w:rsid w:val="FFEF4DD6"/>
    <w:rsid w:val="FFFE220B"/>
    <w:rsid w:val="FFFF04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szCs w:val="21"/>
    </w:rPr>
  </w:style>
  <w:style w:type="paragraph" w:styleId="3">
    <w:name w:val="index 8"/>
    <w:basedOn w:val="1"/>
    <w:next w:val="1"/>
    <w:qFormat/>
    <w:uiPriority w:val="0"/>
    <w:pPr>
      <w:ind w:left="1400" w:leftChars="1400"/>
    </w:pPr>
  </w:style>
  <w:style w:type="paragraph" w:styleId="5">
    <w:name w:val="Body Text"/>
    <w:basedOn w:val="1"/>
    <w:next w:val="6"/>
    <w:qFormat/>
    <w:uiPriority w:val="0"/>
    <w:pPr>
      <w:tabs>
        <w:tab w:val="left" w:pos="562"/>
        <w:tab w:val="left" w:pos="3372"/>
        <w:tab w:val="left" w:pos="3653"/>
      </w:tabs>
    </w:pPr>
    <w:rPr>
      <w:sz w:val="24"/>
    </w:rPr>
  </w:style>
  <w:style w:type="paragraph" w:styleId="6">
    <w:name w:val="Title"/>
    <w:basedOn w:val="1"/>
    <w:next w:val="1"/>
    <w:qFormat/>
    <w:uiPriority w:val="10"/>
    <w:pPr>
      <w:spacing w:before="240" w:after="60"/>
      <w:jc w:val="center"/>
      <w:outlineLvl w:val="0"/>
    </w:pPr>
    <w:rPr>
      <w:rFonts w:ascii="Cambria" w:hAnsi="Cambria" w:cs="Times New Roman"/>
      <w:b/>
      <w:bCs/>
      <w:sz w:val="32"/>
      <w:szCs w:val="32"/>
    </w:rPr>
  </w:style>
  <w:style w:type="paragraph" w:styleId="7">
    <w:name w:val="footer"/>
    <w:basedOn w:val="1"/>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2"/>
    <w:basedOn w:val="1"/>
    <w:next w:val="1"/>
    <w:qFormat/>
    <w:uiPriority w:val="0"/>
    <w:pPr>
      <w:spacing w:line="600" w:lineRule="exact"/>
      <w:ind w:firstLine="880" w:firstLineChars="200"/>
    </w:pPr>
    <w:rPr>
      <w:rFonts w:eastAsia="仿宋_GB2312"/>
      <w:sz w:val="32"/>
    </w:rPr>
  </w:style>
  <w:style w:type="character" w:styleId="12">
    <w:name w:val="page number"/>
    <w:basedOn w:val="11"/>
    <w:qFormat/>
    <w:uiPriority w:val="0"/>
  </w:style>
  <w:style w:type="paragraph" w:customStyle="1" w:styleId="13">
    <w:name w:val="p3"/>
    <w:basedOn w:val="1"/>
    <w:qFormat/>
    <w:uiPriority w:val="0"/>
    <w:pPr>
      <w:spacing w:line="30" w:lineRule="atLeast"/>
      <w:jc w:val="center"/>
    </w:pPr>
    <w:rPr>
      <w:rFonts w:hint="eastAsia" w:ascii="宋体" w:hAnsi="宋体" w:cs="宋体"/>
      <w:kern w:val="0"/>
      <w:sz w:val="36"/>
      <w:szCs w:val="36"/>
    </w:rPr>
  </w:style>
  <w:style w:type="paragraph" w:styleId="14">
    <w:name w:val="List Paragraph"/>
    <w:basedOn w:val="1"/>
    <w:qFormat/>
    <w:uiPriority w:val="34"/>
    <w:pPr>
      <w:ind w:firstLine="420" w:firstLineChars="200"/>
    </w:pPr>
  </w:style>
  <w:style w:type="table" w:customStyle="1" w:styleId="15">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24</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2018-07-17T15:11:00Z</dcterms:created>
  <dc:creator>d</dc:creator>
  <cp:lastModifiedBy>實誠</cp:lastModifiedBy>
  <dcterms:modified xsi:type="dcterms:W3CDTF">2026-10-29T09:13:33Z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EB9622BF8461D7736121B26A56C95B03</vt:lpwstr>
  </property>
</Properties>
</file>