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947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  <w:t>深圳市龙岗区机器人应用场景揭榜挂帅</w:t>
      </w:r>
    </w:p>
    <w:p w14:paraId="46D01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  <w:t>项目榜单征集表</w:t>
      </w:r>
    </w:p>
    <w:p w14:paraId="124AD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20" w:lineRule="exact"/>
        <w:textAlignment w:val="auto"/>
        <w:rPr>
          <w:rFonts w:hint="default" w:ascii="Times New Roman" w:hAnsi="Times New Roman" w:eastAsia="仿宋_GB2312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场景需求方（盖章）：深圳市艾比森光电股份有限公司</w:t>
      </w:r>
    </w:p>
    <w:tbl>
      <w:tblPr>
        <w:tblStyle w:val="13"/>
        <w:tblW w:w="9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7"/>
        <w:gridCol w:w="2657"/>
        <w:gridCol w:w="2377"/>
        <w:gridCol w:w="2379"/>
      </w:tblGrid>
      <w:tr w14:paraId="11A95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9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FF8F9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一、场景需求方信息</w:t>
            </w:r>
          </w:p>
        </w:tc>
      </w:tr>
      <w:tr w14:paraId="09A5F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691DB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17763">
            <w:pPr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深圳市艾比森光电股份有限公司</w:t>
            </w:r>
          </w:p>
        </w:tc>
      </w:tr>
      <w:tr w14:paraId="21AF9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9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B9B95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二、场景开放需求信息</w:t>
            </w:r>
          </w:p>
        </w:tc>
      </w:tr>
      <w:tr w14:paraId="7A0A4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9A4AC">
            <w:pPr>
              <w:snapToGrid w:val="0"/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需求名称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7FC062">
            <w:pPr>
              <w:spacing w:after="0" w:line="240" w:lineRule="auto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面向户内外显示模组安装场景的具身智能机器人需求</w:t>
            </w:r>
          </w:p>
        </w:tc>
      </w:tr>
      <w:tr w14:paraId="5A5FA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4F190">
            <w:pPr>
              <w:snapToGrid w:val="0"/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应用场景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BBF7C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① 场景基本情况及建设范围：本项目围绕LED显示模组“生产制造与装配调试—客户户内安装及维护—客户户外安装及维护”全流程建设机器人应用场景。第一阶段在龙岗区艾比森生产、装配及调试场地落地，开展模组取放、搬运、视觉定位、精准安装、紧固/插接、拼缝校正和质量复核等作业；第二阶段形成可移动、可快速部署的标准化机器人作业单元，拓展至客户户内显示项目的现场安装、模组更换和故障维护；第三阶段面向户外大屏、体育场馆、商业综合体、交通枢纽及大型活动等项目，开展户外显示模组安装、拆换和维护作业。</w:t>
            </w:r>
          </w:p>
          <w:p w14:paraId="548AFD2B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② 现有作业方式：目前生产端及客户现场主要依靠人工完成模组搬运、上屏、对位、锁固/插接、拼缝调整和安装检查。户内项目通常在室内高处或狭窄空间作业；户外项目还需面对高空、脚手架或登高车作业，以及风力、雨水、粉尘、高温、低温和地面不平等复杂环境。海外尤其是欧美市场，现场安装和维护通常需要专业技工、高空作业人员及配套安全保障，人工、差旅、保险和现场管理成本较高。</w:t>
            </w:r>
          </w:p>
          <w:p w14:paraId="748D7C6D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③ 现有场景痛点：人工安装劳动强度大、作业效率和质量一致性受人员经验影响明显；多模组拼接时易出现定位偏差、拼缝不一致、紧固不到位及返工等问题。户外场景中，模组搬运和高空安装风险更高，受天气、作业空间及现场组织条件影响较大；在欧美等主要海外市场，高人工成本进一步推高项目交付和售后维护费用，制约了大规模快速交付和服务响应能力。</w:t>
            </w:r>
          </w:p>
          <w:p w14:paraId="5E592D02">
            <w:pPr>
              <w:spacing w:after="0"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④ 引入机器人的必要性：通过引入机器人、机器视觉、柔性末端执行器、力控及工艺数据管理系统，先在公司自有生产和调试场景验证技术，再逐步拓展至客户户内安装/维护及户外安装/维护场景，实现模组自动识别、搬运、精准定位、稳定安装、拆换和结果复核，减少高空及重复性人工操作，降低海外现场人工和综合交付成本，提升安装效率、质量一致性和售后响应能力，形成可在国内外LED显示项目复制推广的机器人应用解决方案。</w:t>
            </w:r>
          </w:p>
        </w:tc>
      </w:tr>
      <w:tr w14:paraId="2EFB3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400AA">
            <w:pPr>
              <w:snapToGrid w:val="0"/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具体需求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03D7A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① 机器人基本情况：首期建设1套LED显示模组智能安装机器人单元，包含带AGV/AMR移动功能的1台六轴工业机器人或协作机器人，额定负载不低于10kg，配套机器视觉系统、柔性真空/磁吸复合末端执行器、力控模块、自动供料机构、定位工装、安全防护及作业管理软件。机器人应具备模组识别、抓取搬运、自动对位、安装锁固、插接、拼缝校正、质量复核和数据追溯功能，并兼容不同规格的户内外LED显示模组。</w:t>
            </w:r>
          </w:p>
          <w:p w14:paraId="0A99E43F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② 机器人具体效果：实现LED显示模组从取料、搬运、定位、安装到复检的连续作业，减少人工搬运、登高和重复精细操作；机器人作业覆盖率达到80%以上，人工介入量较现有方式降低50%以上，安装节拍提升30%以上，一次安装合格率达到98%以上，显著改善拼缝一致性和安装质量，降低返工及安全风险。</w:t>
            </w:r>
          </w:p>
          <w:p w14:paraId="5751BEA1">
            <w:pPr>
              <w:spacing w:after="0"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③ 性能参数要求：视觉定位精度不低于±0.2mm，机器人重复定位精度不低于±0.1mm；模组识别准确率不低于99%，末端具备防滑、防碰撞和柔性力控功能；系统支持不同型号模组快速换型，具备异常报警、人工接管、过程记录和质量追溯功能。最终参数以样机测试及三方验收协议为准。</w:t>
            </w:r>
          </w:p>
        </w:tc>
      </w:tr>
      <w:tr w14:paraId="6BE03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0C54F">
            <w:pPr>
              <w:spacing w:line="320" w:lineRule="exact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拟投入资金（万元）</w:t>
            </w:r>
          </w:p>
        </w:tc>
        <w:tc>
          <w:tcPr>
            <w:tcW w:w="2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C9A27">
            <w:pPr>
              <w:spacing w:after="0" w:line="240" w:lineRule="auto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300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53F14">
            <w:pPr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拟建设周期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C6193">
            <w:pPr>
              <w:spacing w:after="0"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</w:rPr>
              <w:t>12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</w:rPr>
              <w:t>个月</w:t>
            </w:r>
          </w:p>
        </w:tc>
      </w:tr>
      <w:tr w14:paraId="3769B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5BD9D">
            <w:pPr>
              <w:snapToGrid w:val="0"/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应用现状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EB0C4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① 当前国内外相关应用情况：国内外工业机器人已广泛应用于电子制造、汽车零部件、光伏及锂电等行业的搬运、上下料、装配、检测和包装工序。部分显示制造企业已在标准化较高的模组搬运、贴装、检测等环节使用自动化设备或机器人，但面向户内外LED显示模组的多规格柔性抓取、精准安装、拼缝校正及整机质量复核，仍完全依赖人工作业。</w:t>
            </w:r>
          </w:p>
          <w:p w14:paraId="6696E765">
            <w:pPr>
              <w:spacing w:after="0"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② 类似应用的改进方向：现有方案通常适用于规格单一、工位固定、特征尺寸较大的产品，面对LED显示模组装配精度要求高、型号多、尺寸和重量差异大、箱体结构复杂、安装姿态多变等情况，柔性适配能力不足。项目需重点解决视觉识别与定位、柔性末端抓取、安装过程力控、多型号快速换型、拼缝精度控制及安装数据追溯等关键问题，形成可在户内外LED显示模组安装场景复制推广的智能安装解决方案。</w:t>
            </w:r>
          </w:p>
        </w:tc>
      </w:tr>
      <w:tr w14:paraId="34D8A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DA610">
            <w:pPr>
              <w:snapToGrid w:val="0"/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潜在规模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FB79EE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① 全球LED显示市场持续增长，2025年市场规模约80—90亿美元，约合576—648亿元人民币。中国是全球主要的LED显示产品生产和应用市场，占全球产量的70%-75%，商业显示、舞台租赁、体育赛事、会议教育、虚拟拍摄、交通枢纽、商业综合体及公共服务等领域，对户内外LED显示产品的制造、安装、维护和更新需求持续扩大。</w:t>
            </w:r>
          </w:p>
          <w:p w14:paraId="5EB8E139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本项目的潜在应用对象不仅包括LED显示生产企业的模组装配、箱体拼装、整屏调试等制造环节，还包括客户及终端用户侧的户内安装、模组更换、故障维修，以及户外大屏安装、拆换和维护等工程服务环节。特别是在欧美等人工、保险、差旅、高空作业设备及安全管理成本较高的市场，机器人可有效降低对高技能现场人工的依赖，提升项目交付效率和售后服务响应能力。</w:t>
            </w:r>
          </w:p>
          <w:p w14:paraId="31242BCB">
            <w:pPr>
              <w:spacing w:after="0" w:line="240" w:lineRule="auto"/>
              <w:rPr>
                <w:rFonts w:hint="default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按照至少每200平方米的显示面积项目配置1套机器人智能安装作业单元的应用口径测算：全球每年LED显示屏出货量480万平方米，大于200平米的项目大概有1200-1400个，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每套单元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具备量产能力后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按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50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万元综合投入测算，包括机器人本体、机器视觉、柔性末端执行器、定位工装、软件系统、安全防护及现场改造等，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那么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对应机器人设备及系统集成投入约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5-6亿人民币。</w:t>
            </w:r>
          </w:p>
          <w:p w14:paraId="76BBF587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② 从行业整体看，按LED显示项目安装、调试、维护、差旅、登高设备、安全管理及质量返工等工程服务成本约占显示项目交付额8%—15%测算，全球对应的安装及运维服务市场约为46—97亿元/年。若未来3—5年有5%—10%的相关服务场景采用机器人化解决方案，则可形成约2.3—9.7亿元/年的机器人化安装与维护应用市场，且该规模尚未包含设备更新、软件服务、运维服务及海外项目推广所产生的持续性收入。</w:t>
            </w:r>
          </w:p>
          <w:p w14:paraId="3223D26D">
            <w:pPr>
              <w:spacing w:after="0" w:line="24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艾比森是全球LED显示应用与服务领域的重要企业，连续十六年保持中国LED显示企业出口额第一，2025年营业收入约41.58亿元，出货面积约占全球市场份额16.2%，在高端商显、租赁显示及户外显示等细分领域具有较强竞争力。项目成果可优先在艾比森龙岗区生产、装配及调试场地应用，并依托公司全球客户、渠道和工程服务网络，逐步推广至客户户内安装、户外安装、模组维护及整屏运维场景，形成覆盖“生产制造—工程交付—运营维护”全生命周期的标准化机器人解决方案，具有较大的国内外市场推广价值。</w:t>
            </w:r>
          </w:p>
        </w:tc>
      </w:tr>
      <w:tr w14:paraId="0127F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B29AF">
            <w:pPr>
              <w:snapToGrid w:val="0"/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建设基础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E5121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 xml:space="preserve">① 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艾比森具备LED显示模组、箱体及整屏产品的研发、制造、装配、调试和工程交付基础，可提供龙岗区内生产装配及调试场地、LED显示模组样件、箱体及工装、产品图纸、工艺规范和质量检验标准，为机器人应用场景验证、试运行及后续复制推广提供条件。</w:t>
            </w:r>
          </w:p>
          <w:p w14:paraId="53E590F3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 xml:space="preserve">② 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前期已围绕LED面板/模组拆装、抓取搬运、视觉定位、安装引导及现场维护等环节开展工艺梳理和技术调研，完成典型作业流程、模组及箱体结构、作业空间、安装姿态和关键工序的初步调研。已储备箱体及模组二维/三维结构图纸、现场全景图像、第一视角作业视频、安装工艺资料、产品不良明细、磁吸力测试数据及机器人作业场景三维模型等基础数据，可用于机器人视觉识别、抓取策略、末端执行器设计、定位精度验证、安装质量复核和仿真方案开发。</w:t>
            </w:r>
          </w:p>
          <w:p w14:paraId="61443C83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 xml:space="preserve">③ 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目前已完成与珞石机器人、非夕科技等2家机器人解决方案供给方的技术交流和初步方案对接。两家单位均已针对LED显示模组拆装、搬运、定位、安装及维护需求提出整体解决方案，方案涵盖机器人本体、视觉系统、末端执行器、智能工装、安全防护、控制软件及系统集成等内容。下一步将结合不同模组规格、箱体结构、作业空间、户内外应用环境及实施成本，开展方案比选、样机测试和现场验证，确定适配本项目的技术路线及实施单位。</w:t>
            </w:r>
          </w:p>
          <w:p w14:paraId="74DADF9C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 xml:space="preserve">④ 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项目拟由生产工艺、设备自动化、产品研发、质量、信息化及安全管理等部门组成联合工作组，统筹场地、样件、工装、数据、人员和试运行保障。资金方面，已对机器人本体、机器视觉、柔性末端执行器、工装改造、软件集成、安全防护及实施运维等主要投入方向进行初步测算，首期示范单元拟纳入项目专项预算；后续将根据样机测试结果、应用范围及最终实施方案，分阶段开展投入和复制建设。</w:t>
            </w:r>
          </w:p>
        </w:tc>
      </w:tr>
      <w:tr w14:paraId="43247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  <w:jc w:val="center"/>
        </w:trPr>
        <w:tc>
          <w:tcPr>
            <w:tcW w:w="1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0D9C9">
            <w:pPr>
              <w:snapToGrid w:val="0"/>
              <w:spacing w:line="320" w:lineRule="exact"/>
              <w:jc w:val="center"/>
              <w:rPr>
                <w:rFonts w:hint="eastAsia" w:ascii="方正仿宋_GB2312" w:hAnsi="方正仿宋_GB2312" w:eastAsia="方正仿宋_GB2312" w:cs="方正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实施成效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38AA9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 xml:space="preserve">① 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经济效益：项目首期建设1套LED显示模组智能安装机器人示范单元，重点验证模组取放、搬运、视觉定位、精准安装、连接、拼缝校正及质量复核等功能。在完成公司生产、装配及调试场景验证后，逐步拓展至客户户内安装/维护及户外安装/维护场景。</w:t>
            </w:r>
          </w:p>
          <w:p w14:paraId="2378A60A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按照每200平方米显示面积配置1套机器人智能安装作业单元的应用口径，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全球每年LED显示屏出货量480万平方米，大于200平米的项目大概有1200-1400个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。每套单元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具备量产能力后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按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50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万元综合投入测算，包括机器人本体、机器视觉、柔性末端执行器、定位工装、软件系统、安全防护及现场改造等，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那么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对应机器人设备及系统集成投入约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5-6亿人民币。</w:t>
            </w:r>
          </w:p>
          <w:p w14:paraId="5C008A44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按公司相关生产、装配、工程交付及售后维护业务中30%—50%的适配场景纳入机器人化改造范围测算，可覆盖约12.5—20.8亿元业务规模。通过降低人工投入、返工损失、海外差旅及现场保障成本，提升安装一致性、作业效率和交付能力，按综合成本下降5%—8%测算，项目规模化应用后预计每年可形成约0.6—1.7亿元的降本增效价值。</w:t>
            </w:r>
          </w:p>
          <w:p w14:paraId="4F5A42D1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从行业推广看，2025年全球LED显示市场规模约80—90亿美元，折合人民币约576—648亿元。项目成果可向模组装配、箱体拼装、整屏交付、户内安装维护及户外高空安装维护等环节推广。按未来3—5年在适配场景形成5%—10%的机器人化渗透率测算，预计可形成约2.3—9.7亿元/年的机器人化安装及维护应用服务规模，并带动机器人本体、智能工装、机器视觉、工业软件、系统集成、设备租赁和运维服务等业务发展。尤其在欧美等现场人工、保险、差旅、高空作业设备及安全合规成本较高的市场，方案具备较强的商业化价值和海外推广前景。</w:t>
            </w:r>
          </w:p>
          <w:p w14:paraId="1C0CFB6A">
            <w:pPr>
              <w:spacing w:after="0" w:line="240" w:lineRule="auto"/>
              <w:rPr>
                <w:rFonts w:hint="default" w:ascii="仿宋_GB2312" w:hAnsi="Times New Roman" w:eastAsia="仿宋_GB2312" w:cs="方正仿宋简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 xml:space="preserve">② 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社会效益：项目将推动LED显示行业由人工密集型安装向机器人化、数字化、柔性化和标准化作业升级，减少搬运、登高、重复装配及长时间精细操作带来的安全风险，改善现场作业环境。按每套机器人单元可替代或辅助4—6名现场作业人员测算，若在艾比森及行业内推广建设100—200套，可释放或优化400—1200个高强度、重复性作业岗位，并带动人员向机器人运维、工艺优化、质量管理、现场调度和系统集成等技能型岗位转型。</w:t>
            </w: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val="en-US" w:eastAsia="zh-CN"/>
              </w:rPr>
              <w:t>中国是全球主要的LED显示产品生产和应用市场，占全球产量的70%-75%，机器人化的改革必将带动全球显示行业的深刻变革。</w:t>
            </w:r>
          </w:p>
          <w:p w14:paraId="70C44BF8">
            <w:pPr>
              <w:spacing w:after="0" w:line="240" w:lineRule="auto"/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方正仿宋简体"/>
                <w:sz w:val="24"/>
                <w:szCs w:val="20"/>
                <w:lang w:eastAsia="zh-CN"/>
              </w:rPr>
              <w:t>项目形成的技术体系可覆盖LED显示产品“生产制造—工程交付—运营维护”全生命周期，特别适用于户外大屏高空安装、复杂环境维护及海外高人工成本项目。项目实施将带动机器人本体、机器视觉、末端执行器、智能工装、工业软件及系统集成等上下游产业协同发展，形成具有自主技术特色、可复制推广的LED显示机器人应用示范模式，为龙岗区机器人应用示范和电子信息产业智能化升级提供支撑。</w:t>
            </w:r>
          </w:p>
        </w:tc>
      </w:tr>
    </w:tbl>
    <w:p w14:paraId="57BBE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sectPr>
      <w:footerReference r:id="rId3" w:type="default"/>
      <w:pgSz w:w="11906" w:h="16838"/>
      <w:pgMar w:top="2041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0C2344-E702-42AB-9BF3-1087F0312C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16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B64CA3E-07EB-46B9-9CC1-CDF7DC1BE261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2F6BA678-E7F9-420F-8999-1317E857E9A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465E1C1-315F-480A-9A11-7FAE00ECD208}"/>
  </w:font>
  <w:font w:name="方正仿宋简体">
    <w:panose1 w:val="02000000000000000000"/>
    <w:charset w:val="86"/>
    <w:family w:val="roman"/>
    <w:pitch w:val="default"/>
    <w:sig w:usb0="A00002BF" w:usb1="184F6CFA" w:usb2="00000012" w:usb3="00000000" w:csb0="00040001" w:csb1="00000000"/>
    <w:embedRegular r:id="rId5" w:fontKey="{C50E9C5D-939F-42B3-949F-4F1CE57EB618}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992B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1D12E2">
                          <w:pPr>
                            <w:pStyle w:val="8"/>
                            <w:rPr>
                              <w:rFonts w:hint="eastAsia" w:ascii="仿宋_GB2312" w:hAnsi="仿宋_GB2312" w:eastAsia="仿宋_GB2312" w:cs="仿宋_GB231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1D12E2">
                    <w:pPr>
                      <w:pStyle w:val="8"/>
                      <w:rPr>
                        <w:rFonts w:hint="eastAsia" w:ascii="仿宋_GB2312" w:hAnsi="仿宋_GB2312" w:eastAsia="仿宋_GB2312" w:cs="仿宋_GB231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A24E5"/>
    <w:rsid w:val="02994018"/>
    <w:rsid w:val="03484207"/>
    <w:rsid w:val="03840469"/>
    <w:rsid w:val="0455059A"/>
    <w:rsid w:val="048C5A1D"/>
    <w:rsid w:val="067D77AC"/>
    <w:rsid w:val="07717013"/>
    <w:rsid w:val="08AC0E08"/>
    <w:rsid w:val="0924072D"/>
    <w:rsid w:val="098350DA"/>
    <w:rsid w:val="0AB8556E"/>
    <w:rsid w:val="0B476C1F"/>
    <w:rsid w:val="0BCF4BEF"/>
    <w:rsid w:val="0C2E3359"/>
    <w:rsid w:val="0FB44DF8"/>
    <w:rsid w:val="0FFD084B"/>
    <w:rsid w:val="0FFF7290"/>
    <w:rsid w:val="10A122E9"/>
    <w:rsid w:val="17D411F6"/>
    <w:rsid w:val="17F453F5"/>
    <w:rsid w:val="18046DB4"/>
    <w:rsid w:val="188B4F58"/>
    <w:rsid w:val="196AD810"/>
    <w:rsid w:val="19B6E7BF"/>
    <w:rsid w:val="1A7606F3"/>
    <w:rsid w:val="1AA76985"/>
    <w:rsid w:val="1B515AF1"/>
    <w:rsid w:val="1B5FBF99"/>
    <w:rsid w:val="1BA79CDC"/>
    <w:rsid w:val="1BB47375"/>
    <w:rsid w:val="1D151E47"/>
    <w:rsid w:val="1D6372A4"/>
    <w:rsid w:val="1D8965DF"/>
    <w:rsid w:val="1EBB93FF"/>
    <w:rsid w:val="1EF323E1"/>
    <w:rsid w:val="1F6706ED"/>
    <w:rsid w:val="1F8E5F4A"/>
    <w:rsid w:val="1FED819C"/>
    <w:rsid w:val="203E5DA7"/>
    <w:rsid w:val="213D1BBA"/>
    <w:rsid w:val="21E32762"/>
    <w:rsid w:val="23D305B4"/>
    <w:rsid w:val="23E991EA"/>
    <w:rsid w:val="25FB5C8D"/>
    <w:rsid w:val="277D9957"/>
    <w:rsid w:val="27EE6D51"/>
    <w:rsid w:val="27FF6CEE"/>
    <w:rsid w:val="293C03A1"/>
    <w:rsid w:val="295F4AB9"/>
    <w:rsid w:val="296B118E"/>
    <w:rsid w:val="2A163509"/>
    <w:rsid w:val="2A2B5644"/>
    <w:rsid w:val="2B006133"/>
    <w:rsid w:val="2EE7C452"/>
    <w:rsid w:val="2F99C37D"/>
    <w:rsid w:val="2FDDE057"/>
    <w:rsid w:val="31F2677B"/>
    <w:rsid w:val="34666268"/>
    <w:rsid w:val="34D466B4"/>
    <w:rsid w:val="367D4FF9"/>
    <w:rsid w:val="36D154B9"/>
    <w:rsid w:val="37DE3C9F"/>
    <w:rsid w:val="396D4EF4"/>
    <w:rsid w:val="39E38617"/>
    <w:rsid w:val="39FD5F33"/>
    <w:rsid w:val="3A5402D2"/>
    <w:rsid w:val="3B7E465F"/>
    <w:rsid w:val="3B7F5941"/>
    <w:rsid w:val="3BDE13E8"/>
    <w:rsid w:val="3BEBC578"/>
    <w:rsid w:val="3D2FD38D"/>
    <w:rsid w:val="3D5FD812"/>
    <w:rsid w:val="3DDBE88D"/>
    <w:rsid w:val="3DFF58F7"/>
    <w:rsid w:val="3EA14636"/>
    <w:rsid w:val="3EBE72C0"/>
    <w:rsid w:val="3F3F54AD"/>
    <w:rsid w:val="3F8D54A2"/>
    <w:rsid w:val="3FDEF73E"/>
    <w:rsid w:val="3FF7E75F"/>
    <w:rsid w:val="3FFB7D85"/>
    <w:rsid w:val="3FFBB406"/>
    <w:rsid w:val="3FFD3B98"/>
    <w:rsid w:val="3FFF5C5F"/>
    <w:rsid w:val="41DF3C4C"/>
    <w:rsid w:val="42695477"/>
    <w:rsid w:val="42ED4D97"/>
    <w:rsid w:val="43E07956"/>
    <w:rsid w:val="44B042CE"/>
    <w:rsid w:val="46483E01"/>
    <w:rsid w:val="46D46C38"/>
    <w:rsid w:val="47395243"/>
    <w:rsid w:val="474B7D77"/>
    <w:rsid w:val="47E56984"/>
    <w:rsid w:val="48335942"/>
    <w:rsid w:val="485951EC"/>
    <w:rsid w:val="49B74D2D"/>
    <w:rsid w:val="49DB6C5E"/>
    <w:rsid w:val="4C3E406E"/>
    <w:rsid w:val="4D090F5F"/>
    <w:rsid w:val="4DD6AC44"/>
    <w:rsid w:val="4E2E44B5"/>
    <w:rsid w:val="4F5543EF"/>
    <w:rsid w:val="4F7A8014"/>
    <w:rsid w:val="508F6E38"/>
    <w:rsid w:val="531445D8"/>
    <w:rsid w:val="55B1277A"/>
    <w:rsid w:val="565A22EB"/>
    <w:rsid w:val="56F6563D"/>
    <w:rsid w:val="57D7CCB7"/>
    <w:rsid w:val="581265E1"/>
    <w:rsid w:val="58330577"/>
    <w:rsid w:val="590B1ADE"/>
    <w:rsid w:val="5A2D03CA"/>
    <w:rsid w:val="5A8764B0"/>
    <w:rsid w:val="5AFF6E5F"/>
    <w:rsid w:val="5B71530F"/>
    <w:rsid w:val="5BFD2097"/>
    <w:rsid w:val="5C346947"/>
    <w:rsid w:val="5CF43DA1"/>
    <w:rsid w:val="5D79399F"/>
    <w:rsid w:val="5DE34D44"/>
    <w:rsid w:val="5DF748C4"/>
    <w:rsid w:val="5DFFFEB0"/>
    <w:rsid w:val="5E06773E"/>
    <w:rsid w:val="5E566EE4"/>
    <w:rsid w:val="5E8CF660"/>
    <w:rsid w:val="5EA038B2"/>
    <w:rsid w:val="5EFD4A00"/>
    <w:rsid w:val="5EFF07BD"/>
    <w:rsid w:val="5F1B3579"/>
    <w:rsid w:val="5F942D12"/>
    <w:rsid w:val="5FBE9B08"/>
    <w:rsid w:val="5FCBAB8E"/>
    <w:rsid w:val="5FDC2F30"/>
    <w:rsid w:val="5FE6542C"/>
    <w:rsid w:val="5FFE2E6F"/>
    <w:rsid w:val="5FFE3534"/>
    <w:rsid w:val="5FFFF88F"/>
    <w:rsid w:val="60F4333C"/>
    <w:rsid w:val="61DD6989"/>
    <w:rsid w:val="631F74BC"/>
    <w:rsid w:val="63E9680E"/>
    <w:rsid w:val="63F85DF7"/>
    <w:rsid w:val="641F5BE6"/>
    <w:rsid w:val="64817B3D"/>
    <w:rsid w:val="667FC0EE"/>
    <w:rsid w:val="67FC8436"/>
    <w:rsid w:val="683C02AC"/>
    <w:rsid w:val="6AFF6047"/>
    <w:rsid w:val="6B2F9C3E"/>
    <w:rsid w:val="6B841E8D"/>
    <w:rsid w:val="6E125199"/>
    <w:rsid w:val="6EB7CCBF"/>
    <w:rsid w:val="6F383D07"/>
    <w:rsid w:val="6F3F9144"/>
    <w:rsid w:val="6F5B5E8A"/>
    <w:rsid w:val="6F76B2F3"/>
    <w:rsid w:val="6FBFDE40"/>
    <w:rsid w:val="6FF7E679"/>
    <w:rsid w:val="72F90170"/>
    <w:rsid w:val="72FE7215"/>
    <w:rsid w:val="736DC0EF"/>
    <w:rsid w:val="740F6527"/>
    <w:rsid w:val="75616715"/>
    <w:rsid w:val="76BE9F9C"/>
    <w:rsid w:val="76F5AB6F"/>
    <w:rsid w:val="7775C95F"/>
    <w:rsid w:val="77872C35"/>
    <w:rsid w:val="77EB51FC"/>
    <w:rsid w:val="77F34D25"/>
    <w:rsid w:val="77F70F91"/>
    <w:rsid w:val="77FD8A3F"/>
    <w:rsid w:val="77FE67C0"/>
    <w:rsid w:val="7867AA0D"/>
    <w:rsid w:val="78F15C7F"/>
    <w:rsid w:val="78FF21B6"/>
    <w:rsid w:val="79EED6AF"/>
    <w:rsid w:val="7A6BD8AE"/>
    <w:rsid w:val="7ABF9165"/>
    <w:rsid w:val="7AD85D51"/>
    <w:rsid w:val="7B2F6BC8"/>
    <w:rsid w:val="7BFD5E74"/>
    <w:rsid w:val="7BFFA321"/>
    <w:rsid w:val="7C7EECF1"/>
    <w:rsid w:val="7D8EEADD"/>
    <w:rsid w:val="7D9F53EA"/>
    <w:rsid w:val="7DBE72CD"/>
    <w:rsid w:val="7DCE40DB"/>
    <w:rsid w:val="7DDD63BA"/>
    <w:rsid w:val="7E3A6F4A"/>
    <w:rsid w:val="7E414D28"/>
    <w:rsid w:val="7EB32A31"/>
    <w:rsid w:val="7EB79499"/>
    <w:rsid w:val="7F3FD136"/>
    <w:rsid w:val="7F5D406C"/>
    <w:rsid w:val="7F6892CD"/>
    <w:rsid w:val="7F6BBF37"/>
    <w:rsid w:val="7F75BF0B"/>
    <w:rsid w:val="7F7E3096"/>
    <w:rsid w:val="7F7F5E58"/>
    <w:rsid w:val="7FCAE10B"/>
    <w:rsid w:val="7FDA1BEF"/>
    <w:rsid w:val="7FDF5309"/>
    <w:rsid w:val="7FDFA6F0"/>
    <w:rsid w:val="7FF5DC55"/>
    <w:rsid w:val="7FFAC20F"/>
    <w:rsid w:val="7FFD98BE"/>
    <w:rsid w:val="7FFE65A3"/>
    <w:rsid w:val="8FAFEFEF"/>
    <w:rsid w:val="9ED7BDBA"/>
    <w:rsid w:val="A1FD947C"/>
    <w:rsid w:val="A3E7464E"/>
    <w:rsid w:val="AABF4527"/>
    <w:rsid w:val="AF7B7952"/>
    <w:rsid w:val="AF9F8FCA"/>
    <w:rsid w:val="B75D8BF8"/>
    <w:rsid w:val="B7DF0942"/>
    <w:rsid w:val="B8EB41BC"/>
    <w:rsid w:val="B9EE4007"/>
    <w:rsid w:val="BBBF35EF"/>
    <w:rsid w:val="BBEF55F8"/>
    <w:rsid w:val="BD7DC420"/>
    <w:rsid w:val="BE489A38"/>
    <w:rsid w:val="BE7F0907"/>
    <w:rsid w:val="BEFD7B84"/>
    <w:rsid w:val="BFB636F8"/>
    <w:rsid w:val="BFFFACDB"/>
    <w:rsid w:val="C2F50BC2"/>
    <w:rsid w:val="C4779D79"/>
    <w:rsid w:val="C6EF96BF"/>
    <w:rsid w:val="CDAFB7F2"/>
    <w:rsid w:val="CEF16418"/>
    <w:rsid w:val="CF2BB839"/>
    <w:rsid w:val="CFC547A0"/>
    <w:rsid w:val="D8FE6B86"/>
    <w:rsid w:val="D97FD55E"/>
    <w:rsid w:val="DABECB7F"/>
    <w:rsid w:val="DAFF16ED"/>
    <w:rsid w:val="DAFF703A"/>
    <w:rsid w:val="DBECDDA7"/>
    <w:rsid w:val="DCFAAB5D"/>
    <w:rsid w:val="DD0F2569"/>
    <w:rsid w:val="DD9FEC49"/>
    <w:rsid w:val="DDB733C3"/>
    <w:rsid w:val="DDECA757"/>
    <w:rsid w:val="DDFCAE25"/>
    <w:rsid w:val="DEF8473D"/>
    <w:rsid w:val="DF3799DE"/>
    <w:rsid w:val="DF7B0C6C"/>
    <w:rsid w:val="DF7F9847"/>
    <w:rsid w:val="DFB3786F"/>
    <w:rsid w:val="DFFD4249"/>
    <w:rsid w:val="E2FFFB61"/>
    <w:rsid w:val="E7FB3D8D"/>
    <w:rsid w:val="E96F863A"/>
    <w:rsid w:val="E97D3A32"/>
    <w:rsid w:val="ED5F5FAA"/>
    <w:rsid w:val="EDE786BC"/>
    <w:rsid w:val="EEC871C7"/>
    <w:rsid w:val="EF7F672B"/>
    <w:rsid w:val="EFCEDB15"/>
    <w:rsid w:val="EFEF3883"/>
    <w:rsid w:val="F297A4D4"/>
    <w:rsid w:val="F35F078F"/>
    <w:rsid w:val="F67E40E5"/>
    <w:rsid w:val="F6A18827"/>
    <w:rsid w:val="F73BC0E3"/>
    <w:rsid w:val="F74DA2EE"/>
    <w:rsid w:val="F7BFA59C"/>
    <w:rsid w:val="F7DF543E"/>
    <w:rsid w:val="F7EB244D"/>
    <w:rsid w:val="F7F4DBFA"/>
    <w:rsid w:val="F7FBBD65"/>
    <w:rsid w:val="F9BF8FF5"/>
    <w:rsid w:val="F9EF39E2"/>
    <w:rsid w:val="FA77693C"/>
    <w:rsid w:val="FB4ED248"/>
    <w:rsid w:val="FBB6C733"/>
    <w:rsid w:val="FBD341E4"/>
    <w:rsid w:val="FBEDFF11"/>
    <w:rsid w:val="FBF7BB84"/>
    <w:rsid w:val="FBF87B06"/>
    <w:rsid w:val="FBFE3C38"/>
    <w:rsid w:val="FD1752FB"/>
    <w:rsid w:val="FD7B3E84"/>
    <w:rsid w:val="FD8D47AA"/>
    <w:rsid w:val="FDDD24AB"/>
    <w:rsid w:val="FDFB112D"/>
    <w:rsid w:val="FE7641C8"/>
    <w:rsid w:val="FE9FD1B4"/>
    <w:rsid w:val="FEAFA280"/>
    <w:rsid w:val="FEBF1651"/>
    <w:rsid w:val="FEE5CBF6"/>
    <w:rsid w:val="FEFB4F67"/>
    <w:rsid w:val="FEFE30B3"/>
    <w:rsid w:val="FEFF8002"/>
    <w:rsid w:val="FF1DD433"/>
    <w:rsid w:val="FF56486A"/>
    <w:rsid w:val="FF7FB80B"/>
    <w:rsid w:val="FFB726D9"/>
    <w:rsid w:val="FFB7806A"/>
    <w:rsid w:val="FFDDF856"/>
    <w:rsid w:val="FFDEADEB"/>
    <w:rsid w:val="FFECC579"/>
    <w:rsid w:val="FFF4C521"/>
    <w:rsid w:val="FFF7A9F8"/>
    <w:rsid w:val="FFF7BAA3"/>
    <w:rsid w:val="FFFD438A"/>
    <w:rsid w:val="FFFD9611"/>
    <w:rsid w:val="FFFE5C4F"/>
    <w:rsid w:val="FFFF4FF6"/>
    <w:rsid w:val="FFFF9150"/>
    <w:rsid w:val="FFFF9ADB"/>
    <w:rsid w:val="FFFFB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autoSpaceDE w:val="0"/>
      <w:autoSpaceDN w:val="0"/>
      <w:spacing w:line="600" w:lineRule="exact"/>
      <w:ind w:firstLine="400"/>
      <w:jc w:val="left"/>
      <w:outlineLvl w:val="1"/>
    </w:pPr>
    <w:rPr>
      <w:rFonts w:hint="eastAsia" w:eastAsia="方正楷体_GBK"/>
      <w:kern w:val="0"/>
      <w:sz w:val="34"/>
      <w:szCs w:val="34"/>
      <w:lang w:val="zh-CN" w:bidi="zh-CN"/>
    </w:rPr>
  </w:style>
  <w:style w:type="paragraph" w:styleId="3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5">
    <w:name w:val="Body Text"/>
    <w:basedOn w:val="1"/>
    <w:next w:val="6"/>
    <w:qFormat/>
    <w:uiPriority w:val="1"/>
    <w:pPr>
      <w:ind w:left="138"/>
      <w:jc w:val="left"/>
    </w:pPr>
    <w:rPr>
      <w:rFonts w:ascii="宋体" w:hAnsi="宋体"/>
      <w:kern w:val="0"/>
      <w:sz w:val="24"/>
      <w:lang w:eastAsia="en-US"/>
    </w:rPr>
  </w:style>
  <w:style w:type="paragraph" w:styleId="6">
    <w:name w:val="Title"/>
    <w:basedOn w:val="1"/>
    <w:next w:val="1"/>
    <w:qFormat/>
    <w:uiPriority w:val="99"/>
    <w:pPr>
      <w:jc w:val="center"/>
    </w:pPr>
    <w:rPr>
      <w:rFonts w:ascii="方正小标宋简体" w:hAnsi="方正小标宋简体" w:eastAsia="方正小标宋简体" w:cs="方正小标宋简体"/>
      <w:sz w:val="44"/>
      <w:szCs w:val="44"/>
      <w:lang w:eastAsia="zh-CN" w:bidi="ar-SA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next w:val="9"/>
    <w:qFormat/>
    <w:uiPriority w:val="0"/>
    <w:pPr>
      <w:snapToGrid w:val="0"/>
      <w:jc w:val="left"/>
    </w:pPr>
    <w:rPr>
      <w:sz w:val="18"/>
      <w:szCs w:val="18"/>
    </w:rPr>
  </w:style>
  <w:style w:type="paragraph" w:customStyle="1" w:styleId="9">
    <w:name w:val="目录 91"/>
    <w:next w:val="1"/>
    <w:qFormat/>
    <w:uiPriority w:val="0"/>
    <w:pPr>
      <w:wordWrap w:val="0"/>
      <w:spacing w:after="200" w:line="276" w:lineRule="auto"/>
      <w:ind w:left="2975"/>
      <w:jc w:val="both"/>
    </w:pPr>
    <w:rPr>
      <w:rFonts w:ascii="Calibri" w:hAnsi="Calibri" w:eastAsia="宋体" w:cs="Calibri"/>
      <w:sz w:val="21"/>
      <w:szCs w:val="21"/>
      <w:lang w:val="en-US" w:eastAsia="zh-CN" w:bidi="ar-SA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index 9"/>
    <w:basedOn w:val="1"/>
    <w:next w:val="1"/>
    <w:qFormat/>
    <w:uiPriority w:val="0"/>
    <w:pPr>
      <w:ind w:left="1600" w:leftChars="1600"/>
    </w:p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paragraph" w:customStyle="1" w:styleId="17">
    <w:name w:val="_Style 1"/>
    <w:basedOn w:val="1"/>
    <w:qFormat/>
    <w:uiPriority w:val="0"/>
    <w:pPr>
      <w:spacing w:before="0" w:beforeAutospacing="0" w:after="0"/>
      <w:ind w:firstLine="200" w:firstLineChars="200"/>
    </w:pPr>
    <w:rPr>
      <w:rFonts w:ascii="宋体" w:hAnsi="宋体" w:eastAsia="FangSong_GB2312" w:cs="Times New Roman"/>
      <w:sz w:val="32"/>
      <w:szCs w:val="32"/>
    </w:rPr>
  </w:style>
  <w:style w:type="paragraph" w:customStyle="1" w:styleId="18">
    <w:name w:val="纯文本1"/>
    <w:basedOn w:val="1"/>
    <w:qFormat/>
    <w:uiPriority w:val="0"/>
    <w:rPr>
      <w:rFonts w:ascii="宋体" w:hAnsi="Courier New" w:eastAsia="宋体" w:cs="Courier New"/>
    </w:rPr>
  </w:style>
  <w:style w:type="paragraph" w:customStyle="1" w:styleId="19">
    <w:name w:val="正文_0"/>
    <w:next w:val="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customStyle="1" w:styleId="20">
    <w:name w:val="网格型1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font51"/>
    <w:basedOn w:val="15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仿宋" w:eastAsia="宋体" w:cs="仿宋"/>
      <w:color w:val="000000"/>
      <w:sz w:val="24"/>
      <w:szCs w:val="24"/>
      <w:lang w:val="en-US" w:eastAsia="zh-CN" w:bidi="ar-SA"/>
    </w:rPr>
  </w:style>
  <w:style w:type="character" w:customStyle="1" w:styleId="23">
    <w:name w:val="font1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4">
    <w:name w:val="font0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paragraph" w:customStyle="1" w:styleId="25">
    <w:name w:val="样式2"/>
    <w:basedOn w:val="1"/>
    <w:qFormat/>
    <w:uiPriority w:val="0"/>
    <w:pPr>
      <w:widowControl/>
      <w:shd w:val="clear" w:color="auto" w:fill="FFFFFF"/>
      <w:ind w:firstLine="643" w:firstLineChars="200"/>
      <w:outlineLvl w:val="1"/>
    </w:pPr>
    <w:rPr>
      <w:rFonts w:ascii="楷体_GB2312" w:hAnsi="Arial" w:eastAsia="楷体_GB2312" w:cs="Arial"/>
      <w:b/>
      <w:color w:val="0000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821</Words>
  <Characters>929</Characters>
  <Lines>0</Lines>
  <Paragraphs>0</Paragraphs>
  <TotalTime>29</TotalTime>
  <ScaleCrop>false</ScaleCrop>
  <LinksUpToDate>false</LinksUpToDate>
  <CharactersWithSpaces>952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2025-06-17T09:45:00Z</dcterms:created>
  <dc:creator>PC</dc:creator>
  <cp:lastModifiedBy>SRA小助手</cp:lastModifiedBy>
  <dcterms:modified xsi:type="dcterms:W3CDTF">2026-10-26T05:39:57Z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28252BED5EE6416CB3D0990ACA321A58_13</vt:lpwstr>
  </property>
  <property fmtid="{D5CDD505-2E9C-101B-9397-08002B2CF9AE}" pid="4" name="KSOTemplateDocerSaveRecord">
    <vt:lpwstr>eyJoZGlkIjoiNzg3OTczNzI0ZWJiZjRjNDQ5ZjMxYzE5NzFmNzE4MjMiLCJ1c2VySWQiOiIxMzA2Mzc0OTg5In0=</vt:lpwstr>
  </property>
</Properties>
</file>