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DD3A19">
      <w:pPr>
        <w:spacing w:line="560" w:lineRule="exact"/>
        <w:jc w:val="both"/>
        <w:rPr>
          <w:rFonts w:hint="eastAsia" w:ascii="黑体" w:hAnsi="黑体" w:eastAsia="黑体" w:cs="黑体"/>
          <w:kern w:val="2"/>
          <w:sz w:val="32"/>
          <w:szCs w:val="32"/>
          <w:lang w:eastAsia="zh-CN"/>
        </w:rPr>
      </w:pPr>
      <w:r>
        <w:rPr>
          <w:rFonts w:hint="eastAsia" w:ascii="黑体" w:hAnsi="黑体" w:eastAsia="黑体" w:cs="黑体"/>
          <w:kern w:val="2"/>
          <w:sz w:val="32"/>
          <w:szCs w:val="32"/>
          <w:lang w:eastAsia="zh-CN"/>
        </w:rPr>
        <w:t>附件2-1</w:t>
      </w:r>
    </w:p>
    <w:p w14:paraId="6FDD3A1A">
      <w:pPr>
        <w:widowControl w:val="0"/>
        <w:spacing w:line="540" w:lineRule="exact"/>
        <w:jc w:val="center"/>
        <w:rPr>
          <w:rFonts w:ascii="方正小标宋_GBK" w:hAnsi="方正小标宋_GBK" w:eastAsia="方正小标宋_GBK" w:cs="方正小标宋_GBK"/>
          <w:kern w:val="2"/>
          <w:sz w:val="44"/>
          <w:szCs w:val="44"/>
          <w:lang w:eastAsia="zh-CN"/>
        </w:rPr>
      </w:pPr>
      <w:r>
        <w:rPr>
          <w:rFonts w:hint="eastAsia" w:ascii="方正小标宋_GBK" w:hAnsi="方正小标宋_GBK" w:eastAsia="方正小标宋_GBK" w:cs="方正小标宋_GBK"/>
          <w:kern w:val="2"/>
          <w:sz w:val="44"/>
          <w:szCs w:val="44"/>
          <w:lang w:eastAsia="zh-CN"/>
        </w:rPr>
        <w:t>深圳市龙岗区机器人应用场景揭榜挂帅</w:t>
      </w:r>
    </w:p>
    <w:p w14:paraId="6FDD3A1B">
      <w:pPr>
        <w:widowControl w:val="0"/>
        <w:spacing w:line="540" w:lineRule="exact"/>
        <w:jc w:val="center"/>
        <w:rPr>
          <w:rFonts w:ascii="方正小标宋_GBK" w:hAnsi="方正小标宋_GBK" w:eastAsia="方正小标宋_GBK" w:cs="方正小标宋_GBK"/>
          <w:kern w:val="2"/>
          <w:sz w:val="44"/>
          <w:szCs w:val="44"/>
          <w:lang w:eastAsia="zh-CN"/>
        </w:rPr>
      </w:pPr>
      <w:r>
        <w:rPr>
          <w:rFonts w:hint="eastAsia" w:ascii="方正小标宋_GBK" w:hAnsi="方正小标宋_GBK" w:eastAsia="方正小标宋_GBK" w:cs="方正小标宋_GBK"/>
          <w:kern w:val="2"/>
          <w:sz w:val="44"/>
          <w:szCs w:val="44"/>
          <w:lang w:eastAsia="zh-CN"/>
        </w:rPr>
        <w:t>项目榜单征集表</w:t>
      </w:r>
    </w:p>
    <w:p w14:paraId="6FDD3A1C">
      <w:pPr>
        <w:widowControl w:val="0"/>
        <w:spacing w:before="156" w:beforeLines="50" w:after="156" w:afterLines="50" w:line="320" w:lineRule="exact"/>
        <w:rPr>
          <w:rFonts w:ascii="Times New Roman" w:hAnsi="Times New Roman" w:eastAsia="仿宋_GB2312" w:cs="Times New Roman"/>
          <w:b/>
          <w:bCs/>
          <w:color w:val="000000" w:themeColor="text1"/>
          <w:sz w:val="28"/>
          <w:szCs w:val="28"/>
          <w:lang w:eastAsia="zh-CN"/>
          <w14:textFill>
            <w14:solidFill>
              <w14:schemeClr w14:val="tx1"/>
            </w14:solidFill>
          </w14:textFill>
        </w:rPr>
      </w:pPr>
      <w:r>
        <w:rPr>
          <w:rFonts w:hint="eastAsia" w:ascii="Times New Roman" w:hAnsi="Times New Roman" w:eastAsia="仿宋_GB2312" w:cs="Times New Roman"/>
          <w:b/>
          <w:bCs/>
          <w:color w:val="000000" w:themeColor="text1"/>
          <w:sz w:val="24"/>
          <w:szCs w:val="24"/>
          <w:lang w:eastAsia="zh-CN"/>
          <w14:textFill>
            <w14:solidFill>
              <w14:schemeClr w14:val="tx1"/>
            </w14:solidFill>
          </w14:textFill>
        </w:rPr>
        <w:t>场景需求方（盖章）：</w:t>
      </w:r>
      <w:r>
        <w:rPr>
          <w:rFonts w:hint="eastAsia" w:ascii="宋体" w:hAnsi="宋体" w:eastAsia="宋体"/>
          <w:sz w:val="24"/>
          <w:szCs w:val="24"/>
          <w:lang w:eastAsia="zh-CN"/>
        </w:rPr>
        <w:t>高柏伦包装（深圳）有限公司</w:t>
      </w:r>
    </w:p>
    <w:tbl>
      <w:tblPr>
        <w:tblStyle w:val="32"/>
        <w:tblW w:w="92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57"/>
        <w:gridCol w:w="2657"/>
        <w:gridCol w:w="2377"/>
        <w:gridCol w:w="2379"/>
      </w:tblGrid>
      <w:tr w14:paraId="6FDD3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exact"/>
          <w:jc w:val="center"/>
        </w:trPr>
        <w:tc>
          <w:tcPr>
            <w:tcW w:w="9270" w:type="dxa"/>
            <w:gridSpan w:val="4"/>
            <w:tcBorders>
              <w:top w:val="single" w:color="auto" w:sz="4" w:space="0"/>
              <w:left w:val="single" w:color="auto" w:sz="4" w:space="0"/>
              <w:bottom w:val="single" w:color="auto" w:sz="4" w:space="0"/>
              <w:right w:val="single" w:color="auto" w:sz="4" w:space="0"/>
            </w:tcBorders>
            <w:vAlign w:val="center"/>
          </w:tcPr>
          <w:p w14:paraId="6FDD3A1D">
            <w:pPr>
              <w:spacing w:line="320" w:lineRule="exact"/>
              <w:rPr>
                <w:rFonts w:ascii="Times New Roman" w:hAnsi="Times New Roman" w:eastAsia="仿宋_GB2312" w:cs="Times New Roman"/>
                <w:color w:val="000000" w:themeColor="text1"/>
                <w:sz w:val="24"/>
                <w:szCs w:val="24"/>
                <w:lang w:eastAsia="zh-CN"/>
                <w14:textFill>
                  <w14:solidFill>
                    <w14:schemeClr w14:val="tx1"/>
                  </w14:solidFill>
                </w14:textFill>
              </w:rPr>
            </w:pPr>
            <w:r>
              <w:rPr>
                <w:rFonts w:hint="eastAsia" w:ascii="Times New Roman" w:hAnsi="Times New Roman" w:eastAsia="仿宋_GB2312" w:cs="Times New Roman"/>
                <w:b/>
                <w:bCs/>
                <w:color w:val="000000" w:themeColor="text1"/>
                <w:sz w:val="24"/>
                <w:szCs w:val="24"/>
                <w:lang w:eastAsia="zh-CN"/>
                <w14:textFill>
                  <w14:solidFill>
                    <w14:schemeClr w14:val="tx1"/>
                  </w14:solidFill>
                </w14:textFill>
              </w:rPr>
              <w:t>一、场景需求方信息</w:t>
            </w:r>
          </w:p>
        </w:tc>
      </w:tr>
      <w:tr w14:paraId="6FDD3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exact"/>
          <w:jc w:val="center"/>
        </w:trPr>
        <w:tc>
          <w:tcPr>
            <w:tcW w:w="1857" w:type="dxa"/>
            <w:tcBorders>
              <w:top w:val="single" w:color="auto" w:sz="4" w:space="0"/>
              <w:left w:val="single" w:color="auto" w:sz="4" w:space="0"/>
              <w:bottom w:val="single" w:color="auto" w:sz="4" w:space="0"/>
              <w:right w:val="single" w:color="auto" w:sz="4" w:space="0"/>
            </w:tcBorders>
            <w:vAlign w:val="center"/>
          </w:tcPr>
          <w:p w14:paraId="6FDD3A1F">
            <w:pPr>
              <w:spacing w:line="320" w:lineRule="exact"/>
              <w:jc w:val="center"/>
              <w:rPr>
                <w:rFonts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单位名称</w:t>
            </w:r>
          </w:p>
        </w:tc>
        <w:tc>
          <w:tcPr>
            <w:tcW w:w="7413" w:type="dxa"/>
            <w:gridSpan w:val="3"/>
            <w:tcBorders>
              <w:top w:val="single" w:color="auto" w:sz="4" w:space="0"/>
              <w:left w:val="single" w:color="auto" w:sz="4" w:space="0"/>
              <w:bottom w:val="single" w:color="auto" w:sz="4" w:space="0"/>
              <w:right w:val="single" w:color="auto" w:sz="4" w:space="0"/>
            </w:tcBorders>
            <w:vAlign w:val="center"/>
          </w:tcPr>
          <w:p w14:paraId="6FDD3A20">
            <w:pPr>
              <w:spacing w:line="320" w:lineRule="exact"/>
              <w:rPr>
                <w:rFonts w:ascii="Times New Roman" w:hAnsi="Times New Roman" w:eastAsia="仿宋_GB2312" w:cs="Times New Roman"/>
                <w:color w:val="000000" w:themeColor="text1"/>
                <w:sz w:val="24"/>
                <w:szCs w:val="24"/>
                <w:lang w:eastAsia="zh-CN"/>
                <w14:textFill>
                  <w14:solidFill>
                    <w14:schemeClr w14:val="tx1"/>
                  </w14:solidFill>
                </w14:textFill>
              </w:rPr>
            </w:pPr>
            <w:r>
              <w:rPr>
                <w:rFonts w:hint="eastAsia" w:ascii="宋体" w:hAnsi="宋体" w:eastAsia="宋体"/>
                <w:sz w:val="24"/>
                <w:szCs w:val="24"/>
                <w:lang w:eastAsia="zh-CN"/>
              </w:rPr>
              <w:t>高柏伦包装（深圳）有限公司</w:t>
            </w:r>
          </w:p>
        </w:tc>
      </w:tr>
      <w:tr w14:paraId="6FDD3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5" w:hRule="atLeast"/>
          <w:jc w:val="center"/>
        </w:trPr>
        <w:tc>
          <w:tcPr>
            <w:tcW w:w="9270" w:type="dxa"/>
            <w:gridSpan w:val="4"/>
            <w:tcBorders>
              <w:top w:val="single" w:color="auto" w:sz="4" w:space="0"/>
              <w:left w:val="single" w:color="auto" w:sz="4" w:space="0"/>
              <w:bottom w:val="single" w:color="auto" w:sz="4" w:space="0"/>
              <w:right w:val="single" w:color="auto" w:sz="4" w:space="0"/>
            </w:tcBorders>
            <w:vAlign w:val="center"/>
          </w:tcPr>
          <w:p w14:paraId="6FDD3A3C">
            <w:pPr>
              <w:spacing w:line="320" w:lineRule="exact"/>
              <w:rPr>
                <w:rFonts w:ascii="Times New Roman" w:hAnsi="Times New Roman" w:eastAsia="仿宋_GB2312" w:cs="Times New Roman"/>
                <w:color w:val="000000" w:themeColor="text1"/>
                <w:sz w:val="24"/>
                <w:szCs w:val="24"/>
                <w:lang w:eastAsia="zh-CN"/>
                <w14:textFill>
                  <w14:solidFill>
                    <w14:schemeClr w14:val="tx1"/>
                  </w14:solidFill>
                </w14:textFill>
              </w:rPr>
            </w:pPr>
            <w:bookmarkStart w:id="0" w:name="_GoBack"/>
            <w:bookmarkEnd w:id="0"/>
            <w:r>
              <w:rPr>
                <w:rFonts w:hint="eastAsia" w:ascii="Times New Roman" w:hAnsi="Times New Roman" w:eastAsia="仿宋_GB2312" w:cs="Times New Roman"/>
                <w:b/>
                <w:bCs/>
                <w:color w:val="000000" w:themeColor="text1"/>
                <w:sz w:val="24"/>
                <w:szCs w:val="24"/>
                <w:lang w:eastAsia="zh-CN"/>
                <w14:textFill>
                  <w14:solidFill>
                    <w14:schemeClr w14:val="tx1"/>
                  </w14:solidFill>
                </w14:textFill>
              </w:rPr>
              <w:t>二、场景开放需求信息</w:t>
            </w:r>
          </w:p>
        </w:tc>
      </w:tr>
      <w:tr w14:paraId="6FDD3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5"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14:paraId="6FDD3A3E">
            <w:pPr>
              <w:snapToGrid w:val="0"/>
              <w:spacing w:line="320" w:lineRule="exact"/>
              <w:jc w:val="center"/>
              <w:rPr>
                <w:rFonts w:ascii="Times New Roman" w:hAnsi="Times New Roman" w:eastAsia="仿宋_GB2312" w:cs="Times New Roman"/>
                <w:color w:val="000000" w:themeColor="text1"/>
                <w:sz w:val="24"/>
                <w:lang w:eastAsia="zh-CN"/>
                <w14:textFill>
                  <w14:solidFill>
                    <w14:schemeClr w14:val="tx1"/>
                  </w14:solidFill>
                </w14:textFill>
              </w:rPr>
            </w:pPr>
            <w:r>
              <w:rPr>
                <w:rFonts w:hint="eastAsia" w:ascii="Times New Roman" w:hAnsi="Times New Roman" w:eastAsia="仿宋_GB2312" w:cs="Times New Roman"/>
                <w:b/>
                <w:bCs/>
                <w:color w:val="000000" w:themeColor="text1"/>
                <w:sz w:val="24"/>
                <w:lang w:eastAsia="zh-CN"/>
                <w14:textFill>
                  <w14:solidFill>
                    <w14:schemeClr w14:val="tx1"/>
                  </w14:solidFill>
                </w14:textFill>
              </w:rPr>
              <w:t>需求名称</w:t>
            </w:r>
          </w:p>
        </w:tc>
        <w:tc>
          <w:tcPr>
            <w:tcW w:w="7413" w:type="dxa"/>
            <w:gridSpan w:val="3"/>
            <w:tcBorders>
              <w:top w:val="single" w:color="auto" w:sz="4" w:space="0"/>
              <w:left w:val="single" w:color="auto" w:sz="4" w:space="0"/>
              <w:bottom w:val="single" w:color="auto" w:sz="4" w:space="0"/>
              <w:right w:val="single" w:color="auto" w:sz="4" w:space="0"/>
            </w:tcBorders>
          </w:tcPr>
          <w:p w14:paraId="6FDD3A3F">
            <w:pPr>
              <w:spacing w:line="320" w:lineRule="exact"/>
              <w:rPr>
                <w:rFonts w:hint="eastAsia" w:ascii="宋体" w:hAnsi="宋体" w:eastAsia="宋体" w:cs="Times New Roman"/>
                <w:color w:val="000000" w:themeColor="text1"/>
                <w:sz w:val="24"/>
                <w:szCs w:val="24"/>
                <w:lang w:eastAsia="zh-CN"/>
                <w14:textFill>
                  <w14:solidFill>
                    <w14:schemeClr w14:val="tx1"/>
                  </w14:solidFill>
                </w14:textFill>
              </w:rPr>
            </w:pPr>
            <w:r>
              <w:rPr>
                <w:rFonts w:hint="eastAsia" w:ascii="宋体" w:hAnsi="宋体" w:eastAsia="宋体" w:cs="Times New Roman"/>
                <w:color w:val="000000" w:themeColor="text1"/>
                <w:sz w:val="24"/>
                <w:szCs w:val="24"/>
                <w:lang w:eastAsia="zh-CN"/>
                <w14:textFill>
                  <w14:solidFill>
                    <w14:schemeClr w14:val="tx1"/>
                  </w14:solidFill>
                </w14:textFill>
              </w:rPr>
              <w:t>面向纸箱包装生产线作业场景的工业机器人智能化替代需求</w:t>
            </w:r>
          </w:p>
        </w:tc>
      </w:tr>
      <w:tr w14:paraId="6FDD3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21"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14:paraId="6FDD3A41">
            <w:pPr>
              <w:snapToGrid w:val="0"/>
              <w:spacing w:line="320" w:lineRule="exact"/>
              <w:jc w:val="center"/>
              <w:rPr>
                <w:rFonts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应用场景</w:t>
            </w:r>
          </w:p>
        </w:tc>
        <w:tc>
          <w:tcPr>
            <w:tcW w:w="7413" w:type="dxa"/>
            <w:gridSpan w:val="3"/>
            <w:tcBorders>
              <w:top w:val="single" w:color="auto" w:sz="4" w:space="0"/>
              <w:left w:val="single" w:color="auto" w:sz="4" w:space="0"/>
              <w:bottom w:val="single" w:color="auto" w:sz="4" w:space="0"/>
              <w:right w:val="single" w:color="auto" w:sz="4" w:space="0"/>
            </w:tcBorders>
          </w:tcPr>
          <w:p w14:paraId="5702EC87">
            <w:pPr>
              <w:pStyle w:val="143"/>
              <w:numPr>
                <w:ilvl w:val="0"/>
                <w:numId w:val="7"/>
              </w:numPr>
              <w:spacing w:line="320" w:lineRule="exact"/>
              <w:rPr>
                <w:rFonts w:hint="eastAsia" w:ascii="宋体" w:hAnsi="宋体" w:eastAsia="宋体" w:cs="Times New Roman"/>
                <w:color w:val="000000" w:themeColor="text1"/>
                <w:sz w:val="24"/>
                <w:szCs w:val="24"/>
                <w:lang w:eastAsia="zh-CN"/>
                <w14:textFill>
                  <w14:solidFill>
                    <w14:schemeClr w14:val="tx1"/>
                  </w14:solidFill>
                </w14:textFill>
              </w:rPr>
            </w:pPr>
            <w:r>
              <w:rPr>
                <w:rFonts w:ascii="宋体" w:hAnsi="宋体" w:eastAsia="宋体" w:cs="Times New Roman"/>
                <w:color w:val="000000" w:themeColor="text1"/>
                <w:sz w:val="24"/>
                <w:szCs w:val="24"/>
                <w:lang w:eastAsia="zh-CN"/>
                <w14:textFill>
                  <w14:solidFill>
                    <w14:schemeClr w14:val="tx1"/>
                  </w14:solidFill>
                </w14:textFill>
              </w:rPr>
              <w:t>场景：公司主要生产瓦楞纸箱、彩盒等包装产品，</w:t>
            </w:r>
            <w:r>
              <w:rPr>
                <w:rFonts w:hint="eastAsia" w:ascii="宋体" w:hAnsi="宋体" w:eastAsia="宋体" w:cs="Times New Roman"/>
                <w:color w:val="000000" w:themeColor="text1"/>
                <w:sz w:val="24"/>
                <w:szCs w:val="24"/>
                <w:lang w:eastAsia="zh-CN"/>
                <w14:textFill>
                  <w14:solidFill>
                    <w14:schemeClr w14:val="tx1"/>
                  </w14:solidFill>
                </w14:textFill>
              </w:rPr>
              <w:t>生产过程人工依赖度较高，稳定性较差,</w:t>
            </w:r>
            <w:r>
              <w:rPr>
                <w:rFonts w:ascii="宋体" w:hAnsi="宋体" w:eastAsia="宋体" w:cs="Times New Roman"/>
                <w:color w:val="000000" w:themeColor="text1"/>
                <w:sz w:val="24"/>
                <w:szCs w:val="24"/>
                <w:lang w:eastAsia="zh-CN"/>
                <w14:textFill>
                  <w14:solidFill>
                    <w14:schemeClr w14:val="tx1"/>
                  </w14:solidFill>
                </w14:textFill>
              </w:rPr>
              <w:t>本项目</w:t>
            </w:r>
            <w:r>
              <w:rPr>
                <w:rFonts w:hint="eastAsia" w:ascii="宋体" w:hAnsi="宋体" w:eastAsia="宋体" w:cs="Times New Roman"/>
                <w:color w:val="000000" w:themeColor="text1"/>
                <w:sz w:val="24"/>
                <w:szCs w:val="24"/>
                <w:lang w:eastAsia="zh-CN"/>
                <w14:textFill>
                  <w14:solidFill>
                    <w14:schemeClr w14:val="tx1"/>
                  </w14:solidFill>
                </w14:textFill>
              </w:rPr>
              <w:t>计划</w:t>
            </w:r>
            <w:r>
              <w:rPr>
                <w:rFonts w:ascii="宋体" w:hAnsi="宋体" w:eastAsia="宋体" w:cs="Times New Roman"/>
                <w:color w:val="000000" w:themeColor="text1"/>
                <w:sz w:val="24"/>
                <w:szCs w:val="24"/>
                <w:lang w:eastAsia="zh-CN"/>
                <w14:textFill>
                  <w14:solidFill>
                    <w14:schemeClr w14:val="tx1"/>
                  </w14:solidFill>
                </w14:textFill>
              </w:rPr>
              <w:t>针对纸箱生产过程中的“粘箱”和“翻纸板”两个环节</w:t>
            </w:r>
            <w:r>
              <w:rPr>
                <w:rFonts w:hint="eastAsia" w:ascii="宋体" w:hAnsi="宋体" w:eastAsia="宋体" w:cs="Times New Roman"/>
                <w:color w:val="000000" w:themeColor="text1"/>
                <w:sz w:val="24"/>
                <w:szCs w:val="24"/>
                <w:lang w:eastAsia="zh-CN"/>
                <w14:textFill>
                  <w14:solidFill>
                    <w14:schemeClr w14:val="tx1"/>
                  </w14:solidFill>
                </w14:textFill>
              </w:rPr>
              <w:t>开展机器人替代，以达到节省人工、提高效率、提高生产过程和产品一致性等目的</w:t>
            </w:r>
            <w:r>
              <w:rPr>
                <w:rFonts w:ascii="宋体" w:hAnsi="宋体" w:eastAsia="宋体" w:cs="Times New Roman"/>
                <w:color w:val="000000" w:themeColor="text1"/>
                <w:sz w:val="24"/>
                <w:szCs w:val="24"/>
                <w:lang w:eastAsia="zh-CN"/>
                <w14:textFill>
                  <w14:solidFill>
                    <w14:schemeClr w14:val="tx1"/>
                  </w14:solidFill>
                </w14:textFill>
              </w:rPr>
              <w:t>。</w:t>
            </w:r>
          </w:p>
          <w:p w14:paraId="3E66284E">
            <w:pPr>
              <w:pStyle w:val="143"/>
              <w:numPr>
                <w:ilvl w:val="0"/>
                <w:numId w:val="7"/>
              </w:numPr>
              <w:spacing w:line="320" w:lineRule="exact"/>
              <w:rPr>
                <w:rFonts w:hint="eastAsia" w:ascii="宋体" w:hAnsi="宋体" w:eastAsia="宋体" w:cs="Times New Roman"/>
                <w:color w:val="000000" w:themeColor="text1"/>
                <w:sz w:val="24"/>
                <w:szCs w:val="24"/>
                <w:lang w:eastAsia="zh-CN"/>
                <w14:textFill>
                  <w14:solidFill>
                    <w14:schemeClr w14:val="tx1"/>
                  </w14:solidFill>
                </w14:textFill>
              </w:rPr>
            </w:pPr>
            <w:r>
              <w:rPr>
                <w:rFonts w:ascii="宋体" w:hAnsi="宋体" w:eastAsia="宋体" w:cs="Times New Roman"/>
                <w:color w:val="000000" w:themeColor="text1"/>
                <w:sz w:val="24"/>
                <w:szCs w:val="24"/>
                <w:lang w:eastAsia="zh-CN"/>
                <w14:textFill>
                  <w14:solidFill>
                    <w14:schemeClr w14:val="tx1"/>
                  </w14:solidFill>
                </w14:textFill>
              </w:rPr>
              <w:t>现状：部分订单、规格或工艺仍需人工完成纸板翻转、翻折、对位、粘接和压合等连续动作。</w:t>
            </w:r>
          </w:p>
          <w:p w14:paraId="62EFAE3C">
            <w:pPr>
              <w:pStyle w:val="143"/>
              <w:numPr>
                <w:ilvl w:val="0"/>
                <w:numId w:val="7"/>
              </w:numPr>
              <w:spacing w:line="320" w:lineRule="exact"/>
              <w:rPr>
                <w:rFonts w:hint="eastAsia" w:ascii="宋体" w:hAnsi="宋体" w:eastAsia="宋体" w:cs="Times New Roman"/>
                <w:color w:val="000000" w:themeColor="text1"/>
                <w:sz w:val="24"/>
                <w:szCs w:val="24"/>
                <w:lang w:eastAsia="zh-CN"/>
                <w14:textFill>
                  <w14:solidFill>
                    <w14:schemeClr w14:val="tx1"/>
                  </w14:solidFill>
                </w14:textFill>
              </w:rPr>
            </w:pPr>
            <w:r>
              <w:rPr>
                <w:rFonts w:ascii="宋体" w:hAnsi="宋体" w:eastAsia="宋体" w:cs="Times New Roman"/>
                <w:color w:val="000000" w:themeColor="text1"/>
                <w:sz w:val="24"/>
                <w:szCs w:val="24"/>
                <w:lang w:eastAsia="zh-CN"/>
                <w14:textFill>
                  <w14:solidFill>
                    <w14:schemeClr w14:val="tx1"/>
                  </w14:solidFill>
                </w14:textFill>
              </w:rPr>
              <w:t>痛点：岗位重复性高、劳动强度较大；人工速度受熟练度、疲劳和人员流动影响，节拍不稳定；不同规格切换时需要重新判断方向和折叠顺序，容易出现折偏、错位、漏粘、粘接不牢等问题。</w:t>
            </w:r>
          </w:p>
          <w:p w14:paraId="6FDD3A47">
            <w:pPr>
              <w:pStyle w:val="143"/>
              <w:numPr>
                <w:ilvl w:val="0"/>
                <w:numId w:val="7"/>
              </w:numPr>
              <w:spacing w:line="320" w:lineRule="exact"/>
              <w:rPr>
                <w:rFonts w:hint="eastAsia" w:ascii="宋体" w:hAnsi="宋体" w:eastAsia="宋体" w:cs="Times New Roman"/>
                <w:color w:val="000000" w:themeColor="text1"/>
                <w:sz w:val="24"/>
                <w:szCs w:val="24"/>
                <w:lang w:eastAsia="zh-CN"/>
                <w14:textFill>
                  <w14:solidFill>
                    <w14:schemeClr w14:val="tx1"/>
                  </w14:solidFill>
                </w14:textFill>
              </w:rPr>
            </w:pPr>
            <w:r>
              <w:rPr>
                <w:rFonts w:ascii="宋体" w:hAnsi="宋体" w:eastAsia="宋体" w:cs="Times New Roman"/>
                <w:color w:val="000000" w:themeColor="text1"/>
                <w:sz w:val="24"/>
                <w:szCs w:val="24"/>
                <w:lang w:eastAsia="zh-CN"/>
                <w14:textFill>
                  <w14:solidFill>
                    <w14:schemeClr w14:val="tx1"/>
                  </w14:solidFill>
                </w14:textFill>
              </w:rPr>
              <w:t>必要性：引入视觉感知、机器人动作规划和专用夹具，形成“识别—翻转/折叠—对位—粘接—压合”柔性单元，可减少人工补位，提高节拍和质量稳定性。</w:t>
            </w:r>
          </w:p>
        </w:tc>
      </w:tr>
      <w:tr w14:paraId="6FDD3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21"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14:paraId="6FDD3A49">
            <w:pPr>
              <w:snapToGrid w:val="0"/>
              <w:spacing w:line="320" w:lineRule="exact"/>
              <w:jc w:val="center"/>
              <w:rPr>
                <w:rFonts w:ascii="Times New Roman" w:hAnsi="Times New Roman" w:eastAsia="仿宋_GB2312" w:cs="Times New Roman"/>
                <w:color w:val="000000" w:themeColor="text1"/>
                <w:sz w:val="24"/>
                <w:szCs w:val="24"/>
                <w:lang w:eastAsia="zh-CN"/>
                <w14:textFill>
                  <w14:solidFill>
                    <w14:schemeClr w14:val="tx1"/>
                  </w14:solidFill>
                </w14:textFill>
              </w:rPr>
            </w:pPr>
            <w:r>
              <w:rPr>
                <w:rFonts w:hint="eastAsia" w:ascii="Times New Roman" w:hAnsi="Times New Roman" w:eastAsia="仿宋_GB2312" w:cs="Times New Roman"/>
                <w:b/>
                <w:bCs/>
                <w:color w:val="000000" w:themeColor="text1"/>
                <w:sz w:val="24"/>
                <w:szCs w:val="24"/>
                <w:lang w:eastAsia="zh-CN"/>
                <w14:textFill>
                  <w14:solidFill>
                    <w14:schemeClr w14:val="tx1"/>
                  </w14:solidFill>
                </w14:textFill>
              </w:rPr>
              <w:t>具体需求</w:t>
            </w:r>
          </w:p>
        </w:tc>
        <w:tc>
          <w:tcPr>
            <w:tcW w:w="7413" w:type="dxa"/>
            <w:gridSpan w:val="3"/>
            <w:tcBorders>
              <w:top w:val="single" w:color="auto" w:sz="4" w:space="0"/>
              <w:left w:val="single" w:color="auto" w:sz="4" w:space="0"/>
              <w:bottom w:val="single" w:color="auto" w:sz="4" w:space="0"/>
              <w:right w:val="single" w:color="auto" w:sz="4" w:space="0"/>
            </w:tcBorders>
          </w:tcPr>
          <w:p w14:paraId="202B8F7C">
            <w:pPr>
              <w:pStyle w:val="143"/>
              <w:numPr>
                <w:ilvl w:val="0"/>
                <w:numId w:val="8"/>
              </w:numPr>
              <w:spacing w:line="320" w:lineRule="exact"/>
              <w:ind w:left="357" w:hanging="357"/>
              <w:rPr>
                <w:rFonts w:hint="eastAsia" w:ascii="宋体" w:hAnsi="宋体" w:eastAsia="宋体" w:cs="Times New Roman"/>
                <w:color w:val="000000" w:themeColor="text1"/>
                <w:sz w:val="24"/>
                <w:szCs w:val="24"/>
                <w:lang w:eastAsia="zh-CN"/>
                <w14:textFill>
                  <w14:solidFill>
                    <w14:schemeClr w14:val="tx1"/>
                  </w14:solidFill>
                </w14:textFill>
              </w:rPr>
            </w:pPr>
            <w:r>
              <w:rPr>
                <w:rFonts w:ascii="宋体" w:hAnsi="宋体" w:eastAsia="宋体" w:cs="Times New Roman"/>
                <w:color w:val="000000" w:themeColor="text1"/>
                <w:sz w:val="24"/>
                <w:szCs w:val="24"/>
                <w:lang w:eastAsia="zh-CN"/>
                <w14:textFill>
                  <w14:solidFill>
                    <w14:schemeClr w14:val="tx1"/>
                  </w14:solidFill>
                </w14:textFill>
              </w:rPr>
              <w:t>建设1套粘箱+翻纸板机器人柔性作业单元，原则上采用1台六轴工业机器人或协作机器人，配置机器视觉、纸板专用末端夹具、翻转/导向机构、粘接及压合协同机构，并与现有设备联调。</w:t>
            </w:r>
          </w:p>
          <w:p w14:paraId="21AC2E22">
            <w:pPr>
              <w:pStyle w:val="143"/>
              <w:numPr>
                <w:ilvl w:val="0"/>
                <w:numId w:val="8"/>
              </w:numPr>
              <w:spacing w:line="320" w:lineRule="exact"/>
              <w:ind w:left="357" w:hanging="357"/>
              <w:rPr>
                <w:rFonts w:hint="eastAsia" w:ascii="宋体" w:hAnsi="宋体" w:eastAsia="宋体" w:cs="Times New Roman"/>
                <w:color w:val="000000" w:themeColor="text1"/>
                <w:sz w:val="24"/>
                <w:szCs w:val="24"/>
                <w:lang w:eastAsia="zh-CN"/>
                <w14:textFill>
                  <w14:solidFill>
                    <w14:schemeClr w14:val="tx1"/>
                  </w14:solidFill>
                </w14:textFill>
              </w:rPr>
            </w:pPr>
            <w:r>
              <w:rPr>
                <w:rFonts w:ascii="宋体" w:hAnsi="宋体" w:eastAsia="宋体" w:cs="Times New Roman"/>
                <w:color w:val="000000" w:themeColor="text1"/>
                <w:sz w:val="24"/>
                <w:szCs w:val="24"/>
                <w:lang w:eastAsia="zh-CN"/>
                <w14:textFill>
                  <w14:solidFill>
                    <w14:schemeClr w14:val="tx1"/>
                  </w14:solidFill>
                </w14:textFill>
              </w:rPr>
              <w:t>实现纸板方向/关键特征识别，自动完成翻转、翻折、对位、粘接和压合；支持不同纸箱规格参数化切换。</w:t>
            </w:r>
          </w:p>
          <w:p w14:paraId="6FDD3A4D">
            <w:pPr>
              <w:pStyle w:val="143"/>
              <w:numPr>
                <w:ilvl w:val="0"/>
                <w:numId w:val="8"/>
              </w:numPr>
              <w:spacing w:line="320" w:lineRule="exact"/>
              <w:ind w:left="357" w:hanging="357"/>
              <w:rPr>
                <w:rFonts w:hint="eastAsia" w:ascii="宋体" w:hAnsi="宋体" w:eastAsia="宋体" w:cs="Times New Roman"/>
                <w:color w:val="000000" w:themeColor="text1"/>
                <w:sz w:val="24"/>
                <w:szCs w:val="24"/>
                <w:lang w:eastAsia="zh-CN"/>
                <w14:textFill>
                  <w14:solidFill>
                    <w14:schemeClr w14:val="tx1"/>
                  </w14:solidFill>
                </w14:textFill>
              </w:rPr>
            </w:pPr>
            <w:r>
              <w:rPr>
                <w:rFonts w:ascii="宋体" w:hAnsi="宋体" w:eastAsia="宋体" w:cs="Times New Roman"/>
                <w:color w:val="000000" w:themeColor="text1"/>
                <w:sz w:val="24"/>
                <w:szCs w:val="24"/>
                <w:lang w:eastAsia="zh-CN"/>
                <w14:textFill>
                  <w14:solidFill>
                    <w14:schemeClr w14:val="tx1"/>
                  </w14:solidFill>
                </w14:textFill>
              </w:rPr>
              <w:t>建议目标：覆盖不少于3类典型纸箱规格；关键定位/折合动作重复精度≤±2mm；连续稳定运行不少于</w:t>
            </w:r>
            <w:r>
              <w:rPr>
                <w:rFonts w:hint="eastAsia" w:ascii="宋体" w:hAnsi="宋体" w:eastAsia="宋体" w:cs="Times New Roman"/>
                <w:color w:val="000000" w:themeColor="text1"/>
                <w:sz w:val="24"/>
                <w:szCs w:val="24"/>
                <w:lang w:eastAsia="zh-CN"/>
                <w14:textFill>
                  <w14:solidFill>
                    <w14:schemeClr w14:val="tx1"/>
                  </w14:solidFill>
                </w14:textFill>
              </w:rPr>
              <w:t>8</w:t>
            </w:r>
            <w:r>
              <w:rPr>
                <w:rFonts w:ascii="宋体" w:hAnsi="宋体" w:eastAsia="宋体" w:cs="Times New Roman"/>
                <w:color w:val="000000" w:themeColor="text1"/>
                <w:sz w:val="24"/>
                <w:szCs w:val="24"/>
                <w:lang w:eastAsia="zh-CN"/>
                <w14:textFill>
                  <w14:solidFill>
                    <w14:schemeClr w14:val="tx1"/>
                  </w14:solidFill>
                </w14:textFill>
              </w:rPr>
              <w:t>小时/班；相关作业效率较人工基准提升30%以上；粘接/折合一次合格率≥9</w:t>
            </w:r>
            <w:r>
              <w:rPr>
                <w:rFonts w:hint="eastAsia" w:ascii="宋体" w:hAnsi="宋体" w:eastAsia="宋体" w:cs="Times New Roman"/>
                <w:color w:val="000000" w:themeColor="text1"/>
                <w:sz w:val="24"/>
                <w:szCs w:val="24"/>
                <w:lang w:eastAsia="zh-CN"/>
                <w14:textFill>
                  <w14:solidFill>
                    <w14:schemeClr w14:val="tx1"/>
                  </w14:solidFill>
                </w14:textFill>
              </w:rPr>
              <w:t>0</w:t>
            </w:r>
            <w:r>
              <w:rPr>
                <w:rFonts w:ascii="宋体" w:hAnsi="宋体" w:eastAsia="宋体" w:cs="Times New Roman"/>
                <w:color w:val="000000" w:themeColor="text1"/>
                <w:sz w:val="24"/>
                <w:szCs w:val="24"/>
                <w:lang w:eastAsia="zh-CN"/>
                <w14:textFill>
                  <w14:solidFill>
                    <w14:schemeClr w14:val="tx1"/>
                  </w14:solidFill>
                </w14:textFill>
              </w:rPr>
              <w:t>%；具备异常检测、报警和人工接管功能。最终指标以现场样机测试和企业实际产品规格确定。</w:t>
            </w:r>
          </w:p>
        </w:tc>
      </w:tr>
      <w:tr w14:paraId="6FDD3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61"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14:paraId="6FDD3A4F">
            <w:pPr>
              <w:spacing w:line="320" w:lineRule="exact"/>
              <w:rPr>
                <w:rFonts w:ascii="Times New Roman" w:hAnsi="Times New Roman" w:eastAsia="仿宋_GB2312" w:cs="Times New Roman"/>
                <w:color w:val="000000" w:themeColor="text1"/>
                <w:sz w:val="24"/>
                <w:szCs w:val="24"/>
                <w:lang w:eastAsia="zh-CN"/>
                <w14:textFill>
                  <w14:solidFill>
                    <w14:schemeClr w14:val="tx1"/>
                  </w14:solidFill>
                </w14:textFill>
              </w:rPr>
            </w:pPr>
            <w:r>
              <w:rPr>
                <w:rFonts w:hint="eastAsia" w:ascii="Times New Roman" w:hAnsi="Times New Roman" w:eastAsia="仿宋_GB2312" w:cs="Times New Roman"/>
                <w:b/>
                <w:bCs/>
                <w:color w:val="000000" w:themeColor="text1"/>
                <w:sz w:val="24"/>
                <w:szCs w:val="24"/>
                <w:lang w:eastAsia="zh-CN"/>
                <w14:textFill>
                  <w14:solidFill>
                    <w14:schemeClr w14:val="tx1"/>
                  </w14:solidFill>
                </w14:textFill>
              </w:rPr>
              <w:t>拟投入资金（万元）</w:t>
            </w:r>
          </w:p>
        </w:tc>
        <w:tc>
          <w:tcPr>
            <w:tcW w:w="2657" w:type="dxa"/>
            <w:tcBorders>
              <w:top w:val="single" w:color="auto" w:sz="4" w:space="0"/>
              <w:left w:val="single" w:color="auto" w:sz="4" w:space="0"/>
              <w:bottom w:val="single" w:color="auto" w:sz="4" w:space="0"/>
              <w:right w:val="single" w:color="auto" w:sz="4" w:space="0"/>
            </w:tcBorders>
            <w:vAlign w:val="center"/>
          </w:tcPr>
          <w:p w14:paraId="6FDD3A50">
            <w:pPr>
              <w:spacing w:line="320" w:lineRule="exact"/>
              <w:jc w:val="center"/>
              <w:rPr>
                <w:rFonts w:ascii="Times New Roman" w:hAnsi="Times New Roman" w:eastAsia="仿宋_GB2312" w:cs="Times New Roman"/>
                <w:color w:val="000000" w:themeColor="text1"/>
                <w:sz w:val="24"/>
                <w:szCs w:val="24"/>
                <w:lang w:eastAsia="zh-CN"/>
                <w14:textFill>
                  <w14:solidFill>
                    <w14:schemeClr w14:val="tx1"/>
                  </w14:solidFill>
                </w14:textFill>
              </w:rPr>
            </w:pPr>
            <w:r>
              <w:rPr>
                <w:rFonts w:hint="eastAsia" w:ascii="宋体" w:hAnsi="宋体" w:eastAsia="宋体" w:cs="Times New Roman"/>
                <w:color w:val="000000" w:themeColor="text1"/>
                <w:sz w:val="24"/>
                <w:szCs w:val="24"/>
                <w:lang w:eastAsia="zh-CN"/>
                <w14:textFill>
                  <w14:solidFill>
                    <w14:schemeClr w14:val="tx1"/>
                  </w14:solidFill>
                </w14:textFill>
              </w:rPr>
              <w:t>200万元</w:t>
            </w:r>
          </w:p>
        </w:tc>
        <w:tc>
          <w:tcPr>
            <w:tcW w:w="2377" w:type="dxa"/>
            <w:tcBorders>
              <w:top w:val="single" w:color="auto" w:sz="4" w:space="0"/>
              <w:left w:val="single" w:color="auto" w:sz="4" w:space="0"/>
              <w:bottom w:val="single" w:color="auto" w:sz="4" w:space="0"/>
              <w:right w:val="single" w:color="auto" w:sz="4" w:space="0"/>
            </w:tcBorders>
            <w:vAlign w:val="center"/>
          </w:tcPr>
          <w:p w14:paraId="6FDD3A51">
            <w:pPr>
              <w:spacing w:line="320" w:lineRule="exact"/>
              <w:jc w:val="center"/>
              <w:rPr>
                <w:rFonts w:ascii="Times New Roman" w:hAnsi="Times New Roman" w:eastAsia="仿宋_GB2312" w:cs="Times New Roman"/>
                <w:color w:val="000000" w:themeColor="text1"/>
                <w:sz w:val="24"/>
                <w:szCs w:val="24"/>
                <w:lang w:eastAsia="zh-CN"/>
                <w14:textFill>
                  <w14:solidFill>
                    <w14:schemeClr w14:val="tx1"/>
                  </w14:solidFill>
                </w14:textFill>
              </w:rPr>
            </w:pPr>
            <w:r>
              <w:rPr>
                <w:rFonts w:hint="eastAsia" w:ascii="Times New Roman" w:hAnsi="Times New Roman" w:eastAsia="仿宋_GB2312" w:cs="Times New Roman"/>
                <w:b/>
                <w:bCs/>
                <w:color w:val="000000" w:themeColor="text1"/>
                <w:sz w:val="24"/>
                <w:szCs w:val="24"/>
                <w:lang w:eastAsia="zh-CN"/>
                <w14:textFill>
                  <w14:solidFill>
                    <w14:schemeClr w14:val="tx1"/>
                  </w14:solidFill>
                </w14:textFill>
              </w:rPr>
              <w:t>拟建设周期</w:t>
            </w:r>
          </w:p>
        </w:tc>
        <w:tc>
          <w:tcPr>
            <w:tcW w:w="2379" w:type="dxa"/>
            <w:tcBorders>
              <w:top w:val="single" w:color="auto" w:sz="4" w:space="0"/>
              <w:left w:val="single" w:color="auto" w:sz="4" w:space="0"/>
              <w:bottom w:val="single" w:color="auto" w:sz="4" w:space="0"/>
              <w:right w:val="single" w:color="auto" w:sz="4" w:space="0"/>
            </w:tcBorders>
            <w:vAlign w:val="center"/>
          </w:tcPr>
          <w:p w14:paraId="6FDD3A52">
            <w:pPr>
              <w:pStyle w:val="143"/>
              <w:spacing w:line="320" w:lineRule="exact"/>
              <w:ind w:left="840"/>
              <w:rPr>
                <w:rFonts w:hint="eastAsia" w:ascii="宋体" w:hAnsi="宋体" w:eastAsia="宋体" w:cs="Times New Roman"/>
                <w:color w:val="000000" w:themeColor="text1"/>
                <w:sz w:val="24"/>
                <w:szCs w:val="24"/>
                <w:lang w:eastAsia="zh-CN"/>
                <w14:textFill>
                  <w14:solidFill>
                    <w14:schemeClr w14:val="tx1"/>
                  </w14:solidFill>
                </w14:textFill>
              </w:rPr>
            </w:pPr>
            <w:r>
              <w:rPr>
                <w:rFonts w:hint="eastAsia" w:ascii="宋体" w:hAnsi="宋体" w:eastAsia="宋体" w:cs="Times New Roman"/>
                <w:color w:val="000000" w:themeColor="text1"/>
                <w:sz w:val="24"/>
                <w:szCs w:val="24"/>
                <w:lang w:eastAsia="zh-CN"/>
                <w14:textFill>
                  <w14:solidFill>
                    <w14:schemeClr w14:val="tx1"/>
                  </w14:solidFill>
                </w14:textFill>
              </w:rPr>
              <w:t>12个月</w:t>
            </w:r>
          </w:p>
        </w:tc>
      </w:tr>
      <w:tr w14:paraId="6FDD3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01"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14:paraId="6FDD3A54">
            <w:pPr>
              <w:snapToGrid w:val="0"/>
              <w:spacing w:line="320" w:lineRule="exact"/>
              <w:jc w:val="center"/>
              <w:rPr>
                <w:rFonts w:ascii="Times New Roman" w:hAnsi="Times New Roman" w:eastAsia="仿宋_GB2312" w:cs="Times New Roman"/>
                <w:color w:val="000000" w:themeColor="text1"/>
                <w:sz w:val="24"/>
                <w:szCs w:val="24"/>
                <w:lang w:eastAsia="zh-CN"/>
                <w14:textFill>
                  <w14:solidFill>
                    <w14:schemeClr w14:val="tx1"/>
                  </w14:solidFill>
                </w14:textFill>
              </w:rPr>
            </w:pPr>
            <w:r>
              <w:rPr>
                <w:rFonts w:hint="eastAsia" w:ascii="Times New Roman" w:hAnsi="Times New Roman" w:eastAsia="仿宋_GB2312" w:cs="Times New Roman"/>
                <w:b/>
                <w:bCs/>
                <w:color w:val="000000" w:themeColor="text1"/>
                <w:sz w:val="24"/>
                <w:szCs w:val="24"/>
                <w:lang w:eastAsia="zh-CN"/>
                <w14:textFill>
                  <w14:solidFill>
                    <w14:schemeClr w14:val="tx1"/>
                  </w14:solidFill>
                </w14:textFill>
              </w:rPr>
              <w:t>应用现状</w:t>
            </w:r>
          </w:p>
        </w:tc>
        <w:tc>
          <w:tcPr>
            <w:tcW w:w="7413" w:type="dxa"/>
            <w:gridSpan w:val="3"/>
            <w:tcBorders>
              <w:top w:val="single" w:color="auto" w:sz="4" w:space="0"/>
              <w:left w:val="single" w:color="auto" w:sz="4" w:space="0"/>
              <w:bottom w:val="single" w:color="auto" w:sz="4" w:space="0"/>
              <w:right w:val="single" w:color="auto" w:sz="4" w:space="0"/>
            </w:tcBorders>
          </w:tcPr>
          <w:p w14:paraId="28208CB2">
            <w:pPr>
              <w:spacing w:after="0" w:line="320" w:lineRule="exact"/>
              <w:ind w:firstLine="480" w:firstLineChars="200"/>
              <w:rPr>
                <w:rFonts w:hint="eastAsia" w:ascii="宋体" w:hAnsi="宋体" w:eastAsia="宋体" w:cs="Times New Roman"/>
                <w:color w:val="000000" w:themeColor="text1"/>
                <w:sz w:val="24"/>
                <w:szCs w:val="24"/>
                <w:lang w:eastAsia="zh-CN"/>
                <w14:textFill>
                  <w14:solidFill>
                    <w14:schemeClr w14:val="tx1"/>
                  </w14:solidFill>
                </w14:textFill>
              </w:rPr>
            </w:pPr>
            <w:r>
              <w:rPr>
                <w:rFonts w:hint="eastAsia" w:ascii="宋体" w:hAnsi="宋体" w:eastAsia="宋体" w:cs="Times New Roman"/>
                <w:color w:val="000000" w:themeColor="text1"/>
                <w:sz w:val="24"/>
                <w:szCs w:val="24"/>
                <w:lang w:eastAsia="zh-CN"/>
                <w14:textFill>
                  <w14:solidFill>
                    <w14:schemeClr w14:val="tx1"/>
                  </w14:solidFill>
                </w14:textFill>
              </w:rPr>
              <w:t>柏伦企业目前主要从事纸板、纸箱、彩盒、纸托、护角等包装产品生产，生产流程涵盖纸板加工、印刷、模切、成型、包装、仓储等多个环节。公司现有部分包装、码垛、装箱、搬运等工序仍依赖人工完成，尤其是在成品整理、纸箱折叠、装箱辅助、码放搬运等重复性劳动环节，对人工依赖程度较高。</w:t>
            </w:r>
          </w:p>
          <w:p w14:paraId="03C25E16">
            <w:pPr>
              <w:spacing w:after="0" w:line="320" w:lineRule="exact"/>
              <w:ind w:firstLine="480" w:firstLineChars="200"/>
              <w:rPr>
                <w:rFonts w:hint="eastAsia" w:ascii="宋体" w:hAnsi="宋体" w:eastAsia="宋体" w:cs="Times New Roman"/>
                <w:color w:val="000000" w:themeColor="text1"/>
                <w:sz w:val="24"/>
                <w:szCs w:val="24"/>
                <w:lang w:eastAsia="zh-CN"/>
                <w14:textFill>
                  <w14:solidFill>
                    <w14:schemeClr w14:val="tx1"/>
                  </w14:solidFill>
                </w14:textFill>
              </w:rPr>
            </w:pPr>
            <w:r>
              <w:rPr>
                <w:rFonts w:hint="eastAsia" w:ascii="宋体" w:hAnsi="宋体" w:eastAsia="宋体" w:cs="Times New Roman"/>
                <w:color w:val="000000" w:themeColor="text1"/>
                <w:sz w:val="24"/>
                <w:szCs w:val="24"/>
                <w:lang w:eastAsia="zh-CN"/>
                <w14:textFill>
                  <w14:solidFill>
                    <w14:schemeClr w14:val="tx1"/>
                  </w14:solidFill>
                </w14:textFill>
              </w:rPr>
              <w:t>当前人工生产模式主要存在以下问题：</w:t>
            </w:r>
          </w:p>
          <w:p w14:paraId="52A0282A">
            <w:pPr>
              <w:pStyle w:val="143"/>
              <w:numPr>
                <w:ilvl w:val="0"/>
                <w:numId w:val="9"/>
              </w:numPr>
              <w:spacing w:after="0" w:line="320" w:lineRule="exact"/>
              <w:ind w:left="442" w:hanging="442"/>
              <w:rPr>
                <w:rFonts w:hint="eastAsia" w:ascii="宋体" w:hAnsi="宋体" w:eastAsia="宋体" w:cs="Times New Roman"/>
                <w:color w:val="000000" w:themeColor="text1"/>
                <w:sz w:val="24"/>
                <w:szCs w:val="24"/>
                <w:lang w:eastAsia="zh-CN"/>
                <w14:textFill>
                  <w14:solidFill>
                    <w14:schemeClr w14:val="tx1"/>
                  </w14:solidFill>
                </w14:textFill>
              </w:rPr>
            </w:pPr>
            <w:r>
              <w:rPr>
                <w:rFonts w:hint="eastAsia" w:ascii="宋体" w:hAnsi="宋体" w:eastAsia="宋体" w:cs="Times New Roman"/>
                <w:color w:val="000000" w:themeColor="text1"/>
                <w:sz w:val="24"/>
                <w:szCs w:val="24"/>
                <w:lang w:eastAsia="zh-CN"/>
                <w14:textFill>
                  <w14:solidFill>
                    <w14:schemeClr w14:val="tx1"/>
                  </w14:solidFill>
                </w14:textFill>
              </w:rPr>
              <w:t>人工成本持续增加。包装行业属于劳动密集型产业，简单重复岗位占比较高，随着劳动力成本提升，企业生产成本不断增加。</w:t>
            </w:r>
          </w:p>
          <w:p w14:paraId="6531B99C">
            <w:pPr>
              <w:pStyle w:val="143"/>
              <w:numPr>
                <w:ilvl w:val="0"/>
                <w:numId w:val="9"/>
              </w:numPr>
              <w:spacing w:after="0" w:line="320" w:lineRule="exact"/>
              <w:ind w:left="442" w:hanging="442"/>
              <w:rPr>
                <w:rFonts w:hint="eastAsia" w:ascii="宋体" w:hAnsi="宋体" w:eastAsia="宋体" w:cs="Times New Roman"/>
                <w:color w:val="000000" w:themeColor="text1"/>
                <w:sz w:val="24"/>
                <w:szCs w:val="24"/>
                <w:lang w:eastAsia="zh-CN"/>
                <w14:textFill>
                  <w14:solidFill>
                    <w14:schemeClr w14:val="tx1"/>
                  </w14:solidFill>
                </w14:textFill>
              </w:rPr>
            </w:pPr>
            <w:r>
              <w:rPr>
                <w:rFonts w:hint="eastAsia" w:ascii="宋体" w:hAnsi="宋体" w:eastAsia="宋体" w:cs="Times New Roman"/>
                <w:color w:val="000000" w:themeColor="text1"/>
                <w:sz w:val="24"/>
                <w:szCs w:val="24"/>
                <w:lang w:eastAsia="zh-CN"/>
                <w14:textFill>
                  <w14:solidFill>
                    <w14:schemeClr w14:val="tx1"/>
                  </w14:solidFill>
                </w14:textFill>
              </w:rPr>
              <w:t>人员招聘和稳定性不足。包装生产环境存在劳动强度较大、工作重复性高等特点，基层操作人员流动较频繁，导致生产连续性受到影响。</w:t>
            </w:r>
          </w:p>
          <w:p w14:paraId="3FAA7428">
            <w:pPr>
              <w:pStyle w:val="143"/>
              <w:numPr>
                <w:ilvl w:val="0"/>
                <w:numId w:val="9"/>
              </w:numPr>
              <w:spacing w:after="0" w:line="320" w:lineRule="exact"/>
              <w:ind w:left="442" w:hanging="442"/>
              <w:rPr>
                <w:rFonts w:hint="eastAsia" w:ascii="宋体" w:hAnsi="宋体" w:eastAsia="宋体" w:cs="Times New Roman"/>
                <w:color w:val="000000" w:themeColor="text1"/>
                <w:sz w:val="24"/>
                <w:szCs w:val="24"/>
                <w:lang w:eastAsia="zh-CN"/>
                <w14:textFill>
                  <w14:solidFill>
                    <w14:schemeClr w14:val="tx1"/>
                  </w14:solidFill>
                </w14:textFill>
              </w:rPr>
            </w:pPr>
            <w:r>
              <w:rPr>
                <w:rFonts w:hint="eastAsia" w:ascii="宋体" w:hAnsi="宋体" w:eastAsia="宋体" w:cs="Times New Roman"/>
                <w:color w:val="000000" w:themeColor="text1"/>
                <w:sz w:val="24"/>
                <w:szCs w:val="24"/>
                <w:lang w:eastAsia="zh-CN"/>
                <w14:textFill>
                  <w14:solidFill>
                    <w14:schemeClr w14:val="tx1"/>
                  </w14:solidFill>
                </w14:textFill>
              </w:rPr>
              <w:t>生产效率受人工影响明显。人工操作速度、熟练程度存在差异，在订单集中、交付周期紧张时，容易出现产能不足、生产节拍不稳定等问题。</w:t>
            </w:r>
          </w:p>
          <w:p w14:paraId="0936FE3F">
            <w:pPr>
              <w:pStyle w:val="143"/>
              <w:numPr>
                <w:ilvl w:val="0"/>
                <w:numId w:val="9"/>
              </w:numPr>
              <w:spacing w:after="0" w:line="320" w:lineRule="exact"/>
              <w:ind w:left="442" w:hanging="442"/>
              <w:rPr>
                <w:rFonts w:hint="eastAsia" w:ascii="宋体" w:hAnsi="宋体" w:eastAsia="宋体" w:cs="Times New Roman"/>
                <w:color w:val="000000" w:themeColor="text1"/>
                <w:sz w:val="24"/>
                <w:szCs w:val="24"/>
                <w:lang w:eastAsia="zh-CN"/>
                <w14:textFill>
                  <w14:solidFill>
                    <w14:schemeClr w14:val="tx1"/>
                  </w14:solidFill>
                </w14:textFill>
              </w:rPr>
            </w:pPr>
            <w:r>
              <w:rPr>
                <w:rFonts w:hint="eastAsia" w:ascii="宋体" w:hAnsi="宋体" w:eastAsia="宋体" w:cs="Times New Roman"/>
                <w:color w:val="000000" w:themeColor="text1"/>
                <w:sz w:val="24"/>
                <w:szCs w:val="24"/>
                <w:lang w:eastAsia="zh-CN"/>
                <w14:textFill>
                  <w14:solidFill>
                    <w14:schemeClr w14:val="tx1"/>
                  </w14:solidFill>
                </w14:textFill>
              </w:rPr>
              <w:t>产品质量一致性不足。人工包装过程中，纸箱摆放、装箱数量、堆叠高度等环节容易受到操作人员经验影响，难以长期保持稳定标准。</w:t>
            </w:r>
          </w:p>
          <w:p w14:paraId="1DC476F4">
            <w:pPr>
              <w:pStyle w:val="143"/>
              <w:numPr>
                <w:ilvl w:val="0"/>
                <w:numId w:val="9"/>
              </w:numPr>
              <w:spacing w:after="0" w:line="320" w:lineRule="exact"/>
              <w:ind w:left="442" w:hanging="442"/>
              <w:rPr>
                <w:rFonts w:hint="eastAsia" w:ascii="宋体" w:hAnsi="宋体" w:eastAsia="宋体" w:cs="Times New Roman"/>
                <w:color w:val="000000" w:themeColor="text1"/>
                <w:sz w:val="24"/>
                <w:szCs w:val="24"/>
                <w:lang w:eastAsia="zh-CN"/>
                <w14:textFill>
                  <w14:solidFill>
                    <w14:schemeClr w14:val="tx1"/>
                  </w14:solidFill>
                </w14:textFill>
              </w:rPr>
            </w:pPr>
            <w:r>
              <w:rPr>
                <w:rFonts w:hint="eastAsia" w:ascii="宋体" w:hAnsi="宋体" w:eastAsia="宋体" w:cs="Times New Roman"/>
                <w:color w:val="000000" w:themeColor="text1"/>
                <w:sz w:val="24"/>
                <w:szCs w:val="24"/>
                <w:lang w:eastAsia="zh-CN"/>
                <w14:textFill>
                  <w14:solidFill>
                    <w14:schemeClr w14:val="tx1"/>
                  </w14:solidFill>
                </w14:textFill>
              </w:rPr>
              <w:t>智能化升级需求迫切。公司目前已经具备较完善的自动化包装生产设备基础，但在末端包装、柔性操作、物料搬运等环节仍存在人工瓶颈，需要通过工业机器人实现生产环节进一步自动化升级。</w:t>
            </w:r>
          </w:p>
          <w:p w14:paraId="6FDD3A57">
            <w:pPr>
              <w:spacing w:after="0" w:line="320" w:lineRule="exact"/>
              <w:ind w:firstLine="480" w:firstLineChars="200"/>
              <w:rPr>
                <w:rFonts w:hint="eastAsia" w:ascii="宋体" w:hAnsi="宋体" w:eastAsia="宋体" w:cs="Times New Roman"/>
                <w:color w:val="000000" w:themeColor="text1"/>
                <w:sz w:val="24"/>
                <w:szCs w:val="24"/>
                <w:lang w:eastAsia="zh-CN"/>
                <w14:textFill>
                  <w14:solidFill>
                    <w14:schemeClr w14:val="tx1"/>
                  </w14:solidFill>
                </w14:textFill>
              </w:rPr>
            </w:pPr>
            <w:r>
              <w:rPr>
                <w:rFonts w:hint="eastAsia" w:ascii="宋体" w:hAnsi="宋体" w:eastAsia="宋体" w:cs="Times New Roman"/>
                <w:color w:val="000000" w:themeColor="text1"/>
                <w:sz w:val="24"/>
                <w:szCs w:val="24"/>
                <w:lang w:eastAsia="zh-CN"/>
                <w14:textFill>
                  <w14:solidFill>
                    <w14:schemeClr w14:val="tx1"/>
                  </w14:solidFill>
                </w14:textFill>
              </w:rPr>
              <w:t>因此，引入具备视觉感知、智能决策和柔性操作能力的工业机器人，有助于减少重复人工投入，提高生产稳定性，实现包装生产线智能化升级。</w:t>
            </w:r>
          </w:p>
        </w:tc>
      </w:tr>
      <w:tr w14:paraId="6FDD3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21"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14:paraId="6FDD3A59">
            <w:pPr>
              <w:snapToGrid w:val="0"/>
              <w:spacing w:line="320" w:lineRule="exact"/>
              <w:jc w:val="center"/>
              <w:rPr>
                <w:rFonts w:ascii="Times New Roman" w:hAnsi="Times New Roman" w:eastAsia="仿宋_GB2312" w:cs="Times New Roman"/>
                <w:color w:val="000000" w:themeColor="text1"/>
                <w:sz w:val="24"/>
                <w:szCs w:val="24"/>
                <w:lang w:eastAsia="zh-CN"/>
                <w14:textFill>
                  <w14:solidFill>
                    <w14:schemeClr w14:val="tx1"/>
                  </w14:solidFill>
                </w14:textFill>
              </w:rPr>
            </w:pPr>
            <w:r>
              <w:rPr>
                <w:rFonts w:hint="eastAsia" w:ascii="Times New Roman" w:hAnsi="Times New Roman" w:eastAsia="仿宋_GB2312" w:cs="Times New Roman"/>
                <w:b/>
                <w:bCs/>
                <w:color w:val="000000" w:themeColor="text1"/>
                <w:sz w:val="24"/>
                <w:szCs w:val="24"/>
                <w:lang w:eastAsia="zh-CN"/>
                <w14:textFill>
                  <w14:solidFill>
                    <w14:schemeClr w14:val="tx1"/>
                  </w14:solidFill>
                </w14:textFill>
              </w:rPr>
              <w:t>潜在规模</w:t>
            </w:r>
          </w:p>
        </w:tc>
        <w:tc>
          <w:tcPr>
            <w:tcW w:w="7413" w:type="dxa"/>
            <w:gridSpan w:val="3"/>
            <w:tcBorders>
              <w:top w:val="single" w:color="auto" w:sz="4" w:space="0"/>
              <w:left w:val="single" w:color="auto" w:sz="4" w:space="0"/>
              <w:bottom w:val="single" w:color="auto" w:sz="4" w:space="0"/>
              <w:right w:val="single" w:color="auto" w:sz="4" w:space="0"/>
            </w:tcBorders>
          </w:tcPr>
          <w:p w14:paraId="433E6A2E">
            <w:pPr>
              <w:pStyle w:val="143"/>
              <w:numPr>
                <w:ilvl w:val="0"/>
                <w:numId w:val="10"/>
              </w:numPr>
              <w:spacing w:after="0" w:line="320" w:lineRule="exact"/>
              <w:rPr>
                <w:rFonts w:hint="eastAsia" w:ascii="宋体" w:hAnsi="宋体" w:eastAsia="宋体" w:cs="Times New Roman"/>
                <w:color w:val="000000" w:themeColor="text1"/>
                <w:sz w:val="24"/>
                <w:szCs w:val="24"/>
                <w:lang w:eastAsia="zh-CN"/>
                <w14:textFill>
                  <w14:solidFill>
                    <w14:schemeClr w14:val="tx1"/>
                  </w14:solidFill>
                </w14:textFill>
              </w:rPr>
            </w:pPr>
            <w:r>
              <w:rPr>
                <w:rFonts w:hint="eastAsia" w:ascii="宋体" w:hAnsi="宋体" w:eastAsia="宋体" w:cs="Times New Roman"/>
                <w:color w:val="000000" w:themeColor="text1"/>
                <w:sz w:val="24"/>
                <w:szCs w:val="24"/>
                <w:lang w:eastAsia="zh-CN"/>
                <w14:textFill>
                  <w14:solidFill>
                    <w14:schemeClr w14:val="tx1"/>
                  </w14:solidFill>
                </w14:textFill>
              </w:rPr>
              <w:t>从国内市场看，我国纸包装产业规模大、企业数量多。</w:t>
            </w:r>
            <w:r>
              <w:rPr>
                <w:rFonts w:ascii="宋体" w:hAnsi="宋体" w:eastAsia="宋体" w:cs="Times New Roman"/>
                <w:color w:val="000000" w:themeColor="text1"/>
                <w:sz w:val="24"/>
                <w:szCs w:val="24"/>
                <w:lang w:eastAsia="zh-CN"/>
                <w14:textFill>
                  <w14:solidFill>
                    <w14:schemeClr w14:val="tx1"/>
                  </w14:solidFill>
                </w14:textFill>
              </w:rPr>
              <w:t>2023</w:t>
            </w:r>
            <w:r>
              <w:rPr>
                <w:rFonts w:hint="eastAsia" w:ascii="宋体" w:hAnsi="宋体" w:eastAsia="宋体" w:cs="Times New Roman"/>
                <w:color w:val="000000" w:themeColor="text1"/>
                <w:sz w:val="24"/>
                <w:szCs w:val="24"/>
                <w:lang w:eastAsia="zh-CN"/>
                <w14:textFill>
                  <w14:solidFill>
                    <w14:schemeClr w14:val="tx1"/>
                  </w14:solidFill>
                </w14:textFill>
              </w:rPr>
              <w:t>年我国规模以上纸和纸板容器制造企业达到</w:t>
            </w:r>
            <w:r>
              <w:rPr>
                <w:rFonts w:ascii="宋体" w:hAnsi="宋体" w:eastAsia="宋体" w:cs="Times New Roman"/>
                <w:color w:val="000000" w:themeColor="text1"/>
                <w:sz w:val="24"/>
                <w:szCs w:val="24"/>
                <w:lang w:eastAsia="zh-CN"/>
                <w14:textFill>
                  <w14:solidFill>
                    <w14:schemeClr w14:val="tx1"/>
                  </w14:solidFill>
                </w14:textFill>
              </w:rPr>
              <w:t>2991</w:t>
            </w:r>
            <w:r>
              <w:rPr>
                <w:rFonts w:hint="eastAsia" w:ascii="宋体" w:hAnsi="宋体" w:eastAsia="宋体" w:cs="Times New Roman"/>
                <w:color w:val="000000" w:themeColor="text1"/>
                <w:sz w:val="24"/>
                <w:szCs w:val="24"/>
                <w:lang w:eastAsia="zh-CN"/>
                <w14:textFill>
                  <w14:solidFill>
                    <w14:schemeClr w14:val="tx1"/>
                  </w14:solidFill>
                </w14:textFill>
              </w:rPr>
              <w:t>家；</w:t>
            </w:r>
            <w:r>
              <w:rPr>
                <w:rFonts w:ascii="宋体" w:hAnsi="宋体" w:eastAsia="宋体" w:cs="Times New Roman"/>
                <w:color w:val="000000" w:themeColor="text1"/>
                <w:sz w:val="24"/>
                <w:szCs w:val="24"/>
                <w:lang w:eastAsia="zh-CN"/>
                <w14:textFill>
                  <w14:solidFill>
                    <w14:schemeClr w14:val="tx1"/>
                  </w14:solidFill>
                </w14:textFill>
              </w:rPr>
              <w:t>2024</w:t>
            </w:r>
            <w:r>
              <w:rPr>
                <w:rFonts w:hint="eastAsia" w:ascii="宋体" w:hAnsi="宋体" w:eastAsia="宋体" w:cs="Times New Roman"/>
                <w:color w:val="000000" w:themeColor="text1"/>
                <w:sz w:val="24"/>
                <w:szCs w:val="24"/>
                <w:lang w:eastAsia="zh-CN"/>
                <w14:textFill>
                  <w14:solidFill>
                    <w14:schemeClr w14:val="tx1"/>
                  </w14:solidFill>
                </w14:textFill>
              </w:rPr>
              <w:t>年全国规模以上纸制品生产企业达到</w:t>
            </w:r>
            <w:r>
              <w:rPr>
                <w:rFonts w:ascii="宋体" w:hAnsi="宋体" w:eastAsia="宋体" w:cs="Times New Roman"/>
                <w:color w:val="000000" w:themeColor="text1"/>
                <w:sz w:val="24"/>
                <w:szCs w:val="24"/>
                <w:lang w:eastAsia="zh-CN"/>
                <w14:textFill>
                  <w14:solidFill>
                    <w14:schemeClr w14:val="tx1"/>
                  </w14:solidFill>
                </w14:textFill>
              </w:rPr>
              <w:t>5406</w:t>
            </w:r>
            <w:r>
              <w:rPr>
                <w:rFonts w:hint="eastAsia" w:ascii="宋体" w:hAnsi="宋体" w:eastAsia="宋体" w:cs="Times New Roman"/>
                <w:color w:val="000000" w:themeColor="text1"/>
                <w:sz w:val="24"/>
                <w:szCs w:val="24"/>
                <w:lang w:eastAsia="zh-CN"/>
                <w14:textFill>
                  <w14:solidFill>
                    <w14:schemeClr w14:val="tx1"/>
                  </w14:solidFill>
                </w14:textFill>
              </w:rPr>
              <w:t>家。</w:t>
            </w:r>
            <w:r>
              <w:rPr>
                <w:rFonts w:ascii="宋体" w:hAnsi="宋体" w:eastAsia="宋体" w:cs="Times New Roman"/>
                <w:color w:val="000000" w:themeColor="text1"/>
                <w:sz w:val="24"/>
                <w:szCs w:val="24"/>
                <w:lang w:eastAsia="zh-CN"/>
                <w14:textFill>
                  <w14:solidFill>
                    <w14:schemeClr w14:val="tx1"/>
                  </w14:solidFill>
                </w14:textFill>
              </w:rPr>
              <w:t>2024</w:t>
            </w:r>
            <w:r>
              <w:rPr>
                <w:rFonts w:hint="eastAsia" w:ascii="宋体" w:hAnsi="宋体" w:eastAsia="宋体" w:cs="Times New Roman"/>
                <w:color w:val="000000" w:themeColor="text1"/>
                <w:sz w:val="24"/>
                <w:szCs w:val="24"/>
                <w:lang w:eastAsia="zh-CN"/>
                <w14:textFill>
                  <w14:solidFill>
                    <w14:schemeClr w14:val="tx1"/>
                  </w14:solidFill>
                </w14:textFill>
              </w:rPr>
              <w:t>年我国纸包装制品及材料营业收入约</w:t>
            </w:r>
            <w:r>
              <w:rPr>
                <w:rFonts w:ascii="宋体" w:hAnsi="宋体" w:eastAsia="宋体" w:cs="Times New Roman"/>
                <w:color w:val="000000" w:themeColor="text1"/>
                <w:sz w:val="24"/>
                <w:szCs w:val="24"/>
                <w:lang w:eastAsia="zh-CN"/>
                <w14:textFill>
                  <w14:solidFill>
                    <w14:schemeClr w14:val="tx1"/>
                  </w14:solidFill>
                </w14:textFill>
              </w:rPr>
              <w:t>5476</w:t>
            </w:r>
            <w:r>
              <w:rPr>
                <w:rFonts w:hint="eastAsia" w:ascii="宋体" w:hAnsi="宋体" w:eastAsia="宋体" w:cs="Times New Roman"/>
                <w:color w:val="000000" w:themeColor="text1"/>
                <w:sz w:val="24"/>
                <w:szCs w:val="24"/>
                <w:lang w:eastAsia="zh-CN"/>
                <w14:textFill>
                  <w14:solidFill>
                    <w14:schemeClr w14:val="tx1"/>
                  </w14:solidFill>
                </w14:textFill>
              </w:rPr>
              <w:t>亿元，属于</w:t>
            </w:r>
            <w:r>
              <w:rPr>
                <w:rFonts w:ascii="宋体" w:hAnsi="宋体" w:eastAsia="宋体" w:cs="Times New Roman"/>
                <w:color w:val="000000" w:themeColor="text1"/>
                <w:sz w:val="24"/>
                <w:szCs w:val="24"/>
                <w:lang w:eastAsia="zh-CN"/>
                <w14:textFill>
                  <w14:solidFill>
                    <w14:schemeClr w14:val="tx1"/>
                  </w14:solidFill>
                </w14:textFill>
              </w:rPr>
              <w:t>5000</w:t>
            </w:r>
            <w:r>
              <w:rPr>
                <w:rFonts w:hint="eastAsia" w:ascii="宋体" w:hAnsi="宋体" w:eastAsia="宋体" w:cs="Times New Roman"/>
                <w:color w:val="000000" w:themeColor="text1"/>
                <w:sz w:val="24"/>
                <w:szCs w:val="24"/>
                <w:lang w:eastAsia="zh-CN"/>
                <w14:textFill>
                  <w14:solidFill>
                    <w14:schemeClr w14:val="tx1"/>
                  </w14:solidFill>
                </w14:textFill>
              </w:rPr>
              <w:t>亿元级细分市场；同期全国包装行业规模以上企业营业收入约</w:t>
            </w:r>
            <w:r>
              <w:rPr>
                <w:rFonts w:ascii="宋体" w:hAnsi="宋体" w:eastAsia="宋体" w:cs="Times New Roman"/>
                <w:color w:val="000000" w:themeColor="text1"/>
                <w:sz w:val="24"/>
                <w:szCs w:val="24"/>
                <w:lang w:eastAsia="zh-CN"/>
                <w14:textFill>
                  <w14:solidFill>
                    <w14:schemeClr w14:val="tx1"/>
                  </w14:solidFill>
                </w14:textFill>
              </w:rPr>
              <w:t>2.07</w:t>
            </w:r>
            <w:r>
              <w:rPr>
                <w:rFonts w:hint="eastAsia" w:ascii="宋体" w:hAnsi="宋体" w:eastAsia="宋体" w:cs="Times New Roman"/>
                <w:color w:val="000000" w:themeColor="text1"/>
                <w:sz w:val="24"/>
                <w:szCs w:val="24"/>
                <w:lang w:eastAsia="zh-CN"/>
                <w14:textFill>
                  <w14:solidFill>
                    <w14:schemeClr w14:val="tx1"/>
                  </w14:solidFill>
                </w14:textFill>
              </w:rPr>
              <w:t>万亿元，</w:t>
            </w:r>
            <w:r>
              <w:rPr>
                <w:rFonts w:ascii="宋体" w:hAnsi="宋体" w:eastAsia="宋体" w:cs="Times New Roman"/>
                <w:color w:val="000000" w:themeColor="text1"/>
                <w:sz w:val="24"/>
                <w:szCs w:val="24"/>
                <w:lang w:eastAsia="zh-CN"/>
                <w14:textFill>
                  <w14:solidFill>
                    <w14:schemeClr w14:val="tx1"/>
                  </w14:solidFill>
                </w14:textFill>
              </w:rPr>
              <w:t>2025</w:t>
            </w:r>
            <w:r>
              <w:rPr>
                <w:rFonts w:hint="eastAsia" w:ascii="宋体" w:hAnsi="宋体" w:eastAsia="宋体" w:cs="Times New Roman"/>
                <w:color w:val="000000" w:themeColor="text1"/>
                <w:sz w:val="24"/>
                <w:szCs w:val="24"/>
                <w:lang w:eastAsia="zh-CN"/>
                <w14:textFill>
                  <w14:solidFill>
                    <w14:schemeClr w14:val="tx1"/>
                  </w14:solidFill>
                </w14:textFill>
              </w:rPr>
              <w:t>年仍达到约</w:t>
            </w:r>
            <w:r>
              <w:rPr>
                <w:rFonts w:ascii="宋体" w:hAnsi="宋体" w:eastAsia="宋体" w:cs="Times New Roman"/>
                <w:color w:val="000000" w:themeColor="text1"/>
                <w:sz w:val="24"/>
                <w:szCs w:val="24"/>
                <w:lang w:eastAsia="zh-CN"/>
                <w14:textFill>
                  <w14:solidFill>
                    <w14:schemeClr w14:val="tx1"/>
                  </w14:solidFill>
                </w14:textFill>
              </w:rPr>
              <w:t>2.05</w:t>
            </w:r>
            <w:r>
              <w:rPr>
                <w:rFonts w:hint="eastAsia" w:ascii="宋体" w:hAnsi="宋体" w:eastAsia="宋体" w:cs="Times New Roman"/>
                <w:color w:val="000000" w:themeColor="text1"/>
                <w:sz w:val="24"/>
                <w:szCs w:val="24"/>
                <w:lang w:eastAsia="zh-CN"/>
                <w14:textFill>
                  <w14:solidFill>
                    <w14:schemeClr w14:val="tx1"/>
                  </w14:solidFill>
                </w14:textFill>
              </w:rPr>
              <w:t>万亿元，整体产业规模保持在</w:t>
            </w:r>
            <w:r>
              <w:rPr>
                <w:rFonts w:ascii="宋体" w:hAnsi="宋体" w:eastAsia="宋体" w:cs="Times New Roman"/>
                <w:color w:val="000000" w:themeColor="text1"/>
                <w:sz w:val="24"/>
                <w:szCs w:val="24"/>
                <w:lang w:eastAsia="zh-CN"/>
                <w14:textFill>
                  <w14:solidFill>
                    <w14:schemeClr w14:val="tx1"/>
                  </w14:solidFill>
                </w14:textFill>
              </w:rPr>
              <w:t>2</w:t>
            </w:r>
            <w:r>
              <w:rPr>
                <w:rFonts w:hint="eastAsia" w:ascii="宋体" w:hAnsi="宋体" w:eastAsia="宋体" w:cs="Times New Roman"/>
                <w:color w:val="000000" w:themeColor="text1"/>
                <w:sz w:val="24"/>
                <w:szCs w:val="24"/>
                <w:lang w:eastAsia="zh-CN"/>
                <w14:textFill>
                  <w14:solidFill>
                    <w14:schemeClr w14:val="tx1"/>
                  </w14:solidFill>
                </w14:textFill>
              </w:rPr>
              <w:t>万亿元级。</w:t>
            </w:r>
            <w:r>
              <w:rPr>
                <w:rFonts w:ascii="Times New Roman" w:hAnsi="Times New Roman" w:eastAsia="宋体" w:cs="Times New Roman"/>
                <w:color w:val="000000" w:themeColor="text1"/>
                <w:sz w:val="24"/>
                <w:szCs w:val="24"/>
                <w:lang w:eastAsia="zh-CN"/>
                <w14:textFill>
                  <w14:solidFill>
                    <w14:schemeClr w14:val="tx1"/>
                  </w14:solidFill>
                </w14:textFill>
              </w:rPr>
              <w:t>​</w:t>
            </w:r>
          </w:p>
          <w:p w14:paraId="4C7C36E2">
            <w:pPr>
              <w:pStyle w:val="143"/>
              <w:numPr>
                <w:ilvl w:val="0"/>
                <w:numId w:val="10"/>
              </w:numPr>
              <w:spacing w:after="0" w:line="320" w:lineRule="exact"/>
              <w:rPr>
                <w:rFonts w:hint="eastAsia" w:ascii="宋体" w:hAnsi="宋体" w:eastAsia="宋体" w:cs="Times New Roman"/>
                <w:color w:val="000000" w:themeColor="text1"/>
                <w:sz w:val="24"/>
                <w:szCs w:val="24"/>
                <w:lang w:eastAsia="zh-CN"/>
                <w14:textFill>
                  <w14:solidFill>
                    <w14:schemeClr w14:val="tx1"/>
                  </w14:solidFill>
                </w14:textFill>
              </w:rPr>
            </w:pPr>
            <w:r>
              <w:rPr>
                <w:rFonts w:hint="eastAsia" w:ascii="宋体" w:hAnsi="宋体" w:eastAsia="宋体" w:cs="Times New Roman"/>
                <w:color w:val="000000" w:themeColor="text1"/>
                <w:sz w:val="24"/>
                <w:szCs w:val="24"/>
                <w:lang w:eastAsia="zh-CN"/>
                <w14:textFill>
                  <w14:solidFill>
                    <w14:schemeClr w14:val="tx1"/>
                  </w14:solidFill>
                </w14:textFill>
              </w:rPr>
              <w:t>从企业需求看，纸箱生产具有订单批量大、产品规格多、生产节拍要求高等特点，粘箱、翻纸板等工序在大量纸箱企业中仍存在人工操作需求。本项目通过机器人解决柔性抓取、纸板定位、翻转、折叠辅助及粘箱等环节的人工投入问题，形成标准化、可复制的机器人应用方案后，可首先在柏伦企业内部不同生产线、不同箱型之间复制，再向国内其他纸箱、纸板及包装制造企业推广。</w:t>
            </w:r>
            <w:r>
              <w:rPr>
                <w:rFonts w:ascii="Times New Roman" w:hAnsi="Times New Roman" w:eastAsia="宋体" w:cs="Times New Roman"/>
                <w:color w:val="000000" w:themeColor="text1"/>
                <w:sz w:val="24"/>
                <w:szCs w:val="24"/>
                <w:lang w:eastAsia="zh-CN"/>
                <w14:textFill>
                  <w14:solidFill>
                    <w14:schemeClr w14:val="tx1"/>
                  </w14:solidFill>
                </w14:textFill>
              </w:rPr>
              <w:t>​</w:t>
            </w:r>
          </w:p>
          <w:p w14:paraId="54526394">
            <w:pPr>
              <w:pStyle w:val="143"/>
              <w:numPr>
                <w:ilvl w:val="0"/>
                <w:numId w:val="10"/>
              </w:numPr>
              <w:spacing w:after="0" w:line="320" w:lineRule="exact"/>
              <w:rPr>
                <w:rFonts w:hint="eastAsia" w:ascii="宋体" w:hAnsi="宋体" w:eastAsia="宋体" w:cs="Times New Roman"/>
                <w:color w:val="000000" w:themeColor="text1"/>
                <w:sz w:val="24"/>
                <w:szCs w:val="24"/>
                <w:lang w:eastAsia="zh-CN"/>
                <w14:textFill>
                  <w14:solidFill>
                    <w14:schemeClr w14:val="tx1"/>
                  </w14:solidFill>
                </w14:textFill>
              </w:rPr>
            </w:pPr>
            <w:r>
              <w:rPr>
                <w:rFonts w:hint="eastAsia" w:ascii="宋体" w:hAnsi="宋体" w:eastAsia="宋体" w:cs="Times New Roman"/>
                <w:color w:val="000000" w:themeColor="text1"/>
                <w:sz w:val="24"/>
                <w:szCs w:val="24"/>
                <w:lang w:eastAsia="zh-CN"/>
                <w14:textFill>
                  <w14:solidFill>
                    <w14:schemeClr w14:val="tx1"/>
                  </w14:solidFill>
                </w14:textFill>
              </w:rPr>
              <w:t>从潜在应用数量看，本项目并非针对单一企业开发一次性设备，而是形成“机器人本体</w:t>
            </w:r>
            <w:r>
              <w:rPr>
                <w:rFonts w:ascii="宋体" w:hAnsi="宋体" w:eastAsia="宋体" w:cs="Times New Roman"/>
                <w:color w:val="000000" w:themeColor="text1"/>
                <w:sz w:val="24"/>
                <w:szCs w:val="24"/>
                <w:lang w:eastAsia="zh-CN"/>
                <w14:textFill>
                  <w14:solidFill>
                    <w14:schemeClr w14:val="tx1"/>
                  </w14:solidFill>
                </w14:textFill>
              </w:rPr>
              <w:t>+</w:t>
            </w:r>
            <w:r>
              <w:rPr>
                <w:rFonts w:hint="eastAsia" w:ascii="宋体" w:hAnsi="宋体" w:eastAsia="宋体" w:cs="Times New Roman"/>
                <w:color w:val="000000" w:themeColor="text1"/>
                <w:sz w:val="24"/>
                <w:szCs w:val="24"/>
                <w:lang w:eastAsia="zh-CN"/>
                <w14:textFill>
                  <w14:solidFill>
                    <w14:schemeClr w14:val="tx1"/>
                  </w14:solidFill>
                </w14:textFill>
              </w:rPr>
              <w:t>视觉感知</w:t>
            </w:r>
            <w:r>
              <w:rPr>
                <w:rFonts w:ascii="宋体" w:hAnsi="宋体" w:eastAsia="宋体" w:cs="Times New Roman"/>
                <w:color w:val="000000" w:themeColor="text1"/>
                <w:sz w:val="24"/>
                <w:szCs w:val="24"/>
                <w:lang w:eastAsia="zh-CN"/>
                <w14:textFill>
                  <w14:solidFill>
                    <w14:schemeClr w14:val="tx1"/>
                  </w14:solidFill>
                </w14:textFill>
              </w:rPr>
              <w:t>+</w:t>
            </w:r>
            <w:r>
              <w:rPr>
                <w:rFonts w:hint="eastAsia" w:ascii="宋体" w:hAnsi="宋体" w:eastAsia="宋体" w:cs="Times New Roman"/>
                <w:color w:val="000000" w:themeColor="text1"/>
                <w:sz w:val="24"/>
                <w:szCs w:val="24"/>
                <w:lang w:eastAsia="zh-CN"/>
                <w14:textFill>
                  <w14:solidFill>
                    <w14:schemeClr w14:val="tx1"/>
                  </w14:solidFill>
                </w14:textFill>
              </w:rPr>
              <w:t>柔性执行</w:t>
            </w:r>
            <w:r>
              <w:rPr>
                <w:rFonts w:ascii="宋体" w:hAnsi="宋体" w:eastAsia="宋体" w:cs="Times New Roman"/>
                <w:color w:val="000000" w:themeColor="text1"/>
                <w:sz w:val="24"/>
                <w:szCs w:val="24"/>
                <w:lang w:eastAsia="zh-CN"/>
                <w14:textFill>
                  <w14:solidFill>
                    <w14:schemeClr w14:val="tx1"/>
                  </w14:solidFill>
                </w14:textFill>
              </w:rPr>
              <w:t>+</w:t>
            </w:r>
            <w:r>
              <w:rPr>
                <w:rFonts w:hint="eastAsia" w:ascii="宋体" w:hAnsi="宋体" w:eastAsia="宋体" w:cs="Times New Roman"/>
                <w:color w:val="000000" w:themeColor="text1"/>
                <w:sz w:val="24"/>
                <w:szCs w:val="24"/>
                <w:lang w:eastAsia="zh-CN"/>
                <w14:textFill>
                  <w14:solidFill>
                    <w14:schemeClr w14:val="tx1"/>
                  </w14:solidFill>
                </w14:textFill>
              </w:rPr>
              <w:t>智能控制”的标准化解决方案。以全国数千家规模以上纸和纸板容器企业以及更广泛的中小型纸包装企业为基础，即使仅有较小比例企业开展粘箱、翻纸板机器人改造，也能够形成较大的设备及技术服务市场；随着人工成本上升和制造企业智能化改造持续推进，未来市场空间仍将进一步扩大。</w:t>
            </w:r>
            <w:r>
              <w:rPr>
                <w:rFonts w:ascii="Times New Roman" w:hAnsi="Times New Roman" w:eastAsia="宋体" w:cs="Times New Roman"/>
                <w:color w:val="000000" w:themeColor="text1"/>
                <w:sz w:val="24"/>
                <w:szCs w:val="24"/>
                <w:lang w:eastAsia="zh-CN"/>
                <w14:textFill>
                  <w14:solidFill>
                    <w14:schemeClr w14:val="tx1"/>
                  </w14:solidFill>
                </w14:textFill>
              </w:rPr>
              <w:t>​</w:t>
            </w:r>
          </w:p>
          <w:p w14:paraId="77C2F8AF">
            <w:pPr>
              <w:pStyle w:val="143"/>
              <w:numPr>
                <w:ilvl w:val="0"/>
                <w:numId w:val="10"/>
              </w:numPr>
              <w:spacing w:after="0" w:line="320" w:lineRule="exact"/>
              <w:rPr>
                <w:rFonts w:hint="eastAsia" w:ascii="宋体" w:hAnsi="宋体" w:eastAsia="宋体" w:cs="Times New Roman"/>
                <w:color w:val="000000" w:themeColor="text1"/>
                <w:sz w:val="24"/>
                <w:szCs w:val="24"/>
                <w:lang w:eastAsia="zh-CN"/>
                <w14:textFill>
                  <w14:solidFill>
                    <w14:schemeClr w14:val="tx1"/>
                  </w14:solidFill>
                </w14:textFill>
              </w:rPr>
            </w:pPr>
            <w:r>
              <w:rPr>
                <w:rFonts w:hint="eastAsia" w:ascii="宋体" w:hAnsi="宋体" w:eastAsia="宋体" w:cs="Times New Roman"/>
                <w:color w:val="000000" w:themeColor="text1"/>
                <w:sz w:val="24"/>
                <w:szCs w:val="24"/>
                <w:lang w:eastAsia="zh-CN"/>
                <w14:textFill>
                  <w14:solidFill>
                    <w14:schemeClr w14:val="tx1"/>
                  </w14:solidFill>
                </w14:textFill>
              </w:rPr>
              <w:t>从全球市场看，瓦楞纸包装属于具有长期需求基础的基础包装产业，与电商、食品饮料、制造业物流和消费品流通高度相关，具备较强的持续性。公开市场研究显示，全球瓦楞纸包装市场</w:t>
            </w:r>
            <w:r>
              <w:rPr>
                <w:rFonts w:ascii="宋体" w:hAnsi="宋体" w:eastAsia="宋体" w:cs="Times New Roman"/>
                <w:color w:val="000000" w:themeColor="text1"/>
                <w:sz w:val="24"/>
                <w:szCs w:val="24"/>
                <w:lang w:eastAsia="zh-CN"/>
                <w14:textFill>
                  <w14:solidFill>
                    <w14:schemeClr w14:val="tx1"/>
                  </w14:solidFill>
                </w14:textFill>
              </w:rPr>
              <w:t>2025</w:t>
            </w:r>
            <w:r>
              <w:rPr>
                <w:rFonts w:hint="eastAsia" w:ascii="宋体" w:hAnsi="宋体" w:eastAsia="宋体" w:cs="Times New Roman"/>
                <w:color w:val="000000" w:themeColor="text1"/>
                <w:sz w:val="24"/>
                <w:szCs w:val="24"/>
                <w:lang w:eastAsia="zh-CN"/>
                <w14:textFill>
                  <w14:solidFill>
                    <w14:schemeClr w14:val="tx1"/>
                  </w14:solidFill>
                </w14:textFill>
              </w:rPr>
              <w:t>年规模已达到约</w:t>
            </w:r>
            <w:r>
              <w:rPr>
                <w:rFonts w:ascii="宋体" w:hAnsi="宋体" w:eastAsia="宋体" w:cs="Times New Roman"/>
                <w:color w:val="000000" w:themeColor="text1"/>
                <w:sz w:val="24"/>
                <w:szCs w:val="24"/>
                <w:lang w:eastAsia="zh-CN"/>
                <w14:textFill>
                  <w14:solidFill>
                    <w14:schemeClr w14:val="tx1"/>
                  </w14:solidFill>
                </w14:textFill>
              </w:rPr>
              <w:t>2246</w:t>
            </w:r>
            <w:r>
              <w:rPr>
                <w:rFonts w:hint="eastAsia" w:ascii="宋体" w:hAnsi="宋体" w:eastAsia="宋体" w:cs="Times New Roman"/>
                <w:color w:val="000000" w:themeColor="text1"/>
                <w:sz w:val="24"/>
                <w:szCs w:val="24"/>
                <w:lang w:eastAsia="zh-CN"/>
                <w14:textFill>
                  <w14:solidFill>
                    <w14:schemeClr w14:val="tx1"/>
                  </w14:solidFill>
                </w14:textFill>
              </w:rPr>
              <w:t>亿美元，并预计未来继续保持增长；不同机构统计口径虽存在差异，但均显示其属于千亿美元级全球市场。</w:t>
            </w:r>
            <w:r>
              <w:rPr>
                <w:rFonts w:ascii="Times New Roman" w:hAnsi="Times New Roman" w:eastAsia="宋体" w:cs="Times New Roman"/>
                <w:color w:val="000000" w:themeColor="text1"/>
                <w:sz w:val="24"/>
                <w:szCs w:val="24"/>
                <w:lang w:eastAsia="zh-CN"/>
                <w14:textFill>
                  <w14:solidFill>
                    <w14:schemeClr w14:val="tx1"/>
                  </w14:solidFill>
                </w14:textFill>
              </w:rPr>
              <w:t>​</w:t>
            </w:r>
          </w:p>
          <w:p w14:paraId="6FDD3A5A">
            <w:pPr>
              <w:pStyle w:val="143"/>
              <w:numPr>
                <w:ilvl w:val="0"/>
                <w:numId w:val="10"/>
              </w:numPr>
              <w:spacing w:after="0" w:line="320" w:lineRule="exact"/>
              <w:rPr>
                <w:rFonts w:hint="eastAsia" w:ascii="宋体" w:hAnsi="宋体" w:eastAsia="宋体" w:cs="Times New Roman"/>
                <w:color w:val="000000" w:themeColor="text1"/>
                <w:sz w:val="24"/>
                <w:szCs w:val="24"/>
                <w:lang w:eastAsia="zh-CN"/>
                <w14:textFill>
                  <w14:solidFill>
                    <w14:schemeClr w14:val="tx1"/>
                  </w14:solidFill>
                </w14:textFill>
              </w:rPr>
            </w:pPr>
            <w:r>
              <w:rPr>
                <w:rFonts w:hint="eastAsia" w:ascii="宋体" w:hAnsi="宋体" w:eastAsia="宋体" w:cs="Times New Roman"/>
                <w:color w:val="000000" w:themeColor="text1"/>
                <w:sz w:val="24"/>
                <w:szCs w:val="24"/>
                <w:lang w:eastAsia="zh-CN"/>
                <w14:textFill>
                  <w14:solidFill>
                    <w14:schemeClr w14:val="tx1"/>
                  </w14:solidFill>
                </w14:textFill>
              </w:rPr>
              <w:t>因此，本项目具有“单点场景验证—企业内部复制—国内纸箱行业推广—海外市场拓展”的产业化路径。纸箱包装是商品流通和制造业供应链中的基础环节，不属于短期性需求，纸质包装同时具有可回收、可再生等特点，在绿色包装和“以纸代塑”趋势下仍具有长期应用基础。未来项目成熟后，可针对不同国家和地区纸箱生产企业的设备及人工工序进行适配，具备向东南亚、欧洲、北美等海外包装制造市场拓展的潜力。</w:t>
            </w:r>
            <w:r>
              <w:rPr>
                <w:rFonts w:ascii="Times New Roman" w:hAnsi="Times New Roman" w:eastAsia="宋体" w:cs="Times New Roman"/>
                <w:color w:val="000000" w:themeColor="text1"/>
                <w:sz w:val="24"/>
                <w:szCs w:val="24"/>
                <w:lang w:eastAsia="zh-CN"/>
                <w14:textFill>
                  <w14:solidFill>
                    <w14:schemeClr w14:val="tx1"/>
                  </w14:solidFill>
                </w14:textFill>
              </w:rPr>
              <w:t>​</w:t>
            </w:r>
          </w:p>
        </w:tc>
      </w:tr>
      <w:tr w14:paraId="6FDD3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31"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14:paraId="6FDD3A5C">
            <w:pPr>
              <w:snapToGrid w:val="0"/>
              <w:spacing w:line="320" w:lineRule="exact"/>
              <w:jc w:val="center"/>
              <w:rPr>
                <w:rFonts w:ascii="Times New Roman" w:hAnsi="Times New Roman" w:eastAsia="仿宋_GB2312" w:cs="Times New Roman"/>
                <w:color w:val="000000" w:themeColor="text1"/>
                <w:sz w:val="24"/>
                <w:szCs w:val="24"/>
                <w:lang w:eastAsia="zh-CN"/>
                <w14:textFill>
                  <w14:solidFill>
                    <w14:schemeClr w14:val="tx1"/>
                  </w14:solidFill>
                </w14:textFill>
              </w:rPr>
            </w:pPr>
            <w:r>
              <w:rPr>
                <w:rFonts w:hint="eastAsia" w:ascii="Times New Roman" w:hAnsi="Times New Roman" w:eastAsia="仿宋_GB2312" w:cs="Times New Roman"/>
                <w:b/>
                <w:bCs/>
                <w:color w:val="000000" w:themeColor="text1"/>
                <w:sz w:val="24"/>
                <w:szCs w:val="24"/>
                <w:lang w:eastAsia="zh-CN"/>
                <w14:textFill>
                  <w14:solidFill>
                    <w14:schemeClr w14:val="tx1"/>
                  </w14:solidFill>
                </w14:textFill>
              </w:rPr>
              <w:t>建设基础</w:t>
            </w:r>
          </w:p>
        </w:tc>
        <w:tc>
          <w:tcPr>
            <w:tcW w:w="7413" w:type="dxa"/>
            <w:gridSpan w:val="3"/>
            <w:tcBorders>
              <w:top w:val="single" w:color="auto" w:sz="4" w:space="0"/>
              <w:left w:val="single" w:color="auto" w:sz="4" w:space="0"/>
              <w:bottom w:val="single" w:color="auto" w:sz="4" w:space="0"/>
              <w:right w:val="single" w:color="auto" w:sz="4" w:space="0"/>
            </w:tcBorders>
          </w:tcPr>
          <w:p w14:paraId="12CEAC85">
            <w:pPr>
              <w:pStyle w:val="143"/>
              <w:numPr>
                <w:ilvl w:val="1"/>
                <w:numId w:val="7"/>
              </w:numPr>
              <w:spacing w:after="0" w:line="320" w:lineRule="exact"/>
              <w:ind w:left="357" w:hanging="357"/>
              <w:rPr>
                <w:rFonts w:hint="eastAsia" w:ascii="宋体" w:hAnsi="宋体" w:eastAsia="宋体" w:cs="Times New Roman"/>
                <w:color w:val="000000" w:themeColor="text1"/>
                <w:sz w:val="24"/>
                <w:szCs w:val="24"/>
                <w:lang w:eastAsia="zh-CN"/>
                <w14:textFill>
                  <w14:solidFill>
                    <w14:schemeClr w14:val="tx1"/>
                  </w14:solidFill>
                </w14:textFill>
              </w:rPr>
            </w:pPr>
            <w:r>
              <w:rPr>
                <w:rFonts w:hint="eastAsia" w:ascii="宋体" w:hAnsi="宋体" w:eastAsia="宋体" w:cs="Times New Roman"/>
                <w:color w:val="000000" w:themeColor="text1"/>
                <w:sz w:val="24"/>
                <w:szCs w:val="24"/>
                <w:lang w:eastAsia="zh-CN"/>
                <w14:textFill>
                  <w14:solidFill>
                    <w14:schemeClr w14:val="tx1"/>
                  </w14:solidFill>
                </w14:textFill>
              </w:rPr>
              <w:t>场地与产线：公司深圳基地占地约</w:t>
            </w:r>
            <w:r>
              <w:rPr>
                <w:rFonts w:ascii="宋体" w:hAnsi="宋体" w:eastAsia="宋体" w:cs="Times New Roman"/>
                <w:color w:val="000000" w:themeColor="text1"/>
                <w:sz w:val="24"/>
                <w:szCs w:val="24"/>
                <w:lang w:eastAsia="zh-CN"/>
                <w14:textFill>
                  <w14:solidFill>
                    <w14:schemeClr w14:val="tx1"/>
                  </w14:solidFill>
                </w14:textFill>
              </w:rPr>
              <w:t>4.3万平方米、厂房约3.5万平方米，具备真实工业现场和试点工位条件；员工500多人，生产组织较成熟。</w:t>
            </w:r>
          </w:p>
          <w:p w14:paraId="483B8C4A">
            <w:pPr>
              <w:pStyle w:val="143"/>
              <w:numPr>
                <w:ilvl w:val="1"/>
                <w:numId w:val="7"/>
              </w:numPr>
              <w:spacing w:after="0" w:line="320" w:lineRule="exact"/>
              <w:ind w:left="357" w:hanging="357"/>
              <w:rPr>
                <w:rFonts w:hint="eastAsia" w:ascii="宋体" w:hAnsi="宋体" w:eastAsia="宋体" w:cs="Times New Roman"/>
                <w:color w:val="000000" w:themeColor="text1"/>
                <w:sz w:val="24"/>
                <w:szCs w:val="24"/>
                <w:lang w:eastAsia="zh-CN"/>
                <w14:textFill>
                  <w14:solidFill>
                    <w14:schemeClr w14:val="tx1"/>
                  </w14:solidFill>
                </w14:textFill>
              </w:rPr>
            </w:pPr>
            <w:r>
              <w:rPr>
                <w:rFonts w:ascii="宋体" w:hAnsi="宋体" w:eastAsia="宋体" w:cs="Times New Roman"/>
                <w:color w:val="000000" w:themeColor="text1"/>
                <w:sz w:val="24"/>
                <w:szCs w:val="24"/>
                <w:lang w:eastAsia="zh-CN"/>
                <w14:textFill>
                  <w14:solidFill>
                    <w14:schemeClr w14:val="tx1"/>
                  </w14:solidFill>
                </w14:textFill>
              </w:rPr>
              <w:t>设备基础：</w:t>
            </w:r>
            <w:r>
              <w:rPr>
                <w:rFonts w:hint="eastAsia" w:ascii="宋体" w:hAnsi="宋体" w:eastAsia="宋体" w:cs="Times New Roman"/>
                <w:color w:val="000000" w:themeColor="text1"/>
                <w:sz w:val="24"/>
                <w:szCs w:val="24"/>
                <w:lang w:eastAsia="zh-CN"/>
                <w14:textFill>
                  <w14:solidFill>
                    <w14:schemeClr w14:val="tx1"/>
                  </w14:solidFill>
                </w14:textFill>
              </w:rPr>
              <w:t>公司</w:t>
            </w:r>
            <w:r>
              <w:rPr>
                <w:rFonts w:ascii="宋体" w:hAnsi="宋体" w:eastAsia="宋体" w:cs="Times New Roman"/>
                <w:color w:val="000000" w:themeColor="text1"/>
                <w:sz w:val="24"/>
                <w:szCs w:val="24"/>
                <w:lang w:eastAsia="zh-CN"/>
                <w14:textFill>
                  <w14:solidFill>
                    <w14:schemeClr w14:val="tx1"/>
                  </w14:solidFill>
                </w14:textFill>
              </w:rPr>
              <w:t>有瓦楞纸板生产线、四色水墨印刷开槽模切、自动粘箱/折叠、分纸、钉箱、模切等设备，可在现有生产链中设置机器人试点。</w:t>
            </w:r>
          </w:p>
          <w:p w14:paraId="0ECC8A83">
            <w:pPr>
              <w:pStyle w:val="143"/>
              <w:numPr>
                <w:ilvl w:val="1"/>
                <w:numId w:val="7"/>
              </w:numPr>
              <w:spacing w:after="0" w:line="320" w:lineRule="exact"/>
              <w:ind w:left="357" w:hanging="357"/>
              <w:rPr>
                <w:rFonts w:hint="eastAsia" w:ascii="宋体" w:hAnsi="宋体" w:eastAsia="宋体" w:cs="Times New Roman"/>
                <w:color w:val="000000" w:themeColor="text1"/>
                <w:sz w:val="24"/>
                <w:szCs w:val="24"/>
                <w:lang w:eastAsia="zh-CN"/>
                <w14:textFill>
                  <w14:solidFill>
                    <w14:schemeClr w14:val="tx1"/>
                  </w14:solidFill>
                </w14:textFill>
              </w:rPr>
            </w:pPr>
            <w:r>
              <w:rPr>
                <w:rFonts w:ascii="宋体" w:hAnsi="宋体" w:eastAsia="宋体" w:cs="Times New Roman"/>
                <w:color w:val="000000" w:themeColor="text1"/>
                <w:sz w:val="24"/>
                <w:szCs w:val="24"/>
                <w:lang w:eastAsia="zh-CN"/>
                <w14:textFill>
                  <w14:solidFill>
                    <w14:schemeClr w14:val="tx1"/>
                  </w14:solidFill>
                </w14:textFill>
              </w:rPr>
              <w:t>产品与数据：公司长期生产纸箱、彩盒等包装产品，现场可提供典型纸箱样件、尺寸规格、折痕/胶位、人工节拍、良率/返工等数据，用于视觉识别和动作设计。</w:t>
            </w:r>
          </w:p>
          <w:p w14:paraId="3EFC81FC">
            <w:pPr>
              <w:pStyle w:val="143"/>
              <w:numPr>
                <w:ilvl w:val="1"/>
                <w:numId w:val="7"/>
              </w:numPr>
              <w:spacing w:after="0" w:line="320" w:lineRule="exact"/>
              <w:ind w:left="357" w:hanging="357"/>
              <w:rPr>
                <w:rFonts w:hint="eastAsia" w:ascii="宋体" w:hAnsi="宋体" w:eastAsia="宋体" w:cs="Times New Roman"/>
                <w:color w:val="000000" w:themeColor="text1"/>
                <w:sz w:val="24"/>
                <w:szCs w:val="24"/>
                <w:lang w:eastAsia="zh-CN"/>
                <w14:textFill>
                  <w14:solidFill>
                    <w14:schemeClr w14:val="tx1"/>
                  </w14:solidFill>
                </w14:textFill>
              </w:rPr>
            </w:pPr>
            <w:r>
              <w:rPr>
                <w:rFonts w:ascii="宋体" w:hAnsi="宋体" w:eastAsia="宋体" w:cs="Times New Roman"/>
                <w:color w:val="000000" w:themeColor="text1"/>
                <w:sz w:val="24"/>
                <w:szCs w:val="24"/>
                <w:lang w:eastAsia="zh-CN"/>
                <w14:textFill>
                  <w14:solidFill>
                    <w14:schemeClr w14:val="tx1"/>
                  </w14:solidFill>
                </w14:textFill>
              </w:rPr>
              <w:t>质量基础：公司公开披露ISO9001、ISO14001、QC080000、FSC、RBA、RoHS、REACH等相关认证/资质体系，可将项目效果纳入既有质量验证。</w:t>
            </w:r>
          </w:p>
          <w:p w14:paraId="6FDD3A5D">
            <w:pPr>
              <w:pStyle w:val="143"/>
              <w:numPr>
                <w:ilvl w:val="1"/>
                <w:numId w:val="7"/>
              </w:numPr>
              <w:spacing w:after="0" w:line="320" w:lineRule="exact"/>
              <w:ind w:left="357" w:hanging="357"/>
              <w:rPr>
                <w:rFonts w:hint="eastAsia" w:ascii="宋体" w:hAnsi="宋体" w:eastAsia="宋体" w:cs="Times New Roman"/>
                <w:color w:val="000000" w:themeColor="text1"/>
                <w:sz w:val="24"/>
                <w:szCs w:val="24"/>
                <w:lang w:eastAsia="zh-CN"/>
                <w14:textFill>
                  <w14:solidFill>
                    <w14:schemeClr w14:val="tx1"/>
                  </w14:solidFill>
                </w14:textFill>
              </w:rPr>
            </w:pPr>
            <w:r>
              <w:rPr>
                <w:rFonts w:hint="eastAsia" w:ascii="宋体" w:hAnsi="宋体" w:eastAsia="宋体" w:cs="Times New Roman"/>
                <w:color w:val="000000" w:themeColor="text1"/>
                <w:sz w:val="24"/>
                <w:szCs w:val="24"/>
                <w:lang w:eastAsia="zh-CN"/>
                <w14:textFill>
                  <w14:solidFill>
                    <w14:schemeClr w14:val="tx1"/>
                  </w14:solidFill>
                </w14:textFill>
              </w:rPr>
              <w:t>资金与实施：首期拟投入约</w:t>
            </w:r>
            <w:r>
              <w:rPr>
                <w:rFonts w:ascii="宋体" w:hAnsi="宋体" w:eastAsia="宋体" w:cs="Times New Roman"/>
                <w:color w:val="000000" w:themeColor="text1"/>
                <w:sz w:val="24"/>
                <w:szCs w:val="24"/>
                <w:lang w:eastAsia="zh-CN"/>
                <w14:textFill>
                  <w14:solidFill>
                    <w14:schemeClr w14:val="tx1"/>
                  </w14:solidFill>
                </w14:textFill>
              </w:rPr>
              <w:t>200万元，</w:t>
            </w:r>
            <w:r>
              <w:rPr>
                <w:rFonts w:hint="eastAsia" w:ascii="宋体" w:hAnsi="宋体" w:eastAsia="宋体" w:cs="Times New Roman"/>
                <w:color w:val="000000" w:themeColor="text1"/>
                <w:sz w:val="24"/>
                <w:szCs w:val="24"/>
                <w:lang w:eastAsia="zh-CN"/>
                <w14:textFill>
                  <w14:solidFill>
                    <w14:schemeClr w14:val="tx1"/>
                  </w14:solidFill>
                </w14:textFill>
              </w:rPr>
              <w:t>可</w:t>
            </w:r>
            <w:r>
              <w:rPr>
                <w:rFonts w:ascii="宋体" w:hAnsi="宋体" w:eastAsia="宋体" w:cs="Times New Roman"/>
                <w:color w:val="000000" w:themeColor="text1"/>
                <w:sz w:val="24"/>
                <w:szCs w:val="24"/>
                <w:lang w:eastAsia="zh-CN"/>
                <w14:textFill>
                  <w14:solidFill>
                    <w14:schemeClr w14:val="tx1"/>
                  </w14:solidFill>
                </w14:textFill>
              </w:rPr>
              <w:t>提供现场样本与工艺数据，联合开展样机、夹具、视觉、算法、联调和连续运行测试。</w:t>
            </w:r>
          </w:p>
        </w:tc>
      </w:tr>
      <w:tr w14:paraId="6FDD3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11"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14:paraId="6FDD3A5F">
            <w:pPr>
              <w:snapToGrid w:val="0"/>
              <w:spacing w:line="320" w:lineRule="exact"/>
              <w:jc w:val="center"/>
              <w:rPr>
                <w:rFonts w:ascii="Times New Roman" w:hAnsi="Times New Roman" w:eastAsia="仿宋_GB2312" w:cs="Times New Roman"/>
                <w:color w:val="000000" w:themeColor="text1"/>
                <w:sz w:val="24"/>
                <w:szCs w:val="24"/>
                <w:lang w:eastAsia="zh-CN"/>
                <w14:textFill>
                  <w14:solidFill>
                    <w14:schemeClr w14:val="tx1"/>
                  </w14:solidFill>
                </w14:textFill>
              </w:rPr>
            </w:pPr>
            <w:r>
              <w:rPr>
                <w:rFonts w:hint="eastAsia" w:ascii="Times New Roman" w:hAnsi="Times New Roman" w:eastAsia="仿宋_GB2312" w:cs="Times New Roman"/>
                <w:b/>
                <w:bCs/>
                <w:color w:val="000000" w:themeColor="text1"/>
                <w:sz w:val="24"/>
                <w:szCs w:val="24"/>
                <w:lang w:eastAsia="zh-CN"/>
                <w14:textFill>
                  <w14:solidFill>
                    <w14:schemeClr w14:val="tx1"/>
                  </w14:solidFill>
                </w14:textFill>
              </w:rPr>
              <w:t>实施成效</w:t>
            </w:r>
          </w:p>
        </w:tc>
        <w:tc>
          <w:tcPr>
            <w:tcW w:w="7413" w:type="dxa"/>
            <w:gridSpan w:val="3"/>
            <w:tcBorders>
              <w:top w:val="single" w:color="auto" w:sz="4" w:space="0"/>
              <w:left w:val="single" w:color="auto" w:sz="4" w:space="0"/>
              <w:bottom w:val="single" w:color="auto" w:sz="4" w:space="0"/>
              <w:right w:val="single" w:color="auto" w:sz="4" w:space="0"/>
            </w:tcBorders>
          </w:tcPr>
          <w:p w14:paraId="7E1791BF">
            <w:pPr>
              <w:pStyle w:val="143"/>
              <w:numPr>
                <w:ilvl w:val="0"/>
                <w:numId w:val="11"/>
              </w:numPr>
              <w:spacing w:after="0" w:line="320" w:lineRule="exact"/>
              <w:ind w:left="442" w:hanging="442"/>
              <w:rPr>
                <w:rFonts w:hint="eastAsia" w:ascii="宋体" w:hAnsi="宋体" w:eastAsia="宋体" w:cs="Times New Roman"/>
                <w:color w:val="000000" w:themeColor="text1"/>
                <w:sz w:val="24"/>
                <w:szCs w:val="24"/>
                <w:lang w:eastAsia="zh-CN"/>
                <w14:textFill>
                  <w14:solidFill>
                    <w14:schemeClr w14:val="tx1"/>
                  </w14:solidFill>
                </w14:textFill>
              </w:rPr>
            </w:pPr>
            <w:r>
              <w:rPr>
                <w:rFonts w:ascii="宋体" w:hAnsi="宋体" w:eastAsia="宋体" w:cs="Times New Roman"/>
                <w:color w:val="000000" w:themeColor="text1"/>
                <w:sz w:val="24"/>
                <w:szCs w:val="24"/>
                <w:lang w:eastAsia="zh-CN"/>
                <w14:textFill>
                  <w14:solidFill>
                    <w14:schemeClr w14:val="tx1"/>
                  </w14:solidFill>
                </w14:textFill>
              </w:rPr>
              <w:t>效率：在人工每日有效工作时长 8 小时的参照条件下，依托机器人 24 小时不间断作业能力，系统综合作业效率相较人工模式提升 60%。人工：单个试点工位预计减少1—2名直接操作人员配置，具体以实际班次、产量和节拍核算。</w:t>
            </w:r>
          </w:p>
          <w:p w14:paraId="3DD05C74">
            <w:pPr>
              <w:pStyle w:val="143"/>
              <w:numPr>
                <w:ilvl w:val="0"/>
                <w:numId w:val="11"/>
              </w:numPr>
              <w:spacing w:after="0" w:line="320" w:lineRule="exact"/>
              <w:ind w:left="442" w:hanging="442"/>
              <w:rPr>
                <w:rFonts w:hint="eastAsia" w:ascii="宋体" w:hAnsi="宋体" w:eastAsia="宋体" w:cs="Times New Roman"/>
                <w:color w:val="000000" w:themeColor="text1"/>
                <w:sz w:val="24"/>
                <w:szCs w:val="24"/>
                <w:lang w:eastAsia="zh-CN"/>
                <w14:textFill>
                  <w14:solidFill>
                    <w14:schemeClr w14:val="tx1"/>
                  </w14:solidFill>
                </w14:textFill>
              </w:rPr>
            </w:pPr>
            <w:r>
              <w:rPr>
                <w:rFonts w:ascii="宋体" w:hAnsi="宋体" w:eastAsia="宋体" w:cs="Times New Roman"/>
                <w:color w:val="000000" w:themeColor="text1"/>
                <w:sz w:val="24"/>
                <w:szCs w:val="24"/>
                <w:lang w:eastAsia="zh-CN"/>
                <w14:textFill>
                  <w14:solidFill>
                    <w14:schemeClr w14:val="tx1"/>
                  </w14:solidFill>
                </w14:textFill>
              </w:rPr>
              <w:t>质量：一次作业合格率目标≥9</w:t>
            </w:r>
            <w:r>
              <w:rPr>
                <w:rFonts w:hint="eastAsia" w:ascii="宋体" w:hAnsi="宋体" w:eastAsia="宋体" w:cs="Times New Roman"/>
                <w:color w:val="000000" w:themeColor="text1"/>
                <w:sz w:val="24"/>
                <w:szCs w:val="24"/>
                <w:lang w:eastAsia="zh-CN"/>
                <w14:textFill>
                  <w14:solidFill>
                    <w14:schemeClr w14:val="tx1"/>
                  </w14:solidFill>
                </w14:textFill>
              </w:rPr>
              <w:t>0</w:t>
            </w:r>
            <w:r>
              <w:rPr>
                <w:rFonts w:ascii="宋体" w:hAnsi="宋体" w:eastAsia="宋体" w:cs="Times New Roman"/>
                <w:color w:val="000000" w:themeColor="text1"/>
                <w:sz w:val="24"/>
                <w:szCs w:val="24"/>
                <w:lang w:eastAsia="zh-CN"/>
                <w14:textFill>
                  <w14:solidFill>
                    <w14:schemeClr w14:val="tx1"/>
                  </w14:solidFill>
                </w14:textFill>
              </w:rPr>
              <w:t>%，降低折合不到位、对位偏差、粘接不牢造成的返工。</w:t>
            </w:r>
          </w:p>
          <w:p w14:paraId="53FFD4F8">
            <w:pPr>
              <w:pStyle w:val="143"/>
              <w:numPr>
                <w:ilvl w:val="0"/>
                <w:numId w:val="11"/>
              </w:numPr>
              <w:spacing w:after="0" w:line="320" w:lineRule="exact"/>
              <w:ind w:left="442" w:hanging="442"/>
              <w:rPr>
                <w:rFonts w:hint="eastAsia" w:ascii="宋体" w:hAnsi="宋体" w:eastAsia="宋体" w:cs="Times New Roman"/>
                <w:color w:val="000000" w:themeColor="text1"/>
                <w:sz w:val="24"/>
                <w:szCs w:val="24"/>
                <w:lang w:eastAsia="zh-CN"/>
                <w14:textFill>
                  <w14:solidFill>
                    <w14:schemeClr w14:val="tx1"/>
                  </w14:solidFill>
                </w14:textFill>
              </w:rPr>
            </w:pPr>
            <w:r>
              <w:rPr>
                <w:rFonts w:ascii="宋体" w:hAnsi="宋体" w:eastAsia="宋体" w:cs="Times New Roman"/>
                <w:color w:val="000000" w:themeColor="text1"/>
                <w:sz w:val="24"/>
                <w:szCs w:val="24"/>
                <w:lang w:eastAsia="zh-CN"/>
                <w14:textFill>
                  <w14:solidFill>
                    <w14:schemeClr w14:val="tx1"/>
                  </w14:solidFill>
                </w14:textFill>
              </w:rPr>
              <w:t>稳定性：目标连续稳定运行不少于</w:t>
            </w:r>
            <w:r>
              <w:rPr>
                <w:rFonts w:hint="eastAsia" w:ascii="宋体" w:hAnsi="宋体" w:eastAsia="宋体" w:cs="Times New Roman"/>
                <w:color w:val="000000" w:themeColor="text1"/>
                <w:sz w:val="24"/>
                <w:szCs w:val="24"/>
                <w:lang w:eastAsia="zh-CN"/>
                <w14:textFill>
                  <w14:solidFill>
                    <w14:schemeClr w14:val="tx1"/>
                  </w14:solidFill>
                </w14:textFill>
              </w:rPr>
              <w:t>8</w:t>
            </w:r>
            <w:r>
              <w:rPr>
                <w:rFonts w:ascii="宋体" w:hAnsi="宋体" w:eastAsia="宋体" w:cs="Times New Roman"/>
                <w:color w:val="000000" w:themeColor="text1"/>
                <w:sz w:val="24"/>
                <w:szCs w:val="24"/>
                <w:lang w:eastAsia="zh-CN"/>
                <w14:textFill>
                  <w14:solidFill>
                    <w14:schemeClr w14:val="tx1"/>
                  </w14:solidFill>
                </w14:textFill>
              </w:rPr>
              <w:t>小时/班，支持异常报警和人工接管，降低因疲劳、流动和缺员造成的波动。</w:t>
            </w:r>
          </w:p>
          <w:p w14:paraId="51BC4885">
            <w:pPr>
              <w:pStyle w:val="143"/>
              <w:numPr>
                <w:ilvl w:val="0"/>
                <w:numId w:val="11"/>
              </w:numPr>
              <w:spacing w:after="0" w:line="320" w:lineRule="exact"/>
              <w:ind w:left="442" w:hanging="442"/>
              <w:rPr>
                <w:rFonts w:hint="eastAsia" w:ascii="宋体" w:hAnsi="宋体" w:eastAsia="宋体" w:cs="Times New Roman"/>
                <w:color w:val="000000" w:themeColor="text1"/>
                <w:sz w:val="24"/>
                <w:szCs w:val="24"/>
                <w:lang w:eastAsia="zh-CN"/>
                <w14:textFill>
                  <w14:solidFill>
                    <w14:schemeClr w14:val="tx1"/>
                  </w14:solidFill>
                </w14:textFill>
              </w:rPr>
            </w:pPr>
            <w:r>
              <w:rPr>
                <w:rFonts w:ascii="宋体" w:hAnsi="宋体" w:eastAsia="宋体" w:cs="Times New Roman"/>
                <w:color w:val="000000" w:themeColor="text1"/>
                <w:sz w:val="24"/>
                <w:szCs w:val="24"/>
                <w:lang w:eastAsia="zh-CN"/>
                <w14:textFill>
                  <w14:solidFill>
                    <w14:schemeClr w14:val="tx1"/>
                  </w14:solidFill>
                </w14:textFill>
              </w:rPr>
              <w:t>柔性：首期覆盖不少于3类典型纸箱规格，并形成参数化工艺库，便于后续复制。</w:t>
            </w:r>
          </w:p>
          <w:p w14:paraId="6FDD3A60">
            <w:pPr>
              <w:pStyle w:val="143"/>
              <w:numPr>
                <w:ilvl w:val="0"/>
                <w:numId w:val="11"/>
              </w:numPr>
              <w:spacing w:after="0" w:line="320" w:lineRule="exact"/>
              <w:ind w:left="442" w:hanging="442"/>
              <w:rPr>
                <w:rFonts w:hint="eastAsia" w:ascii="宋体" w:hAnsi="宋体" w:eastAsia="宋体" w:cs="Times New Roman"/>
                <w:color w:val="000000" w:themeColor="text1"/>
                <w:sz w:val="24"/>
                <w:szCs w:val="24"/>
                <w:lang w:eastAsia="zh-CN"/>
                <w14:textFill>
                  <w14:solidFill>
                    <w14:schemeClr w14:val="tx1"/>
                  </w14:solidFill>
                </w14:textFill>
              </w:rPr>
            </w:pPr>
            <w:r>
              <w:rPr>
                <w:rFonts w:ascii="宋体" w:hAnsi="宋体" w:eastAsia="宋体" w:cs="Times New Roman"/>
                <w:color w:val="000000" w:themeColor="text1"/>
                <w:sz w:val="24"/>
                <w:szCs w:val="24"/>
                <w:lang w:eastAsia="zh-CN"/>
                <w14:textFill>
                  <w14:solidFill>
                    <w14:schemeClr w14:val="tx1"/>
                  </w14:solidFill>
                </w14:textFill>
              </w:rPr>
              <w:t>经济与社会效益：降低重复岗位人工使用压力，提高订单高峰期交付稳定性，减少高重复动作岗位劳动强度；形成可向同类包装企业复制的“粘箱+翻纸板”机器人示范场景。投资回收期须结合企业实际人工成本、班次、产量后再测算。</w:t>
            </w:r>
          </w:p>
        </w:tc>
      </w:tr>
    </w:tbl>
    <w:p w14:paraId="6FDD3A62">
      <w:pPr>
        <w:rPr>
          <w:rFonts w:ascii="Times New Roman" w:hAnsi="Times New Roman" w:eastAsia="仿宋_GB2312"/>
          <w:sz w:val="32"/>
          <w:lang w:eastAsia="zh-CN"/>
        </w:rPr>
      </w:pPr>
    </w:p>
    <w:p w14:paraId="6FDD3A63">
      <w:pPr>
        <w:spacing w:line="560" w:lineRule="exact"/>
        <w:rPr>
          <w:rFonts w:ascii="仿宋_GB2312" w:hAnsi="仿宋_GB2312" w:eastAsia="仿宋_GB2312" w:cs="仿宋_GB2312"/>
          <w:kern w:val="2"/>
          <w:sz w:val="32"/>
          <w:szCs w:val="36"/>
          <w:lang w:eastAsia="zh-CN"/>
        </w:rPr>
      </w:pPr>
    </w:p>
    <w:p w14:paraId="6FDD3A64">
      <w:pPr>
        <w:spacing w:line="560" w:lineRule="exact"/>
        <w:rPr>
          <w:rFonts w:ascii="仿宋_GB2312" w:hAnsi="仿宋_GB2312" w:eastAsia="仿宋_GB2312" w:cs="仿宋_GB2312"/>
          <w:kern w:val="2"/>
          <w:sz w:val="32"/>
          <w:szCs w:val="36"/>
          <w:lang w:eastAsia="zh-CN"/>
        </w:rPr>
      </w:pPr>
    </w:p>
    <w:p w14:paraId="6FDD3A65">
      <w:pPr>
        <w:spacing w:line="560" w:lineRule="exact"/>
        <w:rPr>
          <w:rFonts w:ascii="仿宋_GB2312" w:hAnsi="仿宋_GB2312" w:eastAsia="仿宋_GB2312" w:cs="仿宋_GB2312"/>
          <w:kern w:val="2"/>
          <w:sz w:val="32"/>
          <w:szCs w:val="36"/>
          <w:lang w:eastAsia="zh-CN"/>
        </w:rPr>
      </w:pPr>
    </w:p>
    <w:p w14:paraId="6FDD3A66">
      <w:pPr>
        <w:spacing w:line="560" w:lineRule="exact"/>
        <w:rPr>
          <w:rFonts w:ascii="仿宋_GB2312" w:hAnsi="仿宋_GB2312" w:eastAsia="仿宋_GB2312" w:cs="仿宋_GB2312"/>
          <w:kern w:val="2"/>
          <w:sz w:val="32"/>
          <w:szCs w:val="36"/>
          <w:lang w:eastAsia="zh-CN"/>
        </w:rPr>
      </w:pPr>
    </w:p>
    <w:p w14:paraId="6FDD3A67">
      <w:pPr>
        <w:spacing w:line="560" w:lineRule="exact"/>
        <w:rPr>
          <w:rFonts w:ascii="仿宋_GB2312" w:hAnsi="仿宋_GB2312" w:eastAsia="仿宋_GB2312" w:cs="仿宋_GB2312"/>
          <w:kern w:val="2"/>
          <w:sz w:val="32"/>
          <w:szCs w:val="36"/>
          <w:lang w:eastAsia="zh-CN"/>
        </w:rPr>
        <w:sectPr>
          <w:pgSz w:w="11906" w:h="16838"/>
          <w:pgMar w:top="2041" w:right="1474" w:bottom="1984" w:left="1587" w:header="851" w:footer="992" w:gutter="0"/>
          <w:pgNumType w:fmt="numberInDash"/>
          <w:cols w:space="0" w:num="1"/>
          <w:docGrid w:type="lines" w:linePitch="312" w:charSpace="0"/>
        </w:sectPr>
      </w:pPr>
    </w:p>
    <w:p w14:paraId="6FDD3A68">
      <w:pPr>
        <w:rPr>
          <w:lang w:eastAsia="zh-CN"/>
        </w:rPr>
      </w:pPr>
    </w:p>
    <w:sectPr>
      <w:footerReference r:id="rId5" w:type="default"/>
      <w:pgSz w:w="11906" w:h="16838"/>
      <w:pgMar w:top="2041" w:right="1474" w:bottom="1984" w:left="1587" w:header="851" w:footer="992" w:gutter="0"/>
      <w:pgNumType w:fmt="numberInDash"/>
      <w:cols w:space="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70409020205020404"/>
    <w:charset w:val="00"/>
    <w:family w:val="auto"/>
    <w:pitch w:val="default"/>
    <w:sig w:usb0="00000000" w:usb1="00000000" w:usb2="00000000" w:usb3="00000000" w:csb0="00000001" w:csb1="00000000"/>
  </w:font>
  <w:font w:name="方正小标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Segoe UI Symbol">
    <w:panose1 w:val="020B0502040204020203"/>
    <w:charset w:val="00"/>
    <w:family w:val="swiss"/>
    <w:pitch w:val="default"/>
    <w:sig w:usb0="800001E3" w:usb1="1200FFEF" w:usb2="00040000" w:usb3="04000000" w:csb0="00000001" w:csb1="4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DD3A6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abstractNum w:abstractNumId="6">
    <w:nsid w:val="03C30367"/>
    <w:multiLevelType w:val="multilevel"/>
    <w:tmpl w:val="03C30367"/>
    <w:lvl w:ilvl="0" w:tentative="0">
      <w:start w:val="1"/>
      <w:numFmt w:val="decimalEnclosedCircle"/>
      <w:lvlText w:val="%1"/>
      <w:lvlJc w:val="left"/>
      <w:pPr>
        <w:ind w:left="920" w:hanging="440"/>
      </w:pPr>
      <w:rPr>
        <w:rFonts w:hint="default"/>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7">
    <w:nsid w:val="20E23BC0"/>
    <w:multiLevelType w:val="multilevel"/>
    <w:tmpl w:val="20E23BC0"/>
    <w:lvl w:ilvl="0" w:tentative="0">
      <w:start w:val="1"/>
      <w:numFmt w:val="decimalEnclosedCircle"/>
      <w:lvlText w:val="%1"/>
      <w:lvlJc w:val="left"/>
      <w:pPr>
        <w:ind w:left="840" w:hanging="360"/>
      </w:pPr>
      <w:rPr>
        <w:rFonts w:hint="default"/>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8">
    <w:nsid w:val="58EA5568"/>
    <w:multiLevelType w:val="multilevel"/>
    <w:tmpl w:val="58EA5568"/>
    <w:lvl w:ilvl="0" w:tentative="0">
      <w:start w:val="1"/>
      <w:numFmt w:val="decimalEnclosedCircle"/>
      <w:lvlText w:val="%1"/>
      <w:lvlJc w:val="left"/>
      <w:pPr>
        <w:ind w:left="360" w:hanging="360"/>
      </w:pPr>
      <w:rPr>
        <w:rFonts w:hint="default"/>
      </w:rPr>
    </w:lvl>
    <w:lvl w:ilvl="1" w:tentative="0">
      <w:start w:val="1"/>
      <w:numFmt w:val="decimalEnclosedCircle"/>
      <w:lvlText w:val="%2"/>
      <w:lvlJc w:val="left"/>
      <w:pPr>
        <w:ind w:left="800" w:hanging="360"/>
      </w:pPr>
      <w:rPr>
        <w:rFonts w:hint="default"/>
      </w:r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9">
    <w:nsid w:val="5A8F78CB"/>
    <w:multiLevelType w:val="multilevel"/>
    <w:tmpl w:val="5A8F78CB"/>
    <w:lvl w:ilvl="0" w:tentative="0">
      <w:start w:val="1"/>
      <w:numFmt w:val="decimalEnclosedCircle"/>
      <w:lvlText w:val="%1"/>
      <w:lvlJc w:val="left"/>
      <w:pPr>
        <w:ind w:left="920" w:hanging="440"/>
      </w:pPr>
      <w:rPr>
        <w:rFonts w:hint="default"/>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10">
    <w:nsid w:val="7C744D23"/>
    <w:multiLevelType w:val="multilevel"/>
    <w:tmpl w:val="7C744D23"/>
    <w:lvl w:ilvl="0" w:tentative="0">
      <w:start w:val="1"/>
      <w:numFmt w:val="decimalEnclosedCircle"/>
      <w:lvlText w:val="%1"/>
      <w:lvlJc w:val="left"/>
      <w:pPr>
        <w:ind w:left="560" w:hanging="360"/>
      </w:pPr>
      <w:rPr>
        <w:rFonts w:hint="default"/>
      </w:rPr>
    </w:lvl>
    <w:lvl w:ilvl="1" w:tentative="0">
      <w:start w:val="1"/>
      <w:numFmt w:val="lowerLetter"/>
      <w:lvlText w:val="%2)"/>
      <w:lvlJc w:val="left"/>
      <w:pPr>
        <w:ind w:left="1080" w:hanging="440"/>
      </w:pPr>
    </w:lvl>
    <w:lvl w:ilvl="2" w:tentative="0">
      <w:start w:val="1"/>
      <w:numFmt w:val="lowerRoman"/>
      <w:lvlText w:val="%3."/>
      <w:lvlJc w:val="right"/>
      <w:pPr>
        <w:ind w:left="1520" w:hanging="440"/>
      </w:pPr>
    </w:lvl>
    <w:lvl w:ilvl="3" w:tentative="0">
      <w:start w:val="1"/>
      <w:numFmt w:val="decimal"/>
      <w:lvlText w:val="%4."/>
      <w:lvlJc w:val="left"/>
      <w:pPr>
        <w:ind w:left="1960" w:hanging="440"/>
      </w:pPr>
    </w:lvl>
    <w:lvl w:ilvl="4" w:tentative="0">
      <w:start w:val="1"/>
      <w:numFmt w:val="lowerLetter"/>
      <w:lvlText w:val="%5)"/>
      <w:lvlJc w:val="left"/>
      <w:pPr>
        <w:ind w:left="2400" w:hanging="440"/>
      </w:pPr>
    </w:lvl>
    <w:lvl w:ilvl="5" w:tentative="0">
      <w:start w:val="1"/>
      <w:numFmt w:val="lowerRoman"/>
      <w:lvlText w:val="%6."/>
      <w:lvlJc w:val="right"/>
      <w:pPr>
        <w:ind w:left="2840" w:hanging="440"/>
      </w:pPr>
    </w:lvl>
    <w:lvl w:ilvl="6" w:tentative="0">
      <w:start w:val="1"/>
      <w:numFmt w:val="decimal"/>
      <w:lvlText w:val="%7."/>
      <w:lvlJc w:val="left"/>
      <w:pPr>
        <w:ind w:left="3280" w:hanging="440"/>
      </w:pPr>
    </w:lvl>
    <w:lvl w:ilvl="7" w:tentative="0">
      <w:start w:val="1"/>
      <w:numFmt w:val="lowerLetter"/>
      <w:lvlText w:val="%8)"/>
      <w:lvlJc w:val="left"/>
      <w:pPr>
        <w:ind w:left="3720" w:hanging="440"/>
      </w:pPr>
    </w:lvl>
    <w:lvl w:ilvl="8" w:tentative="0">
      <w:start w:val="1"/>
      <w:numFmt w:val="lowerRoman"/>
      <w:lvlText w:val="%9."/>
      <w:lvlJc w:val="right"/>
      <w:pPr>
        <w:ind w:left="4160" w:hanging="440"/>
      </w:pPr>
    </w:lvl>
  </w:abstractNum>
  <w:num w:numId="1">
    <w:abstractNumId w:val="1"/>
  </w:num>
  <w:num w:numId="2">
    <w:abstractNumId w:val="4"/>
  </w:num>
  <w:num w:numId="3">
    <w:abstractNumId w:val="5"/>
  </w:num>
  <w:num w:numId="4">
    <w:abstractNumId w:val="2"/>
  </w:num>
  <w:num w:numId="5">
    <w:abstractNumId w:val="0"/>
  </w:num>
  <w:num w:numId="6">
    <w:abstractNumId w:val="3"/>
  </w:num>
  <w:num w:numId="7">
    <w:abstractNumId w:val="8"/>
  </w:num>
  <w:num w:numId="8">
    <w:abstractNumId w:val="7"/>
  </w:num>
  <w:num w:numId="9">
    <w:abstractNumId w:val="9"/>
  </w:num>
  <w:num w:numId="10">
    <w:abstractNumId w:val="10"/>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268F3"/>
    <w:rsid w:val="00034616"/>
    <w:rsid w:val="0006063C"/>
    <w:rsid w:val="000738E6"/>
    <w:rsid w:val="000F7156"/>
    <w:rsid w:val="00130936"/>
    <w:rsid w:val="0015074B"/>
    <w:rsid w:val="00157723"/>
    <w:rsid w:val="001635F2"/>
    <w:rsid w:val="00192FFA"/>
    <w:rsid w:val="0022264D"/>
    <w:rsid w:val="002321EB"/>
    <w:rsid w:val="00255125"/>
    <w:rsid w:val="0029639D"/>
    <w:rsid w:val="002B5B9C"/>
    <w:rsid w:val="002F70BD"/>
    <w:rsid w:val="00326F90"/>
    <w:rsid w:val="0037775F"/>
    <w:rsid w:val="003D77CA"/>
    <w:rsid w:val="00442E43"/>
    <w:rsid w:val="00457D4D"/>
    <w:rsid w:val="004B1FCD"/>
    <w:rsid w:val="004D3546"/>
    <w:rsid w:val="004E560A"/>
    <w:rsid w:val="00510DCE"/>
    <w:rsid w:val="00576C51"/>
    <w:rsid w:val="005B5220"/>
    <w:rsid w:val="005E48F8"/>
    <w:rsid w:val="0066331D"/>
    <w:rsid w:val="006A3FCF"/>
    <w:rsid w:val="006E02F3"/>
    <w:rsid w:val="006F0182"/>
    <w:rsid w:val="007177FA"/>
    <w:rsid w:val="0075317D"/>
    <w:rsid w:val="007E0C47"/>
    <w:rsid w:val="007F53A5"/>
    <w:rsid w:val="0080462C"/>
    <w:rsid w:val="00822985"/>
    <w:rsid w:val="00842CCD"/>
    <w:rsid w:val="0088469C"/>
    <w:rsid w:val="008A27CD"/>
    <w:rsid w:val="008B046D"/>
    <w:rsid w:val="008C461C"/>
    <w:rsid w:val="008F198C"/>
    <w:rsid w:val="009E71FC"/>
    <w:rsid w:val="00A64E29"/>
    <w:rsid w:val="00AA1D8D"/>
    <w:rsid w:val="00AD1AAF"/>
    <w:rsid w:val="00AF6943"/>
    <w:rsid w:val="00B121DF"/>
    <w:rsid w:val="00B47730"/>
    <w:rsid w:val="00C02B4A"/>
    <w:rsid w:val="00C30CCF"/>
    <w:rsid w:val="00C70083"/>
    <w:rsid w:val="00CB0664"/>
    <w:rsid w:val="00D41306"/>
    <w:rsid w:val="00D83BB4"/>
    <w:rsid w:val="00EC4974"/>
    <w:rsid w:val="00FB031A"/>
    <w:rsid w:val="00FB29D1"/>
    <w:rsid w:val="00FC693F"/>
    <w:rsid w:val="00FE149B"/>
    <w:rsid w:val="00FF0388"/>
    <w:rsid w:val="3A0953E1"/>
    <w:rsid w:val="583B6F7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qFormat="1" w:unhideWhenUsed="0" w:uiPriority="67" w:semiHidden="0" w:name="Medium Grid 1"/>
    <w:lsdException w:unhideWhenUsed="0" w:uiPriority="68" w:semiHidden="0" w:name="Medium Grid 2"/>
    <w:lsdException w:qFormat="1" w:unhideWhenUsed="0" w:uiPriority="69" w:semiHidden="0" w:name="Medium Grid 3"/>
    <w:lsdException w:qFormat="1" w:unhideWhenUsed="0" w:uiPriority="70" w:semiHidden="0" w:name="Dark List"/>
    <w:lsdException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unhideWhenUsed="0" w:uiPriority="68" w:semiHidden="0" w:name="Medium Grid 2 Accent 1"/>
    <w:lsdException w:qFormat="1" w:unhideWhenUsed="0" w:uiPriority="69" w:semiHidden="0" w:name="Medium Grid 3 Accent 1"/>
    <w:lsdException w:qFormat="1" w:unhideWhenUsed="0" w:uiPriority="70" w:semiHidden="0" w:name="Dark List Accent 1"/>
    <w:lsdException w:unhideWhenUsed="0" w:uiPriority="71" w:semiHidden="0" w:name="Colorful Shading Accent 1"/>
    <w:lsdException w:unhideWhenUsed="0" w:uiPriority="72" w:semiHidden="0" w:name="Colorful List Accent 1"/>
    <w:lsdException w:qFormat="1"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qFormat="1" w:unhideWhenUsed="0" w:uiPriority="69" w:semiHidden="0" w:name="Medium Grid 3 Accent 2"/>
    <w:lsdException w:qFormat="1" w:unhideWhenUsed="0" w:uiPriority="70" w:semiHidden="0" w:name="Dark List Accent 2"/>
    <w:lsdException w:unhideWhenUsed="0" w:uiPriority="71" w:semiHidden="0" w:name="Colorful Shading Accent 2"/>
    <w:lsdException w:unhideWhenUsed="0" w:uiPriority="72" w:semiHidden="0" w:name="Colorful List Accent 2"/>
    <w:lsdException w:qFormat="1" w:unhideWhenUsed="0" w:uiPriority="73" w:semiHidden="0" w:name="Colorful Grid Accent 2"/>
    <w:lsdException w:unhideWhenUsed="0" w:uiPriority="60" w:semiHidden="0" w:name="Light Shading Accent 3"/>
    <w:lsdException w:unhideWhenUsed="0" w:uiPriority="61" w:semiHidden="0" w:name="Light List Accent 3"/>
    <w:lsdException w:qFormat="1"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qFormat="1" w:unhideWhenUsed="0" w:uiPriority="69" w:semiHidden="0" w:name="Medium Grid 3 Accent 3"/>
    <w:lsdException w:qFormat="1" w:unhideWhenUsed="0" w:uiPriority="70" w:semiHidden="0" w:name="Dark List Accent 3"/>
    <w:lsdException w:unhideWhenUsed="0" w:uiPriority="71" w:semiHidden="0" w:name="Colorful Shading Accent 3"/>
    <w:lsdException w:unhideWhenUsed="0" w:uiPriority="72" w:semiHidden="0" w:name="Colorful List Accent 3"/>
    <w:lsdException w:qFormat="1"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qFormat="1"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unhideWhenUsed="0" w:uiPriority="61" w:semiHidden="0" w:name="Light List Accent 6"/>
    <w:lsdException w:qFormat="1" w:unhideWhenUsed="0" w:uiPriority="62" w:semiHidden="0" w:name="Light Grid Accent 6"/>
    <w:lsdException w:qFormat="1"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unhideWhenUsed="0" w:uiPriority="70" w:semiHidden="0" w:name="Dark List Accent 6"/>
    <w:lsdException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4">
    <w:name w:val="Light Shading"/>
    <w:basedOn w:val="32"/>
    <w:qFormat/>
    <w:uiPriority w:val="60"/>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页眉 字符"/>
    <w:basedOn w:val="132"/>
    <w:link w:val="25"/>
    <w:qFormat/>
    <w:uiPriority w:val="99"/>
  </w:style>
  <w:style w:type="character" w:customStyle="1" w:styleId="136">
    <w:name w:val="页脚 字符"/>
    <w:basedOn w:val="132"/>
    <w:link w:val="24"/>
    <w:qFormat/>
    <w:uiPriority w:val="99"/>
  </w:style>
  <w:style w:type="paragraph" w:styleId="137">
    <w:name w:val="No Spacing"/>
    <w:qFormat/>
    <w:uiPriority w:val="1"/>
    <w:rPr>
      <w:rFonts w:asciiTheme="minorHAnsi" w:hAnsiTheme="minorHAnsi" w:eastAsiaTheme="minorEastAsia" w:cstheme="minorBidi"/>
      <w:sz w:val="22"/>
      <w:szCs w:val="22"/>
      <w:lang w:val="en-US" w:eastAsia="en-US" w:bidi="ar-SA"/>
    </w:rPr>
  </w:style>
  <w:style w:type="character" w:customStyle="1" w:styleId="138">
    <w:name w:val="标题 1 字符"/>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标题 2 字符"/>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标题 3 字符"/>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标题 字符"/>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副标题 字符"/>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正文文本 字符"/>
    <w:basedOn w:val="132"/>
    <w:link w:val="19"/>
    <w:qFormat/>
    <w:uiPriority w:val="99"/>
  </w:style>
  <w:style w:type="character" w:customStyle="1" w:styleId="145">
    <w:name w:val="正文文本 2 字符"/>
    <w:basedOn w:val="132"/>
    <w:link w:val="28"/>
    <w:uiPriority w:val="99"/>
  </w:style>
  <w:style w:type="character" w:customStyle="1" w:styleId="146">
    <w:name w:val="正文文本 3 字符"/>
    <w:basedOn w:val="132"/>
    <w:link w:val="17"/>
    <w:uiPriority w:val="99"/>
    <w:rPr>
      <w:sz w:val="16"/>
      <w:szCs w:val="16"/>
    </w:rPr>
  </w:style>
  <w:style w:type="character" w:customStyle="1" w:styleId="147">
    <w:name w:val="宏文本 字符"/>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引用 字符"/>
    <w:basedOn w:val="132"/>
    <w:link w:val="148"/>
    <w:uiPriority w:val="29"/>
    <w:rPr>
      <w:i/>
      <w:iCs/>
      <w:color w:val="000000" w:themeColor="text1"/>
      <w14:textFill>
        <w14:solidFill>
          <w14:schemeClr w14:val="tx1"/>
        </w14:solidFill>
      </w14:textFill>
    </w:rPr>
  </w:style>
  <w:style w:type="character" w:customStyle="1" w:styleId="150">
    <w:name w:val="标题 4 字符"/>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标题 5 字符"/>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标题 6 字符"/>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标题 7 字符"/>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标题 8 字符"/>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标题 9 字符"/>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明显引用 字符"/>
    <w:basedOn w:val="132"/>
    <w:link w:val="156"/>
    <w:uiPriority w:val="30"/>
    <w:rPr>
      <w:b/>
      <w:bCs/>
      <w:i/>
      <w:iCs/>
      <w:color w:val="4F81BD" w:themeColor="accent1"/>
      <w14:textFill>
        <w14:solidFill>
          <w14:schemeClr w14:val="accent1"/>
        </w14:solidFill>
      </w14:textFill>
    </w:rPr>
  </w:style>
  <w:style w:type="character" w:customStyle="1" w:styleId="158">
    <w:name w:val="不明显强调1"/>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明显强调1"/>
    <w:basedOn w:val="132"/>
    <w:qFormat/>
    <w:uiPriority w:val="21"/>
    <w:rPr>
      <w:b/>
      <w:bCs/>
      <w:i/>
      <w:iCs/>
      <w:color w:val="4F81BD" w:themeColor="accent1"/>
      <w14:textFill>
        <w14:solidFill>
          <w14:schemeClr w14:val="accent1"/>
        </w14:solidFill>
      </w14:textFill>
    </w:rPr>
  </w:style>
  <w:style w:type="character" w:customStyle="1" w:styleId="160">
    <w:name w:val="不明显参考1"/>
    <w:basedOn w:val="132"/>
    <w:qFormat/>
    <w:uiPriority w:val="31"/>
    <w:rPr>
      <w:smallCaps/>
      <w:color w:val="C0504D" w:themeColor="accent2"/>
      <w:u w:val="single"/>
      <w14:textFill>
        <w14:solidFill>
          <w14:schemeClr w14:val="accent2"/>
        </w14:solidFill>
      </w14:textFill>
    </w:rPr>
  </w:style>
  <w:style w:type="character" w:customStyle="1" w:styleId="161">
    <w:name w:val="明显参考1"/>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书籍标题1"/>
    <w:basedOn w:val="132"/>
    <w:qFormat/>
    <w:uiPriority w:val="33"/>
    <w:rPr>
      <w:b/>
      <w:bCs/>
      <w:smallCaps/>
      <w:spacing w:val="5"/>
    </w:rPr>
  </w:style>
  <w:style w:type="paragraph" w:customStyle="1" w:styleId="163">
    <w:name w:val="TOC 标题1"/>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Template>
  <Pages>5</Pages>
  <Words>967</Words>
  <Characters>988</Characters>
  <Lines>22</Lines>
  <Paragraphs>6</Paragraphs>
  <TotalTime>72</TotalTime>
  <ScaleCrop>false</ScaleCrop>
  <LinksUpToDate>false</LinksUpToDate>
  <CharactersWithSpaces>1010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SRA小助手</cp:lastModifiedBy>
  <dcterms:modified xsi:type="dcterms:W3CDTF">2026-10-26T05:40:11Z</dcterms:modified>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eyJoZGlkIjoiNzg3OTczNzI0ZWJiZjRjNDQ5ZjMxYzE5NzFmNzE4MjMiLCJ1c2VySWQiOiIxMzA2Mzc0OTg5In0=</vt:lpwstr>
  </property>
  <property fmtid="{D5CDD505-2E9C-101B-9397-08002B2CF9AE}" pid="3" name="KSOProductBuildVer">
    <vt:lpwstr>2052-12.1.0.29161</vt:lpwstr>
  </property>
  <property fmtid="{D5CDD505-2E9C-101B-9397-08002B2CF9AE}" pid="4" name="ICV">
    <vt:lpwstr>FBEA16962C75428D9471292DBE5FEC16_13</vt:lpwstr>
  </property>
</Properties>
</file>