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F6DA5">
      <w:pPr>
        <w:pStyle w:val="12"/>
        <w:widowControl/>
        <w:spacing w:beforeAutospacing="0" w:afterAutospacing="0" w:line="560" w:lineRule="exact"/>
        <w:jc w:val="both"/>
        <w:rPr>
          <w:rFonts w:hint="eastAsia" w:ascii="黑体" w:hAnsi="黑体" w:eastAsia="黑体" w:cs="黑体"/>
          <w:kern w:val="2"/>
          <w:sz w:val="32"/>
          <w:szCs w:val="32"/>
        </w:rPr>
      </w:pPr>
      <w:r>
        <w:rPr>
          <w:rFonts w:hint="eastAsia" w:ascii="黑体" w:hAnsi="黑体" w:eastAsia="黑体" w:cs="黑体"/>
          <w:kern w:val="2"/>
          <w:sz w:val="32"/>
          <w:szCs w:val="32"/>
        </w:rPr>
        <w:t>附件2-1</w:t>
      </w:r>
    </w:p>
    <w:p w14:paraId="094F6DA6">
      <w:pPr>
        <w:spacing w:line="54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深圳市龙岗区机器人应用场景揭榜挂帅</w:t>
      </w:r>
    </w:p>
    <w:p w14:paraId="094F6DA7">
      <w:pPr>
        <w:spacing w:line="54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项目榜单征集表</w:t>
      </w:r>
    </w:p>
    <w:p w14:paraId="094F6DA8">
      <w:pPr>
        <w:spacing w:before="156" w:beforeLines="50" w:after="156" w:afterLines="50" w:line="320" w:lineRule="exact"/>
        <w:rPr>
          <w:rFonts w:ascii="Times New Roman" w:hAnsi="Times New Roman" w:eastAsia="仿宋_GB2312" w:cs="Times New Roman"/>
          <w:b/>
          <w:bCs/>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场景需求方（盖章）：深圳宝兴医院</w:t>
      </w:r>
    </w:p>
    <w:tbl>
      <w:tblPr>
        <w:tblStyle w:val="13"/>
        <w:tblW w:w="94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70"/>
        <w:gridCol w:w="2657"/>
        <w:gridCol w:w="2377"/>
        <w:gridCol w:w="2379"/>
      </w:tblGrid>
      <w:tr w14:paraId="094F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9483" w:type="dxa"/>
            <w:gridSpan w:val="4"/>
            <w:tcBorders>
              <w:top w:val="single" w:color="auto" w:sz="4" w:space="0"/>
              <w:left w:val="single" w:color="auto" w:sz="4" w:space="0"/>
              <w:bottom w:val="single" w:color="auto" w:sz="4" w:space="0"/>
              <w:right w:val="single" w:color="auto" w:sz="4" w:space="0"/>
            </w:tcBorders>
            <w:vAlign w:val="center"/>
          </w:tcPr>
          <w:p w14:paraId="094F6DA9">
            <w:pPr>
              <w:spacing w:line="320" w:lineRule="exact"/>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一、场景需求方信息</w:t>
            </w:r>
          </w:p>
        </w:tc>
      </w:tr>
      <w:tr w14:paraId="094F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2070" w:type="dxa"/>
            <w:tcBorders>
              <w:top w:val="single" w:color="auto" w:sz="4" w:space="0"/>
              <w:left w:val="single" w:color="auto" w:sz="4" w:space="0"/>
              <w:bottom w:val="single" w:color="auto" w:sz="4" w:space="0"/>
              <w:right w:val="single" w:color="auto" w:sz="4" w:space="0"/>
            </w:tcBorders>
            <w:vAlign w:val="center"/>
          </w:tcPr>
          <w:p w14:paraId="094F6DAB">
            <w:pPr>
              <w:spacing w:line="320" w:lineRule="exact"/>
              <w:jc w:val="center"/>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单位名称</w:t>
            </w:r>
          </w:p>
        </w:tc>
        <w:tc>
          <w:tcPr>
            <w:tcW w:w="7413" w:type="dxa"/>
            <w:gridSpan w:val="3"/>
            <w:tcBorders>
              <w:top w:val="single" w:color="auto" w:sz="4" w:space="0"/>
              <w:left w:val="single" w:color="auto" w:sz="4" w:space="0"/>
              <w:bottom w:val="single" w:color="auto" w:sz="4" w:space="0"/>
              <w:right w:val="single" w:color="auto" w:sz="4" w:space="0"/>
            </w:tcBorders>
            <w:vAlign w:val="center"/>
          </w:tcPr>
          <w:p w14:paraId="094F6DAC">
            <w:pPr>
              <w:spacing w:line="320" w:lineRule="exact"/>
              <w:ind w:firstLine="240" w:firstLineChars="100"/>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深圳宝兴医院</w:t>
            </w:r>
          </w:p>
        </w:tc>
      </w:tr>
      <w:tr w14:paraId="094F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9483" w:type="dxa"/>
            <w:gridSpan w:val="4"/>
            <w:tcBorders>
              <w:top w:val="single" w:color="auto" w:sz="4" w:space="0"/>
              <w:left w:val="single" w:color="auto" w:sz="4" w:space="0"/>
              <w:bottom w:val="single" w:color="auto" w:sz="4" w:space="0"/>
              <w:right w:val="single" w:color="auto" w:sz="4" w:space="0"/>
            </w:tcBorders>
            <w:vAlign w:val="center"/>
          </w:tcPr>
          <w:p w14:paraId="094F6DC8">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bookmarkStart w:id="0" w:name="_GoBack"/>
            <w:bookmarkEnd w:id="0"/>
            <w:r>
              <w:rPr>
                <w:rFonts w:hint="eastAsia" w:ascii="Times New Roman" w:hAnsi="Times New Roman" w:eastAsia="仿宋_GB2312" w:cs="Times New Roman"/>
                <w:b/>
                <w:bCs/>
                <w:color w:val="000000" w:themeColor="text1"/>
                <w:kern w:val="0"/>
                <w:sz w:val="24"/>
                <w14:textFill>
                  <w14:solidFill>
                    <w14:schemeClr w14:val="tx1"/>
                  </w14:solidFill>
                </w14:textFill>
              </w:rPr>
              <w:t>二、场景开放需求信息</w:t>
            </w:r>
          </w:p>
        </w:tc>
      </w:tr>
      <w:tr w14:paraId="094F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2070" w:type="dxa"/>
            <w:tcBorders>
              <w:top w:val="single" w:color="auto" w:sz="4" w:space="0"/>
              <w:left w:val="single" w:color="auto" w:sz="4" w:space="0"/>
              <w:bottom w:val="single" w:color="auto" w:sz="4" w:space="0"/>
              <w:right w:val="single" w:color="auto" w:sz="4" w:space="0"/>
            </w:tcBorders>
            <w:vAlign w:val="center"/>
          </w:tcPr>
          <w:p w14:paraId="094F6DCA">
            <w:pPr>
              <w:snapToGrid w:val="0"/>
              <w:spacing w:line="320" w:lineRule="exact"/>
              <w:jc w:val="center"/>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需求名称</w:t>
            </w:r>
          </w:p>
        </w:tc>
        <w:tc>
          <w:tcPr>
            <w:tcW w:w="7413" w:type="dxa"/>
            <w:gridSpan w:val="3"/>
            <w:tcBorders>
              <w:top w:val="single" w:color="auto" w:sz="4" w:space="0"/>
              <w:left w:val="single" w:color="auto" w:sz="4" w:space="0"/>
              <w:bottom w:val="single" w:color="auto" w:sz="4" w:space="0"/>
              <w:right w:val="single" w:color="auto" w:sz="4" w:space="0"/>
            </w:tcBorders>
            <w:vAlign w:val="center"/>
          </w:tcPr>
          <w:p w14:paraId="094F6DCB">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基于BIS-EEG动态脑功能反馈的持续性意识障碍精准高压氧人工智能辅助决策系统构建与验证</w:t>
            </w:r>
          </w:p>
        </w:tc>
      </w:tr>
      <w:tr w14:paraId="094F6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2070" w:type="dxa"/>
            <w:tcBorders>
              <w:top w:val="single" w:color="auto" w:sz="4" w:space="0"/>
              <w:left w:val="single" w:color="auto" w:sz="4" w:space="0"/>
              <w:bottom w:val="single" w:color="auto" w:sz="4" w:space="0"/>
              <w:right w:val="single" w:color="auto" w:sz="4" w:space="0"/>
            </w:tcBorders>
            <w:vAlign w:val="center"/>
          </w:tcPr>
          <w:p w14:paraId="094F6DCD">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应用场景</w:t>
            </w:r>
          </w:p>
        </w:tc>
        <w:tc>
          <w:tcPr>
            <w:tcW w:w="7413" w:type="dxa"/>
            <w:gridSpan w:val="3"/>
            <w:tcBorders>
              <w:top w:val="single" w:color="auto" w:sz="4" w:space="0"/>
              <w:left w:val="single" w:color="auto" w:sz="4" w:space="0"/>
              <w:bottom w:val="single" w:color="auto" w:sz="4" w:space="0"/>
              <w:right w:val="single" w:color="auto" w:sz="4" w:space="0"/>
            </w:tcBorders>
          </w:tcPr>
          <w:p w14:paraId="66AD05E1">
            <w:pPr>
              <w:spacing w:line="320" w:lineRule="exact"/>
              <w:ind w:firstLine="480" w:firstLineChars="200"/>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目前，深圳市龙岗中心医院常规开展持续性意识障碍患者的高压氧治疗，涵盖治疗前评估、加压、稳压/吸氧、空气间歇、再吸氧、减压及出舱后全流程，形成标准化高压氧脑功能反应曲线管理路径。依托神经外科、康复医学科、高压氧科、麻醉科、医学影像科及信息中心等多学科团队协同，已建立多模态数据录入体系（病因、年龄、病程、CRS-R/GCS评分、影像学、BIS-EEG、生命体征），并积累较大样本量的治疗病例。目前治疗方案（治疗压力、氧暴露时间、空气间歇方式、治疗频率、已完成的疗程数）的设定与调整主要依赖医师基于临床经验及离线数据的人工研判，缺乏实时、动态的智能决策支持。</w:t>
            </w:r>
          </w:p>
          <w:p w14:paraId="033E1CFE">
            <w:pPr>
              <w:spacing w:line="320" w:lineRule="exact"/>
              <w:ind w:firstLine="480" w:firstLineChars="200"/>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其痛点包括：1、经验依赖性强，个体化调控不足：治疗参数调整高度依赖医师主观判断，难以精准匹配患者实时脑功能状态（BIS-EEG动态变化）及个体差异，尤其对于意识波动患者，方案优化效率低；2、脑功能反应滞后识别，风险预警缺失：高压氧治疗过程中，患者脑电及生命体征呈非线性动态演变，人工难以实时捕捉加压/稳压/间歇等阶段中的功能恶化前兆，无法及时预警意识倒退或癫痫等不良事件；3、多模态数据利用不充分，决策支持薄弱：CRS-R、BIS-EEG、影像、生命体征等多源数据尚未融合用于实时决策，数据价值未有效转化为临床干预策略；4、人力占用与标准化不足：每例治疗需医师全程跟踪评估，人力成本高，难以支撑大规模、高频次治疗需求，且不同医师间方案差异大，影响疗效一致性。</w:t>
            </w:r>
          </w:p>
          <w:p w14:paraId="094F6DD3">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通过构建基于BIS-EEG动态脑功能反馈的精准高压氧人工智能辅助决策系统，实现“实时监测—脑功能解析—个体化方案推演—疗效反馈”的智能闭环：系统可动态解析加压、稳压吸氧、空气间歇、再吸氧、减压各阶段的BIS-EEG特征及生命体征变化，智能推荐最优治疗压力、氧暴露时间、空气间歇方式及治疗频率，并依据已完成的疗程数与当前意识等级（CRS-R/GCS）自适应调整后续方案。该系统的落地可显著提升治疗精准性与安全性，降低不良事件发生率（如意识倒退、癫痫、氧中毒等），改善患者意识恢复（CRS-R改善、意识等级变化、认知/功能恢复）临床结局；同时缓解医师人力紧张，支撑多台次、规模化治疗需求，推动人工智能与高压氧医学的深度融合示范，契合龙岗区智能医疗设备与AI辅助决策场景应用方向，具备良好的推广与可复制价值</w:t>
            </w:r>
            <w:r>
              <w:rPr>
                <w:rFonts w:ascii="Times New Roman" w:hAnsi="Times New Roman" w:eastAsia="仿宋_GB2312" w:cs="Times New Roman"/>
                <w:color w:val="000000" w:themeColor="text1"/>
                <w:sz w:val="24"/>
                <w14:textFill>
                  <w14:solidFill>
                    <w14:schemeClr w14:val="tx1"/>
                  </w14:solidFill>
                </w14:textFill>
              </w:rPr>
              <w:t>。</w:t>
            </w:r>
          </w:p>
        </w:tc>
      </w:tr>
      <w:tr w14:paraId="094F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2070" w:type="dxa"/>
            <w:tcBorders>
              <w:top w:val="single" w:color="auto" w:sz="4" w:space="0"/>
              <w:left w:val="single" w:color="auto" w:sz="4" w:space="0"/>
              <w:bottom w:val="single" w:color="auto" w:sz="4" w:space="0"/>
              <w:right w:val="single" w:color="auto" w:sz="4" w:space="0"/>
            </w:tcBorders>
            <w:vAlign w:val="center"/>
          </w:tcPr>
          <w:p w14:paraId="094F6DD5">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具体需求</w:t>
            </w:r>
          </w:p>
        </w:tc>
        <w:tc>
          <w:tcPr>
            <w:tcW w:w="7413" w:type="dxa"/>
            <w:gridSpan w:val="3"/>
            <w:tcBorders>
              <w:top w:val="single" w:color="auto" w:sz="4" w:space="0"/>
              <w:left w:val="single" w:color="auto" w:sz="4" w:space="0"/>
              <w:bottom w:val="single" w:color="auto" w:sz="4" w:space="0"/>
              <w:right w:val="single" w:color="auto" w:sz="4" w:space="0"/>
            </w:tcBorders>
          </w:tcPr>
          <w:p w14:paraId="55482777">
            <w:pPr>
              <w:spacing w:line="320" w:lineRule="exact"/>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1、系统总体配置与功能定位</w:t>
            </w:r>
          </w:p>
          <w:p w14:paraId="70846A0E">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配置基于BIS-EEG动态脑功能反馈的持续性意识障碍精准高压氧人工智能辅助决策系统1</w:t>
            </w:r>
            <w:r>
              <w:rPr>
                <w:rFonts w:hint="eastAsia" w:ascii="Times New Roman" w:hAnsi="Times New Roman" w:eastAsia="仿宋_GB2312" w:cs="Courier New"/>
                <w:color w:val="000000" w:themeColor="text1"/>
                <w:kern w:val="0"/>
                <w:sz w:val="24"/>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2套，由以下模块构成：</w:t>
            </w:r>
          </w:p>
          <w:p w14:paraId="58CBEDF2">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（1）多模态数据实时采集融合模块（病因、年龄、病程、CRS-R/GCS评分、影像、BIS-EEG、生命体征）；</w:t>
            </w:r>
          </w:p>
          <w:p w14:paraId="610BE8C6">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（2）高压氧治疗参数智能优化决策软件（治疗压力、氧暴露时间、空气间歇方式、频率及疗程动态调整）；</w:t>
            </w:r>
          </w:p>
          <w:p w14:paraId="5F1E232D">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（3）全流程脑功能反应动态监测与疗效预测模块（覆盖治疗前，加压，稳压/吸氧，空气间歇，再吸氧，减压，出舱后各阶段）；</w:t>
            </w:r>
          </w:p>
          <w:p w14:paraId="58F97B2E">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（4）人工审核与干预界面（支持医师手动修正、暂停及紧急终止）。</w:t>
            </w:r>
          </w:p>
          <w:p w14:paraId="33490855">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2、系统需实现的具体临床效果</w:t>
            </w:r>
          </w:p>
          <w:p w14:paraId="660ECCED">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（1）疗效精准提升：系统推荐的个体化方案较传统经验性方案显著提高CRS-R评分改善率及意识等级提升率，促进认知/运动功能恢复；</w:t>
            </w:r>
          </w:p>
          <w:p w14:paraId="6DDE85EE">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（2）治疗平稳可控：基于BIS-EEG实时反馈微调氧暴露参数，减少脑功能波动，不良事件（氧中毒、气压伤、惊厥等）发生率不劣于专家人工管理；</w:t>
            </w:r>
          </w:p>
          <w:p w14:paraId="7CA112F2">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（3）降低医师负荷：自动整合多模态数据并生成可视化建议，减少人工计算调整时间，提升单舱患者周转例数；</w:t>
            </w:r>
          </w:p>
          <w:p w14:paraId="63CC8EFC">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（4）全流程质控留痕：自动记录治疗参数、反应曲线、疗效及不良事件，形成可追溯数据库，支撑质量评估与临床研究。</w:t>
            </w:r>
          </w:p>
          <w:p w14:paraId="53DC1C03">
            <w:pPr>
              <w:spacing w:line="320" w:lineRule="exact"/>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3、核心性能参数要求</w:t>
            </w:r>
          </w:p>
          <w:p w14:paraId="7EE445D0">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（1）动态决策响应时间：BIS-EEG或生命体征异常触发至输出调整建议</w:t>
            </w:r>
            <w:r>
              <w:rPr>
                <w:rFonts w:ascii="Times New Roman" w:hAnsi="Times New Roman" w:eastAsia="仿宋_GB2312" w:cs="Times New Roman"/>
                <w:color w:val="000000" w:themeColor="text1"/>
                <w:kern w:val="0"/>
                <w:sz w:val="24"/>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3秒；</w:t>
            </w:r>
          </w:p>
          <w:p w14:paraId="2975B78A">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（2）疗效非劣效性：6个月随访，意识恢复有效率（CRS-R提高</w:t>
            </w:r>
            <w:r>
              <w:rPr>
                <w:rFonts w:ascii="Times New Roman" w:hAnsi="Times New Roman" w:eastAsia="仿宋_GB2312" w:cs="Times New Roman"/>
                <w:color w:val="000000" w:themeColor="text1"/>
                <w:kern w:val="0"/>
                <w:sz w:val="24"/>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3分或意识等级提升</w:t>
            </w:r>
            <w:r>
              <w:rPr>
                <w:rFonts w:ascii="Times New Roman" w:hAnsi="Times New Roman" w:eastAsia="仿宋_GB2312" w:cs="Times New Roman"/>
                <w:color w:val="000000" w:themeColor="text1"/>
                <w:kern w:val="0"/>
                <w:sz w:val="24"/>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1级）不劣于省级</w:t>
            </w:r>
            <w:r>
              <w:rPr>
                <w:rFonts w:hint="eastAsia" w:ascii="Times New Roman" w:hAnsi="Times New Roman" w:eastAsia="仿宋_GB2312" w:cs="方正仿宋简体"/>
                <w:color w:val="000000" w:themeColor="text1"/>
                <w:sz w:val="24"/>
                <w:szCs w:val="20"/>
                <w14:textFill>
                  <w14:solidFill>
                    <w14:schemeClr w14:val="tx1"/>
                  </w14:solidFill>
                </w14:textFill>
              </w:rPr>
              <w:t>持续性意识障碍</w:t>
            </w:r>
            <w:r>
              <w:rPr>
                <w:rFonts w:hint="eastAsia" w:ascii="Times New Roman" w:hAnsi="Times New Roman" w:eastAsia="仿宋_GB2312" w:cs="Times New Roman"/>
                <w:color w:val="000000" w:themeColor="text1"/>
                <w:kern w:val="0"/>
                <w:sz w:val="24"/>
                <w14:textFill>
                  <w14:solidFill>
                    <w14:schemeClr w14:val="tx1"/>
                  </w14:solidFill>
                </w14:textFill>
              </w:rPr>
              <w:t>专家团队历史数据；</w:t>
            </w:r>
          </w:p>
          <w:p w14:paraId="6B5725A4">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（3）连续稳定运行：支撑</w:t>
            </w:r>
            <w:r>
              <w:rPr>
                <w:rFonts w:ascii="Times New Roman" w:hAnsi="Times New Roman" w:eastAsia="仿宋_GB2312" w:cs="Times New Roman"/>
                <w:color w:val="000000" w:themeColor="text1"/>
                <w:kern w:val="0"/>
                <w:sz w:val="24"/>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8舱次/日，连续无故障</w:t>
            </w:r>
            <w:r>
              <w:rPr>
                <w:rFonts w:ascii="Times New Roman" w:hAnsi="Times New Roman" w:eastAsia="仿宋_GB2312" w:cs="Times New Roman"/>
                <w:color w:val="000000" w:themeColor="text1"/>
                <w:kern w:val="0"/>
                <w:sz w:val="24"/>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12小时，数据可靠备份；</w:t>
            </w:r>
          </w:p>
          <w:p w14:paraId="41554160">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（4）系统集成兼容：提供HL7/FHIR接口，与HIS/LIS/PACS及脑电/监护设备双向数据交互；</w:t>
            </w:r>
          </w:p>
          <w:p w14:paraId="094F6DD9">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（5）安全应急指标：危急状态报警延迟</w:t>
            </w:r>
            <w:r>
              <w:rPr>
                <w:rFonts w:ascii="Times New Roman" w:hAnsi="Times New Roman" w:eastAsia="仿宋_GB2312" w:cs="Times New Roman"/>
                <w:color w:val="000000" w:themeColor="text1"/>
                <w:kern w:val="0"/>
                <w:sz w:val="24"/>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2秒，医师人工接管响应</w:t>
            </w:r>
            <w:r>
              <w:rPr>
                <w:rFonts w:ascii="Times New Roman" w:hAnsi="Times New Roman" w:eastAsia="仿宋_GB2312" w:cs="Times New Roman"/>
                <w:color w:val="000000" w:themeColor="text1"/>
                <w:kern w:val="0"/>
                <w:sz w:val="24"/>
                <w14:textFill>
                  <w14:solidFill>
                    <w14:schemeClr w14:val="tx1"/>
                  </w14:solidFill>
                </w14:textFill>
              </w:rPr>
              <w:t>≤</w:t>
            </w:r>
            <w:r>
              <w:rPr>
                <w:rFonts w:hint="eastAsia" w:ascii="Times New Roman" w:hAnsi="Times New Roman" w:eastAsia="仿宋_GB2312" w:cs="Times New Roman"/>
                <w:color w:val="000000" w:themeColor="text1"/>
                <w:kern w:val="0"/>
                <w:sz w:val="24"/>
                <w14:textFill>
                  <w14:solidFill>
                    <w14:schemeClr w14:val="tx1"/>
                  </w14:solidFill>
                </w14:textFill>
              </w:rPr>
              <w:t>30秒，具备离线容灾机制保障基础监测与人工操作。</w:t>
            </w:r>
          </w:p>
        </w:tc>
      </w:tr>
      <w:tr w14:paraId="094F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2070" w:type="dxa"/>
            <w:tcBorders>
              <w:top w:val="single" w:color="auto" w:sz="4" w:space="0"/>
              <w:left w:val="single" w:color="auto" w:sz="4" w:space="0"/>
              <w:bottom w:val="single" w:color="auto" w:sz="4" w:space="0"/>
              <w:right w:val="single" w:color="auto" w:sz="4" w:space="0"/>
            </w:tcBorders>
            <w:vAlign w:val="center"/>
          </w:tcPr>
          <w:p w14:paraId="094F6DDB">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拟投入资金（万元）</w:t>
            </w:r>
          </w:p>
        </w:tc>
        <w:tc>
          <w:tcPr>
            <w:tcW w:w="2657" w:type="dxa"/>
            <w:tcBorders>
              <w:top w:val="single" w:color="auto" w:sz="4" w:space="0"/>
              <w:left w:val="single" w:color="auto" w:sz="4" w:space="0"/>
              <w:bottom w:val="single" w:color="auto" w:sz="4" w:space="0"/>
              <w:right w:val="single" w:color="auto" w:sz="4" w:space="0"/>
            </w:tcBorders>
            <w:vAlign w:val="center"/>
          </w:tcPr>
          <w:p w14:paraId="094F6DDC">
            <w:pPr>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方正仿宋简体"/>
                <w:color w:val="000000" w:themeColor="text1"/>
                <w:sz w:val="24"/>
                <w:szCs w:val="20"/>
                <w14:textFill>
                  <w14:solidFill>
                    <w14:schemeClr w14:val="tx1"/>
                  </w14:solidFill>
                </w14:textFill>
              </w:rPr>
              <w:t>150（万元）</w:t>
            </w:r>
          </w:p>
        </w:tc>
        <w:tc>
          <w:tcPr>
            <w:tcW w:w="2377" w:type="dxa"/>
            <w:tcBorders>
              <w:top w:val="single" w:color="auto" w:sz="4" w:space="0"/>
              <w:left w:val="single" w:color="auto" w:sz="4" w:space="0"/>
              <w:bottom w:val="single" w:color="auto" w:sz="4" w:space="0"/>
              <w:right w:val="single" w:color="auto" w:sz="4" w:space="0"/>
            </w:tcBorders>
            <w:vAlign w:val="center"/>
          </w:tcPr>
          <w:p w14:paraId="094F6DDD">
            <w:pPr>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拟建设周期</w:t>
            </w:r>
          </w:p>
        </w:tc>
        <w:tc>
          <w:tcPr>
            <w:tcW w:w="2379" w:type="dxa"/>
            <w:tcBorders>
              <w:top w:val="single" w:color="auto" w:sz="4" w:space="0"/>
              <w:left w:val="single" w:color="auto" w:sz="4" w:space="0"/>
              <w:bottom w:val="single" w:color="auto" w:sz="4" w:space="0"/>
              <w:right w:val="single" w:color="auto" w:sz="4" w:space="0"/>
            </w:tcBorders>
            <w:vAlign w:val="center"/>
          </w:tcPr>
          <w:p w14:paraId="094F6DDE">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12个月</w:t>
            </w:r>
          </w:p>
        </w:tc>
      </w:tr>
      <w:tr w14:paraId="094F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3" w:hRule="atLeast"/>
          <w:jc w:val="center"/>
        </w:trPr>
        <w:tc>
          <w:tcPr>
            <w:tcW w:w="2070" w:type="dxa"/>
            <w:tcBorders>
              <w:top w:val="single" w:color="auto" w:sz="4" w:space="0"/>
              <w:left w:val="single" w:color="auto" w:sz="4" w:space="0"/>
              <w:bottom w:val="single" w:color="auto" w:sz="4" w:space="0"/>
              <w:right w:val="single" w:color="auto" w:sz="4" w:space="0"/>
            </w:tcBorders>
            <w:vAlign w:val="center"/>
          </w:tcPr>
          <w:p w14:paraId="094F6DE0">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应用现状</w:t>
            </w:r>
          </w:p>
        </w:tc>
        <w:tc>
          <w:tcPr>
            <w:tcW w:w="7413" w:type="dxa"/>
            <w:gridSpan w:val="3"/>
            <w:tcBorders>
              <w:top w:val="single" w:color="auto" w:sz="4" w:space="0"/>
              <w:left w:val="single" w:color="auto" w:sz="4" w:space="0"/>
              <w:bottom w:val="single" w:color="auto" w:sz="4" w:space="0"/>
              <w:right w:val="single" w:color="auto" w:sz="4" w:space="0"/>
            </w:tcBorders>
          </w:tcPr>
          <w:p w14:paraId="6F21CA80">
            <w:pPr>
              <w:spacing w:line="320" w:lineRule="exact"/>
              <w:ind w:firstLine="480" w:firstLineChars="200"/>
              <w:rPr>
                <w:rFonts w:hint="eastAsia" w:ascii="Times New Roman" w:hAnsi="Times New Roman" w:eastAsia="仿宋_GB2312" w:cs="方正仿宋简体"/>
                <w:color w:val="000000" w:themeColor="text1"/>
                <w:sz w:val="24"/>
                <w:szCs w:val="20"/>
                <w14:textFill>
                  <w14:solidFill>
                    <w14:schemeClr w14:val="tx1"/>
                  </w14:solidFill>
                </w14:textFill>
              </w:rPr>
            </w:pPr>
            <w:r>
              <w:rPr>
                <w:rFonts w:hint="eastAsia" w:ascii="Times New Roman" w:hAnsi="Times New Roman" w:eastAsia="仿宋_GB2312" w:cs="方正仿宋简体"/>
                <w:color w:val="000000" w:themeColor="text1"/>
                <w:sz w:val="24"/>
                <w:szCs w:val="20"/>
                <w14:textFill>
                  <w14:solidFill>
                    <w14:schemeClr w14:val="tx1"/>
                  </w14:solidFill>
                </w14:textFill>
              </w:rPr>
              <w:t>国内：高压氧治疗在持续性意识障碍促醒领域已有较广泛临床应用，但当前治疗决策主要依赖医师个人经验，治疗方案（压力、氧暴露时间、间歇方式、频率及疗程）设定缺乏客观量化标准，呈现“同病同治、经验主导”的特点。BIS-EEG脑电监测虽已在麻醉深度监测中成熟应用，但其在高压氧舱内动态脑功能评估中的应用尚属空白。多模态数据（病因、病程、CRS-R/GCS评分、影像、脑电、生命体征）整合与智能化决策系统在国内仍处于探索阶段，尚未见针对持续性意识障碍高压氧全流程（加压，稳压/吸氧，空气间歇，再吸氧，减压，出舱后）的闭环辅助决策产品上市或大规模临床验证报道。</w:t>
            </w:r>
          </w:p>
          <w:p w14:paraId="094F6DE3">
            <w:pPr>
              <w:spacing w:line="320" w:lineRule="exact"/>
              <w:ind w:firstLine="480" w:firstLineChars="200"/>
              <w:rPr>
                <w:rFonts w:ascii="仿宋_GB2312" w:hAnsi="Times New Roman" w:eastAsia="仿宋_GB2312" w:cs="方正仿宋简体"/>
                <w:color w:val="000000" w:themeColor="text1"/>
                <w:sz w:val="24"/>
                <w:szCs w:val="20"/>
                <w14:textFill>
                  <w14:solidFill>
                    <w14:schemeClr w14:val="tx1"/>
                  </w14:solidFill>
                </w14:textFill>
              </w:rPr>
            </w:pPr>
            <w:r>
              <w:rPr>
                <w:rFonts w:hint="eastAsia" w:ascii="Times New Roman" w:hAnsi="Times New Roman" w:eastAsia="仿宋_GB2312" w:cs="方正仿宋简体"/>
                <w:color w:val="000000" w:themeColor="text1"/>
                <w:sz w:val="24"/>
                <w:szCs w:val="20"/>
                <w14:textFill>
                  <w14:solidFill>
                    <w14:schemeClr w14:val="tx1"/>
                  </w14:solidFill>
                </w14:textFill>
              </w:rPr>
              <w:t>国外：欧美及日本等国家在高压氧治疗的标准化方案和持续性意识障碍康复评估方面积累了较丰富的数据，但现有临床路径仍以固定方案为主，缺乏基于实时脑功能反馈的动态参数调整策略。近年来，人工智能在神经重症康复领域的辅助决策研究逐渐兴起，但多聚焦于预后预测或离线分析，尚未形成可嵌入高压氧治疗流程的实时闭环决策系统。将BIS-EEG动态脑功能监测与高压氧治疗参数实时联动的智能化辅助决策系统，在国际上同样处于前沿探索阶段，尚未进入成熟临床应用。</w:t>
            </w:r>
          </w:p>
        </w:tc>
      </w:tr>
      <w:tr w14:paraId="094F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1" w:hRule="atLeast"/>
          <w:jc w:val="center"/>
        </w:trPr>
        <w:tc>
          <w:tcPr>
            <w:tcW w:w="2070" w:type="dxa"/>
            <w:tcBorders>
              <w:top w:val="single" w:color="auto" w:sz="4" w:space="0"/>
              <w:left w:val="single" w:color="auto" w:sz="4" w:space="0"/>
              <w:bottom w:val="single" w:color="auto" w:sz="4" w:space="0"/>
              <w:right w:val="single" w:color="auto" w:sz="4" w:space="0"/>
            </w:tcBorders>
            <w:vAlign w:val="center"/>
          </w:tcPr>
          <w:p w14:paraId="094F6DE5">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潜在规模</w:t>
            </w:r>
          </w:p>
        </w:tc>
        <w:tc>
          <w:tcPr>
            <w:tcW w:w="7413" w:type="dxa"/>
            <w:gridSpan w:val="3"/>
            <w:tcBorders>
              <w:top w:val="single" w:color="auto" w:sz="4" w:space="0"/>
              <w:left w:val="single" w:color="auto" w:sz="4" w:space="0"/>
              <w:bottom w:val="single" w:color="auto" w:sz="4" w:space="0"/>
              <w:right w:val="single" w:color="auto" w:sz="4" w:space="0"/>
            </w:tcBorders>
          </w:tcPr>
          <w:p w14:paraId="5B39FD9C">
            <w:pPr>
              <w:spacing w:line="320" w:lineRule="exact"/>
              <w:ind w:firstLine="480" w:firstLineChars="200"/>
              <w:rPr>
                <w:rFonts w:hint="eastAsia" w:ascii="Times New Roman" w:hAnsi="Times New Roman" w:eastAsia="仿宋_GB2312" w:cs="方正仿宋简体"/>
                <w:color w:val="000000" w:themeColor="text1"/>
                <w:sz w:val="24"/>
                <w:szCs w:val="20"/>
                <w14:textFill>
                  <w14:solidFill>
                    <w14:schemeClr w14:val="tx1"/>
                  </w14:solidFill>
                </w14:textFill>
              </w:rPr>
            </w:pPr>
            <w:r>
              <w:rPr>
                <w:rFonts w:hint="eastAsia" w:ascii="Times New Roman" w:hAnsi="Times New Roman" w:eastAsia="仿宋_GB2312" w:cs="方正仿宋简体"/>
                <w:color w:val="000000" w:themeColor="text1"/>
                <w:sz w:val="24"/>
                <w:szCs w:val="20"/>
                <w14:textFill>
                  <w14:solidFill>
                    <w14:schemeClr w14:val="tx1"/>
                  </w14:solidFill>
                </w14:textFill>
              </w:rPr>
              <w:t>我国创伤性脑损伤、脑卒中及缺血缺氧性脑病等所致的持续性意识障碍患者数量庞大，年新增病例数以十万计，高压氧治疗作为重要的促醒干预手段，在神经康复、重症及康复医学科应用日益广泛，具有明确的临床需求基础。随着分级诊疗推进和康复医疗服务体系建设加速，基层及区域性康复机构对规范化、智能化高压氧治疗辅助决策工具的潜在需求极为可观。</w:t>
            </w:r>
          </w:p>
          <w:p w14:paraId="094F6DE6">
            <w:pPr>
              <w:spacing w:line="320" w:lineRule="exact"/>
              <w:ind w:firstLine="480" w:firstLineChars="200"/>
              <w:rPr>
                <w:rFonts w:hint="eastAsia" w:ascii="仿宋_GB2312" w:hAnsi="Times New Roman" w:eastAsia="仿宋_GB2312" w:cs="方正仿宋简体"/>
                <w:color w:val="000000" w:themeColor="text1"/>
                <w:sz w:val="24"/>
                <w:szCs w:val="20"/>
                <w14:textFill>
                  <w14:solidFill>
                    <w14:schemeClr w14:val="tx1"/>
                  </w14:solidFill>
                </w14:textFill>
              </w:rPr>
            </w:pPr>
            <w:r>
              <w:rPr>
                <w:rFonts w:hint="eastAsia" w:ascii="Times New Roman" w:hAnsi="Times New Roman" w:eastAsia="仿宋_GB2312" w:cs="方正仿宋简体"/>
                <w:color w:val="000000" w:themeColor="text1"/>
                <w:sz w:val="24"/>
                <w:szCs w:val="20"/>
                <w14:textFill>
                  <w14:solidFill>
                    <w14:schemeClr w14:val="tx1"/>
                  </w14:solidFill>
                </w14:textFill>
              </w:rPr>
              <w:t>与此同时，脑功能评估技术（尤其是BIS-EEG动态监测）与人工智能辅助决策的交叉融合是神经康复智能化的重要发展方向，相关智能康复设备市场规模预计将保持持续增长态势。深圳宝兴医院作为以康复医学为特色的区域性医疗机构，高压氧科年治疗量已形成规模化应用场景，具备支撑系统迭代优化的数据基础；并可依托医院现有康复医疗协作网络及周边基层医疗机构合作关系，将该辅助决策系统向区域康复医疗联合体辐射推广，覆盖从急性期后康复到慢性期持续管理的全链条应用，具有清晰、可落地的应用增长空间。</w:t>
            </w:r>
          </w:p>
        </w:tc>
      </w:tr>
      <w:tr w14:paraId="094F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1" w:hRule="atLeast"/>
          <w:jc w:val="center"/>
        </w:trPr>
        <w:tc>
          <w:tcPr>
            <w:tcW w:w="2070" w:type="dxa"/>
            <w:tcBorders>
              <w:top w:val="single" w:color="auto" w:sz="4" w:space="0"/>
              <w:left w:val="single" w:color="auto" w:sz="4" w:space="0"/>
              <w:bottom w:val="single" w:color="auto" w:sz="4" w:space="0"/>
              <w:right w:val="single" w:color="auto" w:sz="4" w:space="0"/>
            </w:tcBorders>
            <w:vAlign w:val="center"/>
          </w:tcPr>
          <w:p w14:paraId="094F6DE8">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建设基础</w:t>
            </w:r>
          </w:p>
        </w:tc>
        <w:tc>
          <w:tcPr>
            <w:tcW w:w="7413" w:type="dxa"/>
            <w:gridSpan w:val="3"/>
            <w:tcBorders>
              <w:top w:val="single" w:color="auto" w:sz="4" w:space="0"/>
              <w:left w:val="single" w:color="auto" w:sz="4" w:space="0"/>
              <w:bottom w:val="single" w:color="auto" w:sz="4" w:space="0"/>
              <w:right w:val="single" w:color="auto" w:sz="4" w:space="0"/>
            </w:tcBorders>
          </w:tcPr>
          <w:p w14:paraId="094F6DE9">
            <w:pPr>
              <w:spacing w:line="320" w:lineRule="exact"/>
              <w:ind w:firstLine="480" w:firstLineChars="200"/>
              <w:rPr>
                <w:rFonts w:ascii="Times New Roman" w:hAnsi="Times New Roman" w:eastAsia="仿宋_GB2312" w:cs="方正仿宋简体"/>
                <w:color w:val="000000" w:themeColor="text1"/>
                <w:sz w:val="24"/>
                <w:szCs w:val="20"/>
                <w14:textFill>
                  <w14:solidFill>
                    <w14:schemeClr w14:val="tx1"/>
                  </w14:solidFill>
                </w14:textFill>
              </w:rPr>
            </w:pPr>
            <w:r>
              <w:rPr>
                <w:rFonts w:hint="eastAsia" w:ascii="Times New Roman" w:hAnsi="Times New Roman" w:eastAsia="仿宋_GB2312" w:cs="方正仿宋简体"/>
                <w:color w:val="000000" w:themeColor="text1"/>
                <w:sz w:val="24"/>
                <w:szCs w:val="20"/>
                <w14:textFill>
                  <w14:solidFill>
                    <w14:schemeClr w14:val="tx1"/>
                  </w14:solidFill>
                </w14:textFill>
              </w:rPr>
              <w:t>医院具备开展高质量临床研究的坚实基础。深圳宝兴医院作为全国非公立医疗机构高压氧医学学术会议承办单位，高压氧学科建设受到中华医学会高压氧医学分会主任委员龙颖教授的长期指导，其16+4大型多人高压氧舱已于2026年6月正式启用，已形成年治疗量逾万人次的规模化应用场景。康复医学科为医院核心特色专科，建有4个病区7个亚专科（含神经康复、重症康复、促醒等），康复病区业务用房面积达5000余</w:t>
            </w:r>
            <w:r>
              <w:rPr>
                <w:rFonts w:ascii="Times New Roman" w:hAnsi="Times New Roman" w:eastAsia="微软雅黑" w:cs="Times New Roman"/>
                <w:color w:val="000000" w:themeColor="text1"/>
                <w:sz w:val="24"/>
                <w:szCs w:val="20"/>
                <w14:textFill>
                  <w14:solidFill>
                    <w14:schemeClr w14:val="tx1"/>
                  </w14:solidFill>
                </w14:textFill>
              </w:rPr>
              <w:t>m</w:t>
            </w:r>
            <w:r>
              <w:rPr>
                <w:rFonts w:ascii="Times New Roman" w:hAnsi="Times New Roman" w:eastAsia="微软雅黑" w:cs="Times New Roman"/>
                <w:color w:val="000000" w:themeColor="text1"/>
                <w:sz w:val="24"/>
                <w:szCs w:val="20"/>
                <w:vertAlign w:val="superscript"/>
                <w14:textFill>
                  <w14:solidFill>
                    <w14:schemeClr w14:val="tx1"/>
                  </w14:solidFill>
                </w14:textFill>
              </w:rPr>
              <w:t>2</w:t>
            </w:r>
            <w:r>
              <w:rPr>
                <w:rFonts w:hint="eastAsia" w:ascii="Times New Roman" w:hAnsi="Times New Roman" w:eastAsia="仿宋_GB2312" w:cs="仿宋_GB2312"/>
                <w:color w:val="000000" w:themeColor="text1"/>
                <w:sz w:val="24"/>
                <w:szCs w:val="20"/>
                <w14:textFill>
                  <w14:solidFill>
                    <w14:schemeClr w14:val="tx1"/>
                  </w14:solidFill>
                </w14:textFill>
              </w:rPr>
              <w:t>，住院床位</w:t>
            </w:r>
            <w:r>
              <w:rPr>
                <w:rFonts w:hint="eastAsia" w:ascii="Times New Roman" w:hAnsi="Times New Roman" w:eastAsia="仿宋_GB2312" w:cs="方正仿宋简体"/>
                <w:color w:val="000000" w:themeColor="text1"/>
                <w:sz w:val="24"/>
                <w:szCs w:val="20"/>
                <w14:textFill>
                  <w14:solidFill>
                    <w14:schemeClr w14:val="tx1"/>
                  </w14:solidFill>
                </w14:textFill>
              </w:rPr>
              <w:t>130</w:t>
            </w:r>
            <w:r>
              <w:rPr>
                <w:rFonts w:ascii="Times New Roman" w:hAnsi="Times New Roman" w:eastAsia="仿宋_GB2312" w:cs="Courier New"/>
                <w:color w:val="000000" w:themeColor="text1"/>
                <w:sz w:val="24"/>
                <w:szCs w:val="20"/>
                <w14:textFill>
                  <w14:solidFill>
                    <w14:schemeClr w14:val="tx1"/>
                  </w14:solidFill>
                </w14:textFill>
              </w:rPr>
              <w:t>–</w:t>
            </w:r>
            <w:r>
              <w:rPr>
                <w:rFonts w:hint="eastAsia" w:ascii="Times New Roman" w:hAnsi="Times New Roman" w:eastAsia="仿宋_GB2312" w:cs="方正仿宋简体"/>
                <w:color w:val="000000" w:themeColor="text1"/>
                <w:sz w:val="24"/>
                <w:szCs w:val="20"/>
                <w14:textFill>
                  <w14:solidFill>
                    <w14:schemeClr w14:val="tx1"/>
                  </w14:solidFill>
                </w14:textFill>
              </w:rPr>
              <w:t>150张，已收治长期康复护理患者3000余人次，其中重症患者经康复治疗后回归家庭、社会的超过300人。医院已与香港职业治疗学院达成战略合作，引入“港式标准+深圳速度”的康复服务模式，具备深港协同的科研合作基础。医院配备BIS-EEG、生命体征等多模态监测设备，建有临床科研数据库和生物样本库，具备数据采集、伦理审批、样机临床部署和验证的完整条件，可为基于BIS-EEG动态脑功能反馈的高压氧AI辅助决策系统的构建与验证提供充分的临床场景与科研平台支撑</w:t>
            </w:r>
            <w:r>
              <w:rPr>
                <w:rFonts w:ascii="Times New Roman" w:hAnsi="Times New Roman" w:eastAsia="仿宋_GB2312" w:cs="方正仿宋简体"/>
                <w:color w:val="000000" w:themeColor="text1"/>
                <w:sz w:val="24"/>
                <w:szCs w:val="20"/>
                <w14:textFill>
                  <w14:solidFill>
                    <w14:schemeClr w14:val="tx1"/>
                  </w14:solidFill>
                </w14:textFill>
              </w:rPr>
              <w:t>；已对接智能麻醉技术供给方（深圳华盟智算等），前期已在胃肠镜AI麻醉领域建立合作并完成近千人临床验证，可直接支撑本项目数据采集、样机部署和临床验证。</w:t>
            </w:r>
          </w:p>
        </w:tc>
      </w:tr>
      <w:tr w14:paraId="094F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1" w:hRule="atLeast"/>
          <w:jc w:val="center"/>
        </w:trPr>
        <w:tc>
          <w:tcPr>
            <w:tcW w:w="2070" w:type="dxa"/>
            <w:tcBorders>
              <w:top w:val="single" w:color="auto" w:sz="4" w:space="0"/>
              <w:left w:val="single" w:color="auto" w:sz="4" w:space="0"/>
              <w:bottom w:val="single" w:color="auto" w:sz="4" w:space="0"/>
              <w:right w:val="single" w:color="auto" w:sz="4" w:space="0"/>
            </w:tcBorders>
            <w:vAlign w:val="center"/>
          </w:tcPr>
          <w:p w14:paraId="094F6DEB">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实施成效</w:t>
            </w:r>
          </w:p>
        </w:tc>
        <w:tc>
          <w:tcPr>
            <w:tcW w:w="7413" w:type="dxa"/>
            <w:gridSpan w:val="3"/>
            <w:tcBorders>
              <w:top w:val="single" w:color="auto" w:sz="4" w:space="0"/>
              <w:left w:val="single" w:color="auto" w:sz="4" w:space="0"/>
              <w:bottom w:val="single" w:color="auto" w:sz="4" w:space="0"/>
              <w:right w:val="single" w:color="auto" w:sz="4" w:space="0"/>
            </w:tcBorders>
          </w:tcPr>
          <w:p w14:paraId="1D05967A">
            <w:pPr>
              <w:spacing w:line="320" w:lineRule="exact"/>
              <w:ind w:firstLine="480" w:firstLineChars="200"/>
              <w:rPr>
                <w:rFonts w:hint="eastAsia" w:ascii="Times New Roman" w:hAnsi="Times New Roman" w:eastAsia="仿宋_GB2312" w:cs="方正仿宋简体"/>
                <w:color w:val="000000" w:themeColor="text1"/>
                <w:sz w:val="24"/>
                <w:szCs w:val="20"/>
                <w14:textFill>
                  <w14:solidFill>
                    <w14:schemeClr w14:val="tx1"/>
                  </w14:solidFill>
                </w14:textFill>
              </w:rPr>
            </w:pPr>
            <w:r>
              <w:rPr>
                <w:rFonts w:hint="eastAsia" w:ascii="Times New Roman" w:hAnsi="Times New Roman" w:eastAsia="仿宋_GB2312" w:cs="方正仿宋简体"/>
                <w:color w:val="000000" w:themeColor="text1"/>
                <w:sz w:val="24"/>
                <w:szCs w:val="20"/>
                <w14:textFill>
                  <w14:solidFill>
                    <w14:schemeClr w14:val="tx1"/>
                  </w14:solidFill>
                </w14:textFill>
              </w:rPr>
              <w:t>经济效益：提高高压氧治疗的精准化与个体化水平，减少因方案不当导致的无效治疗和疗程延长，降低患者平均治疗费用及医保支出；缩短单舱次决策调整时间，提升高压氧舱日均周转效率，在同等设备条件下服务更多患者；带动智能化神经康复决策系统及配套脑电监测设备在深圳本地的研发与产业集聚，形成可复制、可推广的持续性意识障碍高压氧AI辅助决策解决方案，拓展市场规模与示范收益。</w:t>
            </w:r>
          </w:p>
          <w:p w14:paraId="094F6DEC">
            <w:pPr>
              <w:spacing w:line="320" w:lineRule="exact"/>
              <w:ind w:firstLine="480" w:firstLineChars="200"/>
              <w:rPr>
                <w:rFonts w:hint="eastAsia" w:ascii="仿宋_GB2312" w:hAnsi="Times New Roman" w:eastAsia="仿宋_GB2312" w:cs="方正仿宋简体"/>
                <w:color w:val="000000" w:themeColor="text1"/>
                <w:sz w:val="24"/>
                <w:szCs w:val="20"/>
                <w14:textFill>
                  <w14:solidFill>
                    <w14:schemeClr w14:val="tx1"/>
                  </w14:solidFill>
                </w14:textFill>
              </w:rPr>
            </w:pPr>
            <w:r>
              <w:rPr>
                <w:rFonts w:hint="eastAsia" w:ascii="Times New Roman" w:hAnsi="Times New Roman" w:eastAsia="仿宋_GB2312" w:cs="方正仿宋简体"/>
                <w:color w:val="000000" w:themeColor="text1"/>
                <w:sz w:val="24"/>
                <w:szCs w:val="20"/>
                <w14:textFill>
                  <w14:solidFill>
                    <w14:schemeClr w14:val="tx1"/>
                  </w14:solidFill>
                </w14:textFill>
              </w:rPr>
              <w:t>社会效益：提高高压氧治疗管理与决策的规范化、精细化水平，减少经验差异导致的效果不均，改善患者意识恢复预后与就医体验；降低康复医师及高压氧操作人员单次治疗中的认知负荷与人工决策压力，缓解康复专业人员资源紧张状况，支撑多舱次、规模化治疗需求；推动人工智能、脑功能监测技术与神经康复治疗的深度融合，在深圳形成首个基于BIS-EEG动态脑功能反馈的高压氧AI辅助决策标杆案例，引领区域康复医疗智能化转型与人工智能产业高质量发展。</w:t>
            </w:r>
          </w:p>
        </w:tc>
      </w:tr>
    </w:tbl>
    <w:p w14:paraId="5D302D5B">
      <w:pPr>
        <w:pStyle w:val="12"/>
        <w:widowControl/>
        <w:spacing w:beforeAutospacing="0" w:afterAutospacing="0" w:line="560" w:lineRule="exact"/>
        <w:jc w:val="both"/>
        <w:rPr>
          <w:rFonts w:hint="eastAsia" w:ascii="黑体" w:hAnsi="黑体" w:eastAsia="黑体" w:cs="黑体"/>
          <w:sz w:val="32"/>
          <w:szCs w:val="32"/>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K">
    <w:altName w:val="微软雅黑"/>
    <w:panose1 w:val="02000000000000000000"/>
    <w:charset w:val="86"/>
    <w:family w:val="script"/>
    <w:pitch w:val="default"/>
    <w:sig w:usb0="00000000" w:usb1="00000000" w:usb2="00000016"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Segoe UI Symbol">
    <w:panose1 w:val="020B0502040204020203"/>
    <w:charset w:val="00"/>
    <w:family w:val="swiss"/>
    <w:pitch w:val="default"/>
    <w:sig w:usb0="800001E3" w:usb1="1200FFEF" w:usb2="00040000" w:usb3="04000000" w:csb0="00000001" w:csb1="40000000"/>
  </w:font>
  <w:font w:name="方正仿宋简体">
    <w:altName w:val="宋体"/>
    <w:panose1 w:val="00000000000000000000"/>
    <w:charset w:val="86"/>
    <w:family w:val="roman"/>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WPSEMBED4">
    <w:panose1 w:val="02000000000000000000"/>
    <w:charset w:val="86"/>
    <w:family w:val="auto"/>
    <w:pitch w:val="default"/>
    <w:sig w:usb0="A00002BF" w:usb1="38CF7CFA" w:usb2="00082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F6F60">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4F6F63">
                          <w:pPr>
                            <w:pStyle w:val="8"/>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94F6F63">
                    <w:pPr>
                      <w:pStyle w:val="8"/>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414"/>
    <w:rsid w:val="00015B35"/>
    <w:rsid w:val="00020813"/>
    <w:rsid w:val="000225D3"/>
    <w:rsid w:val="00024CE8"/>
    <w:rsid w:val="00036593"/>
    <w:rsid w:val="000B4A3F"/>
    <w:rsid w:val="00111414"/>
    <w:rsid w:val="0016006A"/>
    <w:rsid w:val="00171B16"/>
    <w:rsid w:val="00184082"/>
    <w:rsid w:val="00204DC5"/>
    <w:rsid w:val="002057BF"/>
    <w:rsid w:val="002552ED"/>
    <w:rsid w:val="00257A4D"/>
    <w:rsid w:val="00315967"/>
    <w:rsid w:val="0035620C"/>
    <w:rsid w:val="00386C52"/>
    <w:rsid w:val="00406C05"/>
    <w:rsid w:val="00470CFF"/>
    <w:rsid w:val="004826B4"/>
    <w:rsid w:val="004B7E0D"/>
    <w:rsid w:val="00542952"/>
    <w:rsid w:val="0059022F"/>
    <w:rsid w:val="005A24E5"/>
    <w:rsid w:val="00631CF7"/>
    <w:rsid w:val="0064341E"/>
    <w:rsid w:val="006562DC"/>
    <w:rsid w:val="006F09B0"/>
    <w:rsid w:val="006F7254"/>
    <w:rsid w:val="007654E5"/>
    <w:rsid w:val="007B2C9A"/>
    <w:rsid w:val="00850274"/>
    <w:rsid w:val="008A4A02"/>
    <w:rsid w:val="00921FD6"/>
    <w:rsid w:val="00925194"/>
    <w:rsid w:val="00935383"/>
    <w:rsid w:val="00943CB2"/>
    <w:rsid w:val="00960992"/>
    <w:rsid w:val="00A13DBD"/>
    <w:rsid w:val="00A36F12"/>
    <w:rsid w:val="00A64975"/>
    <w:rsid w:val="00A676FC"/>
    <w:rsid w:val="00A87B25"/>
    <w:rsid w:val="00AA6A14"/>
    <w:rsid w:val="00AC1C94"/>
    <w:rsid w:val="00AD678C"/>
    <w:rsid w:val="00B047EE"/>
    <w:rsid w:val="00B053E0"/>
    <w:rsid w:val="00B4233E"/>
    <w:rsid w:val="00B63619"/>
    <w:rsid w:val="00BC1ED2"/>
    <w:rsid w:val="00BE5CCA"/>
    <w:rsid w:val="00BE6817"/>
    <w:rsid w:val="00C37A1E"/>
    <w:rsid w:val="00C7200E"/>
    <w:rsid w:val="00CB2C36"/>
    <w:rsid w:val="00CF5833"/>
    <w:rsid w:val="00D12DDF"/>
    <w:rsid w:val="00D267B0"/>
    <w:rsid w:val="00DC3D59"/>
    <w:rsid w:val="00DC5CF2"/>
    <w:rsid w:val="00DD6A68"/>
    <w:rsid w:val="00DE117D"/>
    <w:rsid w:val="00E54CC3"/>
    <w:rsid w:val="00E9652D"/>
    <w:rsid w:val="00EB3EFE"/>
    <w:rsid w:val="00EB4AFB"/>
    <w:rsid w:val="00EF2F2E"/>
    <w:rsid w:val="00F174CA"/>
    <w:rsid w:val="00F87D9B"/>
    <w:rsid w:val="00F91430"/>
    <w:rsid w:val="00FB233F"/>
    <w:rsid w:val="00FE24EA"/>
    <w:rsid w:val="02994018"/>
    <w:rsid w:val="03484207"/>
    <w:rsid w:val="03840469"/>
    <w:rsid w:val="0455059A"/>
    <w:rsid w:val="048C5A1D"/>
    <w:rsid w:val="067D77AC"/>
    <w:rsid w:val="08AC0E08"/>
    <w:rsid w:val="0924072D"/>
    <w:rsid w:val="098350DA"/>
    <w:rsid w:val="0AB8556E"/>
    <w:rsid w:val="0B476C1F"/>
    <w:rsid w:val="0BCF4BEF"/>
    <w:rsid w:val="0C2E3359"/>
    <w:rsid w:val="0FB44DF8"/>
    <w:rsid w:val="0FFD084B"/>
    <w:rsid w:val="0FFF7290"/>
    <w:rsid w:val="10A122E9"/>
    <w:rsid w:val="17D411F6"/>
    <w:rsid w:val="17F453F5"/>
    <w:rsid w:val="18046DB4"/>
    <w:rsid w:val="196AD810"/>
    <w:rsid w:val="19B6E7BF"/>
    <w:rsid w:val="1A7606F3"/>
    <w:rsid w:val="1B515AF1"/>
    <w:rsid w:val="1B5FBF99"/>
    <w:rsid w:val="1BA79CDC"/>
    <w:rsid w:val="1BB47375"/>
    <w:rsid w:val="1D151E47"/>
    <w:rsid w:val="1D6372A4"/>
    <w:rsid w:val="1D8965DF"/>
    <w:rsid w:val="1EBB93FF"/>
    <w:rsid w:val="1EF323E1"/>
    <w:rsid w:val="1F6706ED"/>
    <w:rsid w:val="1FED819C"/>
    <w:rsid w:val="213D1BBA"/>
    <w:rsid w:val="21E32762"/>
    <w:rsid w:val="23D305B4"/>
    <w:rsid w:val="23E991EA"/>
    <w:rsid w:val="25FB5C8D"/>
    <w:rsid w:val="277D9957"/>
    <w:rsid w:val="27EE6D51"/>
    <w:rsid w:val="27FF6CEE"/>
    <w:rsid w:val="293C03A1"/>
    <w:rsid w:val="295F4AB9"/>
    <w:rsid w:val="296B118E"/>
    <w:rsid w:val="2A2B5644"/>
    <w:rsid w:val="2B006133"/>
    <w:rsid w:val="2EE7C452"/>
    <w:rsid w:val="2F0967EC"/>
    <w:rsid w:val="2F99C37D"/>
    <w:rsid w:val="2FDDE057"/>
    <w:rsid w:val="34D466B4"/>
    <w:rsid w:val="367D4FF9"/>
    <w:rsid w:val="36D154B9"/>
    <w:rsid w:val="37DE3C9F"/>
    <w:rsid w:val="39E38617"/>
    <w:rsid w:val="39FD5F33"/>
    <w:rsid w:val="3A5402D2"/>
    <w:rsid w:val="3B7E465F"/>
    <w:rsid w:val="3B7F5941"/>
    <w:rsid w:val="3BDE13E8"/>
    <w:rsid w:val="3BEBC578"/>
    <w:rsid w:val="3D2FD38D"/>
    <w:rsid w:val="3D5FD812"/>
    <w:rsid w:val="3DDBE88D"/>
    <w:rsid w:val="3DFF58F7"/>
    <w:rsid w:val="3EBE72C0"/>
    <w:rsid w:val="3F3F54AD"/>
    <w:rsid w:val="3F8D54A2"/>
    <w:rsid w:val="3FDEF73E"/>
    <w:rsid w:val="3FF7E75F"/>
    <w:rsid w:val="3FFB7D85"/>
    <w:rsid w:val="3FFBB406"/>
    <w:rsid w:val="3FFD3B98"/>
    <w:rsid w:val="3FFF5C5F"/>
    <w:rsid w:val="41DF3C4C"/>
    <w:rsid w:val="42ED4D97"/>
    <w:rsid w:val="43E07956"/>
    <w:rsid w:val="44B042CE"/>
    <w:rsid w:val="46483E01"/>
    <w:rsid w:val="46D46C38"/>
    <w:rsid w:val="47395243"/>
    <w:rsid w:val="474B7D77"/>
    <w:rsid w:val="47E56984"/>
    <w:rsid w:val="485951EC"/>
    <w:rsid w:val="49B74D2D"/>
    <w:rsid w:val="49DB6C5E"/>
    <w:rsid w:val="4C3E406E"/>
    <w:rsid w:val="4D090F5F"/>
    <w:rsid w:val="4DD6AC44"/>
    <w:rsid w:val="4E2E44B5"/>
    <w:rsid w:val="4F5543EF"/>
    <w:rsid w:val="4F7A8014"/>
    <w:rsid w:val="508F6E38"/>
    <w:rsid w:val="531445D8"/>
    <w:rsid w:val="565A22EB"/>
    <w:rsid w:val="56F6563D"/>
    <w:rsid w:val="57D7CCB7"/>
    <w:rsid w:val="58330577"/>
    <w:rsid w:val="590B1ADE"/>
    <w:rsid w:val="5A2D03CA"/>
    <w:rsid w:val="5AFF6E5F"/>
    <w:rsid w:val="5B71530F"/>
    <w:rsid w:val="5BFD2097"/>
    <w:rsid w:val="5C346947"/>
    <w:rsid w:val="5CF43DA1"/>
    <w:rsid w:val="5D5845D9"/>
    <w:rsid w:val="5D79399F"/>
    <w:rsid w:val="5DE34D44"/>
    <w:rsid w:val="5DF748C4"/>
    <w:rsid w:val="5DFFFEB0"/>
    <w:rsid w:val="5E566EE4"/>
    <w:rsid w:val="5E8CF660"/>
    <w:rsid w:val="5EA038B2"/>
    <w:rsid w:val="5EFD4A00"/>
    <w:rsid w:val="5EFF07BD"/>
    <w:rsid w:val="5F1B3579"/>
    <w:rsid w:val="5F942D12"/>
    <w:rsid w:val="5FBE9B08"/>
    <w:rsid w:val="5FCBAB8E"/>
    <w:rsid w:val="5FDC2F30"/>
    <w:rsid w:val="5FE6542C"/>
    <w:rsid w:val="5FFE2E6F"/>
    <w:rsid w:val="5FFE3534"/>
    <w:rsid w:val="5FFFF88F"/>
    <w:rsid w:val="60F4333C"/>
    <w:rsid w:val="61DD6989"/>
    <w:rsid w:val="631F74BC"/>
    <w:rsid w:val="63E9680E"/>
    <w:rsid w:val="64817B3D"/>
    <w:rsid w:val="667FC0EE"/>
    <w:rsid w:val="67FC8436"/>
    <w:rsid w:val="683C02AC"/>
    <w:rsid w:val="6B2F9C3E"/>
    <w:rsid w:val="6B841E8D"/>
    <w:rsid w:val="6E125199"/>
    <w:rsid w:val="6EB7CCBF"/>
    <w:rsid w:val="6F383D07"/>
    <w:rsid w:val="6F3F9144"/>
    <w:rsid w:val="6F5B5E8A"/>
    <w:rsid w:val="6F76B2F3"/>
    <w:rsid w:val="6FBFDE40"/>
    <w:rsid w:val="6FF7E679"/>
    <w:rsid w:val="72F90170"/>
    <w:rsid w:val="72FE7215"/>
    <w:rsid w:val="736DC0EF"/>
    <w:rsid w:val="740F6527"/>
    <w:rsid w:val="76BE9F9C"/>
    <w:rsid w:val="76F5AB6F"/>
    <w:rsid w:val="7775C95F"/>
    <w:rsid w:val="77872C35"/>
    <w:rsid w:val="77EB51FC"/>
    <w:rsid w:val="77F34D25"/>
    <w:rsid w:val="77F70F91"/>
    <w:rsid w:val="77FD8A3F"/>
    <w:rsid w:val="77FE67C0"/>
    <w:rsid w:val="7867AA0D"/>
    <w:rsid w:val="78F15C7F"/>
    <w:rsid w:val="78FF21B6"/>
    <w:rsid w:val="79EED6AF"/>
    <w:rsid w:val="7A6BD8AE"/>
    <w:rsid w:val="7ABF9165"/>
    <w:rsid w:val="7AD85D51"/>
    <w:rsid w:val="7B2F6BC8"/>
    <w:rsid w:val="7BFD5E74"/>
    <w:rsid w:val="7BFFA321"/>
    <w:rsid w:val="7C7EECF1"/>
    <w:rsid w:val="7D8EEADD"/>
    <w:rsid w:val="7DBE72CD"/>
    <w:rsid w:val="7DCE40DB"/>
    <w:rsid w:val="7E3A6F4A"/>
    <w:rsid w:val="7EB32A31"/>
    <w:rsid w:val="7EB79499"/>
    <w:rsid w:val="7F3FD136"/>
    <w:rsid w:val="7F5D406C"/>
    <w:rsid w:val="7F6892CD"/>
    <w:rsid w:val="7F6BBF37"/>
    <w:rsid w:val="7F75BF0B"/>
    <w:rsid w:val="7F7E3096"/>
    <w:rsid w:val="7F7F5E58"/>
    <w:rsid w:val="7FCAE10B"/>
    <w:rsid w:val="7FDA1BEF"/>
    <w:rsid w:val="7FDF5309"/>
    <w:rsid w:val="7FDFA6F0"/>
    <w:rsid w:val="7FF5DC55"/>
    <w:rsid w:val="7FFAC20F"/>
    <w:rsid w:val="7FFD98BE"/>
    <w:rsid w:val="7FFE65A3"/>
    <w:rsid w:val="8FAFEFEF"/>
    <w:rsid w:val="9ED7BDBA"/>
    <w:rsid w:val="A1FD947C"/>
    <w:rsid w:val="A3E7464E"/>
    <w:rsid w:val="AABF4527"/>
    <w:rsid w:val="AF7B7952"/>
    <w:rsid w:val="AF9F8FCA"/>
    <w:rsid w:val="B75D8BF8"/>
    <w:rsid w:val="B7DF0942"/>
    <w:rsid w:val="B8EB41BC"/>
    <w:rsid w:val="B9EE4007"/>
    <w:rsid w:val="BBBF35EF"/>
    <w:rsid w:val="BBEF55F8"/>
    <w:rsid w:val="BD7DC420"/>
    <w:rsid w:val="BE489A38"/>
    <w:rsid w:val="BE7F0907"/>
    <w:rsid w:val="BEFD7B84"/>
    <w:rsid w:val="BFB636F8"/>
    <w:rsid w:val="BFFFACDB"/>
    <w:rsid w:val="C2F50BC2"/>
    <w:rsid w:val="C4779D79"/>
    <w:rsid w:val="C6EF96BF"/>
    <w:rsid w:val="CDAFB7F2"/>
    <w:rsid w:val="CEF16418"/>
    <w:rsid w:val="CF2BB839"/>
    <w:rsid w:val="CFC547A0"/>
    <w:rsid w:val="D8FE6B86"/>
    <w:rsid w:val="D97FD55E"/>
    <w:rsid w:val="DABECB7F"/>
    <w:rsid w:val="DAFF16ED"/>
    <w:rsid w:val="DAFF703A"/>
    <w:rsid w:val="DBECDDA7"/>
    <w:rsid w:val="DCFAAB5D"/>
    <w:rsid w:val="DD0F2569"/>
    <w:rsid w:val="DD9FEC49"/>
    <w:rsid w:val="DDB733C3"/>
    <w:rsid w:val="DDECA757"/>
    <w:rsid w:val="DDFCAE25"/>
    <w:rsid w:val="DEF8473D"/>
    <w:rsid w:val="DF3799DE"/>
    <w:rsid w:val="DF7B0C6C"/>
    <w:rsid w:val="DF7F9847"/>
    <w:rsid w:val="DFB3786F"/>
    <w:rsid w:val="DFFD4249"/>
    <w:rsid w:val="E2FFFB61"/>
    <w:rsid w:val="E7FB3D8D"/>
    <w:rsid w:val="E96F863A"/>
    <w:rsid w:val="E97D3A32"/>
    <w:rsid w:val="ED5F5FAA"/>
    <w:rsid w:val="EDE786BC"/>
    <w:rsid w:val="EEC871C7"/>
    <w:rsid w:val="EF7F672B"/>
    <w:rsid w:val="EFCEDB15"/>
    <w:rsid w:val="EFEF3883"/>
    <w:rsid w:val="F297A4D4"/>
    <w:rsid w:val="F35F078F"/>
    <w:rsid w:val="F67E40E5"/>
    <w:rsid w:val="F6A18827"/>
    <w:rsid w:val="F73BC0E3"/>
    <w:rsid w:val="F74DA2EE"/>
    <w:rsid w:val="F7BFA59C"/>
    <w:rsid w:val="F7DF543E"/>
    <w:rsid w:val="F7EB244D"/>
    <w:rsid w:val="F7F4DBFA"/>
    <w:rsid w:val="F7FBBD65"/>
    <w:rsid w:val="F9BF8FF5"/>
    <w:rsid w:val="F9EF39E2"/>
    <w:rsid w:val="FA77693C"/>
    <w:rsid w:val="FB4ED248"/>
    <w:rsid w:val="FBB6C733"/>
    <w:rsid w:val="FBD341E4"/>
    <w:rsid w:val="FBEDFF11"/>
    <w:rsid w:val="FBF7BB84"/>
    <w:rsid w:val="FBF87B06"/>
    <w:rsid w:val="FBFE3C38"/>
    <w:rsid w:val="FD1752FB"/>
    <w:rsid w:val="FD7B3E84"/>
    <w:rsid w:val="FD8D47AA"/>
    <w:rsid w:val="FDDD24AB"/>
    <w:rsid w:val="FDFB112D"/>
    <w:rsid w:val="FE7641C8"/>
    <w:rsid w:val="FE9FD1B4"/>
    <w:rsid w:val="FEAFA280"/>
    <w:rsid w:val="FEBF1651"/>
    <w:rsid w:val="FEE5CBF6"/>
    <w:rsid w:val="FEFB4F67"/>
    <w:rsid w:val="FEFE30B3"/>
    <w:rsid w:val="FEFF8002"/>
    <w:rsid w:val="FF1DD433"/>
    <w:rsid w:val="FF56486A"/>
    <w:rsid w:val="FF7FB80B"/>
    <w:rsid w:val="FFB726D9"/>
    <w:rsid w:val="FFB7806A"/>
    <w:rsid w:val="FFDDF856"/>
    <w:rsid w:val="FFDEADEB"/>
    <w:rsid w:val="FFECC579"/>
    <w:rsid w:val="FFF4C521"/>
    <w:rsid w:val="FFF7A9F8"/>
    <w:rsid w:val="FFF7BAA3"/>
    <w:rsid w:val="FFFD438A"/>
    <w:rsid w:val="FFFD9611"/>
    <w:rsid w:val="FFFE5C4F"/>
    <w:rsid w:val="FFFF4FF6"/>
    <w:rsid w:val="FFFF9150"/>
    <w:rsid w:val="FFFF9ADB"/>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paragraph" w:styleId="3">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bCs/>
      <w:kern w:val="0"/>
      <w:sz w:val="20"/>
      <w:szCs w:val="20"/>
    </w:rPr>
  </w:style>
  <w:style w:type="character" w:default="1" w:styleId="15">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w:basedOn w:val="1"/>
    <w:next w:val="6"/>
    <w:qFormat/>
    <w:uiPriority w:val="1"/>
    <w:pPr>
      <w:ind w:left="138"/>
      <w:jc w:val="left"/>
    </w:pPr>
    <w:rPr>
      <w:rFonts w:ascii="宋体" w:hAnsi="宋体"/>
      <w:kern w:val="0"/>
      <w:sz w:val="24"/>
      <w:lang w:eastAsia="en-US"/>
    </w:rPr>
  </w:style>
  <w:style w:type="paragraph" w:styleId="6">
    <w:name w:val="Title"/>
    <w:basedOn w:val="1"/>
    <w:next w:val="1"/>
    <w:qFormat/>
    <w:uiPriority w:val="99"/>
    <w:pPr>
      <w:jc w:val="center"/>
    </w:pPr>
    <w:rPr>
      <w:rFonts w:ascii="方正小标宋简体" w:hAnsi="方正小标宋简体" w:eastAsia="方正小标宋简体" w:cs="方正小标宋简体"/>
      <w:sz w:val="44"/>
      <w:szCs w:val="44"/>
    </w:rPr>
  </w:style>
  <w:style w:type="paragraph" w:styleId="7">
    <w:name w:val="annotation text"/>
    <w:basedOn w:val="1"/>
    <w:qFormat/>
    <w:uiPriority w:val="0"/>
    <w:pPr>
      <w:jc w:val="left"/>
    </w:pPr>
  </w:style>
  <w:style w:type="paragraph" w:styleId="8">
    <w:name w:val="footer"/>
    <w:basedOn w:val="1"/>
    <w:next w:val="9"/>
    <w:qFormat/>
    <w:uiPriority w:val="0"/>
    <w:pPr>
      <w:snapToGrid w:val="0"/>
      <w:jc w:val="left"/>
    </w:pPr>
    <w:rPr>
      <w:sz w:val="18"/>
      <w:szCs w:val="18"/>
    </w:rPr>
  </w:style>
  <w:style w:type="paragraph" w:customStyle="1" w:styleId="9">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index 9"/>
    <w:basedOn w:val="1"/>
    <w:next w:val="1"/>
    <w:qFormat/>
    <w:uiPriority w:val="0"/>
    <w:pPr>
      <w:ind w:left="1600" w:leftChars="1600"/>
    </w:pPr>
  </w:style>
  <w:style w:type="paragraph" w:styleId="12">
    <w:name w:val="Normal (Web)"/>
    <w:basedOn w:val="1"/>
    <w:qFormat/>
    <w:uiPriority w:val="0"/>
    <w:pPr>
      <w:spacing w:beforeAutospacing="1" w:afterAutospacing="1"/>
      <w:jc w:val="left"/>
    </w:pPr>
    <w:rPr>
      <w:rFonts w:cs="Times New Roman"/>
      <w:kern w:val="0"/>
      <w:sz w:val="24"/>
    </w:rPr>
  </w:style>
  <w:style w:type="table" w:styleId="14">
    <w:name w:val="Table Grid"/>
    <w:basedOn w:val="1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_Style 1"/>
    <w:basedOn w:val="1"/>
    <w:qFormat/>
    <w:uiPriority w:val="0"/>
    <w:pPr>
      <w:ind w:firstLine="200" w:firstLineChars="200"/>
    </w:pPr>
    <w:rPr>
      <w:rFonts w:ascii="宋体" w:hAnsi="宋体" w:eastAsia="仿宋_GB2312" w:cs="Times New Roman"/>
      <w:sz w:val="32"/>
      <w:szCs w:val="32"/>
    </w:rPr>
  </w:style>
  <w:style w:type="paragraph" w:customStyle="1" w:styleId="18">
    <w:name w:val="纯文本1"/>
    <w:basedOn w:val="1"/>
    <w:qFormat/>
    <w:uiPriority w:val="0"/>
    <w:rPr>
      <w:rFonts w:ascii="宋体" w:hAnsi="Courier New" w:eastAsia="宋体" w:cs="Courier New"/>
    </w:rPr>
  </w:style>
  <w:style w:type="paragraph" w:customStyle="1" w:styleId="19">
    <w:name w:val="正文_0"/>
    <w:next w:val="5"/>
    <w:qFormat/>
    <w:uiPriority w:val="0"/>
    <w:pPr>
      <w:widowControl w:val="0"/>
      <w:jc w:val="both"/>
    </w:pPr>
    <w:rPr>
      <w:rFonts w:ascii="Calibri" w:hAnsi="Calibri" w:eastAsia="宋体" w:cs="Times New Roman"/>
      <w:kern w:val="2"/>
      <w:sz w:val="21"/>
      <w:szCs w:val="24"/>
      <w:lang w:val="en-US" w:eastAsia="zh-CN" w:bidi="ar-SA"/>
    </w:rPr>
  </w:style>
  <w:style w:type="table" w:customStyle="1" w:styleId="20">
    <w:name w:val="网格型1"/>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font51"/>
    <w:basedOn w:val="15"/>
    <w:qFormat/>
    <w:uiPriority w:val="0"/>
    <w:rPr>
      <w:rFonts w:hint="default" w:ascii="仿宋_GB2312" w:eastAsia="仿宋_GB2312" w:cs="仿宋_GB2312"/>
      <w:color w:val="000000"/>
      <w:sz w:val="28"/>
      <w:szCs w:val="28"/>
      <w:u w:val="none"/>
    </w:rPr>
  </w:style>
  <w:style w:type="paragraph" w:customStyle="1" w:styleId="22">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23">
    <w:name w:val="font11"/>
    <w:basedOn w:val="15"/>
    <w:qFormat/>
    <w:uiPriority w:val="0"/>
    <w:rPr>
      <w:rFonts w:hint="eastAsia" w:ascii="宋体" w:hAnsi="宋体" w:eastAsia="宋体" w:cs="宋体"/>
      <w:color w:val="000000"/>
      <w:sz w:val="22"/>
      <w:szCs w:val="22"/>
      <w:u w:val="none"/>
    </w:rPr>
  </w:style>
  <w:style w:type="character" w:customStyle="1" w:styleId="24">
    <w:name w:val="font01"/>
    <w:basedOn w:val="15"/>
    <w:qFormat/>
    <w:uiPriority w:val="0"/>
    <w:rPr>
      <w:rFonts w:hint="eastAsia" w:ascii="宋体" w:hAnsi="宋体" w:eastAsia="宋体" w:cs="宋体"/>
      <w:color w:val="000000"/>
      <w:sz w:val="22"/>
      <w:szCs w:val="22"/>
      <w:u w:val="single"/>
    </w:rPr>
  </w:style>
  <w:style w:type="paragraph" w:customStyle="1" w:styleId="25">
    <w:name w:val="样式2"/>
    <w:basedOn w:val="1"/>
    <w:qFormat/>
    <w:uiPriority w:val="0"/>
    <w:pPr>
      <w:widowControl/>
      <w:shd w:val="clear" w:color="auto" w:fill="FFFFFF"/>
      <w:ind w:firstLine="643" w:firstLineChars="200"/>
      <w:outlineLvl w:val="1"/>
    </w:pPr>
    <w:rPr>
      <w:rFonts w:ascii="楷体_GB2312" w:hAnsi="Arial" w:eastAsia="楷体_GB2312" w:cs="Arial"/>
      <w:b/>
      <w:color w:val="000000"/>
      <w:kern w:val="0"/>
      <w:sz w:val="32"/>
      <w:szCs w:val="32"/>
    </w:rPr>
  </w:style>
  <w:style w:type="paragraph" w:styleId="2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2242</Words>
  <Characters>2426</Characters>
  <Lines>30</Lines>
  <Paragraphs>8</Paragraphs>
  <TotalTime>0</TotalTime>
  <ScaleCrop>false</ScaleCrop>
  <LinksUpToDate>false</LinksUpToDate>
  <CharactersWithSpaces>2448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2026-08-28T07:23:00Z</dcterms:created>
  <dc:creator>PC</dc:creator>
  <cp:lastModifiedBy>SRA小助手</cp:lastModifiedBy>
  <dcterms:modified xsi:type="dcterms:W3CDTF">2026-10-26T05:40:24Z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383C678C662E41A586BF8769BFB8CC39_13</vt:lpwstr>
  </property>
  <property fmtid="{D5CDD505-2E9C-101B-9397-08002B2CF9AE}" pid="4" name="KSOTemplateDocerSaveRecord">
    <vt:lpwstr>eyJoZGlkIjoiNzg3OTczNzI0ZWJiZjRjNDQ5ZjMxYzE5NzFmNzE4MjMiLCJ1c2VySWQiOiIxMzA2Mzc0OTg5In0=</vt:lpwstr>
  </property>
</Properties>
</file>