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828B34">
      <w:pPr>
        <w:pStyle w:val="12"/>
        <w:widowControl/>
        <w:spacing w:beforeAutospacing="0" w:afterAutospacing="0" w:line="560" w:lineRule="exact"/>
        <w:ind w:firstLine="640"/>
        <w:rPr>
          <w:rFonts w:hint="eastAsia" w:ascii="仿宋_GB2312" w:hAnsi="仿宋_GB2312" w:eastAsia="仿宋_GB2312" w:cs="仿宋_GB2312"/>
          <w:kern w:val="2"/>
          <w:sz w:val="32"/>
          <w:szCs w:val="36"/>
        </w:rPr>
      </w:pPr>
      <w:bookmarkStart w:id="0" w:name="_GoBack"/>
      <w:bookmarkEnd w:id="0"/>
    </w:p>
    <w:p w14:paraId="51232993">
      <w:pPr>
        <w:pStyle w:val="12"/>
        <w:widowControl/>
        <w:spacing w:beforeAutospacing="0" w:afterAutospacing="0" w:line="560" w:lineRule="exact"/>
        <w:jc w:val="both"/>
        <w:rPr>
          <w:rFonts w:hint="eastAsia" w:ascii="黑体" w:hAnsi="黑体" w:eastAsia="黑体" w:cs="黑体"/>
          <w:kern w:val="2"/>
          <w:sz w:val="32"/>
          <w:szCs w:val="32"/>
        </w:rPr>
      </w:pPr>
      <w:r>
        <w:rPr>
          <w:rFonts w:hint="eastAsia" w:ascii="黑体" w:hAnsi="黑体" w:eastAsia="黑体" w:cs="黑体"/>
          <w:kern w:val="2"/>
          <w:sz w:val="32"/>
          <w:szCs w:val="32"/>
        </w:rPr>
        <w:t>附件2-1</w:t>
      </w:r>
    </w:p>
    <w:p w14:paraId="4CFEC484">
      <w:pPr>
        <w:spacing w:line="54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深圳市龙岗区机器人应用场景揭榜挂帅</w:t>
      </w:r>
    </w:p>
    <w:p w14:paraId="64C5ED2B">
      <w:pPr>
        <w:spacing w:line="54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项目榜单征集表</w:t>
      </w:r>
    </w:p>
    <w:p w14:paraId="18287612">
      <w:pPr>
        <w:spacing w:before="156" w:beforeLines="50" w:after="156" w:afterLines="50" w:line="320" w:lineRule="exact"/>
        <w:rPr>
          <w:rFonts w:ascii="Times New Roman" w:hAnsi="Times New Roman" w:eastAsia="仿宋_GB2312" w:cs="Times New Roman"/>
          <w:b/>
          <w:bCs/>
          <w:color w:val="000000" w:themeColor="text1"/>
          <w:sz w:val="24"/>
          <w14:textFill>
            <w14:solidFill>
              <w14:schemeClr w14:val="tx1"/>
            </w14:solidFill>
          </w14:textFill>
        </w:rPr>
      </w:pPr>
      <w:r>
        <w:rPr>
          <w:rFonts w:hint="eastAsia" w:ascii="Times New Roman" w:hAnsi="Times New Roman" w:eastAsia="仿宋_GB2312" w:cs="Times New Roman"/>
          <w:b/>
          <w:bCs/>
          <w:color w:val="000000" w:themeColor="text1"/>
          <w:sz w:val="24"/>
          <w14:textFill>
            <w14:solidFill>
              <w14:schemeClr w14:val="tx1"/>
            </w14:solidFill>
          </w14:textFill>
        </w:rPr>
        <w:t>场景需求方（盖章）：</w:t>
      </w:r>
      <w:r>
        <w:rPr>
          <w:rFonts w:ascii="Times New Roman" w:hAnsi="Times New Roman" w:eastAsia="仿宋_GB2312" w:cs="Times New Roman"/>
          <w:b/>
          <w:bCs/>
          <w:color w:val="000000" w:themeColor="text1"/>
          <w:sz w:val="24"/>
          <w14:textFill>
            <w14:solidFill>
              <w14:schemeClr w14:val="tx1"/>
            </w14:solidFill>
          </w14:textFill>
        </w:rPr>
        <w:t>深圳市鹏教科技有限公司</w:t>
      </w:r>
    </w:p>
    <w:tbl>
      <w:tblPr>
        <w:tblStyle w:val="13"/>
        <w:tblW w:w="92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71"/>
        <w:gridCol w:w="3243"/>
        <w:gridCol w:w="2377"/>
        <w:gridCol w:w="2379"/>
      </w:tblGrid>
      <w:tr w14:paraId="1C63B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jc w:val="center"/>
        </w:trPr>
        <w:tc>
          <w:tcPr>
            <w:tcW w:w="9270" w:type="dxa"/>
            <w:gridSpan w:val="4"/>
            <w:tcBorders>
              <w:top w:val="single" w:color="auto" w:sz="4" w:space="0"/>
              <w:left w:val="single" w:color="auto" w:sz="4" w:space="0"/>
              <w:bottom w:val="single" w:color="auto" w:sz="4" w:space="0"/>
              <w:right w:val="single" w:color="auto" w:sz="4" w:space="0"/>
            </w:tcBorders>
            <w:vAlign w:val="center"/>
          </w:tcPr>
          <w:p w14:paraId="63465625">
            <w:pPr>
              <w:spacing w:line="320" w:lineRule="exact"/>
              <w:rPr>
                <w:rFonts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b/>
                <w:bCs/>
                <w:color w:val="000000" w:themeColor="text1"/>
                <w:sz w:val="24"/>
                <w14:textFill>
                  <w14:solidFill>
                    <w14:schemeClr w14:val="tx1"/>
                  </w14:solidFill>
                </w14:textFill>
              </w:rPr>
              <w:t>一、场景需求方信息</w:t>
            </w:r>
          </w:p>
        </w:tc>
      </w:tr>
      <w:tr w14:paraId="189B0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exact"/>
          <w:jc w:val="center"/>
        </w:trPr>
        <w:tc>
          <w:tcPr>
            <w:tcW w:w="1271" w:type="dxa"/>
            <w:tcBorders>
              <w:top w:val="single" w:color="auto" w:sz="4" w:space="0"/>
              <w:left w:val="single" w:color="auto" w:sz="4" w:space="0"/>
              <w:bottom w:val="single" w:color="auto" w:sz="4" w:space="0"/>
              <w:right w:val="single" w:color="auto" w:sz="4" w:space="0"/>
            </w:tcBorders>
            <w:vAlign w:val="center"/>
          </w:tcPr>
          <w:p w14:paraId="39C3018E">
            <w:pPr>
              <w:spacing w:line="320" w:lineRule="exact"/>
              <w:jc w:val="center"/>
              <w:rPr>
                <w:rFonts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b/>
                <w:bCs/>
                <w:color w:val="000000" w:themeColor="text1"/>
                <w:sz w:val="24"/>
                <w14:textFill>
                  <w14:solidFill>
                    <w14:schemeClr w14:val="tx1"/>
                  </w14:solidFill>
                </w14:textFill>
              </w:rPr>
              <w:t>单位名称</w:t>
            </w:r>
          </w:p>
        </w:tc>
        <w:tc>
          <w:tcPr>
            <w:tcW w:w="7999" w:type="dxa"/>
            <w:gridSpan w:val="3"/>
            <w:tcBorders>
              <w:top w:val="single" w:color="auto" w:sz="4" w:space="0"/>
              <w:left w:val="single" w:color="auto" w:sz="4" w:space="0"/>
              <w:bottom w:val="single" w:color="auto" w:sz="4" w:space="0"/>
              <w:right w:val="single" w:color="auto" w:sz="4" w:space="0"/>
            </w:tcBorders>
            <w:vAlign w:val="center"/>
          </w:tcPr>
          <w:p w14:paraId="091F80C0">
            <w:pPr>
              <w:spacing w:line="320" w:lineRule="exact"/>
              <w:rPr>
                <w:rFonts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color w:val="000000" w:themeColor="text1"/>
                <w:sz w:val="24"/>
                <w14:textFill>
                  <w14:solidFill>
                    <w14:schemeClr w14:val="tx1"/>
                  </w14:solidFill>
                </w14:textFill>
              </w:rPr>
              <w:t xml:space="preserve"> </w:t>
            </w:r>
            <w:r>
              <w:rPr>
                <w:rFonts w:ascii="Times New Roman" w:hAnsi="Times New Roman" w:eastAsia="仿宋_GB2312" w:cs="Times New Roman"/>
                <w:color w:val="000000" w:themeColor="text1"/>
                <w:sz w:val="24"/>
                <w14:textFill>
                  <w14:solidFill>
                    <w14:schemeClr w14:val="tx1"/>
                  </w14:solidFill>
                </w14:textFill>
              </w:rPr>
              <w:t>深圳市鹏教科技有限公司</w:t>
            </w:r>
          </w:p>
        </w:tc>
      </w:tr>
      <w:tr w14:paraId="59CBF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5" w:hRule="atLeast"/>
          <w:jc w:val="center"/>
        </w:trPr>
        <w:tc>
          <w:tcPr>
            <w:tcW w:w="9270" w:type="dxa"/>
            <w:gridSpan w:val="4"/>
            <w:tcBorders>
              <w:top w:val="single" w:color="auto" w:sz="4" w:space="0"/>
              <w:left w:val="single" w:color="auto" w:sz="4" w:space="0"/>
              <w:bottom w:val="single" w:color="auto" w:sz="4" w:space="0"/>
              <w:right w:val="single" w:color="auto" w:sz="4" w:space="0"/>
            </w:tcBorders>
            <w:vAlign w:val="center"/>
          </w:tcPr>
          <w:p w14:paraId="32860072">
            <w:pPr>
              <w:spacing w:line="320" w:lineRule="exact"/>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14:textFill>
                  <w14:solidFill>
                    <w14:schemeClr w14:val="tx1"/>
                  </w14:solidFill>
                </w14:textFill>
              </w:rPr>
              <w:t>二、场景开放需求信息</w:t>
            </w:r>
          </w:p>
        </w:tc>
      </w:tr>
      <w:tr w14:paraId="4CEE2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5" w:hRule="atLeast"/>
          <w:jc w:val="center"/>
        </w:trPr>
        <w:tc>
          <w:tcPr>
            <w:tcW w:w="1271" w:type="dxa"/>
            <w:tcBorders>
              <w:top w:val="single" w:color="auto" w:sz="4" w:space="0"/>
              <w:left w:val="single" w:color="auto" w:sz="4" w:space="0"/>
              <w:bottom w:val="single" w:color="auto" w:sz="4" w:space="0"/>
              <w:right w:val="single" w:color="auto" w:sz="4" w:space="0"/>
            </w:tcBorders>
            <w:vAlign w:val="center"/>
          </w:tcPr>
          <w:p w14:paraId="7FC600DC">
            <w:pPr>
              <w:snapToGrid w:val="0"/>
              <w:spacing w:line="320" w:lineRule="exact"/>
              <w:jc w:val="center"/>
              <w:rPr>
                <w:rFonts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b/>
                <w:bCs/>
                <w:color w:val="000000" w:themeColor="text1"/>
                <w:sz w:val="24"/>
                <w14:textFill>
                  <w14:solidFill>
                    <w14:schemeClr w14:val="tx1"/>
                  </w14:solidFill>
                </w14:textFill>
              </w:rPr>
              <w:t>需求名称</w:t>
            </w:r>
          </w:p>
        </w:tc>
        <w:tc>
          <w:tcPr>
            <w:tcW w:w="7999" w:type="dxa"/>
            <w:gridSpan w:val="3"/>
            <w:tcBorders>
              <w:top w:val="single" w:color="auto" w:sz="4" w:space="0"/>
              <w:left w:val="single" w:color="auto" w:sz="4" w:space="0"/>
              <w:bottom w:val="single" w:color="auto" w:sz="4" w:space="0"/>
              <w:right w:val="single" w:color="auto" w:sz="4" w:space="0"/>
            </w:tcBorders>
            <w:vAlign w:val="center"/>
          </w:tcPr>
          <w:p w14:paraId="6A1BF0B4">
            <w:pPr>
              <w:spacing w:line="320" w:lineRule="exact"/>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面向行政事业单位资产全生命周期管理的智能盘点机器人需求</w:t>
            </w:r>
          </w:p>
        </w:tc>
      </w:tr>
      <w:tr w14:paraId="1C796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1" w:hRule="atLeast"/>
          <w:jc w:val="center"/>
        </w:trPr>
        <w:tc>
          <w:tcPr>
            <w:tcW w:w="1271" w:type="dxa"/>
            <w:tcBorders>
              <w:top w:val="single" w:color="auto" w:sz="4" w:space="0"/>
              <w:left w:val="single" w:color="auto" w:sz="4" w:space="0"/>
              <w:bottom w:val="single" w:color="auto" w:sz="4" w:space="0"/>
              <w:right w:val="single" w:color="auto" w:sz="4" w:space="0"/>
            </w:tcBorders>
            <w:vAlign w:val="center"/>
          </w:tcPr>
          <w:p w14:paraId="669F0AD2">
            <w:pPr>
              <w:snapToGrid w:val="0"/>
              <w:spacing w:line="320" w:lineRule="exact"/>
              <w:jc w:val="center"/>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14:textFill>
                  <w14:solidFill>
                    <w14:schemeClr w14:val="tx1"/>
                  </w14:solidFill>
                </w14:textFill>
              </w:rPr>
              <w:t>应用场景</w:t>
            </w:r>
          </w:p>
        </w:tc>
        <w:tc>
          <w:tcPr>
            <w:tcW w:w="7999" w:type="dxa"/>
            <w:gridSpan w:val="3"/>
            <w:tcBorders>
              <w:top w:val="single" w:color="auto" w:sz="4" w:space="0"/>
              <w:left w:val="single" w:color="auto" w:sz="4" w:space="0"/>
              <w:bottom w:val="single" w:color="auto" w:sz="4" w:space="0"/>
              <w:right w:val="single" w:color="auto" w:sz="4" w:space="0"/>
            </w:tcBorders>
          </w:tcPr>
          <w:p w14:paraId="76D578A5">
            <w:pPr>
              <w:spacing w:line="320" w:lineRule="exact"/>
              <w:rPr>
                <w:rFonts w:ascii="Cambria Math" w:hAnsi="Cambria Math" w:eastAsia="仿宋_GB2312" w:cs="Cambria Math"/>
                <w:b/>
                <w:bCs/>
                <w:color w:val="000000" w:themeColor="text1"/>
                <w:kern w:val="0"/>
                <w:sz w:val="24"/>
                <w14:textFill>
                  <w14:solidFill>
                    <w14:schemeClr w14:val="tx1"/>
                  </w14:solidFill>
                </w14:textFill>
              </w:rPr>
            </w:pPr>
            <w:r>
              <w:rPr>
                <w:rFonts w:ascii="Cambria Math" w:hAnsi="Cambria Math" w:eastAsia="仿宋_GB2312" w:cs="Cambria Math"/>
                <w:b/>
                <w:bCs/>
                <w:color w:val="000000" w:themeColor="text1"/>
                <w:kern w:val="0"/>
                <w:sz w:val="24"/>
                <w14:textFill>
                  <w14:solidFill>
                    <w14:schemeClr w14:val="tx1"/>
                  </w14:solidFill>
                </w14:textFill>
              </w:rPr>
              <w:t>①现有场景基本情况</w:t>
            </w:r>
          </w:p>
          <w:p w14:paraId="699DB6EF">
            <w:pPr>
              <w:spacing w:line="320" w:lineRule="exact"/>
              <w:ind w:firstLine="480" w:firstLineChars="200"/>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行政事业单位固定资产品类多。以我公司服务的</w:t>
            </w:r>
            <w:r>
              <w:rPr>
                <w:rFonts w:hint="eastAsia" w:ascii="Times New Roman" w:hAnsi="Times New Roman" w:eastAsia="仿宋_GB2312" w:cs="Times New Roman"/>
                <w:color w:val="000000" w:themeColor="text1"/>
                <w:kern w:val="0"/>
                <w:sz w:val="24"/>
                <w14:textFill>
                  <w14:solidFill>
                    <w14:schemeClr w14:val="tx1"/>
                  </w14:solidFill>
                </w14:textFill>
              </w:rPr>
              <w:t>高校和医院</w:t>
            </w:r>
            <w:r>
              <w:rPr>
                <w:rFonts w:ascii="Times New Roman" w:hAnsi="Times New Roman" w:eastAsia="仿宋_GB2312" w:cs="Times New Roman"/>
                <w:color w:val="000000" w:themeColor="text1"/>
                <w:kern w:val="0"/>
                <w:sz w:val="24"/>
                <w14:textFill>
                  <w14:solidFill>
                    <w14:schemeClr w14:val="tx1"/>
                  </w14:solidFill>
                </w14:textFill>
              </w:rPr>
              <w:t>为例，资产通常分布在多栋楼宇、数十至数百个房间内，资产种类繁多（</w:t>
            </w:r>
            <w:r>
              <w:rPr>
                <w:rFonts w:hint="eastAsia" w:ascii="Times New Roman" w:hAnsi="Times New Roman" w:eastAsia="仿宋_GB2312" w:cs="Times New Roman"/>
                <w:color w:val="000000" w:themeColor="text1"/>
                <w:kern w:val="0"/>
                <w:sz w:val="24"/>
                <w14:textFill>
                  <w14:solidFill>
                    <w14:schemeClr w14:val="tx1"/>
                  </w14:solidFill>
                </w14:textFill>
              </w:rPr>
              <w:t>包括</w:t>
            </w:r>
            <w:r>
              <w:rPr>
                <w:rFonts w:ascii="Times New Roman" w:hAnsi="Times New Roman" w:eastAsia="仿宋_GB2312" w:cs="Times New Roman"/>
                <w:color w:val="000000" w:themeColor="text1"/>
                <w:kern w:val="0"/>
                <w:sz w:val="24"/>
                <w14:textFill>
                  <w14:solidFill>
                    <w14:schemeClr w14:val="tx1"/>
                  </w14:solidFill>
                </w14:textFill>
              </w:rPr>
              <w:t>教学设备、</w:t>
            </w:r>
            <w:r>
              <w:rPr>
                <w:rFonts w:hint="eastAsia" w:ascii="Times New Roman" w:hAnsi="Times New Roman" w:eastAsia="仿宋_GB2312" w:cs="Times New Roman"/>
                <w:color w:val="000000" w:themeColor="text1"/>
                <w:kern w:val="0"/>
                <w:sz w:val="24"/>
                <w14:textFill>
                  <w14:solidFill>
                    <w14:schemeClr w14:val="tx1"/>
                  </w14:solidFill>
                </w14:textFill>
              </w:rPr>
              <w:t>科研设备、</w:t>
            </w:r>
            <w:r>
              <w:rPr>
                <w:rFonts w:ascii="Times New Roman" w:hAnsi="Times New Roman" w:eastAsia="仿宋_GB2312" w:cs="Times New Roman"/>
                <w:color w:val="000000" w:themeColor="text1"/>
                <w:kern w:val="0"/>
                <w:sz w:val="24"/>
                <w14:textFill>
                  <w14:solidFill>
                    <w14:schemeClr w14:val="tx1"/>
                  </w14:solidFill>
                </w14:textFill>
              </w:rPr>
              <w:t>办公设备、实验器材、家具、后勤设施等），</w:t>
            </w:r>
            <w:r>
              <w:rPr>
                <w:rFonts w:hint="eastAsia" w:ascii="Times New Roman" w:hAnsi="Times New Roman" w:eastAsia="仿宋_GB2312" w:cs="Times New Roman"/>
                <w:color w:val="000000" w:themeColor="text1"/>
                <w:kern w:val="0"/>
                <w:sz w:val="24"/>
                <w14:textFill>
                  <w14:solidFill>
                    <w14:schemeClr w14:val="tx1"/>
                  </w14:solidFill>
                </w14:textFill>
              </w:rPr>
              <w:t>资产</w:t>
            </w:r>
            <w:r>
              <w:rPr>
                <w:rFonts w:ascii="Times New Roman" w:hAnsi="Times New Roman" w:eastAsia="仿宋_GB2312" w:cs="Times New Roman"/>
                <w:color w:val="000000" w:themeColor="text1"/>
                <w:kern w:val="0"/>
                <w:sz w:val="24"/>
                <w14:textFill>
                  <w14:solidFill>
                    <w14:schemeClr w14:val="tx1"/>
                  </w14:solidFill>
                </w14:textFill>
              </w:rPr>
              <w:t>数量从数千到数万台套不等。龙岗本地高校、中小学、行政事业单位存在大量同类场景，具备优先落地条件。</w:t>
            </w:r>
          </w:p>
          <w:p w14:paraId="3B42038B">
            <w:pPr>
              <w:spacing w:line="320" w:lineRule="exact"/>
              <w:rPr>
                <w:rFonts w:ascii="Cambria Math" w:hAnsi="Cambria Math" w:eastAsia="仿宋_GB2312" w:cs="Cambria Math"/>
                <w:b/>
                <w:bCs/>
                <w:color w:val="000000" w:themeColor="text1"/>
                <w:kern w:val="0"/>
                <w:sz w:val="24"/>
                <w14:textFill>
                  <w14:solidFill>
                    <w14:schemeClr w14:val="tx1"/>
                  </w14:solidFill>
                </w14:textFill>
              </w:rPr>
            </w:pPr>
            <w:r>
              <w:rPr>
                <w:rFonts w:ascii="Cambria Math" w:hAnsi="Cambria Math" w:eastAsia="仿宋_GB2312" w:cs="Cambria Math"/>
                <w:b/>
                <w:bCs/>
                <w:color w:val="000000" w:themeColor="text1"/>
                <w:kern w:val="0"/>
                <w:sz w:val="24"/>
                <w14:textFill>
                  <w14:solidFill>
                    <w14:schemeClr w14:val="tx1"/>
                  </w14:solidFill>
                </w14:textFill>
              </w:rPr>
              <w:t>②现有场景作业方式</w:t>
            </w:r>
          </w:p>
          <w:p w14:paraId="214A9D9C">
            <w:pPr>
              <w:spacing w:line="320" w:lineRule="exact"/>
              <w:ind w:firstLine="480" w:firstLineChars="200"/>
              <w:rPr>
                <w:rFonts w:ascii="Times New Roman" w:hAnsi="Times New Roman" w:eastAsia="仿宋_GB2312" w:cs="Times New Roman"/>
                <w:color w:val="000000" w:themeColor="text1"/>
                <w:kern w:val="0"/>
                <w:sz w:val="24"/>
                <w14:textFill>
                  <w14:solidFill>
                    <w14:schemeClr w14:val="tx1"/>
                  </w14:solidFill>
                </w14:textFill>
              </w:rPr>
            </w:pPr>
            <w:r>
              <w:rPr>
                <w:rFonts w:ascii="Cambria Math" w:hAnsi="Cambria Math" w:eastAsia="仿宋_GB2312" w:cs="Cambria Math"/>
                <w:color w:val="000000" w:themeColor="text1"/>
                <w:kern w:val="0"/>
                <w:sz w:val="24"/>
                <w14:textFill>
                  <w14:solidFill>
                    <w14:schemeClr w14:val="tx1"/>
                  </w14:solidFill>
                </w14:textFill>
              </w:rPr>
              <w:t>目前客户普遍采用传统人工盘点</w:t>
            </w:r>
            <w:r>
              <w:rPr>
                <w:rFonts w:hint="eastAsia" w:ascii="Cambria Math" w:hAnsi="Cambria Math" w:eastAsia="仿宋_GB2312" w:cs="Cambria Math"/>
                <w:color w:val="000000" w:themeColor="text1"/>
                <w:kern w:val="0"/>
                <w:sz w:val="24"/>
                <w14:textFill>
                  <w14:solidFill>
                    <w14:schemeClr w14:val="tx1"/>
                  </w14:solidFill>
                </w14:textFill>
              </w:rPr>
              <w:t>模式</w:t>
            </w:r>
            <w:r>
              <w:rPr>
                <w:rFonts w:ascii="Cambria Math" w:hAnsi="Cambria Math" w:eastAsia="仿宋_GB2312" w:cs="Cambria Math"/>
                <w:color w:val="000000" w:themeColor="text1"/>
                <w:kern w:val="0"/>
                <w:sz w:val="24"/>
                <w14:textFill>
                  <w14:solidFill>
                    <w14:schemeClr w14:val="tx1"/>
                  </w14:solidFill>
                </w14:textFill>
              </w:rPr>
              <w:t>，由资产管理人员</w:t>
            </w:r>
            <w:r>
              <w:rPr>
                <w:rFonts w:hint="eastAsia" w:ascii="Cambria Math" w:hAnsi="Cambria Math" w:eastAsia="仿宋_GB2312" w:cs="Cambria Math"/>
                <w:color w:val="000000" w:themeColor="text1"/>
                <w:kern w:val="0"/>
                <w:sz w:val="24"/>
                <w14:textFill>
                  <w14:solidFill>
                    <w14:schemeClr w14:val="tx1"/>
                  </w14:solidFill>
                </w14:textFill>
              </w:rPr>
              <w:t>以纸质表单核对或</w:t>
            </w:r>
            <w:r>
              <w:rPr>
                <w:rFonts w:ascii="Cambria Math" w:hAnsi="Cambria Math" w:eastAsia="仿宋_GB2312" w:cs="Cambria Math"/>
                <w:color w:val="000000" w:themeColor="text1"/>
                <w:kern w:val="0"/>
                <w:sz w:val="24"/>
                <w14:textFill>
                  <w14:solidFill>
                    <w14:schemeClr w14:val="tx1"/>
                  </w14:solidFill>
                </w14:textFill>
              </w:rPr>
              <w:t>手持扫码枪移动终端，逐房间、逐资产进行核对</w:t>
            </w:r>
            <w:r>
              <w:rPr>
                <w:rFonts w:hint="eastAsia" w:ascii="Cambria Math" w:hAnsi="Cambria Math" w:eastAsia="仿宋_GB2312" w:cs="Cambria Math"/>
                <w:color w:val="000000" w:themeColor="text1"/>
                <w:kern w:val="0"/>
                <w:sz w:val="24"/>
                <w14:textFill>
                  <w14:solidFill>
                    <w14:schemeClr w14:val="tx1"/>
                  </w14:solidFill>
                </w14:textFill>
              </w:rPr>
              <w:t>；按照资产管理政策要求，</w:t>
            </w:r>
            <w:r>
              <w:rPr>
                <w:rFonts w:ascii="Times New Roman" w:hAnsi="Times New Roman" w:eastAsia="仿宋_GB2312" w:cs="Times New Roman"/>
                <w:color w:val="000000" w:themeColor="text1"/>
                <w:kern w:val="0"/>
                <w:sz w:val="24"/>
                <w14:textFill>
                  <w14:solidFill>
                    <w14:schemeClr w14:val="tx1"/>
                  </w14:solidFill>
                </w14:textFill>
              </w:rPr>
              <w:t>每</w:t>
            </w:r>
            <w:r>
              <w:rPr>
                <w:rFonts w:hint="eastAsia" w:ascii="Times New Roman" w:hAnsi="Times New Roman" w:eastAsia="仿宋_GB2312" w:cs="Times New Roman"/>
                <w:color w:val="000000" w:themeColor="text1"/>
                <w:kern w:val="0"/>
                <w:sz w:val="24"/>
                <w14:textFill>
                  <w14:solidFill>
                    <w14:schemeClr w14:val="tx1"/>
                  </w14:solidFill>
                </w14:textFill>
              </w:rPr>
              <w:t>年开展1</w:t>
            </w:r>
            <w:r>
              <w:rPr>
                <w:rFonts w:ascii="Times New Roman" w:hAnsi="Times New Roman" w:eastAsia="仿宋_GB2312" w:cs="Times New Roman"/>
                <w:color w:val="000000" w:themeColor="text1"/>
                <w:kern w:val="0"/>
                <w:sz w:val="24"/>
                <w14:textFill>
                  <w14:solidFill>
                    <w14:schemeClr w14:val="tx1"/>
                  </w14:solidFill>
                </w14:textFill>
              </w:rPr>
              <w:t>次全面盘点</w:t>
            </w:r>
            <w:r>
              <w:rPr>
                <w:rFonts w:hint="eastAsia" w:ascii="Times New Roman" w:hAnsi="Times New Roman" w:eastAsia="仿宋_GB2312" w:cs="Times New Roman"/>
                <w:color w:val="000000" w:themeColor="text1"/>
                <w:kern w:val="0"/>
                <w:sz w:val="24"/>
                <w14:textFill>
                  <w14:solidFill>
                    <w14:schemeClr w14:val="tx1"/>
                  </w14:solidFill>
                </w14:textFill>
              </w:rPr>
              <w:t>。以万笔资产规模单位为例，完整盘点周期至少3个月，投入工时9个人月以上，需要多部门协同配合。</w:t>
            </w:r>
          </w:p>
          <w:p w14:paraId="634E560D">
            <w:pPr>
              <w:spacing w:line="320" w:lineRule="exact"/>
              <w:rPr>
                <w:rFonts w:ascii="Cambria Math" w:hAnsi="Cambria Math" w:eastAsia="仿宋_GB2312" w:cs="Cambria Math"/>
                <w:b/>
                <w:bCs/>
                <w:color w:val="000000" w:themeColor="text1"/>
                <w:kern w:val="0"/>
                <w:sz w:val="24"/>
                <w14:textFill>
                  <w14:solidFill>
                    <w14:schemeClr w14:val="tx1"/>
                  </w14:solidFill>
                </w14:textFill>
              </w:rPr>
            </w:pPr>
            <w:r>
              <w:rPr>
                <w:rFonts w:ascii="Cambria Math" w:hAnsi="Cambria Math" w:eastAsia="仿宋_GB2312" w:cs="Cambria Math"/>
                <w:b/>
                <w:bCs/>
                <w:color w:val="000000" w:themeColor="text1"/>
                <w:kern w:val="0"/>
                <w:sz w:val="24"/>
                <w14:textFill>
                  <w14:solidFill>
                    <w14:schemeClr w14:val="tx1"/>
                  </w14:solidFill>
                </w14:textFill>
              </w:rPr>
              <w:t>③现存核心痛点</w:t>
            </w:r>
          </w:p>
          <w:p w14:paraId="1FBF09AA">
            <w:pPr>
              <w:spacing w:line="320" w:lineRule="exact"/>
              <w:ind w:firstLine="480" w:firstLineChars="200"/>
              <w:rPr>
                <w:rFonts w:ascii="Cambria Math" w:hAnsi="Cambria Math" w:eastAsia="仿宋_GB2312" w:cs="Cambria Math"/>
                <w:color w:val="000000" w:themeColor="text1"/>
                <w:kern w:val="0"/>
                <w:sz w:val="24"/>
                <w14:textFill>
                  <w14:solidFill>
                    <w14:schemeClr w14:val="tx1"/>
                  </w14:solidFill>
                </w14:textFill>
              </w:rPr>
            </w:pPr>
            <w:r>
              <w:rPr>
                <w:rFonts w:ascii="Cambria Math" w:hAnsi="Cambria Math" w:eastAsia="仿宋_GB2312" w:cs="Cambria Math"/>
                <w:color w:val="000000" w:themeColor="text1"/>
                <w:kern w:val="0"/>
                <w:sz w:val="24"/>
                <w14:textFill>
                  <w14:solidFill>
                    <w14:schemeClr w14:val="tx1"/>
                  </w14:solidFill>
                </w14:textFill>
              </w:rPr>
              <w:t>1</w:t>
            </w:r>
            <w:r>
              <w:rPr>
                <w:rFonts w:hint="eastAsia" w:ascii="Cambria Math" w:hAnsi="Cambria Math" w:eastAsia="仿宋_GB2312" w:cs="Cambria Math"/>
                <w:color w:val="000000" w:themeColor="text1"/>
                <w:kern w:val="0"/>
                <w:sz w:val="24"/>
                <w14:textFill>
                  <w14:solidFill>
                    <w14:schemeClr w14:val="tx1"/>
                  </w14:solidFill>
                </w14:textFill>
              </w:rPr>
              <w:t>．</w:t>
            </w:r>
            <w:r>
              <w:rPr>
                <w:rFonts w:ascii="Cambria Math" w:hAnsi="Cambria Math" w:eastAsia="仿宋_GB2312" w:cs="Cambria Math"/>
                <w:color w:val="000000" w:themeColor="text1"/>
                <w:kern w:val="0"/>
                <w:sz w:val="24"/>
                <w14:textFill>
                  <w14:solidFill>
                    <w14:schemeClr w14:val="tx1"/>
                  </w14:solidFill>
                </w14:textFill>
              </w:rPr>
              <w:t>效率偏低：以一所中等规模高校为例，数万条资产，人工盘点每次耗时9个人月以上，期间需协调各院系、科室配合，影响正常工作秩序；</w:t>
            </w:r>
          </w:p>
          <w:p w14:paraId="3194D00C">
            <w:pPr>
              <w:spacing w:line="320" w:lineRule="exact"/>
              <w:ind w:firstLine="480" w:firstLineChars="200"/>
              <w:rPr>
                <w:rFonts w:ascii="Cambria Math" w:hAnsi="Cambria Math" w:eastAsia="仿宋_GB2312" w:cs="Cambria Math"/>
                <w:color w:val="000000" w:themeColor="text1"/>
                <w:kern w:val="0"/>
                <w:sz w:val="24"/>
                <w14:textFill>
                  <w14:solidFill>
                    <w14:schemeClr w14:val="tx1"/>
                  </w14:solidFill>
                </w14:textFill>
              </w:rPr>
            </w:pPr>
            <w:r>
              <w:rPr>
                <w:rFonts w:ascii="Cambria Math" w:hAnsi="Cambria Math" w:eastAsia="仿宋_GB2312" w:cs="Cambria Math"/>
                <w:color w:val="000000" w:themeColor="text1"/>
                <w:kern w:val="0"/>
                <w:sz w:val="24"/>
                <w14:textFill>
                  <w14:solidFill>
                    <w14:schemeClr w14:val="tx1"/>
                  </w14:solidFill>
                </w14:textFill>
              </w:rPr>
              <w:t>2</w:t>
            </w:r>
            <w:r>
              <w:rPr>
                <w:rFonts w:hint="eastAsia" w:ascii="Cambria Math" w:hAnsi="Cambria Math" w:eastAsia="仿宋_GB2312" w:cs="Cambria Math"/>
                <w:color w:val="000000" w:themeColor="text1"/>
                <w:kern w:val="0"/>
                <w:sz w:val="24"/>
                <w14:textFill>
                  <w14:solidFill>
                    <w14:schemeClr w14:val="tx1"/>
                  </w14:solidFill>
                </w14:textFill>
              </w:rPr>
              <w:t>．</w:t>
            </w:r>
            <w:r>
              <w:rPr>
                <w:rFonts w:ascii="Cambria Math" w:hAnsi="Cambria Math" w:eastAsia="仿宋_GB2312" w:cs="Cambria Math"/>
                <w:color w:val="000000" w:themeColor="text1"/>
                <w:kern w:val="0"/>
                <w:sz w:val="24"/>
                <w14:textFill>
                  <w14:solidFill>
                    <w14:schemeClr w14:val="tx1"/>
                  </w14:solidFill>
                </w14:textFill>
              </w:rPr>
              <w:t>准确性难以保障：人工操作易出现漏盘、错盘、重复盘等现象，账实不符问题难以追溯；</w:t>
            </w:r>
          </w:p>
          <w:p w14:paraId="20AC5970">
            <w:pPr>
              <w:spacing w:line="320" w:lineRule="exact"/>
              <w:ind w:firstLine="480" w:firstLineChars="200"/>
              <w:rPr>
                <w:rFonts w:ascii="Cambria Math" w:hAnsi="Cambria Math" w:eastAsia="仿宋_GB2312" w:cs="Cambria Math"/>
                <w:color w:val="000000" w:themeColor="text1"/>
                <w:kern w:val="0"/>
                <w:sz w:val="24"/>
                <w14:textFill>
                  <w14:solidFill>
                    <w14:schemeClr w14:val="tx1"/>
                  </w14:solidFill>
                </w14:textFill>
              </w:rPr>
            </w:pPr>
            <w:r>
              <w:rPr>
                <w:rFonts w:ascii="Cambria Math" w:hAnsi="Cambria Math" w:eastAsia="仿宋_GB2312" w:cs="Cambria Math"/>
                <w:color w:val="000000" w:themeColor="text1"/>
                <w:kern w:val="0"/>
                <w:sz w:val="24"/>
                <w14:textFill>
                  <w14:solidFill>
                    <w14:schemeClr w14:val="tx1"/>
                  </w14:solidFill>
                </w14:textFill>
              </w:rPr>
              <w:t>3</w:t>
            </w:r>
            <w:r>
              <w:rPr>
                <w:rFonts w:hint="eastAsia" w:ascii="Cambria Math" w:hAnsi="Cambria Math" w:eastAsia="仿宋_GB2312" w:cs="Cambria Math"/>
                <w:color w:val="000000" w:themeColor="text1"/>
                <w:kern w:val="0"/>
                <w:sz w:val="24"/>
                <w14:textFill>
                  <w14:solidFill>
                    <w14:schemeClr w14:val="tx1"/>
                  </w14:solidFill>
                </w14:textFill>
              </w:rPr>
              <w:t>．</w:t>
            </w:r>
            <w:r>
              <w:rPr>
                <w:rFonts w:ascii="Cambria Math" w:hAnsi="Cambria Math" w:eastAsia="仿宋_GB2312" w:cs="Cambria Math"/>
                <w:color w:val="000000" w:themeColor="text1"/>
                <w:kern w:val="0"/>
                <w:sz w:val="24"/>
                <w14:textFill>
                  <w14:solidFill>
                    <w14:schemeClr w14:val="tx1"/>
                  </w14:solidFill>
                </w14:textFill>
              </w:rPr>
              <w:t>数据时效性差：盘点采集数据依靠人工二次录入系统，从盘点启动到数据更新周期长达三个月以上，资产台账更新滞后，无法实时掌握资产状态，盘点周期结束后，更加没有数据</w:t>
            </w:r>
            <w:r>
              <w:rPr>
                <w:rFonts w:hint="eastAsia" w:ascii="Cambria Math" w:hAnsi="Cambria Math" w:eastAsia="仿宋_GB2312" w:cs="Cambria Math"/>
                <w:color w:val="000000" w:themeColor="text1"/>
                <w:kern w:val="0"/>
                <w:sz w:val="24"/>
                <w14:textFill>
                  <w14:solidFill>
                    <w14:schemeClr w14:val="tx1"/>
                  </w14:solidFill>
                </w14:textFill>
              </w:rPr>
              <w:t>及时</w:t>
            </w:r>
            <w:r>
              <w:rPr>
                <w:rFonts w:ascii="Cambria Math" w:hAnsi="Cambria Math" w:eastAsia="仿宋_GB2312" w:cs="Cambria Math"/>
                <w:color w:val="000000" w:themeColor="text1"/>
                <w:kern w:val="0"/>
                <w:sz w:val="24"/>
                <w14:textFill>
                  <w14:solidFill>
                    <w14:schemeClr w14:val="tx1"/>
                  </w14:solidFill>
                </w14:textFill>
              </w:rPr>
              <w:t>更新；</w:t>
            </w:r>
          </w:p>
          <w:p w14:paraId="357589BE">
            <w:pPr>
              <w:spacing w:line="320" w:lineRule="exact"/>
              <w:ind w:firstLine="480" w:firstLineChars="200"/>
              <w:rPr>
                <w:rFonts w:ascii="Cambria Math" w:hAnsi="Cambria Math" w:eastAsia="仿宋_GB2312" w:cs="Cambria Math"/>
                <w:color w:val="000000" w:themeColor="text1"/>
                <w:kern w:val="0"/>
                <w:sz w:val="24"/>
                <w14:textFill>
                  <w14:solidFill>
                    <w14:schemeClr w14:val="tx1"/>
                  </w14:solidFill>
                </w14:textFill>
              </w:rPr>
            </w:pPr>
            <w:r>
              <w:rPr>
                <w:rFonts w:ascii="Cambria Math" w:hAnsi="Cambria Math" w:eastAsia="仿宋_GB2312" w:cs="Cambria Math"/>
                <w:color w:val="000000" w:themeColor="text1"/>
                <w:kern w:val="0"/>
                <w:sz w:val="24"/>
                <w14:textFill>
                  <w14:solidFill>
                    <w14:schemeClr w14:val="tx1"/>
                  </w14:solidFill>
                </w14:textFill>
              </w:rPr>
              <w:t>4</w:t>
            </w:r>
            <w:r>
              <w:rPr>
                <w:rFonts w:hint="eastAsia" w:ascii="Cambria Math" w:hAnsi="Cambria Math" w:eastAsia="仿宋_GB2312" w:cs="Cambria Math"/>
                <w:color w:val="000000" w:themeColor="text1"/>
                <w:kern w:val="0"/>
                <w:sz w:val="24"/>
                <w14:textFill>
                  <w14:solidFill>
                    <w14:schemeClr w14:val="tx1"/>
                  </w14:solidFill>
                </w14:textFill>
              </w:rPr>
              <w:t>．缺乏可视化证据</w:t>
            </w:r>
            <w:r>
              <w:rPr>
                <w:rFonts w:ascii="Cambria Math" w:hAnsi="Cambria Math" w:eastAsia="仿宋_GB2312" w:cs="Cambria Math"/>
                <w:color w:val="000000" w:themeColor="text1"/>
                <w:kern w:val="0"/>
                <w:sz w:val="24"/>
                <w14:textFill>
                  <w14:solidFill>
                    <w14:schemeClr w14:val="tx1"/>
                  </w14:solidFill>
                </w14:textFill>
              </w:rPr>
              <w:t>：传统盘点仅有文字台账，无法提供资产实物的影像证据，资产损坏、位置变动、流失等情况难以追溯；</w:t>
            </w:r>
          </w:p>
          <w:p w14:paraId="0CEB5CBD">
            <w:pPr>
              <w:spacing w:line="320" w:lineRule="exact"/>
              <w:ind w:firstLine="480" w:firstLineChars="200"/>
              <w:rPr>
                <w:rFonts w:ascii="Cambria Math" w:hAnsi="Cambria Math" w:eastAsia="仿宋_GB2312" w:cs="Cambria Math"/>
                <w:color w:val="000000" w:themeColor="text1"/>
                <w:kern w:val="0"/>
                <w:sz w:val="24"/>
                <w14:textFill>
                  <w14:solidFill>
                    <w14:schemeClr w14:val="tx1"/>
                  </w14:solidFill>
                </w14:textFill>
              </w:rPr>
            </w:pPr>
            <w:r>
              <w:rPr>
                <w:rFonts w:ascii="Cambria Math" w:hAnsi="Cambria Math" w:eastAsia="仿宋_GB2312" w:cs="Cambria Math"/>
                <w:color w:val="000000" w:themeColor="text1"/>
                <w:kern w:val="0"/>
                <w:sz w:val="24"/>
                <w14:textFill>
                  <w14:solidFill>
                    <w14:schemeClr w14:val="tx1"/>
                  </w14:solidFill>
                </w14:textFill>
              </w:rPr>
              <w:t>5</w:t>
            </w:r>
            <w:r>
              <w:rPr>
                <w:rFonts w:hint="eastAsia" w:ascii="Cambria Math" w:hAnsi="Cambria Math" w:eastAsia="仿宋_GB2312" w:cs="Cambria Math"/>
                <w:color w:val="000000" w:themeColor="text1"/>
                <w:kern w:val="0"/>
                <w:sz w:val="24"/>
                <w14:textFill>
                  <w14:solidFill>
                    <w14:schemeClr w14:val="tx1"/>
                  </w14:solidFill>
                </w14:textFill>
              </w:rPr>
              <w:t>．高值资产管理难</w:t>
            </w:r>
            <w:r>
              <w:rPr>
                <w:rFonts w:ascii="Cambria Math" w:hAnsi="Cambria Math" w:eastAsia="仿宋_GB2312" w:cs="Cambria Math"/>
                <w:color w:val="000000" w:themeColor="text1"/>
                <w:kern w:val="0"/>
                <w:sz w:val="24"/>
                <w14:textFill>
                  <w14:solidFill>
                    <w14:schemeClr w14:val="tx1"/>
                  </w14:solidFill>
                </w14:textFill>
              </w:rPr>
              <w:t>：教学科研设备价值高、分布广，缺乏常态化巡检手段，存在资产闲置、流失风险。</w:t>
            </w:r>
          </w:p>
          <w:p w14:paraId="3F5734BB">
            <w:pPr>
              <w:spacing w:line="320" w:lineRule="exact"/>
              <w:rPr>
                <w:rFonts w:ascii="Times New Roman" w:hAnsi="Times New Roman" w:eastAsia="仿宋_GB2312" w:cs="Times New Roman"/>
                <w:b/>
                <w:bCs/>
                <w:color w:val="000000" w:themeColor="text1"/>
                <w:kern w:val="0"/>
                <w:sz w:val="24"/>
                <w14:textFill>
                  <w14:solidFill>
                    <w14:schemeClr w14:val="tx1"/>
                  </w14:solidFill>
                </w14:textFill>
              </w:rPr>
            </w:pPr>
            <w:r>
              <w:rPr>
                <w:rFonts w:ascii="Cambria Math" w:hAnsi="Cambria Math" w:eastAsia="仿宋_GB2312" w:cs="Cambria Math"/>
                <w:b/>
                <w:bCs/>
                <w:color w:val="000000" w:themeColor="text1"/>
                <w:kern w:val="0"/>
                <w:sz w:val="24"/>
                <w14:textFill>
                  <w14:solidFill>
                    <w14:schemeClr w14:val="tx1"/>
                  </w14:solidFill>
                </w14:textFill>
              </w:rPr>
              <w:t>④</w:t>
            </w:r>
            <w:r>
              <w:rPr>
                <w:rFonts w:ascii="Times New Roman" w:hAnsi="Times New Roman" w:eastAsia="仿宋_GB2312" w:cs="Times New Roman"/>
                <w:b/>
                <w:bCs/>
                <w:color w:val="000000" w:themeColor="text1"/>
                <w:kern w:val="0"/>
                <w:sz w:val="24"/>
                <w14:textFill>
                  <w14:solidFill>
                    <w14:schemeClr w14:val="tx1"/>
                  </w14:solidFill>
                </w14:textFill>
              </w:rPr>
              <w:t>引入机器人的必要性</w:t>
            </w:r>
          </w:p>
          <w:p w14:paraId="7A2FF290">
            <w:pPr>
              <w:spacing w:line="320" w:lineRule="exact"/>
              <w:ind w:firstLine="480" w:firstLineChars="200"/>
              <w:rPr>
                <w:rFonts w:ascii="Times New Roman" w:hAnsi="Times New Roman" w:eastAsia="仿宋_GB2312" w:cs="Times New Roman"/>
                <w:color w:val="000000" w:themeColor="text1"/>
                <w:kern w:val="0"/>
                <w:sz w:val="24"/>
                <w14:textFill>
                  <w14:solidFill>
                    <w14:schemeClr w14:val="tx1"/>
                  </w14:solidFill>
                </w14:textFill>
              </w:rPr>
            </w:pPr>
            <w:r>
              <w:rPr>
                <w:rFonts w:ascii="Cambria Math" w:hAnsi="Cambria Math" w:eastAsia="仿宋_GB2312" w:cs="Cambria Math"/>
                <w:color w:val="000000" w:themeColor="text1"/>
                <w:kern w:val="0"/>
                <w:sz w:val="24"/>
                <w14:textFill>
                  <w14:solidFill>
                    <w14:schemeClr w14:val="tx1"/>
                  </w14:solidFill>
                </w14:textFill>
              </w:rPr>
              <w:t>研发落地适配场景的智能盘点机器人，替代大量重复性人工盘点，实现按天</w:t>
            </w:r>
            <w:r>
              <w:rPr>
                <w:rFonts w:hint="eastAsia" w:ascii="Cambria Math" w:hAnsi="Cambria Math" w:eastAsia="仿宋_GB2312" w:cs="Cambria Math"/>
                <w:color w:val="000000" w:themeColor="text1"/>
                <w:kern w:val="0"/>
                <w:sz w:val="24"/>
                <w14:textFill>
                  <w14:solidFill>
                    <w14:schemeClr w14:val="tx1"/>
                  </w14:solidFill>
                </w14:textFill>
              </w:rPr>
              <w:t>、</w:t>
            </w:r>
            <w:r>
              <w:rPr>
                <w:rFonts w:ascii="Cambria Math" w:hAnsi="Cambria Math" w:eastAsia="仿宋_GB2312" w:cs="Cambria Math"/>
                <w:color w:val="000000" w:themeColor="text1"/>
                <w:kern w:val="0"/>
                <w:sz w:val="24"/>
                <w14:textFill>
                  <w14:solidFill>
                    <w14:schemeClr w14:val="tx1"/>
                  </w14:solidFill>
                </w14:textFill>
              </w:rPr>
              <w:t>按周</w:t>
            </w:r>
            <w:r>
              <w:rPr>
                <w:rFonts w:hint="eastAsia" w:ascii="Cambria Math" w:hAnsi="Cambria Math" w:eastAsia="仿宋_GB2312" w:cs="Cambria Math"/>
                <w:color w:val="000000" w:themeColor="text1"/>
                <w:kern w:val="0"/>
                <w:sz w:val="24"/>
                <w14:textFill>
                  <w14:solidFill>
                    <w14:schemeClr w14:val="tx1"/>
                  </w14:solidFill>
                </w14:textFill>
              </w:rPr>
              <w:t>、</w:t>
            </w:r>
            <w:r>
              <w:rPr>
                <w:rFonts w:ascii="Cambria Math" w:hAnsi="Cambria Math" w:eastAsia="仿宋_GB2312" w:cs="Cambria Math"/>
                <w:color w:val="000000" w:themeColor="text1"/>
                <w:kern w:val="0"/>
                <w:sz w:val="24"/>
                <w14:textFill>
                  <w14:solidFill>
                    <w14:schemeClr w14:val="tx1"/>
                  </w14:solidFill>
                </w14:textFill>
              </w:rPr>
              <w:t>按月常态化自主巡检盘点，补齐资产实物影像证据链；打通机器人与资产管理业务系统数据通道，实现资产账实动态比对，支撑行政事业单位资产全生命周期精细化治理，同时打造龙岗本地公共服务机器人创新示范场景。</w:t>
            </w:r>
          </w:p>
        </w:tc>
      </w:tr>
      <w:tr w14:paraId="59095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01" w:hRule="atLeast"/>
          <w:jc w:val="center"/>
        </w:trPr>
        <w:tc>
          <w:tcPr>
            <w:tcW w:w="1271" w:type="dxa"/>
            <w:tcBorders>
              <w:top w:val="single" w:color="auto" w:sz="4" w:space="0"/>
              <w:left w:val="single" w:color="auto" w:sz="4" w:space="0"/>
              <w:bottom w:val="single" w:color="auto" w:sz="4" w:space="0"/>
              <w:right w:val="single" w:color="auto" w:sz="4" w:space="0"/>
            </w:tcBorders>
            <w:vAlign w:val="center"/>
          </w:tcPr>
          <w:p w14:paraId="78C7046D">
            <w:pPr>
              <w:snapToGrid w:val="0"/>
              <w:spacing w:line="320" w:lineRule="exact"/>
              <w:jc w:val="center"/>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14:textFill>
                  <w14:solidFill>
                    <w14:schemeClr w14:val="tx1"/>
                  </w14:solidFill>
                </w14:textFill>
              </w:rPr>
              <w:t>具体需求</w:t>
            </w:r>
          </w:p>
        </w:tc>
        <w:tc>
          <w:tcPr>
            <w:tcW w:w="7999" w:type="dxa"/>
            <w:gridSpan w:val="3"/>
            <w:tcBorders>
              <w:top w:val="single" w:color="auto" w:sz="4" w:space="0"/>
              <w:left w:val="single" w:color="auto" w:sz="4" w:space="0"/>
              <w:bottom w:val="single" w:color="auto" w:sz="4" w:space="0"/>
              <w:right w:val="single" w:color="auto" w:sz="4" w:space="0"/>
            </w:tcBorders>
          </w:tcPr>
          <w:p w14:paraId="5B8E0C66">
            <w:pPr>
              <w:spacing w:line="320" w:lineRule="exact"/>
              <w:rPr>
                <w:rFonts w:ascii="Times New Roman" w:hAnsi="Times New Roman" w:eastAsia="仿宋_GB2312" w:cs="Times New Roman"/>
                <w:b/>
                <w:bCs/>
                <w:color w:val="000000" w:themeColor="text1"/>
                <w:kern w:val="0"/>
                <w:sz w:val="24"/>
                <w14:textFill>
                  <w14:solidFill>
                    <w14:schemeClr w14:val="tx1"/>
                  </w14:solidFill>
                </w14:textFill>
              </w:rPr>
            </w:pPr>
            <w:r>
              <w:rPr>
                <w:rFonts w:ascii="Times New Roman" w:hAnsi="Times New Roman" w:eastAsia="仿宋_GB2312" w:cs="Times New Roman"/>
                <w:b/>
                <w:bCs/>
                <w:color w:val="000000" w:themeColor="text1"/>
                <w:kern w:val="0"/>
                <w:sz w:val="24"/>
                <w14:textFill>
                  <w14:solidFill>
                    <w14:schemeClr w14:val="tx1"/>
                  </w14:solidFill>
                </w14:textFill>
              </w:rPr>
              <w:t>①机器人配置与类型</w:t>
            </w:r>
          </w:p>
          <w:p w14:paraId="61B65DEE">
            <w:pPr>
              <w:spacing w:line="320" w:lineRule="exact"/>
              <w:ind w:firstLine="480" w:firstLineChars="200"/>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面向普通规模高校</w:t>
            </w:r>
            <w:r>
              <w:rPr>
                <w:rFonts w:hint="eastAsia" w:ascii="Times New Roman" w:hAnsi="Times New Roman" w:eastAsia="仿宋_GB2312" w:cs="Times New Roman"/>
                <w:color w:val="000000" w:themeColor="text1"/>
                <w:kern w:val="0"/>
                <w:sz w:val="24"/>
                <w14:textFill>
                  <w14:solidFill>
                    <w14:schemeClr w14:val="tx1"/>
                  </w14:solidFill>
                </w14:textFill>
              </w:rPr>
              <w:t>、</w:t>
            </w:r>
            <w:r>
              <w:rPr>
                <w:rFonts w:ascii="Times New Roman" w:hAnsi="Times New Roman" w:eastAsia="仿宋_GB2312" w:cs="Times New Roman"/>
                <w:color w:val="000000" w:themeColor="text1"/>
                <w:kern w:val="0"/>
                <w:sz w:val="24"/>
                <w14:textFill>
                  <w14:solidFill>
                    <w14:schemeClr w14:val="tx1"/>
                  </w14:solidFill>
                </w14:textFill>
              </w:rPr>
              <w:t>大型</w:t>
            </w:r>
            <w:r>
              <w:rPr>
                <w:rFonts w:hint="eastAsia" w:ascii="Times New Roman" w:hAnsi="Times New Roman" w:eastAsia="仿宋_GB2312" w:cs="Times New Roman"/>
                <w:color w:val="000000" w:themeColor="text1"/>
                <w:kern w:val="0"/>
                <w:sz w:val="24"/>
                <w14:textFill>
                  <w14:solidFill>
                    <w14:schemeClr w14:val="tx1"/>
                  </w14:solidFill>
                </w14:textFill>
              </w:rPr>
              <w:t>行政</w:t>
            </w:r>
            <w:r>
              <w:rPr>
                <w:rFonts w:ascii="Times New Roman" w:hAnsi="Times New Roman" w:eastAsia="仿宋_GB2312" w:cs="Times New Roman"/>
                <w:color w:val="000000" w:themeColor="text1"/>
                <w:kern w:val="0"/>
                <w:sz w:val="24"/>
                <w14:textFill>
                  <w14:solidFill>
                    <w14:schemeClr w14:val="tx1"/>
                  </w14:solidFill>
                </w14:textFill>
              </w:rPr>
              <w:t>事业单位场景，单试点场景部署不少于 10 台智能盘点机器人，每院系</w:t>
            </w:r>
            <w:r>
              <w:rPr>
                <w:rFonts w:hint="eastAsia" w:ascii="Times New Roman" w:hAnsi="Times New Roman" w:eastAsia="仿宋_GB2312" w:cs="Times New Roman"/>
                <w:color w:val="000000" w:themeColor="text1"/>
                <w:kern w:val="0"/>
                <w:sz w:val="24"/>
                <w14:textFill>
                  <w14:solidFill>
                    <w14:schemeClr w14:val="tx1"/>
                  </w14:solidFill>
                </w14:textFill>
              </w:rPr>
              <w:t>、</w:t>
            </w:r>
            <w:r>
              <w:rPr>
                <w:rFonts w:ascii="Times New Roman" w:hAnsi="Times New Roman" w:eastAsia="仿宋_GB2312" w:cs="Times New Roman"/>
                <w:color w:val="000000" w:themeColor="text1"/>
                <w:kern w:val="0"/>
                <w:sz w:val="24"/>
                <w14:textFill>
                  <w14:solidFill>
                    <w14:schemeClr w14:val="tx1"/>
                  </w14:solidFill>
                </w14:textFill>
              </w:rPr>
              <w:t>片区配置至少 1 台；机器人需要具备室内多楼层自主导航、RFID 标签识别、视觉图像采集、人机交互能力，适配办公室、教室、实验室、库房等复杂室内环境。</w:t>
            </w:r>
          </w:p>
          <w:p w14:paraId="123A3651">
            <w:pPr>
              <w:spacing w:line="320" w:lineRule="exact"/>
              <w:rPr>
                <w:rFonts w:ascii="Times New Roman" w:hAnsi="Times New Roman" w:eastAsia="仿宋_GB2312" w:cs="Times New Roman"/>
                <w:b/>
                <w:bCs/>
                <w:color w:val="000000" w:themeColor="text1"/>
                <w:kern w:val="0"/>
                <w:sz w:val="24"/>
                <w14:textFill>
                  <w14:solidFill>
                    <w14:schemeClr w14:val="tx1"/>
                  </w14:solidFill>
                </w14:textFill>
              </w:rPr>
            </w:pPr>
            <w:r>
              <w:rPr>
                <w:rFonts w:ascii="Times New Roman" w:hAnsi="Times New Roman" w:eastAsia="仿宋_GB2312" w:cs="Times New Roman"/>
                <w:b/>
                <w:bCs/>
                <w:color w:val="000000" w:themeColor="text1"/>
                <w:kern w:val="0"/>
                <w:sz w:val="24"/>
                <w14:textFill>
                  <w14:solidFill>
                    <w14:schemeClr w14:val="tx1"/>
                  </w14:solidFill>
                </w14:textFill>
              </w:rPr>
              <w:t>②需要实现核心业务效果</w:t>
            </w:r>
          </w:p>
          <w:p w14:paraId="6B0D96C5">
            <w:pPr>
              <w:spacing w:line="320" w:lineRule="exact"/>
              <w:ind w:firstLine="480" w:firstLineChars="200"/>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 xml:space="preserve">1.自动巡检盘点：支持自定义盘点任务、预设巡检路线，机器人自主完成跨房间、跨楼层点位巡检盘点； </w:t>
            </w:r>
          </w:p>
          <w:p w14:paraId="2679F158">
            <w:pPr>
              <w:spacing w:line="320" w:lineRule="exact"/>
              <w:ind w:firstLine="480" w:firstLineChars="200"/>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 xml:space="preserve">2.RFID 批量识别：区域内批量读取资产 RFID 标签，快速完成片区资产扫描识别； </w:t>
            </w:r>
          </w:p>
          <w:p w14:paraId="2FA9C9D0">
            <w:pPr>
              <w:spacing w:line="320" w:lineRule="exact"/>
              <w:ind w:firstLine="480" w:firstLineChars="200"/>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3.资产现场取证：自动对资产实物拍照，记录设备外观、破损</w:t>
            </w:r>
            <w:r>
              <w:rPr>
                <w:rFonts w:hint="eastAsia" w:ascii="Times New Roman" w:hAnsi="Times New Roman" w:eastAsia="仿宋_GB2312" w:cs="Times New Roman"/>
                <w:color w:val="000000" w:themeColor="text1"/>
                <w:kern w:val="0"/>
                <w:sz w:val="24"/>
                <w14:textFill>
                  <w14:solidFill>
                    <w14:schemeClr w14:val="tx1"/>
                  </w14:solidFill>
                </w14:textFill>
              </w:rPr>
              <w:t>等</w:t>
            </w:r>
            <w:r>
              <w:rPr>
                <w:rFonts w:ascii="Times New Roman" w:hAnsi="Times New Roman" w:eastAsia="仿宋_GB2312" w:cs="Times New Roman"/>
                <w:color w:val="000000" w:themeColor="text1"/>
                <w:kern w:val="0"/>
                <w:sz w:val="24"/>
                <w14:textFill>
                  <w14:solidFill>
                    <w14:schemeClr w14:val="tx1"/>
                  </w14:solidFill>
                </w14:textFill>
              </w:rPr>
              <w:t xml:space="preserve">状态，留存影像证据，形成资产实物档案； </w:t>
            </w:r>
          </w:p>
          <w:p w14:paraId="5121499B">
            <w:pPr>
              <w:spacing w:line="320" w:lineRule="exact"/>
              <w:ind w:firstLine="480" w:firstLineChars="200"/>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 xml:space="preserve">4.台账自动比对：机器人采集资产信息，通过标准化接口同步至资产管理系统，自动完成实物数据与业务台账比对，自动输出盘盈、盘亏、账实不符盘点报告； </w:t>
            </w:r>
          </w:p>
          <w:p w14:paraId="501AE0C0">
            <w:pPr>
              <w:spacing w:line="320" w:lineRule="exact"/>
              <w:ind w:firstLine="480" w:firstLineChars="200"/>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 xml:space="preserve">5.环境空间记忆：构建室内空间地图，建立房间、点位与资产存放位置映射关系，支持地图更新、点位增删； </w:t>
            </w:r>
          </w:p>
          <w:p w14:paraId="04987EE4">
            <w:pPr>
              <w:spacing w:line="320" w:lineRule="exact"/>
              <w:ind w:firstLine="480" w:firstLineChars="200"/>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 xml:space="preserve">6.智能交互问答：支持管理人员现场人机交互，查询资产台账、资产管理制度、盘点任务进度； </w:t>
            </w:r>
          </w:p>
          <w:p w14:paraId="20854A0B">
            <w:pPr>
              <w:spacing w:line="320" w:lineRule="exact"/>
              <w:ind w:firstLine="480" w:firstLineChars="200"/>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7.数据安全要求：本地边缘侧数据处理，资产敏感数据不出本地，满足行政事业单位资产信息保密管理要求</w:t>
            </w:r>
            <w:r>
              <w:rPr>
                <w:rFonts w:hint="eastAsia" w:ascii="Times New Roman" w:hAnsi="Times New Roman" w:eastAsia="仿宋_GB2312" w:cs="Times New Roman"/>
                <w:color w:val="000000" w:themeColor="text1"/>
                <w:kern w:val="0"/>
                <w:sz w:val="24"/>
                <w14:textFill>
                  <w14:solidFill>
                    <w14:schemeClr w14:val="tx1"/>
                  </w14:solidFill>
                </w14:textFill>
              </w:rPr>
              <w:t>。</w:t>
            </w:r>
          </w:p>
          <w:p w14:paraId="525547B3">
            <w:pPr>
              <w:spacing w:line="320" w:lineRule="exact"/>
              <w:ind w:firstLine="480" w:firstLineChars="200"/>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8．与市财政资产管理系统打通数据：与深圳市财政局预算一体化系统资产管理子系统数据打通，实现资产台账数据下载和盘点数据上传更新。</w:t>
            </w:r>
          </w:p>
          <w:p w14:paraId="20E32056">
            <w:pPr>
              <w:spacing w:line="320" w:lineRule="exact"/>
              <w:rPr>
                <w:rFonts w:ascii="Times New Roman" w:hAnsi="Times New Roman" w:eastAsia="仿宋_GB2312" w:cs="Times New Roman"/>
                <w:b/>
                <w:bCs/>
                <w:color w:val="000000" w:themeColor="text1"/>
                <w:kern w:val="0"/>
                <w:sz w:val="24"/>
                <w14:textFill>
                  <w14:solidFill>
                    <w14:schemeClr w14:val="tx1"/>
                  </w14:solidFill>
                </w14:textFill>
              </w:rPr>
            </w:pPr>
            <w:r>
              <w:rPr>
                <w:rFonts w:ascii="Times New Roman" w:hAnsi="Times New Roman" w:eastAsia="仿宋_GB2312" w:cs="Times New Roman"/>
                <w:b/>
                <w:bCs/>
                <w:color w:val="000000" w:themeColor="text1"/>
                <w:kern w:val="0"/>
                <w:sz w:val="24"/>
                <w14:textFill>
                  <w14:solidFill>
                    <w14:schemeClr w14:val="tx1"/>
                  </w14:solidFill>
                </w14:textFill>
              </w:rPr>
              <w:t>③关键性能参数</w:t>
            </w:r>
          </w:p>
          <w:p w14:paraId="6337AC0D">
            <w:pPr>
              <w:spacing w:line="320" w:lineRule="exact"/>
              <w:ind w:firstLine="480" w:firstLineChars="200"/>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1</w:t>
            </w:r>
            <w:r>
              <w:rPr>
                <w:rFonts w:hint="eastAsia" w:ascii="Times New Roman" w:hAnsi="Times New Roman" w:eastAsia="仿宋_GB2312" w:cs="Times New Roman"/>
                <w:color w:val="000000" w:themeColor="text1"/>
                <w:kern w:val="0"/>
                <w:sz w:val="24"/>
                <w14:textFill>
                  <w14:solidFill>
                    <w14:schemeClr w14:val="tx1"/>
                  </w14:solidFill>
                </w14:textFill>
              </w:rPr>
              <w:t>．</w:t>
            </w:r>
            <w:r>
              <w:rPr>
                <w:rFonts w:ascii="Times New Roman" w:hAnsi="Times New Roman" w:eastAsia="仿宋_GB2312" w:cs="Times New Roman"/>
                <w:color w:val="000000" w:themeColor="text1"/>
                <w:kern w:val="0"/>
                <w:sz w:val="24"/>
                <w14:textFill>
                  <w14:solidFill>
                    <w14:schemeClr w14:val="tx1"/>
                  </w14:solidFill>
                </w14:textFill>
              </w:rPr>
              <w:t>自主导航定位精度：±</w:t>
            </w:r>
            <w:r>
              <w:rPr>
                <w:rFonts w:hint="eastAsia" w:ascii="Times New Roman" w:hAnsi="Times New Roman" w:eastAsia="仿宋_GB2312" w:cs="Times New Roman"/>
                <w:color w:val="000000" w:themeColor="text1"/>
                <w:kern w:val="0"/>
                <w:sz w:val="24"/>
                <w14:textFill>
                  <w14:solidFill>
                    <w14:schemeClr w14:val="tx1"/>
                  </w14:solidFill>
                </w14:textFill>
              </w:rPr>
              <w:t>1</w:t>
            </w:r>
            <w:r>
              <w:rPr>
                <w:rFonts w:ascii="Times New Roman" w:hAnsi="Times New Roman" w:eastAsia="仿宋_GB2312" w:cs="Times New Roman"/>
                <w:color w:val="000000" w:themeColor="text1"/>
                <w:kern w:val="0"/>
                <w:sz w:val="24"/>
                <w14:textFill>
                  <w14:solidFill>
                    <w14:schemeClr w14:val="tx1"/>
                  </w14:solidFill>
                </w14:textFill>
              </w:rPr>
              <w:t xml:space="preserve">0cm； </w:t>
            </w:r>
          </w:p>
          <w:p w14:paraId="2753BFEB">
            <w:pPr>
              <w:spacing w:line="320" w:lineRule="exact"/>
              <w:ind w:firstLine="480" w:firstLineChars="200"/>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2</w:t>
            </w:r>
            <w:r>
              <w:rPr>
                <w:rFonts w:hint="eastAsia" w:ascii="Times New Roman" w:hAnsi="Times New Roman" w:eastAsia="仿宋_GB2312" w:cs="Times New Roman"/>
                <w:color w:val="000000" w:themeColor="text1"/>
                <w:kern w:val="0"/>
                <w:sz w:val="24"/>
                <w14:textFill>
                  <w14:solidFill>
                    <w14:schemeClr w14:val="tx1"/>
                  </w14:solidFill>
                </w14:textFill>
              </w:rPr>
              <w:t>．</w:t>
            </w:r>
            <w:r>
              <w:rPr>
                <w:rFonts w:ascii="Times New Roman" w:hAnsi="Times New Roman" w:eastAsia="仿宋_GB2312" w:cs="Times New Roman"/>
                <w:color w:val="000000" w:themeColor="text1"/>
                <w:kern w:val="0"/>
                <w:sz w:val="24"/>
                <w14:textFill>
                  <w14:solidFill>
                    <w14:schemeClr w14:val="tx1"/>
                  </w14:solidFill>
                </w14:textFill>
              </w:rPr>
              <w:t>RFID 识别：读取距离≥3m，单标签读取成功率≥99%，标签群读速率≥200标签</w:t>
            </w:r>
            <w:r>
              <w:rPr>
                <w:rFonts w:hint="eastAsia" w:ascii="Times New Roman" w:hAnsi="Times New Roman" w:eastAsia="仿宋_GB2312" w:cs="Times New Roman"/>
                <w:color w:val="000000" w:themeColor="text1"/>
                <w:kern w:val="0"/>
                <w:sz w:val="24"/>
                <w14:textFill>
                  <w14:solidFill>
                    <w14:schemeClr w14:val="tx1"/>
                  </w14:solidFill>
                </w14:textFill>
              </w:rPr>
              <w:t>/</w:t>
            </w:r>
            <w:r>
              <w:rPr>
                <w:rFonts w:ascii="Times New Roman" w:hAnsi="Times New Roman" w:eastAsia="仿宋_GB2312" w:cs="Times New Roman"/>
                <w:color w:val="000000" w:themeColor="text1"/>
                <w:kern w:val="0"/>
                <w:sz w:val="24"/>
                <w14:textFill>
                  <w14:solidFill>
                    <w14:schemeClr w14:val="tx1"/>
                  </w14:solidFill>
                </w14:textFill>
              </w:rPr>
              <w:t xml:space="preserve">秒； </w:t>
            </w:r>
          </w:p>
          <w:p w14:paraId="7EBA02E1">
            <w:pPr>
              <w:spacing w:line="320" w:lineRule="exact"/>
              <w:ind w:firstLine="480" w:firstLineChars="200"/>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3</w:t>
            </w:r>
            <w:r>
              <w:rPr>
                <w:rFonts w:hint="eastAsia" w:ascii="Times New Roman" w:hAnsi="Times New Roman" w:eastAsia="仿宋_GB2312" w:cs="Times New Roman"/>
                <w:color w:val="000000" w:themeColor="text1"/>
                <w:kern w:val="0"/>
                <w:sz w:val="24"/>
                <w14:textFill>
                  <w14:solidFill>
                    <w14:schemeClr w14:val="tx1"/>
                  </w14:solidFill>
                </w14:textFill>
              </w:rPr>
              <w:t>．</w:t>
            </w:r>
            <w:r>
              <w:rPr>
                <w:rFonts w:ascii="Times New Roman" w:hAnsi="Times New Roman" w:eastAsia="仿宋_GB2312" w:cs="Times New Roman"/>
                <w:color w:val="000000" w:themeColor="text1"/>
                <w:kern w:val="0"/>
                <w:sz w:val="24"/>
                <w14:textFill>
                  <w14:solidFill>
                    <w14:schemeClr w14:val="tx1"/>
                  </w14:solidFill>
                </w14:textFill>
              </w:rPr>
              <w:t xml:space="preserve">续航能力：单次连续工作续航≥6h，支持自主回充； </w:t>
            </w:r>
          </w:p>
          <w:p w14:paraId="1ECE7023">
            <w:pPr>
              <w:spacing w:line="320" w:lineRule="exact"/>
              <w:ind w:firstLine="480" w:firstLineChars="200"/>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4</w:t>
            </w:r>
            <w:r>
              <w:rPr>
                <w:rFonts w:hint="eastAsia" w:ascii="Times New Roman" w:hAnsi="Times New Roman" w:eastAsia="仿宋_GB2312" w:cs="Times New Roman"/>
                <w:color w:val="000000" w:themeColor="text1"/>
                <w:kern w:val="0"/>
                <w:sz w:val="24"/>
                <w14:textFill>
                  <w14:solidFill>
                    <w14:schemeClr w14:val="tx1"/>
                  </w14:solidFill>
                </w14:textFill>
              </w:rPr>
              <w:t>．</w:t>
            </w:r>
            <w:r>
              <w:rPr>
                <w:rFonts w:ascii="Times New Roman" w:hAnsi="Times New Roman" w:eastAsia="仿宋_GB2312" w:cs="Times New Roman"/>
                <w:color w:val="000000" w:themeColor="text1"/>
                <w:kern w:val="0"/>
                <w:sz w:val="24"/>
                <w14:textFill>
                  <w14:solidFill>
                    <w14:schemeClr w14:val="tx1"/>
                  </w14:solidFill>
                </w14:textFill>
              </w:rPr>
              <w:t xml:space="preserve">环境通行：支持跨楼层自主乘梯，适配普通办公、教学室内复杂环境，可规避桌椅、人员动态障碍物； </w:t>
            </w:r>
          </w:p>
          <w:p w14:paraId="279F4EFE">
            <w:pPr>
              <w:spacing w:line="320" w:lineRule="exact"/>
              <w:ind w:firstLine="480" w:firstLineChars="200"/>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5</w:t>
            </w:r>
            <w:r>
              <w:rPr>
                <w:rFonts w:hint="eastAsia" w:ascii="Times New Roman" w:hAnsi="Times New Roman" w:eastAsia="仿宋_GB2312" w:cs="Times New Roman"/>
                <w:color w:val="000000" w:themeColor="text1"/>
                <w:kern w:val="0"/>
                <w:sz w:val="24"/>
                <w14:textFill>
                  <w14:solidFill>
                    <w14:schemeClr w14:val="tx1"/>
                  </w14:solidFill>
                </w14:textFill>
              </w:rPr>
              <w:t>．</w:t>
            </w:r>
            <w:r>
              <w:rPr>
                <w:rFonts w:ascii="Times New Roman" w:hAnsi="Times New Roman" w:eastAsia="仿宋_GB2312" w:cs="Times New Roman"/>
                <w:color w:val="000000" w:themeColor="text1"/>
                <w:kern w:val="0"/>
                <w:sz w:val="24"/>
                <w14:textFill>
                  <w14:solidFill>
                    <w14:schemeClr w14:val="tx1"/>
                  </w14:solidFill>
                </w14:textFill>
              </w:rPr>
              <w:t>接口：提供标准化 API 接口，支持与</w:t>
            </w:r>
            <w:r>
              <w:rPr>
                <w:rFonts w:hint="eastAsia" w:ascii="Times New Roman" w:hAnsi="Times New Roman" w:eastAsia="仿宋_GB2312" w:cs="Times New Roman"/>
                <w:color w:val="000000" w:themeColor="text1"/>
                <w:kern w:val="0"/>
                <w:sz w:val="24"/>
                <w14:textFill>
                  <w14:solidFill>
                    <w14:schemeClr w14:val="tx1"/>
                  </w14:solidFill>
                </w14:textFill>
              </w:rPr>
              <w:t>深圳市财政局预算一体化系统资产管理系统</w:t>
            </w:r>
            <w:r>
              <w:rPr>
                <w:rFonts w:ascii="Times New Roman" w:hAnsi="Times New Roman" w:eastAsia="仿宋_GB2312" w:cs="Times New Roman"/>
                <w:color w:val="000000" w:themeColor="text1"/>
                <w:kern w:val="0"/>
                <w:sz w:val="24"/>
                <w14:textFill>
                  <w14:solidFill>
                    <w14:schemeClr w14:val="tx1"/>
                  </w14:solidFill>
                </w14:textFill>
              </w:rPr>
              <w:t xml:space="preserve">对接； </w:t>
            </w:r>
          </w:p>
          <w:p w14:paraId="063276EF">
            <w:pPr>
              <w:spacing w:line="320" w:lineRule="exact"/>
              <w:ind w:firstLine="480" w:firstLineChars="200"/>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6</w:t>
            </w:r>
            <w:r>
              <w:rPr>
                <w:rFonts w:hint="eastAsia" w:ascii="Times New Roman" w:hAnsi="Times New Roman" w:eastAsia="仿宋_GB2312" w:cs="Times New Roman"/>
                <w:color w:val="000000" w:themeColor="text1"/>
                <w:kern w:val="0"/>
                <w:sz w:val="24"/>
                <w14:textFill>
                  <w14:solidFill>
                    <w14:schemeClr w14:val="tx1"/>
                  </w14:solidFill>
                </w14:textFill>
              </w:rPr>
              <w:t>．</w:t>
            </w:r>
            <w:r>
              <w:rPr>
                <w:rFonts w:ascii="Times New Roman" w:hAnsi="Times New Roman" w:eastAsia="仿宋_GB2312" w:cs="Times New Roman"/>
                <w:color w:val="000000" w:themeColor="text1"/>
                <w:kern w:val="0"/>
                <w:sz w:val="24"/>
                <w14:textFill>
                  <w14:solidFill>
                    <w14:schemeClr w14:val="tx1"/>
                  </w14:solidFill>
                </w14:textFill>
              </w:rPr>
              <w:t>安全：支持本地数据存储，可关闭公网数据上传，满足政务类资产数据保密要求。</w:t>
            </w:r>
          </w:p>
        </w:tc>
      </w:tr>
      <w:tr w14:paraId="6B6D9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61" w:hRule="atLeast"/>
          <w:jc w:val="center"/>
        </w:trPr>
        <w:tc>
          <w:tcPr>
            <w:tcW w:w="1271" w:type="dxa"/>
            <w:tcBorders>
              <w:top w:val="single" w:color="auto" w:sz="4" w:space="0"/>
              <w:left w:val="single" w:color="auto" w:sz="4" w:space="0"/>
              <w:bottom w:val="single" w:color="auto" w:sz="4" w:space="0"/>
              <w:right w:val="single" w:color="auto" w:sz="4" w:space="0"/>
            </w:tcBorders>
            <w:vAlign w:val="center"/>
          </w:tcPr>
          <w:p w14:paraId="56E4E2F7">
            <w:pPr>
              <w:spacing w:line="320" w:lineRule="exact"/>
              <w:jc w:val="center"/>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14:textFill>
                  <w14:solidFill>
                    <w14:schemeClr w14:val="tx1"/>
                  </w14:solidFill>
                </w14:textFill>
              </w:rPr>
              <w:t>拟投入资金（万元）</w:t>
            </w:r>
          </w:p>
        </w:tc>
        <w:tc>
          <w:tcPr>
            <w:tcW w:w="3243" w:type="dxa"/>
            <w:tcBorders>
              <w:top w:val="single" w:color="auto" w:sz="4" w:space="0"/>
              <w:left w:val="single" w:color="auto" w:sz="4" w:space="0"/>
              <w:bottom w:val="single" w:color="auto" w:sz="4" w:space="0"/>
              <w:right w:val="single" w:color="auto" w:sz="4" w:space="0"/>
            </w:tcBorders>
            <w:vAlign w:val="center"/>
          </w:tcPr>
          <w:p w14:paraId="25E3F998">
            <w:pPr>
              <w:spacing w:line="320" w:lineRule="exact"/>
              <w:jc w:val="center"/>
              <w:rPr>
                <w:rFonts w:hint="eastAsia" w:ascii="Times New Roman" w:hAnsi="Times New Roman" w:eastAsia="仿宋_GB2312" w:cs="Times New Roman"/>
                <w:color w:val="000000" w:themeColor="text1"/>
                <w:kern w:val="0"/>
                <w:sz w:val="24"/>
                <w14:textFill>
                  <w14:solidFill>
                    <w14:schemeClr w14:val="tx1"/>
                  </w14:solidFill>
                </w14:textFill>
              </w:rPr>
            </w:pPr>
            <w:r>
              <w:rPr>
                <w:rFonts w:hint="eastAsia" w:ascii="仿宋_GB2312" w:hAnsi="Times New Roman" w:eastAsia="仿宋_GB2312" w:cs="方正仿宋简体"/>
                <w:sz w:val="24"/>
                <w:szCs w:val="20"/>
              </w:rPr>
              <w:t>100</w:t>
            </w:r>
          </w:p>
        </w:tc>
        <w:tc>
          <w:tcPr>
            <w:tcW w:w="2377" w:type="dxa"/>
            <w:tcBorders>
              <w:top w:val="single" w:color="auto" w:sz="4" w:space="0"/>
              <w:left w:val="single" w:color="auto" w:sz="4" w:space="0"/>
              <w:bottom w:val="single" w:color="auto" w:sz="4" w:space="0"/>
              <w:right w:val="single" w:color="auto" w:sz="4" w:space="0"/>
            </w:tcBorders>
            <w:vAlign w:val="center"/>
          </w:tcPr>
          <w:p w14:paraId="35EB0A38">
            <w:pPr>
              <w:spacing w:line="320" w:lineRule="exact"/>
              <w:jc w:val="center"/>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14:textFill>
                  <w14:solidFill>
                    <w14:schemeClr w14:val="tx1"/>
                  </w14:solidFill>
                </w14:textFill>
              </w:rPr>
              <w:t>拟建设周期</w:t>
            </w:r>
          </w:p>
        </w:tc>
        <w:tc>
          <w:tcPr>
            <w:tcW w:w="2379" w:type="dxa"/>
            <w:tcBorders>
              <w:top w:val="single" w:color="auto" w:sz="4" w:space="0"/>
              <w:left w:val="single" w:color="auto" w:sz="4" w:space="0"/>
              <w:bottom w:val="single" w:color="auto" w:sz="4" w:space="0"/>
              <w:right w:val="single" w:color="auto" w:sz="4" w:space="0"/>
            </w:tcBorders>
            <w:vAlign w:val="center"/>
          </w:tcPr>
          <w:p w14:paraId="14F3E38F">
            <w:pPr>
              <w:spacing w:line="320" w:lineRule="exact"/>
              <w:jc w:val="center"/>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12个月</w:t>
            </w:r>
          </w:p>
        </w:tc>
      </w:tr>
      <w:tr w14:paraId="73738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01" w:hRule="atLeast"/>
          <w:jc w:val="center"/>
        </w:trPr>
        <w:tc>
          <w:tcPr>
            <w:tcW w:w="1271" w:type="dxa"/>
            <w:tcBorders>
              <w:top w:val="single" w:color="auto" w:sz="4" w:space="0"/>
              <w:left w:val="single" w:color="auto" w:sz="4" w:space="0"/>
              <w:bottom w:val="single" w:color="auto" w:sz="4" w:space="0"/>
              <w:right w:val="single" w:color="auto" w:sz="4" w:space="0"/>
            </w:tcBorders>
            <w:vAlign w:val="center"/>
          </w:tcPr>
          <w:p w14:paraId="6643E1DB">
            <w:pPr>
              <w:snapToGrid w:val="0"/>
              <w:spacing w:line="320" w:lineRule="exact"/>
              <w:jc w:val="center"/>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14:textFill>
                  <w14:solidFill>
                    <w14:schemeClr w14:val="tx1"/>
                  </w14:solidFill>
                </w14:textFill>
              </w:rPr>
              <w:t>应用现状</w:t>
            </w:r>
          </w:p>
        </w:tc>
        <w:tc>
          <w:tcPr>
            <w:tcW w:w="7999" w:type="dxa"/>
            <w:gridSpan w:val="3"/>
            <w:tcBorders>
              <w:top w:val="single" w:color="auto" w:sz="4" w:space="0"/>
              <w:left w:val="single" w:color="auto" w:sz="4" w:space="0"/>
              <w:bottom w:val="single" w:color="auto" w:sz="4" w:space="0"/>
              <w:right w:val="single" w:color="auto" w:sz="4" w:space="0"/>
            </w:tcBorders>
          </w:tcPr>
          <w:p w14:paraId="0A016EBD">
            <w:pPr>
              <w:spacing w:line="320" w:lineRule="exact"/>
              <w:rPr>
                <w:rFonts w:ascii="Cambria Math" w:hAnsi="Cambria Math" w:eastAsia="仿宋_GB2312" w:cs="Cambria Math"/>
                <w:b/>
                <w:bCs/>
                <w:color w:val="000000" w:themeColor="text1"/>
                <w:kern w:val="0"/>
                <w:sz w:val="24"/>
                <w14:textFill>
                  <w14:solidFill>
                    <w14:schemeClr w14:val="tx1"/>
                  </w14:solidFill>
                </w14:textFill>
              </w:rPr>
            </w:pPr>
            <w:r>
              <w:rPr>
                <w:rFonts w:ascii="Cambria Math" w:hAnsi="Cambria Math" w:eastAsia="仿宋_GB2312" w:cs="Cambria Math"/>
                <w:b/>
                <w:bCs/>
                <w:color w:val="000000" w:themeColor="text1"/>
                <w:kern w:val="0"/>
                <w:sz w:val="24"/>
                <w14:textFill>
                  <w14:solidFill>
                    <w14:schemeClr w14:val="tx1"/>
                  </w14:solidFill>
                </w14:textFill>
              </w:rPr>
              <w:t>①当前国内外相关应用情况</w:t>
            </w:r>
          </w:p>
          <w:p w14:paraId="780088F1">
            <w:pPr>
              <w:spacing w:line="320" w:lineRule="exact"/>
              <w:ind w:firstLine="480" w:firstLineChars="200"/>
              <w:rPr>
                <w:rFonts w:ascii="Cambria Math" w:hAnsi="Cambria Math" w:eastAsia="仿宋_GB2312" w:cs="Cambria Math"/>
                <w:color w:val="000000" w:themeColor="text1"/>
                <w:kern w:val="0"/>
                <w:sz w:val="24"/>
                <w14:textFill>
                  <w14:solidFill>
                    <w14:schemeClr w14:val="tx1"/>
                  </w14:solidFill>
                </w14:textFill>
              </w:rPr>
            </w:pPr>
            <w:r>
              <w:rPr>
                <w:rFonts w:ascii="Cambria Math" w:hAnsi="Cambria Math" w:eastAsia="仿宋_GB2312" w:cs="Cambria Math"/>
                <w:color w:val="000000" w:themeColor="text1"/>
                <w:kern w:val="0"/>
                <w:sz w:val="24"/>
                <w14:textFill>
                  <w14:solidFill>
                    <w14:schemeClr w14:val="tx1"/>
                  </w14:solidFill>
                </w14:textFill>
              </w:rPr>
              <w:t>国内部分大型高校和行政事业单位已开始探索引入盘点机器人进行资产管理；国际上相关机器人解决方案成本较高且无法满足国内行政事业单位资产数据保密合规要求，不适合政务场景落地。</w:t>
            </w:r>
          </w:p>
          <w:p w14:paraId="36E07F87">
            <w:pPr>
              <w:spacing w:line="320" w:lineRule="exact"/>
              <w:rPr>
                <w:rFonts w:ascii="Cambria Math" w:hAnsi="Cambria Math" w:eastAsia="仿宋_GB2312" w:cs="Cambria Math"/>
                <w:b/>
                <w:bCs/>
                <w:color w:val="000000" w:themeColor="text1"/>
                <w:kern w:val="0"/>
                <w:sz w:val="24"/>
                <w14:textFill>
                  <w14:solidFill>
                    <w14:schemeClr w14:val="tx1"/>
                  </w14:solidFill>
                </w14:textFill>
              </w:rPr>
            </w:pPr>
            <w:r>
              <w:rPr>
                <w:rFonts w:ascii="Cambria Math" w:hAnsi="Cambria Math" w:eastAsia="仿宋_GB2312" w:cs="Cambria Math"/>
                <w:b/>
                <w:bCs/>
                <w:color w:val="000000" w:themeColor="text1"/>
                <w:kern w:val="0"/>
                <w:sz w:val="24"/>
                <w14:textFill>
                  <w14:solidFill>
                    <w14:schemeClr w14:val="tx1"/>
                  </w14:solidFill>
                </w14:textFill>
              </w:rPr>
              <w:t>②现存技术与应用短板</w:t>
            </w:r>
          </w:p>
          <w:p w14:paraId="5D600A34">
            <w:pPr>
              <w:spacing w:line="320" w:lineRule="exact"/>
              <w:ind w:firstLine="480" w:firstLineChars="200"/>
              <w:rPr>
                <w:rFonts w:ascii="Cambria Math" w:hAnsi="Cambria Math" w:eastAsia="仿宋_GB2312" w:cs="Cambria Math"/>
                <w:color w:val="000000" w:themeColor="text1"/>
                <w:kern w:val="0"/>
                <w:sz w:val="24"/>
                <w14:textFill>
                  <w14:solidFill>
                    <w14:schemeClr w14:val="tx1"/>
                  </w14:solidFill>
                </w14:textFill>
              </w:rPr>
            </w:pPr>
            <w:r>
              <w:rPr>
                <w:rFonts w:ascii="Cambria Math" w:hAnsi="Cambria Math" w:eastAsia="仿宋_GB2312" w:cs="Cambria Math"/>
                <w:color w:val="000000" w:themeColor="text1"/>
                <w:kern w:val="0"/>
                <w:sz w:val="24"/>
                <w14:textFill>
                  <w14:solidFill>
                    <w14:schemeClr w14:val="tx1"/>
                  </w14:solidFill>
                </w14:textFill>
              </w:rPr>
              <w:t>1</w:t>
            </w:r>
            <w:r>
              <w:rPr>
                <w:rFonts w:hint="eastAsia" w:ascii="Cambria Math" w:hAnsi="Cambria Math" w:eastAsia="仿宋_GB2312" w:cs="Cambria Math"/>
                <w:color w:val="000000" w:themeColor="text1"/>
                <w:kern w:val="0"/>
                <w:sz w:val="24"/>
                <w14:textFill>
                  <w14:solidFill>
                    <w14:schemeClr w14:val="tx1"/>
                  </w14:solidFill>
                </w14:textFill>
              </w:rPr>
              <w:t>．</w:t>
            </w:r>
            <w:r>
              <w:rPr>
                <w:rFonts w:ascii="Cambria Math" w:hAnsi="Cambria Math" w:eastAsia="仿宋_GB2312" w:cs="Cambria Math"/>
                <w:color w:val="000000" w:themeColor="text1"/>
                <w:kern w:val="0"/>
                <w:sz w:val="24"/>
                <w14:textFill>
                  <w14:solidFill>
                    <w14:schemeClr w14:val="tx1"/>
                  </w14:solidFill>
                </w14:textFill>
              </w:rPr>
              <w:t>现有盘点机器人主要面向仓储物流</w:t>
            </w:r>
            <w:r>
              <w:rPr>
                <w:rFonts w:hint="eastAsia" w:ascii="Cambria Math" w:hAnsi="Cambria Math" w:eastAsia="仿宋_GB2312" w:cs="Cambria Math"/>
                <w:color w:val="000000" w:themeColor="text1"/>
                <w:kern w:val="0"/>
                <w:sz w:val="24"/>
                <w14:textFill>
                  <w14:solidFill>
                    <w14:schemeClr w14:val="tx1"/>
                  </w14:solidFill>
                </w14:textFill>
              </w:rPr>
              <w:t>盘点物资是否存在</w:t>
            </w:r>
            <w:r>
              <w:rPr>
                <w:rFonts w:ascii="Cambria Math" w:hAnsi="Cambria Math" w:eastAsia="仿宋_GB2312" w:cs="Cambria Math"/>
                <w:color w:val="000000" w:themeColor="text1"/>
                <w:kern w:val="0"/>
                <w:sz w:val="24"/>
                <w14:textFill>
                  <w14:solidFill>
                    <w14:schemeClr w14:val="tx1"/>
                  </w14:solidFill>
                </w14:textFill>
              </w:rPr>
              <w:t>，缺少面向教室、实验室、办公室混合复杂场景的</w:t>
            </w:r>
            <w:r>
              <w:rPr>
                <w:rFonts w:hint="eastAsia" w:ascii="Cambria Math" w:hAnsi="Cambria Math" w:eastAsia="仿宋_GB2312" w:cs="Cambria Math"/>
                <w:color w:val="000000" w:themeColor="text1"/>
                <w:kern w:val="0"/>
                <w:sz w:val="24"/>
                <w14:textFill>
                  <w14:solidFill>
                    <w14:schemeClr w14:val="tx1"/>
                  </w14:solidFill>
                </w14:textFill>
              </w:rPr>
              <w:t>精细化盘点和资产全周期管理能力</w:t>
            </w:r>
            <w:r>
              <w:rPr>
                <w:rFonts w:ascii="Cambria Math" w:hAnsi="Cambria Math" w:eastAsia="仿宋_GB2312" w:cs="Cambria Math"/>
                <w:color w:val="000000" w:themeColor="text1"/>
                <w:kern w:val="0"/>
                <w:sz w:val="24"/>
                <w14:textFill>
                  <w14:solidFill>
                    <w14:schemeClr w14:val="tx1"/>
                  </w14:solidFill>
                </w14:textFill>
              </w:rPr>
              <w:t>；</w:t>
            </w:r>
          </w:p>
          <w:p w14:paraId="0D89517C">
            <w:pPr>
              <w:spacing w:line="320" w:lineRule="exact"/>
              <w:ind w:firstLine="480" w:firstLineChars="200"/>
              <w:rPr>
                <w:rFonts w:ascii="Cambria Math" w:hAnsi="Cambria Math" w:eastAsia="仿宋_GB2312" w:cs="Cambria Math"/>
                <w:color w:val="000000" w:themeColor="text1"/>
                <w:kern w:val="0"/>
                <w:sz w:val="24"/>
                <w14:textFill>
                  <w14:solidFill>
                    <w14:schemeClr w14:val="tx1"/>
                  </w14:solidFill>
                </w14:textFill>
              </w:rPr>
            </w:pPr>
            <w:r>
              <w:rPr>
                <w:rFonts w:ascii="Cambria Math" w:hAnsi="Cambria Math" w:eastAsia="仿宋_GB2312" w:cs="Cambria Math"/>
                <w:color w:val="000000" w:themeColor="text1"/>
                <w:kern w:val="0"/>
                <w:sz w:val="24"/>
                <w14:textFill>
                  <w14:solidFill>
                    <w14:schemeClr w14:val="tx1"/>
                  </w14:solidFill>
                </w14:textFill>
              </w:rPr>
              <w:t>2</w:t>
            </w:r>
            <w:r>
              <w:rPr>
                <w:rFonts w:hint="eastAsia" w:ascii="Cambria Math" w:hAnsi="Cambria Math" w:eastAsia="仿宋_GB2312" w:cs="Cambria Math"/>
                <w:color w:val="000000" w:themeColor="text1"/>
                <w:kern w:val="0"/>
                <w:sz w:val="24"/>
                <w14:textFill>
                  <w14:solidFill>
                    <w14:schemeClr w14:val="tx1"/>
                  </w14:solidFill>
                </w14:textFill>
              </w:rPr>
              <w:t>．</w:t>
            </w:r>
            <w:r>
              <w:rPr>
                <w:rFonts w:ascii="Cambria Math" w:hAnsi="Cambria Math" w:eastAsia="仿宋_GB2312" w:cs="Cambria Math"/>
                <w:color w:val="000000" w:themeColor="text1"/>
                <w:kern w:val="0"/>
                <w:sz w:val="24"/>
                <w14:textFill>
                  <w14:solidFill>
                    <w14:schemeClr w14:val="tx1"/>
                  </w14:solidFill>
                </w14:textFill>
              </w:rPr>
              <w:t>复杂室内多金属、多遮挡环境下 RFID 识别稳定性有待提升；</w:t>
            </w:r>
          </w:p>
          <w:p w14:paraId="50466B93">
            <w:pPr>
              <w:spacing w:line="320" w:lineRule="exact"/>
              <w:ind w:firstLine="480" w:firstLineChars="200"/>
              <w:rPr>
                <w:rFonts w:ascii="Cambria Math" w:hAnsi="Cambria Math" w:eastAsia="仿宋_GB2312" w:cs="Cambria Math"/>
                <w:color w:val="000000" w:themeColor="text1"/>
                <w:kern w:val="0"/>
                <w:sz w:val="24"/>
                <w14:textFill>
                  <w14:solidFill>
                    <w14:schemeClr w14:val="tx1"/>
                  </w14:solidFill>
                </w14:textFill>
              </w:rPr>
            </w:pPr>
            <w:r>
              <w:rPr>
                <w:rFonts w:ascii="Cambria Math" w:hAnsi="Cambria Math" w:eastAsia="仿宋_GB2312" w:cs="Cambria Math"/>
                <w:color w:val="000000" w:themeColor="text1"/>
                <w:kern w:val="0"/>
                <w:sz w:val="24"/>
                <w14:textFill>
                  <w14:solidFill>
                    <w14:schemeClr w14:val="tx1"/>
                  </w14:solidFill>
                </w14:textFill>
              </w:rPr>
              <w:t>3</w:t>
            </w:r>
            <w:r>
              <w:rPr>
                <w:rFonts w:hint="eastAsia" w:ascii="Cambria Math" w:hAnsi="Cambria Math" w:eastAsia="仿宋_GB2312" w:cs="Cambria Math"/>
                <w:color w:val="000000" w:themeColor="text1"/>
                <w:kern w:val="0"/>
                <w:sz w:val="24"/>
                <w14:textFill>
                  <w14:solidFill>
                    <w14:schemeClr w14:val="tx1"/>
                  </w14:solidFill>
                </w14:textFill>
              </w:rPr>
              <w:t>．</w:t>
            </w:r>
            <w:r>
              <w:rPr>
                <w:rFonts w:ascii="Cambria Math" w:hAnsi="Cambria Math" w:eastAsia="仿宋_GB2312" w:cs="Cambria Math"/>
                <w:color w:val="000000" w:themeColor="text1"/>
                <w:kern w:val="0"/>
                <w:sz w:val="24"/>
                <w14:textFill>
                  <w14:solidFill>
                    <w14:schemeClr w14:val="tx1"/>
                  </w14:solidFill>
                </w14:textFill>
              </w:rPr>
              <w:t>多楼宇、跨楼层动态障碍物环境下自主导航稳定性有待优化；</w:t>
            </w:r>
          </w:p>
          <w:p w14:paraId="714EDD8E">
            <w:pPr>
              <w:spacing w:line="320" w:lineRule="exact"/>
              <w:ind w:firstLine="480" w:firstLineChars="200"/>
              <w:rPr>
                <w:rFonts w:ascii="Cambria Math" w:hAnsi="Cambria Math" w:eastAsia="仿宋_GB2312" w:cs="Cambria Math"/>
                <w:color w:val="000000" w:themeColor="text1"/>
                <w:kern w:val="0"/>
                <w:sz w:val="24"/>
                <w14:textFill>
                  <w14:solidFill>
                    <w14:schemeClr w14:val="tx1"/>
                  </w14:solidFill>
                </w14:textFill>
              </w:rPr>
            </w:pPr>
            <w:r>
              <w:rPr>
                <w:rFonts w:ascii="Cambria Math" w:hAnsi="Cambria Math" w:eastAsia="仿宋_GB2312" w:cs="Cambria Math"/>
                <w:color w:val="000000" w:themeColor="text1"/>
                <w:kern w:val="0"/>
                <w:sz w:val="24"/>
                <w14:textFill>
                  <w14:solidFill>
                    <w14:schemeClr w14:val="tx1"/>
                  </w14:solidFill>
                </w14:textFill>
              </w:rPr>
              <w:t>4</w:t>
            </w:r>
            <w:r>
              <w:rPr>
                <w:rFonts w:hint="eastAsia" w:ascii="Cambria Math" w:hAnsi="Cambria Math" w:eastAsia="仿宋_GB2312" w:cs="Cambria Math"/>
                <w:color w:val="000000" w:themeColor="text1"/>
                <w:kern w:val="0"/>
                <w:sz w:val="24"/>
                <w14:textFill>
                  <w14:solidFill>
                    <w14:schemeClr w14:val="tx1"/>
                  </w14:solidFill>
                </w14:textFill>
              </w:rPr>
              <w:t>．</w:t>
            </w:r>
            <w:r>
              <w:rPr>
                <w:rFonts w:ascii="Cambria Math" w:hAnsi="Cambria Math" w:eastAsia="仿宋_GB2312" w:cs="Cambria Math"/>
                <w:color w:val="000000" w:themeColor="text1"/>
                <w:kern w:val="0"/>
                <w:sz w:val="24"/>
                <w14:textFill>
                  <w14:solidFill>
                    <w14:schemeClr w14:val="tx1"/>
                  </w14:solidFill>
                </w14:textFill>
              </w:rPr>
              <w:t>缺少面向国内行政事业单位资产管理软件的标准化对接接口；</w:t>
            </w:r>
          </w:p>
          <w:p w14:paraId="41421F85">
            <w:pPr>
              <w:spacing w:line="320" w:lineRule="exact"/>
              <w:ind w:firstLine="480" w:firstLineChars="200"/>
              <w:rPr>
                <w:rFonts w:ascii="Cambria Math" w:hAnsi="Cambria Math" w:eastAsia="仿宋_GB2312" w:cs="Cambria Math"/>
                <w:color w:val="000000" w:themeColor="text1"/>
                <w:kern w:val="0"/>
                <w:sz w:val="24"/>
                <w14:textFill>
                  <w14:solidFill>
                    <w14:schemeClr w14:val="tx1"/>
                  </w14:solidFill>
                </w14:textFill>
              </w:rPr>
            </w:pPr>
            <w:r>
              <w:rPr>
                <w:rFonts w:ascii="Cambria Math" w:hAnsi="Cambria Math" w:eastAsia="仿宋_GB2312" w:cs="Cambria Math"/>
                <w:color w:val="000000" w:themeColor="text1"/>
                <w:kern w:val="0"/>
                <w:sz w:val="24"/>
                <w14:textFill>
                  <w14:solidFill>
                    <w14:schemeClr w14:val="tx1"/>
                  </w14:solidFill>
                </w14:textFill>
              </w:rPr>
              <w:t>5</w:t>
            </w:r>
            <w:r>
              <w:rPr>
                <w:rFonts w:hint="eastAsia" w:ascii="Cambria Math" w:hAnsi="Cambria Math" w:eastAsia="仿宋_GB2312" w:cs="Cambria Math"/>
                <w:color w:val="000000" w:themeColor="text1"/>
                <w:kern w:val="0"/>
                <w:sz w:val="24"/>
                <w14:textFill>
                  <w14:solidFill>
                    <w14:schemeClr w14:val="tx1"/>
                  </w14:solidFill>
                </w14:textFill>
              </w:rPr>
              <w:t>．</w:t>
            </w:r>
            <w:r>
              <w:rPr>
                <w:rFonts w:ascii="Cambria Math" w:hAnsi="Cambria Math" w:eastAsia="仿宋_GB2312" w:cs="Cambria Math"/>
                <w:color w:val="000000" w:themeColor="text1"/>
                <w:kern w:val="0"/>
                <w:sz w:val="24"/>
                <w14:textFill>
                  <w14:solidFill>
                    <w14:schemeClr w14:val="tx1"/>
                  </w14:solidFill>
                </w14:textFill>
              </w:rPr>
              <w:t>对政务涉密资产数据安全管控能力不足。</w:t>
            </w:r>
          </w:p>
          <w:p w14:paraId="413D9B16">
            <w:pPr>
              <w:spacing w:line="320" w:lineRule="exact"/>
              <w:ind w:firstLine="480" w:firstLineChars="200"/>
              <w:rPr>
                <w:rFonts w:ascii="Cambria Math" w:hAnsi="Cambria Math" w:eastAsia="仿宋_GB2312" w:cs="Cambria Math"/>
                <w:color w:val="000000" w:themeColor="text1"/>
                <w:kern w:val="0"/>
                <w:sz w:val="24"/>
                <w14:textFill>
                  <w14:solidFill>
                    <w14:schemeClr w14:val="tx1"/>
                  </w14:solidFill>
                </w14:textFill>
              </w:rPr>
            </w:pPr>
          </w:p>
        </w:tc>
      </w:tr>
      <w:tr w14:paraId="36630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21" w:hRule="atLeast"/>
          <w:jc w:val="center"/>
        </w:trPr>
        <w:tc>
          <w:tcPr>
            <w:tcW w:w="1271" w:type="dxa"/>
            <w:tcBorders>
              <w:top w:val="single" w:color="auto" w:sz="4" w:space="0"/>
              <w:left w:val="single" w:color="auto" w:sz="4" w:space="0"/>
              <w:bottom w:val="single" w:color="auto" w:sz="4" w:space="0"/>
              <w:right w:val="single" w:color="auto" w:sz="4" w:space="0"/>
            </w:tcBorders>
            <w:vAlign w:val="center"/>
          </w:tcPr>
          <w:p w14:paraId="31A3268A">
            <w:pPr>
              <w:snapToGrid w:val="0"/>
              <w:spacing w:line="320" w:lineRule="exact"/>
              <w:jc w:val="center"/>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14:textFill>
                  <w14:solidFill>
                    <w14:schemeClr w14:val="tx1"/>
                  </w14:solidFill>
                </w14:textFill>
              </w:rPr>
              <w:t>潜在规模</w:t>
            </w:r>
          </w:p>
        </w:tc>
        <w:tc>
          <w:tcPr>
            <w:tcW w:w="7999" w:type="dxa"/>
            <w:gridSpan w:val="3"/>
            <w:tcBorders>
              <w:top w:val="single" w:color="auto" w:sz="4" w:space="0"/>
              <w:left w:val="single" w:color="auto" w:sz="4" w:space="0"/>
              <w:bottom w:val="single" w:color="auto" w:sz="4" w:space="0"/>
              <w:right w:val="single" w:color="auto" w:sz="4" w:space="0"/>
            </w:tcBorders>
          </w:tcPr>
          <w:p w14:paraId="540C3A35">
            <w:pPr>
              <w:spacing w:line="320" w:lineRule="exact"/>
              <w:ind w:firstLine="480" w:firstLineChars="200"/>
              <w:rPr>
                <w:rFonts w:ascii="仿宋_GB2312" w:hAnsi="Times New Roman" w:eastAsia="仿宋_GB2312" w:cs="方正仿宋简体"/>
                <w:sz w:val="24"/>
                <w:szCs w:val="20"/>
              </w:rPr>
            </w:pPr>
            <w:r>
              <w:rPr>
                <w:rFonts w:ascii="仿宋_GB2312" w:hAnsi="Times New Roman" w:eastAsia="仿宋_GB2312" w:cs="方正仿宋简体"/>
                <w:sz w:val="24"/>
                <w:szCs w:val="20"/>
              </w:rPr>
              <w:t>行政事业单位</w:t>
            </w:r>
            <w:r>
              <w:rPr>
                <w:rFonts w:hint="eastAsia" w:ascii="仿宋_GB2312" w:hAnsi="Times New Roman" w:eastAsia="仿宋_GB2312" w:cs="方正仿宋简体"/>
                <w:sz w:val="24"/>
                <w:szCs w:val="20"/>
              </w:rPr>
              <w:t>、教育行业、医疗行业</w:t>
            </w:r>
            <w:r>
              <w:rPr>
                <w:rFonts w:ascii="仿宋_GB2312" w:hAnsi="Times New Roman" w:eastAsia="仿宋_GB2312" w:cs="方正仿宋简体"/>
                <w:sz w:val="24"/>
                <w:szCs w:val="20"/>
              </w:rPr>
              <w:t>资产盘点机器人市场潜力巨大。据行业统计，全国各级各类学校约50万所，行政事业单位约数百万家。按每家单位需求1-3台盘点机器人、单价</w:t>
            </w:r>
            <w:r>
              <w:rPr>
                <w:rFonts w:hint="eastAsia" w:ascii="仿宋_GB2312" w:hAnsi="Times New Roman" w:eastAsia="仿宋_GB2312" w:cs="方正仿宋简体"/>
                <w:sz w:val="24"/>
                <w:szCs w:val="20"/>
              </w:rPr>
              <w:t>2</w:t>
            </w:r>
            <w:r>
              <w:rPr>
                <w:rFonts w:ascii="仿宋_GB2312" w:hAnsi="Times New Roman" w:eastAsia="仿宋_GB2312" w:cs="方正仿宋简体"/>
                <w:sz w:val="24"/>
                <w:szCs w:val="20"/>
              </w:rPr>
              <w:t>0-</w:t>
            </w:r>
            <w:r>
              <w:rPr>
                <w:rFonts w:hint="eastAsia" w:ascii="仿宋_GB2312" w:hAnsi="Times New Roman" w:eastAsia="仿宋_GB2312" w:cs="方正仿宋简体"/>
                <w:sz w:val="24"/>
                <w:szCs w:val="20"/>
              </w:rPr>
              <w:t>5</w:t>
            </w:r>
            <w:r>
              <w:rPr>
                <w:rFonts w:ascii="仿宋_GB2312" w:hAnsi="Times New Roman" w:eastAsia="仿宋_GB2312" w:cs="方正仿宋简体"/>
                <w:sz w:val="24"/>
                <w:szCs w:val="20"/>
              </w:rPr>
              <w:t>0万元估算，潜在市场规模达千亿级。</w:t>
            </w:r>
            <w:r>
              <w:rPr>
                <w:rFonts w:hint="eastAsia" w:ascii="仿宋_GB2312" w:hAnsi="Times New Roman" w:eastAsia="仿宋_GB2312" w:cs="方正仿宋简体"/>
                <w:sz w:val="24"/>
                <w:szCs w:val="20"/>
              </w:rPr>
              <w:t>以深圳市为例，深圳市拥有3300家以上行政事业单位，潜在市场规模可达30亿元以上。</w:t>
            </w:r>
          </w:p>
          <w:p w14:paraId="57CC6376">
            <w:pPr>
              <w:spacing w:line="320" w:lineRule="exact"/>
              <w:ind w:firstLine="480" w:firstLineChars="200"/>
              <w:rPr>
                <w:rFonts w:ascii="仿宋_GB2312" w:hAnsi="Times New Roman" w:eastAsia="仿宋_GB2312" w:cs="方正仿宋简体"/>
                <w:sz w:val="24"/>
                <w:szCs w:val="20"/>
              </w:rPr>
            </w:pPr>
            <w:r>
              <w:rPr>
                <w:rFonts w:ascii="仿宋_GB2312" w:hAnsi="Times New Roman" w:eastAsia="仿宋_GB2312" w:cs="方正仿宋简体"/>
                <w:sz w:val="24"/>
                <w:szCs w:val="20"/>
              </w:rPr>
              <w:t>鹏教科技</w:t>
            </w:r>
            <w:r>
              <w:rPr>
                <w:rFonts w:hint="eastAsia" w:ascii="仿宋_GB2312" w:hAnsi="Times New Roman" w:eastAsia="仿宋_GB2312" w:cs="方正仿宋简体"/>
                <w:sz w:val="24"/>
                <w:szCs w:val="20"/>
              </w:rPr>
              <w:t>扎根深圳龙岗，</w:t>
            </w:r>
            <w:r>
              <w:rPr>
                <w:rFonts w:ascii="仿宋_GB2312" w:hAnsi="Times New Roman" w:eastAsia="仿宋_GB2312" w:cs="方正仿宋简体"/>
                <w:sz w:val="24"/>
                <w:szCs w:val="20"/>
              </w:rPr>
              <w:t>服务客户覆盖深圳市</w:t>
            </w:r>
            <w:r>
              <w:rPr>
                <w:rFonts w:hint="eastAsia" w:ascii="仿宋_GB2312" w:hAnsi="Times New Roman" w:eastAsia="仿宋_GB2312" w:cs="方正仿宋简体"/>
                <w:sz w:val="24"/>
                <w:szCs w:val="20"/>
              </w:rPr>
              <w:t>行政事业单位、</w:t>
            </w:r>
            <w:r>
              <w:rPr>
                <w:rFonts w:ascii="仿宋_GB2312" w:hAnsi="Times New Roman" w:eastAsia="仿宋_GB2312" w:cs="方正仿宋简体"/>
                <w:sz w:val="24"/>
                <w:szCs w:val="20"/>
              </w:rPr>
              <w:t>教育主管部门、高校、中小学校和幼儿园，拥有丰富的业务场景与客户渠道。本项目在龙岗完成试点落地后，可快速复制推广至全市、全国行政事业单位市场，带动机器人软硬件产品规模化落地。</w:t>
            </w:r>
          </w:p>
        </w:tc>
      </w:tr>
      <w:tr w14:paraId="45EE3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31" w:hRule="atLeast"/>
          <w:jc w:val="center"/>
        </w:trPr>
        <w:tc>
          <w:tcPr>
            <w:tcW w:w="1271" w:type="dxa"/>
            <w:tcBorders>
              <w:top w:val="single" w:color="auto" w:sz="4" w:space="0"/>
              <w:left w:val="single" w:color="auto" w:sz="4" w:space="0"/>
              <w:bottom w:val="single" w:color="auto" w:sz="4" w:space="0"/>
              <w:right w:val="single" w:color="auto" w:sz="4" w:space="0"/>
            </w:tcBorders>
            <w:vAlign w:val="center"/>
          </w:tcPr>
          <w:p w14:paraId="0FCB4421">
            <w:pPr>
              <w:snapToGrid w:val="0"/>
              <w:spacing w:line="320" w:lineRule="exact"/>
              <w:jc w:val="center"/>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14:textFill>
                  <w14:solidFill>
                    <w14:schemeClr w14:val="tx1"/>
                  </w14:solidFill>
                </w14:textFill>
              </w:rPr>
              <w:t>建设基础</w:t>
            </w:r>
          </w:p>
        </w:tc>
        <w:tc>
          <w:tcPr>
            <w:tcW w:w="7999" w:type="dxa"/>
            <w:gridSpan w:val="3"/>
            <w:tcBorders>
              <w:top w:val="single" w:color="auto" w:sz="4" w:space="0"/>
              <w:left w:val="single" w:color="auto" w:sz="4" w:space="0"/>
              <w:bottom w:val="single" w:color="auto" w:sz="4" w:space="0"/>
              <w:right w:val="single" w:color="auto" w:sz="4" w:space="0"/>
            </w:tcBorders>
          </w:tcPr>
          <w:p w14:paraId="7660B25D">
            <w:pPr>
              <w:spacing w:line="320" w:lineRule="exact"/>
              <w:rPr>
                <w:rFonts w:ascii="Times New Roman" w:hAnsi="Times New Roman" w:eastAsia="仿宋_GB2312" w:cs="Times New Roman"/>
                <w:b/>
                <w:bCs/>
                <w:color w:val="000000" w:themeColor="text1"/>
                <w:kern w:val="0"/>
                <w:sz w:val="24"/>
                <w14:textFill>
                  <w14:solidFill>
                    <w14:schemeClr w14:val="tx1"/>
                  </w14:solidFill>
                </w14:textFill>
              </w:rPr>
            </w:pPr>
            <w:r>
              <w:rPr>
                <w:rFonts w:eastAsia="仿宋_GB2312" w:cstheme="minorHAnsi"/>
                <w:b/>
                <w:bCs/>
                <w:color w:val="000000" w:themeColor="text1"/>
                <w:kern w:val="0"/>
                <w:sz w:val="24"/>
                <w14:textFill>
                  <w14:solidFill>
                    <w14:schemeClr w14:val="tx1"/>
                  </w14:solidFill>
                </w14:textFill>
              </w:rPr>
              <w:t>①</w:t>
            </w:r>
            <w:r>
              <w:rPr>
                <w:rFonts w:ascii="Times New Roman" w:hAnsi="Times New Roman" w:eastAsia="仿宋_GB2312" w:cs="Times New Roman"/>
                <w:b/>
                <w:bCs/>
                <w:color w:val="000000" w:themeColor="text1"/>
                <w:kern w:val="0"/>
                <w:sz w:val="24"/>
                <w14:textFill>
                  <w14:solidFill>
                    <w14:schemeClr w14:val="tx1"/>
                  </w14:solidFill>
                </w14:textFill>
              </w:rPr>
              <w:t>行业业务能力</w:t>
            </w:r>
          </w:p>
          <w:p w14:paraId="3D527501">
            <w:pPr>
              <w:spacing w:line="320" w:lineRule="exact"/>
              <w:ind w:firstLine="480" w:firstLineChars="200"/>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公司精通教育单位财务管理、资产管理、内部控制、经费投入、采购等规范要求及管理情况。公司拥有经济学教授、经济师、会计师和研发工程师等核心研究人员近</w:t>
            </w:r>
            <w:r>
              <w:rPr>
                <w:rFonts w:hint="eastAsia" w:ascii="Times New Roman" w:hAnsi="Times New Roman" w:eastAsia="仿宋_GB2312" w:cs="Times New Roman"/>
                <w:color w:val="000000" w:themeColor="text1"/>
                <w:kern w:val="0"/>
                <w:sz w:val="24"/>
                <w:lang w:val="en-US" w:eastAsia="zh-CN"/>
                <w14:textFill>
                  <w14:solidFill>
                    <w14:schemeClr w14:val="tx1"/>
                  </w14:solidFill>
                </w14:textFill>
              </w:rPr>
              <w:t>30</w:t>
            </w:r>
            <w:r>
              <w:rPr>
                <w:rFonts w:ascii="Times New Roman" w:hAnsi="Times New Roman" w:eastAsia="仿宋_GB2312" w:cs="Times New Roman"/>
                <w:color w:val="000000" w:themeColor="text1"/>
                <w:kern w:val="0"/>
                <w:sz w:val="24"/>
                <w14:textFill>
                  <w14:solidFill>
                    <w14:schemeClr w14:val="tx1"/>
                  </w14:solidFill>
                </w14:textFill>
              </w:rPr>
              <w:t>人，业务骨干全部具有五年以上教育经济研究和财经服务经验，对行政事业单位资产管理流程、痛点及信息化需求有深入理解。</w:t>
            </w:r>
          </w:p>
          <w:p w14:paraId="19A20C92">
            <w:pPr>
              <w:spacing w:line="320" w:lineRule="exact"/>
              <w:rPr>
                <w:rFonts w:ascii="Times New Roman" w:hAnsi="Times New Roman" w:eastAsia="仿宋_GB2312" w:cs="Times New Roman"/>
                <w:b/>
                <w:bCs/>
                <w:color w:val="000000" w:themeColor="text1"/>
                <w:kern w:val="0"/>
                <w:sz w:val="24"/>
                <w14:textFill>
                  <w14:solidFill>
                    <w14:schemeClr w14:val="tx1"/>
                  </w14:solidFill>
                </w14:textFill>
              </w:rPr>
            </w:pPr>
            <w:r>
              <w:rPr>
                <w:rFonts w:eastAsia="仿宋_GB2312" w:cstheme="minorHAnsi"/>
                <w:b/>
                <w:bCs/>
                <w:color w:val="000000" w:themeColor="text1"/>
                <w:kern w:val="0"/>
                <w:sz w:val="24"/>
                <w14:textFill>
                  <w14:solidFill>
                    <w14:schemeClr w14:val="tx1"/>
                  </w14:solidFill>
                </w14:textFill>
              </w:rPr>
              <w:t>②</w:t>
            </w:r>
            <w:r>
              <w:rPr>
                <w:rFonts w:ascii="Times New Roman" w:hAnsi="Times New Roman" w:eastAsia="仿宋_GB2312" w:cs="Times New Roman"/>
                <w:b/>
                <w:bCs/>
                <w:color w:val="000000" w:themeColor="text1"/>
                <w:kern w:val="0"/>
                <w:sz w:val="24"/>
                <w14:textFill>
                  <w14:solidFill>
                    <w14:schemeClr w14:val="tx1"/>
                  </w14:solidFill>
                </w14:textFill>
              </w:rPr>
              <w:t>软件技术底座</w:t>
            </w:r>
          </w:p>
          <w:p w14:paraId="0B248FCE">
            <w:pPr>
              <w:spacing w:line="320" w:lineRule="exact"/>
              <w:ind w:firstLine="480" w:firstLineChars="200"/>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公司</w:t>
            </w:r>
            <w:r>
              <w:rPr>
                <w:rFonts w:hint="eastAsia" w:ascii="Times New Roman" w:hAnsi="Times New Roman" w:eastAsia="仿宋_GB2312" w:cs="Times New Roman"/>
                <w:color w:val="000000" w:themeColor="text1"/>
                <w:kern w:val="0"/>
                <w:sz w:val="24"/>
                <w14:textFill>
                  <w14:solidFill>
                    <w14:schemeClr w14:val="tx1"/>
                  </w14:solidFill>
                </w14:textFill>
              </w:rPr>
              <w:t>拥有行政事业单位资产管理系统、</w:t>
            </w:r>
            <w:r>
              <w:rPr>
                <w:rFonts w:ascii="Times New Roman" w:hAnsi="Times New Roman" w:eastAsia="仿宋_GB2312" w:cs="Times New Roman"/>
                <w:color w:val="000000" w:themeColor="text1"/>
                <w:kern w:val="0"/>
                <w:sz w:val="24"/>
                <w14:textFill>
                  <w14:solidFill>
                    <w14:schemeClr w14:val="tx1"/>
                  </w14:solidFill>
                </w14:textFill>
              </w:rPr>
              <w:t>民办学校和幼儿园财务成本管理系统、数智化采购系统、民办学校一体化综合管理平台等多套成熟业务软件，现有自主知识产权40余项，具备将机器人盘点数据与现有资产管理系统无缝对接的技术能力。</w:t>
            </w:r>
          </w:p>
          <w:p w14:paraId="1F3F125A">
            <w:pPr>
              <w:spacing w:line="320" w:lineRule="exact"/>
              <w:rPr>
                <w:rFonts w:ascii="Times New Roman" w:hAnsi="Times New Roman" w:eastAsia="仿宋_GB2312" w:cs="Times New Roman"/>
                <w:b/>
                <w:bCs/>
                <w:color w:val="000000" w:themeColor="text1"/>
                <w:kern w:val="0"/>
                <w:sz w:val="24"/>
                <w14:textFill>
                  <w14:solidFill>
                    <w14:schemeClr w14:val="tx1"/>
                  </w14:solidFill>
                </w14:textFill>
              </w:rPr>
            </w:pPr>
            <w:r>
              <w:rPr>
                <w:rFonts w:eastAsia="仿宋_GB2312" w:cstheme="minorHAnsi"/>
                <w:b/>
                <w:bCs/>
                <w:color w:val="000000" w:themeColor="text1"/>
                <w:kern w:val="0"/>
                <w:sz w:val="24"/>
                <w14:textFill>
                  <w14:solidFill>
                    <w14:schemeClr w14:val="tx1"/>
                  </w14:solidFill>
                </w14:textFill>
              </w:rPr>
              <w:t>③</w:t>
            </w:r>
            <w:r>
              <w:rPr>
                <w:rFonts w:ascii="Times New Roman" w:hAnsi="Times New Roman" w:eastAsia="仿宋_GB2312" w:cs="Times New Roman"/>
                <w:b/>
                <w:bCs/>
                <w:color w:val="000000" w:themeColor="text1"/>
                <w:kern w:val="0"/>
                <w:sz w:val="24"/>
                <w14:textFill>
                  <w14:solidFill>
                    <w14:schemeClr w14:val="tx1"/>
                  </w14:solidFill>
                </w14:textFill>
              </w:rPr>
              <w:t>场景落地渠道</w:t>
            </w:r>
          </w:p>
          <w:p w14:paraId="4017F7D2">
            <w:pPr>
              <w:spacing w:line="320" w:lineRule="exact"/>
              <w:ind w:firstLine="480" w:firstLineChars="200"/>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公司服务深圳 1000 余家教育及事业单位客户，龙岗本地拥有大量可开放试点场景，具备项目试点、示范推广的客户资源。</w:t>
            </w:r>
          </w:p>
          <w:p w14:paraId="05D30E8F">
            <w:pPr>
              <w:spacing w:line="320" w:lineRule="exact"/>
              <w:rPr>
                <w:rFonts w:ascii="Times New Roman" w:hAnsi="Times New Roman" w:eastAsia="仿宋_GB2312" w:cs="Times New Roman"/>
                <w:b/>
                <w:bCs/>
                <w:color w:val="000000" w:themeColor="text1"/>
                <w:kern w:val="0"/>
                <w:sz w:val="24"/>
                <w14:textFill>
                  <w14:solidFill>
                    <w14:schemeClr w14:val="tx1"/>
                  </w14:solidFill>
                </w14:textFill>
              </w:rPr>
            </w:pPr>
            <w:r>
              <w:rPr>
                <w:rFonts w:eastAsia="仿宋_GB2312" w:cstheme="minorHAnsi"/>
                <w:b/>
                <w:bCs/>
                <w:color w:val="000000" w:themeColor="text1"/>
                <w:kern w:val="0"/>
                <w:sz w:val="24"/>
                <w14:textFill>
                  <w14:solidFill>
                    <w14:schemeClr w14:val="tx1"/>
                  </w14:solidFill>
                </w14:textFill>
              </w:rPr>
              <w:t>④</w:t>
            </w:r>
            <w:r>
              <w:rPr>
                <w:rFonts w:ascii="Times New Roman" w:hAnsi="Times New Roman" w:eastAsia="仿宋_GB2312" w:cs="Times New Roman"/>
                <w:b/>
                <w:bCs/>
                <w:color w:val="000000" w:themeColor="text1"/>
                <w:kern w:val="0"/>
                <w:sz w:val="24"/>
                <w14:textFill>
                  <w14:solidFill>
                    <w14:schemeClr w14:val="tx1"/>
                  </w14:solidFill>
                </w14:textFill>
              </w:rPr>
              <w:t>前期筹备</w:t>
            </w:r>
          </w:p>
          <w:p w14:paraId="04016E39">
            <w:pPr>
              <w:spacing w:line="320" w:lineRule="exact"/>
              <w:ind w:firstLine="480" w:firstLineChars="200"/>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公司已对资产盘点机器人市场进行深入调研，并与</w:t>
            </w:r>
            <w:r>
              <w:rPr>
                <w:rFonts w:hint="eastAsia" w:ascii="Times New Roman" w:hAnsi="Times New Roman" w:eastAsia="仿宋_GB2312" w:cs="Times New Roman"/>
                <w:color w:val="000000" w:themeColor="text1"/>
                <w:kern w:val="0"/>
                <w:sz w:val="24"/>
                <w14:textFill>
                  <w14:solidFill>
                    <w14:schemeClr w14:val="tx1"/>
                  </w14:solidFill>
                </w14:textFill>
              </w:rPr>
              <w:t>深圳市财政一体化系统供应商及硬件厂商</w:t>
            </w:r>
            <w:r>
              <w:rPr>
                <w:rFonts w:ascii="Times New Roman" w:hAnsi="Times New Roman" w:eastAsia="仿宋_GB2312" w:cs="Times New Roman"/>
                <w:color w:val="000000" w:themeColor="text1"/>
                <w:kern w:val="0"/>
                <w:sz w:val="24"/>
                <w14:textFill>
                  <w14:solidFill>
                    <w14:schemeClr w14:val="tx1"/>
                  </w14:solidFill>
                </w14:textFill>
              </w:rPr>
              <w:t>进行</w:t>
            </w:r>
            <w:r>
              <w:rPr>
                <w:rFonts w:hint="eastAsia" w:ascii="Times New Roman" w:hAnsi="Times New Roman" w:eastAsia="仿宋_GB2312" w:cs="Times New Roman"/>
                <w:color w:val="000000" w:themeColor="text1"/>
                <w:kern w:val="0"/>
                <w:sz w:val="24"/>
                <w14:textFill>
                  <w14:solidFill>
                    <w14:schemeClr w14:val="tx1"/>
                  </w14:solidFill>
                </w14:textFill>
              </w:rPr>
              <w:t>前期技术交流；</w:t>
            </w:r>
            <w:r>
              <w:rPr>
                <w:rFonts w:ascii="Times New Roman" w:hAnsi="Times New Roman" w:eastAsia="仿宋_GB2312" w:cs="Times New Roman"/>
                <w:color w:val="000000" w:themeColor="text1"/>
                <w:kern w:val="0"/>
                <w:sz w:val="24"/>
                <w14:textFill>
                  <w14:solidFill>
                    <w14:schemeClr w14:val="tx1"/>
                  </w14:solidFill>
                </w14:textFill>
              </w:rPr>
              <w:t>可提供真实业务台账、试点场地，为揭榜方开展测试、调试提供真实业务环境。</w:t>
            </w:r>
          </w:p>
        </w:tc>
      </w:tr>
      <w:tr w14:paraId="2ED64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271" w:type="dxa"/>
            <w:tcBorders>
              <w:top w:val="single" w:color="auto" w:sz="4" w:space="0"/>
              <w:left w:val="single" w:color="auto" w:sz="4" w:space="0"/>
              <w:bottom w:val="single" w:color="auto" w:sz="4" w:space="0"/>
              <w:right w:val="single" w:color="auto" w:sz="4" w:space="0"/>
            </w:tcBorders>
            <w:vAlign w:val="center"/>
          </w:tcPr>
          <w:p w14:paraId="5EEA3A05">
            <w:pPr>
              <w:snapToGrid w:val="0"/>
              <w:spacing w:line="320" w:lineRule="exact"/>
              <w:jc w:val="center"/>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b/>
                <w:bCs/>
                <w:color w:val="000000" w:themeColor="text1"/>
                <w:kern w:val="0"/>
                <w:sz w:val="24"/>
                <w14:textFill>
                  <w14:solidFill>
                    <w14:schemeClr w14:val="tx1"/>
                  </w14:solidFill>
                </w14:textFill>
              </w:rPr>
              <w:t>实施成效</w:t>
            </w:r>
          </w:p>
        </w:tc>
        <w:tc>
          <w:tcPr>
            <w:tcW w:w="7999" w:type="dxa"/>
            <w:gridSpan w:val="3"/>
            <w:tcBorders>
              <w:top w:val="single" w:color="auto" w:sz="4" w:space="0"/>
              <w:left w:val="single" w:color="auto" w:sz="4" w:space="0"/>
              <w:bottom w:val="single" w:color="auto" w:sz="4" w:space="0"/>
              <w:right w:val="single" w:color="auto" w:sz="4" w:space="0"/>
            </w:tcBorders>
          </w:tcPr>
          <w:p w14:paraId="59756239">
            <w:pPr>
              <w:spacing w:line="320" w:lineRule="exact"/>
              <w:ind w:firstLine="0" w:firstLineChars="0"/>
              <w:rPr>
                <w:rFonts w:ascii="仿宋_GB2312" w:hAnsi="Times New Roman" w:eastAsia="仿宋_GB2312" w:cs="方正仿宋简体"/>
                <w:sz w:val="24"/>
                <w:szCs w:val="20"/>
              </w:rPr>
            </w:pPr>
            <w:r>
              <w:rPr>
                <w:rFonts w:eastAsia="仿宋_GB2312" w:cstheme="minorHAnsi"/>
                <w:b/>
                <w:bCs/>
                <w:sz w:val="24"/>
                <w:szCs w:val="20"/>
              </w:rPr>
              <w:t>①</w:t>
            </w:r>
            <w:r>
              <w:rPr>
                <w:rFonts w:ascii="仿宋_GB2312" w:hAnsi="Times New Roman" w:eastAsia="仿宋_GB2312" w:cs="方正仿宋简体"/>
                <w:b/>
                <w:bCs/>
                <w:sz w:val="24"/>
                <w:szCs w:val="20"/>
              </w:rPr>
              <w:t>经济效益</w:t>
            </w:r>
          </w:p>
          <w:p w14:paraId="22B9258A">
            <w:pPr>
              <w:spacing w:line="320" w:lineRule="exact"/>
              <w:ind w:firstLine="480" w:firstLineChars="200"/>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 xml:space="preserve">1.试点场景下，资产盘点人力成本降低 70% 以上；完整盘点周期由 3 个月压缩至 </w:t>
            </w:r>
            <w:r>
              <w:rPr>
                <w:rFonts w:hint="eastAsia" w:ascii="Times New Roman" w:hAnsi="Times New Roman" w:eastAsia="仿宋_GB2312" w:cs="Times New Roman"/>
                <w:color w:val="000000" w:themeColor="text1"/>
                <w:kern w:val="0"/>
                <w:sz w:val="24"/>
                <w14:textFill>
                  <w14:solidFill>
                    <w14:schemeClr w14:val="tx1"/>
                  </w14:solidFill>
                </w14:textFill>
              </w:rPr>
              <w:t>1个月以内</w:t>
            </w:r>
            <w:r>
              <w:rPr>
                <w:rFonts w:ascii="Times New Roman" w:hAnsi="Times New Roman" w:eastAsia="仿宋_GB2312" w:cs="Times New Roman"/>
                <w:color w:val="000000" w:themeColor="text1"/>
                <w:kern w:val="0"/>
                <w:sz w:val="24"/>
                <w14:textFill>
                  <w14:solidFill>
                    <w14:schemeClr w14:val="tx1"/>
                  </w14:solidFill>
                </w14:textFill>
              </w:rPr>
              <w:t xml:space="preserve">； </w:t>
            </w:r>
          </w:p>
          <w:p w14:paraId="50B853C3">
            <w:pPr>
              <w:spacing w:line="320" w:lineRule="exact"/>
              <w:ind w:firstLine="480" w:firstLineChars="200"/>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2.项目试点成功后，依托现有客户资源首批可推广数十家单位，</w:t>
            </w:r>
            <w:r>
              <w:rPr>
                <w:rFonts w:hint="eastAsia" w:ascii="Times New Roman" w:hAnsi="Times New Roman" w:eastAsia="仿宋_GB2312" w:cs="Times New Roman"/>
                <w:color w:val="000000" w:themeColor="text1"/>
                <w:kern w:val="0"/>
                <w:sz w:val="24"/>
                <w14:textFill>
                  <w14:solidFill>
                    <w14:schemeClr w14:val="tx1"/>
                  </w14:solidFill>
                </w14:textFill>
              </w:rPr>
              <w:t>预计</w:t>
            </w:r>
            <w:r>
              <w:rPr>
                <w:rFonts w:ascii="Times New Roman" w:hAnsi="Times New Roman" w:eastAsia="仿宋_GB2312" w:cs="Times New Roman"/>
                <w:color w:val="000000" w:themeColor="text1"/>
                <w:kern w:val="0"/>
                <w:sz w:val="24"/>
                <w14:textFill>
                  <w14:solidFill>
                    <w14:schemeClr w14:val="tx1"/>
                  </w14:solidFill>
                </w14:textFill>
              </w:rPr>
              <w:t xml:space="preserve">带动机器人软硬件相关销售收入数千万元； </w:t>
            </w:r>
          </w:p>
          <w:p w14:paraId="405EBF9D">
            <w:pPr>
              <w:spacing w:line="320" w:lineRule="exact"/>
              <w:ind w:firstLine="480" w:firstLineChars="200"/>
              <w:rPr>
                <w:rFonts w:ascii="Times New Roman" w:hAnsi="Times New Roman" w:eastAsia="仿宋_GB2312" w:cs="Times New Roman"/>
                <w:color w:val="000000" w:themeColor="text1"/>
                <w:kern w:val="0"/>
                <w:sz w:val="24"/>
                <w14:textFill>
                  <w14:solidFill>
                    <w14:schemeClr w14:val="tx1"/>
                  </w14:solidFill>
                </w14:textFill>
              </w:rPr>
            </w:pPr>
            <w:r>
              <w:rPr>
                <w:rFonts w:ascii="Times New Roman" w:hAnsi="Times New Roman" w:eastAsia="仿宋_GB2312" w:cs="Times New Roman"/>
                <w:color w:val="000000" w:themeColor="text1"/>
                <w:kern w:val="0"/>
                <w:sz w:val="24"/>
                <w14:textFill>
                  <w14:solidFill>
                    <w14:schemeClr w14:val="tx1"/>
                  </w14:solidFill>
                </w14:textFill>
              </w:rPr>
              <w:t>3. 项目落地龙岗，带动机器人技术服务商在龙岗开展场景验证，助力龙岗机器人产业应用创新。</w:t>
            </w:r>
          </w:p>
          <w:p w14:paraId="4E1FADB6">
            <w:pPr>
              <w:spacing w:line="320" w:lineRule="exact"/>
              <w:ind w:firstLine="0" w:firstLineChars="0"/>
              <w:rPr>
                <w:rFonts w:ascii="仿宋_GB2312" w:hAnsi="Times New Roman" w:eastAsia="仿宋_GB2312" w:cs="方正仿宋简体"/>
                <w:b/>
                <w:bCs/>
                <w:sz w:val="24"/>
                <w:szCs w:val="20"/>
              </w:rPr>
            </w:pPr>
            <w:r>
              <w:rPr>
                <w:rFonts w:eastAsia="仿宋_GB2312" w:cstheme="minorHAnsi"/>
                <w:b/>
                <w:bCs/>
                <w:sz w:val="24"/>
                <w:szCs w:val="20"/>
              </w:rPr>
              <w:t>②</w:t>
            </w:r>
            <w:r>
              <w:rPr>
                <w:rFonts w:ascii="仿宋_GB2312" w:hAnsi="Times New Roman" w:eastAsia="仿宋_GB2312" w:cs="方正仿宋简体"/>
                <w:b/>
                <w:bCs/>
                <w:sz w:val="24"/>
                <w:szCs w:val="20"/>
              </w:rPr>
              <w:t>社会效益</w:t>
            </w:r>
          </w:p>
          <w:p w14:paraId="111DB83B">
            <w:pPr>
              <w:spacing w:line="320" w:lineRule="exact"/>
              <w:ind w:firstLine="480" w:firstLineChars="200"/>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1.</w:t>
            </w:r>
            <w:r>
              <w:rPr>
                <w:rFonts w:ascii="Times New Roman" w:hAnsi="Times New Roman" w:eastAsia="仿宋_GB2312" w:cs="Times New Roman"/>
                <w:color w:val="000000" w:themeColor="text1"/>
                <w:kern w:val="0"/>
                <w:sz w:val="24"/>
                <w14:textFill>
                  <w14:solidFill>
                    <w14:schemeClr w14:val="tx1"/>
                  </w14:solidFill>
                </w14:textFill>
              </w:rPr>
              <w:t>提升龙岗区教育</w:t>
            </w:r>
            <w:r>
              <w:rPr>
                <w:rFonts w:hint="eastAsia" w:ascii="Times New Roman" w:hAnsi="Times New Roman" w:eastAsia="仿宋_GB2312" w:cs="Times New Roman"/>
                <w:color w:val="000000" w:themeColor="text1"/>
                <w:kern w:val="0"/>
                <w:sz w:val="24"/>
                <w14:textFill>
                  <w14:solidFill>
                    <w14:schemeClr w14:val="tx1"/>
                  </w14:solidFill>
                </w14:textFill>
              </w:rPr>
              <w:t>机构</w:t>
            </w:r>
            <w:r>
              <w:rPr>
                <w:rFonts w:ascii="Times New Roman" w:hAnsi="Times New Roman" w:eastAsia="仿宋_GB2312" w:cs="Times New Roman"/>
                <w:color w:val="000000" w:themeColor="text1"/>
                <w:kern w:val="0"/>
                <w:sz w:val="24"/>
                <w14:textFill>
                  <w14:solidFill>
                    <w14:schemeClr w14:val="tx1"/>
                  </w14:solidFill>
                </w14:textFill>
              </w:rPr>
              <w:t xml:space="preserve">、行政事业单位国有资产精细化管理水平，为公共资产优化配置提供真实动态数据支撑； </w:t>
            </w:r>
          </w:p>
          <w:p w14:paraId="7A245B3D">
            <w:pPr>
              <w:spacing w:line="320" w:lineRule="exact"/>
              <w:ind w:firstLine="480" w:firstLineChars="200"/>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 xml:space="preserve">2.打造全国行政事业单位资产智能盘点机器人标杆示范场景，形成可复制推广的 “龙岗应用样本”； </w:t>
            </w:r>
          </w:p>
          <w:p w14:paraId="074A3991">
            <w:pPr>
              <w:spacing w:line="320" w:lineRule="exact"/>
              <w:ind w:firstLine="480" w:firstLineChars="200"/>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 xml:space="preserve">3.拓展机器人在政务公共服务领域创新赛道，丰富龙岗机器人 “场景 + 产业” 生态，助力 “机器人 +” 在公共服务领域落地； </w:t>
            </w:r>
          </w:p>
          <w:p w14:paraId="06D8B73E">
            <w:pPr>
              <w:spacing w:line="320" w:lineRule="exact"/>
              <w:ind w:firstLine="480" w:firstLineChars="200"/>
              <w:rPr>
                <w:rFonts w:ascii="Times New Roman" w:hAnsi="Times New Roman" w:eastAsia="仿宋_GB2312" w:cs="Times New Roman"/>
                <w:color w:val="000000" w:themeColor="text1"/>
                <w:kern w:val="0"/>
                <w:sz w:val="24"/>
                <w14:textFill>
                  <w14:solidFill>
                    <w14:schemeClr w14:val="tx1"/>
                  </w14:solidFill>
                </w14:textFill>
              </w:rPr>
            </w:pPr>
            <w:r>
              <w:rPr>
                <w:rFonts w:hint="eastAsia" w:ascii="Times New Roman" w:hAnsi="Times New Roman" w:eastAsia="仿宋_GB2312" w:cs="Times New Roman"/>
                <w:color w:val="000000" w:themeColor="text1"/>
                <w:kern w:val="0"/>
                <w:sz w:val="24"/>
                <w14:textFill>
                  <w14:solidFill>
                    <w14:schemeClr w14:val="tx1"/>
                  </w14:solidFill>
                </w14:textFill>
              </w:rPr>
              <w:t>4. 通过机器人常态化巡检，减少行政事业单位重复性人力工作，释放管理人员精力投入核心业务。</w:t>
            </w:r>
          </w:p>
          <w:p w14:paraId="1223BD4B">
            <w:pPr>
              <w:spacing w:line="320" w:lineRule="exact"/>
              <w:ind w:firstLine="480" w:firstLineChars="200"/>
              <w:rPr>
                <w:rFonts w:ascii="仿宋_GB2312" w:hAnsi="Times New Roman" w:eastAsia="仿宋_GB2312" w:cs="方正仿宋简体"/>
                <w:sz w:val="24"/>
                <w:szCs w:val="20"/>
              </w:rPr>
            </w:pPr>
            <w:r>
              <w:rPr>
                <w:rFonts w:hint="eastAsia" w:ascii="Times New Roman" w:hAnsi="Times New Roman" w:eastAsia="仿宋_GB2312" w:cs="Times New Roman"/>
                <w:color w:val="000000" w:themeColor="text1"/>
                <w:kern w:val="0"/>
                <w:sz w:val="24"/>
                <w14:textFill>
                  <w14:solidFill>
                    <w14:schemeClr w14:val="tx1"/>
                  </w14:solidFill>
                </w14:textFill>
              </w:rPr>
              <w:t>5．通过及时更新资产使用状态，提升资产使用效率，助力国有资产盘活，特别是提升高值设备的使用率。</w:t>
            </w:r>
          </w:p>
        </w:tc>
      </w:tr>
    </w:tbl>
    <w:p w14:paraId="7649D600">
      <w:pPr>
        <w:spacing w:line="560" w:lineRule="exact"/>
        <w:rPr>
          <w:rFonts w:hint="eastAsia" w:ascii="黑体" w:hAnsi="黑体" w:eastAsia="黑体" w:cs="黑体"/>
          <w:sz w:val="32"/>
          <w:szCs w:val="32"/>
        </w:rPr>
      </w:pPr>
    </w:p>
    <w:sectPr>
      <w:footerReference r:id="rId3" w:type="default"/>
      <w:pgSz w:w="11906" w:h="16838"/>
      <w:pgMar w:top="2041" w:right="1474" w:bottom="1984"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Segoe UI Symbol">
    <w:altName w:val="Noto Sans"/>
    <w:panose1 w:val="020B0502040204020203"/>
    <w:charset w:val="00"/>
    <w:family w:val="swiss"/>
    <w:pitch w:val="default"/>
    <w:sig w:usb0="00000000" w:usb1="00000000" w:usb2="00040000" w:usb3="04000000" w:csb0="00000001" w:csb1="40000000"/>
  </w:font>
  <w:font w:name="Noto Sans">
    <w:panose1 w:val="020B0502040504020204"/>
    <w:charset w:val="00"/>
    <w:family w:val="auto"/>
    <w:pitch w:val="default"/>
    <w:sig w:usb0="E00002FF" w:usb1="4000201F" w:usb2="08000029" w:usb3="00100000" w:csb0="0000019F" w:csb1="00000000"/>
  </w:font>
  <w:font w:name="Cambria Math">
    <w:altName w:val="DejaVu Math TeX Gyre"/>
    <w:panose1 w:val="02040503050406030204"/>
    <w:charset w:val="00"/>
    <w:family w:val="roman"/>
    <w:pitch w:val="default"/>
    <w:sig w:usb0="00000000" w:usb1="00000000" w:usb2="02000000" w:usb3="00000000" w:csb0="2000019F" w:csb1="00000000"/>
  </w:font>
  <w:font w:name="DejaVu Math TeX Gyre">
    <w:panose1 w:val="02000503000000000000"/>
    <w:charset w:val="00"/>
    <w:family w:val="auto"/>
    <w:pitch w:val="default"/>
    <w:sig w:usb0="A10000EF" w:usb1="4201F9EE" w:usb2="02000000" w:usb3="00000000" w:csb0="60000193" w:csb1="0DD40000"/>
  </w:font>
  <w:font w:name="方正仿宋简体">
    <w:altName w:val="方正仿宋_GBK"/>
    <w:panose1 w:val="00000000000000000000"/>
    <w:charset w:val="86"/>
    <w:family w:val="roman"/>
    <w:pitch w:val="default"/>
    <w:sig w:usb0="00000000" w:usb1="00000000" w:usb2="00000012" w:usb3="00000000" w:csb0="00040001" w:csb1="00000000"/>
  </w:font>
  <w:font w:name="Arial">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69E60">
    <w:pPr>
      <w:pStyle w:val="8"/>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394938">
                          <w:pPr>
                            <w:pStyle w:val="8"/>
                            <w:rPr>
                              <w:rFonts w:hint="eastAsia" w:ascii="仿宋_GB2312" w:hAnsi="仿宋_GB2312" w:eastAsia="仿宋_GB2312" w:cs="仿宋_GB2312"/>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B394938">
                    <w:pPr>
                      <w:pStyle w:val="8"/>
                      <w:rPr>
                        <w:rFonts w:hint="eastAsia" w:ascii="仿宋_GB2312" w:hAnsi="仿宋_GB2312" w:eastAsia="仿宋_GB2312" w:cs="仿宋_GB2312"/>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System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62B"/>
    <w:rsid w:val="000143FD"/>
    <w:rsid w:val="00037352"/>
    <w:rsid w:val="0009449A"/>
    <w:rsid w:val="000B1747"/>
    <w:rsid w:val="000C5AD6"/>
    <w:rsid w:val="00100187"/>
    <w:rsid w:val="001B57AF"/>
    <w:rsid w:val="002555D2"/>
    <w:rsid w:val="00263145"/>
    <w:rsid w:val="002B6F91"/>
    <w:rsid w:val="002C5B36"/>
    <w:rsid w:val="002D729E"/>
    <w:rsid w:val="002F0859"/>
    <w:rsid w:val="002F08FC"/>
    <w:rsid w:val="003B7B40"/>
    <w:rsid w:val="003E1C24"/>
    <w:rsid w:val="004608A2"/>
    <w:rsid w:val="004A22A2"/>
    <w:rsid w:val="004D545F"/>
    <w:rsid w:val="004E575D"/>
    <w:rsid w:val="005258EC"/>
    <w:rsid w:val="00566958"/>
    <w:rsid w:val="00581CD6"/>
    <w:rsid w:val="005A24E5"/>
    <w:rsid w:val="005E1F5E"/>
    <w:rsid w:val="00601C62"/>
    <w:rsid w:val="00653CD3"/>
    <w:rsid w:val="006C6162"/>
    <w:rsid w:val="00746B6E"/>
    <w:rsid w:val="007C24E2"/>
    <w:rsid w:val="00817B30"/>
    <w:rsid w:val="00832E2E"/>
    <w:rsid w:val="008334DC"/>
    <w:rsid w:val="00962746"/>
    <w:rsid w:val="00A31BA7"/>
    <w:rsid w:val="00A553E7"/>
    <w:rsid w:val="00B0286F"/>
    <w:rsid w:val="00D018E6"/>
    <w:rsid w:val="00D44F98"/>
    <w:rsid w:val="00DB1EC0"/>
    <w:rsid w:val="00DD782D"/>
    <w:rsid w:val="00DE3437"/>
    <w:rsid w:val="00E31D04"/>
    <w:rsid w:val="00E4058D"/>
    <w:rsid w:val="00E7162B"/>
    <w:rsid w:val="00EE070F"/>
    <w:rsid w:val="00EE0943"/>
    <w:rsid w:val="00F16C2C"/>
    <w:rsid w:val="00F4594C"/>
    <w:rsid w:val="00F72B3F"/>
    <w:rsid w:val="00F7630A"/>
    <w:rsid w:val="00F85BFE"/>
    <w:rsid w:val="00F95A88"/>
    <w:rsid w:val="00FB672C"/>
    <w:rsid w:val="017D07C9"/>
    <w:rsid w:val="02994018"/>
    <w:rsid w:val="03484207"/>
    <w:rsid w:val="03840469"/>
    <w:rsid w:val="0455059A"/>
    <w:rsid w:val="048C5A1D"/>
    <w:rsid w:val="067D77AC"/>
    <w:rsid w:val="08AC0E08"/>
    <w:rsid w:val="0924072D"/>
    <w:rsid w:val="098350DA"/>
    <w:rsid w:val="0AB8556E"/>
    <w:rsid w:val="0B476C1F"/>
    <w:rsid w:val="0BCF4BEF"/>
    <w:rsid w:val="0C2E3359"/>
    <w:rsid w:val="0FB44DF8"/>
    <w:rsid w:val="0FFD084B"/>
    <w:rsid w:val="0FFF7290"/>
    <w:rsid w:val="10A122E9"/>
    <w:rsid w:val="17D411F6"/>
    <w:rsid w:val="17F453F5"/>
    <w:rsid w:val="18046DB4"/>
    <w:rsid w:val="196AD810"/>
    <w:rsid w:val="19B6E7BF"/>
    <w:rsid w:val="1A7606F3"/>
    <w:rsid w:val="1B515AF1"/>
    <w:rsid w:val="1B5FBF99"/>
    <w:rsid w:val="1BA79CDC"/>
    <w:rsid w:val="1BB47375"/>
    <w:rsid w:val="1D151E47"/>
    <w:rsid w:val="1D6372A4"/>
    <w:rsid w:val="1D8965DF"/>
    <w:rsid w:val="1DA25E06"/>
    <w:rsid w:val="1E5310C7"/>
    <w:rsid w:val="1EBB93FF"/>
    <w:rsid w:val="1EF323E1"/>
    <w:rsid w:val="1F6706ED"/>
    <w:rsid w:val="1FED819C"/>
    <w:rsid w:val="213D1BBA"/>
    <w:rsid w:val="21E32762"/>
    <w:rsid w:val="23D305B4"/>
    <w:rsid w:val="23E991EA"/>
    <w:rsid w:val="25A1532D"/>
    <w:rsid w:val="25FB5C8D"/>
    <w:rsid w:val="277D9957"/>
    <w:rsid w:val="27EE6D51"/>
    <w:rsid w:val="27FF6CEE"/>
    <w:rsid w:val="28681057"/>
    <w:rsid w:val="293C03A1"/>
    <w:rsid w:val="295F4AB9"/>
    <w:rsid w:val="296B118E"/>
    <w:rsid w:val="2A2B5644"/>
    <w:rsid w:val="2B006133"/>
    <w:rsid w:val="2EE7C452"/>
    <w:rsid w:val="2F99C37D"/>
    <w:rsid w:val="2FDDE057"/>
    <w:rsid w:val="30BF49EF"/>
    <w:rsid w:val="31856E21"/>
    <w:rsid w:val="3410029C"/>
    <w:rsid w:val="34D466B4"/>
    <w:rsid w:val="367D4FF9"/>
    <w:rsid w:val="36D154B9"/>
    <w:rsid w:val="37DE3C9F"/>
    <w:rsid w:val="39E38617"/>
    <w:rsid w:val="39FD5F33"/>
    <w:rsid w:val="3A5402D2"/>
    <w:rsid w:val="3B0752BB"/>
    <w:rsid w:val="3B7E465F"/>
    <w:rsid w:val="3B7F5941"/>
    <w:rsid w:val="3BDE13E8"/>
    <w:rsid w:val="3BEBC578"/>
    <w:rsid w:val="3D2FD38D"/>
    <w:rsid w:val="3D5FD812"/>
    <w:rsid w:val="3DDBE88D"/>
    <w:rsid w:val="3DFF58F7"/>
    <w:rsid w:val="3E6C7E6F"/>
    <w:rsid w:val="3EBE72C0"/>
    <w:rsid w:val="3F3F54AD"/>
    <w:rsid w:val="3F8D54A2"/>
    <w:rsid w:val="3FDEF73E"/>
    <w:rsid w:val="3FF7E75F"/>
    <w:rsid w:val="3FFB7D85"/>
    <w:rsid w:val="3FFBB406"/>
    <w:rsid w:val="3FFD3B98"/>
    <w:rsid w:val="3FFF5C5F"/>
    <w:rsid w:val="41DF3C4C"/>
    <w:rsid w:val="42ED4D97"/>
    <w:rsid w:val="43E07956"/>
    <w:rsid w:val="44B042CE"/>
    <w:rsid w:val="46483E01"/>
    <w:rsid w:val="46D46C38"/>
    <w:rsid w:val="47395243"/>
    <w:rsid w:val="474B7D77"/>
    <w:rsid w:val="47E56984"/>
    <w:rsid w:val="485951EC"/>
    <w:rsid w:val="49B74D2D"/>
    <w:rsid w:val="49DB6C5E"/>
    <w:rsid w:val="4C3E406E"/>
    <w:rsid w:val="4D090F5F"/>
    <w:rsid w:val="4DD6AC44"/>
    <w:rsid w:val="4E2E44B5"/>
    <w:rsid w:val="4F5543EF"/>
    <w:rsid w:val="4F7A8014"/>
    <w:rsid w:val="504514CC"/>
    <w:rsid w:val="508F6E38"/>
    <w:rsid w:val="50B310E3"/>
    <w:rsid w:val="531445D8"/>
    <w:rsid w:val="53334F6F"/>
    <w:rsid w:val="565A22EB"/>
    <w:rsid w:val="56F6563D"/>
    <w:rsid w:val="57D7CCB7"/>
    <w:rsid w:val="58330577"/>
    <w:rsid w:val="590B1ADE"/>
    <w:rsid w:val="5A2D03CA"/>
    <w:rsid w:val="5AFF6E5F"/>
    <w:rsid w:val="5B71530F"/>
    <w:rsid w:val="5BFD2097"/>
    <w:rsid w:val="5C346947"/>
    <w:rsid w:val="5CF43DA1"/>
    <w:rsid w:val="5D79399F"/>
    <w:rsid w:val="5DE34D44"/>
    <w:rsid w:val="5DF748C4"/>
    <w:rsid w:val="5DFFFEB0"/>
    <w:rsid w:val="5E566EE4"/>
    <w:rsid w:val="5E8CF660"/>
    <w:rsid w:val="5EA038B2"/>
    <w:rsid w:val="5EFD4A00"/>
    <w:rsid w:val="5EFF07BD"/>
    <w:rsid w:val="5F1B3579"/>
    <w:rsid w:val="5F942D12"/>
    <w:rsid w:val="5FBE9B08"/>
    <w:rsid w:val="5FCBAB8E"/>
    <w:rsid w:val="5FDC2F30"/>
    <w:rsid w:val="5FE6542C"/>
    <w:rsid w:val="5FFE2E6F"/>
    <w:rsid w:val="5FFE3534"/>
    <w:rsid w:val="5FFFF88F"/>
    <w:rsid w:val="60E70C20"/>
    <w:rsid w:val="60F4333C"/>
    <w:rsid w:val="61DD6989"/>
    <w:rsid w:val="631F74BC"/>
    <w:rsid w:val="63E9680E"/>
    <w:rsid w:val="64817B3D"/>
    <w:rsid w:val="667FC0EE"/>
    <w:rsid w:val="67FC8436"/>
    <w:rsid w:val="683C02AC"/>
    <w:rsid w:val="6B2F9C3E"/>
    <w:rsid w:val="6B841E8D"/>
    <w:rsid w:val="6E125199"/>
    <w:rsid w:val="6EB7CCBF"/>
    <w:rsid w:val="6F383D07"/>
    <w:rsid w:val="6F3F9144"/>
    <w:rsid w:val="6F5B5E8A"/>
    <w:rsid w:val="6F76B2F3"/>
    <w:rsid w:val="6FBFDE40"/>
    <w:rsid w:val="6FF7E679"/>
    <w:rsid w:val="72F90170"/>
    <w:rsid w:val="72FE7215"/>
    <w:rsid w:val="736DC0EF"/>
    <w:rsid w:val="740F6527"/>
    <w:rsid w:val="76BE9F9C"/>
    <w:rsid w:val="76F5AB6F"/>
    <w:rsid w:val="7775C95F"/>
    <w:rsid w:val="77872C35"/>
    <w:rsid w:val="77EB51FC"/>
    <w:rsid w:val="77F34D25"/>
    <w:rsid w:val="77F70F91"/>
    <w:rsid w:val="77FD8A3F"/>
    <w:rsid w:val="77FE67C0"/>
    <w:rsid w:val="7867AA0D"/>
    <w:rsid w:val="78F15C7F"/>
    <w:rsid w:val="78FF21B6"/>
    <w:rsid w:val="79EED6AF"/>
    <w:rsid w:val="7A6BD8AE"/>
    <w:rsid w:val="7ABF9165"/>
    <w:rsid w:val="7AD85D51"/>
    <w:rsid w:val="7B2F6BC8"/>
    <w:rsid w:val="7BFD5E74"/>
    <w:rsid w:val="7BFFA321"/>
    <w:rsid w:val="7C7EECF1"/>
    <w:rsid w:val="7D8EEADD"/>
    <w:rsid w:val="7DBE72CD"/>
    <w:rsid w:val="7DCE40DB"/>
    <w:rsid w:val="7E3A6F4A"/>
    <w:rsid w:val="7EB32A31"/>
    <w:rsid w:val="7EB79499"/>
    <w:rsid w:val="7F3FD136"/>
    <w:rsid w:val="7F5D406C"/>
    <w:rsid w:val="7F6892CD"/>
    <w:rsid w:val="7F6BBF37"/>
    <w:rsid w:val="7F75BF0B"/>
    <w:rsid w:val="7F7E3096"/>
    <w:rsid w:val="7F7F5E58"/>
    <w:rsid w:val="7FCAE10B"/>
    <w:rsid w:val="7FDA1BEF"/>
    <w:rsid w:val="7FDF5309"/>
    <w:rsid w:val="7FDFA6F0"/>
    <w:rsid w:val="7FF5DC55"/>
    <w:rsid w:val="7FFAC20F"/>
    <w:rsid w:val="7FFD98BE"/>
    <w:rsid w:val="7FFE65A3"/>
    <w:rsid w:val="8FAFEFEF"/>
    <w:rsid w:val="9ED7BDBA"/>
    <w:rsid w:val="A1FD947C"/>
    <w:rsid w:val="A3E7464E"/>
    <w:rsid w:val="AABF4527"/>
    <w:rsid w:val="AF7B7952"/>
    <w:rsid w:val="AF9F8FCA"/>
    <w:rsid w:val="B75D8BF8"/>
    <w:rsid w:val="B7DF0942"/>
    <w:rsid w:val="B8EB41BC"/>
    <w:rsid w:val="B9EE4007"/>
    <w:rsid w:val="BBBF35EF"/>
    <w:rsid w:val="BBEF55F8"/>
    <w:rsid w:val="BD7DC420"/>
    <w:rsid w:val="BE489A38"/>
    <w:rsid w:val="BE7F0907"/>
    <w:rsid w:val="BEFD7B84"/>
    <w:rsid w:val="BFB636F8"/>
    <w:rsid w:val="BFFFACDB"/>
    <w:rsid w:val="C2F50BC2"/>
    <w:rsid w:val="C4779D79"/>
    <w:rsid w:val="C6EF96BF"/>
    <w:rsid w:val="CDAFB7F2"/>
    <w:rsid w:val="CEF16418"/>
    <w:rsid w:val="CF2BB839"/>
    <w:rsid w:val="CFC547A0"/>
    <w:rsid w:val="D8FE6B86"/>
    <w:rsid w:val="D97FD55E"/>
    <w:rsid w:val="DABECB7F"/>
    <w:rsid w:val="DAFF16ED"/>
    <w:rsid w:val="DAFF703A"/>
    <w:rsid w:val="DBECDDA7"/>
    <w:rsid w:val="DCFAAB5D"/>
    <w:rsid w:val="DD0F2569"/>
    <w:rsid w:val="DD9FEC49"/>
    <w:rsid w:val="DDB733C3"/>
    <w:rsid w:val="DDECA757"/>
    <w:rsid w:val="DDFCAE25"/>
    <w:rsid w:val="DEF8473D"/>
    <w:rsid w:val="DF3799DE"/>
    <w:rsid w:val="DF7B0C6C"/>
    <w:rsid w:val="DF7F9847"/>
    <w:rsid w:val="DFB3786F"/>
    <w:rsid w:val="DFFD4249"/>
    <w:rsid w:val="E2FFFB61"/>
    <w:rsid w:val="E7F398C0"/>
    <w:rsid w:val="E7FB3D8D"/>
    <w:rsid w:val="E96F863A"/>
    <w:rsid w:val="E97D3A32"/>
    <w:rsid w:val="ED5F5FAA"/>
    <w:rsid w:val="EDE786BC"/>
    <w:rsid w:val="EEC871C7"/>
    <w:rsid w:val="EF7F672B"/>
    <w:rsid w:val="EFCEDB15"/>
    <w:rsid w:val="EFEF3883"/>
    <w:rsid w:val="F297A4D4"/>
    <w:rsid w:val="F35F078F"/>
    <w:rsid w:val="F67E40E5"/>
    <w:rsid w:val="F6A18827"/>
    <w:rsid w:val="F73BC0E3"/>
    <w:rsid w:val="F74DA2EE"/>
    <w:rsid w:val="F7BFA59C"/>
    <w:rsid w:val="F7DF543E"/>
    <w:rsid w:val="F7EB244D"/>
    <w:rsid w:val="F7F4DBFA"/>
    <w:rsid w:val="F7FBBD65"/>
    <w:rsid w:val="F9BF8FF5"/>
    <w:rsid w:val="F9EF39E2"/>
    <w:rsid w:val="FA77693C"/>
    <w:rsid w:val="FB4ED248"/>
    <w:rsid w:val="FBB6C733"/>
    <w:rsid w:val="FBD341E4"/>
    <w:rsid w:val="FBEDFF11"/>
    <w:rsid w:val="FBF7BB84"/>
    <w:rsid w:val="FBF87B06"/>
    <w:rsid w:val="FBFE3C38"/>
    <w:rsid w:val="FD1752FB"/>
    <w:rsid w:val="FD7B3E84"/>
    <w:rsid w:val="FD8D47AA"/>
    <w:rsid w:val="FDDD24AB"/>
    <w:rsid w:val="FDFB112D"/>
    <w:rsid w:val="FE7641C8"/>
    <w:rsid w:val="FE9FD1B4"/>
    <w:rsid w:val="FEAFA280"/>
    <w:rsid w:val="FEBF1651"/>
    <w:rsid w:val="FEE5CBF6"/>
    <w:rsid w:val="FEFB4F67"/>
    <w:rsid w:val="FEFE30B3"/>
    <w:rsid w:val="FEFF8002"/>
    <w:rsid w:val="FF1DD433"/>
    <w:rsid w:val="FF56486A"/>
    <w:rsid w:val="FF7FB80B"/>
    <w:rsid w:val="FFB726D9"/>
    <w:rsid w:val="FFB7806A"/>
    <w:rsid w:val="FFDDF856"/>
    <w:rsid w:val="FFDEADEB"/>
    <w:rsid w:val="FFECC579"/>
    <w:rsid w:val="FFF4C521"/>
    <w:rsid w:val="FFF7A9F8"/>
    <w:rsid w:val="FFF7BAA3"/>
    <w:rsid w:val="FFFD438A"/>
    <w:rsid w:val="FFFD9611"/>
    <w:rsid w:val="FFFE5C4F"/>
    <w:rsid w:val="FFFF4FF6"/>
    <w:rsid w:val="FFFF9150"/>
    <w:rsid w:val="FFFF9ADB"/>
    <w:rsid w:val="FFFFB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autoSpaceDE w:val="0"/>
      <w:autoSpaceDN w:val="0"/>
      <w:spacing w:line="600" w:lineRule="exact"/>
      <w:ind w:firstLine="400"/>
      <w:jc w:val="left"/>
      <w:outlineLvl w:val="1"/>
    </w:pPr>
    <w:rPr>
      <w:rFonts w:hint="eastAsia" w:eastAsia="方正楷体_GBK"/>
      <w:kern w:val="0"/>
      <w:sz w:val="34"/>
      <w:szCs w:val="34"/>
      <w:lang w:val="zh-CN" w:bidi="zh-CN"/>
    </w:rPr>
  </w:style>
  <w:style w:type="paragraph" w:styleId="3">
    <w:name w:val="heading 5"/>
    <w:basedOn w:val="1"/>
    <w:next w:val="1"/>
    <w:semiHidden/>
    <w:unhideWhenUsed/>
    <w:qFormat/>
    <w:uiPriority w:val="0"/>
    <w:pPr>
      <w:spacing w:beforeAutospacing="1" w:afterAutospacing="1"/>
      <w:jc w:val="left"/>
      <w:outlineLvl w:val="4"/>
    </w:pPr>
    <w:rPr>
      <w:rFonts w:hint="eastAsia" w:ascii="宋体" w:hAnsi="宋体" w:eastAsia="宋体" w:cs="Times New Roman"/>
      <w:b/>
      <w:bCs/>
      <w:kern w:val="0"/>
      <w:sz w:val="20"/>
      <w:szCs w:val="20"/>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qFormat/>
    <w:uiPriority w:val="0"/>
    <w:pPr>
      <w:ind w:firstLine="420" w:firstLineChars="200"/>
    </w:pPr>
    <w:rPr>
      <w:rFonts w:ascii="Times New Roman" w:hAnsi="Times New Roman" w:eastAsia="宋体" w:cs="Times New Roman"/>
    </w:rPr>
  </w:style>
  <w:style w:type="paragraph" w:styleId="5">
    <w:name w:val="Body Text"/>
    <w:basedOn w:val="1"/>
    <w:next w:val="6"/>
    <w:qFormat/>
    <w:uiPriority w:val="1"/>
    <w:pPr>
      <w:ind w:left="138"/>
      <w:jc w:val="left"/>
    </w:pPr>
    <w:rPr>
      <w:rFonts w:ascii="宋体" w:hAnsi="宋体"/>
      <w:kern w:val="0"/>
      <w:sz w:val="24"/>
      <w:lang w:eastAsia="en-US"/>
    </w:rPr>
  </w:style>
  <w:style w:type="paragraph" w:styleId="6">
    <w:name w:val="Title"/>
    <w:basedOn w:val="1"/>
    <w:next w:val="1"/>
    <w:qFormat/>
    <w:uiPriority w:val="99"/>
    <w:pPr>
      <w:jc w:val="center"/>
    </w:pPr>
    <w:rPr>
      <w:rFonts w:ascii="方正小标宋简体" w:hAnsi="方正小标宋简体" w:eastAsia="方正小标宋简体" w:cs="方正小标宋简体"/>
      <w:sz w:val="44"/>
      <w:szCs w:val="44"/>
    </w:rPr>
  </w:style>
  <w:style w:type="paragraph" w:styleId="7">
    <w:name w:val="annotation text"/>
    <w:basedOn w:val="1"/>
    <w:qFormat/>
    <w:uiPriority w:val="0"/>
    <w:pPr>
      <w:jc w:val="left"/>
    </w:pPr>
  </w:style>
  <w:style w:type="paragraph" w:styleId="8">
    <w:name w:val="footer"/>
    <w:basedOn w:val="1"/>
    <w:next w:val="9"/>
    <w:qFormat/>
    <w:uiPriority w:val="0"/>
    <w:pPr>
      <w:snapToGrid w:val="0"/>
      <w:jc w:val="left"/>
    </w:pPr>
    <w:rPr>
      <w:sz w:val="18"/>
      <w:szCs w:val="18"/>
    </w:rPr>
  </w:style>
  <w:style w:type="paragraph" w:customStyle="1" w:styleId="9">
    <w:name w:val="目录 91"/>
    <w:next w:val="1"/>
    <w:qFormat/>
    <w:uiPriority w:val="0"/>
    <w:pPr>
      <w:wordWrap w:val="0"/>
      <w:spacing w:after="200" w:line="276" w:lineRule="auto"/>
      <w:ind w:left="2975"/>
      <w:jc w:val="both"/>
    </w:pPr>
    <w:rPr>
      <w:rFonts w:ascii="Calibri" w:hAnsi="Calibri" w:eastAsia="宋体" w:cs="Calibri"/>
      <w:sz w:val="21"/>
      <w:szCs w:val="21"/>
      <w:lang w:val="en-US" w:eastAsia="zh-CN" w:bidi="ar-SA"/>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index 9"/>
    <w:basedOn w:val="1"/>
    <w:next w:val="1"/>
    <w:qFormat/>
    <w:uiPriority w:val="0"/>
    <w:pPr>
      <w:ind w:left="1600" w:leftChars="1600"/>
    </w:pPr>
  </w:style>
  <w:style w:type="paragraph" w:styleId="12">
    <w:name w:val="Normal (Web)"/>
    <w:basedOn w:val="1"/>
    <w:qFormat/>
    <w:uiPriority w:val="0"/>
    <w:pPr>
      <w:spacing w:beforeAutospacing="1" w:afterAutospacing="1"/>
      <w:jc w:val="left"/>
    </w:pPr>
    <w:rPr>
      <w:rFonts w:cs="Times New Roman"/>
      <w:kern w:val="0"/>
      <w:sz w:val="24"/>
    </w:rPr>
  </w:style>
  <w:style w:type="table" w:styleId="14">
    <w:name w:val="Table Grid"/>
    <w:basedOn w:val="13"/>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annotation reference"/>
    <w:basedOn w:val="15"/>
    <w:qFormat/>
    <w:uiPriority w:val="0"/>
    <w:rPr>
      <w:sz w:val="21"/>
      <w:szCs w:val="21"/>
    </w:rPr>
  </w:style>
  <w:style w:type="paragraph" w:customStyle="1" w:styleId="18">
    <w:name w:val="_Style 1"/>
    <w:basedOn w:val="1"/>
    <w:qFormat/>
    <w:uiPriority w:val="0"/>
    <w:pPr>
      <w:ind w:firstLine="200" w:firstLineChars="200"/>
    </w:pPr>
    <w:rPr>
      <w:rFonts w:ascii="宋体" w:hAnsi="宋体" w:eastAsia="仿宋_GB2312" w:cs="Times New Roman"/>
      <w:sz w:val="32"/>
      <w:szCs w:val="32"/>
    </w:rPr>
  </w:style>
  <w:style w:type="paragraph" w:customStyle="1" w:styleId="19">
    <w:name w:val="纯文本1"/>
    <w:basedOn w:val="1"/>
    <w:qFormat/>
    <w:uiPriority w:val="0"/>
    <w:rPr>
      <w:rFonts w:ascii="宋体" w:hAnsi="Courier New" w:eastAsia="宋体" w:cs="Courier New"/>
    </w:rPr>
  </w:style>
  <w:style w:type="paragraph" w:customStyle="1" w:styleId="20">
    <w:name w:val="正文_0"/>
    <w:next w:val="5"/>
    <w:qFormat/>
    <w:uiPriority w:val="0"/>
    <w:pPr>
      <w:widowControl w:val="0"/>
      <w:jc w:val="both"/>
    </w:pPr>
    <w:rPr>
      <w:rFonts w:ascii="Calibri" w:hAnsi="Calibri" w:eastAsia="宋体" w:cs="Times New Roman"/>
      <w:kern w:val="2"/>
      <w:sz w:val="21"/>
      <w:szCs w:val="24"/>
      <w:lang w:val="en-US" w:eastAsia="zh-CN" w:bidi="ar-SA"/>
    </w:rPr>
  </w:style>
  <w:style w:type="table" w:customStyle="1" w:styleId="21">
    <w:name w:val="网格型1"/>
    <w:basedOn w:val="1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2">
    <w:name w:val="font51"/>
    <w:basedOn w:val="15"/>
    <w:qFormat/>
    <w:uiPriority w:val="0"/>
    <w:rPr>
      <w:rFonts w:hint="default" w:ascii="仿宋_GB2312" w:eastAsia="仿宋_GB2312" w:cs="仿宋_GB2312"/>
      <w:color w:val="000000"/>
      <w:sz w:val="28"/>
      <w:szCs w:val="28"/>
      <w:u w:val="none"/>
    </w:rPr>
  </w:style>
  <w:style w:type="paragraph" w:customStyle="1" w:styleId="23">
    <w:name w:val="Default"/>
    <w:qFormat/>
    <w:uiPriority w:val="0"/>
    <w:pPr>
      <w:widowControl w:val="0"/>
      <w:autoSpaceDE w:val="0"/>
      <w:autoSpaceDN w:val="0"/>
      <w:adjustRightInd w:val="0"/>
    </w:pPr>
    <w:rPr>
      <w:rFonts w:ascii="仿宋" w:hAnsi="仿宋" w:eastAsia="宋体" w:cs="仿宋"/>
      <w:color w:val="000000"/>
      <w:sz w:val="24"/>
      <w:szCs w:val="24"/>
      <w:lang w:val="en-US" w:eastAsia="zh-CN" w:bidi="ar-SA"/>
    </w:rPr>
  </w:style>
  <w:style w:type="character" w:customStyle="1" w:styleId="24">
    <w:name w:val="font11"/>
    <w:basedOn w:val="15"/>
    <w:qFormat/>
    <w:uiPriority w:val="0"/>
    <w:rPr>
      <w:rFonts w:hint="eastAsia" w:ascii="宋体" w:hAnsi="宋体" w:eastAsia="宋体" w:cs="宋体"/>
      <w:color w:val="000000"/>
      <w:sz w:val="22"/>
      <w:szCs w:val="22"/>
      <w:u w:val="none"/>
    </w:rPr>
  </w:style>
  <w:style w:type="character" w:customStyle="1" w:styleId="25">
    <w:name w:val="font01"/>
    <w:basedOn w:val="15"/>
    <w:qFormat/>
    <w:uiPriority w:val="0"/>
    <w:rPr>
      <w:rFonts w:hint="eastAsia" w:ascii="宋体" w:hAnsi="宋体" w:eastAsia="宋体" w:cs="宋体"/>
      <w:color w:val="000000"/>
      <w:sz w:val="22"/>
      <w:szCs w:val="22"/>
      <w:u w:val="single"/>
    </w:rPr>
  </w:style>
  <w:style w:type="paragraph" w:customStyle="1" w:styleId="26">
    <w:name w:val="样式2"/>
    <w:basedOn w:val="1"/>
    <w:qFormat/>
    <w:uiPriority w:val="0"/>
    <w:pPr>
      <w:widowControl/>
      <w:shd w:val="clear" w:color="auto" w:fill="FFFFFF"/>
      <w:ind w:firstLine="643" w:firstLineChars="200"/>
      <w:outlineLvl w:val="1"/>
    </w:pPr>
    <w:rPr>
      <w:rFonts w:ascii="楷体_GB2312" w:hAnsi="Arial" w:eastAsia="楷体_GB2312" w:cs="Arial"/>
      <w:b/>
      <w:color w:val="000000"/>
      <w:kern w:val="0"/>
      <w:sz w:val="32"/>
      <w:szCs w:val="32"/>
    </w:rPr>
  </w:style>
  <w:style w:type="paragraph" w:styleId="27">
    <w:name w:val="List Paragraph"/>
    <w:basedOn w:val="1"/>
    <w:unhideWhenUsed/>
    <w:qFormat/>
    <w:uiPriority w:val="99"/>
    <w:pPr>
      <w:ind w:firstLine="420" w:firstLineChars="200"/>
    </w:pPr>
  </w:style>
  <w:style w:type="paragraph" w:customStyle="1" w:styleId="28">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1940</Words>
  <Characters>2020</Characters>
  <Lines>25</Lines>
  <Paragraphs>7</Paragraphs>
  <TotalTime>366</TotalTime>
  <ScaleCrop>false</ScaleCrop>
  <LinksUpToDate>false</LinksUpToDate>
  <CharactersWithSpaces>2066</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2026-08-21T12:11:00Z</dcterms:created>
  <dc:creator>PC</dc:creator>
  <cp:lastModifiedBy>黎兆基rjs</cp:lastModifiedBy>
  <cp:lastPrinted>2026-08-27T15:46:00Z</cp:lastPrinted>
  <dcterms:modified xsi:type="dcterms:W3CDTF">2026-10-27T10:21:17Z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C3EFEF1638924EBE8629AE3BB76D0B1C_13</vt:lpwstr>
  </property>
  <property fmtid="{D5CDD505-2E9C-101B-9397-08002B2CF9AE}" pid="4" name="KSOTemplateDocerSaveRecord">
    <vt:lpwstr>eyJoZGlkIjoiNzg3OTczNzI0ZWJiZjRjNDQ5ZjMxYzE5NzFmNzE4MjMiLCJ1c2VySWQiOiIxMzA2Mzc0OTg5In0=</vt:lpwstr>
  </property>
</Properties>
</file>