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7A848">
      <w:pPr>
        <w:spacing w:line="540" w:lineRule="exact"/>
        <w:jc w:val="center"/>
        <w:rPr>
          <w:rFonts w:hint="eastAsia" w:ascii="仿宋_GB2312" w:hAnsi="方正小标宋_GBK" w:eastAsia="仿宋_GB2312" w:cs="方正小标宋_GBK"/>
          <w:sz w:val="44"/>
          <w:szCs w:val="44"/>
        </w:rPr>
      </w:pPr>
      <w:r>
        <w:rPr>
          <w:rFonts w:hint="eastAsia" w:ascii="仿宋_GB2312" w:hAnsi="方正小标宋_GBK" w:eastAsia="仿宋_GB2312" w:cs="方正小标宋_GBK"/>
          <w:sz w:val="44"/>
          <w:szCs w:val="44"/>
        </w:rPr>
        <w:t>深圳市龙岗区机器人应用场景揭榜挂帅</w:t>
      </w:r>
    </w:p>
    <w:p w14:paraId="52EFCB64">
      <w:pPr>
        <w:spacing w:line="540" w:lineRule="exact"/>
        <w:jc w:val="center"/>
        <w:rPr>
          <w:rFonts w:hint="eastAsia" w:ascii="仿宋_GB2312" w:hAnsi="方正小标宋_GBK" w:eastAsia="仿宋_GB2312" w:cs="方正小标宋_GBK"/>
          <w:sz w:val="44"/>
          <w:szCs w:val="44"/>
        </w:rPr>
      </w:pPr>
      <w:r>
        <w:rPr>
          <w:rFonts w:hint="eastAsia" w:ascii="仿宋_GB2312" w:hAnsi="方正小标宋_GBK" w:eastAsia="仿宋_GB2312" w:cs="方正小标宋_GBK"/>
          <w:sz w:val="44"/>
          <w:szCs w:val="44"/>
        </w:rPr>
        <w:t>项目榜单征集表</w:t>
      </w:r>
    </w:p>
    <w:p w14:paraId="545A9145">
      <w:pPr>
        <w:spacing w:before="156" w:beforeLines="50" w:after="156" w:afterLines="50" w:line="320" w:lineRule="exact"/>
        <w:rPr>
          <w:rFonts w:hint="eastAsia" w:ascii="仿宋_GB2312" w:hAnsi="Times New Roman" w:eastAsia="仿宋_GB2312" w:cs="Times New Roman"/>
          <w:b/>
          <w:bCs/>
          <w:color w:val="000000" w:themeColor="text1"/>
          <w:sz w:val="24"/>
          <w14:textFill>
            <w14:solidFill>
              <w14:schemeClr w14:val="tx1"/>
            </w14:solidFill>
          </w14:textFill>
        </w:rPr>
      </w:pPr>
      <w:r>
        <w:rPr>
          <w:rFonts w:hint="eastAsia" w:ascii="仿宋_GB2312" w:hAnsi="Times New Roman" w:eastAsia="仿宋_GB2312" w:cs="Times New Roman"/>
          <w:b/>
          <w:bCs/>
          <w:color w:val="000000" w:themeColor="text1"/>
          <w:sz w:val="24"/>
          <w14:textFill>
            <w14:solidFill>
              <w14:schemeClr w14:val="tx1"/>
            </w14:solidFill>
          </w14:textFill>
        </w:rPr>
        <w:t>场景需求方（盖章）：</w:t>
      </w:r>
      <w:r>
        <w:rPr>
          <w:rFonts w:hint="eastAsia" w:ascii="仿宋_GB2312" w:hAnsi="Times New Roman" w:eastAsia="仿宋_GB2312" w:cs="Times New Roman"/>
          <w:b/>
          <w:bCs/>
          <w:color w:val="000000" w:themeColor="text1"/>
          <w:sz w:val="24"/>
          <w:lang w:val="en-US" w:eastAsia="zh-CN"/>
          <w14:textFill>
            <w14:solidFill>
              <w14:schemeClr w14:val="tx1"/>
            </w14:solidFill>
          </w14:textFill>
        </w:rPr>
        <w:t>深圳市龙岗区数据集团有限</w:t>
      </w:r>
      <w:r>
        <w:rPr>
          <w:rFonts w:hint="eastAsia" w:ascii="仿宋_GB2312" w:hAnsi="Times New Roman" w:eastAsia="仿宋_GB2312" w:cs="Times New Roman"/>
          <w:b/>
          <w:bCs/>
          <w:color w:val="000000" w:themeColor="text1"/>
          <w:sz w:val="24"/>
          <w14:textFill>
            <w14:solidFill>
              <w14:schemeClr w14:val="tx1"/>
            </w14:solidFill>
          </w14:textFill>
        </w:rPr>
        <w:t>公司</w:t>
      </w:r>
    </w:p>
    <w:tbl>
      <w:tblPr>
        <w:tblStyle w:val="14"/>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7"/>
        <w:gridCol w:w="2657"/>
        <w:gridCol w:w="2377"/>
        <w:gridCol w:w="2379"/>
      </w:tblGrid>
      <w:tr w14:paraId="6E9E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3183EB05">
            <w:pPr>
              <w:spacing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一、场景需求方信息</w:t>
            </w:r>
          </w:p>
        </w:tc>
      </w:tr>
      <w:tr w14:paraId="16ED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B6C72E6">
            <w:pPr>
              <w:spacing w:line="320" w:lineRule="exact"/>
              <w:jc w:val="center"/>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单位名称</w:t>
            </w:r>
          </w:p>
        </w:tc>
        <w:tc>
          <w:tcPr>
            <w:tcW w:w="7413" w:type="dxa"/>
            <w:gridSpan w:val="3"/>
            <w:tcBorders>
              <w:top w:val="single" w:color="auto" w:sz="4" w:space="0"/>
              <w:left w:val="single" w:color="auto" w:sz="4" w:space="0"/>
              <w:bottom w:val="single" w:color="auto" w:sz="4" w:space="0"/>
              <w:right w:val="single" w:color="auto" w:sz="4" w:space="0"/>
            </w:tcBorders>
            <w:vAlign w:val="center"/>
          </w:tcPr>
          <w:p w14:paraId="5A80A49D">
            <w:pPr>
              <w:spacing w:line="320" w:lineRule="exact"/>
              <w:rPr>
                <w:rFonts w:hint="default" w:ascii="Times New Roman" w:hAnsi="Times New Roman" w:eastAsia="仿宋_GB2312" w:cs="Times New Roman"/>
                <w:color w:val="000000" w:themeColor="text1"/>
                <w:sz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lang w:val="en-US" w:eastAsia="zh-CN"/>
                <w14:textFill>
                  <w14:solidFill>
                    <w14:schemeClr w14:val="tx1"/>
                  </w14:solidFill>
                </w14:textFill>
              </w:rPr>
              <w:t>深圳市龙岗区数据集团有限公司</w:t>
            </w:r>
          </w:p>
        </w:tc>
      </w:tr>
      <w:tr w14:paraId="35C7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31C5CD40">
            <w:pPr>
              <w:spacing w:line="320" w:lineRule="exact"/>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二、场景开放需求信息</w:t>
            </w:r>
          </w:p>
        </w:tc>
      </w:tr>
      <w:tr w14:paraId="5811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72B5FF3">
            <w:pPr>
              <w:snapToGrid w:val="0"/>
              <w:spacing w:line="320" w:lineRule="exact"/>
              <w:jc w:val="center"/>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需求名称</w:t>
            </w:r>
          </w:p>
        </w:tc>
        <w:tc>
          <w:tcPr>
            <w:tcW w:w="7413" w:type="dxa"/>
            <w:gridSpan w:val="3"/>
            <w:tcBorders>
              <w:top w:val="single" w:color="auto" w:sz="4" w:space="0"/>
              <w:left w:val="single" w:color="auto" w:sz="4" w:space="0"/>
              <w:bottom w:val="single" w:color="auto" w:sz="4" w:space="0"/>
              <w:right w:val="single" w:color="auto" w:sz="4" w:space="0"/>
            </w:tcBorders>
            <w:vAlign w:val="center"/>
          </w:tcPr>
          <w:p w14:paraId="360CC4CB">
            <w:pPr>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基于认知神经科学大模型的员工心理筛查</w:t>
            </w:r>
          </w:p>
        </w:tc>
      </w:tr>
      <w:tr w14:paraId="7578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FB936D0">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应用场景</w:t>
            </w:r>
          </w:p>
        </w:tc>
        <w:tc>
          <w:tcPr>
            <w:tcW w:w="7413" w:type="dxa"/>
            <w:gridSpan w:val="3"/>
            <w:tcBorders>
              <w:top w:val="single" w:color="auto" w:sz="4" w:space="0"/>
              <w:left w:val="single" w:color="auto" w:sz="4" w:space="0"/>
              <w:bottom w:val="single" w:color="auto" w:sz="4" w:space="0"/>
              <w:right w:val="single" w:color="auto" w:sz="4" w:space="0"/>
            </w:tcBorders>
          </w:tcPr>
          <w:p w14:paraId="61F89186">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1.现有场景基本情况</w:t>
            </w:r>
          </w:p>
          <w:p w14:paraId="2E63C1F7">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本场景</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需求旨在完善并解决龙岗区企事业单位及重点部门工作人员的心理健康关爱工作（EAP）。</w:t>
            </w:r>
            <w:r>
              <w:rPr>
                <w:rFonts w:hint="eastAsia" w:ascii="Times New Roman" w:hAnsi="Times New Roman" w:eastAsia="仿宋_GB2312" w:cs="Times New Roman"/>
                <w:color w:val="000000" w:themeColor="text1"/>
                <w:kern w:val="0"/>
                <w:sz w:val="24"/>
                <w14:textFill>
                  <w14:solidFill>
                    <w14:schemeClr w14:val="tx1"/>
                  </w14:solidFill>
                </w14:textFill>
              </w:rPr>
              <w:t>需求方为深圳市龙岗区数据集团有限公司，服务对象为集团本部及各业务板块员工，并逐步覆盖龙岗区属国有企业、区直部门及街道智慧城市建设运维保障团队。相关岗位普遍具有7×24小时值班值守、重大活动驻场保障、系统与数据安全运维、突发故障响应等特征，</w:t>
            </w:r>
            <w:bookmarkStart w:id="0" w:name="_GoBack"/>
            <w:bookmarkEnd w:id="0"/>
            <w:r>
              <w:rPr>
                <w:rFonts w:hint="eastAsia" w:ascii="Times New Roman" w:hAnsi="Times New Roman" w:eastAsia="仿宋_GB2312" w:cs="Times New Roman"/>
                <w:color w:val="000000" w:themeColor="text1"/>
                <w:kern w:val="0"/>
                <w:sz w:val="24"/>
                <w14:textFill>
                  <w14:solidFill>
                    <w14:schemeClr w14:val="tx1"/>
                  </w14:solidFill>
                </w14:textFill>
              </w:rPr>
              <w:t>员工长期处于高强度、高专注、倒班与随时响应并存的工作状态，属于职业心理健康风险的高发人群。目前</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龙岗区总工会主要通过“蓄力工程”龙岗区职工心理健康服务体系建设、“你点我送”心理服务等进行相关活动。经测算，单次活动仅能覆盖百余人次，消耗大量人力物力，</w:t>
            </w:r>
            <w:r>
              <w:rPr>
                <w:rFonts w:hint="eastAsia" w:ascii="Times New Roman" w:hAnsi="Times New Roman" w:eastAsia="仿宋_GB2312" w:cs="Times New Roman"/>
                <w:color w:val="000000" w:themeColor="text1"/>
                <w:kern w:val="0"/>
                <w:sz w:val="24"/>
                <w14:textFill>
                  <w14:solidFill>
                    <w14:schemeClr w14:val="tx1"/>
                  </w14:solidFill>
                </w14:textFill>
              </w:rPr>
              <w:t>与“数字先锋·智慧龙岗”建设中对员工关怀、队伍稳定和安全生产的要求尚有差距。</w:t>
            </w:r>
          </w:p>
          <w:p w14:paraId="2B311A57">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2.现有场景作业方式</w:t>
            </w:r>
          </w:p>
          <w:p w14:paraId="1B63FA85">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现有心理筛查由人力资源部门与</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龙岗区总</w:t>
            </w:r>
            <w:r>
              <w:rPr>
                <w:rFonts w:hint="eastAsia" w:ascii="Times New Roman" w:hAnsi="Times New Roman" w:eastAsia="仿宋_GB2312" w:cs="Times New Roman"/>
                <w:color w:val="000000" w:themeColor="text1"/>
                <w:kern w:val="0"/>
                <w:sz w:val="24"/>
                <w14:textFill>
                  <w14:solidFill>
                    <w14:schemeClr w14:val="tx1"/>
                  </w14:solidFill>
                </w14:textFill>
              </w:rPr>
              <w:t>工会牵头、按年度组织，人工投入较大：①在年度体检套餐中嵌入PHQ-9、GAD-7、SAS、SDS、SCL-90等自陈量表，由员工在体检现场或线上问卷平台自行填写；②HR及EAP专员按部门发放、回收问卷，人工或借助简单统计工具汇总得分，形成部门层面的粗略统计；③对量表得分超阈值的员工，由EAP专员通过电话、面谈进行二次确认，必要时转介至外部心理咨询机构或医院；④结果以纸质或电子表格形式逐级汇总上报，仅保留宏观统计口径。据测算，单次全员筛查从组织动员到出具报告通常需要4～6周，人均作答及协调耗时约30～60分钟，需占用HR与工会大量协调精力；日常心理支持主要依靠EAP热线、心理讲座与宣传材料，总体上处于“被动等待员工求助”的状态。</w:t>
            </w:r>
          </w:p>
          <w:p w14:paraId="7E4BF814">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3.现有场景痛点</w:t>
            </w:r>
          </w:p>
          <w:p w14:paraId="16A1D95D">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主观偏差大、结果可信度低。量表依赖员工主动如实作答，在入职、晋升、绩效、评优等敏感节点，员工存在明显的社会赞许性动机和自我保护心理，倾向隐瞒真实状态，假阴性率偏高，管理者难以据此判断真实风险。</w:t>
            </w:r>
          </w:p>
          <w:p w14:paraId="18CD09A1">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缺乏客观生物标志物，无法溯源。现有模式仅采集主观文字答案，不采集语音韵律、微表情、眼动、生理等客观指标，无法定位至认知域与神经环路层面，专业心理人员难以采信，也难以支撑后续精准干预。</w:t>
            </w:r>
          </w:p>
          <w:p w14:paraId="63300789">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（3）常态化覆盖不足、预警滞后。年度或半年度集中筛查间隔期长，对长期超负荷、突发应激导致的情绪与睡眠问题缺乏动态感知，往往在问题暴露甚至发生安全事故后才被动介入，错失最佳干预窗口。</w:t>
            </w:r>
          </w:p>
          <w:p w14:paraId="2DF3A178">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（4）数据分散、闭环缺失。问卷结果、体检数据与EAP咨询记录分属不同系统与部门，数据孤岛明显，“筛查—评估—干预—追踪”未形成闭环，干预效果无法量化评估。</w:t>
            </w:r>
          </w:p>
          <w:p w14:paraId="0609FC29">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（5）隐私顾虑突出。员工对心理健康数据被单位知晓高度敏感，纸质问卷与集中汇总方式难以打消其顾虑，反而进一步降低作答的真实性。</w:t>
            </w:r>
          </w:p>
          <w:p w14:paraId="4AB4E366">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（6）专业力量严重不足。集团及区属单位专职心理服务人员数量有限，难以支撑大规模员工的常态化评估与个性化干预需求。</w:t>
            </w:r>
          </w:p>
          <w:p w14:paraId="131A35B2">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4.引入机器人的必要性</w:t>
            </w:r>
          </w:p>
          <w:p w14:paraId="00687E37">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引入具身智能心理筛查机器人及软硬件一体化系统，可从作业方式、数据质量和闭环能力三个层面同时破局：一是以机器人为统一入口实现标准化、无人化的筛查引导，缓解专业力量不足与人工投入大的问题，将单次全员筛查周期由数周压缩至数天；二是通过语音韵律、微表情、眼动、触控响应等多模态生物特征同步采集，把“主观作答”升级为“主观量表＋客观生物标志物”的双通道评估，显著降低隐瞒与偏差带来的漏检风险；三是依托认知神经科学垂直大模型将行为表型反溯至底层认知网络，输出可解释的认知画像，为EAP专员与专业机构提供可信决策依据；四是机器人以私人交互终端和端侧去标识化的形态出现，天然具备隐私友好属性</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，让</w:t>
            </w:r>
            <w:r>
              <w:rPr>
                <w:rFonts w:hint="eastAsia" w:ascii="Times New Roman" w:hAnsi="Times New Roman" w:eastAsia="仿宋_GB2312" w:cs="Times New Roman"/>
                <w:color w:val="000000" w:themeColor="text1"/>
                <w:kern w:val="0"/>
                <w:sz w:val="24"/>
                <w14:textFill>
                  <w14:solidFill>
                    <w14:schemeClr w14:val="tx1"/>
                  </w14:solidFill>
                </w14:textFill>
              </w:rPr>
              <w:t>员工在近距离无压力交互中更愿意真实表达；五是通过IEP个性化干预与AI动态调参形成“评估—画像—干预—训练—效果追踪”的完整闭环，把心理健康管理从事后处置前移为事前预防、事中干预，直接服务于集团员工职业健康保障和安全生产底线。</w:t>
            </w:r>
          </w:p>
        </w:tc>
      </w:tr>
      <w:tr w14:paraId="2F5F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8FB6BC0">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具体需求</w:t>
            </w:r>
          </w:p>
        </w:tc>
        <w:tc>
          <w:tcPr>
            <w:tcW w:w="7413" w:type="dxa"/>
            <w:gridSpan w:val="3"/>
            <w:tcBorders>
              <w:top w:val="single" w:color="auto" w:sz="4" w:space="0"/>
              <w:left w:val="single" w:color="auto" w:sz="4" w:space="0"/>
              <w:bottom w:val="single" w:color="auto" w:sz="4" w:space="0"/>
              <w:right w:val="single" w:color="auto" w:sz="4" w:space="0"/>
            </w:tcBorders>
          </w:tcPr>
          <w:p w14:paraId="203D6019">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建设1套面向企业员工心理健康与认知状态筛查的具身智能机器人及软硬件一体化系统。系统包含1台桌面/落地式具身智能心理交互机器人、1套多模态生物特征采集终端、1套认知神经科学垂直大模型部署节点及1套企业级员工心理与认知健康管理平台。系统需实现软硬件紧密协同，满足以下具体需求：</w:t>
            </w:r>
          </w:p>
          <w:p w14:paraId="6D9C5FE4">
            <w:pPr>
              <w:snapToGrid w:val="0"/>
              <w:spacing w:line="320" w:lineRule="exact"/>
              <w:ind w:firstLine="482" w:firstLineChars="2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lang w:eastAsia="zh-CN"/>
                <w14:textFill>
                  <w14:solidFill>
                    <w14:schemeClr w14:val="tx1"/>
                  </w14:solidFill>
                </w14:textFill>
              </w:rPr>
              <w:t>（1）</w:t>
            </w:r>
            <w:r>
              <w:rPr>
                <w:rFonts w:hint="eastAsia" w:ascii="Times New Roman" w:hAnsi="Times New Roman" w:eastAsia="仿宋_GB2312" w:cs="Times New Roman"/>
                <w:b/>
                <w:bCs/>
                <w:color w:val="000000" w:themeColor="text1"/>
                <w:kern w:val="0"/>
                <w:sz w:val="24"/>
                <w14:textFill>
                  <w14:solidFill>
                    <w14:schemeClr w14:val="tx1"/>
                  </w14:solidFill>
                </w14:textFill>
              </w:rPr>
              <w:t>具身机器人自然交互与引导</w:t>
            </w:r>
          </w:p>
          <w:p w14:paraId="5F2B92B0">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机器人需具备多模态情感化交互能力（头部/肢体协同微表情、柔和语音唤醒、灯光状态反馈），配备人体工程学设计交互终端，保证员工近距离无压力的私人交互体验。依托认知神经科学大模型，机器人能使用多轮自然语言完成心理筛查范式引导、情境化问题提问与情绪疏导，并根据员工的即时语音韵律和面部表情，自适应调整语速、语气和提示策略。</w:t>
            </w:r>
          </w:p>
          <w:p w14:paraId="25A7547D">
            <w:pPr>
              <w:snapToGrid w:val="0"/>
              <w:spacing w:line="320" w:lineRule="exact"/>
              <w:ind w:firstLine="482" w:firstLineChars="2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lang w:eastAsia="zh-CN"/>
                <w14:textFill>
                  <w14:solidFill>
                    <w14:schemeClr w14:val="tx1"/>
                  </w14:solidFill>
                </w14:textFill>
              </w:rPr>
              <w:t>（2）</w:t>
            </w:r>
            <w:r>
              <w:rPr>
                <w:rFonts w:hint="eastAsia" w:ascii="Times New Roman" w:hAnsi="Times New Roman" w:eastAsia="仿宋_GB2312" w:cs="Times New Roman"/>
                <w:b/>
                <w:bCs/>
                <w:color w:val="000000" w:themeColor="text1"/>
                <w:kern w:val="0"/>
                <w:sz w:val="24"/>
                <w14:textFill>
                  <w14:solidFill>
                    <w14:schemeClr w14:val="tx1"/>
                  </w14:solidFill>
                </w14:textFill>
              </w:rPr>
              <w:t>多模态数字表型生物标志物采集</w:t>
            </w:r>
          </w:p>
          <w:p w14:paraId="6701ECBC">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硬件终端需同步采集员工在交互及测评过程中的多源生物与行为特征数据，包括但不限于：语音韵律、微表情、眼动追踪以及触控响应。软件算法层需内置多模态数字表型编码器，实现跨模态特征在时间轴上的精密对齐与统一表征空间映射，构建员工专属的“数字神经指纹”。</w:t>
            </w:r>
          </w:p>
          <w:p w14:paraId="4FE3E3B4">
            <w:pPr>
              <w:snapToGrid w:val="0"/>
              <w:spacing w:line="320" w:lineRule="exact"/>
              <w:ind w:firstLine="482" w:firstLineChars="2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lang w:eastAsia="zh-CN"/>
                <w14:textFill>
                  <w14:solidFill>
                    <w14:schemeClr w14:val="tx1"/>
                  </w14:solidFill>
                </w14:textFill>
              </w:rPr>
              <w:t>（3）</w:t>
            </w:r>
            <w:r>
              <w:rPr>
                <w:rFonts w:hint="eastAsia" w:ascii="Times New Roman" w:hAnsi="Times New Roman" w:eastAsia="仿宋_GB2312" w:cs="Times New Roman"/>
                <w:b/>
                <w:bCs/>
                <w:color w:val="000000" w:themeColor="text1"/>
                <w:kern w:val="0"/>
                <w:sz w:val="24"/>
                <w14:textFill>
                  <w14:solidFill>
                    <w14:schemeClr w14:val="tx1"/>
                  </w14:solidFill>
                </w14:textFill>
              </w:rPr>
              <w:t>基于认知神经科学大模型的精准评估</w:t>
            </w:r>
          </w:p>
          <w:p w14:paraId="3852205F">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认知神经科学垂直大模型基于内嵌大脑第一性原理，需内置注意力网络、记忆力系统、执行能力及情绪调节等脑科学认知先验。能够从行为表型反向定位底层异常脑环路，生成包含情绪状态（抑郁/焦虑/应激）、工作记忆、专注力及执行功能等多维度的雷达图可视化认知画像。</w:t>
            </w:r>
          </w:p>
          <w:p w14:paraId="41B0B933">
            <w:pPr>
              <w:snapToGrid w:val="0"/>
              <w:spacing w:line="320" w:lineRule="exact"/>
              <w:ind w:firstLine="482" w:firstLineChars="2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lang w:eastAsia="zh-CN"/>
                <w14:textFill>
                  <w14:solidFill>
                    <w14:schemeClr w14:val="tx1"/>
                  </w14:solidFill>
                </w14:textFill>
              </w:rPr>
              <w:t>（4）</w:t>
            </w:r>
            <w:r>
              <w:rPr>
                <w:rFonts w:hint="eastAsia" w:ascii="Times New Roman" w:hAnsi="Times New Roman" w:eastAsia="仿宋_GB2312" w:cs="Times New Roman"/>
                <w:b/>
                <w:bCs/>
                <w:color w:val="000000" w:themeColor="text1"/>
                <w:kern w:val="0"/>
                <w:sz w:val="24"/>
                <w14:textFill>
                  <w14:solidFill>
                    <w14:schemeClr w14:val="tx1"/>
                  </w14:solidFill>
                </w14:textFill>
              </w:rPr>
              <w:t>IEP个性化心理干预与训练方案生成</w:t>
            </w:r>
          </w:p>
          <w:p w14:paraId="0DCDE363">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结合蒙特卡洛树搜索（MCTS）与神经网络策略网络，为高风险或高压员工自动生成千人千面的个性化心理重构与“脑-体”认知训练方案（IEP）。通过机器人端引导游戏化互动训练，系统根据员工的实时表现与效果反馈，进行AI动态智能调参，实现“评估</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画像</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干预</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训练</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效果追踪”的Keep式闭环。</w:t>
            </w:r>
          </w:p>
          <w:p w14:paraId="2E990311">
            <w:pPr>
              <w:snapToGrid w:val="0"/>
              <w:spacing w:line="320" w:lineRule="exact"/>
              <w:ind w:firstLine="482" w:firstLineChars="2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lang w:eastAsia="zh-CN"/>
                <w14:textFill>
                  <w14:solidFill>
                    <w14:schemeClr w14:val="tx1"/>
                  </w14:solidFill>
                </w14:textFill>
              </w:rPr>
              <w:t>（5）</w:t>
            </w:r>
            <w:r>
              <w:rPr>
                <w:rFonts w:hint="eastAsia" w:ascii="Times New Roman" w:hAnsi="Times New Roman" w:eastAsia="仿宋_GB2312" w:cs="Times New Roman"/>
                <w:b/>
                <w:bCs/>
                <w:color w:val="000000" w:themeColor="text1"/>
                <w:kern w:val="0"/>
                <w:sz w:val="24"/>
                <w14:textFill>
                  <w14:solidFill>
                    <w14:schemeClr w14:val="tx1"/>
                  </w14:solidFill>
                </w14:textFill>
              </w:rPr>
              <w:t>安全与隐私保护</w:t>
            </w:r>
          </w:p>
          <w:p w14:paraId="7E38CCC4">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所有面部、语音及生理行为数据必须支持端侧去标识化处理、高强度加密存储与严格的分级访问留痕，完全符合《</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中华人民共和国个人信息保护法</w:t>
            </w:r>
            <w:r>
              <w:rPr>
                <w:rFonts w:hint="eastAsia" w:ascii="Times New Roman" w:hAnsi="Times New Roman" w:eastAsia="仿宋_GB2312" w:cs="Times New Roman"/>
                <w:color w:val="000000" w:themeColor="text1"/>
                <w:kern w:val="0"/>
                <w:sz w:val="24"/>
                <w14:textFill>
                  <w14:solidFill>
                    <w14:schemeClr w14:val="tx1"/>
                  </w14:solidFill>
                </w14:textFill>
              </w:rPr>
              <w:t>》及企业EAP（员工帮助计划）隐私伦理要求。提供EAP专员后台，生成匿名化的企业/部门整体心理健康风险态势报告，并在触发高危预警时及时提示人工EAP专家接管。</w:t>
            </w:r>
          </w:p>
          <w:p w14:paraId="5B459E23">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建议系统达到以下基本性能：支持不少于5类常见职业心理状态（焦虑、抑郁、职业倦怠、高压应激、注意力涣散）的智能筛查；多模态融合评估准确率达到90%以上；安静环境下机器人语音交互成功率不低于92%；单次轻量化评估即可生成多维认知画像与诊断建议报告。</w:t>
            </w:r>
          </w:p>
        </w:tc>
      </w:tr>
      <w:tr w14:paraId="3CA0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111564F4">
            <w:pPr>
              <w:spacing w:line="320" w:lineRule="exact"/>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拟投入资金（万元）</w:t>
            </w:r>
          </w:p>
        </w:tc>
        <w:tc>
          <w:tcPr>
            <w:tcW w:w="2657" w:type="dxa"/>
            <w:tcBorders>
              <w:top w:val="single" w:color="auto" w:sz="4" w:space="0"/>
              <w:left w:val="single" w:color="auto" w:sz="4" w:space="0"/>
              <w:bottom w:val="single" w:color="auto" w:sz="4" w:space="0"/>
              <w:right w:val="single" w:color="auto" w:sz="4" w:space="0"/>
            </w:tcBorders>
            <w:vAlign w:val="center"/>
          </w:tcPr>
          <w:p w14:paraId="7CCE8D2C">
            <w:pPr>
              <w:spacing w:line="320" w:lineRule="exact"/>
              <w:jc w:val="center"/>
              <w:rPr>
                <w:rFonts w:hint="default" w:ascii="Times New Roman" w:hAnsi="Times New Roman" w:eastAsia="仿宋_GB2312" w:cs="Times New Roman"/>
                <w:color w:val="000000" w:themeColor="text1"/>
                <w:kern w:val="0"/>
                <w:sz w:val="24"/>
                <w:lang w:val="en-US" w:eastAsia="zh-CN"/>
                <w14:textFill>
                  <w14:solidFill>
                    <w14:schemeClr w14:val="tx1"/>
                  </w14:solidFill>
                </w14:textFill>
              </w:rPr>
            </w:pPr>
            <w:r>
              <w:rPr>
                <w:rFonts w:hint="eastAsia" w:ascii="Times New Roman" w:hAnsi="Times New Roman" w:eastAsia="仿宋_GB2312" w:cs="方正仿宋简体"/>
                <w:sz w:val="24"/>
                <w:szCs w:val="20"/>
                <w:lang w:val="en-US" w:eastAsia="zh-CN"/>
              </w:rPr>
              <w:t>300</w:t>
            </w:r>
          </w:p>
        </w:tc>
        <w:tc>
          <w:tcPr>
            <w:tcW w:w="2377" w:type="dxa"/>
            <w:tcBorders>
              <w:top w:val="single" w:color="auto" w:sz="4" w:space="0"/>
              <w:left w:val="single" w:color="auto" w:sz="4" w:space="0"/>
              <w:bottom w:val="single" w:color="auto" w:sz="4" w:space="0"/>
              <w:right w:val="single" w:color="auto" w:sz="4" w:space="0"/>
            </w:tcBorders>
            <w:vAlign w:val="center"/>
          </w:tcPr>
          <w:p w14:paraId="1B0ADB74">
            <w:pPr>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拟建设周期</w:t>
            </w:r>
          </w:p>
        </w:tc>
        <w:tc>
          <w:tcPr>
            <w:tcW w:w="2379" w:type="dxa"/>
            <w:tcBorders>
              <w:top w:val="single" w:color="auto" w:sz="4" w:space="0"/>
              <w:left w:val="single" w:color="auto" w:sz="4" w:space="0"/>
              <w:bottom w:val="single" w:color="auto" w:sz="4" w:space="0"/>
              <w:right w:val="single" w:color="auto" w:sz="4" w:space="0"/>
            </w:tcBorders>
            <w:vAlign w:val="center"/>
          </w:tcPr>
          <w:p w14:paraId="0A91BE65">
            <w:pPr>
              <w:spacing w:line="320" w:lineRule="exact"/>
              <w:jc w:val="center"/>
              <w:rPr>
                <w:rFonts w:hint="default" w:ascii="Times New Roman" w:hAnsi="Times New Roman" w:eastAsia="仿宋_GB2312" w:cs="Times New Roman"/>
                <w:color w:val="000000" w:themeColor="text1"/>
                <w:kern w:val="0"/>
                <w:sz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1年</w:t>
            </w:r>
          </w:p>
        </w:tc>
      </w:tr>
      <w:tr w14:paraId="3369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3F37BD51">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应用现状</w:t>
            </w:r>
          </w:p>
        </w:tc>
        <w:tc>
          <w:tcPr>
            <w:tcW w:w="7413" w:type="dxa"/>
            <w:gridSpan w:val="3"/>
            <w:tcBorders>
              <w:top w:val="single" w:color="auto" w:sz="4" w:space="0"/>
              <w:left w:val="single" w:color="auto" w:sz="4" w:space="0"/>
              <w:bottom w:val="single" w:color="auto" w:sz="4" w:space="0"/>
              <w:right w:val="single" w:color="auto" w:sz="4" w:space="0"/>
            </w:tcBorders>
          </w:tcPr>
          <w:p w14:paraId="245D8F9A">
            <w:pPr>
              <w:spacing w:line="320" w:lineRule="exact"/>
              <w:ind w:left="723" w:hanging="723" w:hangingChars="30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1.国外应用现状</w:t>
            </w:r>
          </w:p>
          <w:p w14:paraId="345AC5E3">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国外起步较早，围绕量表筛查与员工援助计划（EAP）已形成成熟体系，Spring Health、Lyra、Unmind等数字化心理服务平台进入企业市场，覆盖逾1.7亿人。其中Spring Health等已形成评估驱动的数字化闭环：员工先完成3</w:t>
            </w:r>
            <w:r>
              <w:rPr>
                <w:rFonts w:hint="eastAsia" w:ascii="Times New Roman" w:hAnsi="Times New Roman" w:eastAsia="仿宋_GB2312" w:cs="方正仿宋简体"/>
                <w:sz w:val="24"/>
                <w:szCs w:val="20"/>
                <w:lang w:eastAsia="zh-CN"/>
              </w:rPr>
              <w:t>～</w:t>
            </w:r>
            <w:r>
              <w:rPr>
                <w:rFonts w:hint="eastAsia" w:ascii="Times New Roman" w:hAnsi="Times New Roman" w:eastAsia="仿宋_GB2312" w:cs="方正仿宋简体"/>
                <w:sz w:val="24"/>
                <w:szCs w:val="20"/>
              </w:rPr>
              <w:t>5分钟临床评估，系统据此匹配治疗师、教练或自助方案，治疗中持续复测调整。但筛查仍以PHQ-9、GAD-7、SCL-90等自陈量表为核心，依赖员工主动如实作答，未引入客观测量，也不涉及认知神经科学大模型与实体机器人。</w:t>
            </w:r>
          </w:p>
          <w:p w14:paraId="19665F1F">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客观化筛查方面，国外开始借助智能硬件捕捉生物标志物。Ellipsis Health等基于麦克风语音韵律检测抑郁焦虑，识别准确率超85%；Oura、WHOOP等可穿戴设备用于员工压力与睡眠监测，Emotiv、Muse等脑电头环评估认知负荷与情绪。此类硬件多输出孤立的生理指标，未接入评估与干预流程，难以直接形成心理风险筛查结论。</w:t>
            </w:r>
          </w:p>
          <w:p w14:paraId="075BF0F2">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在AI与大模型筛查方面，国外数字化平台已引入AI辅助初筛：Spring Health以会话式AI完成规模化员工初筛，Lyra的AI评估引导已向全球会员部署。此类AI筛查仍以量表对话与文本分析为基础，未内嵌认知神经科学先验，亦未与实体机器人结合。</w:t>
            </w:r>
          </w:p>
          <w:p w14:paraId="6D372EBB">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在机器人应用方面，国外已出现软硬件一体的心理机器人：PARO海豹机器人被FDA归类为医疗器械，用于认知症照护与抑郁情绪干预；ElliQ陪伴机器人面向老年人，报告称</w:t>
            </w:r>
            <w:r>
              <w:rPr>
                <w:rFonts w:hint="eastAsia" w:ascii="Times New Roman" w:hAnsi="Times New Roman" w:eastAsia="仿宋_GB2312" w:cs="方正仿宋简体"/>
                <w:sz w:val="24"/>
                <w:szCs w:val="20"/>
                <w:lang w:eastAsia="zh-CN"/>
              </w:rPr>
              <w:t>可使孤独感</w:t>
            </w:r>
            <w:r>
              <w:rPr>
                <w:rFonts w:hint="eastAsia" w:ascii="Times New Roman" w:hAnsi="Times New Roman" w:eastAsia="仿宋_GB2312" w:cs="方正仿宋简体"/>
                <w:sz w:val="24"/>
                <w:szCs w:val="20"/>
              </w:rPr>
              <w:t>降低95%；QTrobot、Milo等社交机器人用于孤独症儿童训练。此类机器人软硬件一体、以陪伴干预为主，但不输出心理风险筛查结论，也无复测对比与效果追踪，尚无面向员工心理筛查的机器人产品。</w:t>
            </w:r>
          </w:p>
          <w:p w14:paraId="7908AC53">
            <w:pPr>
              <w:spacing w:line="320" w:lineRule="exact"/>
              <w:ind w:left="723" w:hanging="723" w:hangingChars="30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2.国内应用现状</w:t>
            </w:r>
          </w:p>
          <w:p w14:paraId="5CC7D7AC">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量表数字化筛查方面，国内员工心理筛查仍以SAS、SDS、PHQ-9、GAD-7等自陈量表为核心，易普斯、中智关爱通等EAP服务商与壹心理、简单心理等数字平台主导市场，部分体检中心已将心理测评纳入套餐。但量表依赖员工主动如实作答，存在隐瞒与社会赞许性偏差。</w:t>
            </w:r>
          </w:p>
          <w:p w14:paraId="79A9D47F">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客观化筛查方面，湖南检信ALLEMOTION以自主神经与振动信号评估心理状态，面向军队、企业等高利害场景；科瑞和以人脸识别30秒输出情绪指标；兰州心理健康状态监测系统融合生理信号、行为数据与量表，已在30余所高校和10余家大型企业试点。但此类产品多落地于政法、教育、军工等场景，在员工心理筛查场景尚未规模化应用。</w:t>
            </w:r>
          </w:p>
          <w:p w14:paraId="034A0560">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在AI与大模型筛查方面，新智AI平台融合心理大模型与生物传感，以56秒无接触筛查采集员工面部、心率、呼吸、脑电等数据，已在民爆等高危行业落地，但无机器人载体，亦未覆盖评估后的干预与追踪；云思创智“云思观心”可解析微表情、眼动、语音等外化特征，但以评估为主，不溯源至认知域与神经环路；数业智能“心大陆”以CBT大模型为中枢，但以干预为主、面向学生。AI能力虽已铺开，但多以筛查或评估止步于单环节，真正以员工筛查为核心的产品极少。</w:t>
            </w:r>
          </w:p>
          <w:p w14:paraId="49BCE374">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在机器人应用方面，湘雅二医院与湖南超能机器人的心理咨询机器人专利已授权，可实现心理评估与心理疗愈，但未见规模化商用产品落地；星云星空（PsyLLM）推出AI心理师一体机与心灵小屋，集成情绪识别、评估、咨询、风险预警等功能，但主要面向学生心理服务；鸿普森AI心智健康助手将测评、访谈、改善等功能与VR头显、一体机、机器人等硬件结合，落地以学校与政务场景为主。此类终端以舱体、一体机等固定形态为主，功能覆盖较全但多面向学生，尚无面向员工心理筛查的闭环产品。</w:t>
            </w:r>
          </w:p>
          <w:p w14:paraId="6E6EC018">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总体而言，现有探索均缺乏内嵌的认知神经科学先验，也未与实体机器人深度融合，尚无产品同时满足以认知神经科学大模型为核心、融合实体机器人交互、覆盖筛查、评估、干预、追踪各环节、面向员工</w:t>
            </w:r>
            <w:r>
              <w:rPr>
                <w:rFonts w:hint="eastAsia" w:ascii="Times New Roman" w:hAnsi="Times New Roman" w:eastAsia="仿宋_GB2312" w:cs="方正仿宋简体"/>
                <w:sz w:val="24"/>
                <w:szCs w:val="20"/>
                <w:lang w:eastAsia="zh-CN"/>
              </w:rPr>
              <w:t>这四个</w:t>
            </w:r>
            <w:r>
              <w:rPr>
                <w:rFonts w:hint="eastAsia" w:ascii="Times New Roman" w:hAnsi="Times New Roman" w:eastAsia="仿宋_GB2312" w:cs="方正仿宋简体"/>
                <w:sz w:val="24"/>
                <w:szCs w:val="20"/>
              </w:rPr>
              <w:t>条件。</w:t>
            </w:r>
          </w:p>
          <w:p w14:paraId="29CC393A">
            <w:pPr>
              <w:spacing w:line="320" w:lineRule="exact"/>
              <w:ind w:left="723" w:hanging="723" w:hangingChars="30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3.类似应用需改进之处及关键问题、技术难点</w:t>
            </w:r>
          </w:p>
          <w:p w14:paraId="1ABC3E1D">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现有类似应用虽在单一环节取得进展，但尚难以支撑大规模部署：筛查要标准化、结果要可解释、数据要多模态，还要与机器人等硬件深度结合。</w:t>
            </w:r>
          </w:p>
          <w:p w14:paraId="42A7A26C">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（1）自陈量表主观偏差难以根除。员工在入职、晋升、绩效等场景有社会赞许性动机，倾向隐瞒真实状态（“说谎者困境”），假阴性率高，需引入客观行为与生理指标。</w:t>
            </w:r>
          </w:p>
          <w:p w14:paraId="340ED271">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（2）单模态AI准确性有限、缺乏解释。现有模型多为黑盒拟合，未内嵌注意力、执行功能、情绪调节等认知神经科学先验，结果无法溯源至认知域和神经环路，专业人员难以采信。</w:t>
            </w:r>
          </w:p>
          <w:p w14:paraId="37ABFE49">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（3）机器人及硬件与评估干预脱节。现有机器人多为预设对话和动作，无法根据员工状态动态调整交互，行为数据未进入评估体系，评估结果也无法驱动干预调整，难以形成闭环。</w:t>
            </w:r>
          </w:p>
          <w:p w14:paraId="5C470A10">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（4）多模态同步采集与硬件标准化难度大。语音、眼动、微表情、动作等数据需多设备协同采集，存在时空对齐与跨设备标准化难题，职业场景光照、噪声差异大，硬件鲁棒性不足。</w:t>
            </w:r>
          </w:p>
          <w:p w14:paraId="2C59F5F5">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（5）敏感数据合规要求严格。机器人、摄像头、麦克风采集的音视频与脑电等生理数据属于敏感个人信息，须满足《</w:t>
            </w:r>
            <w:r>
              <w:rPr>
                <w:rFonts w:hint="eastAsia" w:ascii="Times New Roman" w:hAnsi="Times New Roman" w:eastAsia="仿宋_GB2312" w:cs="方正仿宋简体"/>
                <w:sz w:val="24"/>
                <w:szCs w:val="20"/>
                <w:lang w:eastAsia="zh-CN"/>
              </w:rPr>
              <w:t>中华人民共和国个人信息保护法》和</w:t>
            </w:r>
            <w:r>
              <w:rPr>
                <w:rFonts w:hint="eastAsia" w:ascii="Times New Roman" w:hAnsi="Times New Roman" w:eastAsia="仿宋_GB2312" w:cs="方正仿宋简体"/>
                <w:sz w:val="24"/>
                <w:szCs w:val="20"/>
              </w:rPr>
              <w:t>《</w:t>
            </w:r>
            <w:r>
              <w:rPr>
                <w:rFonts w:hint="eastAsia" w:ascii="Times New Roman" w:hAnsi="Times New Roman" w:eastAsia="仿宋_GB2312" w:cs="方正仿宋简体"/>
                <w:sz w:val="24"/>
                <w:szCs w:val="20"/>
                <w:lang w:eastAsia="zh-CN"/>
              </w:rPr>
              <w:t>中华人民共和国数据安全法</w:t>
            </w:r>
            <w:r>
              <w:rPr>
                <w:rFonts w:hint="eastAsia" w:ascii="Times New Roman" w:hAnsi="Times New Roman" w:eastAsia="仿宋_GB2312" w:cs="方正仿宋简体"/>
                <w:sz w:val="24"/>
                <w:szCs w:val="20"/>
              </w:rPr>
              <w:t>》的知情同意与最小必要要求，并平衡“雇主知情权”与“员工隐私”。</w:t>
            </w:r>
          </w:p>
          <w:p w14:paraId="65E34B17">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（6）效度验证与器械注册门槛高。涉及医疗用途需按医疗器械软件注册并开展多中心临床验证与可解释性审查；面向职场亦需建立与PHQ-9等量表对照的效度证据，并经职业人群大样本验证。</w:t>
            </w:r>
          </w:p>
        </w:tc>
      </w:tr>
      <w:tr w14:paraId="6117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3C58DA8">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潜在规模</w:t>
            </w:r>
          </w:p>
        </w:tc>
        <w:tc>
          <w:tcPr>
            <w:tcW w:w="7413" w:type="dxa"/>
            <w:gridSpan w:val="3"/>
            <w:tcBorders>
              <w:top w:val="single" w:color="auto" w:sz="4" w:space="0"/>
              <w:left w:val="single" w:color="auto" w:sz="4" w:space="0"/>
              <w:bottom w:val="single" w:color="auto" w:sz="4" w:space="0"/>
              <w:right w:val="single" w:color="auto" w:sz="4" w:space="0"/>
            </w:tcBorders>
          </w:tcPr>
          <w:p w14:paraId="41524398">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随着企业对员工心理健康（EAP）及高压岗位（如金融、IT、航空、制造、泛公职人员等）安全生产的重视程度提升，“基于认知神经科学大模型的员工心理筛查与脑健康管理”正处于软硬件一体化机器人应用的强劲爆发期：</w:t>
            </w:r>
          </w:p>
          <w:p w14:paraId="0BF7EC5F">
            <w:pPr>
              <w:pStyle w:val="26"/>
              <w:numPr>
                <w:ilvl w:val="0"/>
                <w:numId w:val="1"/>
              </w:numPr>
              <w:spacing w:line="320" w:lineRule="exact"/>
              <w:ind w:firstLineChars="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国内市场规模及前景</w:t>
            </w:r>
          </w:p>
          <w:p w14:paraId="78F1DCB4">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我国拥有超7亿就业人口，其中高压白领及高安全风险岗位人员超过1.5亿。据统计，国内企业EAP服务及职业心理健康市场规模已达数百亿元，且年复合增长率（CAGR）超过18%。按“1套具身心理筛查机器人硬件终端（约</w:t>
            </w:r>
            <w:r>
              <w:rPr>
                <w:rFonts w:hint="eastAsia" w:ascii="Times New Roman" w:hAnsi="Times New Roman" w:eastAsia="仿宋_GB2312" w:cs="方正仿宋简体"/>
                <w:sz w:val="24"/>
                <w:szCs w:val="20"/>
                <w:lang w:eastAsia="zh-CN"/>
              </w:rPr>
              <w:t>15万—30万</w:t>
            </w:r>
            <w:r>
              <w:rPr>
                <w:rFonts w:hint="eastAsia" w:ascii="Times New Roman" w:hAnsi="Times New Roman" w:eastAsia="仿宋_GB2312" w:cs="方正仿宋简体"/>
                <w:sz w:val="24"/>
                <w:szCs w:val="20"/>
              </w:rPr>
              <w:t>元）+年度SaaS模型算法及EAP服务费（</w:t>
            </w:r>
            <w:r>
              <w:rPr>
                <w:rFonts w:hint="eastAsia" w:ascii="Times New Roman" w:hAnsi="Times New Roman" w:eastAsia="仿宋_GB2312" w:cs="方正仿宋简体"/>
                <w:sz w:val="24"/>
                <w:szCs w:val="20"/>
                <w:lang w:eastAsia="zh-CN"/>
              </w:rPr>
              <w:t>3万—10万</w:t>
            </w:r>
            <w:r>
              <w:rPr>
                <w:rFonts w:hint="eastAsia" w:ascii="Times New Roman" w:hAnsi="Times New Roman" w:eastAsia="仿宋_GB2312" w:cs="方正仿宋简体"/>
                <w:sz w:val="24"/>
                <w:szCs w:val="20"/>
              </w:rPr>
              <w:t>元/年）”的商业模式测算：仅在全国大中型企业（约30万家）、大型国企/央企、医院及政务单位进行覆盖，国内硬件设备采购及AI筛查干预服务的潜在市场空间可达300亿元以上。</w:t>
            </w:r>
          </w:p>
          <w:p w14:paraId="71ACEC42">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国家多部门联合出台政策强化职业心理健康管理与社会心理服务体系建设，传统靠填表、单一定期体检的心理筛查模式因主观性强、隐瞒率高、无客观生物标志物而面临淘汰，基于“大模型+具身机器人”的客观多模态筛查正迎来政策与市场的快速放量期。</w:t>
            </w:r>
          </w:p>
          <w:p w14:paraId="11F09E62">
            <w:pPr>
              <w:pStyle w:val="26"/>
              <w:numPr>
                <w:ilvl w:val="0"/>
                <w:numId w:val="1"/>
              </w:numPr>
              <w:spacing w:line="320" w:lineRule="exact"/>
              <w:ind w:firstLineChars="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国际市场规模及前景</w:t>
            </w:r>
          </w:p>
          <w:p w14:paraId="7F51C05F">
            <w:pPr>
              <w:snapToGrid w:val="0"/>
              <w:spacing w:line="320" w:lineRule="exact"/>
              <w:ind w:firstLine="480" w:firstLineChars="200"/>
              <w:rPr>
                <w:rFonts w:hint="default" w:ascii="Times New Roman" w:hAnsi="Times New Roman" w:eastAsia="仿宋_GB2312" w:cs="方正仿宋简体"/>
                <w:sz w:val="24"/>
                <w:szCs w:val="20"/>
                <w:lang w:val="en-US" w:eastAsia="zh-CN"/>
              </w:rPr>
            </w:pPr>
            <w:r>
              <w:rPr>
                <w:rFonts w:hint="eastAsia" w:ascii="Times New Roman" w:hAnsi="Times New Roman" w:eastAsia="仿宋_GB2312" w:cs="方正仿宋简体"/>
                <w:sz w:val="24"/>
                <w:szCs w:val="20"/>
              </w:rPr>
              <w:t>欧美等发达国家企业EAP普及率高达80%以上，全球职业心理健康与大脑认知健康市场规模超千亿美元。国际市场上，传统的心理EAP多依赖高昂的人工咨询师，而具备“多模态生物特征采集+认知神经科学垂直大模型”的具身智能筛查机器人产品极其稀缺。本方案凭借多模态数字表型分析（不受单一语言限制）与MCTS自适应干预生成能力，在海外高压行业（如金融机构、远洋运输、航空航天等）具备极高的性价比和产品代差优势，国际市场潜在软硬件出海规模达百亿美元级别。</w:t>
            </w:r>
          </w:p>
        </w:tc>
      </w:tr>
      <w:tr w14:paraId="503C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BB3127E">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建设基础</w:t>
            </w:r>
          </w:p>
        </w:tc>
        <w:tc>
          <w:tcPr>
            <w:tcW w:w="7413" w:type="dxa"/>
            <w:gridSpan w:val="3"/>
            <w:tcBorders>
              <w:top w:val="single" w:color="auto" w:sz="4" w:space="0"/>
              <w:left w:val="single" w:color="auto" w:sz="4" w:space="0"/>
              <w:bottom w:val="single" w:color="auto" w:sz="4" w:space="0"/>
              <w:right w:val="single" w:color="auto" w:sz="4" w:space="0"/>
            </w:tcBorders>
          </w:tcPr>
          <w:p w14:paraId="51E547C0">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1.建设单位基础</w:t>
            </w:r>
          </w:p>
          <w:p w14:paraId="0BE764BA">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项目建设单位为深圳市龙岗区数据集团有限公司，是深圳市龙岗区国有全资大数据企业，由龙岗区委、区政府为深入贯彻“数字中国”建设战略目标出资组建，成立于2024年12月31日，注册资本10亿元人民币，是依法设立并有效存续的国有企业。集团是龙岗区智慧城市建设运营的核心平台，承担全区信息化建设项目和重大活动运维保障，服务多个政府部门及街道，核心业务覆盖数据要素、数字基础设施、政企数字化、数字产业生态发展及算力基础设施运营，具备项目立项、建设、运营一体化的组织能力与资源整合能力。集团注册地址为</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深圳市龙岗区龙城街道黄阁坑社区腾飞路9号龙岗创投大厦1号楼1101</w:t>
            </w:r>
            <w:r>
              <w:rPr>
                <w:rFonts w:hint="eastAsia" w:ascii="Times New Roman" w:hAnsi="Times New Roman" w:eastAsia="仿宋_GB2312" w:cs="Times New Roman"/>
                <w:color w:val="000000" w:themeColor="text1"/>
                <w:kern w:val="0"/>
                <w:sz w:val="24"/>
                <w14:textFill>
                  <w14:solidFill>
                    <w14:schemeClr w14:val="tx1"/>
                  </w14:solidFill>
                </w14:textFill>
              </w:rPr>
              <w:t>，具备项目实施所需的办公、设备部署及运维条件。本项目由集团首席数据官兼数据资产管理中心主任牵头，统筹数据、技术、安全与业务团队推进，具备完整的项目管理与国有企业内控体系。</w:t>
            </w:r>
          </w:p>
          <w:p w14:paraId="0AC557B0">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2.前期已开展的工作进展</w:t>
            </w:r>
          </w:p>
          <w:p w14:paraId="60099C25">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（1）场景需求梳理。集团</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高度重视</w:t>
            </w:r>
            <w:r>
              <w:rPr>
                <w:rFonts w:hint="eastAsia" w:ascii="Times New Roman" w:hAnsi="Times New Roman" w:eastAsia="仿宋_GB2312" w:cs="Times New Roman"/>
                <w:color w:val="000000" w:themeColor="text1"/>
                <w:kern w:val="0"/>
                <w:sz w:val="24"/>
                <w14:textFill>
                  <w14:solidFill>
                    <w14:schemeClr w14:val="tx1"/>
                  </w14:solidFill>
                </w14:textFill>
              </w:rPr>
              <w:t>员工职业心理健康管理，</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梳理不同人群、不同工种的实际需求，</w:t>
            </w:r>
            <w:r>
              <w:rPr>
                <w:rFonts w:hint="eastAsia" w:ascii="Times New Roman" w:hAnsi="Times New Roman" w:eastAsia="仿宋_GB2312" w:cs="Times New Roman"/>
                <w:color w:val="000000" w:themeColor="text1"/>
                <w:kern w:val="0"/>
                <w:sz w:val="24"/>
                <w14:textFill>
                  <w14:solidFill>
                    <w14:schemeClr w14:val="tx1"/>
                  </w14:solidFill>
                </w14:textFill>
              </w:rPr>
              <w:t>明确了以</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预防为主，以人为本”“</w:t>
            </w:r>
            <w:r>
              <w:rPr>
                <w:rFonts w:hint="eastAsia" w:ascii="Times New Roman" w:hAnsi="Times New Roman" w:eastAsia="仿宋_GB2312" w:cs="Times New Roman"/>
                <w:color w:val="000000" w:themeColor="text1"/>
                <w:kern w:val="0"/>
                <w:sz w:val="24"/>
                <w14:textFill>
                  <w14:solidFill>
                    <w14:schemeClr w14:val="tx1"/>
                  </w14:solidFill>
                </w14:textFill>
              </w:rPr>
              <w:t>客观化、常态化、隐私友好”为</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原则</w:t>
            </w:r>
            <w:r>
              <w:rPr>
                <w:rFonts w:hint="eastAsia" w:ascii="Times New Roman" w:hAnsi="Times New Roman" w:eastAsia="仿宋_GB2312" w:cs="Times New Roman"/>
                <w:color w:val="000000" w:themeColor="text1"/>
                <w:kern w:val="0"/>
                <w:sz w:val="24"/>
                <w14:textFill>
                  <w14:solidFill>
                    <w14:schemeClr w14:val="tx1"/>
                  </w14:solidFill>
                </w14:textFill>
              </w:rPr>
              <w:t>的</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管理</w:t>
            </w:r>
            <w:r>
              <w:rPr>
                <w:rFonts w:hint="eastAsia" w:ascii="Times New Roman" w:hAnsi="Times New Roman" w:eastAsia="仿宋_GB2312" w:cs="Times New Roman"/>
                <w:color w:val="000000" w:themeColor="text1"/>
                <w:kern w:val="0"/>
                <w:sz w:val="24"/>
                <w14:textFill>
                  <w14:solidFill>
                    <w14:schemeClr w14:val="tx1"/>
                  </w14:solidFill>
                </w14:textFill>
              </w:rPr>
              <w:t>目标。</w:t>
            </w:r>
          </w:p>
          <w:p w14:paraId="4D0B3C1C">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技术方案论证。已就认知神经科学大模型的技术可行性、多模态数字表型采集方案的工程化路径完成初步论证，形成“具身机器人本体＋多模态采集终端＋垂直大模型部署节点＋企业级管理平台”的四层架构，并明确多模态融合评估准确率≥90%、安静环境语音交互成功率≥92%等性能指标。</w:t>
            </w:r>
          </w:p>
          <w:p w14:paraId="15F7285B">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（3）合规路径预研。已就《</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中华人民共和国个人信息保护法</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lang w:eastAsia="zh-CN"/>
                <w14:textFill>
                  <w14:solidFill>
                    <w14:schemeClr w14:val="tx1"/>
                  </w14:solidFill>
                </w14:textFill>
              </w:rPr>
              <w:t>中华人民共和国数据安全法</w:t>
            </w:r>
            <w:r>
              <w:rPr>
                <w:rFonts w:hint="eastAsia" w:ascii="Times New Roman" w:hAnsi="Times New Roman" w:eastAsia="仿宋_GB2312" w:cs="Times New Roman"/>
                <w:color w:val="000000" w:themeColor="text1"/>
                <w:kern w:val="0"/>
                <w:sz w:val="24"/>
                <w14:textFill>
                  <w14:solidFill>
                    <w14:schemeClr w14:val="tx1"/>
                  </w14:solidFill>
                </w14:textFill>
              </w:rPr>
              <w:t>》及企业EAP隐私伦理要求开展合规预研，初步确定端侧去标识化、高强度加密存储、分级授权与访问留痕的数据处理方案，为后续伦理审查与数据安全评估奠定基础。</w:t>
            </w:r>
          </w:p>
          <w:p w14:paraId="01F7A970">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3.数据、算力与算法要素储备</w:t>
            </w:r>
          </w:p>
          <w:p w14:paraId="1EB111FF">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集团承担全区数据要素与数字基础设施建设运营职能，</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建设有相关的数据管理与算力服务部门，</w:t>
            </w:r>
            <w:r>
              <w:rPr>
                <w:rFonts w:hint="eastAsia" w:ascii="Times New Roman" w:hAnsi="Times New Roman" w:eastAsia="仿宋_GB2312" w:cs="Times New Roman"/>
                <w:color w:val="000000" w:themeColor="text1"/>
                <w:kern w:val="0"/>
                <w:sz w:val="24"/>
                <w14:textFill>
                  <w14:solidFill>
                    <w14:schemeClr w14:val="tx1"/>
                  </w14:solidFill>
                </w14:textFill>
              </w:rPr>
              <w:t>具备数据资源汇聚、治理与授权运营的制度基础和技术能力，可在合规前提下为本项目提供员工健康数据的分级分类管理、加密存储与脱敏分析支撑；</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同时</w:t>
            </w:r>
            <w:r>
              <w:rPr>
                <w:rFonts w:hint="eastAsia" w:ascii="Times New Roman" w:hAnsi="Times New Roman" w:eastAsia="仿宋_GB2312" w:cs="Times New Roman"/>
                <w:color w:val="000000" w:themeColor="text1"/>
                <w:kern w:val="0"/>
                <w:sz w:val="24"/>
                <w14:textFill>
                  <w14:solidFill>
                    <w14:schemeClr w14:val="tx1"/>
                  </w14:solidFill>
                </w14:textFill>
              </w:rPr>
              <w:t>可为认知神经科学垂直大模型的本地化部署、微调与推理提供算力保障，实现敏感数据“不出域、不落盘”。算法方面，拟采用的以内嵌注意力网络、记忆力系统、执行功能与情绪调节等脑科学认知先验为核心的垂直大模型技术路线已完成论证，具备工程化落地条件。</w:t>
            </w:r>
          </w:p>
          <w:p w14:paraId="69F144D5">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4.资金与场地保障</w:t>
            </w:r>
          </w:p>
          <w:p w14:paraId="66A4F879">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本项目拟投入资金300万元，建设周期1年，资金来源为单位自有资金，已纳入集团年度投资计划，并执行专款专用与全过程预算绩效管理。项目建设及运行场地拟设于龙岗创投大厦集团本部，可提供独立、安静、能够保障员工隐私的交互空间，以及网络、供电、安防、消防等配套条件，满足机器人及多模态采集终端的部署与常态化运行要求。</w:t>
            </w:r>
          </w:p>
          <w:p w14:paraId="00A45DF4">
            <w:pPr>
              <w:spacing w:line="320" w:lineRule="exact"/>
              <w:ind w:left="723" w:hanging="723" w:hangingChars="300"/>
              <w:rPr>
                <w:rFonts w:hint="eastAsia" w:ascii="Times New Roman" w:hAnsi="Times New Roman" w:eastAsia="仿宋_GB2312" w:cs="Times New Roman"/>
                <w:b/>
                <w:bCs/>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5.已对接的解决方案供给方</w:t>
            </w:r>
          </w:p>
          <w:p w14:paraId="73B6ED03">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（1）算法与模型侧：已与认知神经科学、脑科学领域高校及科研机构研发团队建立对接，可就脑科学认知先验建模、多模态数字表型编码、IEP方案生成与量表对照效度验证提供技术支撑；</w:t>
            </w:r>
          </w:p>
          <w:p w14:paraId="4855F45A">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（2）硬件与本体侧：已与具身智能服务机器人本体厂商及多模态生物特征采集终端供应商开展技术交流，可就机器人本体定制、情感化交互、眼动与微表情采集模块集成形成方案；</w:t>
            </w:r>
          </w:p>
          <w:p w14:paraId="31072B14">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（3）应用与服务侧：已与专业EAP服务机构、心理测评与干预服务机构接洽，可就EAP专员后台、匿名化风险态势报告、高危预警人工接管机制形成协同；</w:t>
            </w:r>
          </w:p>
          <w:p w14:paraId="042DFB5B">
            <w:pPr>
              <w:snapToGrid w:val="0"/>
              <w:spacing w:line="320" w:lineRule="exact"/>
              <w:ind w:firstLine="480" w:firstLineChars="200"/>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（4）合规与验证侧：已对接第三方数据安全评估、伦理审查及标准检测机构，为敏感个人信息处理、效度验证及后续可能的器械注册路径提供专业支撑。</w:t>
            </w:r>
          </w:p>
        </w:tc>
      </w:tr>
      <w:tr w14:paraId="4EEB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9E077D3">
            <w:pPr>
              <w:snapToGrid w:val="0"/>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实施成效</w:t>
            </w:r>
          </w:p>
        </w:tc>
        <w:tc>
          <w:tcPr>
            <w:tcW w:w="7413" w:type="dxa"/>
            <w:gridSpan w:val="3"/>
            <w:tcBorders>
              <w:top w:val="single" w:color="auto" w:sz="4" w:space="0"/>
              <w:left w:val="single" w:color="auto" w:sz="4" w:space="0"/>
              <w:bottom w:val="single" w:color="auto" w:sz="4" w:space="0"/>
              <w:right w:val="single" w:color="auto" w:sz="4" w:space="0"/>
            </w:tcBorders>
          </w:tcPr>
          <w:p w14:paraId="559D47EF">
            <w:pPr>
              <w:spacing w:line="320" w:lineRule="exact"/>
              <w:ind w:left="723" w:hanging="723" w:hangingChars="30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1.预期经济效益</w:t>
            </w:r>
          </w:p>
          <w:p w14:paraId="723D36E0">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（1）直接成本节约。系统上线后可替代以人工组织、问卷发放回收、人工统计为主的传统筛查流程</w:t>
            </w:r>
            <w:r>
              <w:rPr>
                <w:rFonts w:hint="eastAsia" w:ascii="Times New Roman" w:hAnsi="Times New Roman" w:eastAsia="仿宋_GB2312" w:cs="方正仿宋简体"/>
                <w:sz w:val="24"/>
                <w:szCs w:val="20"/>
                <w:lang w:eastAsia="zh-CN"/>
              </w:rPr>
              <w:t>。</w:t>
            </w:r>
            <w:r>
              <w:rPr>
                <w:rFonts w:hint="eastAsia" w:ascii="Times New Roman" w:hAnsi="Times New Roman" w:eastAsia="仿宋_GB2312" w:cs="方正仿宋简体"/>
                <w:sz w:val="24"/>
                <w:szCs w:val="20"/>
                <w:lang w:val="en-US" w:eastAsia="zh-CN"/>
              </w:rPr>
              <w:t>据测算</w:t>
            </w:r>
            <w:r>
              <w:rPr>
                <w:rFonts w:hint="eastAsia" w:ascii="Times New Roman" w:hAnsi="Times New Roman" w:eastAsia="仿宋_GB2312" w:cs="方正仿宋简体"/>
                <w:sz w:val="24"/>
                <w:szCs w:val="20"/>
              </w:rPr>
              <w:t>，一次全员筛查的组织协调与统计分析人力投入可减少约</w:t>
            </w:r>
            <w:r>
              <w:rPr>
                <w:rFonts w:hint="eastAsia" w:ascii="Times New Roman" w:hAnsi="Times New Roman" w:eastAsia="仿宋_GB2312" w:cs="方正仿宋简体"/>
                <w:sz w:val="24"/>
                <w:szCs w:val="20"/>
                <w:lang w:val="en-US" w:eastAsia="zh-CN"/>
              </w:rPr>
              <w:t>8</w:t>
            </w:r>
            <w:r>
              <w:rPr>
                <w:rFonts w:hint="eastAsia" w:ascii="Times New Roman" w:hAnsi="Times New Roman" w:eastAsia="仿宋_GB2312" w:cs="方正仿宋简体"/>
                <w:sz w:val="24"/>
                <w:szCs w:val="20"/>
              </w:rPr>
              <w:t>0</w:t>
            </w:r>
            <w:r>
              <w:rPr>
                <w:rFonts w:hint="eastAsia" w:ascii="Times New Roman" w:hAnsi="Times New Roman" w:eastAsia="仿宋_GB2312" w:cs="方正仿宋简体"/>
                <w:sz w:val="24"/>
                <w:szCs w:val="20"/>
                <w:lang w:eastAsia="zh-CN"/>
              </w:rPr>
              <w:t>%</w:t>
            </w:r>
            <w:r>
              <w:rPr>
                <w:rFonts w:hint="eastAsia" w:ascii="Times New Roman" w:hAnsi="Times New Roman" w:eastAsia="仿宋_GB2312" w:cs="方正仿宋简体"/>
                <w:sz w:val="24"/>
                <w:szCs w:val="20"/>
              </w:rPr>
              <w:t>，筛查周期由4～6周压缩至数天，按年度两次筛查测算，每年可节约人力与管理成本数十万元。</w:t>
            </w:r>
          </w:p>
          <w:p w14:paraId="01DC53C7">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2）资产与服务可复用。项目建成的具身智能心理筛查机器人、多模态采集终端、垂直大模型部署节点及企业级管理平台，可在龙岗区属国有企业、区直部门、街道及区内重点企业间复制推广，实现“一次建设、多点复用”，摊薄单位成本，并形成“硬件采购＋年度SaaS模型算法及EAP服务费”的可持续服务收入。</w:t>
            </w:r>
          </w:p>
          <w:p w14:paraId="3136F6A5">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3）产业带动效应。项目将带动本地具身智能机器人本体、传感与采集终端、脑科学与心理服务等上下游配套，促进数据要素与人工智能产业在龙岗集聚，支撑集团数字产业生态发展业务板块的营收增长，形成可复制的标准化产品与解决方案并向区外、市外输出。</w:t>
            </w:r>
          </w:p>
          <w:p w14:paraId="02B341F3">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（4）风险损失规避。通过早期识别与干预，降低因员工心理问题导致的缺勤、离职、误操作及安全事故所带来的隐性损失，减少因人员流失产生的招聘与培训重置成本。</w:t>
            </w:r>
          </w:p>
          <w:p w14:paraId="4E7AFD9F">
            <w:pPr>
              <w:spacing w:line="320" w:lineRule="exact"/>
              <w:ind w:left="723" w:hanging="723" w:hangingChars="300"/>
              <w:rPr>
                <w:rFonts w:hint="eastAsia" w:ascii="Times New Roman" w:hAnsi="Times New Roman" w:eastAsia="仿宋_GB2312" w:cs="方正仿宋简体"/>
                <w:b/>
                <w:bCs/>
                <w:sz w:val="24"/>
                <w:szCs w:val="20"/>
              </w:rPr>
            </w:pPr>
            <w:r>
              <w:rPr>
                <w:rFonts w:hint="eastAsia" w:ascii="Times New Roman" w:hAnsi="Times New Roman" w:eastAsia="仿宋_GB2312" w:cs="方正仿宋简体"/>
                <w:b/>
                <w:bCs/>
                <w:sz w:val="24"/>
                <w:szCs w:val="20"/>
              </w:rPr>
              <w:t>2.预期社会效益</w:t>
            </w:r>
          </w:p>
          <w:p w14:paraId="2AFAC805">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（1）提升员工心理健康水平。实现全员、常态化、客观化的心理风险筛查与个性化干预，把“被动等待求助”转变为“主动发现、及时干预”，有效提升员工心理健康水平与工作生活满意度。</w:t>
            </w:r>
          </w:p>
          <w:p w14:paraId="7B9A1FF7">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2）筑牢安全生产底线。面向数据安全运维、7×24小时值守、重大活动保障等高压高责岗位，通过动态监测与高危预警前置干预，降低因注意力涣散、情绪应激导致的操作失误与安全生产风险，为“数字先锋·智慧龙岗”建设提供稳定的队伍保障。</w:t>
            </w:r>
          </w:p>
          <w:p w14:paraId="128CBCE3">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3）形成示范标杆。项目建成后可形成“认知神经科学大模型＋具身机器人＋企业员工心理服务”的完整闭环样板，填补面向员工心理筛查的具身智能产品空白，为职业心理健康管理提供可复制的“龙岗模式”，支撑全区社会心理服务体系建设。</w:t>
            </w:r>
          </w:p>
          <w:p w14:paraId="6CEF3C83">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（4）推动科技惠民与数据要素融合。在严格保护个人信息安全的前提下，探索员工心理健康数据的合规治理与匿名化应用，为区域职业健康相关政策制定提供数据支撑，推动心理健康服务均等化、普惠化。</w:t>
            </w:r>
          </w:p>
          <w:p w14:paraId="57DA769A">
            <w:pPr>
              <w:snapToGrid w:val="0"/>
              <w:spacing w:line="320" w:lineRule="exact"/>
              <w:ind w:firstLine="480" w:firstLineChars="200"/>
              <w:rPr>
                <w:rFonts w:hint="eastAsia" w:ascii="Times New Roman" w:hAnsi="Times New Roman" w:eastAsia="仿宋_GB2312" w:cs="方正仿宋简体"/>
                <w:sz w:val="24"/>
                <w:szCs w:val="20"/>
              </w:rPr>
            </w:pPr>
            <w:r>
              <w:rPr>
                <w:rFonts w:hint="eastAsia" w:ascii="Times New Roman" w:hAnsi="Times New Roman" w:eastAsia="仿宋_GB2312" w:cs="方正仿宋简体"/>
                <w:sz w:val="24"/>
                <w:szCs w:val="20"/>
              </w:rPr>
              <w:t>（5）落实国家战略。契合“健康中国2030</w:t>
            </w:r>
            <w:r>
              <w:rPr>
                <w:rFonts w:hint="eastAsia" w:ascii="Times New Roman" w:hAnsi="Times New Roman" w:eastAsia="仿宋_GB2312" w:cs="方正仿宋简体"/>
                <w:sz w:val="24"/>
                <w:szCs w:val="20"/>
                <w:lang w:eastAsia="zh-CN"/>
              </w:rPr>
              <w:t>”《</w:t>
            </w:r>
            <w:r>
              <w:rPr>
                <w:rFonts w:hint="eastAsia" w:ascii="Times New Roman" w:hAnsi="Times New Roman" w:eastAsia="仿宋_GB2312" w:cs="方正仿宋简体"/>
                <w:sz w:val="24"/>
                <w:szCs w:val="20"/>
              </w:rPr>
              <w:t>关于加强心理健康服务的指导意见》及社会心理服务体系建设相关要求，助力实现高水平科技自立自强与绿色转型等国家战略目标。</w:t>
            </w:r>
          </w:p>
        </w:tc>
      </w:tr>
    </w:tbl>
    <w:p w14:paraId="0831F26F">
      <w:pPr>
        <w:rPr>
          <w:rFonts w:hint="eastAsia" w:ascii="仿宋_GB2312" w:hAnsi="黑体" w:eastAsia="仿宋_GB2312" w:cs="黑体"/>
          <w:sz w:val="32"/>
          <w:szCs w:val="32"/>
        </w:rPr>
      </w:pPr>
    </w:p>
    <w:sectPr>
      <w:footerReference r:id="rId3" w:type="default"/>
      <w:pgSz w:w="11906" w:h="16838"/>
      <w:pgMar w:top="2041"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简体">
    <w:altName w:val="方正仿宋_GBK"/>
    <w:panose1 w:val="00000000000000000000"/>
    <w:charset w:val="86"/>
    <w:family w:val="roman"/>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713B">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B5E72">
                          <w:pPr>
                            <w:pStyle w:val="9"/>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P1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J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v9z9dKwIAAFUEAAAOAAAAAAAAAAEAIAAAAB8BAABkcnMvZTJvRG9jLnhtbFBLBQYAAAAABgAG&#10;AFkBAAC8BQAAAAA=&#10;">
              <v:fill on="f" focussize="0,0"/>
              <v:stroke on="f" weight="0.5pt"/>
              <v:imagedata o:title=""/>
              <o:lock v:ext="edit" aspectratio="f"/>
              <v:textbox inset="0mm,0mm,0mm,0mm" style="mso-fit-shape-to-text:t;">
                <w:txbxContent>
                  <w:p w14:paraId="577B5E72">
                    <w:pPr>
                      <w:pStyle w:val="9"/>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E3FE1"/>
    <w:multiLevelType w:val="multilevel"/>
    <w:tmpl w:val="117E3FE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E92"/>
    <w:rsid w:val="000110F2"/>
    <w:rsid w:val="00092C99"/>
    <w:rsid w:val="00151632"/>
    <w:rsid w:val="001620F3"/>
    <w:rsid w:val="00190E92"/>
    <w:rsid w:val="00245E67"/>
    <w:rsid w:val="003A665F"/>
    <w:rsid w:val="00410BA7"/>
    <w:rsid w:val="00412A98"/>
    <w:rsid w:val="005A24E5"/>
    <w:rsid w:val="00633D40"/>
    <w:rsid w:val="006826E1"/>
    <w:rsid w:val="00733003"/>
    <w:rsid w:val="00772ABA"/>
    <w:rsid w:val="008C4C35"/>
    <w:rsid w:val="00AE4066"/>
    <w:rsid w:val="00AE7307"/>
    <w:rsid w:val="00C558A7"/>
    <w:rsid w:val="00C81B9D"/>
    <w:rsid w:val="00CB588E"/>
    <w:rsid w:val="00CF19EE"/>
    <w:rsid w:val="00E50174"/>
    <w:rsid w:val="00E5120C"/>
    <w:rsid w:val="00E576CB"/>
    <w:rsid w:val="00E711B5"/>
    <w:rsid w:val="00F376C1"/>
    <w:rsid w:val="00FF32BC"/>
    <w:rsid w:val="02994018"/>
    <w:rsid w:val="03484207"/>
    <w:rsid w:val="03840469"/>
    <w:rsid w:val="0455059A"/>
    <w:rsid w:val="048C5A1D"/>
    <w:rsid w:val="067D77AC"/>
    <w:rsid w:val="08AC0E08"/>
    <w:rsid w:val="0924072D"/>
    <w:rsid w:val="098350DA"/>
    <w:rsid w:val="0AB8556E"/>
    <w:rsid w:val="0B476C1F"/>
    <w:rsid w:val="0BCF4BEF"/>
    <w:rsid w:val="0C2E3359"/>
    <w:rsid w:val="0FB44DF8"/>
    <w:rsid w:val="0FFD084B"/>
    <w:rsid w:val="0FFF7290"/>
    <w:rsid w:val="10A122E9"/>
    <w:rsid w:val="14920838"/>
    <w:rsid w:val="17D411F6"/>
    <w:rsid w:val="17F453F5"/>
    <w:rsid w:val="18046DB4"/>
    <w:rsid w:val="192D7C20"/>
    <w:rsid w:val="196AD810"/>
    <w:rsid w:val="19B6E7BF"/>
    <w:rsid w:val="1A7606F3"/>
    <w:rsid w:val="1B515AF1"/>
    <w:rsid w:val="1B5FBF99"/>
    <w:rsid w:val="1BA79CDC"/>
    <w:rsid w:val="1BB47375"/>
    <w:rsid w:val="1D151E47"/>
    <w:rsid w:val="1D6372A4"/>
    <w:rsid w:val="1D8965DF"/>
    <w:rsid w:val="1EBB93FF"/>
    <w:rsid w:val="1EF323E1"/>
    <w:rsid w:val="1F6706ED"/>
    <w:rsid w:val="1FED819C"/>
    <w:rsid w:val="213D1BBA"/>
    <w:rsid w:val="21E32762"/>
    <w:rsid w:val="23D305B4"/>
    <w:rsid w:val="23E991EA"/>
    <w:rsid w:val="25FB5C8D"/>
    <w:rsid w:val="277D9957"/>
    <w:rsid w:val="27EE6D51"/>
    <w:rsid w:val="27FF6CEE"/>
    <w:rsid w:val="28D11E50"/>
    <w:rsid w:val="293C03A1"/>
    <w:rsid w:val="295F4AB9"/>
    <w:rsid w:val="296B118E"/>
    <w:rsid w:val="2A2B5644"/>
    <w:rsid w:val="2B006133"/>
    <w:rsid w:val="2EE7C452"/>
    <w:rsid w:val="2F99C37D"/>
    <w:rsid w:val="2FDDE057"/>
    <w:rsid w:val="34D466B4"/>
    <w:rsid w:val="360B7329"/>
    <w:rsid w:val="367D4FF9"/>
    <w:rsid w:val="36D154B9"/>
    <w:rsid w:val="37BB7471"/>
    <w:rsid w:val="37DE3C9F"/>
    <w:rsid w:val="39E38617"/>
    <w:rsid w:val="39FD5F33"/>
    <w:rsid w:val="3A5402D2"/>
    <w:rsid w:val="3B7E465F"/>
    <w:rsid w:val="3B7F5941"/>
    <w:rsid w:val="3BDE13E8"/>
    <w:rsid w:val="3BEBC578"/>
    <w:rsid w:val="3D2FD38D"/>
    <w:rsid w:val="3D5FD812"/>
    <w:rsid w:val="3DDBE88D"/>
    <w:rsid w:val="3DFF58F7"/>
    <w:rsid w:val="3EBE72C0"/>
    <w:rsid w:val="3F3F54AD"/>
    <w:rsid w:val="3F8D54A2"/>
    <w:rsid w:val="3FDEF73E"/>
    <w:rsid w:val="3FF7E75F"/>
    <w:rsid w:val="3FFB7D85"/>
    <w:rsid w:val="3FFBB406"/>
    <w:rsid w:val="3FFD3B98"/>
    <w:rsid w:val="3FFF5C5F"/>
    <w:rsid w:val="41DF3C4C"/>
    <w:rsid w:val="42ED4D97"/>
    <w:rsid w:val="43A41BBB"/>
    <w:rsid w:val="43E07956"/>
    <w:rsid w:val="44B042CE"/>
    <w:rsid w:val="46483E01"/>
    <w:rsid w:val="46D46C38"/>
    <w:rsid w:val="47395243"/>
    <w:rsid w:val="474B7D77"/>
    <w:rsid w:val="47E56984"/>
    <w:rsid w:val="485951EC"/>
    <w:rsid w:val="49B74D2D"/>
    <w:rsid w:val="49DB6C5E"/>
    <w:rsid w:val="4C3E406E"/>
    <w:rsid w:val="4D090F5F"/>
    <w:rsid w:val="4DD6AC44"/>
    <w:rsid w:val="4E2E44B5"/>
    <w:rsid w:val="4F5543EF"/>
    <w:rsid w:val="4F7A8014"/>
    <w:rsid w:val="508F6E38"/>
    <w:rsid w:val="531445D8"/>
    <w:rsid w:val="55A90D53"/>
    <w:rsid w:val="565A22EB"/>
    <w:rsid w:val="56F6563D"/>
    <w:rsid w:val="57D7CCB7"/>
    <w:rsid w:val="58330577"/>
    <w:rsid w:val="590B1ADE"/>
    <w:rsid w:val="5A2D03CA"/>
    <w:rsid w:val="5AFF6E5F"/>
    <w:rsid w:val="5B71530F"/>
    <w:rsid w:val="5BFD2097"/>
    <w:rsid w:val="5C1437A9"/>
    <w:rsid w:val="5C346947"/>
    <w:rsid w:val="5CF43DA1"/>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F4333C"/>
    <w:rsid w:val="61DD6989"/>
    <w:rsid w:val="631F74BC"/>
    <w:rsid w:val="63E9680E"/>
    <w:rsid w:val="64817B3D"/>
    <w:rsid w:val="667FC0EE"/>
    <w:rsid w:val="67FC8436"/>
    <w:rsid w:val="683C02AC"/>
    <w:rsid w:val="6B2F9C3E"/>
    <w:rsid w:val="6B841E8D"/>
    <w:rsid w:val="6E0F7A08"/>
    <w:rsid w:val="6E125199"/>
    <w:rsid w:val="6EB7CCBF"/>
    <w:rsid w:val="6F383D07"/>
    <w:rsid w:val="6F3F9144"/>
    <w:rsid w:val="6F5B5E8A"/>
    <w:rsid w:val="6F76B2F3"/>
    <w:rsid w:val="6FBFDE40"/>
    <w:rsid w:val="6FF7E679"/>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BF9165"/>
    <w:rsid w:val="7AD85D51"/>
    <w:rsid w:val="7B2F6BC8"/>
    <w:rsid w:val="7BFD5E74"/>
    <w:rsid w:val="7BFFA321"/>
    <w:rsid w:val="7C7EECF1"/>
    <w:rsid w:val="7D8EEADD"/>
    <w:rsid w:val="7DBE72CD"/>
    <w:rsid w:val="7DCE40DB"/>
    <w:rsid w:val="7E3A6F4A"/>
    <w:rsid w:val="7EB32A31"/>
    <w:rsid w:val="7EB79499"/>
    <w:rsid w:val="7EBE44C7"/>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BF4527"/>
    <w:rsid w:val="AF7B7952"/>
    <w:rsid w:val="AF9F8FCA"/>
    <w:rsid w:val="B75D8BF8"/>
    <w:rsid w:val="B7DF0942"/>
    <w:rsid w:val="B8EB41BC"/>
    <w:rsid w:val="B9EE4007"/>
    <w:rsid w:val="BBBF35EF"/>
    <w:rsid w:val="BBEF55F8"/>
    <w:rsid w:val="BD7DC420"/>
    <w:rsid w:val="BE489A38"/>
    <w:rsid w:val="BE7F0907"/>
    <w:rsid w:val="BEFD7B84"/>
    <w:rsid w:val="BFB636F8"/>
    <w:rsid w:val="BFFFACDB"/>
    <w:rsid w:val="C2F50BC2"/>
    <w:rsid w:val="C4779D79"/>
    <w:rsid w:val="C6EF96BF"/>
    <w:rsid w:val="CDAFB7F2"/>
    <w:rsid w:val="CEF16418"/>
    <w:rsid w:val="CF2BB839"/>
    <w:rsid w:val="CFC547A0"/>
    <w:rsid w:val="D1FF6584"/>
    <w:rsid w:val="D7ECDBB6"/>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3"/>
    <w:basedOn w:val="1"/>
    <w:next w:val="1"/>
    <w:link w:val="20"/>
    <w:semiHidden/>
    <w:unhideWhenUsed/>
    <w:qFormat/>
    <w:uiPriority w:val="0"/>
    <w:pPr>
      <w:keepNext/>
      <w:keepLines/>
      <w:spacing w:before="260" w:after="260" w:line="416" w:lineRule="auto"/>
      <w:outlineLvl w:val="2"/>
    </w:pPr>
    <w:rPr>
      <w:b/>
      <w:bCs/>
      <w:sz w:val="32"/>
      <w:szCs w:val="32"/>
    </w:rPr>
  </w:style>
  <w:style w:type="paragraph" w:styleId="4">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rFonts w:ascii="Times New Roman" w:hAnsi="Times New Roman" w:eastAsia="宋体" w:cs="Times New Roman"/>
    </w:rPr>
  </w:style>
  <w:style w:type="paragraph" w:styleId="6">
    <w:name w:val="Body Text"/>
    <w:basedOn w:val="1"/>
    <w:next w:val="7"/>
    <w:qFormat/>
    <w:uiPriority w:val="1"/>
    <w:pPr>
      <w:ind w:left="138"/>
      <w:jc w:val="left"/>
    </w:pPr>
    <w:rPr>
      <w:rFonts w:ascii="宋体" w:hAnsi="宋体"/>
      <w:kern w:val="0"/>
      <w:sz w:val="24"/>
      <w:lang w:eastAsia="en-US"/>
    </w:rPr>
  </w:style>
  <w:style w:type="paragraph" w:styleId="7">
    <w:name w:val="Title"/>
    <w:basedOn w:val="1"/>
    <w:next w:val="1"/>
    <w:qFormat/>
    <w:uiPriority w:val="99"/>
    <w:pPr>
      <w:jc w:val="center"/>
    </w:pPr>
    <w:rPr>
      <w:rFonts w:ascii="方正小标宋简体" w:hAnsi="方正小标宋简体" w:eastAsia="方正小标宋简体" w:cs="方正小标宋简体"/>
      <w:sz w:val="44"/>
      <w:szCs w:val="44"/>
    </w:rPr>
  </w:style>
  <w:style w:type="paragraph" w:styleId="8">
    <w:name w:val="annotation text"/>
    <w:basedOn w:val="1"/>
    <w:qFormat/>
    <w:uiPriority w:val="0"/>
    <w:pPr>
      <w:jc w:val="left"/>
    </w:pPr>
  </w:style>
  <w:style w:type="paragraph" w:styleId="9">
    <w:name w:val="footer"/>
    <w:basedOn w:val="1"/>
    <w:next w:val="10"/>
    <w:qFormat/>
    <w:uiPriority w:val="0"/>
    <w:pPr>
      <w:snapToGrid w:val="0"/>
      <w:jc w:val="left"/>
    </w:pPr>
    <w:rPr>
      <w:sz w:val="18"/>
      <w:szCs w:val="18"/>
    </w:rPr>
  </w:style>
  <w:style w:type="paragraph" w:customStyle="1" w:styleId="10">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index 9"/>
    <w:basedOn w:val="1"/>
    <w:next w:val="1"/>
    <w:qFormat/>
    <w:uiPriority w:val="0"/>
    <w:pPr>
      <w:ind w:left="1600" w:leftChars="1600"/>
    </w:pPr>
  </w:style>
  <w:style w:type="paragraph" w:styleId="13">
    <w:name w:val="Normal (Web)"/>
    <w:basedOn w:val="1"/>
    <w:qFormat/>
    <w:uiPriority w:val="0"/>
    <w:pPr>
      <w:spacing w:beforeAutospacing="1" w:afterAutospacing="1"/>
      <w:jc w:val="left"/>
    </w:pPr>
    <w:rPr>
      <w:rFonts w:cs="Times New Roman"/>
      <w:kern w:val="0"/>
      <w:sz w:val="24"/>
    </w:rPr>
  </w:style>
  <w:style w:type="table" w:styleId="15">
    <w:name w:val="Table Grid"/>
    <w:basedOn w:val="1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customStyle="1" w:styleId="18">
    <w:name w:val="font01"/>
    <w:basedOn w:val="16"/>
    <w:qFormat/>
    <w:uiPriority w:val="0"/>
    <w:rPr>
      <w:rFonts w:hint="eastAsia" w:ascii="宋体" w:hAnsi="宋体" w:eastAsia="宋体" w:cs="宋体"/>
      <w:color w:val="000000"/>
      <w:sz w:val="22"/>
      <w:szCs w:val="22"/>
      <w:u w:val="single"/>
    </w:rPr>
  </w:style>
  <w:style w:type="paragraph" w:customStyle="1" w:styleId="19">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0">
    <w:name w:val="标题 3 字符"/>
    <w:basedOn w:val="16"/>
    <w:link w:val="3"/>
    <w:semiHidden/>
    <w:qFormat/>
    <w:uiPriority w:val="0"/>
    <w:rPr>
      <w:rFonts w:asciiTheme="minorHAnsi" w:hAnsiTheme="minorHAnsi" w:eastAsiaTheme="minorEastAsia" w:cstheme="minorBidi"/>
      <w:b/>
      <w:bCs/>
      <w:kern w:val="2"/>
      <w:sz w:val="32"/>
      <w:szCs w:val="32"/>
    </w:rPr>
  </w:style>
  <w:style w:type="paragraph" w:customStyle="1" w:styleId="21">
    <w:name w:val="_Style 1"/>
    <w:basedOn w:val="1"/>
    <w:qFormat/>
    <w:uiPriority w:val="0"/>
    <w:pPr>
      <w:ind w:firstLine="200" w:firstLineChars="200"/>
    </w:pPr>
    <w:rPr>
      <w:rFonts w:ascii="宋体" w:hAnsi="宋体" w:eastAsia="仿宋_GB2312" w:cs="Times New Roman"/>
      <w:sz w:val="32"/>
      <w:szCs w:val="32"/>
    </w:rPr>
  </w:style>
  <w:style w:type="character" w:customStyle="1" w:styleId="22">
    <w:name w:val="font51"/>
    <w:basedOn w:val="16"/>
    <w:qFormat/>
    <w:uiPriority w:val="0"/>
    <w:rPr>
      <w:rFonts w:hint="default" w:ascii="仿宋_GB2312" w:eastAsia="仿宋_GB2312" w:cs="仿宋_GB2312"/>
      <w:color w:val="000000"/>
      <w:sz w:val="28"/>
      <w:szCs w:val="28"/>
      <w:u w:val="none"/>
    </w:rPr>
  </w:style>
  <w:style w:type="character" w:customStyle="1" w:styleId="23">
    <w:name w:val="font11"/>
    <w:basedOn w:val="16"/>
    <w:qFormat/>
    <w:uiPriority w:val="0"/>
    <w:rPr>
      <w:rFonts w:hint="eastAsia" w:ascii="宋体" w:hAnsi="宋体" w:eastAsia="宋体" w:cs="宋体"/>
      <w:color w:val="000000"/>
      <w:sz w:val="22"/>
      <w:szCs w:val="22"/>
      <w:u w:val="none"/>
    </w:rPr>
  </w:style>
  <w:style w:type="paragraph" w:customStyle="1" w:styleId="24">
    <w:name w:val="正文_0"/>
    <w:next w:val="6"/>
    <w:qFormat/>
    <w:uiPriority w:val="0"/>
    <w:pPr>
      <w:widowControl w:val="0"/>
      <w:jc w:val="both"/>
    </w:pPr>
    <w:rPr>
      <w:rFonts w:ascii="Calibri" w:hAnsi="Calibri" w:eastAsia="宋体" w:cs="Times New Roman"/>
      <w:kern w:val="2"/>
      <w:sz w:val="21"/>
      <w:szCs w:val="24"/>
      <w:lang w:val="en-US" w:eastAsia="zh-CN" w:bidi="ar-SA"/>
    </w:rPr>
  </w:style>
  <w:style w:type="table" w:customStyle="1" w:styleId="25">
    <w:name w:val="网格型1"/>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6">
    <w:name w:val="List Paragraph"/>
    <w:basedOn w:val="1"/>
    <w:unhideWhenUsed/>
    <w:qFormat/>
    <w:uiPriority w:val="99"/>
    <w:pPr>
      <w:ind w:firstLine="420" w:firstLineChars="200"/>
    </w:pPr>
  </w:style>
  <w:style w:type="paragraph" w:customStyle="1" w:styleId="27">
    <w:name w:val="纯文本1"/>
    <w:basedOn w:val="1"/>
    <w:qFormat/>
    <w:uiPriority w:val="0"/>
    <w:rPr>
      <w:rFonts w:ascii="宋体" w:hAnsi="Courier New" w:eastAsia="宋体" w:cs="Courier New"/>
    </w:rPr>
  </w:style>
  <w:style w:type="paragraph" w:customStyle="1" w:styleId="28">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c68ff3d5-7cd7-4761-a039-9eca2736c2ab</errorID>
      <errorWord xmlns="http://schemas.wps.cn/vas-ai-hub/contract-review">揭榜挂帅</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“揭榜挂帅”</item>
      </candidateList>
      <explain xmlns="http://schemas.wps.cn/vas-ai-hub/contract-review">注意检查当前固定表述标点是否使用规范。</explain>
      <paraID xmlns="http://schemas.wps.cn/vas-ai-hub/contract-review">78A7A848</paraID>
      <start xmlns="http://schemas.wps.cn/vas-ai-hub/contract-review">13</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00d370cb-1ca2-429a-9556-b9880a41274a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，让</item>
      </candidateList>
      <explain xmlns="http://schemas.wps.cn/vas-ai-hub/contract-review"/>
      <paraID xmlns="http://schemas.wps.cn/vas-ai-hub/contract-review">  687E37</paraID>
      <start xmlns="http://schemas.wps.cn/vas-ai-hub/contract-review">287</start>
      <end xmlns="http://schemas.wps.cn/vas-ai-hub/contract-review">289</end>
      <status xmlns="http://schemas.wps.cn/vas-ai-hub/contract-review">modified</status>
      <modifiedWord xmlns="http://schemas.wps.cn/vas-ai-hub/contract-review">，让</modifiedWord>
      <trackRevisions xmlns="http://schemas.wps.cn/vas-ai-hub/contract-review">false</trackRevisions>
    </reviewItem>
    <reviewItem xmlns="http://schemas.wps.cn/vas-ai-hub/contract-review">
      <errorID xmlns="http://schemas.wps.cn/vas-ai-hub/contract-review">d22670ac-ab2a-4772-8e35-7fee237a16b3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6D9C5FE4</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b37bef3d-a701-4c27-9bc7-2a19a6afaa91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25A7547D</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5c5300ff-3c08-4234-a69f-afeb5b551025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4FE3E3B4</paraID>
      <start xmlns="http://schemas.wps.cn/vas-ai-hub/contract-review">0</start>
      <end xmlns="http://schemas.wps.cn/vas-ai-hub/contract-review">3</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24f48285-16e6-4bd1-86a1-39417ba96a34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41B0B933</paraID>
      <start xmlns="http://schemas.wps.cn/vas-ai-hub/contract-review">0</start>
      <end xmlns="http://schemas.wps.cn/vas-ai-hub/contract-review">3</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c3bb8b76-89ee-473e-86de-f9bd0e7bef74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DCDE363</paraID>
      <start xmlns="http://schemas.wps.cn/vas-ai-hub/contract-review">117</start>
      <end xmlns="http://schemas.wps.cn/vas-ai-hub/contract-review">118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39cddfba-7045-4e6b-897e-4f6db36a8128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DCDE363</paraID>
      <start xmlns="http://schemas.wps.cn/vas-ai-hub/contract-review">120</start>
      <end xmlns="http://schemas.wps.cn/vas-ai-hub/contract-review">121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eba08c69-673b-4827-a4ef-8f2fbd41e9c9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DCDE363</paraID>
      <start xmlns="http://schemas.wps.cn/vas-ai-hub/contract-review">123</start>
      <end xmlns="http://schemas.wps.cn/vas-ai-hub/contract-review">124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884bc3fe-2fd4-48b2-abf3-bac692fd7b33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DCDE363</paraID>
      <start xmlns="http://schemas.wps.cn/vas-ai-hub/contract-review">126</start>
      <end xmlns="http://schemas.wps.cn/vas-ai-hub/contract-review">127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28a583b3-6a9b-4b28-a048-9f5d97a17fe0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2E990311</paraID>
      <start xmlns="http://schemas.wps.cn/vas-ai-hub/contract-review">0</start>
      <end xmlns="http://schemas.wps.cn/vas-ai-hub/contract-review">3</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98a0fb7f-a41d-4f0d-b55a-ae6e99b8df95</errorID>
      <errorWord xmlns="http://schemas.wps.cn/vas-ai-hub/contract-review">个人信息保护法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中华人民共和国个人信息保护法</item>
      </candidateList>
      <explain xmlns="http://schemas.wps.cn/vas-ai-hub/contract-review">当前法律法规名称使用简称，请注意是否应当使用全称。</explain>
      <paraID xmlns="http://schemas.wps.cn/vas-ai-hub/contract-review">7E38CCC4</paraID>
      <start xmlns="http://schemas.wps.cn/vas-ai-hub/contract-review">50</start>
      <end xmlns="http://schemas.wps.cn/vas-ai-hub/contract-review">64</end>
      <status xmlns="http://schemas.wps.cn/vas-ai-hub/contract-review">modified</status>
      <modifiedWord xmlns="http://schemas.wps.cn/vas-ai-hub/contract-review">中华人民共和国个人信息保护法</modifiedWord>
      <trackRevisions xmlns="http://schemas.wps.cn/vas-ai-hub/contract-review">false</trackRevisions>
    </reviewItem>
    <reviewItem xmlns="http://schemas.wps.cn/vas-ai-hub/contract-review">
      <errorID xmlns="http://schemas.wps.cn/vas-ai-hub/contract-review">12485cf8-2356-4549-a8c7-8f609cebbaec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345AC5E3</paraID>
      <start xmlns="http://schemas.wps.cn/vas-ai-hub/contract-review">120</start>
      <end xmlns="http://schemas.wps.cn/vas-ai-hub/contract-review">121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f8075e7c-4871-40d4-8d2a-f3d9fa6f5cdb</errorID>
      <errorWord xmlns="http://schemas.wps.cn/vas-ai-hub/contract-review">孤独感</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可使孤独感</item>
      </candidateList>
      <explain xmlns="http://schemas.wps.cn/vas-ai-hub/contract-review"/>
      <paraID xmlns="http://schemas.wps.cn/vas-ai-hub/contract-review">6D372EBB</paraID>
      <start xmlns="http://schemas.wps.cn/vas-ai-hub/contract-review">81</start>
      <end xmlns="http://schemas.wps.cn/vas-ai-hub/contract-review">86</end>
      <status xmlns="http://schemas.wps.cn/vas-ai-hub/contract-review">modified</status>
      <modifiedWord xmlns="http://schemas.wps.cn/vas-ai-hub/contract-review">可使孤独感</modifiedWord>
      <trackRevisions xmlns="http://schemas.wps.cn/vas-ai-hub/contract-review">false</trackRevisions>
    </reviewItem>
    <reviewItem xmlns="http://schemas.wps.cn/vas-ai-hub/contract-review">
      <errorID xmlns="http://schemas.wps.cn/vas-ai-hub/contract-review">6167c266-f9fa-4217-9797-0564505443fb</errorID>
      <errorWord xmlns="http://schemas.wps.cn/vas-ai-hub/contract-review">四个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这四个</item>
      </candidateList>
      <explain xmlns="http://schemas.wps.cn/vas-ai-hub/contract-review"/>
      <paraID xmlns="http://schemas.wps.cn/vas-ai-hub/contract-review">6E6EC018</paraID>
      <start xmlns="http://schemas.wps.cn/vas-ai-hub/contract-review">90</start>
      <end xmlns="http://schemas.wps.cn/vas-ai-hub/contract-review">93</end>
      <status xmlns="http://schemas.wps.cn/vas-ai-hub/contract-review">modified</status>
      <modifiedWord xmlns="http://schemas.wps.cn/vas-ai-hub/contract-review">这四个</modifiedWord>
      <trackRevisions xmlns="http://schemas.wps.cn/vas-ai-hub/contract-review">false</trackRevisions>
    </reviewItem>
    <reviewItem xmlns="http://schemas.wps.cn/vas-ai-hub/contract-review">
      <errorID xmlns="http://schemas.wps.cn/vas-ai-hub/contract-review">ab33f873-c944-4541-99ac-7c44c32f8a00</errorID>
      <errorWord xmlns="http://schemas.wps.cn/vas-ai-hub/contract-review">个人信息保护法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中华人民共和国个人信息保护法</item>
      </candidateList>
      <explain xmlns="http://schemas.wps.cn/vas-ai-hub/contract-review">当前法律法规名称使用简称，请注意是否应当使用全称。</explain>
      <paraID xmlns="http://schemas.wps.cn/vas-ai-hub/contract-review">2C59F5F5</paraID>
      <start xmlns="http://schemas.wps.cn/vas-ai-hub/contract-review">52</start>
      <end xmlns="http://schemas.wps.cn/vas-ai-hub/contract-review">66</end>
      <status xmlns="http://schemas.wps.cn/vas-ai-hub/contract-review">modified</status>
      <modifiedWord xmlns="http://schemas.wps.cn/vas-ai-hub/contract-review">中华人民共和国个人信息保护法</modifiedWord>
      <trackRevisions xmlns="http://schemas.wps.cn/vas-ai-hub/contract-review">false</trackRevisions>
    </reviewItem>
    <reviewItem xmlns="http://schemas.wps.cn/vas-ai-hub/contract-review">
      <errorID xmlns="http://schemas.wps.cn/vas-ai-hub/contract-review">b41af5b4-eaff-466c-b916-0313626e8f30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2C59F5F5</paraID>
      <start xmlns="http://schemas.wps.cn/vas-ai-hub/contract-review">66</start>
      <end xmlns="http://schemas.wps.cn/vas-ai-hub/contract-review">68</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65a2294c-bbff-4503-9f11-48bf71bf343d</errorID>
      <errorWord xmlns="http://schemas.wps.cn/vas-ai-hub/contract-review">数据安全法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中华人民共和国数据安全法</item>
      </candidateList>
      <explain xmlns="http://schemas.wps.cn/vas-ai-hub/contract-review">当前法律法规名称使用简称，请注意是否应当使用全称。</explain>
      <paraID xmlns="http://schemas.wps.cn/vas-ai-hub/contract-review">2C59F5F5</paraID>
      <start xmlns="http://schemas.wps.cn/vas-ai-hub/contract-review">69</start>
      <end xmlns="http://schemas.wps.cn/vas-ai-hub/contract-review">81</end>
      <status xmlns="http://schemas.wps.cn/vas-ai-hub/contract-review">modified</status>
      <modifiedWord xmlns="http://schemas.wps.cn/vas-ai-hub/contract-review">中华人民共和国数据安全法</modifiedWord>
      <trackRevisions xmlns="http://schemas.wps.cn/vas-ai-hub/contract-review">false</trackRevisions>
    </reviewItem>
    <reviewItem xmlns="http://schemas.wps.cn/vas-ai-hub/contract-review">
      <errorID xmlns="http://schemas.wps.cn/vas-ai-hub/contract-review">fbf9878d-5e05-44b2-bd42-86fcf03f6a78</errorID>
      <errorWord xmlns="http://schemas.wps.cn/vas-ai-hub/contract-review">15-30万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15万—30万</item>
      </candidateList>
      <explain xmlns="http://schemas.wps.cn/vas-ai-hub/contract-review">1. “15-30万”中的单位“万”仅出现在后一个数字上，容易引起歧义；根据《现代汉语标点符号数字用法规范手册》，数字表示范围两边需要使用统一的格式。2.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78F1DCB4</paraID>
      <start xmlns="http://schemas.wps.cn/vas-ai-hub/contract-review">104</start>
      <end xmlns="http://schemas.wps.cn/vas-ai-hub/contract-review">111</end>
      <status xmlns="http://schemas.wps.cn/vas-ai-hub/contract-review">modified</status>
      <modifiedWord xmlns="http://schemas.wps.cn/vas-ai-hub/contract-review">15万—30万</modifiedWord>
      <trackRevisions xmlns="http://schemas.wps.cn/vas-ai-hub/contract-review">false</trackRevisions>
    </reviewItem>
    <reviewItem xmlns="http://schemas.wps.cn/vas-ai-hub/contract-review">
      <errorID xmlns="http://schemas.wps.cn/vas-ai-hub/contract-review">b9c41ccb-c32e-4e0a-a4c1-2097caea8d64</errorID>
      <errorWord xmlns="http://schemas.wps.cn/vas-ai-hub/contract-review">3-10万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3万—10万</item>
      </candidateList>
      <explain xmlns="http://schemas.wps.cn/vas-ai-hub/contract-review">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78F1DCB4</paraID>
      <start xmlns="http://schemas.wps.cn/vas-ai-hub/contract-review">133</start>
      <end xmlns="http://schemas.wps.cn/vas-ai-hub/contract-review">139</end>
      <status xmlns="http://schemas.wps.cn/vas-ai-hub/contract-review">modified</status>
      <modifiedWord xmlns="http://schemas.wps.cn/vas-ai-hub/contract-review">3万—10万</modifiedWord>
      <trackRevisions xmlns="http://schemas.wps.cn/vas-ai-hub/contract-review">false</trackRevisions>
    </reviewItem>
    <reviewItem xmlns="http://schemas.wps.cn/vas-ai-hub/contract-review">
      <errorID xmlns="http://schemas.wps.cn/vas-ai-hub/contract-review">c8df7275-be22-4ac4-9408-f055042d9aa6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60099C25</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f5fee63d-f813-4cea-b477-2a0dd0abeafe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60099C25</paraID>
      <start xmlns="http://schemas.wps.cn/vas-ai-hub/contract-review">58</start>
      <end xmlns="http://schemas.wps.cn/vas-ai-hub/contract-review">60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1492b199-d808-40a8-b5de-27fa30ee4e12</errorID>
      <errorWord xmlns="http://schemas.wps.cn/vas-ai-hub/contract-review">个人信息保护法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中华人民共和国个人信息保护法</item>
      </candidateList>
      <explain xmlns="http://schemas.wps.cn/vas-ai-hub/contract-review">当前法律法规名称使用简称，请注意是否应当使用全称。</explain>
      <paraID xmlns="http://schemas.wps.cn/vas-ai-hub/contract-review">15F7285B</paraID>
      <start xmlns="http://schemas.wps.cn/vas-ai-hub/contract-review">13</start>
      <end xmlns="http://schemas.wps.cn/vas-ai-hub/contract-review">27</end>
      <status xmlns="http://schemas.wps.cn/vas-ai-hub/contract-review">modified</status>
      <modifiedWord xmlns="http://schemas.wps.cn/vas-ai-hub/contract-review">中华人民共和国个人信息保护法</modifiedWord>
      <trackRevisions xmlns="http://schemas.wps.cn/vas-ai-hub/contract-review">false</trackRevisions>
    </reviewItem>
    <reviewItem xmlns="http://schemas.wps.cn/vas-ai-hub/contract-review">
      <errorID xmlns="http://schemas.wps.cn/vas-ai-hub/contract-review">367930b7-158c-4442-a93f-8394b133cb74</errorID>
      <errorWord xmlns="http://schemas.wps.cn/vas-ai-hub/contract-review">数据安全法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中华人民共和国数据安全法</item>
      </candidateList>
      <explain xmlns="http://schemas.wps.cn/vas-ai-hub/contract-review">当前法律法规名称使用简称，请注意是否应当使用全称。</explain>
      <paraID xmlns="http://schemas.wps.cn/vas-ai-hub/contract-review">15F7285B</paraID>
      <start xmlns="http://schemas.wps.cn/vas-ai-hub/contract-review">29</start>
      <end xmlns="http://schemas.wps.cn/vas-ai-hub/contract-review">41</end>
      <status xmlns="http://schemas.wps.cn/vas-ai-hub/contract-review">modified</status>
      <modifiedWord xmlns="http://schemas.wps.cn/vas-ai-hub/contract-review">中华人民共和国数据安全法</modifiedWord>
      <trackRevisions xmlns="http://schemas.wps.cn/vas-ai-hub/contract-review">false</trackRevisions>
    </reviewItem>
    <reviewItem xmlns="http://schemas.wps.cn/vas-ai-hub/contract-review">
      <errorID xmlns="http://schemas.wps.cn/vas-ai-hub/contract-review">70c1f00d-b062-4afa-bc2d-9a8fbb8b8108</errorID>
      <errorWord xmlns="http://schemas.wps.cn/vas-ai-hub/contract-review">%以上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723D36E0</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9b3b58e4-2e1e-4457-ab57-2fbaa7103f68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57DA769A</paraID>
      <start xmlns="http://schemas.wps.cn/vas-ai-hub/contract-review">21</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1fb69c-1f02-460a-8b4b-ba5d67468b56}">
  <ds:schemaRefs/>
</ds:datastoreItem>
</file>

<file path=docProps/app.xml><?xml version="1.0" encoding="utf-8"?>
<Properties xmlns="http://schemas.openxmlformats.org/officeDocument/2006/extended-properties" xmlns:vt="http://schemas.openxmlformats.org/officeDocument/2006/docPropsVTypes">
  <Pages>8</Pages>
  <Words>8130</Words>
  <Characters>8461</Characters>
  <TotalTime>29</TotalTime>
  <ScaleCrop>false</ScaleCrop>
  <LinksUpToDate>false</LinksUpToDate>
  <CharactersWithSpaces>8508</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2026-09-17T03:32:00Z</dcterms:created>
  <dc:creator>PC</dc:creator>
  <cp:lastModifiedBy>黎兆基rjs</cp:lastModifiedBy>
  <dcterms:modified xsi:type="dcterms:W3CDTF">2026-10-27T10:23:43Z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eyJoZGlkIjoiNzI1MzljODBiNDliMzEyMzFlZWNlN2EzYjU0N2YzMWEiLCJ1c2VySWQiOiIzMTM2MTA4NjMifQ==</vt:lpwstr>
  </property>
  <property fmtid="{D5CDD505-2E9C-101B-9397-08002B2CF9AE}" pid="3" name="KSOProductBuildVer">
    <vt:lpwstr>2052-12.1.2.22550</vt:lpwstr>
  </property>
  <property fmtid="{D5CDD505-2E9C-101B-9397-08002B2CF9AE}" pid="4" name="ICV">
    <vt:lpwstr>077412E514D9483097BCBB8C801D2489_12</vt:lpwstr>
  </property>
</Properties>
</file>