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04052">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深圳市龙岗区机器人应用场景揭榜挂帅</w:t>
      </w:r>
    </w:p>
    <w:p w14:paraId="7B4D373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kern w:val="2"/>
          <w:sz w:val="44"/>
          <w:szCs w:val="44"/>
          <w:highlight w:val="none"/>
          <w:lang w:val="en-US" w:eastAsia="zh-CN" w:bidi="ar-SA"/>
        </w:rPr>
      </w:pPr>
      <w:r>
        <w:rPr>
          <w:rFonts w:hint="eastAsia" w:ascii="方正小标宋_GBK" w:hAnsi="方正小标宋_GBK" w:eastAsia="方正小标宋_GBK" w:cs="方正小标宋_GBK"/>
          <w:color w:val="auto"/>
          <w:kern w:val="2"/>
          <w:sz w:val="44"/>
          <w:szCs w:val="44"/>
          <w:highlight w:val="none"/>
          <w:lang w:val="en-US" w:eastAsia="zh-CN" w:bidi="ar-SA"/>
        </w:rPr>
        <w:t>项目榜单征集表</w:t>
      </w:r>
    </w:p>
    <w:p w14:paraId="493A5AE2">
      <w:pPr>
        <w:keepNext w:val="0"/>
        <w:keepLines w:val="0"/>
        <w:pageBreakBefore w:val="0"/>
        <w:widowControl w:val="0"/>
        <w:kinsoku/>
        <w:wordWrap/>
        <w:overflowPunct/>
        <w:topLinePunct w:val="0"/>
        <w:autoSpaceDE/>
        <w:autoSpaceDN/>
        <w:bidi w:val="0"/>
        <w:adjustRightInd/>
        <w:snapToGrid/>
        <w:spacing w:before="157" w:beforeLines="50" w:after="157" w:afterLines="50" w:line="320" w:lineRule="exact"/>
        <w:textAlignment w:val="auto"/>
        <w:rPr>
          <w:rFonts w:hint="default" w:ascii="Times New Roman" w:hAnsi="Times New Roman" w:eastAsia="仿宋_GB2312"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t>场景需求方（盖章）：深圳宝兴医院</w:t>
      </w:r>
    </w:p>
    <w:tbl>
      <w:tblPr>
        <w:tblStyle w:val="13"/>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57"/>
        <w:gridCol w:w="21"/>
        <w:gridCol w:w="2636"/>
        <w:gridCol w:w="2377"/>
        <w:gridCol w:w="2379"/>
      </w:tblGrid>
      <w:tr w14:paraId="6C14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9270" w:type="dxa"/>
            <w:gridSpan w:val="5"/>
            <w:tcBorders>
              <w:top w:val="single" w:color="auto" w:sz="4" w:space="0"/>
              <w:left w:val="single" w:color="auto" w:sz="4" w:space="0"/>
              <w:bottom w:val="single" w:color="auto" w:sz="4" w:space="0"/>
              <w:right w:val="single" w:color="auto" w:sz="4" w:space="0"/>
            </w:tcBorders>
            <w:vAlign w:val="center"/>
          </w:tcPr>
          <w:p w14:paraId="7A64AD71">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t>一、场景需求方信息</w:t>
            </w:r>
          </w:p>
        </w:tc>
      </w:tr>
      <w:tr w14:paraId="52EC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878" w:type="dxa"/>
            <w:gridSpan w:val="2"/>
            <w:tcBorders>
              <w:top w:val="single" w:color="auto" w:sz="4" w:space="0"/>
              <w:left w:val="single" w:color="auto" w:sz="4" w:space="0"/>
              <w:bottom w:val="single" w:color="auto" w:sz="4" w:space="0"/>
              <w:right w:val="single" w:color="auto" w:sz="4" w:space="0"/>
            </w:tcBorders>
            <w:vAlign w:val="center"/>
          </w:tcPr>
          <w:p w14:paraId="253130CB">
            <w:pPr>
              <w:keepNext w:val="0"/>
              <w:keepLines w:val="0"/>
              <w:pageBreakBefore w:val="0"/>
              <w:kinsoku/>
              <w:wordWrap/>
              <w:overflowPunct/>
              <w:topLinePunct w:val="0"/>
              <w:autoSpaceDE/>
              <w:autoSpaceDN/>
              <w:bidi w:val="0"/>
              <w:adjustRightInd/>
              <w:spacing w:line="320" w:lineRule="exact"/>
              <w:textAlignment w:val="auto"/>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单位名称</w:t>
            </w:r>
          </w:p>
        </w:tc>
        <w:tc>
          <w:tcPr>
            <w:tcW w:w="7392" w:type="dxa"/>
            <w:gridSpan w:val="3"/>
            <w:tcBorders>
              <w:top w:val="single" w:color="auto" w:sz="4" w:space="0"/>
              <w:left w:val="single" w:color="auto" w:sz="4" w:space="0"/>
              <w:bottom w:val="single" w:color="auto" w:sz="4" w:space="0"/>
              <w:right w:val="single" w:color="auto" w:sz="4" w:space="0"/>
            </w:tcBorders>
            <w:vAlign w:val="center"/>
          </w:tcPr>
          <w:p w14:paraId="5D209F3F">
            <w:pPr>
              <w:keepNext w:val="0"/>
              <w:keepLines w:val="0"/>
              <w:pageBreakBefore w:val="0"/>
              <w:kinsoku/>
              <w:wordWrap/>
              <w:overflowPunct/>
              <w:topLinePunct w:val="0"/>
              <w:autoSpaceDE/>
              <w:autoSpaceDN/>
              <w:bidi w:val="0"/>
              <w:adjustRightInd/>
              <w:spacing w:line="320" w:lineRule="exact"/>
              <w:textAlignment w:val="auto"/>
              <w:rPr>
                <w:rFonts w:hint="eastAsia" w:ascii="Times New Roman" w:hAnsi="Times New Roman" w:eastAsia="仿宋_GB2312" w:cs="Times New Roman"/>
                <w:b/>
                <w:bCs/>
                <w:color w:val="000000" w:themeColor="text1"/>
                <w:sz w:val="24"/>
                <w:szCs w:val="24"/>
                <w:lang w:val="en-US" w:eastAsia="zh-CN"/>
                <w14:textFill>
                  <w14:solidFill>
                    <w14:schemeClr w14:val="tx1"/>
                  </w14:solidFill>
                </w14:textFill>
              </w:rPr>
            </w:pPr>
            <w:bookmarkStart w:id="0" w:name="_GoBack"/>
            <w:r>
              <w:rPr>
                <w:rFonts w:hint="eastAsia" w:ascii="Times New Roman" w:hAnsi="Times New Roman" w:eastAsia="仿宋_GB2312" w:cs="Times New Roman"/>
                <w:b w:val="0"/>
                <w:bCs w:val="0"/>
                <w:color w:val="000000" w:themeColor="text1"/>
                <w:sz w:val="24"/>
                <w:szCs w:val="24"/>
                <w:lang w:val="en-US" w:eastAsia="zh-CN"/>
                <w14:textFill>
                  <w14:solidFill>
                    <w14:schemeClr w14:val="tx1"/>
                  </w14:solidFill>
                </w14:textFill>
              </w:rPr>
              <w:t>深圳宝兴医院</w:t>
            </w:r>
            <w:bookmarkEnd w:id="0"/>
          </w:p>
        </w:tc>
      </w:tr>
      <w:tr w14:paraId="6B70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9270" w:type="dxa"/>
            <w:gridSpan w:val="5"/>
            <w:tcBorders>
              <w:top w:val="single" w:color="auto" w:sz="4" w:space="0"/>
              <w:left w:val="single" w:color="auto" w:sz="4" w:space="0"/>
              <w:bottom w:val="single" w:color="auto" w:sz="4" w:space="0"/>
              <w:right w:val="single" w:color="auto" w:sz="4" w:space="0"/>
            </w:tcBorders>
            <w:vAlign w:val="center"/>
          </w:tcPr>
          <w:p w14:paraId="07AC7B71">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二、场景开放需求信息</w:t>
            </w:r>
          </w:p>
        </w:tc>
      </w:tr>
      <w:tr w14:paraId="1BFF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0FC4D315">
            <w:pPr>
              <w:keepNext w:val="0"/>
              <w:keepLines w:val="0"/>
              <w:pageBreakBefore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仿宋_GB2312" w:cs="Times New Roman"/>
                <w:color w:val="000000" w:themeColor="text1"/>
                <w:sz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sz w:val="24"/>
                <w:lang w:val="en-US" w:eastAsia="zh-CN"/>
                <w14:textFill>
                  <w14:solidFill>
                    <w14:schemeClr w14:val="tx1"/>
                  </w14:solidFill>
                </w14:textFill>
              </w:rPr>
              <w:t>需求名称</w:t>
            </w:r>
          </w:p>
        </w:tc>
        <w:tc>
          <w:tcPr>
            <w:tcW w:w="7413" w:type="dxa"/>
            <w:gridSpan w:val="4"/>
            <w:tcBorders>
              <w:top w:val="single" w:color="auto" w:sz="4" w:space="0"/>
              <w:left w:val="single" w:color="auto" w:sz="4" w:space="0"/>
              <w:bottom w:val="single" w:color="auto" w:sz="4" w:space="0"/>
              <w:right w:val="single" w:color="auto" w:sz="4" w:space="0"/>
            </w:tcBorders>
          </w:tcPr>
          <w:p w14:paraId="7002AF3B">
            <w:pPr>
              <w:keepNext w:val="0"/>
              <w:keepLines w:val="0"/>
              <w:pageBreakBefore w:val="0"/>
              <w:kinsoku/>
              <w:wordWrap/>
              <w:overflowPunct/>
              <w:topLinePunct w:val="0"/>
              <w:autoSpaceDE/>
              <w:autoSpaceDN/>
              <w:bidi w:val="0"/>
              <w:adjustRightInd/>
              <w:spacing w:line="320" w:lineRule="exact"/>
              <w:textAlignment w:val="auto"/>
              <w:rPr>
                <w:rFonts w:hint="eastAsia" w:ascii="Times New Roman" w:hAnsi="Times New Roman" w:eastAsia="仿宋_GB2312" w:cs="Times New Roman"/>
                <w:color w:val="000000" w:themeColor="text1"/>
                <w:kern w:val="0"/>
                <w:sz w:val="24"/>
                <w:szCs w:val="24"/>
                <w:lang w:eastAsia="zh-CN"/>
                <w14:textFill>
                  <w14:solidFill>
                    <w14:schemeClr w14:val="tx1"/>
                  </w14:solidFill>
                </w14:textFill>
              </w:rPr>
            </w:pPr>
            <w:r>
              <w:rPr>
                <w:rFonts w:hint="eastAsia" w:ascii="仿宋" w:hAnsi="仿宋" w:eastAsia="仿宋" w:cs="仿宋"/>
                <w:sz w:val="24"/>
                <w:szCs w:val="24"/>
              </w:rPr>
              <w:t>面向孤独症儿童多模态辅助评估与个性化干预的具身智能机器人需求</w:t>
            </w:r>
          </w:p>
        </w:tc>
      </w:tr>
      <w:tr w14:paraId="0994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5514586B">
            <w:pPr>
              <w:keepNext w:val="0"/>
              <w:keepLines w:val="0"/>
              <w:pageBreakBefore w:val="0"/>
              <w:kinsoku/>
              <w:wordWrap/>
              <w:overflowPunct/>
              <w:topLinePunct w:val="0"/>
              <w:autoSpaceDE/>
              <w:autoSpaceDN/>
              <w:bidi w:val="0"/>
              <w:adjustRightInd/>
              <w:snapToGrid w:val="0"/>
              <w:spacing w:line="320" w:lineRule="exact"/>
              <w:jc w:val="center"/>
              <w:textAlignment w:val="auto"/>
              <w:rPr>
                <w:rFonts w:ascii="Times New Roman" w:hAnsi="Times New Roman" w:eastAsia="仿宋_GB2312" w:cs="Times New Roman"/>
                <w:color w:val="000000" w:themeColor="text1"/>
                <w:kern w:val="0"/>
                <w:sz w:val="24"/>
                <w:szCs w:val="24"/>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14:textFill>
                  <w14:solidFill>
                    <w14:schemeClr w14:val="tx1"/>
                  </w14:solidFill>
                </w14:textFill>
              </w:rPr>
              <w:t>应用场景</w:t>
            </w:r>
          </w:p>
        </w:tc>
        <w:tc>
          <w:tcPr>
            <w:tcW w:w="7413" w:type="dxa"/>
            <w:gridSpan w:val="4"/>
            <w:tcBorders>
              <w:top w:val="single" w:color="auto" w:sz="4" w:space="0"/>
              <w:left w:val="single" w:color="auto" w:sz="4" w:space="0"/>
              <w:bottom w:val="single" w:color="auto" w:sz="4" w:space="0"/>
              <w:right w:val="single" w:color="auto" w:sz="4" w:space="0"/>
            </w:tcBorders>
          </w:tcPr>
          <w:p w14:paraId="3811F47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2" w:firstLineChars="200"/>
              <w:textAlignment w:val="auto"/>
              <w:rPr>
                <w:rFonts w:hint="default" w:ascii="仿宋_GB2312" w:hAnsi="Times New Roman" w:eastAsia="仿宋_GB2312" w:cs="方正仿宋简体"/>
                <w:b/>
                <w:bCs/>
                <w:kern w:val="2"/>
                <w:sz w:val="24"/>
                <w:szCs w:val="20"/>
                <w:lang w:val="en-US" w:eastAsia="zh-CN" w:bidi="ar-SA"/>
              </w:rPr>
            </w:pPr>
            <w:r>
              <w:rPr>
                <w:rFonts w:hint="default" w:ascii="仿宋_GB2312" w:hAnsi="Times New Roman" w:eastAsia="仿宋_GB2312" w:cs="方正仿宋简体"/>
                <w:b/>
                <w:bCs/>
                <w:kern w:val="2"/>
                <w:sz w:val="24"/>
                <w:szCs w:val="20"/>
                <w:lang w:val="en-US" w:eastAsia="zh-CN" w:bidi="ar-SA"/>
              </w:rPr>
              <w:t>一、现有场景基本情况描述</w:t>
            </w:r>
          </w:p>
          <w:p w14:paraId="4CD0C6F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孤独症谱系障碍（ASD）起病于婴幼儿期，早发现、早干预对预后至关重要。我国0~14岁儿童ASD患病率约0.7%，早期筛查主要依托基层妇幼保健机构儿童保健门诊及综合医院发育行为儿科开展。现行常规流程为：家长问卷初筛（如M-CHAT-R/F）加医生面诊观察，初筛阳性者再转诊至专业机构进行ADOS-2等标准化诊断评估。</w:t>
            </w:r>
          </w:p>
          <w:p w14:paraId="1D731E25">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在康复评估与训练方面，儿童认知、情绪、社交互动、粗大动作和精细动作等能力评估，主要依靠医生、康复治疗师通过量表、结构化任务和现场观察完成；康复训练以专业人员一对一组织、讲解、示范、提示和记录为主。本项目拟在CAVE沉浸式交互空间基础上，构建颜色认知、物体识别、表情理解、动作模仿、手眼协调和目标搜索等结构化任务场景，并采集儿童在任务过程中的语音、视线、表情、姿态、动作轨迹、反应时间和任务完成情况等多模态数据。</w:t>
            </w:r>
          </w:p>
          <w:p w14:paraId="303F14DF">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仿宋_GB2312" w:hAnsi="Times New Roman" w:eastAsia="仿宋_GB2312" w:cs="方正仿宋简体"/>
                <w:kern w:val="2"/>
                <w:sz w:val="24"/>
                <w:szCs w:val="20"/>
                <w:lang w:val="en-US" w:eastAsia="zh-CN" w:bidi="ar-SA"/>
              </w:rPr>
            </w:pPr>
          </w:p>
          <w:p w14:paraId="66A1637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2" w:firstLineChars="200"/>
              <w:textAlignment w:val="auto"/>
              <w:rPr>
                <w:rFonts w:hint="default" w:ascii="仿宋_GB2312" w:hAnsi="Times New Roman" w:eastAsia="仿宋_GB2312" w:cs="方正仿宋简体"/>
                <w:b/>
                <w:bCs/>
                <w:kern w:val="2"/>
                <w:sz w:val="24"/>
                <w:szCs w:val="20"/>
                <w:lang w:val="en-US" w:eastAsia="zh-CN" w:bidi="ar-SA"/>
              </w:rPr>
            </w:pPr>
            <w:r>
              <w:rPr>
                <w:rFonts w:hint="default" w:ascii="仿宋_GB2312" w:hAnsi="Times New Roman" w:eastAsia="仿宋_GB2312" w:cs="方正仿宋简体"/>
                <w:b/>
                <w:bCs/>
                <w:kern w:val="2"/>
                <w:sz w:val="24"/>
                <w:szCs w:val="20"/>
                <w:lang w:val="en-US" w:eastAsia="zh-CN" w:bidi="ar-SA"/>
              </w:rPr>
              <w:t>二、现有场景作业方式描述</w:t>
            </w:r>
          </w:p>
          <w:p w14:paraId="2A501C0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在早期筛查中，医生先指导家长填写问卷，随后在诊室与儿童面对面互动：通过叫名观察其转头回应，通过食指指向远处物体观察其共同注意，通过语言提问观察其语言回应等。全程依靠医生肉眼观察、凭经验判断并手工记录行为特征，最后出具筛查结论。筛查过程无客观影像记录，行为表现无法回溯复核。</w:t>
            </w:r>
          </w:p>
          <w:p w14:paraId="27B3B3E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在康复评估与训练中，康复治疗师需要一对一完成任务讲解、动作示范、互动引导、过程提示、强化反馈和数据记录，长期重复程序性工作。不同人员在任务组织、提示方式和结果记录方面可能存在差异，儿童在自然交互过程中的连续行为数据难以完整采集和量化。</w:t>
            </w:r>
          </w:p>
          <w:p w14:paraId="736514A4">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仿宋_GB2312" w:hAnsi="Times New Roman" w:eastAsia="仿宋_GB2312" w:cs="方正仿宋简体"/>
                <w:kern w:val="2"/>
                <w:sz w:val="24"/>
                <w:szCs w:val="20"/>
                <w:lang w:val="en-US" w:eastAsia="zh-CN" w:bidi="ar-SA"/>
              </w:rPr>
            </w:pPr>
          </w:p>
          <w:p w14:paraId="3CF10138">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2" w:firstLineChars="200"/>
              <w:textAlignment w:val="auto"/>
              <w:rPr>
                <w:rFonts w:hint="default" w:ascii="仿宋_GB2312" w:hAnsi="Times New Roman" w:eastAsia="仿宋_GB2312" w:cs="方正仿宋简体"/>
                <w:b/>
                <w:bCs/>
                <w:kern w:val="2"/>
                <w:sz w:val="24"/>
                <w:szCs w:val="20"/>
                <w:lang w:val="en-US" w:eastAsia="zh-CN" w:bidi="ar-SA"/>
              </w:rPr>
            </w:pPr>
            <w:r>
              <w:rPr>
                <w:rFonts w:hint="default" w:ascii="仿宋_GB2312" w:hAnsi="Times New Roman" w:eastAsia="仿宋_GB2312" w:cs="方正仿宋简体"/>
                <w:b/>
                <w:bCs/>
                <w:kern w:val="2"/>
                <w:sz w:val="24"/>
                <w:szCs w:val="20"/>
                <w:lang w:val="en-US" w:eastAsia="zh-CN" w:bidi="ar-SA"/>
              </w:rPr>
              <w:t>三、现有场景痛点</w:t>
            </w:r>
          </w:p>
          <w:p w14:paraId="52257A96">
            <w:pPr>
              <w:pStyle w:val="12"/>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320" w:lineRule="exact"/>
              <w:ind w:left="425" w:leftChars="0" w:right="0" w:hanging="425" w:firstLineChars="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专业评估人才稀缺。ADOS-2等金标准工具需由经过专门培训的评估师操作，基层机构普遍不具备相应条件。</w:t>
            </w:r>
          </w:p>
          <w:p w14:paraId="2FC8555A">
            <w:pPr>
              <w:pStyle w:val="12"/>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320" w:lineRule="exact"/>
              <w:ind w:left="425" w:leftChars="0" w:right="0" w:hanging="425" w:firstLineChars="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评估主观性强、一致性差。评估结果依赖医生个人经验，不同医生间结论一致性较低，且缺乏量化行为证据留档，筛查和评估过程难以回溯复核。</w:t>
            </w:r>
          </w:p>
          <w:p w14:paraId="6C632EAD">
            <w:pPr>
              <w:pStyle w:val="12"/>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320" w:lineRule="exact"/>
              <w:ind w:left="425" w:leftChars="0" w:right="0" w:hanging="425" w:firstLineChars="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问卷初筛依赖家长主观报告，漏报、误报较为常见，容易导致漏筛、迟诊，使部分患儿错过3岁前早期干预关键窗口。</w:t>
            </w:r>
          </w:p>
          <w:p w14:paraId="35C2DE88">
            <w:pPr>
              <w:pStyle w:val="12"/>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320" w:lineRule="exact"/>
              <w:ind w:left="425" w:leftChars="0" w:right="0" w:hanging="425" w:firstLineChars="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专科医生时间有限，单次评估耗时长，难以支撑大范围、常态化的区域筛查和基层推广。</w:t>
            </w:r>
          </w:p>
          <w:p w14:paraId="075E800E">
            <w:pPr>
              <w:pStyle w:val="12"/>
              <w:keepNext w:val="0"/>
              <w:keepLines w:val="0"/>
              <w:pageBreakBefore w:val="0"/>
              <w:widowControl/>
              <w:numPr>
                <w:ilvl w:val="0"/>
                <w:numId w:val="1"/>
              </w:numPr>
              <w:suppressLineNumbers w:val="0"/>
              <w:shd w:val="clear" w:fill="FFFFFF"/>
              <w:kinsoku/>
              <w:wordWrap/>
              <w:overflowPunct/>
              <w:topLinePunct w:val="0"/>
              <w:autoSpaceDE/>
              <w:autoSpaceDN/>
              <w:bidi w:val="0"/>
              <w:adjustRightInd/>
              <w:snapToGrid/>
              <w:spacing w:before="0" w:beforeAutospacing="0" w:after="0" w:afterAutospacing="0" w:line="320" w:lineRule="exact"/>
              <w:ind w:left="425" w:leftChars="0" w:right="0" w:hanging="425" w:firstLineChars="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康复治疗师长期重复标准化程序性工作，工作负担较重；评估、干预和效果评价之间缺乏统一数据链路，难以形成持续更新的个体能力画像，个性化训练方案高度依赖专业人员人工制定和调整，优质康复资源难以规模化复制。</w:t>
            </w:r>
          </w:p>
          <w:p w14:paraId="32E78408">
            <w:pPr>
              <w:pStyle w:val="12"/>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320" w:lineRule="exact"/>
              <w:ind w:leftChars="0" w:right="0" w:rightChars="0"/>
              <w:textAlignment w:val="auto"/>
              <w:rPr>
                <w:rFonts w:hint="default" w:ascii="仿宋_GB2312" w:hAnsi="Times New Roman" w:eastAsia="仿宋_GB2312" w:cs="方正仿宋简体"/>
                <w:kern w:val="2"/>
                <w:sz w:val="24"/>
                <w:szCs w:val="20"/>
                <w:lang w:val="en-US" w:eastAsia="zh-CN" w:bidi="ar-SA"/>
              </w:rPr>
            </w:pPr>
          </w:p>
          <w:p w14:paraId="6D0BE064">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2" w:firstLineChars="200"/>
              <w:textAlignment w:val="auto"/>
              <w:rPr>
                <w:rFonts w:hint="default" w:ascii="仿宋_GB2312" w:hAnsi="Times New Roman" w:eastAsia="仿宋_GB2312" w:cs="方正仿宋简体"/>
                <w:b/>
                <w:bCs/>
                <w:kern w:val="2"/>
                <w:sz w:val="24"/>
                <w:szCs w:val="20"/>
                <w:lang w:val="en-US" w:eastAsia="zh-CN" w:bidi="ar-SA"/>
              </w:rPr>
            </w:pPr>
            <w:r>
              <w:rPr>
                <w:rFonts w:hint="default" w:ascii="仿宋_GB2312" w:hAnsi="Times New Roman" w:eastAsia="仿宋_GB2312" w:cs="方正仿宋简体"/>
                <w:b/>
                <w:bCs/>
                <w:kern w:val="2"/>
                <w:sz w:val="24"/>
                <w:szCs w:val="20"/>
                <w:lang w:val="en-US" w:eastAsia="zh-CN" w:bidi="ar-SA"/>
              </w:rPr>
              <w:t>四、引入机器人的必要性</w:t>
            </w:r>
          </w:p>
          <w:p w14:paraId="0416595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引入面向儿童的具身智能交互机器人后，可由机器人承担标准化任务讲解、动作示范、互动引导、提示强化和过程反馈等程序性工作，并与CAVE沉浸式场景、多模态感知设备及评估分析平台协同，形成“任务呈现—机器人互动—行为采集—辅助评估—个性化干预—效果跟踪”的闭环应用模式。</w:t>
            </w:r>
          </w:p>
          <w:p w14:paraId="4F02304F">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在早期筛查中，机器人可按照标准化流程执行叫名反应、语言回应、共同注意、食指指点四项筛查范式，多视角相机同步采集行为视频，算法自动提取量化指标并生成筛查量表评估。由此，可统一各级机构筛查标准，降低对稀缺专科人才的依赖，为医生提供可回溯的客观证据，提升筛查灵敏度和一致性，使大规模早期筛查在基层落地成为可能。</w:t>
            </w:r>
          </w:p>
          <w:p w14:paraId="0479FCB9">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仿宋_GB2312" w:hAnsi="Times New Roman" w:eastAsia="仿宋_GB2312" w:cs="方正仿宋简体"/>
                <w:kern w:val="2"/>
                <w:sz w:val="24"/>
                <w:szCs w:val="20"/>
                <w:lang w:val="en-US" w:eastAsia="zh-CN" w:bidi="ar-SA"/>
              </w:rPr>
            </w:pPr>
            <w:r>
              <w:rPr>
                <w:rFonts w:hint="default" w:ascii="仿宋_GB2312" w:hAnsi="Times New Roman" w:eastAsia="仿宋_GB2312" w:cs="方正仿宋简体"/>
                <w:kern w:val="2"/>
                <w:sz w:val="24"/>
                <w:szCs w:val="20"/>
                <w:lang w:val="en-US" w:eastAsia="zh-CN" w:bidi="ar-SA"/>
              </w:rPr>
              <w:t>在康复评估与训练中，机器人可承担大量重复性示范、讲解和提示工作，减轻康复治疗师工作负担；同时，通过多模态数据连续采集和统一数据链路，形成儿童个体能力画像，支撑个性化训练方案动态调整，推动优质康复资源规模化应用。</w:t>
            </w:r>
          </w:p>
          <w:p w14:paraId="719D95FF">
            <w:pPr>
              <w:keepNext w:val="0"/>
              <w:keepLines w:val="0"/>
              <w:pageBreakBefore w:val="0"/>
              <w:kinsoku/>
              <w:wordWrap/>
              <w:overflowPunct/>
              <w:topLinePunct w:val="0"/>
              <w:autoSpaceDE/>
              <w:autoSpaceDN/>
              <w:bidi w:val="0"/>
              <w:adjustRightInd/>
              <w:spacing w:line="320" w:lineRule="exact"/>
              <w:textAlignment w:val="auto"/>
              <w:rPr>
                <w:rFonts w:ascii="Times New Roman" w:hAnsi="Times New Roman" w:eastAsia="仿宋_GB2312" w:cs="Times New Roman"/>
                <w:color w:val="000000" w:themeColor="text1"/>
                <w:kern w:val="0"/>
                <w:sz w:val="24"/>
                <w:szCs w:val="24"/>
                <w14:textFill>
                  <w14:solidFill>
                    <w14:schemeClr w14:val="tx1"/>
                  </w14:solidFill>
                </w14:textFill>
              </w:rPr>
            </w:pPr>
          </w:p>
        </w:tc>
      </w:tr>
      <w:tr w14:paraId="2C6A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6CAF8449">
            <w:pPr>
              <w:keepNext w:val="0"/>
              <w:keepLines w:val="0"/>
              <w:pageBreakBefore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具体需求</w:t>
            </w:r>
          </w:p>
        </w:tc>
        <w:tc>
          <w:tcPr>
            <w:tcW w:w="7413" w:type="dxa"/>
            <w:gridSpan w:val="4"/>
            <w:tcBorders>
              <w:top w:val="single" w:color="auto" w:sz="4" w:space="0"/>
              <w:left w:val="single" w:color="auto" w:sz="4" w:space="0"/>
              <w:bottom w:val="single" w:color="auto" w:sz="4" w:space="0"/>
              <w:right w:val="single" w:color="auto" w:sz="4" w:space="0"/>
            </w:tcBorders>
          </w:tcPr>
          <w:p w14:paraId="26EBFA2F">
            <w:pPr>
              <w:keepNext w:val="0"/>
              <w:keepLines w:val="0"/>
              <w:pageBreakBefore w:val="0"/>
              <w:kinsoku/>
              <w:wordWrap/>
              <w:overflowPunct/>
              <w:topLinePunct w:val="0"/>
              <w:autoSpaceDE/>
              <w:autoSpaceDN/>
              <w:bidi w:val="0"/>
              <w:adjustRightInd/>
              <w:spacing w:line="320" w:lineRule="exact"/>
              <w:ind w:firstLine="480" w:firstLineChars="200"/>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建设1套孤独症儿童辅助评估与干预机器人系统，主要包括1台儿童友好型具身智能交互机器人、1套CAVE沉浸式交互环境、1套多模态行为采集设备及1套辅助评估与干预管理平台。系统应满足以下需求：</w:t>
            </w:r>
          </w:p>
          <w:p w14:paraId="1AF0F6F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482" w:firstLineChars="200"/>
              <w:textAlignment w:val="auto"/>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t>机器人自然交互与任务组织</w:t>
            </w:r>
          </w:p>
          <w:p w14:paraId="0C4BB3F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机器人应具备面向儿童的语音、表情、肢体动作和多轮互动能力，能够使用简洁、清晰、稳定的语言完成任务说明、动作示范、过程提示、正向鼓励和结果反馈，并可根据儿童年龄、认知水平和现场表现调整交互内容、语速、提示次数及任务难度。</w:t>
            </w:r>
          </w:p>
          <w:p w14:paraId="587DEAA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482" w:firstLineChars="200"/>
              <w:textAlignment w:val="auto"/>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t>标准化辅助评估</w:t>
            </w:r>
          </w:p>
          <w:p w14:paraId="644D65C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系统应支持颜色认知、图形与物体识别、表情和情绪理解、注意与视觉搜索、粗大动作模仿、精细动作及手眼协调等不少于4类核心能力的结构化评估任务。机器人按照统一流程组织儿童完成任务，减少不同执行人员在指令、提示和记录方面的差异。</w:t>
            </w:r>
          </w:p>
          <w:p w14:paraId="4791101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482" w:firstLineChars="200"/>
              <w:textAlignment w:val="auto"/>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t>个性化康复干预</w:t>
            </w:r>
          </w:p>
          <w:p w14:paraId="5BF2644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系统应能够根据儿童评估结果和历史训练记录，推荐相适应的训练内容、难度等级、提示方式和训练周期。机器人可开展颜色辨别、情绪理解、动作模仿、目标搜索、轮流互动和规则执行等训练，并根据儿童表现动态增加或降低任务难度。最终训练方案和调整建议由医生或康复治疗师审核确认。</w:t>
            </w:r>
          </w:p>
          <w:p w14:paraId="5C6D11F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482" w:firstLineChars="200"/>
              <w:textAlignment w:val="auto"/>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t>多模态儿童行为感知</w:t>
            </w:r>
          </w:p>
          <w:p w14:paraId="7E58051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系统应同步采集儿童在任务过程中的语音、视线方向、面部表情、身体姿态、关节动作、手部动作、目标选择、反应时间、提示次数和任务完成率等数据，自动形成可回溯的任务过程记录。</w:t>
            </w:r>
          </w:p>
          <w:p w14:paraId="6FA2FF4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482" w:firstLineChars="200"/>
              <w:textAlignment w:val="auto"/>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t>量化分析与辅助报告</w:t>
            </w:r>
          </w:p>
          <w:p w14:paraId="5AA06E7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系统应对儿童各项任务表现进行量化分析，形成认知、情绪理解、粗大动作、精细动作等维度的辅助评估结果，自动生成阶段性能力画像、训练记录、干预建议和能力变化趋势图，为医生及康复治疗师提供参考。系统仅用于辅助评估和康复训练，不替代医生的临床诊断及专业决策。</w:t>
            </w:r>
          </w:p>
          <w:p w14:paraId="48F434B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482" w:firstLineChars="200"/>
              <w:textAlignment w:val="auto"/>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t>专业人员管理与人工接管</w:t>
            </w:r>
          </w:p>
          <w:p w14:paraId="4625CE9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医生或康复治疗师应能够在后台配置任务、调整训练内容、查看实时数据、修正系统结果并随时接管机器人。系统应完整记录机器人指令、儿童反应、人工干预和任务结果，保证评估及训练过程可追溯。</w:t>
            </w:r>
          </w:p>
          <w:p w14:paraId="242E352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0" w:leftChars="0" w:firstLine="482" w:firstLineChars="200"/>
              <w:textAlignment w:val="auto"/>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b/>
                <w:bCs/>
                <w:color w:val="000000" w:themeColor="text1"/>
                <w:kern w:val="0"/>
                <w:sz w:val="24"/>
                <w:szCs w:val="24"/>
                <w:lang w:val="en-US" w:eastAsia="zh-CN"/>
                <w14:textFill>
                  <w14:solidFill>
                    <w14:schemeClr w14:val="tx1"/>
                  </w14:solidFill>
                </w14:textFill>
              </w:rPr>
              <w:t>安全与隐私保护</w:t>
            </w:r>
          </w:p>
          <w:p w14:paraId="1E16016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机器人应具备限速、限力、避障、急停和异常状态保护功能，确保儿童近距离交互安全。儿童音视频及行为数据应进行分级授权、加密存储和访问留痕，并按照医疗数据安全、个人信息保护和科技伦理要求进行管理。</w:t>
            </w:r>
          </w:p>
          <w:p w14:paraId="2971211E">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t>建议系统达到以下基本性能：支持不少于4类孤独症儿童能力评估与干预任务；标准动作识别准确率不低于90%；安静环境下标准指令交互成功率不低于90%；任务过程关键数据记录完整率不低于95%；单次任务结束后5分钟内形成结构化记录和辅助分析结果；系统支持任务内容、评估指标和干预素材持续扩展。</w:t>
            </w:r>
          </w:p>
        </w:tc>
      </w:tr>
      <w:tr w14:paraId="64F9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792356EA">
            <w:pPr>
              <w:keepNext w:val="0"/>
              <w:keepLines w:val="0"/>
              <w:pageBreakBefore w:val="0"/>
              <w:kinsoku/>
              <w:wordWrap/>
              <w:overflowPunct/>
              <w:topLinePunct w:val="0"/>
              <w:autoSpaceDE/>
              <w:autoSpaceDN/>
              <w:bidi w:val="0"/>
              <w:adjustRightInd/>
              <w:spacing w:line="320" w:lineRule="exact"/>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拟投入资金（万元）</w:t>
            </w:r>
          </w:p>
        </w:tc>
        <w:tc>
          <w:tcPr>
            <w:tcW w:w="2657" w:type="dxa"/>
            <w:gridSpan w:val="2"/>
            <w:tcBorders>
              <w:top w:val="single" w:color="auto" w:sz="4" w:space="0"/>
              <w:left w:val="single" w:color="auto" w:sz="4" w:space="0"/>
              <w:bottom w:val="single" w:color="auto" w:sz="4" w:space="0"/>
              <w:right w:val="single" w:color="auto" w:sz="4" w:space="0"/>
            </w:tcBorders>
          </w:tcPr>
          <w:p w14:paraId="3E45D44B">
            <w:pPr>
              <w:keepNext w:val="0"/>
              <w:keepLines w:val="0"/>
              <w:pageBreakBefore w:val="0"/>
              <w:kinsoku/>
              <w:wordWrap/>
              <w:overflowPunct/>
              <w:topLinePunct w:val="0"/>
              <w:autoSpaceDE/>
              <w:autoSpaceDN/>
              <w:bidi w:val="0"/>
              <w:adjustRightInd/>
              <w:spacing w:line="320" w:lineRule="exact"/>
              <w:ind w:firstLine="560" w:firstLineChars="200"/>
              <w:jc w:val="center"/>
              <w:textAlignment w:val="auto"/>
              <w:rPr>
                <w:rFonts w:hint="eastAsia" w:ascii="Times New Roman" w:hAnsi="Times New Roman" w:eastAsia="仿宋_GB2312" w:cs="Times New Roman"/>
                <w:color w:val="000000" w:themeColor="text1"/>
                <w:kern w:val="0"/>
                <w:sz w:val="28"/>
                <w:szCs w:val="28"/>
                <w:lang w:val="en-US" w:eastAsia="zh-CN"/>
                <w14:textFill>
                  <w14:solidFill>
                    <w14:schemeClr w14:val="tx1"/>
                  </w14:solidFill>
                </w14:textFill>
              </w:rPr>
            </w:pPr>
          </w:p>
          <w:p w14:paraId="5203899F">
            <w:pPr>
              <w:keepNext w:val="0"/>
              <w:keepLines w:val="0"/>
              <w:pageBreakBefore w:val="0"/>
              <w:kinsoku/>
              <w:wordWrap/>
              <w:overflowPunct/>
              <w:topLinePunct w:val="0"/>
              <w:autoSpaceDE/>
              <w:autoSpaceDN/>
              <w:bidi w:val="0"/>
              <w:adjustRightInd/>
              <w:spacing w:line="320" w:lineRule="exact"/>
              <w:jc w:val="center"/>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8"/>
                <w:szCs w:val="28"/>
                <w:lang w:val="en-US" w:eastAsia="zh-CN"/>
                <w14:textFill>
                  <w14:solidFill>
                    <w14:schemeClr w14:val="tx1"/>
                  </w14:solidFill>
                </w14:textFill>
              </w:rPr>
              <w:t>300</w:t>
            </w:r>
          </w:p>
        </w:tc>
        <w:tc>
          <w:tcPr>
            <w:tcW w:w="2377" w:type="dxa"/>
            <w:tcBorders>
              <w:top w:val="single" w:color="auto" w:sz="4" w:space="0"/>
              <w:left w:val="single" w:color="auto" w:sz="4" w:space="0"/>
              <w:bottom w:val="single" w:color="auto" w:sz="4" w:space="0"/>
              <w:right w:val="single" w:color="auto" w:sz="4" w:space="0"/>
            </w:tcBorders>
            <w:vAlign w:val="center"/>
          </w:tcPr>
          <w:p w14:paraId="5ABF6104">
            <w:pPr>
              <w:keepNext w:val="0"/>
              <w:keepLines w:val="0"/>
              <w:pageBreakBefore w:val="0"/>
              <w:kinsoku/>
              <w:wordWrap/>
              <w:overflowPunct/>
              <w:topLinePunct w:val="0"/>
              <w:autoSpaceDE/>
              <w:autoSpaceDN/>
              <w:bidi w:val="0"/>
              <w:adjustRightInd/>
              <w:spacing w:line="320" w:lineRule="exact"/>
              <w:jc w:val="center"/>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拟建设周期</w:t>
            </w:r>
          </w:p>
        </w:tc>
        <w:tc>
          <w:tcPr>
            <w:tcW w:w="2379" w:type="dxa"/>
            <w:tcBorders>
              <w:top w:val="single" w:color="auto" w:sz="4" w:space="0"/>
              <w:left w:val="single" w:color="auto" w:sz="4" w:space="0"/>
              <w:bottom w:val="single" w:color="auto" w:sz="4" w:space="0"/>
              <w:right w:val="single" w:color="auto" w:sz="4" w:space="0"/>
            </w:tcBorders>
            <w:vAlign w:val="center"/>
          </w:tcPr>
          <w:p w14:paraId="385EC304">
            <w:pPr>
              <w:keepNext w:val="0"/>
              <w:keepLines w:val="0"/>
              <w:pageBreakBefore w:val="0"/>
              <w:kinsoku/>
              <w:wordWrap/>
              <w:overflowPunct/>
              <w:topLinePunct w:val="0"/>
              <w:autoSpaceDE/>
              <w:autoSpaceDN/>
              <w:bidi w:val="0"/>
              <w:adjustRightInd/>
              <w:spacing w:line="320" w:lineRule="exact"/>
              <w:ind w:firstLine="560" w:firstLineChars="200"/>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color w:val="000000" w:themeColor="text1"/>
                <w:kern w:val="0"/>
                <w:sz w:val="28"/>
                <w:szCs w:val="28"/>
                <w:lang w:val="en-US" w:eastAsia="zh-CN"/>
                <w14:textFill>
                  <w14:solidFill>
                    <w14:schemeClr w14:val="tx1"/>
                  </w14:solidFill>
                </w14:textFill>
              </w:rPr>
              <w:t>一年</w:t>
            </w:r>
          </w:p>
        </w:tc>
      </w:tr>
      <w:tr w14:paraId="44A3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22054C71">
            <w:pPr>
              <w:keepNext w:val="0"/>
              <w:keepLines w:val="0"/>
              <w:pageBreakBefore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应用现状</w:t>
            </w:r>
          </w:p>
        </w:tc>
        <w:tc>
          <w:tcPr>
            <w:tcW w:w="7413" w:type="dxa"/>
            <w:gridSpan w:val="4"/>
            <w:tcBorders>
              <w:top w:val="single" w:color="auto" w:sz="4" w:space="0"/>
              <w:left w:val="single" w:color="auto" w:sz="4" w:space="0"/>
              <w:bottom w:val="single" w:color="auto" w:sz="4" w:space="0"/>
              <w:right w:val="single" w:color="auto" w:sz="4" w:space="0"/>
            </w:tcBorders>
          </w:tcPr>
          <w:p w14:paraId="0FBD696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right="0"/>
              <w:textAlignment w:val="auto"/>
              <w:rPr>
                <w:rFonts w:hint="default" w:ascii="Times New Roman" w:hAnsi="Times New Roman" w:eastAsia="仿宋_GB2312" w:cs="Times New Roman"/>
                <w:b/>
                <w:bCs/>
                <w:color w:val="000000" w:themeColor="text1"/>
                <w:kern w:val="0"/>
                <w:sz w:val="24"/>
                <w:szCs w:val="24"/>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bidi="ar-SA"/>
                <w14:textFill>
                  <w14:solidFill>
                    <w14:schemeClr w14:val="tx1"/>
                  </w14:solidFill>
                </w14:textFill>
              </w:rPr>
              <w:t>1.</w:t>
            </w:r>
            <w:r>
              <w:rPr>
                <w:rFonts w:hint="default" w:ascii="Times New Roman" w:hAnsi="Times New Roman" w:eastAsia="仿宋_GB2312" w:cs="Times New Roman"/>
                <w:b/>
                <w:bCs/>
                <w:color w:val="000000" w:themeColor="text1"/>
                <w:kern w:val="0"/>
                <w:sz w:val="24"/>
                <w:szCs w:val="24"/>
                <w:lang w:val="en-US" w:eastAsia="zh-CN" w:bidi="ar-SA"/>
                <w14:textFill>
                  <w14:solidFill>
                    <w14:schemeClr w14:val="tx1"/>
                  </w14:solidFill>
                </w14:textFill>
              </w:rPr>
              <w:t>国外应用现状</w:t>
            </w:r>
          </w:p>
          <w:p w14:paraId="587D3792">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在孤独症儿童智能化评估与干预领域，国外已形成若干技术路线并进入临床应用或验证阶段。</w:t>
            </w:r>
          </w:p>
          <w:p w14:paraId="42BAC336">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在眼动评估方面，美国EarliPoint公司开发了基于眼动追踪的ASD社交注意力标准化评估系统，已获FDA批准用于辅助诊断，单次评估约20分钟，可在基层儿科门诊使用，通过量化儿童注视社交场景的眼动模式提供客观指标。该系统目前是少有的面向筛查场景、可量化的商用工具，但仅覆盖视觉注意单一维度。</w:t>
            </w:r>
          </w:p>
          <w:p w14:paraId="12E074D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在家庭视频AI分析方面，Cognoa公司的Canvas Dx系统于2021年获FDA许可，适用于18~72月龄儿童，通过家长上传的儿童行为视频和家长问卷，辅助医生进行ASD风险评估。该方案降低了专业评估门槛，但依赖家长自行拍摄，视频场景和拍摄质量不可控，导致行为范式不统一，量化结果一致性受限。</w:t>
            </w:r>
          </w:p>
          <w:p w14:paraId="0594BDAF">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在社交机器人干预方面，LuxAI公司的QTrobot、RoboKind的Milo等社交机器人已在多国特殊教育机构和康复中心应用，主要用于ASD儿童的社交技能、情绪识别和沟通训练，通过结构化互动提高儿童参与度和训练依从性。但此类机器人多为独立训练工具，缺乏与标准化评估范式、多模态行为量化及临床数据系统的深度整合，难以直接用于评估诊断。</w:t>
            </w:r>
          </w:p>
          <w:p w14:paraId="60BA0EF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在虚拟现实与沉浸式训练方面，已有研究利用VR头显或CAVE类沉浸式环境进行社交情景模拟、情绪认知和注意力训练，部分系统可采集行为数据，但多处于实验或小范围试点阶段，未形成与机器人协同的临床整体解决方案。</w:t>
            </w:r>
          </w:p>
          <w:p w14:paraId="6481A878">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此外，一些研究利用计算机视觉、动作捕捉和面部表情识别技术分析儿童行为特征，探索数字生物标志物在ASD早期识别中的应用，但多数仍为科研工具，缺乏标准化流程和临床验证，难以规模化推广。</w:t>
            </w:r>
          </w:p>
          <w:p w14:paraId="707743E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p>
          <w:p w14:paraId="6CDFD936">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right="0"/>
              <w:textAlignment w:val="auto"/>
              <w:rPr>
                <w:rFonts w:hint="default" w:ascii="Times New Roman" w:hAnsi="Times New Roman" w:eastAsia="仿宋_GB2312" w:cs="Times New Roman"/>
                <w:b/>
                <w:bCs/>
                <w:color w:val="000000" w:themeColor="text1"/>
                <w:kern w:val="0"/>
                <w:sz w:val="24"/>
                <w:szCs w:val="24"/>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bidi="ar-SA"/>
                <w14:textFill>
                  <w14:solidFill>
                    <w14:schemeClr w14:val="tx1"/>
                  </w14:solidFill>
                </w14:textFill>
              </w:rPr>
              <w:t>2.</w:t>
            </w:r>
            <w:r>
              <w:rPr>
                <w:rFonts w:hint="default" w:ascii="Times New Roman" w:hAnsi="Times New Roman" w:eastAsia="仿宋_GB2312" w:cs="Times New Roman"/>
                <w:b/>
                <w:bCs/>
                <w:color w:val="000000" w:themeColor="text1"/>
                <w:kern w:val="0"/>
                <w:sz w:val="24"/>
                <w:szCs w:val="24"/>
                <w:lang w:val="en-US" w:eastAsia="zh-CN" w:bidi="ar-SA"/>
                <w14:textFill>
                  <w14:solidFill>
                    <w14:schemeClr w14:val="tx1"/>
                  </w14:solidFill>
                </w14:textFill>
              </w:rPr>
              <w:t>国内应用现状</w:t>
            </w:r>
          </w:p>
          <w:p w14:paraId="25A985D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国内孤独症儿童智能化评估与干预起步较晚，整体处于从数字化工具向智能系统过渡的阶段。</w:t>
            </w:r>
          </w:p>
          <w:p w14:paraId="2391C7D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在筛查工具数字化方面，M-CHAT-R/F等家长问卷已实现电子化并在部分基层妇幼保健机构推广应用，提高了筛查效率和数据可管理性，但仍依赖家长主观报告，缺乏客观行为证据。</w:t>
            </w:r>
          </w:p>
          <w:p w14:paraId="108731A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在眼动筛查方面，部分妇幼保健院和儿童医院已开展眼动追踪技术用于ASD社交注意评估的试点研究，主要集中于科研场景，尚未形成标准化、可商用的筛查产品。</w:t>
            </w:r>
          </w:p>
          <w:p w14:paraId="1C7B17C6">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在机器人应用方面，面向ASD的社交机器人研究以高校和科研院所为主，如北京大学、中国科学院、华东师范大学等机构已开发出多款机器人原型，探索人机互动对孤独症儿童社交行为的促进作用。但此类平台多停留在实验室验证或小样本临床研究阶段，尚无成熟的“标准化筛查范式＋多视角行为采集＋量化评估”一体化商用产品进入市场。</w:t>
            </w:r>
          </w:p>
          <w:p w14:paraId="2A3FFEA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在虚拟现实和沉浸式训练方面，国内少数医疗机构和科研单位已尝试利用CAVE投影、VR头显等开展孤独症儿童认知、情绪和动作训练，但普遍存在训练内容单一、行为数据采集不完整、缺乏与机器人及评估系统的协同等问题。</w:t>
            </w:r>
          </w:p>
          <w:p w14:paraId="5098A5D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整体而言，国内在孤独症儿童智能化评估与干预领域尚未出现覆盖筛查、评估、干预和效果追踪全流程的系统性产品，技术研究与临床需求之间存在明显断层。</w:t>
            </w:r>
          </w:p>
          <w:p w14:paraId="4678FD9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p>
          <w:p w14:paraId="372F6B60">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right="0"/>
              <w:textAlignment w:val="auto"/>
              <w:rPr>
                <w:rFonts w:hint="default" w:ascii="Times New Roman" w:hAnsi="Times New Roman" w:eastAsia="仿宋_GB2312" w:cs="Times New Roman"/>
                <w:b/>
                <w:bCs/>
                <w:color w:val="000000" w:themeColor="text1"/>
                <w:kern w:val="0"/>
                <w:sz w:val="24"/>
                <w:szCs w:val="24"/>
                <w:lang w:val="en-US" w:eastAsia="zh-CN" w:bidi="ar-SA"/>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bidi="ar-SA"/>
                <w14:textFill>
                  <w14:solidFill>
                    <w14:schemeClr w14:val="tx1"/>
                  </w14:solidFill>
                </w14:textFill>
              </w:rPr>
              <w:t>3.类</w:t>
            </w:r>
            <w:r>
              <w:rPr>
                <w:rFonts w:hint="default" w:ascii="Times New Roman" w:hAnsi="Times New Roman" w:eastAsia="仿宋_GB2312" w:cs="Times New Roman"/>
                <w:b/>
                <w:bCs/>
                <w:color w:val="000000" w:themeColor="text1"/>
                <w:kern w:val="0"/>
                <w:sz w:val="24"/>
                <w:szCs w:val="24"/>
                <w:lang w:val="en-US" w:eastAsia="zh-CN" w:bidi="ar-SA"/>
                <w14:textFill>
                  <w14:solidFill>
                    <w14:schemeClr w14:val="tx1"/>
                  </w14:solidFill>
                </w14:textFill>
              </w:rPr>
              <w:t>似应用需改进之处及关键问题、技术难点</w:t>
            </w:r>
          </w:p>
          <w:p w14:paraId="1D86E1D5">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现有类似应用虽在单一环节取得一定进展，但距离临床可用的标准化、多模态、闭环系统仍有显著差距，需重点改进以下方面：</w:t>
            </w:r>
          </w:p>
          <w:p w14:paraId="0F7D293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（1）行为采集场景不可控，范式标准化程度低。 以Cognoa为代表的家庭视频分析方案依赖家长自行拍摄上传，拍摄环境、光线、角度、儿童状态和互动引导方式差异大，难以保证叫名反应、共同注意、食指指点等核心社交行为范式的统一执行，导致量化特征信噪比低，评估结果可信度受限。需在临床可控环境中由机器人或标准化流程引导行为发生，确保数据一致性。</w:t>
            </w:r>
          </w:p>
          <w:p w14:paraId="66BE2052">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（2）感知模态单一，无法覆盖ASD核心行为谱系。 眼动设备仅能捕捉视觉注意模式，无法同时记录儿童的语音回应、面部表情、肢体动作、反应时间等关键社交指标；单一视频分析又缺乏精确的眼动和动作轨迹数据。孤独症评估需要多模态融合，现有产品在多源数据同步采集、特征对齐与融合建模方面技术不成熟，难以全面刻画社交沟通障碍。</w:t>
            </w:r>
          </w:p>
          <w:p w14:paraId="2FFBEFA9">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（3）机器人互动与评估干预脱节，缺乏临床深度整合。 现有社交机器人多为预设动作和语音的玩具式互动，无法根据儿童实时行为动态调整提示策略，也不能与标准化评估量表和个体能力画像关联。干预过程产生的行为数据未进入评估体系，评估结果也无法直接指导机器人调整训练方案，形成不了“评估—干预—再评估”的闭环。</w:t>
            </w:r>
          </w:p>
          <w:p w14:paraId="782BDA0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（4）临床转化门槛高，注册与验证周期长。 筛查和诊断类产品需取得医疗器械注册证并经严格临床验证，涉及多中心临床试验、数据安全和算法可解释性审查，周期通常3~5年以上，投入大、风险高，导致高校和中小企业多止步于科研原型，难以进入临床应用。国内尚无针对孤独症智能化评估机器人的成熟审评路径和标准，进一步延缓了产品落地。</w:t>
            </w:r>
          </w:p>
          <w:p w14:paraId="4411AB8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（5）未成年人隐私保护与数据合规是硬性约束。 多路相机同步采集儿童面部、语音和行为视频，涉及敏感个人信息，需满足《个人信息保护法》《数据安全法》及医疗数据管理要求，进行去标识化、加密存储和访问控制。如何在保证数据可用性的同时实现合规，是系统工程落地的关键难点，现有产品多未提供完善的数据治理方案。</w:t>
            </w:r>
          </w:p>
          <w:p w14:paraId="67356D23">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20" w:lineRule="exact"/>
              <w:ind w:left="0" w:right="0" w:firstLine="480" w:firstLineChars="200"/>
              <w:textAlignment w:val="auto"/>
              <w:rPr>
                <w:rFonts w:ascii="Segoe UI" w:hAnsi="Segoe UI" w:eastAsia="Segoe UI" w:cs="Segoe UI"/>
                <w:i/>
                <w:iCs/>
                <w:caps w:val="0"/>
                <w:color w:val="81858C"/>
                <w:spacing w:val="0"/>
                <w:sz w:val="21"/>
                <w:szCs w:val="21"/>
              </w:rPr>
            </w:pPr>
            <w:r>
              <w:rPr>
                <w:rFonts w:hint="default" w:ascii="Times New Roman" w:hAnsi="Times New Roman" w:eastAsia="仿宋_GB2312" w:cs="Times New Roman"/>
                <w:color w:val="000000" w:themeColor="text1"/>
                <w:kern w:val="0"/>
                <w:sz w:val="24"/>
                <w:szCs w:val="24"/>
                <w:lang w:val="en-US" w:eastAsia="zh-CN" w:bidi="ar-SA"/>
                <w14:textFill>
                  <w14:solidFill>
                    <w14:schemeClr w14:val="tx1"/>
                  </w14:solidFill>
                </w14:textFill>
              </w:rPr>
              <w:t>（6）个性化干预能力不足，缺乏长期效果追踪机制。 孤独症儿童能力发展高度异质，现有智能系统多为固定任务序列，无法根据儿童实时表现和长期进展动态调整训练目标与难度。同时，筛查、诊断、干预和随访数据分散在不同机构和系统中，未建立统一数据链路，难以形成持续更新的个体能力画像，导致干预方案依赖人工经验，优质康复资源无法规模化复制。需构建数据闭环，实现从行为采集到个体化方案生成、从干预执行到效果评价的全流程智能化。</w:t>
            </w:r>
          </w:p>
          <w:p w14:paraId="4D229668">
            <w:pPr>
              <w:keepNext w:val="0"/>
              <w:keepLines w:val="0"/>
              <w:pageBreakBefore w:val="0"/>
              <w:kinsoku/>
              <w:wordWrap/>
              <w:overflowPunct/>
              <w:topLinePunct w:val="0"/>
              <w:autoSpaceDE/>
              <w:autoSpaceDN/>
              <w:bidi w:val="0"/>
              <w:adjustRightInd/>
              <w:spacing w:line="320" w:lineRule="exact"/>
              <w:textAlignment w:val="auto"/>
              <w:rPr>
                <w:rFonts w:hint="default" w:ascii="仿宋_GB2312" w:hAnsi="Times New Roman" w:eastAsia="仿宋_GB2312" w:cs="方正仿宋简体"/>
                <w:sz w:val="24"/>
                <w:szCs w:val="20"/>
                <w:lang w:val="en-US" w:eastAsia="zh-CN"/>
              </w:rPr>
            </w:pPr>
          </w:p>
        </w:tc>
      </w:tr>
      <w:tr w14:paraId="3572F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795C9231">
            <w:pPr>
              <w:keepNext w:val="0"/>
              <w:keepLines w:val="0"/>
              <w:pageBreakBefore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潜在规模</w:t>
            </w:r>
          </w:p>
        </w:tc>
        <w:tc>
          <w:tcPr>
            <w:tcW w:w="7413" w:type="dxa"/>
            <w:gridSpan w:val="4"/>
            <w:tcBorders>
              <w:top w:val="single" w:color="auto" w:sz="4" w:space="0"/>
              <w:left w:val="single" w:color="auto" w:sz="4" w:space="0"/>
              <w:bottom w:val="single" w:color="auto" w:sz="4" w:space="0"/>
              <w:right w:val="single" w:color="auto" w:sz="4" w:space="0"/>
            </w:tcBorders>
          </w:tcPr>
          <w:p w14:paraId="1F06E546">
            <w:pPr>
              <w:keepNext w:val="0"/>
              <w:keepLines w:val="0"/>
              <w:pageBreakBefore w:val="0"/>
              <w:kinsoku/>
              <w:wordWrap/>
              <w:overflowPunct/>
              <w:topLinePunct w:val="0"/>
              <w:autoSpaceDE/>
              <w:autoSpaceDN/>
              <w:bidi w:val="0"/>
              <w:adjustRightInd/>
              <w:spacing w:line="320" w:lineRule="exact"/>
              <w:ind w:firstLine="240" w:firstLineChars="100"/>
              <w:textAlignment w:val="auto"/>
              <w:rPr>
                <w:rFonts w:hint="default" w:ascii="仿宋_GB2312" w:hAnsi="Times New Roman" w:eastAsia="仿宋_GB2312" w:cs="方正仿宋简体"/>
                <w:sz w:val="24"/>
                <w:szCs w:val="20"/>
                <w:lang w:val="en-US" w:eastAsia="zh-CN"/>
              </w:rPr>
            </w:pPr>
            <w:r>
              <w:rPr>
                <w:rFonts w:hint="default" w:ascii="仿宋_GB2312" w:hAnsi="Times New Roman" w:eastAsia="仿宋_GB2312" w:cs="方正仿宋简体"/>
                <w:sz w:val="24"/>
                <w:szCs w:val="20"/>
                <w:lang w:val="en-US" w:eastAsia="zh-CN"/>
              </w:rPr>
              <w:t>全国0~6岁儿童约1亿人，每年新生儿约900万；0~14岁儿童ASD患病率约0.7%，意味着每年新发患儿约6~7万名，而基层儿童保健门诊是早期筛查的主入口，全国妇幼保健机构约3000家、提供儿保服务的基层机构数以万计。按"每机构配置1套筛查机器人＋年度服务"测算，设备销售＋筛查服务的国内市场空间可达数十亿元；随着ASD早筛逐步纳入0~6岁儿童健康常规管理，需求将持续放量。国际市场上，类似标准化筛查设备在欧美基层儿科同样稀缺，具备出海空间。</w:t>
            </w:r>
          </w:p>
        </w:tc>
      </w:tr>
      <w:tr w14:paraId="2AF3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005C8600">
            <w:pPr>
              <w:keepNext w:val="0"/>
              <w:keepLines w:val="0"/>
              <w:pageBreakBefore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建设基础</w:t>
            </w:r>
          </w:p>
        </w:tc>
        <w:tc>
          <w:tcPr>
            <w:tcW w:w="7413" w:type="dxa"/>
            <w:gridSpan w:val="4"/>
            <w:tcBorders>
              <w:top w:val="single" w:color="auto" w:sz="4" w:space="0"/>
              <w:left w:val="single" w:color="auto" w:sz="4" w:space="0"/>
              <w:bottom w:val="single" w:color="auto" w:sz="4" w:space="0"/>
              <w:right w:val="single" w:color="auto" w:sz="4" w:space="0"/>
            </w:tcBorders>
          </w:tcPr>
          <w:p w14:paraId="27A084EE">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eastAsia" w:ascii="仿宋_GB2312" w:hAnsi="Times New Roman" w:eastAsia="仿宋_GB2312" w:cs="方正仿宋简体"/>
                <w:sz w:val="24"/>
                <w:szCs w:val="20"/>
                <w:highlight w:val="none"/>
                <w:lang w:eastAsia="zh-CN"/>
              </w:rPr>
            </w:pPr>
            <w:r>
              <w:rPr>
                <w:rFonts w:hint="eastAsia" w:ascii="仿宋_GB2312" w:hAnsi="Times New Roman" w:eastAsia="仿宋_GB2312" w:cs="方正仿宋简体"/>
                <w:sz w:val="24"/>
                <w:szCs w:val="20"/>
                <w:highlight w:val="none"/>
                <w:lang w:eastAsia="zh-CN"/>
              </w:rPr>
              <w:t>宝兴医院已具备孤独症及儿童发育障碍相关的医疗、评估和康复服务基础，已拥有儿童康复门诊及住院部，2间评估室，10间训练室，医生4人，治疗师23人心理治疗师1人等专业团队40人，能够为项目提供真实应用场地、专业人员、服务对象和业务流程支持。</w:t>
            </w:r>
          </w:p>
          <w:p w14:paraId="7C3F2D19">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eastAsia" w:ascii="仿宋_GB2312" w:hAnsi="Times New Roman" w:eastAsia="仿宋_GB2312" w:cs="方正仿宋简体"/>
                <w:sz w:val="24"/>
                <w:szCs w:val="20"/>
                <w:highlight w:val="none"/>
                <w:lang w:eastAsia="zh-CN"/>
              </w:rPr>
            </w:pPr>
            <w:r>
              <w:rPr>
                <w:rFonts w:hint="eastAsia" w:ascii="仿宋_GB2312" w:hAnsi="Times New Roman" w:eastAsia="仿宋_GB2312" w:cs="方正仿宋简体"/>
                <w:sz w:val="24"/>
                <w:szCs w:val="20"/>
                <w:highlight w:val="none"/>
                <w:lang w:eastAsia="zh-CN"/>
              </w:rPr>
              <w:t>医院已开展评估项目:C-PEP3、CARS、ABC、0-6儿童发育行为评估量表、S-S语言发育法、发展本位、ABLLS-R、儿童功能独立性评定量表(WEFIM)、Pebody粗大运动精细运动量表、格里菲斯以及语言训练、社交训练、学习能力训练、执行功能训练、感觉统合训练、作业治疗、运动康复训练、小儿推拿、针灸、物理因子治疗等，积累了儿童基本信息、量表评估、训练记录及阶段性效果评价等相关数据，具备开展机器人辅助评估与干预场景建设的业务基础。</w:t>
            </w:r>
          </w:p>
          <w:p w14:paraId="0A63F266">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eastAsia" w:ascii="仿宋_GB2312" w:hAnsi="Times New Roman" w:eastAsia="仿宋_GB2312" w:cs="方正仿宋简体"/>
                <w:sz w:val="24"/>
                <w:szCs w:val="20"/>
                <w:lang w:eastAsia="zh-CN"/>
              </w:rPr>
            </w:pPr>
            <w:r>
              <w:rPr>
                <w:rFonts w:hint="eastAsia" w:ascii="仿宋_GB2312" w:hAnsi="Times New Roman" w:eastAsia="仿宋_GB2312" w:cs="方正仿宋简体"/>
                <w:sz w:val="24"/>
                <w:szCs w:val="20"/>
                <w:lang w:eastAsia="zh-CN"/>
              </w:rPr>
              <w:t>项目拟依托CAVE沉浸式交互模式，建设或升级多面投影、动作捕捉、视觉感知和交互设备，为儿童提供低干扰、可控制、可重复的任务环境。医院可配合完成场景需求梳理、评估与干预范式设计、专业人员标注、系统试用、效果评价、科技伦理审查和项目验收等工作。</w:t>
            </w:r>
          </w:p>
          <w:p w14:paraId="69046063">
            <w:pPr>
              <w:keepNext w:val="0"/>
              <w:keepLines w:val="0"/>
              <w:pageBreakBefore w:val="0"/>
              <w:kinsoku/>
              <w:wordWrap/>
              <w:overflowPunct/>
              <w:topLinePunct w:val="0"/>
              <w:autoSpaceDE/>
              <w:autoSpaceDN/>
              <w:bidi w:val="0"/>
              <w:adjustRightInd/>
              <w:spacing w:line="320" w:lineRule="exact"/>
              <w:textAlignment w:val="auto"/>
              <w:rPr>
                <w:rFonts w:hint="eastAsia" w:ascii="仿宋_GB2312" w:hAnsi="Times New Roman" w:eastAsia="仿宋_GB2312" w:cs="方正仿宋简体"/>
                <w:sz w:val="24"/>
                <w:szCs w:val="20"/>
                <w:lang w:eastAsia="zh-CN"/>
              </w:rPr>
            </w:pPr>
          </w:p>
        </w:tc>
      </w:tr>
      <w:tr w14:paraId="54C1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1"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14:paraId="360CEA6C">
            <w:pPr>
              <w:keepNext w:val="0"/>
              <w:keepLines w:val="0"/>
              <w:pageBreakBefore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仿宋_GB2312"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val="en-US" w:eastAsia="zh-CN"/>
                <w14:textFill>
                  <w14:solidFill>
                    <w14:schemeClr w14:val="tx1"/>
                  </w14:solidFill>
                </w14:textFill>
              </w:rPr>
              <w:t>实施成效</w:t>
            </w:r>
          </w:p>
        </w:tc>
        <w:tc>
          <w:tcPr>
            <w:tcW w:w="7413" w:type="dxa"/>
            <w:gridSpan w:val="4"/>
            <w:tcBorders>
              <w:top w:val="single" w:color="auto" w:sz="4" w:space="0"/>
              <w:left w:val="single" w:color="auto" w:sz="4" w:space="0"/>
              <w:bottom w:val="single" w:color="auto" w:sz="4" w:space="0"/>
              <w:right w:val="single" w:color="auto" w:sz="4" w:space="0"/>
            </w:tcBorders>
          </w:tcPr>
          <w:p w14:paraId="4F359991">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eastAsia" w:ascii="仿宋_GB2312" w:hAnsi="Times New Roman" w:eastAsia="仿宋_GB2312" w:cs="方正仿宋简体"/>
                <w:sz w:val="24"/>
                <w:szCs w:val="20"/>
                <w:highlight w:val="none"/>
                <w:lang w:eastAsia="zh-CN"/>
              </w:rPr>
            </w:pPr>
            <w:r>
              <w:rPr>
                <w:rFonts w:hint="eastAsia" w:ascii="仿宋_GB2312" w:hAnsi="Times New Roman" w:eastAsia="仿宋_GB2312" w:cs="方正仿宋简体"/>
                <w:sz w:val="24"/>
                <w:szCs w:val="20"/>
                <w:highlight w:val="none"/>
                <w:lang w:eastAsia="zh-CN"/>
              </w:rPr>
              <w:t>项目建成后，将形成具身智能机器人辅助孤独症儿童评估与个性化干预的示范应用场景，实现机器人、CAVE沉浸式环境、多模态感知和评估管理平台的协同运行。</w:t>
            </w:r>
          </w:p>
          <w:p w14:paraId="6D40F876">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eastAsia" w:ascii="仿宋_GB2312" w:hAnsi="Times New Roman" w:eastAsia="仿宋_GB2312" w:cs="方正仿宋简体"/>
                <w:sz w:val="24"/>
                <w:szCs w:val="20"/>
                <w:highlight w:val="none"/>
                <w:lang w:eastAsia="zh-CN"/>
              </w:rPr>
            </w:pPr>
            <w:r>
              <w:rPr>
                <w:rFonts w:hint="eastAsia" w:ascii="仿宋_GB2312" w:hAnsi="Times New Roman" w:eastAsia="仿宋_GB2312" w:cs="方正仿宋简体"/>
                <w:sz w:val="24"/>
                <w:szCs w:val="20"/>
                <w:highlight w:val="none"/>
                <w:lang w:eastAsia="zh-CN"/>
              </w:rPr>
              <w:t>预期经济效益主要包括：提高医院评估和康复训练场地及专业人员的使用效率，减少康复治疗师在重复讲解、动作示范、过程记录和报告整理等程序性工作上的时间投入；提升单位时间内可服务儿童数量；形成具备复制推广能力的机器人系统、软件平台和数字化任务内容，为后续在医疗、康复及特殊教育机构推广创造条件。</w:t>
            </w:r>
          </w:p>
          <w:p w14:paraId="6F3E5427">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eastAsia" w:ascii="仿宋_GB2312" w:hAnsi="Times New Roman" w:eastAsia="仿宋_GB2312" w:cs="方正仿宋简体"/>
                <w:sz w:val="24"/>
                <w:szCs w:val="20"/>
                <w:highlight w:val="none"/>
                <w:lang w:eastAsia="zh-CN"/>
              </w:rPr>
            </w:pPr>
            <w:r>
              <w:rPr>
                <w:rFonts w:hint="eastAsia" w:ascii="仿宋_GB2312" w:hAnsi="Times New Roman" w:eastAsia="仿宋_GB2312" w:cs="方正仿宋简体"/>
                <w:sz w:val="24"/>
                <w:szCs w:val="20"/>
                <w:highlight w:val="none"/>
                <w:lang w:eastAsia="zh-CN"/>
              </w:rPr>
              <w:t>预期社会效益主要包括：提高孤独症儿童评估与干预流程的标准化和可追溯水平；增强儿童在评估和训练过程中的参与度、趣味性及持续性；辅助医生和康复治疗师更加全面地了解儿童能力特点和长期变化；缓解优质康复专业人员不足的问题；推动孤独症儿童康复服务向数字化、智能化和个性化方向发展。</w:t>
            </w:r>
          </w:p>
          <w:p w14:paraId="42B9C1F9">
            <w:pPr>
              <w:keepNext w:val="0"/>
              <w:keepLines w:val="0"/>
              <w:pageBreakBefore w:val="0"/>
              <w:widowControl w:val="0"/>
              <w:kinsoku/>
              <w:wordWrap/>
              <w:overflowPunct/>
              <w:topLinePunct w:val="0"/>
              <w:autoSpaceDE/>
              <w:autoSpaceDN/>
              <w:bidi w:val="0"/>
              <w:adjustRightInd/>
              <w:snapToGrid/>
              <w:spacing w:line="320" w:lineRule="exact"/>
              <w:ind w:firstLine="480" w:firstLineChars="200"/>
              <w:textAlignment w:val="auto"/>
              <w:rPr>
                <w:rFonts w:hint="eastAsia" w:ascii="仿宋_GB2312" w:hAnsi="Times New Roman" w:eastAsia="仿宋_GB2312" w:cs="方正仿宋简体"/>
                <w:sz w:val="24"/>
                <w:szCs w:val="20"/>
                <w:lang w:eastAsia="zh-CN"/>
              </w:rPr>
            </w:pPr>
            <w:r>
              <w:rPr>
                <w:rFonts w:hint="eastAsia" w:ascii="仿宋_GB2312" w:hAnsi="Times New Roman" w:eastAsia="仿宋_GB2312" w:cs="方正仿宋简体"/>
                <w:sz w:val="24"/>
                <w:szCs w:val="20"/>
                <w:highlight w:val="none"/>
                <w:lang w:eastAsia="zh-CN"/>
              </w:rPr>
              <w:t>项目拟实现以下成效:建设1个医院机器人示范应用场景，形成1套孤独症辅助评估与干预机器人系统;支持不少于4类核心能力评估与干预任务;建立儿童多模态行为数据及长期能力画像;完成不少于20名儿童、40人次的试运行验证;专业人员任务组织及记录整理时间预计降低80%;服务效率预计提升80%;形成可在医疗、康复和特殊教育机构复制推广的标准化应用方案。</w:t>
            </w:r>
          </w:p>
        </w:tc>
      </w:tr>
    </w:tbl>
    <w:p w14:paraId="42C94390">
      <w:pPr>
        <w:rPr>
          <w:rFonts w:hint="eastAsia" w:ascii="Times New Roman" w:hAnsi="Times New Roman" w:eastAsia="仿宋_GB2312"/>
          <w:sz w:val="32"/>
          <w:lang w:val="en-US" w:eastAsia="zh-CN"/>
        </w:rPr>
      </w:pPr>
    </w:p>
    <w:sectPr>
      <w:footerReference r:id="rId3" w:type="default"/>
      <w:pgSz w:w="11906" w:h="16838"/>
      <w:pgMar w:top="2041"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简体">
    <w:altName w:val="方正仿宋_GBK"/>
    <w:panose1 w:val="00000000000000000000"/>
    <w:charset w:val="86"/>
    <w:family w:val="roman"/>
    <w:pitch w:val="default"/>
    <w:sig w:usb0="00000000" w:usb1="00000000" w:usb2="00000012" w:usb3="00000000" w:csb0="00040001" w:csb1="00000000"/>
  </w:font>
  <w:font w:name="Segoe UI">
    <w:altName w:val="Noto Naskh Arabic"/>
    <w:panose1 w:val="020B0502040204020203"/>
    <w:charset w:val="00"/>
    <w:family w:val="auto"/>
    <w:pitch w:val="default"/>
    <w:sig w:usb0="00000000" w:usb1="00000000" w:usb2="00000009" w:usb3="00000000" w:csb0="200001FF" w:csb1="00000000"/>
  </w:font>
  <w:font w:name="Noto Naskh Arabic">
    <w:panose1 w:val="020B0502040504020204"/>
    <w:charset w:val="00"/>
    <w:family w:val="auto"/>
    <w:pitch w:val="default"/>
    <w:sig w:usb0="80002003" w:usb1="80002000" w:usb2="00000008" w:usb3="00000000" w:csb0="00000041" w:csb1="0008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81726">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1B0BE0">
                          <w:pPr>
                            <w:pStyle w:val="8"/>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1B0BE0">
                    <w:pPr>
                      <w:pStyle w:val="8"/>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523216"/>
    <w:multiLevelType w:val="singleLevel"/>
    <w:tmpl w:val="21523216"/>
    <w:lvl w:ilvl="0" w:tentative="0">
      <w:start w:val="1"/>
      <w:numFmt w:val="decimal"/>
      <w:lvlText w:val="(%1)"/>
      <w:lvlJc w:val="left"/>
      <w:pPr>
        <w:ind w:left="425" w:hanging="425"/>
      </w:pPr>
      <w:rPr>
        <w:rFonts w:hint="default"/>
      </w:rPr>
    </w:lvl>
  </w:abstractNum>
  <w:abstractNum w:abstractNumId="1">
    <w:nsid w:val="73FB9223"/>
    <w:multiLevelType w:val="singleLevel"/>
    <w:tmpl w:val="73FB9223"/>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3840469"/>
    <w:rsid w:val="0455059A"/>
    <w:rsid w:val="048C5A1D"/>
    <w:rsid w:val="05567E43"/>
    <w:rsid w:val="067D77AC"/>
    <w:rsid w:val="08AC0E08"/>
    <w:rsid w:val="0924072D"/>
    <w:rsid w:val="098350DA"/>
    <w:rsid w:val="0AB8556E"/>
    <w:rsid w:val="0B476C1F"/>
    <w:rsid w:val="0BCF4BEF"/>
    <w:rsid w:val="0C2E3359"/>
    <w:rsid w:val="0FB44DF8"/>
    <w:rsid w:val="0FFD084B"/>
    <w:rsid w:val="0FFF7290"/>
    <w:rsid w:val="10A122E9"/>
    <w:rsid w:val="13645F7C"/>
    <w:rsid w:val="17D411F6"/>
    <w:rsid w:val="17DF099F"/>
    <w:rsid w:val="17F453F5"/>
    <w:rsid w:val="18046DB4"/>
    <w:rsid w:val="196AD810"/>
    <w:rsid w:val="19B6E7BF"/>
    <w:rsid w:val="1A7606F3"/>
    <w:rsid w:val="1B481CDF"/>
    <w:rsid w:val="1B515AF1"/>
    <w:rsid w:val="1B5FBF99"/>
    <w:rsid w:val="1BA79CDC"/>
    <w:rsid w:val="1BB47375"/>
    <w:rsid w:val="1C6D2EE3"/>
    <w:rsid w:val="1D151E47"/>
    <w:rsid w:val="1D6372A4"/>
    <w:rsid w:val="1D8965DF"/>
    <w:rsid w:val="1EBB93FF"/>
    <w:rsid w:val="1EF323E1"/>
    <w:rsid w:val="1F6706ED"/>
    <w:rsid w:val="1FED819C"/>
    <w:rsid w:val="213D1BBA"/>
    <w:rsid w:val="21E32762"/>
    <w:rsid w:val="23D305B4"/>
    <w:rsid w:val="23E991EA"/>
    <w:rsid w:val="25FB5C8D"/>
    <w:rsid w:val="277D9957"/>
    <w:rsid w:val="27EE6D51"/>
    <w:rsid w:val="27FF6CEE"/>
    <w:rsid w:val="293C03A1"/>
    <w:rsid w:val="295F4AB9"/>
    <w:rsid w:val="296B118E"/>
    <w:rsid w:val="29AA6842"/>
    <w:rsid w:val="2A2B5644"/>
    <w:rsid w:val="2B006133"/>
    <w:rsid w:val="2BC01D66"/>
    <w:rsid w:val="2BE772F2"/>
    <w:rsid w:val="2D2D51D9"/>
    <w:rsid w:val="2EE7C452"/>
    <w:rsid w:val="2F511653"/>
    <w:rsid w:val="2F99C37D"/>
    <w:rsid w:val="2FDDE057"/>
    <w:rsid w:val="34D466B4"/>
    <w:rsid w:val="358856A2"/>
    <w:rsid w:val="367D4FF9"/>
    <w:rsid w:val="36D154B9"/>
    <w:rsid w:val="37DE3C9F"/>
    <w:rsid w:val="39E38617"/>
    <w:rsid w:val="39FD5F33"/>
    <w:rsid w:val="3A5402D2"/>
    <w:rsid w:val="3B7E465F"/>
    <w:rsid w:val="3B7F5941"/>
    <w:rsid w:val="3BDE13E8"/>
    <w:rsid w:val="3BEBC578"/>
    <w:rsid w:val="3D2FD38D"/>
    <w:rsid w:val="3D3659E4"/>
    <w:rsid w:val="3D5FD812"/>
    <w:rsid w:val="3DDBE88D"/>
    <w:rsid w:val="3DFF58F7"/>
    <w:rsid w:val="3EBE72C0"/>
    <w:rsid w:val="3EEB27FE"/>
    <w:rsid w:val="3F3F54AD"/>
    <w:rsid w:val="3F8D54A2"/>
    <w:rsid w:val="3FDEF73E"/>
    <w:rsid w:val="3FF7E75F"/>
    <w:rsid w:val="3FFB7D85"/>
    <w:rsid w:val="3FFBB406"/>
    <w:rsid w:val="3FFD3B98"/>
    <w:rsid w:val="3FFF5C5F"/>
    <w:rsid w:val="41DF3C4C"/>
    <w:rsid w:val="42ED4D97"/>
    <w:rsid w:val="42F02AD9"/>
    <w:rsid w:val="430A1DED"/>
    <w:rsid w:val="43B9736F"/>
    <w:rsid w:val="43E07956"/>
    <w:rsid w:val="44B042CE"/>
    <w:rsid w:val="46483E01"/>
    <w:rsid w:val="46D46C38"/>
    <w:rsid w:val="47395243"/>
    <w:rsid w:val="474B7D77"/>
    <w:rsid w:val="47E56984"/>
    <w:rsid w:val="48390A7E"/>
    <w:rsid w:val="485951EC"/>
    <w:rsid w:val="49B74D2D"/>
    <w:rsid w:val="49DB6C5E"/>
    <w:rsid w:val="4A123335"/>
    <w:rsid w:val="4BB02E05"/>
    <w:rsid w:val="4C3E406E"/>
    <w:rsid w:val="4D090F5F"/>
    <w:rsid w:val="4DD6AC44"/>
    <w:rsid w:val="4E2E44B5"/>
    <w:rsid w:val="4E872543"/>
    <w:rsid w:val="4F5543EF"/>
    <w:rsid w:val="4F7A8014"/>
    <w:rsid w:val="508F6E38"/>
    <w:rsid w:val="52BD7CFD"/>
    <w:rsid w:val="531445D8"/>
    <w:rsid w:val="565A22EB"/>
    <w:rsid w:val="56F6563D"/>
    <w:rsid w:val="57D7CCB7"/>
    <w:rsid w:val="58330577"/>
    <w:rsid w:val="590B1ADE"/>
    <w:rsid w:val="5A2D03CA"/>
    <w:rsid w:val="5AFF6E5F"/>
    <w:rsid w:val="5B71530F"/>
    <w:rsid w:val="5BFD2097"/>
    <w:rsid w:val="5C346947"/>
    <w:rsid w:val="5CF43DA1"/>
    <w:rsid w:val="5D79399F"/>
    <w:rsid w:val="5DE34D44"/>
    <w:rsid w:val="5DF748C4"/>
    <w:rsid w:val="5DFFFEB0"/>
    <w:rsid w:val="5E566EE4"/>
    <w:rsid w:val="5E8CF660"/>
    <w:rsid w:val="5EA038B2"/>
    <w:rsid w:val="5EFD4A00"/>
    <w:rsid w:val="5EFF07BD"/>
    <w:rsid w:val="5F1B3579"/>
    <w:rsid w:val="5F942D12"/>
    <w:rsid w:val="5FBE9B08"/>
    <w:rsid w:val="5FCBAB8E"/>
    <w:rsid w:val="5FDC2F30"/>
    <w:rsid w:val="5FE6542C"/>
    <w:rsid w:val="5FFE2E6F"/>
    <w:rsid w:val="5FFE3534"/>
    <w:rsid w:val="5FFFF88F"/>
    <w:rsid w:val="60F4333C"/>
    <w:rsid w:val="61DD6989"/>
    <w:rsid w:val="62EC35F7"/>
    <w:rsid w:val="631F74BC"/>
    <w:rsid w:val="63E9680E"/>
    <w:rsid w:val="64817B3D"/>
    <w:rsid w:val="667FC0EE"/>
    <w:rsid w:val="67FC8436"/>
    <w:rsid w:val="683C02AC"/>
    <w:rsid w:val="6B2F9C3E"/>
    <w:rsid w:val="6B841E8D"/>
    <w:rsid w:val="6D655CEE"/>
    <w:rsid w:val="6E125199"/>
    <w:rsid w:val="6EB7CCBF"/>
    <w:rsid w:val="6EC43502"/>
    <w:rsid w:val="6F383D07"/>
    <w:rsid w:val="6F3F9144"/>
    <w:rsid w:val="6F5B5E8A"/>
    <w:rsid w:val="6F76B2F3"/>
    <w:rsid w:val="6FBFDE40"/>
    <w:rsid w:val="6FF7E679"/>
    <w:rsid w:val="71F92EA9"/>
    <w:rsid w:val="727D3192"/>
    <w:rsid w:val="72F90170"/>
    <w:rsid w:val="72FE7215"/>
    <w:rsid w:val="736DC0EF"/>
    <w:rsid w:val="740F6527"/>
    <w:rsid w:val="76BE9F9C"/>
    <w:rsid w:val="76F5AB6F"/>
    <w:rsid w:val="7775C95F"/>
    <w:rsid w:val="77872C35"/>
    <w:rsid w:val="77EB51FC"/>
    <w:rsid w:val="77F34D25"/>
    <w:rsid w:val="77F70F91"/>
    <w:rsid w:val="77FD8A3F"/>
    <w:rsid w:val="77FE67C0"/>
    <w:rsid w:val="7867AA0D"/>
    <w:rsid w:val="78F15C7F"/>
    <w:rsid w:val="78FF21B6"/>
    <w:rsid w:val="79EED6AF"/>
    <w:rsid w:val="7A6BD8AE"/>
    <w:rsid w:val="7A911ED0"/>
    <w:rsid w:val="7ABF9165"/>
    <w:rsid w:val="7AD85D51"/>
    <w:rsid w:val="7B2F6BC8"/>
    <w:rsid w:val="7BFD5E74"/>
    <w:rsid w:val="7BFFA321"/>
    <w:rsid w:val="7C7EECF1"/>
    <w:rsid w:val="7D8EEADD"/>
    <w:rsid w:val="7DBE72CD"/>
    <w:rsid w:val="7DCE40DB"/>
    <w:rsid w:val="7E3A6F4A"/>
    <w:rsid w:val="7EB32A31"/>
    <w:rsid w:val="7EB79499"/>
    <w:rsid w:val="7F3FD136"/>
    <w:rsid w:val="7F5D406C"/>
    <w:rsid w:val="7F6892CD"/>
    <w:rsid w:val="7F6BBF37"/>
    <w:rsid w:val="7F75BF0B"/>
    <w:rsid w:val="7F7E3096"/>
    <w:rsid w:val="7F7F5E58"/>
    <w:rsid w:val="7FCAE10B"/>
    <w:rsid w:val="7FDA1BEF"/>
    <w:rsid w:val="7FDF5309"/>
    <w:rsid w:val="7FDFA6F0"/>
    <w:rsid w:val="7FF5DC55"/>
    <w:rsid w:val="7FFAC20F"/>
    <w:rsid w:val="7FFD98BE"/>
    <w:rsid w:val="7FFE65A3"/>
    <w:rsid w:val="8FAFEFEF"/>
    <w:rsid w:val="9ED7BDBA"/>
    <w:rsid w:val="A1FD947C"/>
    <w:rsid w:val="A3E7464E"/>
    <w:rsid w:val="AABF4527"/>
    <w:rsid w:val="AF7B7952"/>
    <w:rsid w:val="AF9F8FCA"/>
    <w:rsid w:val="B75D8BF8"/>
    <w:rsid w:val="B7DF0942"/>
    <w:rsid w:val="B8EB41BC"/>
    <w:rsid w:val="B9EE4007"/>
    <w:rsid w:val="BBBF35EF"/>
    <w:rsid w:val="BBEF55F8"/>
    <w:rsid w:val="BD7DC420"/>
    <w:rsid w:val="BE489A38"/>
    <w:rsid w:val="BE7F0907"/>
    <w:rsid w:val="BEFD7B84"/>
    <w:rsid w:val="BFB636F8"/>
    <w:rsid w:val="BFFFACDB"/>
    <w:rsid w:val="C2F50BC2"/>
    <w:rsid w:val="C4779D79"/>
    <w:rsid w:val="C6EF96BF"/>
    <w:rsid w:val="CDAFB7F2"/>
    <w:rsid w:val="CEF16418"/>
    <w:rsid w:val="CF2BB839"/>
    <w:rsid w:val="CFC547A0"/>
    <w:rsid w:val="D8FE6B86"/>
    <w:rsid w:val="D97FD55E"/>
    <w:rsid w:val="DABECB7F"/>
    <w:rsid w:val="DAFF16ED"/>
    <w:rsid w:val="DAFF703A"/>
    <w:rsid w:val="DBECDDA7"/>
    <w:rsid w:val="DCFAAB5D"/>
    <w:rsid w:val="DD0F2569"/>
    <w:rsid w:val="DD9FEC49"/>
    <w:rsid w:val="DDB733C3"/>
    <w:rsid w:val="DDECA757"/>
    <w:rsid w:val="DDFCAE25"/>
    <w:rsid w:val="DEF8473D"/>
    <w:rsid w:val="DF3799DE"/>
    <w:rsid w:val="DF7B0C6C"/>
    <w:rsid w:val="DF7F9847"/>
    <w:rsid w:val="DFB3786F"/>
    <w:rsid w:val="DFFD4249"/>
    <w:rsid w:val="E2FFFB61"/>
    <w:rsid w:val="E7FB3D8D"/>
    <w:rsid w:val="E96F863A"/>
    <w:rsid w:val="E97D3A32"/>
    <w:rsid w:val="ED5F5FAA"/>
    <w:rsid w:val="EDE786BC"/>
    <w:rsid w:val="EEC871C7"/>
    <w:rsid w:val="EF7F672B"/>
    <w:rsid w:val="EFCEDB15"/>
    <w:rsid w:val="EFEF3883"/>
    <w:rsid w:val="F297A4D4"/>
    <w:rsid w:val="F35F078F"/>
    <w:rsid w:val="F67E40E5"/>
    <w:rsid w:val="F6A18827"/>
    <w:rsid w:val="F73BC0E3"/>
    <w:rsid w:val="F74DA2EE"/>
    <w:rsid w:val="F7BFA59C"/>
    <w:rsid w:val="F7DF543E"/>
    <w:rsid w:val="F7EB244D"/>
    <w:rsid w:val="F7F4DBFA"/>
    <w:rsid w:val="F7FBBD65"/>
    <w:rsid w:val="F9BF8FF5"/>
    <w:rsid w:val="F9EF39E2"/>
    <w:rsid w:val="FA77693C"/>
    <w:rsid w:val="FB4ED248"/>
    <w:rsid w:val="FBB6C733"/>
    <w:rsid w:val="FBD341E4"/>
    <w:rsid w:val="FBEDFF11"/>
    <w:rsid w:val="FBF7BB84"/>
    <w:rsid w:val="FBF87B06"/>
    <w:rsid w:val="FBFE3C38"/>
    <w:rsid w:val="FD1752FB"/>
    <w:rsid w:val="FD7B3E84"/>
    <w:rsid w:val="FD8D47AA"/>
    <w:rsid w:val="FDDD24AB"/>
    <w:rsid w:val="FDFB112D"/>
    <w:rsid w:val="FE7641C8"/>
    <w:rsid w:val="FE9FD1B4"/>
    <w:rsid w:val="FEAFA280"/>
    <w:rsid w:val="FEBF1651"/>
    <w:rsid w:val="FEE5CBF6"/>
    <w:rsid w:val="FEFB4F67"/>
    <w:rsid w:val="FEFE30B3"/>
    <w:rsid w:val="FEFF8002"/>
    <w:rsid w:val="FF1DD433"/>
    <w:rsid w:val="FF56486A"/>
    <w:rsid w:val="FF7FB80B"/>
    <w:rsid w:val="FFB726D9"/>
    <w:rsid w:val="FFB7806A"/>
    <w:rsid w:val="FFDDF856"/>
    <w:rsid w:val="FFDEADEB"/>
    <w:rsid w:val="FFECC579"/>
    <w:rsid w:val="FFF4C521"/>
    <w:rsid w:val="FFF7A9F8"/>
    <w:rsid w:val="FFF7BAA3"/>
    <w:rsid w:val="FFFD438A"/>
    <w:rsid w:val="FFFD9611"/>
    <w:rsid w:val="FFFE5C4F"/>
    <w:rsid w:val="FFFF4FF6"/>
    <w:rsid w:val="FFFF9150"/>
    <w:rsid w:val="FFFF9ADB"/>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rFonts w:ascii="Times New Roman" w:hAnsi="Times New Roman" w:eastAsia="宋体" w:cs="Times New Roman"/>
    </w:rPr>
  </w:style>
  <w:style w:type="paragraph" w:styleId="5">
    <w:name w:val="Body Text"/>
    <w:basedOn w:val="1"/>
    <w:next w:val="6"/>
    <w:qFormat/>
    <w:uiPriority w:val="1"/>
    <w:pPr>
      <w:ind w:left="138"/>
      <w:jc w:val="left"/>
    </w:pPr>
    <w:rPr>
      <w:rFonts w:ascii="宋体" w:hAnsi="宋体"/>
      <w:kern w:val="0"/>
      <w:sz w:val="24"/>
      <w:lang w:eastAsia="en-US"/>
    </w:rPr>
  </w:style>
  <w:style w:type="paragraph" w:styleId="6">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7">
    <w:name w:val="annotation text"/>
    <w:basedOn w:val="1"/>
    <w:qFormat/>
    <w:uiPriority w:val="0"/>
    <w:pPr>
      <w:jc w:val="left"/>
    </w:pPr>
  </w:style>
  <w:style w:type="paragraph" w:styleId="8">
    <w:name w:val="footer"/>
    <w:basedOn w:val="1"/>
    <w:next w:val="9"/>
    <w:qFormat/>
    <w:uiPriority w:val="0"/>
    <w:pPr>
      <w:snapToGrid w:val="0"/>
      <w:jc w:val="left"/>
    </w:pPr>
    <w:rPr>
      <w:sz w:val="18"/>
      <w:szCs w:val="18"/>
    </w:rPr>
  </w:style>
  <w:style w:type="paragraph" w:customStyle="1" w:styleId="9">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index 9"/>
    <w:basedOn w:val="1"/>
    <w:next w:val="1"/>
    <w:qFormat/>
    <w:uiPriority w:val="0"/>
    <w:pPr>
      <w:ind w:left="1600" w:leftChars="16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table" w:styleId="14">
    <w:name w:val="Table Grid"/>
    <w:basedOn w:val="1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paragraph" w:customStyle="1" w:styleId="17">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8">
    <w:name w:val="纯文本1"/>
    <w:basedOn w:val="1"/>
    <w:qFormat/>
    <w:uiPriority w:val="0"/>
    <w:rPr>
      <w:rFonts w:ascii="宋体" w:hAnsi="Courier New" w:eastAsia="宋体" w:cs="Courier New"/>
    </w:rPr>
  </w:style>
  <w:style w:type="paragraph" w:customStyle="1" w:styleId="19">
    <w:name w:val="正文_0"/>
    <w:next w:val="5"/>
    <w:qFormat/>
    <w:uiPriority w:val="0"/>
    <w:pPr>
      <w:widowControl w:val="0"/>
      <w:jc w:val="both"/>
    </w:pPr>
    <w:rPr>
      <w:rFonts w:ascii="Calibri" w:hAnsi="Calibri" w:eastAsia="宋体" w:cs="Times New Roman"/>
      <w:kern w:val="2"/>
      <w:sz w:val="21"/>
      <w:szCs w:val="24"/>
      <w:lang w:val="en-US" w:eastAsia="zh-CN" w:bidi="ar-SA"/>
    </w:rPr>
  </w:style>
  <w:style w:type="table" w:customStyle="1" w:styleId="20">
    <w:name w:val="网格型1"/>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font51"/>
    <w:basedOn w:val="15"/>
    <w:qFormat/>
    <w:uiPriority w:val="0"/>
    <w:rPr>
      <w:rFonts w:hint="default" w:ascii="仿宋_GB2312" w:eastAsia="仿宋_GB2312" w:cs="仿宋_GB2312"/>
      <w:color w:val="000000"/>
      <w:sz w:val="28"/>
      <w:szCs w:val="28"/>
      <w:u w:val="none"/>
    </w:rPr>
  </w:style>
  <w:style w:type="paragraph" w:customStyle="1" w:styleId="22">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character" w:customStyle="1" w:styleId="23">
    <w:name w:val="font11"/>
    <w:basedOn w:val="15"/>
    <w:qFormat/>
    <w:uiPriority w:val="0"/>
    <w:rPr>
      <w:rFonts w:hint="eastAsia" w:ascii="宋体" w:hAnsi="宋体" w:eastAsia="宋体" w:cs="宋体"/>
      <w:color w:val="000000"/>
      <w:sz w:val="22"/>
      <w:szCs w:val="22"/>
      <w:u w:val="none"/>
    </w:rPr>
  </w:style>
  <w:style w:type="character" w:customStyle="1" w:styleId="24">
    <w:name w:val="font01"/>
    <w:basedOn w:val="15"/>
    <w:qFormat/>
    <w:uiPriority w:val="0"/>
    <w:rPr>
      <w:rFonts w:hint="eastAsia" w:ascii="宋体" w:hAnsi="宋体" w:eastAsia="宋体" w:cs="宋体"/>
      <w:color w:val="000000"/>
      <w:sz w:val="22"/>
      <w:szCs w:val="22"/>
      <w:u w:val="single"/>
    </w:rPr>
  </w:style>
  <w:style w:type="paragraph" w:customStyle="1" w:styleId="25">
    <w:name w:val="样式2"/>
    <w:basedOn w:val="1"/>
    <w:qFormat/>
    <w:uiPriority w:val="0"/>
    <w:pPr>
      <w:widowControl/>
      <w:shd w:val="clear" w:color="auto" w:fill="FFFFFF"/>
      <w:ind w:firstLine="643" w:firstLineChars="200"/>
      <w:outlineLvl w:val="1"/>
    </w:pPr>
    <w:rPr>
      <w:rFonts w:ascii="楷体_GB2312" w:hAnsi="Arial" w:eastAsia="楷体_GB2312" w:cs="Arial"/>
      <w:b/>
      <w:color w:val="000000"/>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2840</Words>
  <Characters>2935</Characters>
  <Lines>0</Lines>
  <Paragraphs>0</Paragraphs>
  <TotalTime>0</TotalTime>
  <ScaleCrop>false</ScaleCrop>
  <LinksUpToDate>false</LinksUpToDate>
  <CharactersWithSpaces>2961</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2025-06-17T17:45:00Z</dcterms:created>
  <dc:creator>PC</dc:creator>
  <cp:lastModifiedBy>黎兆基rjs</cp:lastModifiedBy>
  <dcterms:modified xsi:type="dcterms:W3CDTF">2026-10-27T10:24:42Z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CFF2171BE1444DE6ADC30359239D98AD_13</vt:lpwstr>
  </property>
  <property fmtid="{D5CDD505-2E9C-101B-9397-08002B2CF9AE}" pid="4" name="KSOTemplateDocerSaveRecord">
    <vt:lpwstr>eyJoZGlkIjoiNzg3OTczNzI0ZWJiZjRjNDQ5ZjMxYzE5NzFmNzE4MjMiLCJ1c2VySWQiOiIxMzA2Mzc0OTg5In0=</vt:lpwstr>
  </property>
</Properties>
</file>