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8162D">
      <w:pPr>
        <w:spacing w:before="82" w:line="173" w:lineRule="auto"/>
        <w:ind w:left="918"/>
        <w:outlineLvl w:val="0"/>
        <w:rPr>
          <w:rFonts w:ascii="Arial Unicode MS" w:hAnsi="Arial Unicode MS" w:eastAsia="Arial Unicode MS" w:cs="Arial Unicode MS"/>
          <w:sz w:val="43"/>
          <w:szCs w:val="43"/>
        </w:rPr>
      </w:pPr>
      <w:r>
        <w:rPr>
          <w:rFonts w:ascii="Arial Unicode MS" w:hAnsi="Arial Unicode MS" w:eastAsia="Arial Unicode MS" w:cs="Arial Unicode MS"/>
          <w:spacing w:val="8"/>
          <w:sz w:val="43"/>
          <w:szCs w:val="43"/>
        </w:rPr>
        <w:t>深圳市龙岗区机器人应用场景揭榜挂帅</w:t>
      </w:r>
    </w:p>
    <w:p w14:paraId="44875F31">
      <w:pPr>
        <w:spacing w:line="185" w:lineRule="auto"/>
        <w:ind w:left="3116"/>
        <w:outlineLvl w:val="0"/>
        <w:rPr>
          <w:rFonts w:ascii="Arial Unicode MS" w:hAnsi="Arial Unicode MS" w:eastAsia="Arial Unicode MS" w:cs="Arial Unicode MS"/>
          <w:sz w:val="43"/>
          <w:szCs w:val="43"/>
        </w:rPr>
      </w:pPr>
      <w:r>
        <w:rPr>
          <w:rFonts w:ascii="Arial Unicode MS" w:hAnsi="Arial Unicode MS" w:eastAsia="Arial Unicode MS" w:cs="Arial Unicode MS"/>
          <w:spacing w:val="7"/>
          <w:sz w:val="43"/>
          <w:szCs w:val="43"/>
        </w:rPr>
        <w:t>项目榜单征集表</w:t>
      </w:r>
    </w:p>
    <w:p w14:paraId="5D001AB4">
      <w:pPr>
        <w:spacing w:before="113" w:line="221" w:lineRule="auto"/>
        <w:ind w:left="50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4"/>
          <w:sz w:val="24"/>
          <w:szCs w:val="24"/>
        </w:rPr>
        <w:t>场景需求方（盖章</w:t>
      </w:r>
      <w:r>
        <w:rPr>
          <w:rFonts w:ascii="仿宋" w:hAnsi="仿宋" w:eastAsia="仿宋" w:cs="仿宋"/>
          <w:b/>
          <w:bCs/>
          <w:spacing w:val="11"/>
          <w:sz w:val="24"/>
          <w:szCs w:val="24"/>
        </w:rPr>
        <w:t>）：</w:t>
      </w:r>
      <w:r>
        <w:rPr>
          <w:rFonts w:ascii="仿宋" w:hAnsi="仿宋" w:eastAsia="仿宋" w:cs="仿宋"/>
          <w:b/>
          <w:bCs/>
          <w:spacing w:val="-4"/>
          <w:sz w:val="24"/>
          <w:szCs w:val="24"/>
        </w:rPr>
        <w:t>深圳市雅晶源科技有限公司</w:t>
      </w:r>
    </w:p>
    <w:p w14:paraId="4CEBF4BA">
      <w:pPr>
        <w:spacing w:line="137" w:lineRule="exact"/>
      </w:pPr>
    </w:p>
    <w:tbl>
      <w:tblPr>
        <w:tblStyle w:val="4"/>
        <w:tblW w:w="927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14"/>
        <w:gridCol w:w="2420"/>
        <w:gridCol w:w="2420"/>
        <w:gridCol w:w="2420"/>
      </w:tblGrid>
      <w:tr w14:paraId="41526F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9274" w:type="dxa"/>
            <w:gridSpan w:val="4"/>
            <w:vAlign w:val="top"/>
          </w:tcPr>
          <w:p w14:paraId="250C18B9">
            <w:pPr>
              <w:pStyle w:val="5"/>
              <w:spacing w:before="146" w:line="222" w:lineRule="auto"/>
              <w:ind w:left="23"/>
            </w:pPr>
            <w:r>
              <w:rPr>
                <w:b/>
                <w:bCs/>
                <w:spacing w:val="-4"/>
              </w:rPr>
              <w:t>一、场景需求方信息</w:t>
            </w:r>
          </w:p>
        </w:tc>
      </w:tr>
      <w:tr w14:paraId="0B38BD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2014" w:type="dxa"/>
            <w:vAlign w:val="top"/>
          </w:tcPr>
          <w:p w14:paraId="1BAF2AC3">
            <w:pPr>
              <w:pStyle w:val="5"/>
              <w:spacing w:before="141" w:line="221" w:lineRule="auto"/>
              <w:ind w:left="543"/>
            </w:pPr>
            <w:r>
              <w:rPr>
                <w:b/>
                <w:bCs/>
                <w:spacing w:val="-8"/>
              </w:rPr>
              <w:t>单位名称</w:t>
            </w:r>
          </w:p>
        </w:tc>
        <w:tc>
          <w:tcPr>
            <w:tcW w:w="7260" w:type="dxa"/>
            <w:gridSpan w:val="3"/>
            <w:vAlign w:val="top"/>
          </w:tcPr>
          <w:p w14:paraId="5840A450">
            <w:pPr>
              <w:pStyle w:val="5"/>
              <w:spacing w:before="141" w:line="221" w:lineRule="auto"/>
              <w:ind w:left="19"/>
            </w:pPr>
            <w:r>
              <w:rPr>
                <w:spacing w:val="-2"/>
              </w:rPr>
              <w:t>深圳市雅晶源科技有限公司</w:t>
            </w:r>
          </w:p>
        </w:tc>
      </w:tr>
      <w:tr w14:paraId="393146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9274" w:type="dxa"/>
            <w:gridSpan w:val="4"/>
            <w:vAlign w:val="top"/>
          </w:tcPr>
          <w:p w14:paraId="09B9DDE2">
            <w:pPr>
              <w:pStyle w:val="5"/>
              <w:spacing w:before="200" w:line="222" w:lineRule="auto"/>
              <w:ind w:left="27"/>
            </w:pPr>
            <w:r>
              <w:rPr>
                <w:b/>
                <w:bCs/>
                <w:spacing w:val="-4"/>
              </w:rPr>
              <w:t>二、场景开放需求信息</w:t>
            </w:r>
          </w:p>
        </w:tc>
      </w:tr>
      <w:tr w14:paraId="278075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2014" w:type="dxa"/>
            <w:vAlign w:val="top"/>
          </w:tcPr>
          <w:p w14:paraId="7415CA3D">
            <w:pPr>
              <w:pStyle w:val="5"/>
              <w:spacing w:before="53" w:line="201" w:lineRule="auto"/>
              <w:ind w:left="547"/>
            </w:pPr>
            <w:r>
              <w:rPr>
                <w:b/>
                <w:bCs/>
                <w:spacing w:val="-9"/>
              </w:rPr>
              <w:t>需求名称</w:t>
            </w:r>
          </w:p>
        </w:tc>
        <w:tc>
          <w:tcPr>
            <w:tcW w:w="7260" w:type="dxa"/>
            <w:gridSpan w:val="3"/>
            <w:vAlign w:val="top"/>
          </w:tcPr>
          <w:p w14:paraId="48970233">
            <w:pPr>
              <w:pStyle w:val="5"/>
              <w:spacing w:before="53" w:line="201" w:lineRule="auto"/>
              <w:ind w:left="17"/>
            </w:pPr>
            <w:r>
              <w:rPr>
                <w:spacing w:val="-2"/>
              </w:rPr>
              <w:t>智能仓储系统机器人</w:t>
            </w:r>
          </w:p>
        </w:tc>
      </w:tr>
      <w:tr w14:paraId="1105CD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014" w:type="dxa"/>
            <w:vAlign w:val="top"/>
          </w:tcPr>
          <w:p w14:paraId="76711CD3">
            <w:pPr>
              <w:spacing w:line="249" w:lineRule="auto"/>
              <w:rPr>
                <w:rFonts w:ascii="Arial"/>
                <w:sz w:val="21"/>
              </w:rPr>
            </w:pPr>
          </w:p>
          <w:p w14:paraId="090ABE24">
            <w:pPr>
              <w:spacing w:line="249" w:lineRule="auto"/>
              <w:rPr>
                <w:rFonts w:ascii="Arial"/>
                <w:sz w:val="21"/>
              </w:rPr>
            </w:pPr>
          </w:p>
          <w:p w14:paraId="29101A9D">
            <w:pPr>
              <w:spacing w:line="250" w:lineRule="auto"/>
              <w:rPr>
                <w:rFonts w:ascii="Arial"/>
                <w:sz w:val="21"/>
              </w:rPr>
            </w:pPr>
          </w:p>
          <w:p w14:paraId="0CD4B9A3">
            <w:pPr>
              <w:spacing w:line="250" w:lineRule="auto"/>
              <w:rPr>
                <w:rFonts w:ascii="Arial"/>
                <w:sz w:val="21"/>
              </w:rPr>
            </w:pPr>
          </w:p>
          <w:p w14:paraId="2EE2DD77">
            <w:pPr>
              <w:spacing w:line="250" w:lineRule="auto"/>
              <w:rPr>
                <w:rFonts w:ascii="Arial"/>
                <w:sz w:val="21"/>
              </w:rPr>
            </w:pPr>
          </w:p>
          <w:p w14:paraId="4EE0D061">
            <w:pPr>
              <w:pStyle w:val="5"/>
              <w:spacing w:before="78" w:line="222" w:lineRule="auto"/>
              <w:ind w:left="538"/>
            </w:pPr>
            <w:r>
              <w:rPr>
                <w:b/>
                <w:bCs/>
                <w:spacing w:val="-6"/>
              </w:rPr>
              <w:t>应用场景</w:t>
            </w:r>
          </w:p>
        </w:tc>
        <w:tc>
          <w:tcPr>
            <w:tcW w:w="7260" w:type="dxa"/>
            <w:gridSpan w:val="3"/>
            <w:vAlign w:val="top"/>
          </w:tcPr>
          <w:p w14:paraId="35E5FE39">
            <w:pPr>
              <w:pStyle w:val="5"/>
              <w:spacing w:before="46" w:line="246" w:lineRule="auto"/>
              <w:ind w:left="21" w:firstLine="11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11"/>
              </w:rPr>
              <w:t>1、作业现状：公司原材料及成品仓库目前全部为人工操作，物料入库、</w:t>
            </w:r>
            <w:r>
              <w:rPr>
                <w:rFonts w:hint="eastAsia" w:ascii="仿宋" w:hAnsi="仿宋" w:eastAsia="仿宋" w:cs="仿宋"/>
                <w:spacing w:val="-2"/>
              </w:rPr>
              <w:t>库内转运、货架上下料、料号识别、物料分拣出库等全流程均依靠人</w:t>
            </w:r>
            <w:r>
              <w:rPr>
                <w:rFonts w:hint="eastAsia" w:ascii="仿宋" w:hAnsi="仿宋" w:eastAsia="仿宋" w:cs="仿宋"/>
                <w:spacing w:val="-7"/>
              </w:rPr>
              <w:t>工完成。</w:t>
            </w:r>
          </w:p>
          <w:p w14:paraId="4EDB5039">
            <w:pPr>
              <w:pStyle w:val="5"/>
              <w:spacing w:before="1" w:line="239" w:lineRule="auto"/>
              <w:ind w:left="24" w:right="3" w:hanging="9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4"/>
              </w:rPr>
              <w:t>2</w:t>
            </w:r>
            <w:r>
              <w:rPr>
                <w:rFonts w:hint="eastAsia" w:ascii="仿宋" w:hAnsi="仿宋" w:eastAsia="仿宋" w:cs="仿宋"/>
                <w:spacing w:val="-32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4"/>
              </w:rPr>
              <w:t>、仓库客观条件：仓库物料品类多、规格繁杂，</w:t>
            </w:r>
            <w:r>
              <w:rPr>
                <w:rFonts w:hint="eastAsia" w:ascii="仿宋" w:hAnsi="仿宋" w:eastAsia="仿宋" w:cs="仿宋"/>
                <w:spacing w:val="-5"/>
              </w:rPr>
              <w:t>每日出入库作业频次</w:t>
            </w:r>
            <w:r>
              <w:rPr>
                <w:rFonts w:hint="eastAsia" w:ascii="仿宋" w:hAnsi="仿宋" w:eastAsia="仿宋" w:cs="仿宋"/>
                <w:spacing w:val="-3"/>
              </w:rPr>
              <w:t>高，作业工作量大。</w:t>
            </w:r>
          </w:p>
          <w:p w14:paraId="268C2E02">
            <w:pPr>
              <w:pStyle w:val="5"/>
              <w:spacing w:before="17" w:line="246" w:lineRule="auto"/>
              <w:ind w:left="22" w:right="3" w:hanging="8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3"/>
              </w:rPr>
              <w:t>3、现存主要问题：人工开展找料、搬运作业耗时较长，人</w:t>
            </w:r>
            <w:r>
              <w:rPr>
                <w:rFonts w:hint="eastAsia" w:ascii="仿宋" w:hAnsi="仿宋" w:eastAsia="仿宋" w:cs="仿宋"/>
                <w:spacing w:val="-4"/>
              </w:rPr>
              <w:t>力成本投入</w:t>
            </w:r>
            <w:r>
              <w:rPr>
                <w:rFonts w:hint="eastAsia" w:ascii="仿宋" w:hAnsi="仿宋" w:eastAsia="仿宋" w:cs="仿宋"/>
                <w:spacing w:val="1"/>
              </w:rPr>
              <w:t>高；依靠人工识别料号容易出现人为差错，存在物料错发、库</w:t>
            </w:r>
            <w:r>
              <w:rPr>
                <w:rFonts w:hint="eastAsia" w:ascii="仿宋" w:hAnsi="仿宋" w:eastAsia="仿宋" w:cs="仿宋"/>
              </w:rPr>
              <w:t>存账实</w:t>
            </w:r>
            <w:r>
              <w:rPr>
                <w:rFonts w:hint="eastAsia" w:ascii="仿宋" w:hAnsi="仿宋" w:eastAsia="仿宋" w:cs="仿宋"/>
                <w:spacing w:val="-3"/>
              </w:rPr>
              <w:t>不符等质量风险。</w:t>
            </w:r>
          </w:p>
          <w:p w14:paraId="4287102C">
            <w:pPr>
              <w:pStyle w:val="5"/>
              <w:spacing w:before="56" w:line="242" w:lineRule="auto"/>
              <w:ind w:left="17" w:right="3" w:firstLine="5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3"/>
              </w:rPr>
              <w:t>4、业务发展矛盾：伴随企业业务规模不断扩大，现有传统仓</w:t>
            </w:r>
            <w:r>
              <w:rPr>
                <w:rFonts w:hint="eastAsia" w:ascii="仿宋" w:hAnsi="仿宋" w:eastAsia="仿宋" w:cs="仿宋"/>
                <w:spacing w:val="-4"/>
              </w:rPr>
              <w:t>储作业模</w:t>
            </w:r>
            <w:r>
              <w:rPr>
                <w:rFonts w:hint="eastAsia" w:ascii="仿宋" w:hAnsi="仿宋" w:eastAsia="仿宋" w:cs="仿宋"/>
                <w:spacing w:val="1"/>
              </w:rPr>
              <w:t>式已无法适配公司快速发展需要，仓储流转效率不足、库存数</w:t>
            </w:r>
            <w:r>
              <w:rPr>
                <w:rFonts w:hint="eastAsia" w:ascii="仿宋" w:hAnsi="仿宋" w:eastAsia="仿宋" w:cs="仿宋"/>
              </w:rPr>
              <w:t>据精准</w:t>
            </w:r>
            <w:r>
              <w:rPr>
                <w:rFonts w:hint="eastAsia" w:ascii="仿宋" w:hAnsi="仿宋" w:eastAsia="仿宋" w:cs="仿宋"/>
                <w:spacing w:val="-1"/>
              </w:rPr>
              <w:t>度不够，制约企业整体供应链高效运转。</w:t>
            </w:r>
          </w:p>
          <w:p w14:paraId="233A40A3">
            <w:pPr>
              <w:pStyle w:val="5"/>
              <w:spacing w:before="1" w:line="209" w:lineRule="auto"/>
              <w:ind w:left="13"/>
            </w:pPr>
            <w:r>
              <w:rPr>
                <w:rFonts w:hint="eastAsia" w:ascii="仿宋" w:hAnsi="仿宋" w:eastAsia="仿宋" w:cs="仿宋"/>
                <w:spacing w:val="-3"/>
              </w:rPr>
              <w:t>5、项目建设目的：为提高仓储数字化、自动化能力，</w:t>
            </w:r>
            <w:r>
              <w:rPr>
                <w:rFonts w:hint="eastAsia" w:ascii="仿宋" w:hAnsi="仿宋" w:eastAsia="仿宋" w:cs="仿宋"/>
                <w:spacing w:val="-4"/>
              </w:rPr>
              <w:t>计划引入智能仓</w:t>
            </w:r>
            <w:r>
              <w:rPr>
                <w:rFonts w:hint="eastAsia" w:ascii="仿宋" w:hAnsi="仿宋" w:eastAsia="仿宋" w:cs="仿宋"/>
                <w:spacing w:val="1"/>
              </w:rPr>
              <w:t>储搬运机器人系统，替代传统人工作业模式，实现降低人力成本、规</w:t>
            </w:r>
            <w:r>
              <w:rPr>
                <w:rFonts w:hint="eastAsia" w:ascii="仿宋" w:hAnsi="仿宋" w:eastAsia="仿宋" w:cs="仿宋"/>
                <w:spacing w:val="-1"/>
              </w:rPr>
              <w:t>避错料风险、全面提升仓库整体运营效率的目标。</w:t>
            </w:r>
          </w:p>
        </w:tc>
      </w:tr>
      <w:tr w14:paraId="0A3042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014" w:type="dxa"/>
            <w:shd w:val="clear" w:color="auto" w:fill="auto"/>
            <w:vAlign w:val="top"/>
          </w:tcPr>
          <w:p w14:paraId="05DD890C">
            <w:pPr>
              <w:spacing w:line="255" w:lineRule="auto"/>
              <w:rPr>
                <w:rFonts w:ascii="Arial"/>
                <w:sz w:val="21"/>
              </w:rPr>
            </w:pPr>
          </w:p>
          <w:p w14:paraId="67450772">
            <w:pPr>
              <w:spacing w:line="255" w:lineRule="auto"/>
              <w:rPr>
                <w:rFonts w:ascii="Arial"/>
                <w:sz w:val="21"/>
              </w:rPr>
            </w:pPr>
          </w:p>
          <w:p w14:paraId="26C285E4">
            <w:pPr>
              <w:spacing w:line="256" w:lineRule="auto"/>
              <w:rPr>
                <w:rFonts w:ascii="Arial"/>
                <w:sz w:val="21"/>
              </w:rPr>
            </w:pPr>
          </w:p>
          <w:p w14:paraId="4887B9CF">
            <w:pPr>
              <w:spacing w:line="256" w:lineRule="auto"/>
              <w:rPr>
                <w:rFonts w:ascii="Arial"/>
                <w:sz w:val="21"/>
              </w:rPr>
            </w:pPr>
          </w:p>
          <w:p w14:paraId="714726D8">
            <w:pPr>
              <w:pStyle w:val="5"/>
              <w:spacing w:before="78" w:line="222" w:lineRule="auto"/>
              <w:ind w:left="541" w:leftChars="0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b/>
                <w:bCs/>
                <w:spacing w:val="-7"/>
              </w:rPr>
              <w:t>具体需求</w:t>
            </w:r>
          </w:p>
        </w:tc>
        <w:tc>
          <w:tcPr>
            <w:tcW w:w="7260" w:type="dxa"/>
            <w:gridSpan w:val="3"/>
            <w:shd w:val="clear" w:color="auto" w:fill="auto"/>
            <w:vAlign w:val="top"/>
          </w:tcPr>
          <w:p w14:paraId="2BE6D4FF">
            <w:pPr>
              <w:pStyle w:val="5"/>
              <w:spacing w:before="39" w:line="248" w:lineRule="auto"/>
              <w:ind w:left="16" w:leftChars="0" w:right="3" w:rightChars="0" w:firstLine="1" w:firstLineChars="0"/>
              <w:jc w:val="both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-4"/>
              </w:rPr>
              <w:t>本次计划部署 9  台智能搬运机器人，依托机器人完成仓库内物料自动</w:t>
            </w:r>
            <w:r>
              <w:rPr>
                <w:rFonts w:hint="eastAsia" w:ascii="仿宋" w:hAnsi="仿宋" w:eastAsia="仿宋" w:cs="仿宋"/>
                <w:spacing w:val="1"/>
              </w:rPr>
              <w:t>找寻、物料转运、上下料作业，替代传统人工搬运分拣工作。系统需</w:t>
            </w:r>
            <w:r>
              <w:rPr>
                <w:rFonts w:hint="eastAsia" w:ascii="仿宋" w:hAnsi="仿宋" w:eastAsia="仿宋" w:cs="仿宋"/>
                <w:spacing w:val="-8"/>
              </w:rPr>
              <w:t>实现机器人与企业现有 MES  制造执行系统深度打通，实现物料自动搬</w:t>
            </w:r>
            <w:r>
              <w:rPr>
                <w:rFonts w:hint="eastAsia" w:ascii="仿宋" w:hAnsi="仿宋" w:eastAsia="仿宋" w:cs="仿宋"/>
                <w:spacing w:val="1"/>
              </w:rPr>
              <w:t>运、智能分拣，逐步打造黑灯仓储作业模式；系统可实现物料库位自动管理、库存数据实时同步，落实物料先进先出管控逻辑。后续具体设备性能、负载、行驶速度、调度逻辑等技术参数，待合作单位输出</w:t>
            </w:r>
            <w:r>
              <w:rPr>
                <w:rFonts w:hint="eastAsia" w:ascii="仿宋" w:hAnsi="仿宋" w:eastAsia="仿宋" w:cs="仿宋"/>
                <w:spacing w:val="-2"/>
              </w:rPr>
              <w:t>完整解决方案后进一步细化确定。</w:t>
            </w:r>
          </w:p>
        </w:tc>
      </w:tr>
      <w:tr w14:paraId="03C633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014" w:type="dxa"/>
            <w:shd w:val="clear" w:color="auto" w:fill="auto"/>
            <w:vAlign w:val="top"/>
          </w:tcPr>
          <w:p w14:paraId="12F44839">
            <w:pPr>
              <w:pStyle w:val="5"/>
              <w:spacing w:before="212" w:line="223" w:lineRule="auto"/>
              <w:jc w:val="right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b/>
                <w:bCs/>
                <w:spacing w:val="-22"/>
              </w:rPr>
              <w:t>拟投入资金（万元）</w:t>
            </w:r>
          </w:p>
        </w:tc>
        <w:tc>
          <w:tcPr>
            <w:tcW w:w="2420" w:type="dxa"/>
            <w:shd w:val="clear" w:color="auto" w:fill="auto"/>
            <w:vAlign w:val="top"/>
          </w:tcPr>
          <w:p w14:paraId="125F0804">
            <w:pPr>
              <w:pStyle w:val="5"/>
              <w:spacing w:before="78" w:line="208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仿宋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/</w:t>
            </w:r>
            <w:bookmarkStart w:id="0" w:name="_GoBack"/>
            <w:bookmarkEnd w:id="0"/>
          </w:p>
        </w:tc>
        <w:tc>
          <w:tcPr>
            <w:tcW w:w="2420" w:type="dxa"/>
            <w:shd w:val="clear" w:color="auto" w:fill="auto"/>
            <w:vAlign w:val="top"/>
          </w:tcPr>
          <w:p w14:paraId="3C9C12A9">
            <w:pPr>
              <w:pStyle w:val="5"/>
              <w:spacing w:before="212" w:line="223" w:lineRule="auto"/>
              <w:ind w:left="599" w:leftChars="0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b/>
                <w:bCs/>
                <w:spacing w:val="-5"/>
              </w:rPr>
              <w:t>拟建设周期</w:t>
            </w:r>
          </w:p>
        </w:tc>
        <w:tc>
          <w:tcPr>
            <w:tcW w:w="2420" w:type="dxa"/>
            <w:shd w:val="clear" w:color="auto" w:fill="auto"/>
            <w:vAlign w:val="top"/>
          </w:tcPr>
          <w:p w14:paraId="4EF973B5">
            <w:pPr>
              <w:pStyle w:val="5"/>
              <w:spacing w:before="212" w:line="223" w:lineRule="auto"/>
              <w:ind w:left="492" w:leftChars="0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spacing w:val="-10"/>
              </w:rPr>
              <w:t>6</w:t>
            </w:r>
            <w:r>
              <w:rPr>
                <w:rFonts w:ascii="Times New Roman" w:hAnsi="Times New Roman" w:eastAsia="Times New Roman" w:cs="Times New Roman"/>
                <w:spacing w:val="18"/>
                <w:w w:val="101"/>
              </w:rPr>
              <w:t xml:space="preserve"> </w:t>
            </w:r>
            <w:r>
              <w:rPr>
                <w:spacing w:val="-10"/>
              </w:rPr>
              <w:t>个月</w:t>
            </w:r>
          </w:p>
        </w:tc>
      </w:tr>
      <w:tr w14:paraId="57D6A4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014" w:type="dxa"/>
            <w:shd w:val="clear" w:color="auto" w:fill="auto"/>
            <w:vAlign w:val="top"/>
          </w:tcPr>
          <w:p w14:paraId="1DB8B59B">
            <w:pPr>
              <w:spacing w:line="279" w:lineRule="auto"/>
              <w:rPr>
                <w:rFonts w:ascii="Arial"/>
                <w:sz w:val="21"/>
              </w:rPr>
            </w:pPr>
          </w:p>
          <w:p w14:paraId="2BF244B8">
            <w:pPr>
              <w:spacing w:line="279" w:lineRule="auto"/>
              <w:rPr>
                <w:rFonts w:ascii="Arial"/>
                <w:sz w:val="21"/>
              </w:rPr>
            </w:pPr>
          </w:p>
          <w:p w14:paraId="320D93BD">
            <w:pPr>
              <w:spacing w:line="279" w:lineRule="auto"/>
              <w:rPr>
                <w:rFonts w:ascii="Arial"/>
                <w:sz w:val="21"/>
              </w:rPr>
            </w:pPr>
          </w:p>
          <w:p w14:paraId="1341052F">
            <w:pPr>
              <w:spacing w:line="279" w:lineRule="auto"/>
              <w:rPr>
                <w:rFonts w:ascii="Arial"/>
                <w:sz w:val="21"/>
              </w:rPr>
            </w:pPr>
          </w:p>
          <w:p w14:paraId="188059A2">
            <w:pPr>
              <w:pStyle w:val="5"/>
              <w:spacing w:before="78" w:line="224" w:lineRule="auto"/>
              <w:ind w:left="538" w:leftChars="0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b/>
                <w:bCs/>
                <w:spacing w:val="-6"/>
              </w:rPr>
              <w:t>应用现状</w:t>
            </w:r>
          </w:p>
        </w:tc>
        <w:tc>
          <w:tcPr>
            <w:tcW w:w="7260" w:type="dxa"/>
            <w:gridSpan w:val="3"/>
            <w:shd w:val="clear" w:color="auto" w:fill="auto"/>
            <w:vAlign w:val="top"/>
          </w:tcPr>
          <w:p w14:paraId="00974107">
            <w:pPr>
              <w:pStyle w:val="5"/>
              <w:spacing w:before="53" w:line="246" w:lineRule="auto"/>
              <w:ind w:left="16" w:leftChars="0" w:firstLine="25" w:firstLineChars="0"/>
              <w:jc w:val="both"/>
              <w:rPr>
                <w:rFonts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-2"/>
              </w:rPr>
              <w:t>当前国内优质制造企业已普遍落地智能仓储</w:t>
            </w:r>
            <w:r>
              <w:rPr>
                <w:rFonts w:hint="eastAsia" w:ascii="仿宋" w:hAnsi="仿宋" w:eastAsia="仿宋" w:cs="仿宋"/>
                <w:spacing w:val="-3"/>
              </w:rPr>
              <w:t>机器人应用，通过自动化</w:t>
            </w:r>
            <w:r>
              <w:rPr>
                <w:rFonts w:hint="eastAsia" w:ascii="仿宋" w:hAnsi="仿宋" w:eastAsia="仿宋" w:cs="仿宋"/>
                <w:spacing w:val="-2"/>
              </w:rPr>
              <w:t>设备与信息化系统融合，实现仓储环节降本增效。智能仓储系统核心</w:t>
            </w:r>
            <w:r>
              <w:rPr>
                <w:rFonts w:hint="eastAsia" w:ascii="仿宋" w:hAnsi="仿宋" w:eastAsia="仿宋" w:cs="仿宋"/>
                <w:spacing w:val="-10"/>
              </w:rPr>
              <w:t>是实现机器人调度系统与 MES  制造执行系统深度对接联动，完成物料</w:t>
            </w:r>
            <w:r>
              <w:rPr>
                <w:rFonts w:hint="eastAsia" w:ascii="仿宋" w:hAnsi="仿宋" w:eastAsia="仿宋" w:cs="仿宋"/>
                <w:spacing w:val="-2"/>
              </w:rPr>
              <w:t>库位管理、出入库流程管控、库存数量实时更新，严格执行物料先进</w:t>
            </w:r>
            <w:r>
              <w:rPr>
                <w:rFonts w:hint="eastAsia" w:ascii="仿宋" w:hAnsi="仿宋" w:eastAsia="仿宋" w:cs="仿宋"/>
                <w:spacing w:val="-7"/>
              </w:rPr>
              <w:t>先出管理要求，从技术层面规避人工错发物料、库存账实不符等问题。公司现有生产制造环节已具备数字化基础，MES 系统运行成熟，具备</w:t>
            </w:r>
            <w:r>
              <w:rPr>
                <w:rFonts w:hint="eastAsia" w:ascii="仿宋" w:hAnsi="仿宋" w:eastAsia="仿宋" w:cs="仿宋"/>
                <w:spacing w:val="-2"/>
              </w:rPr>
              <w:t>与智能仓储机器人系统对接改造的实施条件，可保障项目落地后业务</w:t>
            </w:r>
            <w:r>
              <w:rPr>
                <w:rFonts w:hint="eastAsia" w:ascii="仿宋" w:hAnsi="仿宋" w:eastAsia="仿宋" w:cs="仿宋"/>
                <w:spacing w:val="-5"/>
              </w:rPr>
              <w:t>流程顺畅运行</w:t>
            </w:r>
            <w:r>
              <w:rPr>
                <w:spacing w:val="-5"/>
              </w:rPr>
              <w:t>。</w:t>
            </w:r>
          </w:p>
        </w:tc>
      </w:tr>
    </w:tbl>
    <w:p w14:paraId="631CF2F2">
      <w:pPr>
        <w:rPr>
          <w:rFonts w:ascii="Arial"/>
          <w:sz w:val="21"/>
        </w:rPr>
      </w:pPr>
    </w:p>
    <w:p w14:paraId="0E951C88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9"/>
          <w:pgMar w:top="1412" w:right="1313" w:bottom="1156" w:left="1313" w:header="0" w:footer="994" w:gutter="0"/>
          <w:cols w:space="720" w:num="1"/>
        </w:sectPr>
      </w:pPr>
    </w:p>
    <w:p w14:paraId="59C91894">
      <w:pPr>
        <w:spacing w:line="91" w:lineRule="auto"/>
        <w:rPr>
          <w:rFonts w:ascii="Arial"/>
          <w:sz w:val="2"/>
        </w:rPr>
      </w:pPr>
    </w:p>
    <w:tbl>
      <w:tblPr>
        <w:tblStyle w:val="4"/>
        <w:tblW w:w="927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14"/>
        <w:gridCol w:w="7260"/>
      </w:tblGrid>
      <w:tr w14:paraId="5416D9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4" w:hRule="atLeast"/>
        </w:trPr>
        <w:tc>
          <w:tcPr>
            <w:tcW w:w="2014" w:type="dxa"/>
            <w:vAlign w:val="top"/>
          </w:tcPr>
          <w:p w14:paraId="10A10EED">
            <w:pPr>
              <w:spacing w:line="268" w:lineRule="auto"/>
              <w:rPr>
                <w:rFonts w:ascii="Arial"/>
                <w:sz w:val="21"/>
              </w:rPr>
            </w:pPr>
          </w:p>
          <w:p w14:paraId="7D9B72BA">
            <w:pPr>
              <w:spacing w:line="268" w:lineRule="auto"/>
              <w:rPr>
                <w:rFonts w:ascii="Arial"/>
                <w:sz w:val="21"/>
              </w:rPr>
            </w:pPr>
          </w:p>
          <w:p w14:paraId="1A887420">
            <w:pPr>
              <w:spacing w:line="269" w:lineRule="auto"/>
              <w:rPr>
                <w:rFonts w:ascii="Arial"/>
                <w:sz w:val="21"/>
              </w:rPr>
            </w:pPr>
          </w:p>
          <w:p w14:paraId="495D2480">
            <w:pPr>
              <w:pStyle w:val="5"/>
              <w:spacing w:before="78" w:line="219" w:lineRule="auto"/>
              <w:ind w:left="541"/>
            </w:pPr>
            <w:r>
              <w:rPr>
                <w:b/>
                <w:bCs/>
                <w:spacing w:val="-7"/>
              </w:rPr>
              <w:t>潜在规模</w:t>
            </w:r>
          </w:p>
        </w:tc>
        <w:tc>
          <w:tcPr>
            <w:tcW w:w="7260" w:type="dxa"/>
            <w:vAlign w:val="top"/>
          </w:tcPr>
          <w:p w14:paraId="714052C4">
            <w:pPr>
              <w:pStyle w:val="5"/>
              <w:spacing w:before="41" w:line="248" w:lineRule="auto"/>
              <w:ind w:left="17" w:firstLine="4"/>
              <w:jc w:val="both"/>
            </w:pPr>
            <w:r>
              <w:rPr>
                <w:rFonts w:hint="eastAsia" w:ascii="仿宋" w:hAnsi="仿宋" w:eastAsia="仿宋" w:cs="仿宋"/>
                <w:spacing w:val="-12"/>
              </w:rPr>
              <w:t>公司业务国内市场占比约 85%</w:t>
            </w:r>
            <w:r>
              <w:rPr>
                <w:rFonts w:hint="eastAsia" w:ascii="仿宋" w:hAnsi="仿宋" w:eastAsia="仿宋" w:cs="仿宋"/>
                <w:spacing w:val="-31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2"/>
              </w:rPr>
              <w:t>，海外市场占比约</w:t>
            </w:r>
            <w:r>
              <w:rPr>
                <w:rFonts w:hint="eastAsia" w:ascii="仿宋" w:hAnsi="仿宋" w:eastAsia="仿宋" w:cs="仿宋"/>
                <w:spacing w:val="32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2"/>
              </w:rPr>
              <w:t>15%</w:t>
            </w:r>
            <w:r>
              <w:rPr>
                <w:rFonts w:hint="eastAsia" w:ascii="仿宋" w:hAnsi="仿宋" w:eastAsia="仿宋" w:cs="仿宋"/>
                <w:spacing w:val="-32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2"/>
              </w:rPr>
              <w:t>，受益于快充电</w:t>
            </w:r>
            <w:r>
              <w:rPr>
                <w:rFonts w:hint="eastAsia" w:ascii="仿宋" w:hAnsi="仿宋" w:eastAsia="仿宋" w:cs="仿宋"/>
                <w:spacing w:val="-2"/>
              </w:rPr>
              <w:t>源、通讯电源、数字电源等市场需求释放，企业销售额可保持高速增</w:t>
            </w:r>
            <w:r>
              <w:rPr>
                <w:rFonts w:hint="eastAsia" w:ascii="仿宋" w:hAnsi="仿宋" w:eastAsia="仿宋" w:cs="仿宋"/>
                <w:spacing w:val="-7"/>
              </w:rPr>
              <w:t>长。随着业务持续扩张，原材料、成品物料出入库体量将进一步增加。</w:t>
            </w:r>
            <w:r>
              <w:rPr>
                <w:rFonts w:hint="eastAsia" w:ascii="仿宋" w:hAnsi="仿宋" w:eastAsia="仿宋" w:cs="仿宋"/>
                <w:spacing w:val="-2"/>
              </w:rPr>
              <w:t>本项目落地形成的智能仓储应用模式，可复制推广至湖南、越南等其他生产基地，为多基地仓储智能化改造提供实践范本，助力企业整体</w:t>
            </w:r>
            <w:r>
              <w:rPr>
                <w:rFonts w:hint="eastAsia" w:ascii="仿宋" w:hAnsi="仿宋" w:eastAsia="仿宋" w:cs="仿宋"/>
                <w:spacing w:val="-4"/>
              </w:rPr>
              <w:t>供应链能力提升，支撑企业业务规模进一步扩大。</w:t>
            </w:r>
          </w:p>
        </w:tc>
      </w:tr>
      <w:tr w14:paraId="0E083B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4" w:hRule="atLeast"/>
        </w:trPr>
        <w:tc>
          <w:tcPr>
            <w:tcW w:w="2014" w:type="dxa"/>
            <w:vAlign w:val="top"/>
          </w:tcPr>
          <w:p w14:paraId="73F8475D">
            <w:pPr>
              <w:spacing w:line="270" w:lineRule="auto"/>
              <w:rPr>
                <w:rFonts w:ascii="Arial"/>
                <w:sz w:val="21"/>
              </w:rPr>
            </w:pPr>
          </w:p>
          <w:p w14:paraId="3D1DCD17">
            <w:pPr>
              <w:spacing w:line="271" w:lineRule="auto"/>
              <w:rPr>
                <w:rFonts w:ascii="Arial"/>
                <w:sz w:val="21"/>
              </w:rPr>
            </w:pPr>
          </w:p>
          <w:p w14:paraId="138B712E">
            <w:pPr>
              <w:spacing w:line="271" w:lineRule="auto"/>
              <w:rPr>
                <w:rFonts w:ascii="Arial"/>
                <w:sz w:val="21"/>
              </w:rPr>
            </w:pPr>
          </w:p>
          <w:p w14:paraId="15AAE272">
            <w:pPr>
              <w:pStyle w:val="5"/>
              <w:spacing w:before="78" w:line="224" w:lineRule="auto"/>
              <w:ind w:left="538"/>
            </w:pPr>
            <w:r>
              <w:rPr>
                <w:b/>
                <w:bCs/>
                <w:spacing w:val="-6"/>
              </w:rPr>
              <w:t>建设基础</w:t>
            </w:r>
          </w:p>
        </w:tc>
        <w:tc>
          <w:tcPr>
            <w:tcW w:w="7260" w:type="dxa"/>
            <w:vAlign w:val="top"/>
          </w:tcPr>
          <w:p w14:paraId="64F5F5A4">
            <w:pPr>
              <w:pStyle w:val="5"/>
              <w:spacing w:before="54" w:line="246" w:lineRule="auto"/>
              <w:ind w:left="14" w:firstLine="7"/>
              <w:jc w:val="both"/>
            </w:pPr>
            <w:r>
              <w:rPr>
                <w:rFonts w:hint="eastAsia" w:ascii="仿宋" w:hAnsi="仿宋" w:eastAsia="仿宋" w:cs="仿宋"/>
              </w:rPr>
              <w:t>公司现有仓库场地可直接开展智能仓储系统升级改造，仓库原有大部分货架可保留复用，仅需局部新增及改造部分货架硬件设施；企业现有 MES  制造执行系统可提供数据接口支撑，具备软件对接基础。项</w:t>
            </w:r>
            <w:r>
              <w:rPr>
                <w:rFonts w:hint="eastAsia" w:ascii="仿宋" w:hAnsi="仿宋" w:eastAsia="仿宋" w:cs="仿宋"/>
                <w:spacing w:val="-4"/>
              </w:rPr>
              <w:t>目主要新增内容为 9</w:t>
            </w:r>
            <w:r>
              <w:rPr>
                <w:rFonts w:hint="eastAsia" w:ascii="仿宋" w:hAnsi="仿宋" w:eastAsia="仿宋" w:cs="仿宋"/>
                <w:spacing w:val="21"/>
                <w:w w:val="101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4"/>
              </w:rPr>
              <w:t>台智能搬运机器人设备、机器人调度控制系统、</w:t>
            </w:r>
            <w:r>
              <w:rPr>
                <w:rFonts w:hint="eastAsia" w:ascii="仿宋" w:hAnsi="仿宋" w:eastAsia="仿宋" w:cs="仿宋"/>
              </w:rPr>
              <w:t>配套传感硬件、接口开发软件等，无需大规模土建施工，场地、信息</w:t>
            </w:r>
            <w:r>
              <w:rPr>
                <w:rFonts w:hint="eastAsia" w:ascii="仿宋" w:hAnsi="仿宋" w:eastAsia="仿宋" w:cs="仿宋"/>
                <w:spacing w:val="-2"/>
              </w:rPr>
              <w:t>化基础条件良好，项目落地可行性高。</w:t>
            </w:r>
          </w:p>
        </w:tc>
      </w:tr>
      <w:tr w14:paraId="531C29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9" w:hRule="atLeast"/>
        </w:trPr>
        <w:tc>
          <w:tcPr>
            <w:tcW w:w="2014" w:type="dxa"/>
            <w:vAlign w:val="top"/>
          </w:tcPr>
          <w:p w14:paraId="5F1101CB">
            <w:pPr>
              <w:spacing w:line="310" w:lineRule="auto"/>
              <w:rPr>
                <w:rFonts w:ascii="Arial"/>
                <w:sz w:val="21"/>
              </w:rPr>
            </w:pPr>
          </w:p>
          <w:p w14:paraId="61104CA1">
            <w:pPr>
              <w:spacing w:line="310" w:lineRule="auto"/>
              <w:rPr>
                <w:rFonts w:ascii="Arial"/>
                <w:sz w:val="21"/>
              </w:rPr>
            </w:pPr>
          </w:p>
          <w:p w14:paraId="2C72DC8D">
            <w:pPr>
              <w:spacing w:line="311" w:lineRule="auto"/>
              <w:rPr>
                <w:rFonts w:ascii="Arial"/>
                <w:sz w:val="21"/>
              </w:rPr>
            </w:pPr>
          </w:p>
          <w:p w14:paraId="7F7156FA">
            <w:pPr>
              <w:pStyle w:val="5"/>
              <w:spacing w:before="78" w:line="222" w:lineRule="auto"/>
              <w:ind w:left="543"/>
            </w:pPr>
            <w:r>
              <w:rPr>
                <w:b/>
                <w:bCs/>
                <w:spacing w:val="-8"/>
              </w:rPr>
              <w:t>实施成效</w:t>
            </w:r>
          </w:p>
        </w:tc>
        <w:tc>
          <w:tcPr>
            <w:tcW w:w="7260" w:type="dxa"/>
            <w:vAlign w:val="top"/>
          </w:tcPr>
          <w:p w14:paraId="3319FE25">
            <w:pPr>
              <w:pStyle w:val="5"/>
              <w:spacing w:before="55"/>
              <w:ind w:left="16" w:right="53" w:firstLine="1"/>
              <w:jc w:val="both"/>
            </w:pPr>
            <w:r>
              <w:rPr>
                <w:spacing w:val="-1"/>
              </w:rPr>
              <w:t>项目建成投运后，将实现仓储环节自动化作业，有效减少仓库现场作业人员，降低人力成本；实现物料自动识别、转运，显著缩短找料搬运时长，提升仓储出入库流转效率；通过系统管控落实先进先出，大幅降低错发物料、库存账实不符风险，提升库存管理精细化水平。仓储数字化能力提升后，能够更好匹配大型客户严苛供应链审核标准，助力拓展更多优质头部客户，增强企业市场综合竞争力，为企业数字</w:t>
            </w:r>
            <w:r>
              <w:rPr>
                <w:spacing w:val="-2"/>
              </w:rPr>
              <w:t>化工厂建设打下坚实基础。</w:t>
            </w:r>
          </w:p>
        </w:tc>
      </w:tr>
    </w:tbl>
    <w:p w14:paraId="6E04281A">
      <w:pPr>
        <w:rPr>
          <w:rFonts w:ascii="Arial"/>
          <w:sz w:val="21"/>
        </w:rPr>
      </w:pPr>
    </w:p>
    <w:sectPr>
      <w:footerReference r:id="rId6" w:type="default"/>
      <w:pgSz w:w="11906" w:h="16839"/>
      <w:pgMar w:top="1431" w:right="1243" w:bottom="1157" w:left="1243" w:header="0" w:footer="99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DejaVu Sans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4072F">
    <w:pPr>
      <w:spacing w:line="176" w:lineRule="auto"/>
      <w:ind w:left="461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2FA96">
    <w:pPr>
      <w:spacing w:line="169" w:lineRule="auto"/>
      <w:ind w:left="4673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64908E1"/>
    <w:rsid w:val="2BFF01C7"/>
    <w:rsid w:val="F9EB9C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3576d568-2e0f-432d-b171-025b81fcc091</errorID>
      <errorWord xmlns="http://schemas.wps.cn/vas-ai-hub/contract-review">揭榜挂帅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“揭榜挂帅”</item>
      </candidateList>
      <explain xmlns="http://schemas.wps.cn/vas-ai-hub/contract-review">注意检查当前固定表述标点是否使用规范。</explain>
      <paraID xmlns="http://schemas.wps.cn/vas-ai-hub/contract-review">51A8162D</paraID>
      <start xmlns="http://schemas.wps.cn/vas-ai-hub/contract-review">14</start>
      <end xmlns="http://schemas.wps.cn/vas-ai-hub/contract-review">18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db23119d-5f8e-432f-8a1e-e4e415f00946</errorID>
      <errorWord xmlns="http://schemas.wps.cn/vas-ai-hub/contract-review">上海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L2_Unpolitical</ability>
      <abilityName xmlns="http://schemas.wps.cn/vas-ai-hub/contract-review">政治敏感错误</abilityName>
      <candidateList xmlns="http://schemas.wps.cn/vas-ai-hub/contract-review"/>
      <explain xmlns="http://schemas.wps.cn/vas-ai-hub/contract-review">省级行政单位不能与国家并列。</explain>
      <paraID xmlns="http://schemas.wps.cn/vas-ai-hub/contract-review">26845375</paraID>
      <start xmlns="http://schemas.wps.cn/vas-ai-hub/contract-review">132</start>
      <end xmlns="http://schemas.wps.cn/vas-ai-hub/contract-review">134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74c23496-4c10-4279-ab78-856a123a9f20</errorID>
      <errorWord xmlns="http://schemas.wps.cn/vas-ai-hub/contract-review">湖南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L2_Unpolitical</ability>
      <abilityName xmlns="http://schemas.wps.cn/vas-ai-hub/contract-review">政治敏感错误</abilityName>
      <candidateList xmlns="http://schemas.wps.cn/vas-ai-hub/contract-review"/>
      <explain xmlns="http://schemas.wps.cn/vas-ai-hub/contract-review">省级行政单位不能与国家并列。</explain>
      <paraID xmlns="http://schemas.wps.cn/vas-ai-hub/contract-review">26845375</paraID>
      <start xmlns="http://schemas.wps.cn/vas-ai-hub/contract-review">135</start>
      <end xmlns="http://schemas.wps.cn/vas-ai-hub/contract-review">137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25c36960-49b8-4343-ad58-423928a0c03b</errorID>
      <errorWord xmlns="http://schemas.wps.cn/vas-ai-hub/contract-review">强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强的</item>
      </candidateList>
      <explain xmlns="http://schemas.wps.cn/vas-ai-hub/contract-review"/>
      <paraID xmlns="http://schemas.wps.cn/vas-ai-hub/contract-review">55CEDD70</paraID>
      <start xmlns="http://schemas.wps.cn/vas-ai-hub/contract-review">5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5b636a91-9759-48ed-9360-d6e3efe0f551</errorID>
      <errorWord xmlns="http://schemas.wps.cn/vas-ai-hub/contract-review">位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为</item>
      </candidateList>
      <explain xmlns="http://schemas.wps.cn/vas-ai-hub/contract-review"/>
      <paraID xmlns="http://schemas.wps.cn/vas-ai-hub/contract-review">55CEDD70</paraID>
      <start xmlns="http://schemas.wps.cn/vas-ai-hub/contract-review">23</start>
      <end xmlns="http://schemas.wps.cn/vas-ai-hub/contract-review">24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a036f129-72d6-4430-b65c-f5a5ed4baf61</errorID>
      <errorWord xmlns="http://schemas.wps.cn/vas-ai-hub/contract-review">1、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35E5FE39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7b25d4c9-8c16-47ad-b655-db40b5a16248</errorID>
      <errorWord xmlns="http://schemas.wps.cn/vas-ai-hub/contract-review">3、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268C2E02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f820cd5d-d03f-4edf-9f77-d4b29b3c4b4e</errorID>
      <errorWord xmlns="http://schemas.wps.cn/vas-ai-hub/contract-review">4、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4.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3F96C44E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4a05e652-1b66-4229-8846-dd34ab3713b9</errorID>
      <errorWord xmlns="http://schemas.wps.cn/vas-ai-hub/contract-review">5、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5.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576274B1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637b719c-d0b0-4128-ad97-ce9bf4f1b155</errorID>
      <errorWord xmlns="http://schemas.wps.cn/vas-ai-hub/contract-review">湖南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L2_Unpolitical</ability>
      <abilityName xmlns="http://schemas.wps.cn/vas-ai-hub/contract-review">政治敏感错误</abilityName>
      <candidateList xmlns="http://schemas.wps.cn/vas-ai-hub/contract-review"/>
      <explain xmlns="http://schemas.wps.cn/vas-ai-hub/contract-review">省级行政单位不能与国家并列。</explain>
      <paraID xmlns="http://schemas.wps.cn/vas-ai-hub/contract-review">714052C4</paraID>
      <start xmlns="http://schemas.wps.cn/vas-ai-hub/contract-review">120</start>
      <end xmlns="http://schemas.wps.cn/vas-ai-hub/contract-review">122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ed2e497c-6713-4f35-9295-c9c04cf85838</errorID>
      <errorWord xmlns="http://schemas.wps.cn/vas-ai-hub/contract-review">好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好地</item>
      </candidateList>
      <explain xmlns="http://schemas.wps.cn/vas-ai-hub/contract-review"/>
      <paraID xmlns="http://schemas.wps.cn/vas-ai-hub/contract-review">3319FE25</paraID>
      <start xmlns="http://schemas.wps.cn/vas-ai-hub/contract-review">133</start>
      <end xmlns="http://schemas.wps.cn/vas-ai-hub/contract-review">134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40e8a0da-1170-4627-97b6-99be29f1c1f3</errorID>
      <errorWord xmlns="http://schemas.wps.cn/vas-ai-hub/contract-review">揭榜挂帅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“揭榜挂帅”</item>
      </candidateList>
      <explain xmlns="http://schemas.wps.cn/vas-ai-hub/contract-review">注意检查当前固定表述标点是否使用规范。</explain>
      <paraID xmlns="http://schemas.wps.cn/vas-ai-hub/contract-review"> B7002EC</paraID>
      <start xmlns="http://schemas.wps.cn/vas-ai-hub/contract-review">14</start>
      <end xmlns="http://schemas.wps.cn/vas-ai-hub/contract-review">18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e240e98f-e5c2-4396-b081-864764690198</errorID>
      <errorWord xmlns="http://schemas.wps.cn/vas-ai-hub/contract-review">上海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L2_Unpolitical</ability>
      <abilityName xmlns="http://schemas.wps.cn/vas-ai-hub/contract-review">政治敏感错误</abilityName>
      <candidateList xmlns="http://schemas.wps.cn/vas-ai-hub/contract-review"/>
      <explain xmlns="http://schemas.wps.cn/vas-ai-hub/contract-review">省级行政单位不能与国家并列。</explain>
      <paraID xmlns="http://schemas.wps.cn/vas-ai-hub/contract-review">667BFD02</paraID>
      <start xmlns="http://schemas.wps.cn/vas-ai-hub/contract-review">132</start>
      <end xmlns="http://schemas.wps.cn/vas-ai-hub/contract-review">134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00ef29d6-86d5-4e14-805b-fb10640d372a</errorID>
      <errorWord xmlns="http://schemas.wps.cn/vas-ai-hub/contract-review">湖南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L2_Unpolitical</ability>
      <abilityName xmlns="http://schemas.wps.cn/vas-ai-hub/contract-review">政治敏感错误</abilityName>
      <candidateList xmlns="http://schemas.wps.cn/vas-ai-hub/contract-review"/>
      <explain xmlns="http://schemas.wps.cn/vas-ai-hub/contract-review">省级行政单位不能与国家并列。</explain>
      <paraID xmlns="http://schemas.wps.cn/vas-ai-hub/contract-review">667BFD02</paraID>
      <start xmlns="http://schemas.wps.cn/vas-ai-hub/contract-review">135</start>
      <end xmlns="http://schemas.wps.cn/vas-ai-hub/contract-review">137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c6b4aac7-474a-414f-8123-1a2f22945acd</errorID>
      <errorWord xmlns="http://schemas.wps.cn/vas-ai-hub/contract-review">强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强的</item>
      </candidateList>
      <explain xmlns="http://schemas.wps.cn/vas-ai-hub/contract-review"/>
      <paraID xmlns="http://schemas.wps.cn/vas-ai-hub/contract-review">5E0FB2F3</paraID>
      <start xmlns="http://schemas.wps.cn/vas-ai-hub/contract-review">5</start>
      <end xmlns="http://schemas.wps.cn/vas-ai-hub/contract-review">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782e4dff-ed30-4929-a8ad-26a7be5e7e99</errorID>
      <errorWord xmlns="http://schemas.wps.cn/vas-ai-hub/contract-review">位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为</item>
      </candidateList>
      <explain xmlns="http://schemas.wps.cn/vas-ai-hub/contract-review"/>
      <paraID xmlns="http://schemas.wps.cn/vas-ai-hub/contract-review">5E0FB2F3</paraID>
      <start xmlns="http://schemas.wps.cn/vas-ai-hub/contract-review">23</start>
      <end xmlns="http://schemas.wps.cn/vas-ai-hub/contract-review">24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68aa536e-1267-4d86-8886-d90300777c28</errorID>
      <errorWord xmlns="http://schemas.wps.cn/vas-ai-hub/contract-review">2、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3331D596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6230e9c4-95d5-4e12-abca-e8ab396ba1bf</errorID>
      <errorWord xmlns="http://schemas.wps.cn/vas-ai-hub/contract-review">3、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75EE5558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4848f219-70a7-4a05-84e1-58b72f23a428</errorID>
      <errorWord xmlns="http://schemas.wps.cn/vas-ai-hub/contract-review">4、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4.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1673F4F0</paraID>
      <start xmlns="http://schemas.wps.cn/vas-ai-hub/contract-review">0</start>
      <end xmlns="http://schemas.wps.cn/vas-ai-hub/contract-review">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164d20fb-3a1d-44f5-98e1-7e82056506b0</errorID>
      <errorWord xmlns="http://schemas.wps.cn/vas-ai-hub/contract-review">份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L2_Knowledge</ability>
      <abilityName xmlns="http://schemas.wps.cn/vas-ai-hub/contract-review">其他知识</abilityName>
      <candidateList xmlns="http://schemas.wps.cn/vas-ai-hub/contract-review">
        <item xmlns="http://schemas.wps.cn/vas-ai-hub/contract-review">分</item>
      </candidateList>
      <explain xmlns="http://schemas.wps.cn/vas-ai-hub/contract-review">请检查“份”是否为量词使用错误，建议修改为“分”。</explain>
      <paraID xmlns="http://schemas.wps.cn/vas-ai-hub/contract-review">7C3E19F7</paraID>
      <start xmlns="http://schemas.wps.cn/vas-ai-hub/contract-review">72</start>
      <end xmlns="http://schemas.wps.cn/vas-ai-hub/contract-review">73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297a24ec-e674-4d6c-ba7d-53314ad6ba7e</errorID>
      <errorWord xmlns="http://schemas.wps.cn/vas-ai-hub/contract-review">类产品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产品</item>
      </candidateList>
      <explain xmlns="http://schemas.wps.cn/vas-ai-hub/contract-review"/>
      <paraID xmlns="http://schemas.wps.cn/vas-ai-hub/contract-review">15FD6237</paraID>
      <start xmlns="http://schemas.wps.cn/vas-ai-hub/contract-review">54</start>
      <end xmlns="http://schemas.wps.cn/vas-ai-hub/contract-review">57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1f796f71-09a4-4373-a839-e437bd234153</errorID>
      <errorWord xmlns="http://schemas.wps.cn/vas-ai-hub/contract-review">湖南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L2_Unpolitical</ability>
      <abilityName xmlns="http://schemas.wps.cn/vas-ai-hub/contract-review">政治敏感错误</abilityName>
      <candidateList xmlns="http://schemas.wps.cn/vas-ai-hub/contract-review"/>
      <explain xmlns="http://schemas.wps.cn/vas-ai-hub/contract-review">省级行政单位不能与国家并列。</explain>
      <paraID xmlns="http://schemas.wps.cn/vas-ai-hub/contract-review">15FD6237</paraID>
      <start xmlns="http://schemas.wps.cn/vas-ai-hub/contract-review">97</start>
      <end xmlns="http://schemas.wps.cn/vas-ai-hub/contract-review">99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78f52653-1c0e-42f5-84f3-e5b415fdcd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745</Words>
  <Characters>800</Characters>
  <TotalTime>2</TotalTime>
  <ScaleCrop>false</ScaleCrop>
  <LinksUpToDate>false</LinksUpToDate>
  <CharactersWithSpaces>849</CharactersWithSpaces>
  <Application>WPS Office_12.1.2.22550_F1E327BC-269C-435d-A152-05C5408002CA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2026-09-17T04:50:00Z</dcterms:created>
  <dc:creator>huawei</dc:creator>
  <cp:lastModifiedBy>黎兆基rjs</cp:lastModifiedBy>
  <dcterms:modified xsi:type="dcterms:W3CDTF">2026-10-27T16:21:17Z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2026-10-27T14:17:22Z</vt:filetime>
  </property>
  <property fmtid="{D5CDD505-2E9C-101B-9397-08002B2CF9AE}" pid="4" name="KSOTemplateDocerSaveRecord">
    <vt:lpwstr>eyJoZGlkIjoiNzg3OTczNzI0ZWJiZjRjNDQ5ZjMxYzE5NzFmNzE4MjMiLCJ1c2VySWQiOiIxMzA2Mzc0OTg5In0=</vt:lpwstr>
  </property>
  <property fmtid="{D5CDD505-2E9C-101B-9397-08002B2CF9AE}" pid="5" name="KSOProductBuildVer">
    <vt:lpwstr>2052-12.1.2.22550</vt:lpwstr>
  </property>
  <property fmtid="{D5CDD505-2E9C-101B-9397-08002B2CF9AE}" pid="6" name="ICV">
    <vt:lpwstr>0B3F95B54DD642C98FB55AA12395A090_12</vt:lpwstr>
  </property>
</Properties>
</file>