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02EC">
      <w:pPr>
        <w:spacing w:before="82" w:line="173" w:lineRule="auto"/>
        <w:ind w:left="988"/>
        <w:outlineLvl w:val="0"/>
        <w:rPr>
          <w:rFonts w:ascii="Arial Unicode MS" w:hAnsi="Arial Unicode MS" w:eastAsia="Arial Unicode MS" w:cs="Arial Unicode MS"/>
          <w:sz w:val="43"/>
          <w:szCs w:val="43"/>
        </w:rPr>
      </w:pPr>
      <w:r>
        <w:rPr>
          <w:rFonts w:ascii="Arial Unicode MS" w:hAnsi="Arial Unicode MS" w:eastAsia="Arial Unicode MS" w:cs="Arial Unicode MS"/>
          <w:spacing w:val="8"/>
          <w:sz w:val="43"/>
          <w:szCs w:val="43"/>
        </w:rPr>
        <w:t>深圳市龙岗区机器人应用场景揭榜挂帅</w:t>
      </w:r>
    </w:p>
    <w:p w14:paraId="1E2C3F94">
      <w:pPr>
        <w:spacing w:line="185" w:lineRule="auto"/>
        <w:ind w:left="3186"/>
        <w:outlineLvl w:val="0"/>
        <w:rPr>
          <w:rFonts w:ascii="Arial Unicode MS" w:hAnsi="Arial Unicode MS" w:eastAsia="Arial Unicode MS" w:cs="Arial Unicode MS"/>
          <w:sz w:val="43"/>
          <w:szCs w:val="43"/>
        </w:rPr>
      </w:pPr>
      <w:r>
        <w:rPr>
          <w:rFonts w:ascii="Arial Unicode MS" w:hAnsi="Arial Unicode MS" w:eastAsia="Arial Unicode MS" w:cs="Arial Unicode MS"/>
          <w:spacing w:val="7"/>
          <w:sz w:val="43"/>
          <w:szCs w:val="43"/>
        </w:rPr>
        <w:t>项目榜单征集表</w:t>
      </w:r>
    </w:p>
    <w:p w14:paraId="3118B89C">
      <w:pPr>
        <w:spacing w:before="113" w:line="221" w:lineRule="auto"/>
        <w:ind w:left="57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4"/>
          <w:sz w:val="24"/>
          <w:szCs w:val="24"/>
        </w:rPr>
        <w:t>场景需求方（盖章</w:t>
      </w:r>
      <w:r>
        <w:rPr>
          <w:rFonts w:ascii="仿宋" w:hAnsi="仿宋" w:eastAsia="仿宋" w:cs="仿宋"/>
          <w:b/>
          <w:bCs/>
          <w:spacing w:val="-49"/>
          <w:sz w:val="24"/>
          <w:szCs w:val="24"/>
        </w:rPr>
        <w:t>）：</w:t>
      </w:r>
      <w:r>
        <w:rPr>
          <w:rFonts w:ascii="仿宋" w:hAnsi="仿宋" w:eastAsia="仿宋" w:cs="仿宋"/>
          <w:b/>
          <w:bCs/>
          <w:spacing w:val="-4"/>
          <w:sz w:val="24"/>
          <w:szCs w:val="24"/>
        </w:rPr>
        <w:t>深圳市雅晶源科技有限公司</w:t>
      </w:r>
    </w:p>
    <w:p w14:paraId="1DDB4099">
      <w:pPr>
        <w:spacing w:line="137" w:lineRule="exact"/>
      </w:pPr>
    </w:p>
    <w:tbl>
      <w:tblPr>
        <w:tblStyle w:val="4"/>
        <w:tblW w:w="94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4"/>
        <w:gridCol w:w="2742"/>
        <w:gridCol w:w="2376"/>
        <w:gridCol w:w="2382"/>
      </w:tblGrid>
      <w:tr w14:paraId="4539D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414" w:type="dxa"/>
            <w:gridSpan w:val="4"/>
            <w:vAlign w:val="top"/>
          </w:tcPr>
          <w:p w14:paraId="7388B17E">
            <w:pPr>
              <w:pStyle w:val="5"/>
              <w:spacing w:before="146" w:line="222" w:lineRule="auto"/>
              <w:ind w:left="24"/>
            </w:pPr>
            <w:r>
              <w:rPr>
                <w:b/>
                <w:bCs/>
                <w:spacing w:val="-4"/>
              </w:rPr>
              <w:t>一、场景需求方信息</w:t>
            </w:r>
          </w:p>
        </w:tc>
      </w:tr>
      <w:tr w14:paraId="2754D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14" w:type="dxa"/>
            <w:vAlign w:val="top"/>
          </w:tcPr>
          <w:p w14:paraId="0741A701">
            <w:pPr>
              <w:pStyle w:val="5"/>
              <w:spacing w:before="141" w:line="221" w:lineRule="auto"/>
              <w:ind w:left="493"/>
            </w:pPr>
            <w:r>
              <w:rPr>
                <w:b/>
                <w:bCs/>
                <w:spacing w:val="-8"/>
              </w:rPr>
              <w:t>单位名称</w:t>
            </w:r>
          </w:p>
        </w:tc>
        <w:tc>
          <w:tcPr>
            <w:tcW w:w="7500" w:type="dxa"/>
            <w:gridSpan w:val="3"/>
            <w:vAlign w:val="top"/>
          </w:tcPr>
          <w:p w14:paraId="37DB2E40">
            <w:pPr>
              <w:pStyle w:val="5"/>
              <w:spacing w:before="141" w:line="221" w:lineRule="auto"/>
              <w:ind w:left="18"/>
            </w:pPr>
            <w:r>
              <w:rPr>
                <w:spacing w:val="-2"/>
              </w:rPr>
              <w:t>深圳市雅晶源科技有限公司</w:t>
            </w:r>
          </w:p>
        </w:tc>
      </w:tr>
      <w:tr w14:paraId="35678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414" w:type="dxa"/>
            <w:gridSpan w:val="4"/>
            <w:vAlign w:val="top"/>
          </w:tcPr>
          <w:p w14:paraId="42E61C5C">
            <w:pPr>
              <w:pStyle w:val="5"/>
              <w:spacing w:before="201" w:line="222" w:lineRule="auto"/>
              <w:ind w:left="28"/>
            </w:pPr>
            <w:r>
              <w:rPr>
                <w:b/>
                <w:bCs/>
                <w:spacing w:val="-4"/>
              </w:rPr>
              <w:t>二、场景开放需求信息</w:t>
            </w:r>
          </w:p>
        </w:tc>
      </w:tr>
      <w:tr w14:paraId="07829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4" w:type="dxa"/>
            <w:vAlign w:val="top"/>
          </w:tcPr>
          <w:p w14:paraId="738527CB">
            <w:pPr>
              <w:pStyle w:val="5"/>
              <w:spacing w:before="200" w:line="221" w:lineRule="auto"/>
              <w:ind w:left="497"/>
            </w:pPr>
            <w:r>
              <w:rPr>
                <w:b/>
                <w:bCs/>
                <w:spacing w:val="-9"/>
              </w:rPr>
              <w:t>需求名称</w:t>
            </w:r>
          </w:p>
        </w:tc>
        <w:tc>
          <w:tcPr>
            <w:tcW w:w="7500" w:type="dxa"/>
            <w:gridSpan w:val="3"/>
            <w:vAlign w:val="top"/>
          </w:tcPr>
          <w:p w14:paraId="2D5B8EFA">
            <w:pPr>
              <w:pStyle w:val="5"/>
              <w:spacing w:before="55" w:line="219" w:lineRule="auto"/>
              <w:ind w:left="61"/>
            </w:pPr>
            <w:r>
              <w:rPr>
                <w:spacing w:val="-7"/>
              </w:rPr>
              <w:t>自动在线灌胶机器人</w:t>
            </w:r>
          </w:p>
        </w:tc>
      </w:tr>
      <w:tr w14:paraId="786B6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vAlign w:val="top"/>
          </w:tcPr>
          <w:p w14:paraId="3ED089E1">
            <w:pPr>
              <w:spacing w:line="310" w:lineRule="auto"/>
              <w:rPr>
                <w:rFonts w:ascii="Arial"/>
                <w:sz w:val="21"/>
              </w:rPr>
            </w:pPr>
          </w:p>
          <w:p w14:paraId="6D8FB1D8">
            <w:pPr>
              <w:spacing w:line="310" w:lineRule="auto"/>
              <w:rPr>
                <w:rFonts w:ascii="Arial"/>
                <w:sz w:val="21"/>
              </w:rPr>
            </w:pPr>
          </w:p>
          <w:p w14:paraId="6B45A454">
            <w:pPr>
              <w:spacing w:line="311" w:lineRule="auto"/>
              <w:rPr>
                <w:rFonts w:ascii="Arial"/>
                <w:sz w:val="21"/>
              </w:rPr>
            </w:pPr>
          </w:p>
          <w:p w14:paraId="0191DFC5">
            <w:pPr>
              <w:pStyle w:val="5"/>
              <w:spacing w:before="78" w:line="222" w:lineRule="auto"/>
              <w:ind w:left="488"/>
            </w:pPr>
            <w:r>
              <w:rPr>
                <w:b/>
                <w:bCs/>
                <w:spacing w:val="-6"/>
              </w:rPr>
              <w:t>应用场景</w:t>
            </w:r>
          </w:p>
        </w:tc>
        <w:tc>
          <w:tcPr>
            <w:tcW w:w="7500" w:type="dxa"/>
            <w:gridSpan w:val="3"/>
            <w:vAlign w:val="top"/>
          </w:tcPr>
          <w:p w14:paraId="600DE8F4">
            <w:pPr>
              <w:pStyle w:val="5"/>
              <w:spacing w:before="55" w:line="246" w:lineRule="auto"/>
              <w:ind w:left="17" w:firstLine="11"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4"/>
              </w:rPr>
              <w:t>、作业现状：公司电源产品灌胶工序当前采用离线手动灌胶作业模式，</w:t>
            </w:r>
            <w:r>
              <w:rPr>
                <w:spacing w:val="-1"/>
              </w:rPr>
              <w:t>由操作人员人工将待灌胶产品放置到出胶头下方，依靠人工经验手动控</w:t>
            </w:r>
            <w:r>
              <w:rPr>
                <w:spacing w:val="-3"/>
              </w:rPr>
              <w:t>制出胶启停与出胶量。</w:t>
            </w:r>
          </w:p>
          <w:p w14:paraId="3331D596">
            <w:pPr>
              <w:pStyle w:val="5"/>
              <w:numPr>
                <w:ilvl w:val="0"/>
                <w:numId w:val="1"/>
              </w:numPr>
              <w:spacing w:line="235" w:lineRule="auto"/>
              <w:ind w:left="16" w:right="3" w:hanging="10"/>
              <w:rPr>
                <w:spacing w:val="-2"/>
              </w:rPr>
            </w:pPr>
            <w:r>
              <w:rPr>
                <w:spacing w:val="-2"/>
              </w:rPr>
              <w:t>现存痛点：受操作人员熟练度、主观判断</w:t>
            </w:r>
            <w:r>
              <w:rPr>
                <w:spacing w:val="-3"/>
              </w:rPr>
              <w:t>差异影响，灌胶出胶量难以</w:t>
            </w:r>
            <w:r>
              <w:rPr>
                <w:spacing w:val="-1"/>
              </w:rPr>
              <w:t>精准管控，灌胶位置偏移、胶体填充不均现象时有发生，产品灌胶一致性、稳定性较差；离线作业需要产品搬运周转，工序衔接效率低，人力</w:t>
            </w:r>
            <w:r>
              <w:rPr>
                <w:spacing w:val="-2"/>
              </w:rPr>
              <w:t>投入大，产品品质离散度高。</w:t>
            </w:r>
          </w:p>
          <w:p w14:paraId="7FD385D5">
            <w:pPr>
              <w:pStyle w:val="5"/>
              <w:spacing w:before="56" w:line="246" w:lineRule="auto"/>
              <w:ind w:left="15" w:hanging="5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3</w:t>
            </w:r>
            <w:r>
              <w:rPr>
                <w:spacing w:val="-10"/>
              </w:rPr>
              <w:t>、发展矛盾：随着储能、通讯类电源订单持续增长，产品对防水、绝缘、</w:t>
            </w:r>
            <w:r>
              <w:rPr>
                <w:spacing w:val="-3"/>
              </w:rPr>
              <w:t>散热防护要求不断提高，传统人工离线灌胶工艺已难以满足大批量高品</w:t>
            </w:r>
            <w:r>
              <w:rPr>
                <w:spacing w:val="-5"/>
              </w:rPr>
              <w:t>质生产要求。</w:t>
            </w:r>
          </w:p>
          <w:p w14:paraId="16D2919D">
            <w:pPr>
              <w:pStyle w:val="5"/>
              <w:numPr>
                <w:ilvl w:val="0"/>
                <w:numId w:val="0"/>
              </w:numPr>
              <w:spacing w:line="235" w:lineRule="auto"/>
              <w:ind w:left="6" w:leftChars="0" w:right="3" w:rightChars="0"/>
              <w:rPr>
                <w:spacing w:val="-2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spacing w:val="-2"/>
              </w:rPr>
              <w:t>、建设目的：引入机器人在线灌胶系统，替代</w:t>
            </w:r>
            <w:r>
              <w:rPr>
                <w:spacing w:val="-3"/>
              </w:rPr>
              <w:t>人工离线作业，提升灌胶</w:t>
            </w:r>
            <w:r>
              <w:rPr>
                <w:spacing w:val="-1"/>
              </w:rPr>
              <w:t>工序生产效率、产品灌胶精度与批次一致性，匹配高端客户品质标准。</w:t>
            </w:r>
          </w:p>
        </w:tc>
      </w:tr>
      <w:tr w14:paraId="0571D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shd w:val="clear" w:color="auto" w:fill="auto"/>
            <w:vAlign w:val="top"/>
          </w:tcPr>
          <w:p w14:paraId="082B5964">
            <w:pPr>
              <w:spacing w:line="309" w:lineRule="auto"/>
              <w:rPr>
                <w:rFonts w:ascii="Arial"/>
                <w:sz w:val="21"/>
              </w:rPr>
            </w:pPr>
          </w:p>
          <w:p w14:paraId="1D2D461B">
            <w:pPr>
              <w:spacing w:line="309" w:lineRule="auto"/>
              <w:rPr>
                <w:rFonts w:ascii="Arial"/>
                <w:sz w:val="21"/>
              </w:rPr>
            </w:pPr>
          </w:p>
          <w:p w14:paraId="63081B95">
            <w:pPr>
              <w:spacing w:line="310" w:lineRule="auto"/>
              <w:rPr>
                <w:rFonts w:ascii="Arial"/>
                <w:sz w:val="21"/>
              </w:rPr>
            </w:pPr>
          </w:p>
          <w:p w14:paraId="0E39DA66">
            <w:pPr>
              <w:pStyle w:val="5"/>
              <w:spacing w:before="78" w:line="222" w:lineRule="auto"/>
              <w:ind w:left="491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7"/>
              </w:rPr>
              <w:t>具体需求</w:t>
            </w:r>
          </w:p>
        </w:tc>
        <w:tc>
          <w:tcPr>
            <w:tcW w:w="7500" w:type="dxa"/>
            <w:gridSpan w:val="3"/>
            <w:shd w:val="clear" w:color="auto" w:fill="auto"/>
            <w:vAlign w:val="top"/>
          </w:tcPr>
          <w:p w14:paraId="2BE2EC2F">
            <w:pPr>
              <w:pStyle w:val="5"/>
              <w:spacing w:before="53" w:line="246" w:lineRule="auto"/>
              <w:ind w:left="16" w:leftChars="0" w:right="3" w:rightChars="0"/>
              <w:jc w:val="both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6"/>
              </w:rPr>
              <w:t xml:space="preserve">本项目计划配置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 </w:t>
            </w:r>
            <w:r>
              <w:rPr>
                <w:spacing w:val="-6"/>
              </w:rPr>
              <w:t>台</w:t>
            </w:r>
            <w:r>
              <w:rPr>
                <w:spacing w:val="-59"/>
              </w:rPr>
              <w:t xml:space="preserve"> </w:t>
            </w:r>
            <w:r>
              <w:rPr>
                <w:spacing w:val="-6"/>
              </w:rPr>
              <w:t>自动灌胶机器人，接入现有产品生产线，实现产线</w:t>
            </w:r>
            <w:r>
              <w:rPr>
                <w:spacing w:val="-1"/>
              </w:rPr>
              <w:t>在线式连续灌胶作业。机器人系统需精准控制出胶位置、出胶速率、出胶总量、双组份胶水混合配比，可适配多款电源壳体灌胶轨迹；对接产</w:t>
            </w:r>
            <w:r>
              <w:rPr>
                <w:spacing w:val="-3"/>
              </w:rPr>
              <w:t>线信号，实现产品流转识别、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自动灌胶，减少现场人工干预，逐步实现</w:t>
            </w:r>
            <w:r>
              <w:rPr>
                <w:spacing w:val="-1"/>
              </w:rPr>
              <w:t>该工序少人化、无人化作业，输出稳定可靠的灌胶工艺效果，满足高端客户严苛的产品防护性能要求，具体技术参数待方案细化后确定。</w:t>
            </w:r>
          </w:p>
        </w:tc>
      </w:tr>
      <w:tr w14:paraId="00076E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914" w:type="dxa"/>
            <w:vAlign w:val="top"/>
          </w:tcPr>
          <w:p w14:paraId="547217C9">
            <w:pPr>
              <w:pStyle w:val="5"/>
              <w:spacing w:before="100" w:line="244" w:lineRule="auto"/>
              <w:ind w:left="493" w:right="351" w:hanging="125"/>
            </w:pPr>
            <w:r>
              <w:rPr>
                <w:b/>
                <w:bCs/>
                <w:spacing w:val="-5"/>
              </w:rPr>
              <w:t>拟投入资金</w:t>
            </w:r>
            <w:r>
              <w:rPr>
                <w:b/>
                <w:bCs/>
                <w:spacing w:val="-8"/>
              </w:rPr>
              <w:t>（万元）</w:t>
            </w:r>
          </w:p>
        </w:tc>
        <w:tc>
          <w:tcPr>
            <w:tcW w:w="2742" w:type="dxa"/>
            <w:vAlign w:val="top"/>
          </w:tcPr>
          <w:p w14:paraId="78248205">
            <w:pPr>
              <w:spacing w:before="93" w:line="188" w:lineRule="auto"/>
              <w:ind w:left="6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76" w:type="dxa"/>
            <w:vAlign w:val="top"/>
          </w:tcPr>
          <w:p w14:paraId="683E3935">
            <w:pPr>
              <w:pStyle w:val="5"/>
              <w:spacing w:before="262" w:line="223" w:lineRule="auto"/>
              <w:ind w:left="598"/>
            </w:pPr>
            <w:r>
              <w:rPr>
                <w:b/>
                <w:bCs/>
                <w:spacing w:val="-5"/>
              </w:rPr>
              <w:t>拟建设周期</w:t>
            </w:r>
          </w:p>
        </w:tc>
        <w:tc>
          <w:tcPr>
            <w:tcW w:w="2382" w:type="dxa"/>
            <w:vAlign w:val="top"/>
          </w:tcPr>
          <w:p w14:paraId="182CF27E">
            <w:pPr>
              <w:pStyle w:val="5"/>
              <w:spacing w:before="262" w:line="223" w:lineRule="auto"/>
              <w:ind w:left="494"/>
            </w:pP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-9"/>
              </w:rPr>
              <w:t>个月</w:t>
            </w:r>
          </w:p>
        </w:tc>
      </w:tr>
      <w:tr w14:paraId="49353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shd w:val="clear" w:color="auto" w:fill="auto"/>
            <w:vAlign w:val="top"/>
          </w:tcPr>
          <w:p w14:paraId="0F8FA8E6">
            <w:pPr>
              <w:spacing w:line="272" w:lineRule="auto"/>
              <w:rPr>
                <w:rFonts w:ascii="Arial"/>
                <w:sz w:val="21"/>
              </w:rPr>
            </w:pPr>
          </w:p>
          <w:p w14:paraId="19128296">
            <w:pPr>
              <w:spacing w:line="272" w:lineRule="auto"/>
              <w:rPr>
                <w:rFonts w:ascii="Arial"/>
                <w:sz w:val="21"/>
              </w:rPr>
            </w:pPr>
          </w:p>
          <w:p w14:paraId="160EB5F4">
            <w:pPr>
              <w:spacing w:line="272" w:lineRule="auto"/>
              <w:rPr>
                <w:rFonts w:ascii="Arial"/>
                <w:sz w:val="21"/>
              </w:rPr>
            </w:pPr>
          </w:p>
          <w:p w14:paraId="581E46F6">
            <w:pPr>
              <w:spacing w:line="272" w:lineRule="auto"/>
              <w:rPr>
                <w:rFonts w:ascii="Arial"/>
                <w:sz w:val="21"/>
              </w:rPr>
            </w:pPr>
          </w:p>
          <w:p w14:paraId="641AB4BD">
            <w:pPr>
              <w:pStyle w:val="5"/>
              <w:spacing w:before="78" w:line="224" w:lineRule="auto"/>
              <w:ind w:left="488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6"/>
              </w:rPr>
              <w:t>应用现状</w:t>
            </w:r>
          </w:p>
        </w:tc>
        <w:tc>
          <w:tcPr>
            <w:tcW w:w="7500" w:type="dxa"/>
            <w:gridSpan w:val="3"/>
            <w:shd w:val="clear" w:color="auto" w:fill="auto"/>
            <w:vAlign w:val="top"/>
          </w:tcPr>
          <w:p w14:paraId="5AC65797">
            <w:pPr>
              <w:pStyle w:val="5"/>
              <w:spacing w:before="56" w:line="246" w:lineRule="auto"/>
              <w:ind w:left="19" w:leftChars="0" w:right="3" w:rightChars="0" w:firstLine="39" w:firstLine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8"/>
              </w:rPr>
              <w:t>目前国内外头部电源制造企业已逐步推广应用机</w:t>
            </w:r>
            <w:r>
              <w:rPr>
                <w:spacing w:val="7"/>
              </w:rPr>
              <w:t>器人在线自动灌胶工</w:t>
            </w:r>
            <w:r>
              <w:rPr>
                <w:spacing w:val="1"/>
              </w:rPr>
              <w:t>艺，在线灌胶成为电源产品提升绝缘、防水、散热性能的重要智能制造手段。在线机器人自动灌胶实施技术难点集中于：胶水配比精度控制、出胶流量稳定控制、运动轨迹定位精度、胶水防气泡、不同壳体的轨迹自适应，同时需要与现有产线输送信号协同联动。公司现有产线具备数字化改造基础，可实现与灌胶机器人控制系统对接，具备项目落地实施</w:t>
            </w:r>
            <w:r>
              <w:rPr>
                <w:spacing w:val="-7"/>
              </w:rPr>
              <w:t>条件。</w:t>
            </w:r>
          </w:p>
        </w:tc>
      </w:tr>
      <w:tr w14:paraId="7279AB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shd w:val="clear" w:color="auto" w:fill="auto"/>
            <w:vAlign w:val="top"/>
          </w:tcPr>
          <w:p w14:paraId="3435D488">
            <w:pPr>
              <w:spacing w:line="257" w:lineRule="auto"/>
              <w:rPr>
                <w:rFonts w:ascii="Arial"/>
                <w:sz w:val="21"/>
              </w:rPr>
            </w:pPr>
          </w:p>
          <w:p w14:paraId="2332FE3C">
            <w:pPr>
              <w:spacing w:line="257" w:lineRule="auto"/>
              <w:rPr>
                <w:rFonts w:ascii="Arial"/>
                <w:sz w:val="21"/>
              </w:rPr>
            </w:pPr>
          </w:p>
          <w:p w14:paraId="1EE7C03A">
            <w:pPr>
              <w:spacing w:line="257" w:lineRule="auto"/>
              <w:rPr>
                <w:rFonts w:ascii="Arial"/>
                <w:sz w:val="21"/>
              </w:rPr>
            </w:pPr>
          </w:p>
          <w:p w14:paraId="287EB727">
            <w:pPr>
              <w:pStyle w:val="5"/>
              <w:spacing w:before="78" w:line="219" w:lineRule="auto"/>
              <w:ind w:left="491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7"/>
              </w:rPr>
              <w:t>潜在规模</w:t>
            </w:r>
          </w:p>
        </w:tc>
        <w:tc>
          <w:tcPr>
            <w:tcW w:w="7500" w:type="dxa"/>
            <w:gridSpan w:val="3"/>
            <w:shd w:val="clear" w:color="auto" w:fill="auto"/>
            <w:vAlign w:val="top"/>
          </w:tcPr>
          <w:p w14:paraId="3EF14A25">
            <w:pPr>
              <w:pStyle w:val="5"/>
              <w:spacing w:before="47" w:line="247" w:lineRule="auto"/>
              <w:ind w:left="16" w:leftChars="0" w:firstLine="5" w:firstLine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13"/>
              </w:rPr>
              <w:t>公司目前国内销售额占</w:t>
            </w:r>
            <w:r>
              <w:rPr>
                <w:rFonts w:hint="eastAsia" w:ascii="仿宋" w:hAnsi="仿宋" w:eastAsia="仿宋" w:cs="仿宋"/>
                <w:spacing w:val="-43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</w:rPr>
              <w:t>85%</w:t>
            </w:r>
            <w:r>
              <w:rPr>
                <w:rFonts w:hint="eastAsia" w:ascii="仿宋" w:hAnsi="仿宋" w:eastAsia="仿宋" w:cs="仿宋"/>
                <w:spacing w:val="-3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</w:rPr>
              <w:t>，国外销售额占</w:t>
            </w:r>
            <w:r>
              <w:rPr>
                <w:rFonts w:hint="eastAsia" w:ascii="仿宋" w:hAnsi="仿宋" w:eastAsia="仿宋" w:cs="仿宋"/>
                <w:spacing w:val="-29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</w:rPr>
              <w:t>15%</w:t>
            </w:r>
            <w:r>
              <w:rPr>
                <w:rFonts w:hint="eastAsia" w:ascii="仿宋" w:hAnsi="仿宋" w:eastAsia="仿宋" w:cs="仿宋"/>
                <w:spacing w:val="-3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</w:rPr>
              <w:t>，整体营收得益于快充、</w:t>
            </w:r>
            <w:r>
              <w:rPr>
                <w:rFonts w:hint="eastAsia" w:ascii="仿宋" w:hAnsi="仿宋" w:eastAsia="仿宋" w:cs="仿宋"/>
              </w:rPr>
              <w:t>通讯电源、锂电充电源、数字电源等类产品订单持续增加，灌胶类产品</w:t>
            </w:r>
            <w:r>
              <w:rPr>
                <w:rFonts w:hint="eastAsia" w:ascii="仿宋" w:hAnsi="仿宋" w:eastAsia="仿宋" w:cs="仿宋"/>
                <w:spacing w:val="1"/>
              </w:rPr>
              <w:t>产量逐年攀升。本套在线灌胶机器人方案成熟后，可复制推广至湖南、</w:t>
            </w:r>
            <w:r>
              <w:rPr>
                <w:rFonts w:hint="eastAsia" w:ascii="仿宋" w:hAnsi="仿宋" w:eastAsia="仿宋" w:cs="仿宋"/>
              </w:rPr>
              <w:t>越南生产基地同类电源产品线，提升集团整体制造工艺水平，支撑海内</w:t>
            </w:r>
            <w:r>
              <w:rPr>
                <w:rFonts w:hint="eastAsia" w:ascii="仿宋" w:hAnsi="仿宋" w:eastAsia="仿宋" w:cs="仿宋"/>
                <w:spacing w:val="-2"/>
              </w:rPr>
              <w:t>外订单产能释放，进一步扩大市场供给能力。</w:t>
            </w:r>
          </w:p>
        </w:tc>
      </w:tr>
      <w:tr w14:paraId="20C5A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shd w:val="clear" w:color="auto" w:fill="auto"/>
            <w:vAlign w:val="top"/>
          </w:tcPr>
          <w:p w14:paraId="37D3E96E">
            <w:pPr>
              <w:spacing w:line="306" w:lineRule="auto"/>
              <w:rPr>
                <w:rFonts w:ascii="Arial"/>
                <w:sz w:val="21"/>
              </w:rPr>
            </w:pPr>
          </w:p>
          <w:p w14:paraId="3357A3E6">
            <w:pPr>
              <w:spacing w:line="307" w:lineRule="auto"/>
              <w:rPr>
                <w:rFonts w:ascii="Arial"/>
                <w:sz w:val="21"/>
              </w:rPr>
            </w:pPr>
          </w:p>
          <w:p w14:paraId="38BB4BA4">
            <w:pPr>
              <w:pStyle w:val="5"/>
              <w:spacing w:before="78" w:line="224" w:lineRule="auto"/>
              <w:ind w:left="488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6"/>
              </w:rPr>
              <w:t>建设基础</w:t>
            </w:r>
          </w:p>
        </w:tc>
        <w:tc>
          <w:tcPr>
            <w:tcW w:w="7500" w:type="dxa"/>
            <w:gridSpan w:val="3"/>
            <w:shd w:val="clear" w:color="auto" w:fill="auto"/>
            <w:vAlign w:val="top"/>
          </w:tcPr>
          <w:p w14:paraId="707C037F">
            <w:pPr>
              <w:pStyle w:val="5"/>
              <w:spacing w:before="57" w:line="246" w:lineRule="auto"/>
              <w:ind w:left="16" w:leftChars="0" w:right="3" w:rightChars="0" w:firstLine="1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1"/>
              </w:rPr>
              <w:t>项目实施场地、生产流水线已全部布置到位，供电、供气等配套基础设施条件完备，无需开展大规模土建改造。现有产线具备信号对接接口条件，仅需完成自动灌胶机器人设备选型采购、设备安装调试、工艺参数</w:t>
            </w:r>
            <w:r>
              <w:rPr>
                <w:spacing w:val="-1"/>
              </w:rPr>
              <w:t>调试、产</w:t>
            </w:r>
            <w:bookmarkStart w:id="0" w:name="_GoBack"/>
            <w:bookmarkEnd w:id="0"/>
            <w:r>
              <w:rPr>
                <w:spacing w:val="-1"/>
              </w:rPr>
              <w:t>线信号对接开发即可投产，项目实施基础扎实。</w:t>
            </w:r>
          </w:p>
        </w:tc>
      </w:tr>
      <w:tr w14:paraId="41558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914" w:type="dxa"/>
            <w:shd w:val="clear" w:color="auto" w:fill="auto"/>
            <w:vAlign w:val="top"/>
          </w:tcPr>
          <w:p w14:paraId="0DCB441F">
            <w:pPr>
              <w:spacing w:line="310" w:lineRule="auto"/>
              <w:rPr>
                <w:rFonts w:ascii="Arial"/>
                <w:sz w:val="21"/>
              </w:rPr>
            </w:pPr>
          </w:p>
          <w:p w14:paraId="606E87EB">
            <w:pPr>
              <w:spacing w:line="311" w:lineRule="auto"/>
              <w:rPr>
                <w:rFonts w:ascii="Arial"/>
                <w:sz w:val="21"/>
              </w:rPr>
            </w:pPr>
          </w:p>
          <w:p w14:paraId="33A0609B">
            <w:pPr>
              <w:spacing w:line="311" w:lineRule="auto"/>
              <w:rPr>
                <w:rFonts w:ascii="Arial"/>
                <w:sz w:val="21"/>
              </w:rPr>
            </w:pPr>
          </w:p>
          <w:p w14:paraId="7D6F1EB7">
            <w:pPr>
              <w:pStyle w:val="5"/>
              <w:spacing w:before="78" w:line="222" w:lineRule="auto"/>
              <w:ind w:left="493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8"/>
              </w:rPr>
              <w:t>实施成效</w:t>
            </w:r>
          </w:p>
        </w:tc>
        <w:tc>
          <w:tcPr>
            <w:tcW w:w="7500" w:type="dxa"/>
            <w:gridSpan w:val="3"/>
            <w:shd w:val="clear" w:color="auto" w:fill="auto"/>
            <w:vAlign w:val="top"/>
          </w:tcPr>
          <w:p w14:paraId="3DFAD360">
            <w:pPr>
              <w:pStyle w:val="5"/>
              <w:spacing w:before="57" w:line="245" w:lineRule="auto"/>
              <w:ind w:left="16" w:leftChars="0" w:firstLine="1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项目落地运行后，将替代原有离线人工灌胶作业，</w:t>
            </w:r>
            <w:r>
              <w:rPr>
                <w:rFonts w:hint="eastAsia" w:ascii="仿宋" w:hAnsi="仿宋" w:eastAsia="仿宋" w:cs="仿宋"/>
                <w:spacing w:val="-2"/>
              </w:rPr>
              <w:t>有效降低该工序人力</w:t>
            </w:r>
            <w:r>
              <w:rPr>
                <w:rFonts w:hint="eastAsia" w:ascii="仿宋" w:hAnsi="仿宋" w:eastAsia="仿宋" w:cs="仿宋"/>
                <w:spacing w:val="-6"/>
              </w:rPr>
              <w:t>投入；精准管控灌胶量、胶体配比及灌胶位置，</w:t>
            </w:r>
            <w:r>
              <w:rPr>
                <w:rFonts w:hint="eastAsia" w:ascii="仿宋" w:hAnsi="仿宋" w:eastAsia="仿宋" w:cs="仿宋"/>
                <w:spacing w:val="-7"/>
              </w:rPr>
              <w:t>显著改善电源产品绝缘、</w:t>
            </w:r>
            <w:r>
              <w:rPr>
                <w:rFonts w:hint="eastAsia" w:ascii="仿宋" w:hAnsi="仿宋" w:eastAsia="仿宋" w:cs="仿宋"/>
                <w:spacing w:val="-6"/>
              </w:rPr>
              <w:t>防水、散热防护性能，大幅提升产品灌胶质量一</w:t>
            </w:r>
            <w:r>
              <w:rPr>
                <w:rFonts w:hint="eastAsia" w:ascii="仿宋" w:hAnsi="仿宋" w:eastAsia="仿宋" w:cs="仿宋"/>
                <w:spacing w:val="-7"/>
              </w:rPr>
              <w:t>致性，降低不良报废率；</w:t>
            </w:r>
            <w:r>
              <w:rPr>
                <w:rFonts w:hint="eastAsia" w:ascii="仿宋" w:hAnsi="仿宋" w:eastAsia="仿宋" w:cs="仿宋"/>
                <w:spacing w:val="-1"/>
              </w:rPr>
              <w:t>缩短产品工序周转时间，提高整条产线生产效率。工</w:t>
            </w:r>
            <w:r>
              <w:rPr>
                <w:rFonts w:hint="eastAsia" w:ascii="仿宋" w:hAnsi="仿宋" w:eastAsia="仿宋" w:cs="仿宋"/>
                <w:spacing w:val="-2"/>
              </w:rPr>
              <w:t>艺能力升级将更好</w:t>
            </w:r>
            <w:r>
              <w:rPr>
                <w:rFonts w:hint="eastAsia" w:ascii="仿宋" w:hAnsi="仿宋" w:eastAsia="仿宋" w:cs="仿宋"/>
                <w:spacing w:val="-6"/>
              </w:rPr>
              <w:t>满足世界 500  强及海内外高端客户审核标准，增强市场竞争力，助</w:t>
            </w:r>
            <w:r>
              <w:rPr>
                <w:rFonts w:hint="eastAsia" w:ascii="仿宋" w:hAnsi="仿宋" w:eastAsia="仿宋" w:cs="仿宋"/>
                <w:spacing w:val="-7"/>
              </w:rPr>
              <w:t>力企</w:t>
            </w:r>
            <w:r>
              <w:rPr>
                <w:rFonts w:hint="eastAsia" w:ascii="仿宋" w:hAnsi="仿宋" w:eastAsia="仿宋" w:cs="仿宋"/>
                <w:spacing w:val="-4"/>
              </w:rPr>
              <w:t>业承接更多高附加值订单。</w:t>
            </w:r>
          </w:p>
        </w:tc>
      </w:tr>
    </w:tbl>
    <w:p w14:paraId="6E04281A">
      <w:pPr>
        <w:rPr>
          <w:rFonts w:ascii="Arial"/>
          <w:sz w:val="21"/>
        </w:rPr>
      </w:pPr>
    </w:p>
    <w:sectPr>
      <w:footerReference r:id="rId5" w:type="default"/>
      <w:pgSz w:w="11906" w:h="16839"/>
      <w:pgMar w:top="1431" w:right="1243" w:bottom="1157" w:left="1243" w:header="0" w:footer="99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2FA96">
    <w:pPr>
      <w:spacing w:line="169" w:lineRule="auto"/>
      <w:ind w:left="467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888B94"/>
    <w:multiLevelType w:val="singleLevel"/>
    <w:tmpl w:val="DE888B9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B30D43"/>
    <w:rsid w:val="2BFF01C7"/>
    <w:rsid w:val="7F7D33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3576d568-2e0f-432d-b171-025b81fcc091</errorID>
      <errorWord xmlns="http://schemas.wps.cn/vas-ai-hub/contract-review">揭榜挂帅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“揭榜挂帅”</item>
      </candidateList>
      <explain xmlns="http://schemas.wps.cn/vas-ai-hub/contract-review">注意检查当前固定表述标点是否使用规范。</explain>
      <paraID xmlns="http://schemas.wps.cn/vas-ai-hub/contract-review">51A8162D</paraID>
      <start xmlns="http://schemas.wps.cn/vas-ai-hub/contract-review">14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db23119d-5f8e-432f-8a1e-e4e415f00946</errorID>
      <errorWord xmlns="http://schemas.wps.cn/vas-ai-hub/contract-review">上海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26845375</paraID>
      <start xmlns="http://schemas.wps.cn/vas-ai-hub/contract-review">132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74c23496-4c10-4279-ab78-856a123a9f20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26845375</paraID>
      <start xmlns="http://schemas.wps.cn/vas-ai-hub/contract-review">135</start>
      <end xmlns="http://schemas.wps.cn/vas-ai-hub/contract-review">137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25c36960-49b8-4343-ad58-423928a0c03b</errorID>
      <errorWord xmlns="http://schemas.wps.cn/vas-ai-hub/contract-review">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强的</item>
      </candidateList>
      <explain xmlns="http://schemas.wps.cn/vas-ai-hub/contract-review"/>
      <paraID xmlns="http://schemas.wps.cn/vas-ai-hub/contract-review">55CEDD70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5b636a91-9759-48ed-9360-d6e3efe0f551</errorID>
      <errorWord xmlns="http://schemas.wps.cn/vas-ai-hub/contract-review">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</item>
      </candidateList>
      <explain xmlns="http://schemas.wps.cn/vas-ai-hub/contract-review"/>
      <paraID xmlns="http://schemas.wps.cn/vas-ai-hub/contract-review">55CEDD70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a036f129-72d6-4430-b65c-f5a5ed4baf61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35E5FE39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7b25d4c9-8c16-47ad-b655-db40b5a16248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268C2E02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f820cd5d-d03f-4edf-9f77-d4b29b3c4b4e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3F96C44E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4a05e652-1b66-4229-8846-dd34ab3713b9</errorID>
      <errorWord xmlns="http://schemas.wps.cn/vas-ai-hub/contract-review">5、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576274B1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637b719c-d0b0-4128-ad97-ce9bf4f1b155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714052C4</paraID>
      <start xmlns="http://schemas.wps.cn/vas-ai-hub/contract-review">120</start>
      <end xmlns="http://schemas.wps.cn/vas-ai-hub/contract-review">122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ed2e497c-6713-4f35-9295-c9c04cf85838</errorID>
      <errorWord xmlns="http://schemas.wps.cn/vas-ai-hub/contract-review">好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好地</item>
      </candidateList>
      <explain xmlns="http://schemas.wps.cn/vas-ai-hub/contract-review"/>
      <paraID xmlns="http://schemas.wps.cn/vas-ai-hub/contract-review">3319FE25</paraID>
      <start xmlns="http://schemas.wps.cn/vas-ai-hub/contract-review">133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40e8a0da-1170-4627-97b6-99be29f1c1f3</errorID>
      <errorWord xmlns="http://schemas.wps.cn/vas-ai-hub/contract-review">揭榜挂帅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“揭榜挂帅”</item>
      </candidateList>
      <explain xmlns="http://schemas.wps.cn/vas-ai-hub/contract-review">注意检查当前固定表述标点是否使用规范。</explain>
      <paraID xmlns="http://schemas.wps.cn/vas-ai-hub/contract-review"> B7002EC</paraID>
      <start xmlns="http://schemas.wps.cn/vas-ai-hub/contract-review">14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e240e98f-e5c2-4396-b081-864764690198</errorID>
      <errorWord xmlns="http://schemas.wps.cn/vas-ai-hub/contract-review">上海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667BFD02</paraID>
      <start xmlns="http://schemas.wps.cn/vas-ai-hub/contract-review">132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00ef29d6-86d5-4e14-805b-fb10640d372a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667BFD02</paraID>
      <start xmlns="http://schemas.wps.cn/vas-ai-hub/contract-review">135</start>
      <end xmlns="http://schemas.wps.cn/vas-ai-hub/contract-review">137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c6b4aac7-474a-414f-8123-1a2f22945acd</errorID>
      <errorWord xmlns="http://schemas.wps.cn/vas-ai-hub/contract-review">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强的</item>
      </candidateList>
      <explain xmlns="http://schemas.wps.cn/vas-ai-hub/contract-review"/>
      <paraID xmlns="http://schemas.wps.cn/vas-ai-hub/contract-review">5E0FB2F3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782e4dff-ed30-4929-a8ad-26a7be5e7e99</errorID>
      <errorWord xmlns="http://schemas.wps.cn/vas-ai-hub/contract-review">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</item>
      </candidateList>
      <explain xmlns="http://schemas.wps.cn/vas-ai-hub/contract-review"/>
      <paraID xmlns="http://schemas.wps.cn/vas-ai-hub/contract-review">5E0FB2F3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68aa536e-1267-4d86-8886-d90300777c28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3331D596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6230e9c4-95d5-4e12-abca-e8ab396ba1bf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75EE5558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4848f219-70a7-4a05-84e1-58b72f23a428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1673F4F0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164d20fb-3a1d-44f5-98e1-7e82056506b0</errorID>
      <errorWord xmlns="http://schemas.wps.cn/vas-ai-hub/contract-review">份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分</item>
      </candidateList>
      <explain xmlns="http://schemas.wps.cn/vas-ai-hub/contract-review">请检查“份”是否为量词使用错误，建议修改为“分”。</explain>
      <paraID xmlns="http://schemas.wps.cn/vas-ai-hub/contract-review">7C3E19F7</paraID>
      <start xmlns="http://schemas.wps.cn/vas-ai-hub/contract-review">72</start>
      <end xmlns="http://schemas.wps.cn/vas-ai-hub/contract-review">73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297a24ec-e674-4d6c-ba7d-53314ad6ba7e</errorID>
      <errorWord xmlns="http://schemas.wps.cn/vas-ai-hub/contract-review">类产品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产品</item>
      </candidateList>
      <explain xmlns="http://schemas.wps.cn/vas-ai-hub/contract-review"/>
      <paraID xmlns="http://schemas.wps.cn/vas-ai-hub/contract-review">15FD6237</paraID>
      <start xmlns="http://schemas.wps.cn/vas-ai-hub/contract-review">54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1f796f71-09a4-4373-a839-e437bd234153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15FD6237</paraID>
      <start xmlns="http://schemas.wps.cn/vas-ai-hub/contract-review">97</start>
      <end xmlns="http://schemas.wps.cn/vas-ai-hub/contract-review">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78f52653-1c0e-42f5-84f3-e5b415fdcd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745</Words>
  <Characters>800</Characters>
  <TotalTime>1</TotalTime>
  <ScaleCrop>false</ScaleCrop>
  <LinksUpToDate>false</LinksUpToDate>
  <CharactersWithSpaces>849</CharactersWithSpaces>
  <Application>WPS Office_12.1.2.22550_F1E327BC-269C-435d-A152-05C5408002CA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2026-09-17T04:50:00Z</dcterms:created>
  <dc:creator>huawei</dc:creator>
  <cp:lastModifiedBy>黎兆基rjs</cp:lastModifiedBy>
  <dcterms:modified xsi:type="dcterms:W3CDTF">2026-10-27T16:22:10Z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2026-10-27T14:17:22Z</vt:filetime>
  </property>
  <property fmtid="{D5CDD505-2E9C-101B-9397-08002B2CF9AE}" pid="4" name="KSOTemplateDocerSaveRecord">
    <vt:lpwstr>eyJoZGlkIjoiNzg3OTczNzI0ZWJiZjRjNDQ5ZjMxYzE5NzFmNzE4MjMiLCJ1c2VySWQiOiIxMzA2Mzc0OTg5In0=</vt:lpwstr>
  </property>
  <property fmtid="{D5CDD505-2E9C-101B-9397-08002B2CF9AE}" pid="5" name="KSOProductBuildVer">
    <vt:lpwstr>2052-12.1.2.22550</vt:lpwstr>
  </property>
  <property fmtid="{D5CDD505-2E9C-101B-9397-08002B2CF9AE}" pid="6" name="ICV">
    <vt:lpwstr>0B3F95B54DD642C98FB55AA12395A090_12</vt:lpwstr>
  </property>
</Properties>
</file>