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000000" w:themeColor="text1"/>
          <w:kern w:val="2"/>
          <w:sz w:val="44"/>
          <w:szCs w:val="44"/>
          <w:highlight w:val="none"/>
          <w:lang w:val="en-US" w:eastAsia="zh-CN" w:bidi="ar-SA"/>
          <w14:textFill>
            <w14:solidFill>
              <w14:schemeClr w14:val="tx1"/>
            </w14:solidFill>
          </w14:textFill>
        </w:rPr>
      </w:pP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000000" w:themeColor="text1"/>
          <w:kern w:val="2"/>
          <w:sz w:val="44"/>
          <w:szCs w:val="44"/>
          <w:highlight w:val="none"/>
          <w:lang w:val="en-US" w:eastAsia="zh-CN" w:bidi="ar-SA"/>
          <w14:textFill>
            <w14:solidFill>
              <w14:schemeClr w14:val="tx1"/>
            </w14:solidFill>
          </w14:textFill>
        </w:rPr>
      </w:pPr>
      <w:r>
        <w:rPr>
          <w:rFonts w:hint="eastAsia" w:ascii="方正小标宋简体" w:hAnsi="方正小标宋简体" w:eastAsia="方正小标宋简体" w:cs="方正小标宋简体"/>
          <w:color w:val="000000" w:themeColor="text1"/>
          <w:kern w:val="2"/>
          <w:sz w:val="44"/>
          <w:szCs w:val="44"/>
          <w:highlight w:val="none"/>
          <w:lang w:val="en-US" w:eastAsia="zh-CN" w:bidi="ar-SA"/>
          <w14:textFill>
            <w14:solidFill>
              <w14:schemeClr w14:val="tx1"/>
            </w14:solidFill>
          </w14:textFill>
        </w:rPr>
        <w:t>2026年龙岗区人工智能赛事项目</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000000" w:themeColor="text1"/>
          <w:kern w:val="2"/>
          <w:sz w:val="44"/>
          <w:szCs w:val="44"/>
          <w:highlight w:val="none"/>
          <w:lang w:val="en-US" w:eastAsia="zh-CN" w:bidi="ar-SA"/>
          <w14:textFill>
            <w14:solidFill>
              <w14:schemeClr w14:val="tx1"/>
            </w14:solidFill>
          </w14:textFill>
        </w:rPr>
      </w:pPr>
      <w:r>
        <w:rPr>
          <w:rFonts w:hint="eastAsia" w:ascii="方正小标宋简体" w:hAnsi="方正小标宋简体" w:eastAsia="方正小标宋简体" w:cs="方正小标宋简体"/>
          <w:color w:val="000000" w:themeColor="text1"/>
          <w:kern w:val="2"/>
          <w:sz w:val="44"/>
          <w:szCs w:val="44"/>
          <w:highlight w:val="none"/>
          <w:lang w:val="en-US" w:eastAsia="zh-CN" w:bidi="ar-SA"/>
          <w14:textFill>
            <w14:solidFill>
              <w14:schemeClr w14:val="tx1"/>
            </w14:solidFill>
          </w14:textFill>
        </w:rPr>
        <w:t>申报指南</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000000" w:themeColor="text1"/>
          <w:kern w:val="2"/>
          <w:sz w:val="44"/>
          <w:szCs w:val="44"/>
          <w:highlight w:val="none"/>
          <w:lang w:val="en-US" w:eastAsia="zh-CN" w:bidi="ar-SA"/>
          <w14:textFill>
            <w14:solidFill>
              <w14:schemeClr w14:val="tx1"/>
            </w14:solidFill>
          </w14:textFill>
        </w:rPr>
      </w:pP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000000" w:themeColor="text1"/>
          <w:kern w:val="2"/>
          <w:sz w:val="32"/>
          <w:szCs w:val="32"/>
          <w:highlight w:val="none"/>
          <w:lang w:val="en-US" w:eastAsia="zh-CN" w:bidi="ar-SA"/>
          <w14:textFill>
            <w14:solidFill>
              <w14:schemeClr w14:val="tx1"/>
            </w14:solidFill>
          </w14:textFill>
        </w:rPr>
      </w:pPr>
      <w:r>
        <w:rPr>
          <w:rFonts w:hint="eastAsia" w:ascii="黑体" w:hAnsi="黑体" w:eastAsia="黑体" w:cs="黑体"/>
          <w:color w:val="000000" w:themeColor="text1"/>
          <w:kern w:val="2"/>
          <w:sz w:val="32"/>
          <w:szCs w:val="32"/>
          <w:highlight w:val="none"/>
          <w:lang w:val="en-US" w:eastAsia="zh-CN" w:bidi="ar-SA"/>
          <w14:textFill>
            <w14:solidFill>
              <w14:schemeClr w14:val="tx1"/>
            </w14:solidFill>
          </w14:textFill>
        </w:rPr>
        <w:t>　　一、政策依据</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CESI仿宋-GB2312" w:hAnsi="CESI仿宋-GB2312" w:eastAsia="CESI仿宋-GB2312" w:cs="CESI仿宋-GB2312"/>
          <w:color w:val="000000" w:themeColor="text1"/>
          <w:sz w:val="32"/>
          <w:szCs w:val="32"/>
          <w:highlight w:val="none"/>
          <w:lang w:eastAsia="zh-CN"/>
          <w14:textFill>
            <w14:solidFill>
              <w14:schemeClr w14:val="tx1"/>
            </w14:solidFill>
          </w14:textFill>
        </w:rPr>
      </w:pPr>
      <w:r>
        <w:rPr>
          <w:rFonts w:hint="eastAsia" w:ascii="CESI仿宋-GB2312" w:hAnsi="CESI仿宋-GB2312" w:eastAsia="CESI仿宋-GB2312" w:cs="CESI仿宋-GB2312"/>
          <w:color w:val="000000" w:themeColor="text1"/>
          <w:sz w:val="32"/>
          <w:szCs w:val="32"/>
          <w:highlight w:val="none"/>
          <w:lang w:eastAsia="zh-CN"/>
          <w14:textFill>
            <w14:solidFill>
              <w14:schemeClr w14:val="tx1"/>
            </w14:solidFill>
          </w14:textFill>
        </w:rPr>
        <w:t>（一）《深圳市龙岗区关于支持人工智能产业引领高质量发展若干措施（修订版）》（深龙工信规〔2026〕3号）；</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CESI仿宋-GB2312" w:hAnsi="CESI仿宋-GB2312" w:eastAsia="CESI仿宋-GB2312" w:cs="CESI仿宋-GB2312"/>
          <w:color w:val="000000" w:themeColor="text1"/>
          <w:sz w:val="32"/>
          <w:szCs w:val="32"/>
          <w:highlight w:val="none"/>
          <w:lang w:eastAsia="zh-CN"/>
          <w14:textFill>
            <w14:solidFill>
              <w14:schemeClr w14:val="tx1"/>
            </w14:solidFill>
          </w14:textFill>
        </w:rPr>
        <w:t>（二）</w:t>
      </w: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w:t>
      </w:r>
      <w:r>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t>深圳市龙岗区工业和信息化产业发展专项资金关于支持人工智能产业引领高质量发展实施细则（修订版）</w:t>
      </w: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w:t>
      </w:r>
      <w:r>
        <w:rPr>
          <w:rFonts w:hint="eastAsia" w:ascii="CESI仿宋-GB2312" w:hAnsi="CESI仿宋-GB2312" w:eastAsia="CESI仿宋-GB2312" w:cs="CESI仿宋-GB2312"/>
          <w:color w:val="000000" w:themeColor="text1"/>
          <w:sz w:val="32"/>
          <w:szCs w:val="32"/>
          <w:highlight w:val="none"/>
          <w:lang w:eastAsia="zh-CN"/>
          <w14:textFill>
            <w14:solidFill>
              <w14:schemeClr w14:val="tx1"/>
            </w14:solidFill>
          </w14:textFill>
        </w:rPr>
        <w:t>（</w:t>
      </w:r>
      <w:r>
        <w:rPr>
          <w:rFonts w:hint="eastAsia" w:ascii="CESI仿宋-GB2312" w:hAnsi="CESI仿宋-GB2312" w:eastAsia="CESI仿宋-GB2312" w:cs="CESI仿宋-GB2312"/>
          <w:color w:val="000000" w:themeColor="text1"/>
          <w:sz w:val="32"/>
          <w:szCs w:val="32"/>
          <w:highlight w:val="none"/>
          <w14:textFill>
            <w14:solidFill>
              <w14:schemeClr w14:val="tx1"/>
            </w14:solidFill>
          </w14:textFill>
        </w:rPr>
        <w:t>深龙工信规〔2026〕4号</w:t>
      </w: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000000" w:themeColor="text1"/>
          <w:kern w:val="2"/>
          <w:sz w:val="32"/>
          <w:szCs w:val="32"/>
          <w:highlight w:val="none"/>
          <w:lang w:val="en-US" w:eastAsia="zh-CN" w:bidi="ar-SA"/>
          <w14:textFill>
            <w14:solidFill>
              <w14:schemeClr w14:val="tx1"/>
            </w14:solidFill>
          </w14:textFill>
        </w:rPr>
      </w:pPr>
      <w:r>
        <w:rPr>
          <w:rFonts w:hint="eastAsia" w:ascii="黑体" w:hAnsi="黑体" w:eastAsia="黑体" w:cs="黑体"/>
          <w:color w:val="000000" w:themeColor="text1"/>
          <w:kern w:val="2"/>
          <w:sz w:val="32"/>
          <w:szCs w:val="32"/>
          <w:highlight w:val="none"/>
          <w:lang w:val="en-US" w:eastAsia="zh-CN" w:bidi="ar-SA"/>
          <w14:textFill>
            <w14:solidFill>
              <w14:schemeClr w14:val="tx1"/>
            </w14:solidFill>
          </w14:textFill>
        </w:rPr>
        <w:t>　　二、项目扶持范围和标准</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000000" w:themeColor="text1"/>
          <w:kern w:val="0"/>
          <w:sz w:val="32"/>
          <w:szCs w:val="32"/>
          <w:highlight w:val="none"/>
          <w:lang w:val="en-US" w:eastAsia="zh-CN" w:bidi="ar-SA"/>
          <w14:textFill>
            <w14:solidFill>
              <w14:schemeClr w14:val="tx1"/>
            </w14:solidFill>
          </w14:textFill>
        </w:rPr>
      </w:pPr>
      <w:r>
        <w:rPr>
          <w:rFonts w:hint="eastAsia" w:ascii="华文楷体" w:hAnsi="华文楷体" w:eastAsia="华文楷体" w:cs="华文楷体"/>
          <w:color w:val="000000" w:themeColor="text1"/>
          <w:kern w:val="0"/>
          <w:sz w:val="32"/>
          <w:szCs w:val="32"/>
          <w:highlight w:val="none"/>
          <w:lang w:val="en-US" w:eastAsia="en-US" w:bidi="ar-SA"/>
          <w14:textFill>
            <w14:solidFill>
              <w14:schemeClr w14:val="tx1"/>
            </w14:solidFill>
          </w14:textFill>
        </w:rPr>
        <w:t>　　</w:t>
      </w:r>
      <w:r>
        <w:rPr>
          <w:rFonts w:hint="eastAsia" w:ascii="华文楷体" w:hAnsi="华文楷体" w:eastAsia="华文楷体" w:cs="华文楷体"/>
          <w:color w:val="000000" w:themeColor="text1"/>
          <w:kern w:val="0"/>
          <w:sz w:val="32"/>
          <w:szCs w:val="32"/>
          <w:highlight w:val="none"/>
          <w:lang w:val="en-US" w:eastAsia="zh-CN" w:bidi="ar-SA"/>
          <w14:textFill>
            <w14:solidFill>
              <w14:schemeClr w14:val="tx1"/>
            </w14:solidFill>
          </w14:textFill>
        </w:rPr>
        <w:t>（一）</w:t>
      </w:r>
      <w:r>
        <w:rPr>
          <w:rFonts w:hint="eastAsia" w:ascii="华文楷体" w:hAnsi="华文楷体" w:eastAsia="华文楷体" w:cs="华文楷体"/>
          <w:color w:val="000000" w:themeColor="text1"/>
          <w:kern w:val="0"/>
          <w:sz w:val="32"/>
          <w:szCs w:val="32"/>
          <w:highlight w:val="none"/>
          <w:lang w:val="en-US" w:eastAsia="en-US" w:bidi="ar-SA"/>
          <w14:textFill>
            <w14:solidFill>
              <w14:schemeClr w14:val="tx1"/>
            </w14:solidFill>
          </w14:textFill>
        </w:rPr>
        <w:t>扶持范围</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在龙岗区内主办具有重大国际、国内影响力的人工智能、具身智能机器人等相关大赛的企业、行业协会、民办非企业单位。</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000000" w:themeColor="text1"/>
          <w:kern w:val="0"/>
          <w:sz w:val="32"/>
          <w:szCs w:val="32"/>
          <w:highlight w:val="none"/>
          <w:lang w:val="en-US" w:eastAsia="zh-CN" w:bidi="ar-SA"/>
          <w14:textFill>
            <w14:solidFill>
              <w14:schemeClr w14:val="tx1"/>
            </w14:solidFill>
          </w14:textFill>
        </w:rPr>
      </w:pPr>
      <w:r>
        <w:rPr>
          <w:rFonts w:hint="eastAsia" w:ascii="华文楷体" w:hAnsi="华文楷体" w:eastAsia="华文楷体" w:cs="华文楷体"/>
          <w:color w:val="000000" w:themeColor="text1"/>
          <w:kern w:val="0"/>
          <w:sz w:val="32"/>
          <w:szCs w:val="32"/>
          <w:highlight w:val="none"/>
          <w:lang w:val="en-US" w:eastAsia="zh-CN" w:bidi="ar-SA"/>
          <w14:textFill>
            <w14:solidFill>
              <w14:schemeClr w14:val="tx1"/>
            </w14:solidFill>
          </w14:textFill>
        </w:rPr>
        <w:t>（二）扶持方式和标准</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经深圳市龙岗区人工智能（机器人）署备案的相关大赛，根据赛事规模、质量等维度综合评定，分A、B、C、D档给予支持（A档不超过200万元、B档不超过150万元、C档不超过100万元、D档不超过50万元），单个活动最高不超过200万元。</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000000" w:themeColor="text1"/>
          <w:kern w:val="0"/>
          <w:sz w:val="32"/>
          <w:szCs w:val="32"/>
          <w:highlight w:val="none"/>
          <w:lang w:val="en-US" w:eastAsia="zh-CN" w:bidi="ar-SA"/>
          <w14:textFill>
            <w14:solidFill>
              <w14:schemeClr w14:val="tx1"/>
            </w14:solidFill>
          </w14:textFill>
        </w:rPr>
      </w:pPr>
      <w:r>
        <w:rPr>
          <w:rFonts w:hint="eastAsia" w:ascii="华文楷体" w:hAnsi="华文楷体" w:eastAsia="华文楷体" w:cs="华文楷体"/>
          <w:color w:val="000000" w:themeColor="text1"/>
          <w:kern w:val="0"/>
          <w:sz w:val="32"/>
          <w:szCs w:val="32"/>
          <w:highlight w:val="none"/>
          <w:lang w:val="en-US" w:eastAsia="zh-CN" w:bidi="ar-SA"/>
          <w14:textFill>
            <w14:solidFill>
              <w14:schemeClr w14:val="tx1"/>
            </w14:solidFill>
          </w14:textFill>
        </w:rPr>
        <w:t>（三）审核方式</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事前备案，事后评审。以第三方专业服务机构评审结果等相关材料为参考依据。</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000000" w:themeColor="text1"/>
          <w:kern w:val="2"/>
          <w:sz w:val="32"/>
          <w:szCs w:val="32"/>
          <w:highlight w:val="none"/>
          <w:lang w:val="en-US" w:eastAsia="zh-CN" w:bidi="ar-SA"/>
          <w14:textFill>
            <w14:solidFill>
              <w14:schemeClr w14:val="tx1"/>
            </w14:solidFill>
          </w14:textFill>
        </w:rPr>
      </w:pPr>
      <w:r>
        <w:rPr>
          <w:rFonts w:hint="eastAsia" w:ascii="黑体" w:hAnsi="黑体" w:eastAsia="黑体" w:cs="黑体"/>
          <w:color w:val="000000" w:themeColor="text1"/>
          <w:kern w:val="2"/>
          <w:sz w:val="32"/>
          <w:szCs w:val="32"/>
          <w:highlight w:val="none"/>
          <w:lang w:val="en-US" w:eastAsia="zh-CN" w:bidi="ar-SA"/>
          <w14:textFill>
            <w14:solidFill>
              <w14:schemeClr w14:val="tx1"/>
            </w14:solidFill>
          </w14:textFill>
        </w:rPr>
        <w:t>　　三、申报条件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000000" w:themeColor="text1"/>
          <w:kern w:val="0"/>
          <w:sz w:val="32"/>
          <w:szCs w:val="32"/>
          <w:highlight w:val="none"/>
          <w:lang w:val="en-US" w:eastAsia="en-US" w:bidi="ar-SA"/>
          <w14:textFill>
            <w14:solidFill>
              <w14:schemeClr w14:val="tx1"/>
            </w14:solidFill>
          </w14:textFill>
        </w:rPr>
      </w:pPr>
      <w:r>
        <w:rPr>
          <w:rFonts w:hint="eastAsia" w:ascii="华文楷体" w:hAnsi="华文楷体" w:eastAsia="华文楷体" w:cs="华文楷体"/>
          <w:color w:val="000000" w:themeColor="text1"/>
          <w:kern w:val="0"/>
          <w:sz w:val="32"/>
          <w:szCs w:val="32"/>
          <w:highlight w:val="none"/>
          <w:lang w:val="en-US" w:eastAsia="en-US" w:bidi="ar-SA"/>
          <w14:textFill>
            <w14:solidFill>
              <w14:schemeClr w14:val="tx1"/>
            </w14:solidFill>
          </w14:textFill>
        </w:rPr>
        <w:t>　　（一）基础申报条件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CESI仿宋-GB2312" w:hAnsi="CESI仿宋-GB2312" w:eastAsia="CESI仿宋-GB2312" w:cs="CESI仿宋-GB2312"/>
          <w:color w:val="000000" w:themeColor="text1"/>
          <w:sz w:val="32"/>
          <w:szCs w:val="32"/>
          <w:highlight w:val="none"/>
          <w14:textFill>
            <w14:solidFill>
              <w14:schemeClr w14:val="tx1"/>
            </w14:solidFill>
          </w14:textFill>
        </w:rPr>
        <w:t>　</w:t>
      </w: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　1.申报单位是在龙岗区实际经营，并且符合要求的法人企业或其他组织，分支机构申请的，应同时提供总公司的授权证明文件；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2.申报单位未被依法依规列入严重失信主体名单，且注册经营期限在有效期内；</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3.申报单位对申报材料的真实性、合法性和完整性负责，不得弄虚作假、套取、骗取专项资金，对违反规定获取专项资金的企业，龙岗区有权追回相关款项；</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4.申报单位不得以同一事项重复申报或者多头申报区级专项资金，同一项目因政策允许可申报多项专项资金的，应当在申报材料中予以明确；</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5.法律、法规、规章和上级行政机关规范性文件规定的其他条件。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000000" w:themeColor="text1"/>
          <w:kern w:val="0"/>
          <w:sz w:val="32"/>
          <w:szCs w:val="32"/>
          <w:highlight w:val="none"/>
          <w:lang w:val="en-US" w:eastAsia="en-US" w:bidi="ar-SA"/>
          <w14:textFill>
            <w14:solidFill>
              <w14:schemeClr w14:val="tx1"/>
            </w14:solidFill>
          </w14:textFill>
        </w:rPr>
      </w:pPr>
      <w:r>
        <w:rPr>
          <w:rFonts w:hint="eastAsia" w:ascii="华文楷体" w:hAnsi="华文楷体" w:eastAsia="华文楷体" w:cs="华文楷体"/>
          <w:color w:val="000000" w:themeColor="text1"/>
          <w:kern w:val="0"/>
          <w:sz w:val="32"/>
          <w:szCs w:val="32"/>
          <w:highlight w:val="none"/>
          <w:lang w:val="en-US" w:eastAsia="en-US" w:bidi="ar-SA"/>
          <w14:textFill>
            <w14:solidFill>
              <w14:schemeClr w14:val="tx1"/>
            </w14:solidFill>
          </w14:textFill>
        </w:rPr>
        <w:t>（二）专项申报条件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申报单位申报具体项目，还应符合以下专项申报条件和深圳市龙岗区人工智能（机器人）署依据本实施细则制定的申报指南的相关条件：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2"/>
          <w:highlight w:val="none"/>
          <w:lang w:bidi="ar-SA"/>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1.申报项目须为在龙岗区举办的人工智能、具身智能机器人等领域的大赛；</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t>2.项目须在申报前向深圳市龙岗区人工智能（机器人）署</w:t>
      </w:r>
      <w:r>
        <w:rPr>
          <w:rFonts w:hint="eastAsia" w:ascii="仿宋_GB2312" w:hAnsi="仿宋_GB2312" w:eastAsia="仿宋_GB2312" w:cs="仿宋_GB2312"/>
          <w:color w:val="000000" w:themeColor="text1"/>
          <w:kern w:val="2"/>
          <w:sz w:val="32"/>
          <w:szCs w:val="36"/>
          <w:highlight w:val="none"/>
          <w:lang w:eastAsia="zh-CN" w:bidi="ar-SA"/>
          <w14:textFill>
            <w14:solidFill>
              <w14:schemeClr w14:val="tx1"/>
            </w14:solidFill>
          </w14:textFill>
        </w:rPr>
        <w:t>申请</w:t>
      </w:r>
      <w:r>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t>备案；</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t>3.活动须具有重大国际、国内影响力，由企业、行业协会或民办非企业单位通过市场化方式主办；</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t>4.申报大赛类项目的，须满足以下全部条件：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t>（1）大赛组别不低于3个；</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t>（2）参赛队伍不低于100家，参赛作品不少于500件；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t>（3）参赛队伍来源国家和地区不低于10个；</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t>（4）赛事评委不低于10名；</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t>（5）市内外主流媒体和专业媒体对活动参与宣传报道。</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5.同一申报单位每年申报项目总数不得超过2个。</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000000" w:themeColor="text1"/>
          <w:kern w:val="2"/>
          <w:sz w:val="32"/>
          <w:szCs w:val="32"/>
          <w:highlight w:val="none"/>
          <w:lang w:val="en-US" w:eastAsia="zh-CN" w:bidi="ar-SA"/>
          <w14:textFill>
            <w14:solidFill>
              <w14:schemeClr w14:val="tx1"/>
            </w14:solidFill>
          </w14:textFill>
        </w:rPr>
      </w:pPr>
      <w:r>
        <w:rPr>
          <w:rFonts w:hint="eastAsia" w:ascii="黑体" w:hAnsi="黑体" w:eastAsia="黑体" w:cs="黑体"/>
          <w:color w:val="000000" w:themeColor="text1"/>
          <w:kern w:val="2"/>
          <w:sz w:val="32"/>
          <w:szCs w:val="32"/>
          <w:highlight w:val="none"/>
          <w:lang w:val="en-US" w:eastAsia="zh-CN" w:bidi="ar-SA"/>
          <w14:textFill>
            <w14:solidFill>
              <w14:schemeClr w14:val="tx1"/>
            </w14:solidFill>
          </w14:textFill>
        </w:rPr>
        <w:t>　　四、申报材料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CESI仿宋-GB2312" w:hAnsi="CESI仿宋-GB2312" w:eastAsia="CESI仿宋-GB2312" w:cs="CESI仿宋-GB2312"/>
          <w:color w:val="000000" w:themeColor="text1"/>
          <w:sz w:val="32"/>
          <w:szCs w:val="32"/>
          <w:highlight w:val="none"/>
          <w14:textFill>
            <w14:solidFill>
              <w14:schemeClr w14:val="tx1"/>
            </w14:solidFill>
          </w14:textFill>
        </w:rPr>
        <w:t>　　</w:t>
      </w: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申报材料由基础申报材料和专项申报材料两部分组成，申报材料原件或复印件加盖单位公章，并彩色扫描成PDF文件上传至龙岗区产业管理服务平台。</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000000" w:themeColor="text1"/>
          <w:kern w:val="0"/>
          <w:sz w:val="32"/>
          <w:szCs w:val="32"/>
          <w:highlight w:val="none"/>
          <w:lang w:val="en-US" w:eastAsia="en-US" w:bidi="ar-SA"/>
          <w14:textFill>
            <w14:solidFill>
              <w14:schemeClr w14:val="tx1"/>
            </w14:solidFill>
          </w14:textFill>
        </w:rPr>
      </w:pPr>
      <w:r>
        <w:rPr>
          <w:rFonts w:hint="eastAsia" w:ascii="华文楷体" w:hAnsi="华文楷体" w:eastAsia="华文楷体" w:cs="华文楷体"/>
          <w:color w:val="000000" w:themeColor="text1"/>
          <w:kern w:val="0"/>
          <w:sz w:val="32"/>
          <w:szCs w:val="32"/>
          <w:highlight w:val="none"/>
          <w:lang w:val="en-US" w:eastAsia="en-US" w:bidi="ar-SA"/>
          <w14:textFill>
            <w14:solidFill>
              <w14:schemeClr w14:val="tx1"/>
            </w14:solidFill>
          </w14:textFill>
        </w:rPr>
        <w:t>　　（一）基础申报材料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1.登录龙岗区产业管理服务平台（网址：http://cyfw.lg.gov.cn）在线填报申报书，提供通过该系统打印的申报书纸质文件（原件）。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2.企业类申报单位提供营业执照，非企业类申报单位（民办非企业单位、行业协会）提供统一社会信用代码证书。</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3.法定代表人身份证明书及身份证复印件（须有本人签字）。</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4.申报项目负责人的身份证复印件（须有本人签字）、与申请单位签订的劳动合同复印件、近三个月的深圳社会保险缴纳凭证复印件及授权委托书。</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5.</w:t>
      </w:r>
      <w:r>
        <w:rPr>
          <w:rFonts w:hint="eastAsia" w:ascii="仿宋_GB2312" w:hAnsi="仿宋_GB2312" w:eastAsia="仿宋_GB2312" w:cs="仿宋_GB2312"/>
          <w:color w:val="000000" w:themeColor="text1"/>
          <w:kern w:val="2"/>
          <w:sz w:val="32"/>
          <w:szCs w:val="36"/>
          <w:highlight w:val="none"/>
          <w:shd w:val="clear"/>
          <w:lang w:val="en-US" w:eastAsia="zh-CN" w:bidi="ar-SA"/>
          <w14:textFill>
            <w14:solidFill>
              <w14:schemeClr w14:val="tx1"/>
            </w14:solidFill>
          </w14:textFill>
        </w:rPr>
        <w:t>国家信用网（https://www.creditchina.gov.cn/）查询下载的完整版信用报告。</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6.申报单位近两年的财务审计报告或财务报表（复印件，成立时间不足两年的提供成立以来的）。</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7.需提交税务部门出具的单位上年度纳税证明复印件。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8.项目涉及科技伦理敏感领域，或存在科技安全等风险的，需按国家有关法律法规和伦理监管政策提供相关材料。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kern w:val="2"/>
          <w:sz w:val="32"/>
          <w:szCs w:val="36"/>
          <w:highlight w:val="none"/>
          <w:lang w:val="en-US" w:eastAsia="en-US" w:bidi="ar-SA"/>
          <w14:textFill>
            <w14:solidFill>
              <w14:schemeClr w14:val="tx1"/>
            </w14:solidFill>
          </w14:textFill>
        </w:rPr>
      </w:pPr>
      <w:r>
        <w:rPr>
          <w:rFonts w:hint="eastAsia" w:ascii="华文楷体" w:hAnsi="华文楷体" w:eastAsia="华文楷体" w:cs="华文楷体"/>
          <w:color w:val="000000" w:themeColor="text1"/>
          <w:kern w:val="0"/>
          <w:sz w:val="32"/>
          <w:szCs w:val="32"/>
          <w:highlight w:val="none"/>
          <w:lang w:val="en-US" w:eastAsia="en-US" w:bidi="ar-SA"/>
          <w14:textFill>
            <w14:solidFill>
              <w14:schemeClr w14:val="tx1"/>
            </w14:solidFill>
          </w14:textFill>
        </w:rPr>
        <w:t>　　（二）专项申报材料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1.由申报单位出具的用于申请备案的文件。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2.活动总体方案（须包含活动名称、时间、地点、主办/承办/协办单位、活动议程、参与人员规模、预期成效等内容）。</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3.活动总结报告（须包含活动实际举办情况、参与单位及人员统计、活动成果、社会影响等内容）。</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4.活动实际发生的费用明细表及相关合同、发票、付款凭证等财务证明材料。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5.以下专项证明材料：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（1）大赛组别设置说明及证明材料；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（2）参赛队伍名录（含单位名称、所属国家/地区、参赛作品名称等）；</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（3）参赛队伍来源国家和地区的证明材料（如参赛队伍注册信息、所属机构证明等）；</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（4）赛事评委名单及简介（不少于10名）；</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（5）市内外主流媒体和专业媒体对活动的宣传报道材料（报道截图、链接、报纸复印件等）。</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6.活动在龙岗区举办的证明材料（如场地合同、活动照片、签到表等）。</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default"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7.其他有助于说明活动规模、质量及影响力的补充材料（如嘉宾邀请函、参会人员名录、媒体报道合集、活动视频等）。</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000000" w:themeColor="text1"/>
          <w:kern w:val="2"/>
          <w:sz w:val="32"/>
          <w:szCs w:val="32"/>
          <w:highlight w:val="none"/>
          <w:lang w:val="en-US" w:eastAsia="zh-CN" w:bidi="ar-SA"/>
          <w14:textFill>
            <w14:solidFill>
              <w14:schemeClr w14:val="tx1"/>
            </w14:solidFill>
          </w14:textFill>
        </w:rPr>
      </w:pPr>
      <w:r>
        <w:rPr>
          <w:rFonts w:hint="eastAsia" w:ascii="黑体" w:hAnsi="黑体" w:eastAsia="黑体" w:cs="黑体"/>
          <w:color w:val="000000" w:themeColor="text1"/>
          <w:kern w:val="2"/>
          <w:sz w:val="32"/>
          <w:szCs w:val="32"/>
          <w:highlight w:val="none"/>
          <w:lang w:val="en-US" w:eastAsia="zh-CN" w:bidi="ar-SA"/>
          <w14:textFill>
            <w14:solidFill>
              <w14:schemeClr w14:val="tx1"/>
            </w14:solidFill>
          </w14:textFill>
        </w:rPr>
        <w:t>　　五、办理流程</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CESI仿宋-GB2312" w:hAnsi="CESI仿宋-GB2312" w:eastAsia="CESI仿宋-GB2312" w:cs="CESI仿宋-GB2312"/>
          <w:color w:val="000000" w:themeColor="text1"/>
          <w:sz w:val="32"/>
          <w:szCs w:val="32"/>
          <w:highlight w:val="none"/>
          <w14:textFill>
            <w14:solidFill>
              <w14:schemeClr w14:val="tx1"/>
            </w14:solidFill>
          </w14:textFill>
        </w:rPr>
      </w:pPr>
      <w:r>
        <w:rPr>
          <w:rFonts w:hint="eastAsia" w:ascii="CESI仿宋-GB2312" w:hAnsi="CESI仿宋-GB2312" w:eastAsia="CESI仿宋-GB2312" w:cs="CESI仿宋-GB2312"/>
          <w:color w:val="000000" w:themeColor="text1"/>
          <w:sz w:val="32"/>
          <w:szCs w:val="32"/>
          <w:highlight w:val="none"/>
          <w14:textFill>
            <w14:solidFill>
              <w14:schemeClr w14:val="tx1"/>
            </w14:solidFill>
          </w14:textFill>
        </w:rPr>
        <w:t>　　</w:t>
      </w: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请按以下步骤进行申报：</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华文楷体" w:hAnsi="华文楷体" w:eastAsia="华文楷体" w:cs="华文楷体"/>
          <w:color w:val="000000" w:themeColor="text1"/>
          <w:kern w:val="0"/>
          <w:sz w:val="32"/>
          <w:szCs w:val="32"/>
          <w:highlight w:val="none"/>
          <w:lang w:val="en-US" w:eastAsia="en-US" w:bidi="ar-SA"/>
          <w14:textFill>
            <w14:solidFill>
              <w14:schemeClr w14:val="tx1"/>
            </w14:solidFill>
          </w14:textFill>
        </w:rPr>
        <w:t>　　（一）</w:t>
      </w: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“龙岗区产业管理服务平台”申报</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企业登录龙岗区产业管理服务平台（网址：http://cyfw.lg.gov.cn）并注册账号（已注册企业可直接登录，没有注册的请尽快注册），然后在首页导航栏选择“项目申报”——“产业资助”，在业务类别中选</w:t>
      </w:r>
      <w:r>
        <w:rPr>
          <w:rFonts w:hint="eastAsia" w:ascii="仿宋_GB2312" w:hAnsi="仿宋_GB2312" w:eastAsia="仿宋_GB2312" w:cs="仿宋_GB2312"/>
          <w:color w:val="000000" w:themeColor="text1"/>
          <w:kern w:val="2"/>
          <w:sz w:val="32"/>
          <w:szCs w:val="36"/>
          <w:highlight w:val="none"/>
          <w:shd w:val="clear"/>
          <w:lang w:val="en-US" w:eastAsia="zh-CN" w:bidi="ar-SA"/>
          <w14:textFill>
            <w14:solidFill>
              <w14:schemeClr w14:val="tx1"/>
            </w14:solidFill>
          </w14:textFill>
        </w:rPr>
        <w:t>择</w:t>
      </w:r>
      <w:r>
        <w:rPr>
          <w:rFonts w:hint="eastAsia" w:ascii="仿宋_GB2312" w:hAnsi="仿宋_GB2312" w:eastAsia="仿宋_GB2312" w:cs="仿宋_GB2312"/>
          <w:color w:val="000000" w:themeColor="text1"/>
          <w:kern w:val="0"/>
          <w:sz w:val="32"/>
          <w:szCs w:val="32"/>
          <w:highlight w:val="none"/>
          <w:shd w:val="clear"/>
          <w:lang w:val="en-US" w:eastAsia="en-US" w:bidi="ar-SA"/>
          <w14:textFill>
            <w14:solidFill>
              <w14:schemeClr w14:val="tx1"/>
            </w14:solidFill>
          </w14:textFill>
        </w:rPr>
        <w:t>【</w:t>
      </w:r>
      <w:r>
        <w:rPr>
          <w:rFonts w:hint="eastAsia" w:ascii="仿宋_GB2312" w:hAnsi="仿宋_GB2312" w:eastAsia="仿宋_GB2312" w:cs="仿宋_GB2312"/>
          <w:color w:val="000000" w:themeColor="text1"/>
          <w:kern w:val="2"/>
          <w:sz w:val="32"/>
          <w:szCs w:val="36"/>
          <w:highlight w:val="none"/>
          <w:shd w:val="clear"/>
          <w:lang w:val="en-US" w:eastAsia="en-US" w:bidi="ar-SA"/>
          <w14:textFill>
            <w14:solidFill>
              <w14:schemeClr w14:val="tx1"/>
            </w14:solidFill>
          </w14:textFill>
        </w:rPr>
        <w:t>2026年龙岗区人工智能赛事项目</w:t>
      </w:r>
      <w:r>
        <w:rPr>
          <w:rFonts w:hint="eastAsia" w:ascii="仿宋_GB2312" w:hAnsi="仿宋_GB2312" w:eastAsia="仿宋_GB2312" w:cs="仿宋_GB2312"/>
          <w:color w:val="000000" w:themeColor="text1"/>
          <w:kern w:val="2"/>
          <w:sz w:val="32"/>
          <w:szCs w:val="36"/>
          <w:highlight w:val="none"/>
          <w:shd w:val="clear"/>
          <w:lang w:val="en-US" w:eastAsia="zh-CN" w:bidi="ar-SA"/>
          <w14:textFill>
            <w14:solidFill>
              <w14:schemeClr w14:val="tx1"/>
            </w14:solidFill>
          </w14:textFill>
        </w:rPr>
        <w:t>】栏</w:t>
      </w: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目，然后进入申报。（备注：企业登录的账号必须为申请本扶持企业的账号，不得用其他关联企业的账号登录和申请）。企业上传申报材料后，区人工智能（机器人）署将组织线上审核等工作，请企业等待线上审核结果。</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企业收到龙岗区产业管理服务平台“已通过线上终审”的信息后，即可在平台下载带水印的申报书和各项申报材料。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000000" w:themeColor="text1"/>
          <w:kern w:val="0"/>
          <w:sz w:val="32"/>
          <w:szCs w:val="32"/>
          <w:highlight w:val="none"/>
          <w:lang w:val="en-US" w:eastAsia="en-US" w:bidi="ar-SA"/>
          <w14:textFill>
            <w14:solidFill>
              <w14:schemeClr w14:val="tx1"/>
            </w14:solidFill>
          </w14:textFill>
        </w:rPr>
      </w:pPr>
      <w:r>
        <w:rPr>
          <w:rFonts w:hint="eastAsia" w:ascii="华文楷体" w:hAnsi="华文楷体" w:eastAsia="华文楷体" w:cs="华文楷体"/>
          <w:color w:val="000000" w:themeColor="text1"/>
          <w:kern w:val="0"/>
          <w:sz w:val="32"/>
          <w:szCs w:val="32"/>
          <w:highlight w:val="none"/>
          <w:lang w:val="en-US" w:eastAsia="en-US" w:bidi="ar-SA"/>
          <w14:textFill>
            <w14:solidFill>
              <w14:schemeClr w14:val="tx1"/>
            </w14:solidFill>
          </w14:textFill>
        </w:rPr>
        <w:t>　　（二）在广东政务服务网进行项目申报</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CESI仿宋-GB2312" w:hAnsi="CESI仿宋-GB2312" w:eastAsia="CESI仿宋-GB2312" w:cs="CESI仿宋-GB2312"/>
          <w:color w:val="000000" w:themeColor="text1"/>
          <w:sz w:val="32"/>
          <w:szCs w:val="32"/>
          <w:highlight w:val="none"/>
          <w14:textFill>
            <w14:solidFill>
              <w14:schemeClr w14:val="tx1"/>
            </w14:solidFill>
          </w14:textFill>
        </w:rPr>
        <w:t>　　</w:t>
      </w: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企业在广东政务服务网注册、登录；进入龙岗区人工智能（机器人）署“2026年龙岗区人工智能赛事项目”申报页面在线办理申请，上传并提交带水印的申报书和各项申报材料，等待后台工作人员审核。</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000000" w:themeColor="text1"/>
          <w:kern w:val="0"/>
          <w:sz w:val="32"/>
          <w:szCs w:val="32"/>
          <w:highlight w:val="none"/>
          <w:lang w:val="en-US" w:eastAsia="en-US" w:bidi="ar-SA"/>
          <w14:textFill>
            <w14:solidFill>
              <w14:schemeClr w14:val="tx1"/>
            </w14:solidFill>
          </w14:textFill>
        </w:rPr>
      </w:pPr>
      <w:r>
        <w:rPr>
          <w:rFonts w:hint="eastAsia" w:ascii="华文楷体" w:hAnsi="华文楷体" w:eastAsia="华文楷体" w:cs="华文楷体"/>
          <w:color w:val="000000" w:themeColor="text1"/>
          <w:kern w:val="0"/>
          <w:sz w:val="32"/>
          <w:szCs w:val="32"/>
          <w:highlight w:val="none"/>
          <w:lang w:val="en-US" w:eastAsia="en-US" w:bidi="ar-SA"/>
          <w14:textFill>
            <w14:solidFill>
              <w14:schemeClr w14:val="tx1"/>
            </w14:solidFill>
          </w14:textFill>
        </w:rPr>
        <w:t>　　（三）递交书面材料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CESI仿宋-GB2312" w:hAnsi="CESI仿宋-GB2312" w:eastAsia="CESI仿宋-GB2312" w:cs="CESI仿宋-GB2312"/>
          <w:color w:val="000000" w:themeColor="text1"/>
          <w:sz w:val="32"/>
          <w:szCs w:val="32"/>
          <w:highlight w:val="none"/>
          <w14:textFill>
            <w14:solidFill>
              <w14:schemeClr w14:val="tx1"/>
            </w14:solidFill>
          </w14:textFill>
        </w:rPr>
        <w:t>　　</w:t>
      </w:r>
      <w:bookmarkStart w:id="0" w:name="_Hlk130487719"/>
      <w:bookmarkEnd w:id="0"/>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请企业在收到广东政务服务网审核通过的短信通知后，在5个工作日内递交带水印的书面申报书和各项申报材料（请按分项制作目录索引，用A4纸双面打印全套申报材料，按顺序胶装成册、封面加盖公章、盖骑缝章。一式两份）。</w:t>
      </w: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华文仿宋" w:hAnsi="华文仿宋" w:eastAsia="华文仿宋" w:cs="华文仿宋"/>
          <w:b/>
          <w:bCs/>
          <w:color w:val="000000" w:themeColor="text1"/>
          <w:sz w:val="32"/>
          <w:szCs w:val="32"/>
          <w:highlight w:val="none"/>
          <w14:textFill>
            <w14:solidFill>
              <w14:schemeClr w14:val="tx1"/>
            </w14:solidFill>
          </w14:textFill>
        </w:rPr>
      </w:pPr>
      <w:r>
        <w:rPr>
          <w:rFonts w:hint="default" w:ascii="华文仿宋" w:hAnsi="华文仿宋" w:eastAsia="华文仿宋" w:cs="华文仿宋"/>
          <w:b/>
          <w:bCs/>
          <w:color w:val="000000" w:themeColor="text1"/>
          <w:sz w:val="32"/>
          <w:szCs w:val="32"/>
          <w:highlight w:val="none"/>
          <w14:textFill>
            <w14:solidFill>
              <w14:schemeClr w14:val="tx1"/>
            </w14:solidFill>
          </w14:textFill>
        </w:rPr>
        <w:t>纸质材料</w:t>
      </w:r>
      <w:r>
        <w:rPr>
          <w:rFonts w:hint="eastAsia" w:ascii="华文仿宋" w:hAnsi="华文仿宋" w:eastAsia="华文仿宋" w:cs="华文仿宋"/>
          <w:b/>
          <w:bCs/>
          <w:color w:val="000000" w:themeColor="text1"/>
          <w:sz w:val="32"/>
          <w:szCs w:val="32"/>
          <w:highlight w:val="none"/>
          <w14:textFill>
            <w14:solidFill>
              <w14:schemeClr w14:val="tx1"/>
            </w14:solidFill>
          </w14:textFill>
        </w:rPr>
        <w:t>提交地址</w:t>
      </w:r>
      <w:r>
        <w:rPr>
          <w:rFonts w:hint="default" w:ascii="华文仿宋" w:hAnsi="华文仿宋" w:eastAsia="华文仿宋" w:cs="华文仿宋"/>
          <w:b/>
          <w:bCs/>
          <w:color w:val="000000" w:themeColor="text1"/>
          <w:sz w:val="32"/>
          <w:szCs w:val="32"/>
          <w:highlight w:val="none"/>
          <w14:textFill>
            <w14:solidFill>
              <w14:schemeClr w14:val="tx1"/>
            </w14:solidFill>
          </w14:textFill>
        </w:rPr>
        <w:t>（请任意选择其一）</w:t>
      </w:r>
    </w:p>
    <w:tbl>
      <w:tblPr>
        <w:tblStyle w:val="10"/>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5"/>
        <w:gridCol w:w="2957"/>
        <w:gridCol w:w="3470"/>
        <w:gridCol w:w="147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ascii="黑体" w:hAnsi="宋体" w:eastAsia="黑体" w:cs="黑体"/>
                <w:i w:val="0"/>
                <w:iCs w:val="0"/>
                <w:color w:val="000000" w:themeColor="text1"/>
                <w:sz w:val="24"/>
                <w:szCs w:val="24"/>
                <w:highlight w:val="none"/>
                <w:u w:val="none"/>
                <w14:textFill>
                  <w14:solidFill>
                    <w14:schemeClr w14:val="tx1"/>
                  </w14:solidFill>
                </w14:textFill>
              </w:rPr>
            </w:pPr>
            <w:r>
              <w:rPr>
                <w:rFonts w:hint="eastAsia" w:ascii="黑体" w:hAnsi="宋体" w:eastAsia="黑体" w:cs="黑体"/>
                <w:i w:val="0"/>
                <w:iCs w:val="0"/>
                <w:color w:val="000000" w:themeColor="text1"/>
                <w:kern w:val="0"/>
                <w:sz w:val="24"/>
                <w:szCs w:val="24"/>
                <w:highlight w:val="none"/>
                <w:u w:val="none"/>
                <w:lang w:val="en-US" w:eastAsia="zh-CN" w:bidi="ar"/>
                <w14:textFill>
                  <w14:solidFill>
                    <w14:schemeClr w14:val="tx1"/>
                  </w14:solidFill>
                </w14:textFill>
              </w:rPr>
              <w:t>序号</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黑体" w:hAnsi="宋体" w:eastAsia="黑体" w:cs="黑体"/>
                <w:i w:val="0"/>
                <w:iCs w:val="0"/>
                <w:color w:val="000000" w:themeColor="text1"/>
                <w:sz w:val="24"/>
                <w:szCs w:val="24"/>
                <w:highlight w:val="none"/>
                <w:u w:val="none"/>
                <w14:textFill>
                  <w14:solidFill>
                    <w14:schemeClr w14:val="tx1"/>
                  </w14:solidFill>
                </w14:textFill>
              </w:rPr>
            </w:pPr>
            <w:r>
              <w:rPr>
                <w:rFonts w:hint="eastAsia" w:ascii="黑体" w:hAnsi="宋体" w:eastAsia="黑体" w:cs="黑体"/>
                <w:i w:val="0"/>
                <w:iCs w:val="0"/>
                <w:color w:val="000000" w:themeColor="text1"/>
                <w:kern w:val="0"/>
                <w:sz w:val="24"/>
                <w:szCs w:val="24"/>
                <w:highlight w:val="none"/>
                <w:u w:val="none"/>
                <w:lang w:val="en-US" w:eastAsia="zh-CN" w:bidi="ar"/>
                <w14:textFill>
                  <w14:solidFill>
                    <w14:schemeClr w14:val="tx1"/>
                  </w14:solidFill>
                </w14:textFill>
              </w:rPr>
              <w:t>名称</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黑体" w:hAnsi="宋体" w:eastAsia="黑体" w:cs="黑体"/>
                <w:i w:val="0"/>
                <w:iCs w:val="0"/>
                <w:color w:val="000000" w:themeColor="text1"/>
                <w:sz w:val="24"/>
                <w:szCs w:val="24"/>
                <w:highlight w:val="none"/>
                <w:u w:val="none"/>
                <w14:textFill>
                  <w14:solidFill>
                    <w14:schemeClr w14:val="tx1"/>
                  </w14:solidFill>
                </w14:textFill>
              </w:rPr>
            </w:pPr>
            <w:r>
              <w:rPr>
                <w:rFonts w:hint="eastAsia" w:ascii="黑体" w:hAnsi="宋体" w:eastAsia="黑体" w:cs="黑体"/>
                <w:i w:val="0"/>
                <w:iCs w:val="0"/>
                <w:color w:val="000000" w:themeColor="text1"/>
                <w:kern w:val="0"/>
                <w:sz w:val="24"/>
                <w:szCs w:val="24"/>
                <w:highlight w:val="none"/>
                <w:u w:val="none"/>
                <w:lang w:val="en-US" w:eastAsia="zh-CN" w:bidi="ar"/>
                <w14:textFill>
                  <w14:solidFill>
                    <w14:schemeClr w14:val="tx1"/>
                  </w14:solidFill>
                </w14:textFill>
              </w:rPr>
              <w:t>地址</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黑体" w:hAnsi="宋体" w:eastAsia="黑体" w:cs="黑体"/>
                <w:i w:val="0"/>
                <w:iCs w:val="0"/>
                <w:color w:val="000000" w:themeColor="text1"/>
                <w:sz w:val="24"/>
                <w:szCs w:val="24"/>
                <w:highlight w:val="none"/>
                <w:u w:val="none"/>
                <w14:textFill>
                  <w14:solidFill>
                    <w14:schemeClr w14:val="tx1"/>
                  </w14:solidFill>
                </w14:textFill>
              </w:rPr>
            </w:pPr>
            <w:r>
              <w:rPr>
                <w:rFonts w:hint="eastAsia" w:ascii="黑体" w:hAnsi="宋体" w:eastAsia="黑体" w:cs="黑体"/>
                <w:i w:val="0"/>
                <w:iCs w:val="0"/>
                <w:color w:val="000000" w:themeColor="text1"/>
                <w:kern w:val="0"/>
                <w:sz w:val="24"/>
                <w:szCs w:val="24"/>
                <w:highlight w:val="none"/>
                <w:u w:val="none"/>
                <w:lang w:val="en-US" w:eastAsia="zh-CN" w:bidi="ar"/>
                <w14:textFill>
                  <w14:solidFill>
                    <w14:schemeClr w14:val="tx1"/>
                  </w14:solidFill>
                </w14:textFill>
              </w:rPr>
              <w:t>咨询电话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pPr>
            <w:r>
              <w:rPr>
                <w:rFonts w:hint="default" w:ascii="仿宋" w:hAnsi="仿宋" w:eastAsia="仿宋" w:cs="仿宋"/>
                <w:i w:val="0"/>
                <w:iCs w:val="0"/>
                <w:color w:val="000000" w:themeColor="text1"/>
                <w:kern w:val="0"/>
                <w:sz w:val="24"/>
                <w:szCs w:val="24"/>
                <w:highlight w:val="none"/>
                <w:u w:val="none"/>
                <w:lang w:eastAsia="zh-CN" w:bidi="ar"/>
                <w14:textFill>
                  <w14:solidFill>
                    <w14:schemeClr w14:val="tx1"/>
                  </w14:solidFill>
                </w14:textFill>
              </w:rPr>
              <w:t>1</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highlight w:val="none"/>
                <w:u w:val="none"/>
                <w:lang w:val="en-US" w:eastAsia="zh-CN" w:bidi="ar"/>
                <w14:textFill>
                  <w14:solidFill>
                    <w14:schemeClr w14:val="tx1"/>
                  </w14:solidFill>
                </w14:textFill>
              </w:rPr>
              <w:t>深圳市龙岗区政务服务中心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4"/>
                <w:szCs w:val="24"/>
                <w:highlight w:val="none"/>
                <w:u w:val="none"/>
                <w:lang w:val="en-US" w:eastAsia="zh-CN" w:bidi="ar"/>
                <w14:textFill>
                  <w14:solidFill>
                    <w14:schemeClr w14:val="tx1"/>
                  </w14:solidFill>
                </w14:textFill>
              </w:rPr>
              <w:t>深圳市龙岗区龙翔大道8033-1龙岗政务服务中心</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default"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pPr>
            <w:r>
              <w:rPr>
                <w:rFonts w:hint="default" w:ascii="仿宋" w:hAnsi="仿宋" w:eastAsia="仿宋" w:cs="仿宋"/>
                <w:i w:val="0"/>
                <w:iCs w:val="0"/>
                <w:color w:val="000000" w:themeColor="text1"/>
                <w:kern w:val="0"/>
                <w:sz w:val="24"/>
                <w:szCs w:val="24"/>
                <w:highlight w:val="none"/>
                <w:u w:val="none"/>
                <w:lang w:val="en-US" w:eastAsia="zh-CN" w:bidi="ar"/>
                <w14:textFill>
                  <w14:solidFill>
                    <w14:schemeClr w14:val="tx1"/>
                  </w14:solidFill>
                </w14:textFill>
              </w:rPr>
              <w:t>84502446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default"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default" w:ascii="仿宋_GB2312" w:hAnsi="宋体" w:eastAsia="仿宋_GB2312" w:cs="仿宋_GB2312"/>
                <w:i w:val="0"/>
                <w:iCs w:val="0"/>
                <w:color w:val="000000" w:themeColor="text1"/>
                <w:kern w:val="0"/>
                <w:sz w:val="24"/>
                <w:szCs w:val="24"/>
                <w:highlight w:val="none"/>
                <w:u w:val="none"/>
                <w:lang w:eastAsia="zh-CN" w:bidi="ar"/>
                <w14:textFill>
                  <w14:solidFill>
                    <w14:schemeClr w14:val="tx1"/>
                  </w14:solidFill>
                </w14:textFill>
              </w:rPr>
              <w:t>2</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深圳市龙岗区政务服务中心天安云谷分中心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深圳市龙岗区坂田街道雪岗路2018号天安云谷1栋B座1楼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28909185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default"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default" w:ascii="仿宋_GB2312" w:hAnsi="宋体" w:eastAsia="仿宋_GB2312" w:cs="仿宋_GB2312"/>
                <w:i w:val="0"/>
                <w:iCs w:val="0"/>
                <w:color w:val="000000" w:themeColor="text1"/>
                <w:kern w:val="0"/>
                <w:sz w:val="24"/>
                <w:szCs w:val="24"/>
                <w:highlight w:val="none"/>
                <w:u w:val="none"/>
                <w:lang w:eastAsia="zh-CN" w:bidi="ar"/>
                <w14:textFill>
                  <w14:solidFill>
                    <w14:schemeClr w14:val="tx1"/>
                  </w14:solidFill>
                </w14:textFill>
              </w:rPr>
              <w:t>3</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深圳市龙岗区政务服务中心大运软件小镇分中心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深圳市龙岗区龙岗大道8288号大运软件小镇17栋1楼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28229136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default"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default" w:ascii="仿宋_GB2312" w:hAnsi="宋体" w:eastAsia="仿宋_GB2312" w:cs="仿宋_GB2312"/>
                <w:i w:val="0"/>
                <w:iCs w:val="0"/>
                <w:color w:val="000000" w:themeColor="text1"/>
                <w:kern w:val="0"/>
                <w:sz w:val="24"/>
                <w:szCs w:val="24"/>
                <w:highlight w:val="none"/>
                <w:u w:val="none"/>
                <w:lang w:eastAsia="zh-CN" w:bidi="ar"/>
                <w14:textFill>
                  <w14:solidFill>
                    <w14:schemeClr w14:val="tx1"/>
                  </w14:solidFill>
                </w14:textFill>
              </w:rPr>
              <w:t>4</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深圳市龙岗区政务服务中心中海信分中心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深圳市龙岗区吉华街道甘李三路中海信创新产业城19A栋2层</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33112166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default"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default" w:ascii="仿宋_GB2312" w:hAnsi="宋体" w:eastAsia="仿宋_GB2312" w:cs="仿宋_GB2312"/>
                <w:i w:val="0"/>
                <w:iCs w:val="0"/>
                <w:color w:val="000000" w:themeColor="text1"/>
                <w:kern w:val="0"/>
                <w:sz w:val="24"/>
                <w:szCs w:val="24"/>
                <w:highlight w:val="none"/>
                <w:u w:val="none"/>
                <w:lang w:eastAsia="zh-CN" w:bidi="ar"/>
                <w14:textFill>
                  <w14:solidFill>
                    <w14:schemeClr w14:val="tx1"/>
                  </w14:solidFill>
                </w14:textFill>
              </w:rPr>
              <w:t>5</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深圳市龙岗区政务服务中心天安数码城分中心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深圳市龙岗区黄阁路449号天安数码城园区服务中心</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89312333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default"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default" w:ascii="仿宋_GB2312" w:hAnsi="宋体" w:eastAsia="仿宋_GB2312" w:cs="仿宋_GB2312"/>
                <w:i w:val="0"/>
                <w:iCs w:val="0"/>
                <w:color w:val="000000" w:themeColor="text1"/>
                <w:kern w:val="0"/>
                <w:sz w:val="24"/>
                <w:szCs w:val="24"/>
                <w:highlight w:val="none"/>
                <w:u w:val="none"/>
                <w:lang w:eastAsia="zh-CN" w:bidi="ar"/>
                <w14:textFill>
                  <w14:solidFill>
                    <w14:schemeClr w14:val="tx1"/>
                  </w14:solidFill>
                </w14:textFill>
              </w:rPr>
              <w:t>6</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深圳市龙岗区政务服务中心宝龙分中心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深圳市龙岗区冬青路18号宝龙街道便民服务中心1楼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23255492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default"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default" w:ascii="仿宋_GB2312" w:hAnsi="宋体" w:eastAsia="仿宋_GB2312" w:cs="仿宋_GB2312"/>
                <w:i w:val="0"/>
                <w:iCs w:val="0"/>
                <w:color w:val="000000" w:themeColor="text1"/>
                <w:kern w:val="0"/>
                <w:sz w:val="24"/>
                <w:szCs w:val="24"/>
                <w:highlight w:val="none"/>
                <w:u w:val="none"/>
                <w:lang w:eastAsia="zh-CN" w:bidi="ar"/>
                <w14:textFill>
                  <w14:solidFill>
                    <w14:schemeClr w14:val="tx1"/>
                  </w14:solidFill>
                </w14:textFill>
              </w:rPr>
              <w:t>7</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深圳市龙岗区政务服务中心丰隆深港分中心（原启迪协信分中心）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 xml:space="preserve"> 深圳市龙岗区大运新城青春路与飞扬路交叉口丰隆深港科技园18栋B座4楼龙岗区企业国际化服务基地丰隆深港分中心综合窗口</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28399039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default"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default" w:ascii="仿宋_GB2312" w:hAnsi="宋体" w:eastAsia="仿宋_GB2312" w:cs="仿宋_GB2312"/>
                <w:i w:val="0"/>
                <w:iCs w:val="0"/>
                <w:color w:val="000000" w:themeColor="text1"/>
                <w:kern w:val="0"/>
                <w:sz w:val="24"/>
                <w:szCs w:val="24"/>
                <w:highlight w:val="none"/>
                <w:u w:val="none"/>
                <w:lang w:eastAsia="zh-CN" w:bidi="ar"/>
                <w14:textFill>
                  <w14:solidFill>
                    <w14:schemeClr w14:val="tx1"/>
                  </w14:solidFill>
                </w14:textFill>
              </w:rPr>
              <w:t>8</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深圳市龙岗区政务服务中心星河WORLD分中心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深圳市龙岗区坂田街道南坑社区雅星路8号IEO-S3栋1楼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23952233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default"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default" w:ascii="仿宋_GB2312" w:hAnsi="宋体" w:eastAsia="仿宋_GB2312" w:cs="仿宋_GB2312"/>
                <w:i w:val="0"/>
                <w:iCs w:val="0"/>
                <w:color w:val="000000" w:themeColor="text1"/>
                <w:kern w:val="0"/>
                <w:sz w:val="24"/>
                <w:szCs w:val="24"/>
                <w:highlight w:val="none"/>
                <w:u w:val="none"/>
                <w:lang w:eastAsia="zh-CN" w:bidi="ar"/>
                <w14:textFill>
                  <w14:solidFill>
                    <w14:schemeClr w14:val="tx1"/>
                  </w14:solidFill>
                </w14:textFill>
              </w:rPr>
              <w:t>9</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深圳市龙岗区政务服务中心康利城分中心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left"/>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深圳市龙岗区南湾街道平吉大道66号康利城2栋1楼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28681209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default"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default" w:ascii="仿宋_GB2312" w:hAnsi="宋体" w:eastAsia="仿宋_GB2312" w:cs="仿宋_GB2312"/>
                <w:i w:val="0"/>
                <w:iCs w:val="0"/>
                <w:color w:val="000000" w:themeColor="text1"/>
                <w:kern w:val="0"/>
                <w:sz w:val="24"/>
                <w:szCs w:val="24"/>
                <w:highlight w:val="none"/>
                <w:u w:val="none"/>
                <w:lang w:eastAsia="zh-CN" w:bidi="ar"/>
                <w14:textFill>
                  <w14:solidFill>
                    <w14:schemeClr w14:val="tx1"/>
                  </w14:solidFill>
                </w14:textFill>
              </w:rPr>
              <w:t>10</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深圳市龙岗区政务服务中心华南城分中心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深圳市龙岗区平湖街道富安大道1号华南城招商中心一楼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28491235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default"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default" w:ascii="仿宋_GB2312" w:hAnsi="宋体" w:eastAsia="仿宋_GB2312" w:cs="仿宋_GB2312"/>
                <w:i w:val="0"/>
                <w:iCs w:val="0"/>
                <w:color w:val="000000" w:themeColor="text1"/>
                <w:kern w:val="0"/>
                <w:sz w:val="24"/>
                <w:szCs w:val="24"/>
                <w:highlight w:val="none"/>
                <w:u w:val="none"/>
                <w:lang w:eastAsia="zh-CN" w:bidi="ar"/>
                <w14:textFill>
                  <w14:solidFill>
                    <w14:schemeClr w14:val="tx1"/>
                  </w14:solidFill>
                </w14:textFill>
              </w:rPr>
              <w:t>11</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深圳市龙岗区政务服务中心大运AI小镇分中心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深圳市龙岗区横岗街道信义路大运AI小镇B01栋小镇客厅一层</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89768806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default"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pPr>
            <w:r>
              <w:rPr>
                <w:rFonts w:hint="default"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12</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深圳市龙岗区政务服务中心宝龙专精特新产业园分中心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深圳市龙岗区宝龙街道宝龙三路与新能源五路交汇处宝龙专精特新产业园企业服务中心</w:t>
            </w: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ab/>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default"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28226779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default"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pPr>
            <w:r>
              <w:rPr>
                <w:rFonts w:hint="default"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13</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深圳市龙岗区政务服务中心国际低碳城分中心</w:t>
            </w:r>
          </w:p>
          <w:p>
            <w:pPr>
              <w:keepNext w:val="0"/>
              <w:keepLines w:val="0"/>
              <w:widowControl/>
              <w:suppressLineNumbers w:val="0"/>
              <w:spacing w:line="360" w:lineRule="exact"/>
              <w:jc w:val="center"/>
              <w:textAlignment w:val="center"/>
              <w:rPr>
                <w:rFonts w:hint="eastAsia"/>
                <w:color w:val="000000" w:themeColor="text1"/>
                <w:sz w:val="24"/>
                <w:highlight w:val="none"/>
                <w14:textFill>
                  <w14:solidFill>
                    <w14:schemeClr w14:val="tx1"/>
                  </w14:solidFill>
                </w14:textFill>
              </w:rPr>
            </w:pP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深圳市龙岗区坪地街道教育北路68号高桥社区党群服务中心一楼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28919635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default"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14</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深圳市龙岗区政务服务中心乐荟分中心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深圳市龙岗区坂田街道吉华路489号乐荟科创中心12栋G层01C</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28896997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default"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15</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深圳市龙岗区政务服务中心联创科技园分中心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深圳市龙岗区南湾街道下李朗社区布澜路21号联创科技园1栋厂房A、B区B101</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28300338</w:t>
            </w:r>
          </w:p>
        </w:tc>
      </w:tr>
    </w:tbl>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000000" w:themeColor="text1"/>
          <w:kern w:val="0"/>
          <w:sz w:val="32"/>
          <w:szCs w:val="32"/>
          <w:highlight w:val="none"/>
          <w:lang w:val="en-US" w:eastAsia="en-US" w:bidi="ar-SA"/>
          <w14:textFill>
            <w14:solidFill>
              <w14:schemeClr w14:val="tx1"/>
            </w14:solidFill>
          </w14:textFill>
        </w:rPr>
      </w:pPr>
      <w:r>
        <w:rPr>
          <w:rFonts w:hint="eastAsia" w:ascii="华文楷体" w:hAnsi="华文楷体" w:eastAsia="华文楷体" w:cs="华文楷体"/>
          <w:color w:val="000000" w:themeColor="text1"/>
          <w:kern w:val="0"/>
          <w:sz w:val="32"/>
          <w:szCs w:val="32"/>
          <w:highlight w:val="none"/>
          <w:lang w:val="en-US" w:eastAsia="en-US" w:bidi="ar-SA"/>
          <w14:textFill>
            <w14:solidFill>
              <w14:schemeClr w14:val="tx1"/>
            </w14:solidFill>
          </w14:textFill>
        </w:rPr>
        <w:t>　　</w:t>
      </w:r>
      <w:r>
        <w:rPr>
          <w:rFonts w:hint="eastAsia" w:ascii="华文楷体" w:hAnsi="华文楷体" w:eastAsia="华文楷体" w:cs="华文楷体"/>
          <w:color w:val="000000" w:themeColor="text1"/>
          <w:kern w:val="0"/>
          <w:sz w:val="32"/>
          <w:szCs w:val="32"/>
          <w:highlight w:val="none"/>
          <w:lang w:val="en-US" w:eastAsia="zh-CN" w:bidi="ar-SA"/>
          <w14:textFill>
            <w14:solidFill>
              <w14:schemeClr w14:val="tx1"/>
            </w14:solidFill>
          </w14:textFill>
        </w:rPr>
        <w:t>（四）</w:t>
      </w:r>
      <w:r>
        <w:rPr>
          <w:rFonts w:hint="eastAsia" w:ascii="华文楷体" w:hAnsi="华文楷体" w:eastAsia="华文楷体" w:cs="华文楷体"/>
          <w:color w:val="000000" w:themeColor="text1"/>
          <w:kern w:val="0"/>
          <w:sz w:val="32"/>
          <w:szCs w:val="32"/>
          <w:highlight w:val="none"/>
          <w:lang w:val="en-US" w:eastAsia="en-US" w:bidi="ar-SA"/>
          <w14:textFill>
            <w14:solidFill>
              <w14:schemeClr w14:val="tx1"/>
            </w14:solidFill>
          </w14:textFill>
        </w:rPr>
        <w:t>申报时间</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CESI仿宋-GB2312" w:hAnsi="CESI仿宋-GB2312" w:eastAsia="CESI仿宋-GB2312" w:cs="CESI仿宋-GB2312"/>
          <w:color w:val="000000" w:themeColor="text1"/>
          <w:sz w:val="32"/>
          <w:szCs w:val="32"/>
          <w:highlight w:val="none"/>
          <w14:textFill>
            <w14:solidFill>
              <w14:schemeClr w14:val="tx1"/>
            </w14:solidFill>
          </w14:textFill>
        </w:rPr>
        <w:t>　　</w:t>
      </w: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受理时间：2026年10月22日-11月18日，逾期视作放弃申请。</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000000" w:themeColor="text1"/>
          <w:kern w:val="0"/>
          <w:sz w:val="32"/>
          <w:szCs w:val="32"/>
          <w:highlight w:val="none"/>
          <w:lang w:val="en-US" w:eastAsia="en-US" w:bidi="ar-SA"/>
          <w14:textFill>
            <w14:solidFill>
              <w14:schemeClr w14:val="tx1"/>
            </w14:solidFill>
          </w14:textFill>
        </w:rPr>
      </w:pPr>
      <w:r>
        <w:rPr>
          <w:rFonts w:hint="eastAsia" w:ascii="华文楷体" w:hAnsi="华文楷体" w:eastAsia="华文楷体" w:cs="华文楷体"/>
          <w:color w:val="000000" w:themeColor="text1"/>
          <w:kern w:val="0"/>
          <w:sz w:val="32"/>
          <w:szCs w:val="32"/>
          <w:highlight w:val="none"/>
          <w:lang w:val="en-US" w:eastAsia="en-US" w:bidi="ar-SA"/>
          <w14:textFill>
            <w14:solidFill>
              <w14:schemeClr w14:val="tx1"/>
            </w14:solidFill>
          </w14:textFill>
        </w:rPr>
        <w:t>　　</w:t>
      </w:r>
      <w:r>
        <w:rPr>
          <w:rFonts w:hint="eastAsia" w:ascii="华文楷体" w:hAnsi="华文楷体" w:eastAsia="华文楷体" w:cs="华文楷体"/>
          <w:color w:val="000000" w:themeColor="text1"/>
          <w:kern w:val="0"/>
          <w:sz w:val="32"/>
          <w:szCs w:val="32"/>
          <w:highlight w:val="none"/>
          <w:lang w:val="en-US" w:eastAsia="zh-CN" w:bidi="ar-SA"/>
          <w14:textFill>
            <w14:solidFill>
              <w14:schemeClr w14:val="tx1"/>
            </w14:solidFill>
          </w14:textFill>
        </w:rPr>
        <w:t>（五）</w:t>
      </w:r>
      <w:r>
        <w:rPr>
          <w:rFonts w:hint="eastAsia" w:ascii="华文楷体" w:hAnsi="华文楷体" w:eastAsia="华文楷体" w:cs="华文楷体"/>
          <w:color w:val="000000" w:themeColor="text1"/>
          <w:kern w:val="0"/>
          <w:sz w:val="32"/>
          <w:szCs w:val="32"/>
          <w:highlight w:val="none"/>
          <w:lang w:val="en-US" w:eastAsia="en-US" w:bidi="ar-SA"/>
          <w14:textFill>
            <w14:solidFill>
              <w14:schemeClr w14:val="tx1"/>
            </w14:solidFill>
          </w14:textFill>
        </w:rPr>
        <w:t>注意事项</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CESI仿宋-GB2312" w:hAnsi="CESI仿宋-GB2312" w:eastAsia="CESI仿宋-GB2312" w:cs="CESI仿宋-GB2312"/>
          <w:color w:val="000000" w:themeColor="text1"/>
          <w:sz w:val="32"/>
          <w:szCs w:val="32"/>
          <w:highlight w:val="none"/>
          <w14:textFill>
            <w14:solidFill>
              <w14:schemeClr w14:val="tx1"/>
            </w14:solidFill>
          </w14:textFill>
        </w:rPr>
        <w:t>　</w:t>
      </w: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　1.申报时间为企业在龙岗区产业管理服务平台提交线上申请的期限，不含后续的修改以及提交纸质材料时间，但纸质材料必须在审核通过的5个工作日内提交，务必留意平台系统状态。逾期视为放弃</w:t>
      </w:r>
      <w:bookmarkStart w:id="1" w:name="_GoBack"/>
      <w:bookmarkEnd w:id="1"/>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申请。</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shd w:val="clear"/>
          <w:lang w:val="en-US" w:eastAsia="zh-CN" w:bidi="ar-SA"/>
          <w14:textFill>
            <w14:solidFill>
              <w14:schemeClr w14:val="tx1"/>
            </w14:solidFill>
          </w14:textFill>
        </w:rPr>
        <w:t>　　2.业务咨询电话：0755-89559226；平</w:t>
      </w: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台技术支持电话：0755-23602720，QQ：2972069207。因涉及申报单位较多，请申报单位按申报系统流程操作即可，业务高峰期电话繁忙请多试几次，或者加技术支持QQ咨询问题。</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　　3.申请本项目支持的申报单位应保证其申报材料的完整性、真实性、准确性及合法性，并承担所提交的项目申报材料的相关法律责任，如有虚假或侵权等行为，该项目申请无效，如事后发现存在以上行为，本资金主管部门将保留依法追究其法律责任的权利。</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　　4.申报期结束后，区人工智能（机器人）署将按照规定程序进行后续工作，拟资助的申报单位名单将在区人工智能（机器人）署网站上公示。</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2" w:firstLineChars="200"/>
        <w:jc w:val="left"/>
        <w:textAlignment w:val="auto"/>
        <w:rPr>
          <w:rFonts w:hint="eastAsia" w:ascii="仿宋_GB2312" w:hAnsi="仿宋_GB2312" w:eastAsia="仿宋_GB2312" w:cs="仿宋_GB2312"/>
          <w:b/>
          <w:bCs/>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b/>
          <w:bCs/>
          <w:color w:val="000000" w:themeColor="text1"/>
          <w:kern w:val="2"/>
          <w:sz w:val="32"/>
          <w:szCs w:val="36"/>
          <w:highlight w:val="none"/>
          <w:lang w:val="en-US" w:eastAsia="zh-CN" w:bidi="ar-SA"/>
          <w14:textFill>
            <w14:solidFill>
              <w14:schemeClr w14:val="tx1"/>
            </w14:solidFill>
          </w14:textFill>
        </w:rPr>
        <w:t>温馨提示：区人工智能（机器人）署从未委托任何单位或个人为申报单位代理资金扶持申报事宜，不接受第三方单位代为申报，请申报单位自主申报。区人工智能（机器人）署将严格按照有关标准和程序受理申请，不收取任何费用。如有任何机构或个人假借区人工智能（机器人）署的工作人员名义向申报单位收取费用的，请知情者向区人工智能（机器人）署举报。</w:t>
      </w:r>
    </w:p>
    <w:p>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000000" w:themeColor="text1"/>
          <w:sz w:val="32"/>
          <w:szCs w:val="32"/>
          <w:highlight w:val="none"/>
          <w14:textFill>
            <w14:solidFill>
              <w14:schemeClr w14:val="tx1"/>
            </w14:solidFill>
          </w14:textFill>
        </w:rPr>
      </w:pPr>
    </w:p>
    <w:sectPr>
      <w:footerReference r:id="rId3" w:type="default"/>
      <w:pgSz w:w="11906" w:h="16838"/>
      <w:pgMar w:top="1587" w:right="2041" w:bottom="1587" w:left="198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FangSong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华文楷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6"/>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A24E5"/>
    <w:rsid w:val="02994018"/>
    <w:rsid w:val="03484207"/>
    <w:rsid w:val="0455059A"/>
    <w:rsid w:val="067D77AC"/>
    <w:rsid w:val="08AC0E08"/>
    <w:rsid w:val="098350DA"/>
    <w:rsid w:val="0AB8556E"/>
    <w:rsid w:val="0B476C1F"/>
    <w:rsid w:val="0C2E3359"/>
    <w:rsid w:val="0F1457B6"/>
    <w:rsid w:val="10A122E9"/>
    <w:rsid w:val="17F453F5"/>
    <w:rsid w:val="19B6E7BF"/>
    <w:rsid w:val="1A7606F3"/>
    <w:rsid w:val="1B515AF1"/>
    <w:rsid w:val="1B5FBF99"/>
    <w:rsid w:val="1BA79CDC"/>
    <w:rsid w:val="1BB47375"/>
    <w:rsid w:val="1D151E47"/>
    <w:rsid w:val="1D8965DF"/>
    <w:rsid w:val="1F6706ED"/>
    <w:rsid w:val="1FED819C"/>
    <w:rsid w:val="20293E51"/>
    <w:rsid w:val="213D1BBA"/>
    <w:rsid w:val="21E32762"/>
    <w:rsid w:val="23D305B4"/>
    <w:rsid w:val="277D9957"/>
    <w:rsid w:val="27EE6D51"/>
    <w:rsid w:val="27FF6CEE"/>
    <w:rsid w:val="293C03A1"/>
    <w:rsid w:val="295F4AB9"/>
    <w:rsid w:val="2A2B5644"/>
    <w:rsid w:val="2B006133"/>
    <w:rsid w:val="2EA513B0"/>
    <w:rsid w:val="2F99C37D"/>
    <w:rsid w:val="34D466B4"/>
    <w:rsid w:val="367D4FF9"/>
    <w:rsid w:val="36D154B9"/>
    <w:rsid w:val="37DE3C9F"/>
    <w:rsid w:val="39E38617"/>
    <w:rsid w:val="39FD5F33"/>
    <w:rsid w:val="3A5402D2"/>
    <w:rsid w:val="3B7E465F"/>
    <w:rsid w:val="3B7F5941"/>
    <w:rsid w:val="3B9FB3B4"/>
    <w:rsid w:val="3BDE13E8"/>
    <w:rsid w:val="3BEBC578"/>
    <w:rsid w:val="3D5FD812"/>
    <w:rsid w:val="3EBE72C0"/>
    <w:rsid w:val="3F3BBBF0"/>
    <w:rsid w:val="3F3F54AD"/>
    <w:rsid w:val="3F8D54A2"/>
    <w:rsid w:val="3FDEF73E"/>
    <w:rsid w:val="3FF7E75F"/>
    <w:rsid w:val="4091422D"/>
    <w:rsid w:val="42ED4D97"/>
    <w:rsid w:val="43E07956"/>
    <w:rsid w:val="43F7639C"/>
    <w:rsid w:val="44B042CE"/>
    <w:rsid w:val="46483E01"/>
    <w:rsid w:val="47395243"/>
    <w:rsid w:val="474B7D77"/>
    <w:rsid w:val="47E56984"/>
    <w:rsid w:val="49B74D2D"/>
    <w:rsid w:val="4BC51C5D"/>
    <w:rsid w:val="4C3E406E"/>
    <w:rsid w:val="4D090F5F"/>
    <w:rsid w:val="4DD6AC44"/>
    <w:rsid w:val="4E2E44B5"/>
    <w:rsid w:val="4E6F1144"/>
    <w:rsid w:val="4F7A8014"/>
    <w:rsid w:val="508F6E38"/>
    <w:rsid w:val="531445D8"/>
    <w:rsid w:val="565A22EB"/>
    <w:rsid w:val="56F6563D"/>
    <w:rsid w:val="58330577"/>
    <w:rsid w:val="590B1ADE"/>
    <w:rsid w:val="5A2D03CA"/>
    <w:rsid w:val="5CF43DA1"/>
    <w:rsid w:val="5CFF67B0"/>
    <w:rsid w:val="5D79399F"/>
    <w:rsid w:val="5DE34D44"/>
    <w:rsid w:val="5DF748C4"/>
    <w:rsid w:val="5DFFFEB0"/>
    <w:rsid w:val="5E8CF660"/>
    <w:rsid w:val="5EA038B2"/>
    <w:rsid w:val="5EFF07BD"/>
    <w:rsid w:val="5F942D12"/>
    <w:rsid w:val="5FBE9B08"/>
    <w:rsid w:val="5FDC2F30"/>
    <w:rsid w:val="5FFE2E6F"/>
    <w:rsid w:val="5FFE3534"/>
    <w:rsid w:val="5FFFF88F"/>
    <w:rsid w:val="60F4333C"/>
    <w:rsid w:val="631F74BC"/>
    <w:rsid w:val="63E9680E"/>
    <w:rsid w:val="64817B3D"/>
    <w:rsid w:val="65BC74B7"/>
    <w:rsid w:val="683C02AC"/>
    <w:rsid w:val="6B2F9C3E"/>
    <w:rsid w:val="6B841E8D"/>
    <w:rsid w:val="6E125199"/>
    <w:rsid w:val="6EB7CCBF"/>
    <w:rsid w:val="6ECE79FC"/>
    <w:rsid w:val="6FBFDE40"/>
    <w:rsid w:val="6FF5B642"/>
    <w:rsid w:val="6FF7E679"/>
    <w:rsid w:val="70884088"/>
    <w:rsid w:val="72F90170"/>
    <w:rsid w:val="72FE7215"/>
    <w:rsid w:val="736DC0EF"/>
    <w:rsid w:val="740F6527"/>
    <w:rsid w:val="76BE9F9C"/>
    <w:rsid w:val="76F5AB6F"/>
    <w:rsid w:val="7775C95F"/>
    <w:rsid w:val="77872C35"/>
    <w:rsid w:val="77DD8011"/>
    <w:rsid w:val="77EBFD1C"/>
    <w:rsid w:val="77F70F91"/>
    <w:rsid w:val="77FE67C0"/>
    <w:rsid w:val="78FF21B6"/>
    <w:rsid w:val="792DE3E7"/>
    <w:rsid w:val="79EED6AF"/>
    <w:rsid w:val="7ABF9165"/>
    <w:rsid w:val="7AD85D51"/>
    <w:rsid w:val="7BBEA3DC"/>
    <w:rsid w:val="7BFD5E74"/>
    <w:rsid w:val="7C7EECF1"/>
    <w:rsid w:val="7D8EEADD"/>
    <w:rsid w:val="7DBE72CD"/>
    <w:rsid w:val="7F352E85"/>
    <w:rsid w:val="7F5D406C"/>
    <w:rsid w:val="7F6892CD"/>
    <w:rsid w:val="7F6BBF37"/>
    <w:rsid w:val="7F75BF0B"/>
    <w:rsid w:val="7F7F5E58"/>
    <w:rsid w:val="7FAA741E"/>
    <w:rsid w:val="7FCAE10B"/>
    <w:rsid w:val="7FDA1BEF"/>
    <w:rsid w:val="7FDF5309"/>
    <w:rsid w:val="7FFD98BE"/>
    <w:rsid w:val="8FAFEFEF"/>
    <w:rsid w:val="97AD3846"/>
    <w:rsid w:val="A1FD947C"/>
    <w:rsid w:val="A3B3136E"/>
    <w:rsid w:val="A3E7464E"/>
    <w:rsid w:val="A53D6C38"/>
    <w:rsid w:val="A7EF6CC1"/>
    <w:rsid w:val="AF7B7952"/>
    <w:rsid w:val="AF9F8FCA"/>
    <w:rsid w:val="B7DF0942"/>
    <w:rsid w:val="B8EB41BC"/>
    <w:rsid w:val="BD7DC420"/>
    <w:rsid w:val="BE489A38"/>
    <w:rsid w:val="BEFD7B84"/>
    <w:rsid w:val="C2F50BC2"/>
    <w:rsid w:val="C4779D79"/>
    <w:rsid w:val="C6EF96BF"/>
    <w:rsid w:val="CDAFB7F2"/>
    <w:rsid w:val="CEF16418"/>
    <w:rsid w:val="CFC547A0"/>
    <w:rsid w:val="D97FD55E"/>
    <w:rsid w:val="DCFAAB5D"/>
    <w:rsid w:val="DD0F2569"/>
    <w:rsid w:val="DD9FEC49"/>
    <w:rsid w:val="DDECA757"/>
    <w:rsid w:val="DF7D0DAC"/>
    <w:rsid w:val="DF7F9847"/>
    <w:rsid w:val="DF8FA854"/>
    <w:rsid w:val="DFB3786F"/>
    <w:rsid w:val="E2FFFB61"/>
    <w:rsid w:val="E77F1AAE"/>
    <w:rsid w:val="E96F863A"/>
    <w:rsid w:val="EEC871C7"/>
    <w:rsid w:val="EF7F672B"/>
    <w:rsid w:val="EFCEDB15"/>
    <w:rsid w:val="F297A4D4"/>
    <w:rsid w:val="F35F078F"/>
    <w:rsid w:val="F5BDD814"/>
    <w:rsid w:val="F6A18827"/>
    <w:rsid w:val="F73BC0E3"/>
    <w:rsid w:val="F74DA2EE"/>
    <w:rsid w:val="F7BFA59C"/>
    <w:rsid w:val="F7FBBD65"/>
    <w:rsid w:val="F9BF8FF5"/>
    <w:rsid w:val="FB11CF97"/>
    <w:rsid w:val="FB4ED248"/>
    <w:rsid w:val="FBB6C733"/>
    <w:rsid w:val="FBF7BB84"/>
    <w:rsid w:val="FBF87B06"/>
    <w:rsid w:val="FBFF48EE"/>
    <w:rsid w:val="FD1752FB"/>
    <w:rsid w:val="FDFB112D"/>
    <w:rsid w:val="FEBF1651"/>
    <w:rsid w:val="FEE5CBF6"/>
    <w:rsid w:val="FEFB4F67"/>
    <w:rsid w:val="FEFE30B3"/>
    <w:rsid w:val="FF1DD433"/>
    <w:rsid w:val="FF56486A"/>
    <w:rsid w:val="FFB7806A"/>
    <w:rsid w:val="FFDDF856"/>
    <w:rsid w:val="FFDEADEB"/>
    <w:rsid w:val="FFF4C521"/>
    <w:rsid w:val="FFFD9611"/>
    <w:rsid w:val="FFFF4FF6"/>
    <w:rsid w:val="FFFFBA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Normal Indent"/>
    <w:basedOn w:val="1"/>
    <w:next w:val="3"/>
    <w:qFormat/>
    <w:uiPriority w:val="0"/>
    <w:pPr>
      <w:ind w:firstLine="420" w:firstLineChars="200"/>
    </w:pPr>
    <w:rPr>
      <w:rFonts w:ascii="Times New Roman" w:hAnsi="Times New Roman" w:eastAsia="宋体" w:cs="Times New Roman"/>
    </w:rPr>
  </w:style>
  <w:style w:type="paragraph" w:styleId="3">
    <w:name w:val="Body Text"/>
    <w:basedOn w:val="1"/>
    <w:next w:val="4"/>
    <w:qFormat/>
    <w:uiPriority w:val="1"/>
    <w:pPr>
      <w:ind w:left="138"/>
      <w:jc w:val="left"/>
    </w:pPr>
    <w:rPr>
      <w:rFonts w:ascii="宋体" w:hAnsi="宋体"/>
      <w:kern w:val="0"/>
      <w:sz w:val="24"/>
      <w:lang w:eastAsia="en-US"/>
    </w:rPr>
  </w:style>
  <w:style w:type="paragraph" w:styleId="4">
    <w:name w:val="Title"/>
    <w:basedOn w:val="1"/>
    <w:next w:val="1"/>
    <w:qFormat/>
    <w:uiPriority w:val="99"/>
    <w:pPr>
      <w:jc w:val="center"/>
    </w:pPr>
    <w:rPr>
      <w:rFonts w:ascii="方正小标宋简体" w:hAnsi="方正小标宋简体" w:eastAsia="方正小标宋简体" w:cs="方正小标宋简体"/>
      <w:sz w:val="44"/>
      <w:szCs w:val="44"/>
      <w:lang w:eastAsia="zh-CN" w:bidi="ar-SA"/>
    </w:rPr>
  </w:style>
  <w:style w:type="paragraph" w:styleId="5">
    <w:name w:val="annotation text"/>
    <w:basedOn w:val="1"/>
    <w:qFormat/>
    <w:uiPriority w:val="0"/>
    <w:pPr>
      <w:jc w:val="left"/>
    </w:pPr>
  </w:style>
  <w:style w:type="paragraph" w:styleId="6">
    <w:name w:val="footer"/>
    <w:basedOn w:val="1"/>
    <w:next w:val="7"/>
    <w:qFormat/>
    <w:uiPriority w:val="0"/>
    <w:pPr>
      <w:snapToGrid w:val="0"/>
      <w:jc w:val="left"/>
    </w:pPr>
    <w:rPr>
      <w:sz w:val="18"/>
      <w:szCs w:val="18"/>
    </w:rPr>
  </w:style>
  <w:style w:type="paragraph" w:customStyle="1" w:styleId="7">
    <w:name w:val="目录 91"/>
    <w:next w:val="1"/>
    <w:qFormat/>
    <w:uiPriority w:val="0"/>
    <w:pPr>
      <w:wordWrap w:val="0"/>
      <w:spacing w:after="200" w:line="276" w:lineRule="auto"/>
      <w:ind w:left="2975"/>
      <w:jc w:val="both"/>
    </w:pPr>
    <w:rPr>
      <w:rFonts w:ascii="Calibri" w:hAnsi="Calibri" w:eastAsia="宋体" w:cs="Calibri"/>
      <w:sz w:val="21"/>
      <w:szCs w:val="21"/>
      <w:lang w:val="en-US" w:eastAsia="zh-CN" w:bidi="ar-SA"/>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2">
    <w:name w:val="Strong"/>
    <w:basedOn w:val="11"/>
    <w:qFormat/>
    <w:uiPriority w:val="0"/>
    <w:rPr>
      <w:b/>
    </w:rPr>
  </w:style>
  <w:style w:type="paragraph" w:customStyle="1" w:styleId="13">
    <w:name w:val="_Style 1"/>
    <w:basedOn w:val="1"/>
    <w:qFormat/>
    <w:uiPriority w:val="0"/>
    <w:pPr>
      <w:spacing w:before="0" w:beforeAutospacing="0" w:after="0"/>
      <w:ind w:firstLine="200" w:firstLineChars="200"/>
    </w:pPr>
    <w:rPr>
      <w:rFonts w:ascii="宋体" w:hAnsi="宋体" w:eastAsia="FangSong_GB2312" w:cs="Times New Roman"/>
      <w:sz w:val="32"/>
      <w:szCs w:val="32"/>
    </w:rPr>
  </w:style>
  <w:style w:type="paragraph" w:customStyle="1" w:styleId="14">
    <w:name w:val="纯文本1"/>
    <w:basedOn w:val="1"/>
    <w:qFormat/>
    <w:uiPriority w:val="0"/>
    <w:rPr>
      <w:rFonts w:ascii="宋体" w:hAnsi="Courier New" w:eastAsia="宋体" w:cs="Courier New"/>
    </w:rPr>
  </w:style>
  <w:style w:type="paragraph" w:customStyle="1" w:styleId="15">
    <w:name w:val="正文_0"/>
    <w:next w:val="3"/>
    <w:qFormat/>
    <w:uiPriority w:val="0"/>
    <w:pPr>
      <w:widowControl w:val="0"/>
      <w:jc w:val="both"/>
    </w:pPr>
    <w:rPr>
      <w:rFonts w:ascii="Calibri" w:hAnsi="Calibri" w:eastAsia="宋体" w:cs="Times New Roman"/>
      <w:kern w:val="2"/>
      <w:sz w:val="21"/>
      <w:szCs w:val="24"/>
      <w:lang w:val="en-US" w:eastAsia="zh-CN" w:bidi="ar-SA"/>
    </w:rPr>
  </w:style>
  <w:style w:type="table" w:customStyle="1" w:styleId="16">
    <w:name w:val="网格型1"/>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
    <w:name w:val="font51"/>
    <w:basedOn w:val="11"/>
    <w:qFormat/>
    <w:uiPriority w:val="0"/>
    <w:rPr>
      <w:rFonts w:hint="default" w:ascii="仿宋_GB2312" w:eastAsia="仿宋_GB2312" w:cs="仿宋_GB2312"/>
      <w:color w:val="000000"/>
      <w:sz w:val="28"/>
      <w:szCs w:val="2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399</Words>
  <Characters>423</Characters>
  <Lines>0</Lines>
  <Paragraphs>0</Paragraphs>
  <TotalTime>0</TotalTime>
  <ScaleCrop>false</ScaleCrop>
  <LinksUpToDate>false</LinksUpToDate>
  <CharactersWithSpaces>429</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2025-06-17T09:45:00Z</dcterms:created>
  <dc:creator>PC</dc:creator>
  <cp:lastModifiedBy>朱晨春</cp:lastModifiedBy>
  <cp:lastPrinted>2026-09-11T09:44:00Z</cp:lastPrinted>
  <dcterms:modified xsi:type="dcterms:W3CDTF">2026-10-23T17:33:09Z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7DE11FF7DCE1071F02E0D96AEB0F8F16_43</vt:lpwstr>
  </property>
  <property fmtid="{D5CDD505-2E9C-101B-9397-08002B2CF9AE}" pid="4" name="KSOTemplateDocerSaveRecord">
    <vt:lpwstr>eyJoZGlkIjoiOTM3ZTk2NzczMjBhOTFmNjQzYTViZDk1YzBiNTg3M2EiLCJ1c2VySWQiOiI1Nzg0MDIwODUifQ==</vt:lpwstr>
  </property>
</Properties>
</file>