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5E6C1">
      <w:pPr>
        <w:pStyle w:val="4"/>
        <w:numPr>
          <w:ilvl w:val="2"/>
          <w:numId w:val="0"/>
        </w:numPr>
        <w:bidi w:val="0"/>
        <w:ind w:leftChars="0"/>
        <w:jc w:val="left"/>
        <w:rPr>
          <w:rFonts w:hint="default"/>
          <w:b w:val="0"/>
          <w:bCs/>
          <w:sz w:val="32"/>
          <w:szCs w:val="32"/>
          <w:lang w:val="en-US" w:eastAsia="zh-CN"/>
        </w:rPr>
      </w:pPr>
      <w:bookmarkStart w:id="0" w:name="_Toc21632"/>
      <w:bookmarkStart w:id="1" w:name="_Toc30305"/>
      <w:r>
        <w:rPr>
          <w:rFonts w:hint="eastAsia"/>
          <w:b w:val="0"/>
          <w:bCs/>
          <w:sz w:val="32"/>
          <w:szCs w:val="32"/>
          <w:lang w:val="en-US" w:eastAsia="zh-CN"/>
        </w:rPr>
        <w:t>附件1：</w:t>
      </w:r>
    </w:p>
    <w:p w14:paraId="26160C6F">
      <w:pPr>
        <w:pStyle w:val="4"/>
        <w:numPr>
          <w:ilvl w:val="2"/>
          <w:numId w:val="0"/>
        </w:numPr>
        <w:bidi w:val="0"/>
        <w:ind w:leftChars="0"/>
        <w:jc w:val="center"/>
        <w:rPr>
          <w:rFonts w:hint="eastAsia" w:eastAsia="宋体"/>
          <w:sz w:val="36"/>
          <w:szCs w:val="36"/>
          <w:lang w:val="en-US" w:eastAsia="zh-CN"/>
        </w:rPr>
      </w:pPr>
      <w:r>
        <w:rPr>
          <w:rFonts w:hint="eastAsia"/>
          <w:sz w:val="36"/>
          <w:szCs w:val="36"/>
          <w:lang w:val="en-US" w:eastAsia="zh-CN"/>
        </w:rPr>
        <w:t>深圳市龙岗区妇幼保健院污水处理站运维实施</w:t>
      </w:r>
      <w:bookmarkEnd w:id="0"/>
      <w:bookmarkEnd w:id="1"/>
      <w:r>
        <w:rPr>
          <w:rFonts w:hint="eastAsia"/>
          <w:sz w:val="36"/>
          <w:szCs w:val="36"/>
          <w:lang w:val="en-US" w:eastAsia="zh-CN"/>
        </w:rPr>
        <w:t>要求</w:t>
      </w:r>
    </w:p>
    <w:p w14:paraId="380E2398">
      <w:pPr>
        <w:pStyle w:val="5"/>
        <w:numPr>
          <w:ilvl w:val="0"/>
          <w:numId w:val="2"/>
        </w:numPr>
        <w:bidi w:val="0"/>
        <w:ind w:left="425" w:leftChars="0" w:hanging="425" w:firstLineChars="0"/>
        <w:rPr>
          <w:rFonts w:hint="eastAsia"/>
        </w:rPr>
      </w:pPr>
      <w:bookmarkStart w:id="2" w:name="_Toc4358"/>
      <w:r>
        <w:rPr>
          <w:rFonts w:hint="eastAsia" w:ascii="Times New Roman" w:hAnsi="Times New Roman" w:eastAsia="宋体" w:cs="Times New Roman"/>
          <w:b/>
          <w:bCs w:val="0"/>
          <w:kern w:val="2"/>
          <w:sz w:val="30"/>
          <w:szCs w:val="30"/>
          <w:lang w:val="en-US" w:eastAsia="zh-CN" w:bidi="ar-SA"/>
        </w:rPr>
        <w:t>项目概况</w:t>
      </w:r>
      <w:bookmarkEnd w:id="2"/>
    </w:p>
    <w:p w14:paraId="69E2865E">
      <w:pPr>
        <w:keepNext w:val="0"/>
        <w:keepLines w:val="0"/>
        <w:pageBreakBefore w:val="0"/>
        <w:widowControl w:val="0"/>
        <w:kinsoku/>
        <w:wordWrap/>
        <w:overflowPunct/>
        <w:topLinePunct w:val="0"/>
        <w:autoSpaceDE/>
        <w:autoSpaceDN/>
        <w:bidi w:val="0"/>
        <w:adjustRightInd/>
        <w:snapToGrid/>
        <w:spacing w:line="360" w:lineRule="auto"/>
        <w:ind w:left="0" w:leftChars="0" w:firstLine="638" w:firstLineChars="266"/>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rPr>
        <w:t>本项目为</w:t>
      </w:r>
      <w:r>
        <w:rPr>
          <w:rFonts w:hint="eastAsia" w:ascii="宋体" w:hAnsi="宋体" w:eastAsia="宋体" w:cs="宋体"/>
          <w:b w:val="0"/>
          <w:i w:val="0"/>
          <w:color w:val="000000"/>
          <w:sz w:val="24"/>
          <w:szCs w:val="24"/>
          <w:lang w:val="en-US" w:eastAsia="zh-CN"/>
        </w:rPr>
        <w:t>在深圳龙</w:t>
      </w:r>
      <w:r>
        <w:rPr>
          <w:rFonts w:hint="eastAsia" w:ascii="宋体" w:hAnsi="宋体" w:cs="宋体"/>
          <w:b w:val="0"/>
          <w:i w:val="0"/>
          <w:color w:val="000000"/>
          <w:sz w:val="24"/>
          <w:szCs w:val="24"/>
          <w:lang w:val="en-US" w:eastAsia="zh-CN"/>
        </w:rPr>
        <w:t>岗区妇幼保健院</w:t>
      </w:r>
      <w:r>
        <w:rPr>
          <w:rFonts w:hint="eastAsia" w:ascii="宋体" w:hAnsi="宋体" w:eastAsia="宋体" w:cs="宋体"/>
          <w:b w:val="0"/>
          <w:i w:val="0"/>
          <w:color w:val="000000"/>
          <w:sz w:val="24"/>
          <w:szCs w:val="24"/>
        </w:rPr>
        <w:t>污水处理站整体运营维护服务，服务内容</w:t>
      </w:r>
      <w:r>
        <w:rPr>
          <w:rFonts w:hint="eastAsia" w:ascii="宋体" w:hAnsi="宋体" w:cs="宋体"/>
          <w:b w:val="0"/>
          <w:i w:val="0"/>
          <w:color w:val="000000"/>
          <w:sz w:val="24"/>
          <w:szCs w:val="24"/>
          <w:lang w:val="en-US" w:eastAsia="zh-CN"/>
        </w:rPr>
        <w:t>为</w:t>
      </w:r>
      <w:r>
        <w:rPr>
          <w:rFonts w:hint="eastAsia" w:ascii="宋体" w:hAnsi="宋体" w:eastAsia="宋体" w:cs="宋体"/>
          <w:b w:val="0"/>
          <w:i w:val="0"/>
          <w:color w:val="000000"/>
          <w:sz w:val="24"/>
          <w:szCs w:val="24"/>
        </w:rPr>
        <w:t>污水处理站</w:t>
      </w:r>
      <w:r>
        <w:rPr>
          <w:rFonts w:hint="eastAsia" w:ascii="宋体" w:hAnsi="宋体" w:cs="宋体"/>
          <w:b w:val="0"/>
          <w:i w:val="0"/>
          <w:color w:val="000000"/>
          <w:sz w:val="24"/>
          <w:szCs w:val="24"/>
          <w:lang w:val="en-US" w:eastAsia="zh-CN"/>
        </w:rPr>
        <w:t>运维</w:t>
      </w:r>
      <w:r>
        <w:rPr>
          <w:rFonts w:hint="eastAsia" w:ascii="宋体" w:hAnsi="宋体" w:eastAsia="宋体" w:cs="宋体"/>
          <w:b w:val="0"/>
          <w:i w:val="0"/>
          <w:color w:val="000000"/>
          <w:sz w:val="24"/>
          <w:szCs w:val="24"/>
        </w:rPr>
        <w:t>及在线监测系统</w:t>
      </w:r>
      <w:r>
        <w:rPr>
          <w:rFonts w:hint="eastAsia" w:ascii="宋体" w:hAnsi="宋体" w:cs="宋体"/>
          <w:b w:val="0"/>
          <w:i w:val="0"/>
          <w:color w:val="000000"/>
          <w:sz w:val="24"/>
          <w:szCs w:val="24"/>
          <w:lang w:val="en-US" w:eastAsia="zh-CN"/>
        </w:rPr>
        <w:t>运维</w:t>
      </w:r>
      <w:r>
        <w:rPr>
          <w:rFonts w:hint="eastAsia" w:ascii="宋体" w:hAnsi="宋体" w:eastAsia="宋体" w:cs="宋体"/>
          <w:b w:val="0"/>
          <w:i w:val="0"/>
          <w:color w:val="000000"/>
          <w:sz w:val="24"/>
          <w:szCs w:val="24"/>
        </w:rPr>
        <w:t>。医院污水处理设施承担医疗综合污水收集、调节、生化处理、混凝沉淀、消毒、计量排放和事故应急调蓄等功能，须全年365天、每天24小时连续值守和稳定运行。</w:t>
      </w:r>
    </w:p>
    <w:p w14:paraId="481EE43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污水处理站执行的排放标准</w:t>
      </w:r>
      <w:r>
        <w:rPr>
          <w:rFonts w:hint="eastAsia" w:ascii="宋体" w:hAnsi="宋体" w:cs="宋体"/>
          <w:b/>
          <w:bCs/>
          <w:sz w:val="24"/>
          <w:szCs w:val="24"/>
          <w:lang w:val="en-US" w:eastAsia="zh-CN"/>
        </w:rPr>
        <w:t>：</w:t>
      </w:r>
    </w:p>
    <w:p w14:paraId="5618ABCC">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污水处理站执行的排放标准为：GB 18466-2005《医疗机构水污染物排放标准》的表2综合医疗机构和其他医疗机构水污染物排放限值（日均值）的预处理标准。</w:t>
      </w:r>
    </w:p>
    <w:p w14:paraId="4A063C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主要指标如下：</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3"/>
        <w:gridCol w:w="2140"/>
        <w:gridCol w:w="3573"/>
      </w:tblGrid>
      <w:tr w14:paraId="0552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923" w:type="pct"/>
            <w:shd w:val="clear" w:color="auto" w:fill="auto"/>
            <w:noWrap w:val="0"/>
            <w:vAlign w:val="center"/>
          </w:tcPr>
          <w:p w14:paraId="1F6E138A">
            <w:pPr>
              <w:jc w:val="center"/>
              <w:rPr>
                <w:rFonts w:hint="eastAsia" w:ascii="宋体" w:hAnsi="宋体" w:eastAsia="宋体" w:cs="宋体"/>
                <w:sz w:val="24"/>
                <w:szCs w:val="24"/>
              </w:rPr>
            </w:pPr>
            <w:r>
              <w:rPr>
                <w:rFonts w:hint="eastAsia" w:ascii="宋体" w:hAnsi="宋体" w:eastAsia="宋体" w:cs="宋体"/>
                <w:sz w:val="24"/>
                <w:szCs w:val="24"/>
              </w:rPr>
              <w:t>pH</w:t>
            </w:r>
          </w:p>
        </w:tc>
        <w:tc>
          <w:tcPr>
            <w:tcW w:w="1152" w:type="pct"/>
            <w:shd w:val="clear" w:color="auto" w:fill="auto"/>
            <w:noWrap w:val="0"/>
            <w:vAlign w:val="center"/>
          </w:tcPr>
          <w:p w14:paraId="51BC36E0">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0DD01EFD">
            <w:pPr>
              <w:jc w:val="center"/>
              <w:rPr>
                <w:rFonts w:hint="eastAsia" w:ascii="宋体" w:hAnsi="宋体" w:eastAsia="宋体" w:cs="宋体"/>
                <w:sz w:val="24"/>
                <w:szCs w:val="24"/>
              </w:rPr>
            </w:pPr>
            <w:r>
              <w:rPr>
                <w:rFonts w:hint="eastAsia" w:ascii="宋体" w:hAnsi="宋体" w:cs="宋体"/>
                <w:sz w:val="24"/>
                <w:szCs w:val="24"/>
                <w:lang w:eastAsia="zh-CN"/>
              </w:rPr>
              <w:t>6–9</w:t>
            </w:r>
          </w:p>
        </w:tc>
      </w:tr>
      <w:tr w14:paraId="4798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923" w:type="pct"/>
            <w:shd w:val="clear" w:color="auto" w:fill="auto"/>
            <w:noWrap w:val="0"/>
            <w:vAlign w:val="center"/>
          </w:tcPr>
          <w:p w14:paraId="5D50B08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化学需氧量</w:t>
            </w:r>
          </w:p>
        </w:tc>
        <w:tc>
          <w:tcPr>
            <w:tcW w:w="1152" w:type="pct"/>
            <w:shd w:val="clear" w:color="auto" w:fill="auto"/>
            <w:noWrap w:val="0"/>
            <w:vAlign w:val="center"/>
          </w:tcPr>
          <w:p w14:paraId="0965FAB6">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21364CB8">
            <w:pPr>
              <w:jc w:val="center"/>
              <w:rPr>
                <w:rFonts w:hint="eastAsia" w:ascii="宋体" w:hAnsi="宋体" w:eastAsia="宋体" w:cs="宋体"/>
                <w:sz w:val="24"/>
                <w:szCs w:val="24"/>
                <w:lang w:val="en-US" w:eastAsia="zh-CN"/>
              </w:rPr>
            </w:pPr>
            <w:r>
              <w:rPr>
                <w:rFonts w:hint="eastAsia" w:ascii="宋体" w:hAnsi="宋体" w:eastAsia="宋体" w:cs="宋体"/>
                <w:sz w:val="24"/>
                <w:szCs w:val="24"/>
              </w:rPr>
              <w:t>250mg/</w:t>
            </w:r>
            <w:r>
              <w:rPr>
                <w:rFonts w:hint="eastAsia" w:ascii="宋体" w:hAnsi="宋体" w:cs="宋体"/>
                <w:sz w:val="24"/>
                <w:szCs w:val="24"/>
                <w:lang w:val="en-US" w:eastAsia="zh-CN"/>
              </w:rPr>
              <w:t>L</w:t>
            </w:r>
          </w:p>
        </w:tc>
      </w:tr>
      <w:tr w14:paraId="527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923" w:type="pct"/>
            <w:shd w:val="clear" w:color="auto" w:fill="auto"/>
            <w:noWrap w:val="0"/>
            <w:vAlign w:val="center"/>
          </w:tcPr>
          <w:p w14:paraId="674931D3">
            <w:pPr>
              <w:jc w:val="center"/>
              <w:rPr>
                <w:rFonts w:hint="eastAsia" w:ascii="宋体" w:hAnsi="宋体" w:eastAsia="宋体" w:cs="宋体"/>
                <w:sz w:val="24"/>
                <w:szCs w:val="24"/>
              </w:rPr>
            </w:pPr>
            <w:r>
              <w:rPr>
                <w:rFonts w:hint="eastAsia" w:ascii="宋体" w:hAnsi="宋体" w:eastAsia="宋体" w:cs="宋体"/>
                <w:sz w:val="24"/>
                <w:szCs w:val="24"/>
              </w:rPr>
              <w:t>粪大肠菌</w:t>
            </w:r>
            <w:r>
              <w:rPr>
                <w:rFonts w:hint="eastAsia" w:ascii="宋体" w:hAnsi="宋体" w:cs="宋体"/>
                <w:sz w:val="24"/>
                <w:szCs w:val="24"/>
                <w:lang w:val="en-US" w:eastAsia="zh-CN"/>
              </w:rPr>
              <w:t>群</w:t>
            </w:r>
            <w:r>
              <w:rPr>
                <w:rFonts w:hint="eastAsia" w:ascii="宋体" w:hAnsi="宋体" w:eastAsia="宋体" w:cs="宋体"/>
                <w:sz w:val="24"/>
                <w:szCs w:val="24"/>
              </w:rPr>
              <w:t>数</w:t>
            </w:r>
          </w:p>
        </w:tc>
        <w:tc>
          <w:tcPr>
            <w:tcW w:w="1152" w:type="pct"/>
            <w:shd w:val="clear" w:color="auto" w:fill="auto"/>
            <w:noWrap w:val="0"/>
            <w:vAlign w:val="center"/>
          </w:tcPr>
          <w:p w14:paraId="1642E0EE">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6CF33366">
            <w:pPr>
              <w:jc w:val="center"/>
              <w:rPr>
                <w:rFonts w:hint="eastAsia" w:ascii="宋体" w:hAnsi="宋体" w:eastAsia="宋体" w:cs="宋体"/>
                <w:sz w:val="24"/>
                <w:szCs w:val="24"/>
                <w:lang w:val="en-US" w:eastAsia="zh-CN"/>
              </w:rPr>
            </w:pPr>
            <w:r>
              <w:rPr>
                <w:rFonts w:hint="eastAsia" w:ascii="宋体" w:hAnsi="宋体" w:eastAsia="宋体" w:cs="宋体"/>
                <w:sz w:val="24"/>
                <w:szCs w:val="24"/>
              </w:rPr>
              <w:t>5000MNP/</w:t>
            </w:r>
            <w:r>
              <w:rPr>
                <w:rFonts w:hint="eastAsia" w:ascii="宋体" w:hAnsi="宋体" w:cs="宋体"/>
                <w:sz w:val="24"/>
                <w:szCs w:val="24"/>
                <w:lang w:val="en-US" w:eastAsia="zh-CN"/>
              </w:rPr>
              <w:t>L</w:t>
            </w:r>
          </w:p>
        </w:tc>
      </w:tr>
      <w:tr w14:paraId="71F2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923" w:type="pct"/>
            <w:shd w:val="clear" w:color="auto" w:fill="auto"/>
            <w:noWrap w:val="0"/>
            <w:vAlign w:val="center"/>
          </w:tcPr>
          <w:p w14:paraId="1DB62AA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悬浮物</w:t>
            </w:r>
          </w:p>
        </w:tc>
        <w:tc>
          <w:tcPr>
            <w:tcW w:w="1152" w:type="pct"/>
            <w:shd w:val="clear" w:color="auto" w:fill="auto"/>
            <w:noWrap w:val="0"/>
            <w:vAlign w:val="center"/>
          </w:tcPr>
          <w:p w14:paraId="085381EE">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72378E74">
            <w:pPr>
              <w:jc w:val="center"/>
              <w:rPr>
                <w:rFonts w:hint="eastAsia" w:ascii="宋体" w:hAnsi="宋体" w:eastAsia="宋体" w:cs="宋体"/>
                <w:sz w:val="24"/>
                <w:szCs w:val="24"/>
                <w:lang w:val="en-US" w:eastAsia="zh-CN"/>
              </w:rPr>
            </w:pPr>
            <w:r>
              <w:rPr>
                <w:rFonts w:hint="eastAsia" w:ascii="宋体" w:hAnsi="宋体" w:eastAsia="宋体" w:cs="宋体"/>
                <w:sz w:val="24"/>
                <w:szCs w:val="24"/>
              </w:rPr>
              <w:t>60mg/</w:t>
            </w:r>
            <w:r>
              <w:rPr>
                <w:rFonts w:hint="eastAsia" w:ascii="宋体" w:hAnsi="宋体" w:cs="宋体"/>
                <w:sz w:val="24"/>
                <w:szCs w:val="24"/>
                <w:lang w:val="en-US" w:eastAsia="zh-CN"/>
              </w:rPr>
              <w:t>L</w:t>
            </w:r>
          </w:p>
        </w:tc>
      </w:tr>
      <w:tr w14:paraId="6472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6A41E564">
            <w:pPr>
              <w:jc w:val="center"/>
              <w:rPr>
                <w:rFonts w:hint="eastAsia" w:ascii="宋体" w:hAnsi="宋体" w:eastAsia="宋体" w:cs="宋体"/>
                <w:sz w:val="24"/>
                <w:szCs w:val="24"/>
              </w:rPr>
            </w:pPr>
            <w:r>
              <w:rPr>
                <w:rFonts w:hint="eastAsia" w:ascii="宋体" w:hAnsi="宋体" w:eastAsia="宋体" w:cs="宋体"/>
                <w:sz w:val="24"/>
                <w:szCs w:val="24"/>
              </w:rPr>
              <w:t>总余氯</w:t>
            </w:r>
          </w:p>
        </w:tc>
        <w:tc>
          <w:tcPr>
            <w:tcW w:w="1152" w:type="pct"/>
            <w:shd w:val="clear" w:color="auto" w:fill="auto"/>
            <w:noWrap w:val="0"/>
            <w:vAlign w:val="center"/>
          </w:tcPr>
          <w:p w14:paraId="64C476CA">
            <w:pPr>
              <w:jc w:val="center"/>
              <w:rPr>
                <w:rFonts w:hint="eastAsia" w:ascii="宋体" w:hAnsi="宋体" w:eastAsia="宋体" w:cs="宋体"/>
                <w:sz w:val="24"/>
                <w:szCs w:val="24"/>
                <w:lang w:eastAsia="zh-CN"/>
              </w:rPr>
            </w:pPr>
          </w:p>
        </w:tc>
        <w:tc>
          <w:tcPr>
            <w:tcW w:w="1923" w:type="pct"/>
            <w:shd w:val="clear" w:color="auto" w:fill="auto"/>
            <w:noWrap w:val="0"/>
            <w:vAlign w:val="center"/>
          </w:tcPr>
          <w:p w14:paraId="1B84F939">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t>
            </w:r>
          </w:p>
        </w:tc>
      </w:tr>
      <w:tr w14:paraId="3A53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5411F0C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总氰化物</w:t>
            </w:r>
          </w:p>
        </w:tc>
        <w:tc>
          <w:tcPr>
            <w:tcW w:w="1152" w:type="pct"/>
            <w:shd w:val="clear" w:color="auto" w:fill="auto"/>
            <w:noWrap w:val="0"/>
            <w:vAlign w:val="center"/>
          </w:tcPr>
          <w:p w14:paraId="63190000">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3B9BD4C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0.5mg/L</w:t>
            </w:r>
          </w:p>
        </w:tc>
      </w:tr>
      <w:tr w14:paraId="3142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1902518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阴离子表面活性剂</w:t>
            </w:r>
          </w:p>
        </w:tc>
        <w:tc>
          <w:tcPr>
            <w:tcW w:w="1152" w:type="pct"/>
            <w:shd w:val="clear" w:color="auto" w:fill="auto"/>
            <w:noWrap w:val="0"/>
            <w:vAlign w:val="center"/>
          </w:tcPr>
          <w:p w14:paraId="189F8DF2">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5706A09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10mg/L</w:t>
            </w:r>
          </w:p>
        </w:tc>
      </w:tr>
      <w:tr w14:paraId="251B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149CC52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动植物油</w:t>
            </w:r>
          </w:p>
        </w:tc>
        <w:tc>
          <w:tcPr>
            <w:tcW w:w="1152" w:type="pct"/>
            <w:shd w:val="clear" w:color="auto" w:fill="auto"/>
            <w:noWrap w:val="0"/>
            <w:vAlign w:val="center"/>
          </w:tcPr>
          <w:p w14:paraId="541C200E">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2BB57BD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20mg/L</w:t>
            </w:r>
          </w:p>
        </w:tc>
      </w:tr>
      <w:tr w14:paraId="02FA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4955283C">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挥发物</w:t>
            </w:r>
          </w:p>
        </w:tc>
        <w:tc>
          <w:tcPr>
            <w:tcW w:w="1152" w:type="pct"/>
            <w:shd w:val="clear" w:color="auto" w:fill="auto"/>
            <w:noWrap w:val="0"/>
            <w:vAlign w:val="center"/>
          </w:tcPr>
          <w:p w14:paraId="1DB0257D">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42EE3427">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1.0mg/L</w:t>
            </w:r>
          </w:p>
        </w:tc>
      </w:tr>
      <w:tr w14:paraId="663C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49AF15C1">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色度</w:t>
            </w:r>
          </w:p>
        </w:tc>
        <w:tc>
          <w:tcPr>
            <w:tcW w:w="1152" w:type="pct"/>
            <w:shd w:val="clear" w:color="auto" w:fill="auto"/>
            <w:noWrap w:val="0"/>
            <w:vAlign w:val="center"/>
          </w:tcPr>
          <w:p w14:paraId="55DE46C9">
            <w:pPr>
              <w:jc w:val="center"/>
              <w:rPr>
                <w:rFonts w:hint="eastAsia" w:ascii="宋体" w:hAnsi="宋体" w:eastAsia="宋体" w:cs="宋体"/>
                <w:sz w:val="24"/>
                <w:szCs w:val="24"/>
              </w:rPr>
            </w:pPr>
          </w:p>
        </w:tc>
        <w:tc>
          <w:tcPr>
            <w:tcW w:w="1923" w:type="pct"/>
            <w:shd w:val="clear" w:color="auto" w:fill="auto"/>
            <w:noWrap w:val="0"/>
            <w:vAlign w:val="center"/>
          </w:tcPr>
          <w:p w14:paraId="1E4972A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w:t>
            </w:r>
          </w:p>
        </w:tc>
      </w:tr>
      <w:tr w14:paraId="2F95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1E98942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五日生化需氧量</w:t>
            </w:r>
          </w:p>
        </w:tc>
        <w:tc>
          <w:tcPr>
            <w:tcW w:w="1152" w:type="pct"/>
            <w:shd w:val="clear" w:color="auto" w:fill="auto"/>
            <w:noWrap w:val="0"/>
            <w:vAlign w:val="center"/>
          </w:tcPr>
          <w:p w14:paraId="2BBBED2F">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3345D388">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100mg/L</w:t>
            </w:r>
          </w:p>
        </w:tc>
      </w:tr>
      <w:tr w14:paraId="35B6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264581C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石油类</w:t>
            </w:r>
          </w:p>
        </w:tc>
        <w:tc>
          <w:tcPr>
            <w:tcW w:w="1152" w:type="pct"/>
            <w:shd w:val="clear" w:color="auto" w:fill="auto"/>
            <w:noWrap w:val="0"/>
            <w:vAlign w:val="center"/>
          </w:tcPr>
          <w:p w14:paraId="204942BB">
            <w:pPr>
              <w:jc w:val="center"/>
              <w:rPr>
                <w:rFonts w:hint="eastAsia" w:ascii="宋体" w:hAnsi="宋体" w:eastAsia="宋体" w:cs="宋体"/>
                <w:sz w:val="24"/>
                <w:szCs w:val="24"/>
              </w:rPr>
            </w:pPr>
            <w:r>
              <w:rPr>
                <w:rFonts w:hint="eastAsia" w:ascii="宋体" w:hAnsi="宋体" w:eastAsia="宋体" w:cs="宋体"/>
                <w:sz w:val="24"/>
                <w:szCs w:val="24"/>
              </w:rPr>
              <w:t>≤</w:t>
            </w:r>
          </w:p>
        </w:tc>
        <w:tc>
          <w:tcPr>
            <w:tcW w:w="1923" w:type="pct"/>
            <w:shd w:val="clear" w:color="auto" w:fill="auto"/>
            <w:noWrap w:val="0"/>
            <w:vAlign w:val="center"/>
          </w:tcPr>
          <w:p w14:paraId="1D082F4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20mg/L</w:t>
            </w:r>
          </w:p>
        </w:tc>
      </w:tr>
      <w:tr w14:paraId="5CB1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448518E8">
            <w:pPr>
              <w:jc w:val="center"/>
              <w:rPr>
                <w:rFonts w:hint="default" w:ascii="宋体" w:hAnsi="宋体" w:cs="宋体"/>
                <w:sz w:val="24"/>
                <w:szCs w:val="24"/>
                <w:lang w:val="en-US" w:eastAsia="zh-CN"/>
              </w:rPr>
            </w:pPr>
            <w:r>
              <w:rPr>
                <w:rFonts w:hint="eastAsia" w:ascii="宋体" w:hAnsi="宋体" w:cs="宋体"/>
                <w:sz w:val="24"/>
                <w:szCs w:val="24"/>
                <w:lang w:val="en-US" w:eastAsia="zh-CN"/>
              </w:rPr>
              <w:t>氨氮</w:t>
            </w:r>
          </w:p>
        </w:tc>
        <w:tc>
          <w:tcPr>
            <w:tcW w:w="1152" w:type="pct"/>
            <w:shd w:val="clear" w:color="auto" w:fill="auto"/>
            <w:noWrap w:val="0"/>
            <w:vAlign w:val="center"/>
          </w:tcPr>
          <w:p w14:paraId="64ABBC0E">
            <w:pPr>
              <w:jc w:val="center"/>
              <w:rPr>
                <w:rFonts w:hint="eastAsia" w:ascii="宋体" w:hAnsi="宋体" w:eastAsia="宋体" w:cs="宋体"/>
                <w:sz w:val="24"/>
                <w:szCs w:val="24"/>
              </w:rPr>
            </w:pPr>
          </w:p>
        </w:tc>
        <w:tc>
          <w:tcPr>
            <w:tcW w:w="1923" w:type="pct"/>
            <w:shd w:val="clear" w:color="auto" w:fill="auto"/>
            <w:noWrap w:val="0"/>
            <w:vAlign w:val="center"/>
          </w:tcPr>
          <w:p w14:paraId="64BC66F1">
            <w:pPr>
              <w:jc w:val="center"/>
              <w:rPr>
                <w:rFonts w:hint="default" w:ascii="宋体" w:hAnsi="宋体" w:cs="宋体"/>
                <w:sz w:val="24"/>
                <w:szCs w:val="24"/>
                <w:lang w:val="en-US" w:eastAsia="zh-CN"/>
              </w:rPr>
            </w:pPr>
            <w:r>
              <w:rPr>
                <w:rFonts w:hint="eastAsia" w:ascii="宋体" w:hAnsi="宋体" w:cs="宋体"/>
                <w:sz w:val="24"/>
                <w:szCs w:val="24"/>
                <w:lang w:val="en-US" w:eastAsia="zh-CN"/>
              </w:rPr>
              <w:t>/</w:t>
            </w:r>
          </w:p>
        </w:tc>
      </w:tr>
      <w:tr w14:paraId="33AD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145447FC">
            <w:pPr>
              <w:jc w:val="center"/>
              <w:rPr>
                <w:rFonts w:hint="eastAsia" w:ascii="宋体" w:hAnsi="宋体" w:cs="宋体"/>
                <w:sz w:val="24"/>
                <w:szCs w:val="24"/>
                <w:lang w:val="en-US" w:eastAsia="zh-CN"/>
              </w:rPr>
            </w:pPr>
          </w:p>
        </w:tc>
        <w:tc>
          <w:tcPr>
            <w:tcW w:w="1152" w:type="pct"/>
            <w:shd w:val="clear" w:color="auto" w:fill="auto"/>
            <w:noWrap w:val="0"/>
            <w:vAlign w:val="center"/>
          </w:tcPr>
          <w:p w14:paraId="4C2F71C8">
            <w:pPr>
              <w:jc w:val="center"/>
              <w:rPr>
                <w:rFonts w:hint="eastAsia" w:ascii="宋体" w:hAnsi="宋体" w:eastAsia="宋体" w:cs="宋体"/>
                <w:sz w:val="24"/>
                <w:szCs w:val="24"/>
              </w:rPr>
            </w:pPr>
          </w:p>
        </w:tc>
        <w:tc>
          <w:tcPr>
            <w:tcW w:w="1923" w:type="pct"/>
            <w:shd w:val="clear" w:color="auto" w:fill="auto"/>
            <w:noWrap w:val="0"/>
            <w:vAlign w:val="center"/>
          </w:tcPr>
          <w:p w14:paraId="62C4C089">
            <w:pPr>
              <w:jc w:val="center"/>
              <w:rPr>
                <w:rFonts w:hint="eastAsia" w:ascii="宋体" w:hAnsi="宋体" w:cs="宋体"/>
                <w:sz w:val="24"/>
                <w:szCs w:val="24"/>
                <w:lang w:val="en-US" w:eastAsia="zh-CN"/>
              </w:rPr>
            </w:pPr>
          </w:p>
        </w:tc>
      </w:tr>
      <w:tr w14:paraId="0AE6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23" w:type="pct"/>
            <w:shd w:val="clear" w:color="auto" w:fill="auto"/>
            <w:noWrap w:val="0"/>
            <w:vAlign w:val="center"/>
          </w:tcPr>
          <w:p w14:paraId="7F168F81">
            <w:pPr>
              <w:jc w:val="center"/>
              <w:rPr>
                <w:rFonts w:hint="eastAsia" w:ascii="宋体" w:hAnsi="宋体" w:cs="宋体"/>
                <w:sz w:val="24"/>
                <w:szCs w:val="24"/>
                <w:lang w:val="en-US" w:eastAsia="zh-CN"/>
              </w:rPr>
            </w:pPr>
          </w:p>
        </w:tc>
        <w:tc>
          <w:tcPr>
            <w:tcW w:w="1152" w:type="pct"/>
            <w:shd w:val="clear" w:color="auto" w:fill="auto"/>
            <w:noWrap w:val="0"/>
            <w:vAlign w:val="center"/>
          </w:tcPr>
          <w:p w14:paraId="53047840">
            <w:pPr>
              <w:jc w:val="center"/>
              <w:rPr>
                <w:rFonts w:hint="eastAsia" w:ascii="宋体" w:hAnsi="宋体" w:eastAsia="宋体" w:cs="宋体"/>
                <w:sz w:val="24"/>
                <w:szCs w:val="24"/>
              </w:rPr>
            </w:pPr>
          </w:p>
        </w:tc>
        <w:tc>
          <w:tcPr>
            <w:tcW w:w="1923" w:type="pct"/>
            <w:shd w:val="clear" w:color="auto" w:fill="auto"/>
            <w:noWrap w:val="0"/>
            <w:vAlign w:val="center"/>
          </w:tcPr>
          <w:p w14:paraId="20FBA6AA">
            <w:pPr>
              <w:jc w:val="center"/>
              <w:rPr>
                <w:rFonts w:hint="eastAsia" w:ascii="宋体" w:hAnsi="宋体" w:cs="宋体"/>
                <w:sz w:val="24"/>
                <w:szCs w:val="24"/>
                <w:lang w:val="en-US" w:eastAsia="zh-CN"/>
              </w:rPr>
            </w:pPr>
          </w:p>
        </w:tc>
      </w:tr>
    </w:tbl>
    <w:p w14:paraId="652DC50B">
      <w:pPr>
        <w:rPr>
          <w:rFonts w:hint="eastAsia" w:ascii="Times New Roman" w:hAnsi="Times New Roman" w:eastAsia="黑体" w:cs="Times New Roman"/>
          <w:color w:val="FF0000"/>
          <w:sz w:val="28"/>
          <w:szCs w:val="28"/>
          <w:lang w:eastAsia="zh-CN"/>
        </w:rPr>
      </w:pPr>
    </w:p>
    <w:p w14:paraId="4ACA3A9D">
      <w:pPr>
        <w:pStyle w:val="6"/>
        <w:numPr>
          <w:ilvl w:val="0"/>
          <w:numId w:val="0"/>
        </w:numPr>
        <w:bidi w:val="0"/>
        <w:ind w:left="2058" w:leftChars="0" w:hanging="1008" w:firstLineChars="0"/>
        <w:rPr>
          <w:rFonts w:hint="eastAsia"/>
        </w:rPr>
      </w:pPr>
      <w:r>
        <w:rPr>
          <w:rFonts w:hint="eastAsia"/>
        </w:rPr>
        <w:t>污水处理站工艺</w:t>
      </w:r>
    </w:p>
    <w:p w14:paraId="036F00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污水处理站（设计日处理最大能力为</w:t>
      </w:r>
      <w:r>
        <w:rPr>
          <w:rFonts w:hint="eastAsia" w:ascii="宋体" w:hAnsi="宋体" w:cs="宋体"/>
          <w:color w:val="000000"/>
          <w:sz w:val="24"/>
          <w:szCs w:val="24"/>
          <w:highlight w:val="none"/>
          <w:lang w:val="en-US" w:eastAsia="zh-CN"/>
        </w:rPr>
        <w:t>12</w:t>
      </w:r>
      <w:r>
        <w:rPr>
          <w:rFonts w:hint="eastAsia" w:ascii="宋体" w:hAnsi="宋体" w:eastAsia="宋体" w:cs="宋体"/>
          <w:color w:val="000000"/>
          <w:sz w:val="24"/>
          <w:szCs w:val="24"/>
          <w:highlight w:val="none"/>
          <w:lang w:val="en-US" w:eastAsia="zh-CN"/>
        </w:rPr>
        <w:t>00m³/d，结合医院实际情况，本</w:t>
      </w:r>
      <w:r>
        <w:rPr>
          <w:rFonts w:hint="eastAsia" w:ascii="宋体" w:hAnsi="宋体" w:cs="宋体"/>
          <w:color w:val="000000"/>
          <w:sz w:val="24"/>
          <w:szCs w:val="24"/>
          <w:highlight w:val="none"/>
          <w:lang w:val="en-US" w:eastAsia="zh-CN"/>
        </w:rPr>
        <w:t>次预算</w:t>
      </w:r>
      <w:r>
        <w:rPr>
          <w:rFonts w:hint="eastAsia" w:ascii="宋体" w:hAnsi="宋体" w:eastAsia="宋体" w:cs="宋体"/>
          <w:color w:val="000000"/>
          <w:sz w:val="24"/>
          <w:szCs w:val="24"/>
          <w:highlight w:val="none"/>
          <w:lang w:val="en-US" w:eastAsia="zh-CN"/>
        </w:rPr>
        <w:t>按污水日均排放量约为</w:t>
      </w: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lang w:val="en-US" w:eastAsia="zh-CN"/>
        </w:rPr>
        <w:t>00m³/d测算）。</w:t>
      </w:r>
      <w:r>
        <w:rPr>
          <w:rFonts w:hint="eastAsia" w:ascii="宋体" w:hAnsi="宋体" w:cs="宋体"/>
          <w:color w:val="000000"/>
          <w:sz w:val="24"/>
          <w:szCs w:val="24"/>
          <w:highlight w:val="none"/>
          <w:lang w:val="en-US" w:eastAsia="zh-CN"/>
        </w:rPr>
        <w:t xml:space="preserve"> </w:t>
      </w:r>
    </w:p>
    <w:p w14:paraId="4F56BEC0">
      <w:pPr>
        <w:keepNext w:val="0"/>
        <w:keepLines w:val="0"/>
        <w:pageBreakBefore w:val="0"/>
        <w:widowControl w:val="0"/>
        <w:kinsoku/>
        <w:wordWrap/>
        <w:overflowPunct/>
        <w:topLinePunct w:val="0"/>
        <w:autoSpaceDE/>
        <w:autoSpaceDN/>
        <w:bidi w:val="0"/>
        <w:adjustRightInd/>
        <w:snapToGrid/>
        <w:spacing w:line="360" w:lineRule="auto"/>
        <w:ind w:left="1199" w:leftChars="228" w:hanging="720" w:hangingChars="3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医院综合污水经机械格栅机格去粗大杂物后进入调节池保证生化系统稳定运行</w:t>
      </w:r>
      <w:r>
        <w:rPr>
          <w:rFonts w:hint="eastAsia" w:ascii="宋体" w:hAnsi="宋体" w:cs="宋体"/>
          <w:color w:val="000000"/>
          <w:sz w:val="24"/>
          <w:szCs w:val="24"/>
          <w:lang w:val="en-US" w:eastAsia="zh-CN"/>
        </w:rPr>
        <w:t>，</w:t>
      </w:r>
      <w:r>
        <w:rPr>
          <w:rFonts w:hint="eastAsia" w:ascii="宋体" w:hAnsi="宋体" w:cs="宋体"/>
          <w:color w:val="000000"/>
          <w:sz w:val="24"/>
          <w:szCs w:val="24"/>
          <w:highlight w:val="none"/>
          <w:lang w:val="en-US" w:eastAsia="zh-CN"/>
        </w:rPr>
        <w:t>调节</w:t>
      </w:r>
      <w:r>
        <w:rPr>
          <w:rFonts w:hint="eastAsia" w:ascii="宋体" w:hAnsi="宋体" w:eastAsia="宋体" w:cs="宋体"/>
          <w:color w:val="000000"/>
          <w:sz w:val="24"/>
          <w:szCs w:val="24"/>
          <w:lang w:val="en-US" w:eastAsia="zh-CN"/>
        </w:rPr>
        <w:t>池起到水质均化、水量调整等作用，随后由液位计控制提升泵提升进入</w:t>
      </w:r>
      <w:r>
        <w:rPr>
          <w:rFonts w:hint="eastAsia" w:ascii="宋体" w:hAnsi="宋体" w:cs="宋体"/>
          <w:color w:val="000000"/>
          <w:sz w:val="24"/>
          <w:szCs w:val="24"/>
          <w:lang w:val="en-US" w:eastAsia="zh-CN"/>
        </w:rPr>
        <w:t>水解酸化池。</w:t>
      </w:r>
    </w:p>
    <w:p w14:paraId="7CEE08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19" w:leftChars="228" w:hanging="240" w:hangingChars="1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SA"/>
        </w:rPr>
        <w:t>（2）</w:t>
      </w:r>
      <w:r>
        <w:rPr>
          <w:rFonts w:hint="eastAsia" w:ascii="宋体" w:hAnsi="宋体" w:eastAsia="宋体" w:cs="宋体"/>
          <w:color w:val="000000"/>
          <w:sz w:val="24"/>
          <w:szCs w:val="24"/>
          <w:lang w:val="en-US" w:eastAsia="zh-CN"/>
        </w:rPr>
        <w:t>水解酸化池是污水处理中常用的厌氧/兼性预处理单元，其核心功能在于“转化、降解、缓冲”，旨在为后续处理工艺创造有利条件。</w:t>
      </w:r>
    </w:p>
    <w:p w14:paraId="7BE377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18" w:leftChars="342" w:firstLine="0"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改善废水可生化性（核心功能）大分子降解：通过水解菌和酸化菌的作用，将污水中难降解的大分子有机物分解为小分子、易降解的有机物降低废水的毒性和腐蚀性，使原本难降解的废水变为后续好氧或厌氧微生物易于利用的“优质碳源”。</w:t>
      </w:r>
    </w:p>
    <w:p w14:paraId="56DA34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718" w:leftChars="342" w:firstLine="0"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缓冲水质与水量冲击抗冲击负荷：水解酸化池对进水水质（如pH、有毒物质）和水量波动具有较强的缓冲能力，能够均衡污染物浓度，避免后续好氧系统受到高浓度或毒性物质的冲击而失效，保障整个处理系统的稳定运行。</w:t>
      </w:r>
    </w:p>
    <w:p w14:paraId="7EB09B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SA"/>
        </w:rPr>
        <w:t>(3)</w:t>
      </w:r>
      <w:r>
        <w:rPr>
          <w:rFonts w:hint="eastAsia" w:ascii="宋体" w:hAnsi="宋体" w:eastAsia="宋体" w:cs="宋体"/>
          <w:color w:val="000000"/>
          <w:sz w:val="24"/>
          <w:szCs w:val="24"/>
          <w:lang w:val="en-US" w:eastAsia="zh-CN"/>
        </w:rPr>
        <w:t>随后出水流进入氧化池进行生物曝气处理。池内挂有生物填料，在氧</w:t>
      </w:r>
      <w:r>
        <w:rPr>
          <w:rFonts w:hint="eastAsia" w:ascii="宋体" w:hAnsi="宋体" w:cs="宋体"/>
          <w:color w:val="000000"/>
          <w:sz w:val="24"/>
          <w:szCs w:val="24"/>
          <w:lang w:val="en-US" w:eastAsia="zh-CN"/>
        </w:rPr>
        <w:t>化的</w:t>
      </w:r>
      <w:r>
        <w:rPr>
          <w:rFonts w:hint="eastAsia" w:ascii="宋体" w:hAnsi="宋体" w:eastAsia="宋体" w:cs="宋体"/>
          <w:color w:val="000000"/>
          <w:sz w:val="24"/>
          <w:szCs w:val="24"/>
          <w:lang w:val="en-US" w:eastAsia="zh-CN"/>
        </w:rPr>
        <w:t>条件下，池内有机物被兼氧菌降解，分解难降解大分子，提高了废水可生化性，稳定后端生化系统运行。污水在接触氧化池中由鼓风曝气，通过鼓风曝气系统来增加污水中的溶解氧，促进好氧微生物的新陈代谢作用，分解氧化有机污染物，同时控制好硝化反应所需的必要条件，加速硝化菌的硝化作用，降低污水中的氨氮含量；</w:t>
      </w:r>
    </w:p>
    <w:p w14:paraId="1F65B0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(4)</w:t>
      </w:r>
      <w:r>
        <w:rPr>
          <w:rFonts w:hint="eastAsia" w:ascii="宋体" w:hAnsi="宋体" w:eastAsia="宋体" w:cs="宋体"/>
          <w:color w:val="000000"/>
          <w:sz w:val="24"/>
          <w:szCs w:val="24"/>
          <w:lang w:val="en-US" w:eastAsia="zh-CN"/>
        </w:rPr>
        <w:t>生物接触氧化池出水自流进入混凝反应池。由加药系统分别投加混凝剂PAC溶液和絮凝剂PAM溶液，经充分反应后进入斜管沉淀池进行泥水分离可处理大部分悬浮物，随后进入消毒池。</w:t>
      </w:r>
    </w:p>
    <w:p w14:paraId="10DC2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cs="宋体"/>
          <w:color w:val="000000"/>
          <w:sz w:val="24"/>
          <w:szCs w:val="24"/>
          <w:lang w:val="en-US" w:eastAsia="zh-CN"/>
        </w:rPr>
        <w:t>（5）</w:t>
      </w:r>
      <w:r>
        <w:rPr>
          <w:rFonts w:hint="eastAsia" w:ascii="宋体" w:hAnsi="宋体" w:eastAsia="宋体" w:cs="宋体"/>
          <w:color w:val="000000"/>
          <w:sz w:val="24"/>
          <w:szCs w:val="24"/>
          <w:lang w:val="en-US" w:eastAsia="zh-CN"/>
        </w:rPr>
        <w:t>污水在消毒池中利用次氯酸钠的有效消毒杀菌能力发生消毒反应，以灭除污水中的病原体和致病菌等，最终进入</w:t>
      </w:r>
      <w:r>
        <w:rPr>
          <w:rFonts w:hint="eastAsia" w:ascii="宋体" w:hAnsi="宋体" w:cs="宋体"/>
          <w:color w:val="000000"/>
          <w:sz w:val="24"/>
          <w:szCs w:val="24"/>
          <w:lang w:val="en-US" w:eastAsia="zh-CN"/>
        </w:rPr>
        <w:t>脱氯池自流</w:t>
      </w:r>
      <w:r>
        <w:rPr>
          <w:rFonts w:hint="eastAsia" w:ascii="宋体" w:hAnsi="宋体" w:eastAsia="宋体" w:cs="宋体"/>
          <w:color w:val="000000"/>
          <w:sz w:val="24"/>
          <w:szCs w:val="24"/>
          <w:lang w:val="en-US" w:eastAsia="zh-CN"/>
        </w:rPr>
        <w:t>至标准计量排放</w:t>
      </w:r>
      <w:r>
        <w:rPr>
          <w:rFonts w:hint="eastAsia" w:ascii="宋体" w:hAnsi="宋体" w:cs="宋体"/>
          <w:color w:val="000000"/>
          <w:sz w:val="24"/>
          <w:szCs w:val="24"/>
          <w:lang w:val="en-US" w:eastAsia="zh-CN"/>
        </w:rPr>
        <w:t>口</w:t>
      </w:r>
      <w:r>
        <w:rPr>
          <w:rFonts w:hint="eastAsia" w:ascii="宋体" w:hAnsi="宋体" w:eastAsia="宋体" w:cs="宋体"/>
          <w:color w:val="000000"/>
          <w:sz w:val="24"/>
          <w:szCs w:val="24"/>
          <w:lang w:val="en-US" w:eastAsia="zh-CN"/>
        </w:rPr>
        <w:t>出水</w:t>
      </w:r>
      <w:r>
        <w:rPr>
          <w:rFonts w:hint="eastAsia" w:ascii="宋体" w:hAnsi="宋体" w:cs="宋体"/>
          <w:color w:val="000000"/>
          <w:sz w:val="24"/>
          <w:szCs w:val="24"/>
          <w:lang w:val="en-US" w:eastAsia="zh-CN"/>
        </w:rPr>
        <w:t>至排放池，经检测合格后由排放池提升泵排放至市政管网。如检测水质不达标时，经过调节排放阀门控制后经提升泵抽回至事故应急池继续处理直至检测水质达标后方可排放。</w:t>
      </w:r>
    </w:p>
    <w:p w14:paraId="03EED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6</w:t>
      </w:r>
      <w:r>
        <w:rPr>
          <w:rFonts w:hint="eastAsia" w:ascii="宋体" w:hAnsi="宋体" w:eastAsia="宋体" w:cs="宋体"/>
          <w:color w:val="000000"/>
          <w:sz w:val="24"/>
          <w:szCs w:val="24"/>
          <w:lang w:val="en-US" w:eastAsia="zh-CN"/>
        </w:rPr>
        <w:t>）系统设计有事故应急池，发生特殊情况时可采用应急措施处理。</w:t>
      </w:r>
    </w:p>
    <w:p w14:paraId="06B7EBE5">
      <w:pPr>
        <w:pStyle w:val="7"/>
        <w:rPr>
          <w:rFonts w:hint="eastAsia"/>
          <w:lang w:eastAsia="zh-CN"/>
        </w:rPr>
      </w:pPr>
    </w:p>
    <w:p w14:paraId="12BF57C4">
      <w:pPr>
        <w:pStyle w:val="7"/>
        <w:rPr>
          <w:rFonts w:hint="eastAsia"/>
        </w:rPr>
      </w:pPr>
    </w:p>
    <w:p w14:paraId="044B1DC2">
      <w:pPr>
        <w:pStyle w:val="6"/>
        <w:numPr>
          <w:ilvl w:val="0"/>
          <w:numId w:val="0"/>
        </w:numPr>
        <w:bidi w:val="0"/>
        <w:ind w:left="2058" w:leftChars="0" w:hanging="1008" w:firstLineChars="0"/>
        <w:rPr>
          <w:rFonts w:hint="eastAsia"/>
          <w:lang w:eastAsia="zh-CN"/>
        </w:rPr>
      </w:pPr>
      <w:r>
        <w:rPr>
          <w:rFonts w:hint="eastAsia"/>
          <w:lang w:eastAsia="zh-CN"/>
        </w:rPr>
        <w:t>污水处理站工艺流程图及设备信息表</w:t>
      </w:r>
    </w:p>
    <w:p w14:paraId="21B42730">
      <w:pPr>
        <w:jc w:val="center"/>
        <w:rPr>
          <w:lang w:eastAsia="zh-CN"/>
        </w:rPr>
      </w:pPr>
      <w:r>
        <w:rPr>
          <w:rFonts w:hint="eastAsia"/>
          <w:lang w:eastAsia="zh-CN"/>
        </w:rPr>
        <w:drawing>
          <wp:inline distT="0" distB="0" distL="114300" distR="114300">
            <wp:extent cx="5273040" cy="5806440"/>
            <wp:effectExtent l="0" t="0" r="0" b="0"/>
            <wp:docPr id="174" name="图片 174" descr="8013b7338e1740ffe96388aca872f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8013b7338e1740ffe96388aca872fc9"/>
                    <pic:cNvPicPr>
                      <a:picLocks noChangeAspect="1"/>
                    </pic:cNvPicPr>
                  </pic:nvPicPr>
                  <pic:blipFill>
                    <a:blip r:embed="rId4"/>
                    <a:srcRect/>
                    <a:stretch>
                      <a:fillRect/>
                    </a:stretch>
                  </pic:blipFill>
                  <pic:spPr>
                    <a:xfrm>
                      <a:off x="0" y="0"/>
                      <a:ext cx="5273040" cy="5806440"/>
                    </a:xfrm>
                    <a:prstGeom prst="rect">
                      <a:avLst/>
                    </a:prstGeom>
                  </pic:spPr>
                </pic:pic>
              </a:graphicData>
            </a:graphic>
          </wp:inline>
        </w:drawing>
      </w:r>
    </w:p>
    <w:p w14:paraId="13293078">
      <w:pPr>
        <w:keepLines/>
        <w:numPr>
          <w:ilvl w:val="0"/>
          <w:numId w:val="0"/>
        </w:numPr>
        <w:tabs>
          <w:tab w:val="left" w:pos="720"/>
        </w:tabs>
        <w:spacing w:line="360" w:lineRule="auto"/>
        <w:ind w:left="0" w:leftChars="0" w:firstLine="480" w:firstLineChars="200"/>
        <w:jc w:val="both"/>
        <w:rPr>
          <w:lang w:eastAsia="zh-CN"/>
        </w:rPr>
        <w:sectPr>
          <w:pgSz w:w="11906" w:h="16838"/>
          <w:pgMar w:top="1440" w:right="1417" w:bottom="1440" w:left="1417" w:header="680" w:footer="680" w:gutter="0"/>
          <w:cols w:space="720" w:num="1"/>
          <w:docGrid w:linePitch="360" w:charSpace="0"/>
        </w:sectPr>
      </w:pPr>
      <w:r>
        <w:rPr>
          <w:rFonts w:hint="eastAsia"/>
          <w:sz w:val="24"/>
          <w:szCs w:val="24"/>
          <w:lang w:val="en-US" w:eastAsia="zh-CN"/>
        </w:rPr>
        <w:t>污水</w:t>
      </w:r>
      <w:r>
        <w:rPr>
          <w:sz w:val="24"/>
          <w:szCs w:val="24"/>
          <w:lang w:eastAsia="zh-CN"/>
        </w:rPr>
        <w:t>站以液位联锁提升、调节池均质、兼氧水解、接触氧化、PAC/PAM混凝、斜管沉淀、次氯酸钠消毒和计量排放为主线。运行人员应核对液位、流量、pH、曝气状态、药剂投加、污泥界面、消毒效果、外排泵和在线数据，不得绕过处理单元、擅自改变流程或屏蔽联锁。事故应急池仅用于异常工况暂存，启用、回流和恢复均形成记录。</w:t>
      </w:r>
    </w:p>
    <w:p w14:paraId="494BAC50">
      <w:pPr>
        <w:keepLines/>
        <w:numPr>
          <w:ilvl w:val="0"/>
          <w:numId w:val="0"/>
        </w:numPr>
        <w:tabs>
          <w:tab w:val="left" w:pos="720"/>
        </w:tabs>
        <w:ind w:left="720" w:leftChars="0" w:hanging="720" w:firstLineChars="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设备信息表：</w:t>
      </w:r>
    </w:p>
    <w:tbl>
      <w:tblPr>
        <w:tblStyle w:val="13"/>
        <w:tblW w:w="84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
        <w:gridCol w:w="603"/>
        <w:gridCol w:w="2884"/>
        <w:gridCol w:w="2291"/>
        <w:gridCol w:w="679"/>
        <w:gridCol w:w="1050"/>
        <w:gridCol w:w="898"/>
      </w:tblGrid>
      <w:tr w14:paraId="16673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Borders>
              <w:bottom w:val="nil"/>
            </w:tcBorders>
          </w:tcPr>
          <w:p w14:paraId="771E454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2884" w:type="dxa"/>
            <w:tcBorders>
              <w:right w:val="single" w:color="auto" w:sz="4" w:space="0"/>
            </w:tcBorders>
          </w:tcPr>
          <w:p w14:paraId="5F54112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lang w:eastAsia="zh-CN"/>
              </w:rPr>
              <w:t>设备</w:t>
            </w:r>
            <w:r>
              <w:rPr>
                <w:rFonts w:hint="eastAsia" w:ascii="宋体" w:hAnsi="宋体" w:eastAsia="宋体" w:cs="宋体"/>
                <w:sz w:val="24"/>
                <w:szCs w:val="24"/>
              </w:rPr>
              <w:t>名称</w:t>
            </w:r>
          </w:p>
        </w:tc>
        <w:tc>
          <w:tcPr>
            <w:tcW w:w="2291" w:type="dxa"/>
            <w:tcBorders>
              <w:left w:val="single" w:color="auto" w:sz="4" w:space="0"/>
              <w:right w:val="single" w:color="auto" w:sz="4" w:space="0"/>
            </w:tcBorders>
          </w:tcPr>
          <w:p w14:paraId="3721E725">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规格/型号</w:t>
            </w:r>
          </w:p>
        </w:tc>
        <w:tc>
          <w:tcPr>
            <w:tcW w:w="679" w:type="dxa"/>
            <w:tcBorders>
              <w:bottom w:val="nil"/>
            </w:tcBorders>
          </w:tcPr>
          <w:p w14:paraId="2AAD4D3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单位</w:t>
            </w:r>
          </w:p>
        </w:tc>
        <w:tc>
          <w:tcPr>
            <w:tcW w:w="1050" w:type="dxa"/>
            <w:tcBorders>
              <w:bottom w:val="nil"/>
            </w:tcBorders>
          </w:tcPr>
          <w:p w14:paraId="5577D12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数量</w:t>
            </w:r>
          </w:p>
        </w:tc>
        <w:tc>
          <w:tcPr>
            <w:tcW w:w="898" w:type="dxa"/>
            <w:tcBorders>
              <w:bottom w:val="nil"/>
            </w:tcBorders>
          </w:tcPr>
          <w:p w14:paraId="709EC7E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备注</w:t>
            </w:r>
          </w:p>
        </w:tc>
      </w:tr>
      <w:tr w14:paraId="11CF0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0E62169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cs="宋体"/>
                <w:sz w:val="24"/>
                <w:szCs w:val="24"/>
                <w:lang w:val="en-US" w:eastAsia="zh-CN"/>
              </w:rPr>
              <w:t>1</w:t>
            </w:r>
          </w:p>
        </w:tc>
        <w:tc>
          <w:tcPr>
            <w:tcW w:w="2884" w:type="dxa"/>
          </w:tcPr>
          <w:p w14:paraId="64086E0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沉淀絮凝投药装置(投</w:t>
            </w:r>
          </w:p>
          <w:p w14:paraId="3271C29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加PAC和PAM)</w:t>
            </w:r>
          </w:p>
        </w:tc>
        <w:tc>
          <w:tcPr>
            <w:tcW w:w="2291" w:type="dxa"/>
          </w:tcPr>
          <w:p w14:paraId="514399C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VAMD04120PVT010S000</w:t>
            </w:r>
          </w:p>
        </w:tc>
        <w:tc>
          <w:tcPr>
            <w:tcW w:w="679" w:type="dxa"/>
          </w:tcPr>
          <w:p w14:paraId="296EA56F">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台</w:t>
            </w:r>
          </w:p>
        </w:tc>
        <w:tc>
          <w:tcPr>
            <w:tcW w:w="1050" w:type="dxa"/>
          </w:tcPr>
          <w:p w14:paraId="14CD53C4">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898" w:type="dxa"/>
          </w:tcPr>
          <w:p w14:paraId="241341C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580DB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4F08F8AF">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2</w:t>
            </w:r>
          </w:p>
        </w:tc>
        <w:tc>
          <w:tcPr>
            <w:tcW w:w="2884" w:type="dxa"/>
          </w:tcPr>
          <w:p w14:paraId="263921E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消毒加药装置</w:t>
            </w:r>
          </w:p>
          <w:p w14:paraId="78D6439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(投加次氯酸钠)</w:t>
            </w:r>
          </w:p>
        </w:tc>
        <w:tc>
          <w:tcPr>
            <w:tcW w:w="2291" w:type="dxa"/>
          </w:tcPr>
          <w:p w14:paraId="4EEC5CFC">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EHN-B31VCMR</w:t>
            </w:r>
          </w:p>
        </w:tc>
        <w:tc>
          <w:tcPr>
            <w:tcW w:w="679" w:type="dxa"/>
          </w:tcPr>
          <w:p w14:paraId="5CB81B1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台</w:t>
            </w:r>
          </w:p>
        </w:tc>
        <w:tc>
          <w:tcPr>
            <w:tcW w:w="1050" w:type="dxa"/>
          </w:tcPr>
          <w:p w14:paraId="1DF34E1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4</w:t>
            </w:r>
          </w:p>
        </w:tc>
        <w:tc>
          <w:tcPr>
            <w:tcW w:w="898" w:type="dxa"/>
          </w:tcPr>
          <w:p w14:paraId="1A08A0C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10290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2081589B">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3</w:t>
            </w:r>
          </w:p>
        </w:tc>
        <w:tc>
          <w:tcPr>
            <w:tcW w:w="2884" w:type="dxa"/>
          </w:tcPr>
          <w:p w14:paraId="1D310794">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机械格栅机</w:t>
            </w:r>
          </w:p>
        </w:tc>
        <w:tc>
          <w:tcPr>
            <w:tcW w:w="2291" w:type="dxa"/>
          </w:tcPr>
          <w:p w14:paraId="7CFC875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GSHZ-800</w:t>
            </w:r>
          </w:p>
        </w:tc>
        <w:tc>
          <w:tcPr>
            <w:tcW w:w="679" w:type="dxa"/>
          </w:tcPr>
          <w:p w14:paraId="7EE1E96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台</w:t>
            </w:r>
          </w:p>
        </w:tc>
        <w:tc>
          <w:tcPr>
            <w:tcW w:w="1050" w:type="dxa"/>
          </w:tcPr>
          <w:p w14:paraId="3BC30BF9">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44AF324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6603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118EB86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4</w:t>
            </w:r>
          </w:p>
        </w:tc>
        <w:tc>
          <w:tcPr>
            <w:tcW w:w="2884" w:type="dxa"/>
          </w:tcPr>
          <w:p w14:paraId="2B46026B">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罗茨</w:t>
            </w:r>
            <w:r>
              <w:rPr>
                <w:rFonts w:hint="eastAsia" w:ascii="宋体" w:hAnsi="宋体" w:cs="宋体"/>
                <w:sz w:val="24"/>
                <w:szCs w:val="24"/>
                <w:lang w:val="en-US" w:eastAsia="zh-CN"/>
              </w:rPr>
              <w:t>鼓</w:t>
            </w:r>
            <w:r>
              <w:rPr>
                <w:rFonts w:hint="eastAsia" w:ascii="宋体" w:hAnsi="宋体" w:eastAsia="宋体" w:cs="宋体"/>
                <w:sz w:val="24"/>
                <w:szCs w:val="24"/>
              </w:rPr>
              <w:t>风机</w:t>
            </w:r>
          </w:p>
        </w:tc>
        <w:tc>
          <w:tcPr>
            <w:tcW w:w="2291" w:type="dxa"/>
          </w:tcPr>
          <w:p w14:paraId="37D78E0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GRB</w:t>
            </w:r>
            <w:r>
              <w:rPr>
                <w:rFonts w:hint="eastAsia" w:ascii="宋体" w:hAnsi="宋体" w:eastAsia="宋体" w:cs="宋体"/>
                <w:sz w:val="24"/>
                <w:szCs w:val="24"/>
              </w:rPr>
              <w:t>-150</w:t>
            </w:r>
          </w:p>
        </w:tc>
        <w:tc>
          <w:tcPr>
            <w:tcW w:w="679" w:type="dxa"/>
          </w:tcPr>
          <w:p w14:paraId="63705D2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台</w:t>
            </w:r>
          </w:p>
        </w:tc>
        <w:tc>
          <w:tcPr>
            <w:tcW w:w="1050" w:type="dxa"/>
          </w:tcPr>
          <w:p w14:paraId="68B1E33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2</w:t>
            </w:r>
          </w:p>
        </w:tc>
        <w:tc>
          <w:tcPr>
            <w:tcW w:w="898" w:type="dxa"/>
          </w:tcPr>
          <w:p w14:paraId="0B66136B">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5073D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5B81877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2884" w:type="dxa"/>
          </w:tcPr>
          <w:p w14:paraId="133782E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压滤</w:t>
            </w:r>
            <w:r>
              <w:rPr>
                <w:rFonts w:hint="eastAsia" w:ascii="宋体" w:hAnsi="宋体" w:eastAsia="宋体" w:cs="宋体"/>
                <w:sz w:val="24"/>
                <w:szCs w:val="24"/>
              </w:rPr>
              <w:t>机</w:t>
            </w:r>
          </w:p>
        </w:tc>
        <w:tc>
          <w:tcPr>
            <w:tcW w:w="2291" w:type="dxa"/>
          </w:tcPr>
          <w:p w14:paraId="53A4BB9E">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XMYZ100/1000-UB</w:t>
            </w:r>
          </w:p>
        </w:tc>
        <w:tc>
          <w:tcPr>
            <w:tcW w:w="679" w:type="dxa"/>
          </w:tcPr>
          <w:p w14:paraId="71BE79FB">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台</w:t>
            </w:r>
          </w:p>
        </w:tc>
        <w:tc>
          <w:tcPr>
            <w:tcW w:w="1050" w:type="dxa"/>
          </w:tcPr>
          <w:p w14:paraId="335A8D5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33EE1A4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20E15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07EF71F4">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07F348C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2884" w:type="dxa"/>
          </w:tcPr>
          <w:p w14:paraId="1B3CABEE">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019C7992">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电气控制系统</w:t>
            </w:r>
          </w:p>
        </w:tc>
        <w:tc>
          <w:tcPr>
            <w:tcW w:w="2291" w:type="dxa"/>
          </w:tcPr>
          <w:p w14:paraId="6AF07AA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269F383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w:t>
            </w:r>
          </w:p>
        </w:tc>
        <w:tc>
          <w:tcPr>
            <w:tcW w:w="679" w:type="dxa"/>
          </w:tcPr>
          <w:p w14:paraId="453D1EB4">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54CFAF1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套</w:t>
            </w:r>
          </w:p>
        </w:tc>
        <w:tc>
          <w:tcPr>
            <w:tcW w:w="1050" w:type="dxa"/>
          </w:tcPr>
          <w:p w14:paraId="3E7DCF9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7B90B3F5">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7954A66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3F7FB22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2F762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313" w:hRule="atLeast"/>
          <w:jc w:val="center"/>
        </w:trPr>
        <w:tc>
          <w:tcPr>
            <w:tcW w:w="603" w:type="dxa"/>
          </w:tcPr>
          <w:p w14:paraId="009B03E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7</w:t>
            </w:r>
          </w:p>
        </w:tc>
        <w:tc>
          <w:tcPr>
            <w:tcW w:w="2884" w:type="dxa"/>
          </w:tcPr>
          <w:p w14:paraId="55F21DB8">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PH在线检测仪</w:t>
            </w:r>
          </w:p>
        </w:tc>
        <w:tc>
          <w:tcPr>
            <w:tcW w:w="2291" w:type="dxa"/>
          </w:tcPr>
          <w:p w14:paraId="446B0365">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W771-PH</w:t>
            </w:r>
          </w:p>
        </w:tc>
        <w:tc>
          <w:tcPr>
            <w:tcW w:w="679" w:type="dxa"/>
          </w:tcPr>
          <w:p w14:paraId="586E200B">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台</w:t>
            </w:r>
          </w:p>
        </w:tc>
        <w:tc>
          <w:tcPr>
            <w:tcW w:w="1050" w:type="dxa"/>
          </w:tcPr>
          <w:p w14:paraId="13D0247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33145E6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01927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3" w:type="dxa"/>
          <w:trHeight w:val="23" w:hRule="atLeast"/>
          <w:jc w:val="center"/>
        </w:trPr>
        <w:tc>
          <w:tcPr>
            <w:tcW w:w="603" w:type="dxa"/>
          </w:tcPr>
          <w:p w14:paraId="63FA7759">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eastAsia="zh-CN"/>
              </w:rPr>
            </w:pPr>
            <w:r>
              <w:rPr>
                <w:rFonts w:hint="eastAsia" w:ascii="宋体" w:hAnsi="宋体" w:cs="宋体"/>
                <w:sz w:val="24"/>
                <w:szCs w:val="24"/>
                <w:lang w:val="en-US" w:eastAsia="zh-CN"/>
              </w:rPr>
              <w:t>8</w:t>
            </w:r>
          </w:p>
        </w:tc>
        <w:tc>
          <w:tcPr>
            <w:tcW w:w="2884" w:type="dxa"/>
          </w:tcPr>
          <w:p w14:paraId="1AC18F4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数据传输采集器</w:t>
            </w:r>
          </w:p>
        </w:tc>
        <w:tc>
          <w:tcPr>
            <w:tcW w:w="2291" w:type="dxa"/>
          </w:tcPr>
          <w:p w14:paraId="0EA2CA5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K37</w:t>
            </w:r>
            <w:r>
              <w:rPr>
                <w:rFonts w:hint="eastAsia" w:ascii="宋体" w:hAnsi="宋体" w:cs="宋体"/>
                <w:sz w:val="24"/>
                <w:szCs w:val="24"/>
                <w:lang w:val="en-US" w:eastAsia="zh-CN"/>
              </w:rPr>
              <w:t>A</w:t>
            </w:r>
          </w:p>
        </w:tc>
        <w:tc>
          <w:tcPr>
            <w:tcW w:w="679" w:type="dxa"/>
          </w:tcPr>
          <w:p w14:paraId="16388DB9">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台</w:t>
            </w:r>
          </w:p>
        </w:tc>
        <w:tc>
          <w:tcPr>
            <w:tcW w:w="1050" w:type="dxa"/>
          </w:tcPr>
          <w:p w14:paraId="12A1B532">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60B10179">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30E11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16" w:type="dxa"/>
            <w:gridSpan w:val="2"/>
          </w:tcPr>
          <w:p w14:paraId="6AB809F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9</w:t>
            </w:r>
          </w:p>
        </w:tc>
        <w:tc>
          <w:tcPr>
            <w:tcW w:w="2884" w:type="dxa"/>
          </w:tcPr>
          <w:p w14:paraId="6951011D">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COD在线检测仪</w:t>
            </w:r>
          </w:p>
        </w:tc>
        <w:tc>
          <w:tcPr>
            <w:tcW w:w="2291" w:type="dxa"/>
          </w:tcPr>
          <w:p w14:paraId="3B95E21E">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WQ1000</w:t>
            </w:r>
          </w:p>
        </w:tc>
        <w:tc>
          <w:tcPr>
            <w:tcW w:w="679" w:type="dxa"/>
          </w:tcPr>
          <w:p w14:paraId="0F0C30FF">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台</w:t>
            </w:r>
          </w:p>
        </w:tc>
        <w:tc>
          <w:tcPr>
            <w:tcW w:w="1050" w:type="dxa"/>
          </w:tcPr>
          <w:p w14:paraId="2A06389C">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4BB66F85">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321F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16" w:type="dxa"/>
            <w:gridSpan w:val="2"/>
          </w:tcPr>
          <w:p w14:paraId="46A221C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cs="宋体"/>
                <w:sz w:val="24"/>
                <w:szCs w:val="24"/>
                <w:lang w:val="en-US" w:eastAsia="zh-CN"/>
              </w:rPr>
              <w:t>0</w:t>
            </w:r>
          </w:p>
        </w:tc>
        <w:tc>
          <w:tcPr>
            <w:tcW w:w="2884" w:type="dxa"/>
          </w:tcPr>
          <w:p w14:paraId="54F72177">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27CBBF54">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余氯在线检测仪</w:t>
            </w:r>
          </w:p>
        </w:tc>
        <w:tc>
          <w:tcPr>
            <w:tcW w:w="2291" w:type="dxa"/>
          </w:tcPr>
          <w:p w14:paraId="62E63EE8">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W771-A-DCP4.0MA20-M12</w:t>
            </w:r>
          </w:p>
        </w:tc>
        <w:tc>
          <w:tcPr>
            <w:tcW w:w="679" w:type="dxa"/>
          </w:tcPr>
          <w:p w14:paraId="728F3D39">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台</w:t>
            </w:r>
          </w:p>
        </w:tc>
        <w:tc>
          <w:tcPr>
            <w:tcW w:w="1050" w:type="dxa"/>
          </w:tcPr>
          <w:p w14:paraId="7C2CA49F">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p w14:paraId="57B45DC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3D7E5211">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61A04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16" w:type="dxa"/>
            <w:gridSpan w:val="2"/>
          </w:tcPr>
          <w:p w14:paraId="3A7B0F5C">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2884" w:type="dxa"/>
          </w:tcPr>
          <w:p w14:paraId="1E08FF2F">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超声波明渠流量计</w:t>
            </w:r>
          </w:p>
        </w:tc>
        <w:tc>
          <w:tcPr>
            <w:tcW w:w="2291" w:type="dxa"/>
          </w:tcPr>
          <w:p w14:paraId="5A3281D8">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GL-MQ-202-C4</w:t>
            </w:r>
          </w:p>
        </w:tc>
        <w:tc>
          <w:tcPr>
            <w:tcW w:w="679" w:type="dxa"/>
          </w:tcPr>
          <w:p w14:paraId="5EAC1827">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台</w:t>
            </w:r>
          </w:p>
        </w:tc>
        <w:tc>
          <w:tcPr>
            <w:tcW w:w="1050" w:type="dxa"/>
          </w:tcPr>
          <w:p w14:paraId="0B27847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061152C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43A9D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616" w:type="dxa"/>
            <w:gridSpan w:val="2"/>
          </w:tcPr>
          <w:p w14:paraId="5CA47537">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cs="宋体"/>
                <w:sz w:val="24"/>
                <w:szCs w:val="24"/>
                <w:lang w:val="en-US" w:eastAsia="zh-CN"/>
              </w:rPr>
              <w:t>2</w:t>
            </w:r>
          </w:p>
        </w:tc>
        <w:tc>
          <w:tcPr>
            <w:tcW w:w="2884" w:type="dxa"/>
          </w:tcPr>
          <w:p w14:paraId="0710D2D5">
            <w:pPr>
              <w:tabs>
                <w:tab w:val="left" w:pos="835"/>
                <w:tab w:val="center" w:pos="1497"/>
              </w:tabs>
              <w:kinsoku w:val="0"/>
              <w:autoSpaceDE w:val="0"/>
              <w:autoSpaceDN w:val="0"/>
              <w:adjustRightInd w:val="0"/>
              <w:snapToGrid w:val="0"/>
              <w:spacing w:line="240" w:lineRule="auto"/>
              <w:ind w:firstLine="0"/>
              <w:jc w:val="left"/>
              <w:textAlignment w:val="baseline"/>
              <w:rPr>
                <w:rFonts w:hint="eastAsia" w:ascii="宋体" w:hAnsi="宋体" w:eastAsia="宋体" w:cs="宋体"/>
                <w:sz w:val="24"/>
                <w:szCs w:val="24"/>
              </w:rPr>
            </w:pPr>
            <w:r>
              <w:rPr>
                <w:rFonts w:hint="eastAsia" w:ascii="宋体" w:hAnsi="宋体" w:cs="宋体"/>
                <w:sz w:val="24"/>
                <w:szCs w:val="24"/>
                <w:lang w:eastAsia="zh-CN"/>
              </w:rPr>
              <w:tab/>
            </w:r>
            <w:r>
              <w:rPr>
                <w:rFonts w:hint="eastAsia" w:ascii="宋体" w:hAnsi="宋体" w:eastAsia="宋体" w:cs="宋体"/>
                <w:sz w:val="24"/>
                <w:szCs w:val="24"/>
              </w:rPr>
              <w:t>除臭设备</w:t>
            </w:r>
          </w:p>
        </w:tc>
        <w:tc>
          <w:tcPr>
            <w:tcW w:w="2291" w:type="dxa"/>
          </w:tcPr>
          <w:p w14:paraId="2B74F8F7">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w:t>
            </w:r>
          </w:p>
        </w:tc>
        <w:tc>
          <w:tcPr>
            <w:tcW w:w="679" w:type="dxa"/>
          </w:tcPr>
          <w:p w14:paraId="6410FE50">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套</w:t>
            </w:r>
          </w:p>
        </w:tc>
        <w:tc>
          <w:tcPr>
            <w:tcW w:w="1050" w:type="dxa"/>
          </w:tcPr>
          <w:p w14:paraId="466B66D3">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898" w:type="dxa"/>
          </w:tcPr>
          <w:p w14:paraId="21548CC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r w14:paraId="51E45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16" w:type="dxa"/>
            <w:gridSpan w:val="2"/>
          </w:tcPr>
          <w:p w14:paraId="26BAE5CF">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13</w:t>
            </w:r>
          </w:p>
        </w:tc>
        <w:tc>
          <w:tcPr>
            <w:tcW w:w="2884" w:type="dxa"/>
          </w:tcPr>
          <w:p w14:paraId="6B0F003A">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调节池提升泵</w:t>
            </w:r>
          </w:p>
        </w:tc>
        <w:tc>
          <w:tcPr>
            <w:tcW w:w="2291" w:type="dxa"/>
          </w:tcPr>
          <w:p w14:paraId="39889C98">
            <w:pPr>
              <w:kinsoku w:val="0"/>
              <w:autoSpaceDE w:val="0"/>
              <w:autoSpaceDN w:val="0"/>
              <w:adjustRightInd w:val="0"/>
              <w:snapToGrid w:val="0"/>
              <w:spacing w:line="240" w:lineRule="auto"/>
              <w:ind w:firstLine="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FAG100C16.90/30</w:t>
            </w:r>
          </w:p>
        </w:tc>
        <w:tc>
          <w:tcPr>
            <w:tcW w:w="679" w:type="dxa"/>
          </w:tcPr>
          <w:p w14:paraId="48EC3FDF">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台</w:t>
            </w:r>
          </w:p>
        </w:tc>
        <w:tc>
          <w:tcPr>
            <w:tcW w:w="1050" w:type="dxa"/>
          </w:tcPr>
          <w:p w14:paraId="2A5B20E2">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898" w:type="dxa"/>
          </w:tcPr>
          <w:p w14:paraId="050953E6">
            <w:pPr>
              <w:kinsoku w:val="0"/>
              <w:autoSpaceDE w:val="0"/>
              <w:autoSpaceDN w:val="0"/>
              <w:adjustRightInd w:val="0"/>
              <w:snapToGrid w:val="0"/>
              <w:spacing w:line="240" w:lineRule="auto"/>
              <w:ind w:firstLine="0"/>
              <w:jc w:val="center"/>
              <w:textAlignment w:val="baseline"/>
              <w:rPr>
                <w:rFonts w:hint="eastAsia" w:ascii="宋体" w:hAnsi="宋体" w:eastAsia="宋体" w:cs="宋体"/>
                <w:sz w:val="24"/>
                <w:szCs w:val="24"/>
              </w:rPr>
            </w:pPr>
          </w:p>
        </w:tc>
      </w:tr>
    </w:tbl>
    <w:p w14:paraId="6F9BA4AC">
      <w:pPr>
        <w:pStyle w:val="5"/>
        <w:numPr>
          <w:ilvl w:val="1"/>
          <w:numId w:val="0"/>
        </w:numPr>
        <w:bidi w:val="0"/>
        <w:ind w:left="0" w:leftChars="0" w:firstLine="420" w:firstLineChars="0"/>
        <w:rPr>
          <w:rFonts w:hint="eastAsia" w:ascii="Times New Roman" w:hAnsi="Times New Roman" w:eastAsia="宋体" w:cs="Times New Roman"/>
          <w:b/>
          <w:bCs w:val="0"/>
          <w:kern w:val="2"/>
          <w:sz w:val="30"/>
          <w:szCs w:val="30"/>
          <w:lang w:val="en-US" w:eastAsia="zh-CN" w:bidi="ar-SA"/>
        </w:rPr>
      </w:pPr>
    </w:p>
    <w:p w14:paraId="7F585981">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r>
        <w:rPr>
          <w:rFonts w:hint="eastAsia" w:ascii="Times New Roman" w:hAnsi="Times New Roman" w:eastAsia="宋体" w:cs="Times New Roman"/>
          <w:b/>
          <w:bCs w:val="0"/>
          <w:kern w:val="2"/>
          <w:sz w:val="30"/>
          <w:szCs w:val="30"/>
          <w:lang w:val="en-US" w:eastAsia="zh-CN" w:bidi="ar-SA"/>
        </w:rPr>
        <w:t>项目实施目标</w:t>
      </w:r>
    </w:p>
    <w:p w14:paraId="6B9A58AB">
      <w:pPr>
        <w:numPr>
          <w:ilvl w:val="0"/>
          <w:numId w:val="3"/>
        </w:numPr>
        <w:spacing w:after="120" w:line="360" w:lineRule="auto"/>
        <w:ind w:left="845" w:leftChars="0" w:hanging="425" w:firstLineChars="0"/>
        <w:rPr>
          <w:color w:val="auto"/>
        </w:rPr>
      </w:pPr>
      <w:r>
        <w:rPr>
          <w:rFonts w:ascii="宋体" w:hAnsi="宋体" w:eastAsia="宋体"/>
          <w:b w:val="0"/>
          <w:color w:val="auto"/>
          <w:sz w:val="24"/>
        </w:rPr>
        <w:t>确保污水处理站各处理单元持续、稳定运行，保障日常污水得到有效处理。</w:t>
      </w:r>
    </w:p>
    <w:p w14:paraId="765EC920">
      <w:pPr>
        <w:numPr>
          <w:ilvl w:val="0"/>
          <w:numId w:val="3"/>
        </w:numPr>
        <w:spacing w:after="120" w:line="360" w:lineRule="auto"/>
        <w:ind w:left="845" w:leftChars="0" w:hanging="425" w:firstLineChars="0"/>
        <w:rPr>
          <w:color w:val="auto"/>
        </w:rPr>
      </w:pPr>
      <w:r>
        <w:rPr>
          <w:rFonts w:ascii="宋体" w:hAnsi="宋体" w:eastAsia="宋体"/>
          <w:b w:val="0"/>
          <w:color w:val="auto"/>
          <w:sz w:val="24"/>
        </w:rPr>
        <w:t>根据实际水量、水质及运行工况合理投加次氯酸钠、PAC、PAM等药剂，兼顾处理效果与药剂使用经济性。</w:t>
      </w:r>
    </w:p>
    <w:p w14:paraId="7D53C6E6">
      <w:pPr>
        <w:numPr>
          <w:ilvl w:val="0"/>
          <w:numId w:val="3"/>
        </w:numPr>
        <w:spacing w:after="120" w:line="360" w:lineRule="auto"/>
        <w:ind w:left="845" w:leftChars="0" w:hanging="425" w:firstLineChars="0"/>
        <w:rPr>
          <w:color w:val="auto"/>
        </w:rPr>
      </w:pPr>
      <w:r>
        <w:rPr>
          <w:rFonts w:ascii="宋体" w:hAnsi="宋体" w:eastAsia="宋体"/>
          <w:b w:val="0"/>
          <w:color w:val="auto"/>
          <w:sz w:val="24"/>
        </w:rPr>
        <w:t>建立24小时运维值守机制，及时发现并处理设备、工艺及水质异常。</w:t>
      </w:r>
    </w:p>
    <w:p w14:paraId="388BEC9B">
      <w:pPr>
        <w:numPr>
          <w:ilvl w:val="0"/>
          <w:numId w:val="3"/>
        </w:numPr>
        <w:spacing w:after="120" w:line="360" w:lineRule="auto"/>
        <w:ind w:left="845" w:leftChars="0" w:hanging="425" w:firstLineChars="0"/>
        <w:rPr>
          <w:color w:val="auto"/>
        </w:rPr>
      </w:pPr>
      <w:r>
        <w:rPr>
          <w:rFonts w:ascii="宋体" w:hAnsi="宋体" w:eastAsia="宋体"/>
          <w:b w:val="0"/>
          <w:color w:val="auto"/>
          <w:sz w:val="24"/>
        </w:rPr>
        <w:t>落实设备日常巡检、维护保养和小额配件更换，降低设备故障率，延长设备使用寿命。</w:t>
      </w:r>
    </w:p>
    <w:p w14:paraId="0ECE4199">
      <w:pPr>
        <w:numPr>
          <w:ilvl w:val="0"/>
          <w:numId w:val="3"/>
        </w:numPr>
        <w:spacing w:after="120" w:line="360" w:lineRule="auto"/>
        <w:ind w:left="845" w:leftChars="0" w:hanging="425" w:firstLineChars="0"/>
        <w:rPr>
          <w:color w:val="auto"/>
        </w:rPr>
      </w:pPr>
      <w:r>
        <w:rPr>
          <w:rFonts w:ascii="宋体" w:hAnsi="宋体" w:eastAsia="宋体"/>
          <w:b w:val="0"/>
          <w:color w:val="auto"/>
          <w:sz w:val="24"/>
        </w:rPr>
        <w:t>做好在线监测设备周、月、年度校准及试剂管理，保证监测系统运行正常、数据连续有效。</w:t>
      </w:r>
    </w:p>
    <w:p w14:paraId="1F7B1504">
      <w:pPr>
        <w:numPr>
          <w:ilvl w:val="0"/>
          <w:numId w:val="3"/>
        </w:numPr>
        <w:spacing w:after="120" w:line="360" w:lineRule="auto"/>
        <w:ind w:left="845" w:leftChars="0" w:hanging="425" w:firstLineChars="0"/>
        <w:rPr>
          <w:color w:val="auto"/>
        </w:rPr>
      </w:pPr>
      <w:r>
        <w:rPr>
          <w:rFonts w:ascii="宋体" w:hAnsi="宋体" w:eastAsia="宋体"/>
          <w:b w:val="0"/>
          <w:color w:val="auto"/>
          <w:sz w:val="24"/>
        </w:rPr>
        <w:t>按</w:t>
      </w:r>
      <w:r>
        <w:rPr>
          <w:rFonts w:hint="eastAsia" w:ascii="宋体" w:hAnsi="宋体" w:eastAsia="宋体"/>
          <w:b w:val="0"/>
          <w:color w:val="auto"/>
          <w:sz w:val="24"/>
          <w:lang w:val="en-US" w:eastAsia="zh-CN"/>
        </w:rPr>
        <w:t>照环保相关要求</w:t>
      </w:r>
      <w:r>
        <w:rPr>
          <w:rFonts w:ascii="宋体" w:hAnsi="宋体" w:eastAsia="宋体"/>
          <w:b w:val="0"/>
          <w:color w:val="auto"/>
          <w:sz w:val="24"/>
        </w:rPr>
        <w:t>开展日、周、月、季度污水检测以及有组织废气、无组织废气和噪声检测，形成完整检测记录及报告资料。</w:t>
      </w:r>
    </w:p>
    <w:p w14:paraId="28A99912">
      <w:pPr>
        <w:numPr>
          <w:ilvl w:val="0"/>
          <w:numId w:val="3"/>
        </w:numPr>
        <w:spacing w:after="120" w:line="360" w:lineRule="auto"/>
        <w:ind w:left="845" w:leftChars="0" w:hanging="425" w:firstLineChars="0"/>
        <w:rPr>
          <w:color w:val="auto"/>
        </w:rPr>
      </w:pPr>
      <w:r>
        <w:rPr>
          <w:rFonts w:ascii="宋体" w:hAnsi="宋体" w:eastAsia="宋体"/>
          <w:b w:val="0"/>
          <w:color w:val="auto"/>
          <w:sz w:val="24"/>
        </w:rPr>
        <w:t>建立完善的运行记录、药剂使用记录、设备维护记录、检测记录和异常处置记录，为</w:t>
      </w:r>
      <w:r>
        <w:rPr>
          <w:rFonts w:hint="eastAsia" w:ascii="宋体" w:hAnsi="宋体" w:eastAsia="宋体"/>
          <w:b w:val="0"/>
          <w:color w:val="auto"/>
          <w:sz w:val="24"/>
          <w:lang w:eastAsia="zh-CN"/>
        </w:rPr>
        <w:t>院方</w:t>
      </w:r>
      <w:r>
        <w:rPr>
          <w:rFonts w:ascii="宋体" w:hAnsi="宋体" w:eastAsia="宋体"/>
          <w:b w:val="0"/>
          <w:color w:val="auto"/>
          <w:sz w:val="24"/>
        </w:rPr>
        <w:t>环保管理及检查提供资料支撑。</w:t>
      </w:r>
    </w:p>
    <w:p w14:paraId="597762FA">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r>
        <w:rPr>
          <w:rFonts w:hint="eastAsia" w:ascii="Times New Roman" w:hAnsi="Times New Roman" w:eastAsia="宋体" w:cs="Times New Roman"/>
          <w:b/>
          <w:bCs w:val="0"/>
          <w:kern w:val="2"/>
          <w:sz w:val="30"/>
          <w:szCs w:val="30"/>
          <w:lang w:val="en-US" w:eastAsia="zh-CN" w:bidi="ar-SA"/>
        </w:rPr>
        <w:t>实施范围及服务内容</w:t>
      </w:r>
    </w:p>
    <w:p w14:paraId="4A668E5E">
      <w:pPr>
        <w:spacing w:after="120" w:line="360" w:lineRule="auto"/>
        <w:ind w:firstLine="420"/>
        <w:rPr>
          <w:color w:val="auto"/>
        </w:rPr>
      </w:pPr>
      <w:r>
        <w:rPr>
          <w:rFonts w:ascii="宋体" w:hAnsi="宋体" w:eastAsia="宋体"/>
          <w:b w:val="0"/>
          <w:color w:val="auto"/>
          <w:sz w:val="24"/>
        </w:rPr>
        <w:t>本项目服务范围以</w:t>
      </w:r>
      <w:r>
        <w:rPr>
          <w:rFonts w:hint="eastAsia" w:ascii="宋体" w:hAnsi="宋体" w:eastAsia="宋体"/>
          <w:b w:val="0"/>
          <w:color w:val="auto"/>
          <w:sz w:val="24"/>
          <w:lang w:eastAsia="zh-CN"/>
        </w:rPr>
        <w:t>院方</w:t>
      </w:r>
      <w:r>
        <w:rPr>
          <w:rFonts w:ascii="宋体" w:hAnsi="宋体" w:eastAsia="宋体"/>
          <w:b w:val="0"/>
          <w:color w:val="auto"/>
          <w:sz w:val="24"/>
        </w:rPr>
        <w:t>污水处理站</w:t>
      </w:r>
      <w:r>
        <w:rPr>
          <w:rFonts w:hint="eastAsia" w:ascii="宋体" w:hAnsi="宋体" w:eastAsia="宋体"/>
          <w:b w:val="0"/>
          <w:color w:val="auto"/>
          <w:sz w:val="24"/>
          <w:lang w:val="en-US" w:eastAsia="zh-CN"/>
        </w:rPr>
        <w:t>排污许可证</w:t>
      </w:r>
      <w:r>
        <w:rPr>
          <w:rFonts w:ascii="宋体" w:hAnsi="宋体" w:eastAsia="宋体"/>
          <w:b w:val="0"/>
          <w:color w:val="auto"/>
          <w:sz w:val="24"/>
        </w:rPr>
        <w:t>及相关环保</w:t>
      </w:r>
      <w:r>
        <w:rPr>
          <w:rFonts w:hint="eastAsia" w:ascii="宋体" w:hAnsi="宋体" w:eastAsia="宋体"/>
          <w:b w:val="0"/>
          <w:color w:val="auto"/>
          <w:sz w:val="24"/>
          <w:lang w:val="en-US" w:eastAsia="zh-CN"/>
        </w:rPr>
        <w:t>要求</w:t>
      </w:r>
      <w:r>
        <w:rPr>
          <w:rFonts w:ascii="宋体" w:hAnsi="宋体" w:eastAsia="宋体"/>
          <w:b w:val="0"/>
          <w:color w:val="auto"/>
          <w:sz w:val="24"/>
        </w:rPr>
        <w:t>为</w:t>
      </w:r>
      <w:r>
        <w:rPr>
          <w:rFonts w:hint="eastAsia" w:ascii="宋体" w:hAnsi="宋体" w:eastAsia="宋体"/>
          <w:b w:val="0"/>
          <w:color w:val="auto"/>
          <w:sz w:val="24"/>
          <w:lang w:val="en-US" w:eastAsia="zh-CN"/>
        </w:rPr>
        <w:t>指导</w:t>
      </w:r>
      <w:r>
        <w:rPr>
          <w:rFonts w:ascii="宋体" w:hAnsi="宋体" w:eastAsia="宋体"/>
          <w:b w:val="0"/>
          <w:color w:val="auto"/>
          <w:sz w:val="24"/>
        </w:rPr>
        <w:t>，按照</w:t>
      </w:r>
      <w:r>
        <w:rPr>
          <w:rFonts w:hint="eastAsia" w:ascii="宋体" w:hAnsi="宋体" w:eastAsia="宋体"/>
          <w:b w:val="0"/>
          <w:color w:val="auto"/>
          <w:sz w:val="24"/>
          <w:lang w:val="en-US" w:eastAsia="zh-CN"/>
        </w:rPr>
        <w:t>院方</w:t>
      </w:r>
      <w:r>
        <w:rPr>
          <w:rFonts w:ascii="宋体" w:hAnsi="宋体" w:eastAsia="宋体"/>
          <w:b w:val="0"/>
          <w:color w:val="auto"/>
          <w:sz w:val="24"/>
        </w:rPr>
        <w:t>项目</w:t>
      </w:r>
      <w:r>
        <w:rPr>
          <w:rFonts w:hint="eastAsia" w:ascii="宋体" w:hAnsi="宋体" w:eastAsia="宋体"/>
          <w:b w:val="0"/>
          <w:color w:val="auto"/>
          <w:sz w:val="24"/>
          <w:lang w:val="en-US" w:eastAsia="zh-CN"/>
        </w:rPr>
        <w:t>要求</w:t>
      </w:r>
      <w:r>
        <w:rPr>
          <w:rFonts w:ascii="宋体" w:hAnsi="宋体" w:eastAsia="宋体"/>
          <w:b w:val="0"/>
          <w:color w:val="auto"/>
          <w:sz w:val="24"/>
        </w:rPr>
        <w:t>组织实施。主要包括以下内容：</w:t>
      </w:r>
    </w:p>
    <w:p w14:paraId="729E5302">
      <w:pPr>
        <w:pStyle w:val="3"/>
        <w:numPr>
          <w:ilvl w:val="0"/>
          <w:numId w:val="4"/>
        </w:numPr>
        <w:ind w:left="845" w:leftChars="0" w:hanging="425" w:firstLineChars="0"/>
        <w:rPr>
          <w:color w:val="auto"/>
          <w:sz w:val="24"/>
          <w:szCs w:val="24"/>
        </w:rPr>
      </w:pPr>
      <w:r>
        <w:rPr>
          <w:color w:val="auto"/>
          <w:sz w:val="24"/>
          <w:szCs w:val="24"/>
        </w:rPr>
        <w:t>运行人员配置及24小时值守</w:t>
      </w:r>
    </w:p>
    <w:p w14:paraId="20B74467">
      <w:pPr>
        <w:spacing w:after="120" w:line="360" w:lineRule="auto"/>
        <w:ind w:firstLine="420"/>
        <w:rPr>
          <w:color w:val="auto"/>
        </w:rPr>
      </w:pPr>
      <w:r>
        <w:rPr>
          <w:rFonts w:ascii="宋体" w:hAnsi="宋体" w:eastAsia="宋体"/>
          <w:b w:val="0"/>
          <w:color w:val="auto"/>
          <w:sz w:val="24"/>
        </w:rPr>
        <w:t>配置</w:t>
      </w:r>
      <w:r>
        <w:rPr>
          <w:rFonts w:hint="eastAsia" w:ascii="宋体" w:hAnsi="宋体" w:eastAsia="宋体"/>
          <w:b w:val="0"/>
          <w:color w:val="auto"/>
          <w:sz w:val="24"/>
          <w:lang w:val="en-US" w:eastAsia="zh-CN"/>
        </w:rPr>
        <w:t>1名项目负责人以及3</w:t>
      </w:r>
      <w:r>
        <w:rPr>
          <w:rFonts w:ascii="宋体" w:hAnsi="宋体" w:eastAsia="宋体"/>
          <w:b w:val="0"/>
          <w:color w:val="auto"/>
          <w:sz w:val="24"/>
        </w:rPr>
        <w:t>名污水处理站运维技术人员，实行24小时值守及轮班管理。运维人员负责污水处理站日常巡检、设备操作、药剂投加、运行参数记录、在线监测设备巡查、异常情况处置及现场卫生管理等工作。</w:t>
      </w:r>
    </w:p>
    <w:p w14:paraId="3FD3C505">
      <w:pPr>
        <w:spacing w:after="120" w:line="360" w:lineRule="auto"/>
        <w:ind w:firstLine="420"/>
        <w:rPr>
          <w:color w:val="auto"/>
        </w:rPr>
      </w:pPr>
      <w:r>
        <w:rPr>
          <w:rFonts w:ascii="宋体" w:hAnsi="宋体" w:eastAsia="宋体"/>
          <w:b w:val="0"/>
          <w:color w:val="auto"/>
          <w:sz w:val="24"/>
        </w:rPr>
        <w:t>人员费用已包含工资、社保、劳保及项目实施所需的人力成本。</w:t>
      </w:r>
      <w:r>
        <w:rPr>
          <w:rFonts w:hint="eastAsia" w:ascii="宋体" w:hAnsi="宋体" w:eastAsia="宋体"/>
          <w:b w:val="0"/>
          <w:color w:val="auto"/>
          <w:sz w:val="24"/>
          <w:lang w:val="en-US" w:eastAsia="zh-CN"/>
        </w:rPr>
        <w:t>我方</w:t>
      </w:r>
      <w:r>
        <w:rPr>
          <w:rFonts w:ascii="宋体" w:hAnsi="宋体" w:eastAsia="宋体"/>
          <w:b w:val="0"/>
          <w:color w:val="auto"/>
          <w:sz w:val="24"/>
        </w:rPr>
        <w:t>负责人员日常管理、培训和考核，确保人员熟悉污水处理工艺、设备操作规程及现场安全要求。</w:t>
      </w:r>
    </w:p>
    <w:p w14:paraId="137E9BED">
      <w:pPr>
        <w:pStyle w:val="3"/>
        <w:numPr>
          <w:ilvl w:val="0"/>
          <w:numId w:val="4"/>
        </w:numPr>
        <w:tabs>
          <w:tab w:val="left" w:pos="840"/>
          <w:tab w:val="clear" w:pos="420"/>
        </w:tabs>
        <w:ind w:left="845" w:leftChars="0" w:hanging="425" w:firstLineChars="0"/>
        <w:rPr>
          <w:rFonts w:hint="eastAsia"/>
          <w:color w:val="auto"/>
          <w:sz w:val="24"/>
          <w:szCs w:val="24"/>
          <w:lang w:eastAsia="zh-CN"/>
        </w:rPr>
      </w:pPr>
      <w:r>
        <w:rPr>
          <w:rFonts w:hint="eastAsia"/>
          <w:color w:val="auto"/>
          <w:sz w:val="24"/>
          <w:szCs w:val="24"/>
          <w:lang w:eastAsia="zh-CN"/>
        </w:rPr>
        <w:t>药剂采购、储存及投加管理</w:t>
      </w:r>
    </w:p>
    <w:p w14:paraId="7D4AD277">
      <w:pPr>
        <w:rPr>
          <w:color w:val="auto"/>
        </w:rPr>
      </w:pPr>
    </w:p>
    <w:p w14:paraId="5DA68848">
      <w:pPr>
        <w:spacing w:after="120" w:line="360" w:lineRule="auto"/>
        <w:ind w:firstLine="420"/>
        <w:rPr>
          <w:color w:val="auto"/>
        </w:rPr>
      </w:pPr>
      <w:r>
        <w:rPr>
          <w:rFonts w:ascii="宋体" w:hAnsi="宋体" w:eastAsia="宋体"/>
          <w:b w:val="0"/>
          <w:color w:val="auto"/>
          <w:sz w:val="24"/>
        </w:rPr>
        <w:t>药剂使用根据现场水量、水质及运行效果进行动态调整，在满足处理效果的前提下合理控制投加量。药剂进场后按类别规范储存，并做好领用、投加和库存记录。</w:t>
      </w:r>
    </w:p>
    <w:p w14:paraId="4E2FBF1C">
      <w:pPr>
        <w:pStyle w:val="3"/>
        <w:numPr>
          <w:ilvl w:val="0"/>
          <w:numId w:val="4"/>
        </w:numPr>
        <w:ind w:left="845" w:leftChars="0" w:hanging="425" w:firstLineChars="0"/>
        <w:rPr>
          <w:color w:val="auto"/>
          <w:sz w:val="24"/>
          <w:szCs w:val="24"/>
        </w:rPr>
      </w:pPr>
      <w:r>
        <w:rPr>
          <w:color w:val="auto"/>
          <w:sz w:val="24"/>
          <w:szCs w:val="24"/>
        </w:rPr>
        <w:t>设备维修保养</w:t>
      </w:r>
    </w:p>
    <w:p w14:paraId="600E384F">
      <w:pPr>
        <w:spacing w:after="120" w:line="360" w:lineRule="auto"/>
        <w:ind w:firstLine="420"/>
        <w:rPr>
          <w:color w:val="auto"/>
        </w:rPr>
      </w:pPr>
      <w:r>
        <w:rPr>
          <w:rFonts w:ascii="宋体" w:hAnsi="宋体" w:eastAsia="宋体"/>
          <w:b w:val="0"/>
          <w:color w:val="auto"/>
          <w:sz w:val="24"/>
        </w:rPr>
        <w:t>按照</w:t>
      </w:r>
      <w:r>
        <w:rPr>
          <w:rFonts w:hint="eastAsia" w:ascii="宋体" w:hAnsi="宋体" w:eastAsia="宋体"/>
          <w:b w:val="0"/>
          <w:color w:val="auto"/>
          <w:sz w:val="24"/>
          <w:lang w:val="en-US" w:eastAsia="zh-CN"/>
        </w:rPr>
        <w:t>污水站</w:t>
      </w:r>
      <w:r>
        <w:rPr>
          <w:rFonts w:ascii="宋体" w:hAnsi="宋体" w:eastAsia="宋体"/>
          <w:b w:val="0"/>
          <w:color w:val="auto"/>
          <w:sz w:val="24"/>
        </w:rPr>
        <w:t>设备运行状况制定日常巡检和维护保养计划，重点对污水处理站机械设备、电气设备及相关辅助设施进行检查。服务内容包括鼓风机机油更换及日常保养，设备发生异常时，运维人员应及时采取停机保护、切换备用设备、调整运行参数等措施，并做好故障记录和维修记录。</w:t>
      </w:r>
    </w:p>
    <w:p w14:paraId="1D2483C4">
      <w:pPr>
        <w:pStyle w:val="3"/>
        <w:numPr>
          <w:ilvl w:val="0"/>
          <w:numId w:val="4"/>
        </w:numPr>
        <w:ind w:left="845" w:leftChars="0" w:hanging="425" w:firstLineChars="0"/>
        <w:rPr>
          <w:rFonts w:hint="eastAsia"/>
          <w:color w:val="auto"/>
          <w:sz w:val="24"/>
          <w:szCs w:val="24"/>
          <w:lang w:eastAsia="zh-CN"/>
        </w:rPr>
      </w:pPr>
      <w:r>
        <w:rPr>
          <w:rFonts w:hint="eastAsia"/>
          <w:color w:val="auto"/>
          <w:sz w:val="24"/>
          <w:szCs w:val="24"/>
          <w:lang w:eastAsia="zh-CN"/>
        </w:rPr>
        <w:t>自动在线监测设备运营维护</w:t>
      </w:r>
    </w:p>
    <w:p w14:paraId="30E0EA3F">
      <w:pPr>
        <w:spacing w:after="120" w:line="360" w:lineRule="auto"/>
        <w:ind w:firstLine="420"/>
        <w:rPr>
          <w:rFonts w:ascii="宋体" w:hAnsi="宋体" w:eastAsia="宋体"/>
          <w:b w:val="0"/>
          <w:color w:val="auto"/>
          <w:sz w:val="24"/>
        </w:rPr>
      </w:pPr>
      <w:r>
        <w:rPr>
          <w:rFonts w:ascii="宋体" w:hAnsi="宋体" w:eastAsia="宋体"/>
          <w:b w:val="0"/>
          <w:color w:val="auto"/>
          <w:sz w:val="24"/>
        </w:rPr>
        <w:t>对余氯、pH、COD等在线监测项目开展周校准、月度校准及配套试剂管理；对流量计按年度要求开展校准。运维人员负责在线设备日常巡查、运行状态检查、异常报警记录及试剂余量检查，发现数据异常及时排查并报告。</w:t>
      </w:r>
    </w:p>
    <w:p w14:paraId="7825BAB6">
      <w:pPr>
        <w:spacing w:after="120" w:line="360" w:lineRule="auto"/>
        <w:ind w:firstLine="420"/>
        <w:rPr>
          <w:rFonts w:ascii="宋体" w:hAnsi="宋体" w:eastAsia="宋体"/>
          <w:b w:val="0"/>
          <w:color w:val="auto"/>
          <w:sz w:val="24"/>
        </w:rPr>
      </w:pPr>
    </w:p>
    <w:p w14:paraId="665C1F28">
      <w:pPr>
        <w:spacing w:after="120" w:line="360" w:lineRule="auto"/>
        <w:ind w:firstLine="420"/>
        <w:rPr>
          <w:rFonts w:ascii="宋体" w:hAnsi="宋体" w:eastAsia="宋体"/>
          <w:b w:val="0"/>
          <w:color w:val="auto"/>
          <w:sz w:val="24"/>
        </w:rPr>
      </w:pPr>
    </w:p>
    <w:p w14:paraId="604E29E7">
      <w:pPr>
        <w:spacing w:after="120" w:line="360" w:lineRule="auto"/>
        <w:ind w:firstLine="420"/>
        <w:rPr>
          <w:rFonts w:ascii="宋体" w:hAnsi="宋体" w:eastAsia="宋体"/>
          <w:b w:val="0"/>
          <w:color w:val="auto"/>
          <w:sz w:val="24"/>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3266"/>
        <w:gridCol w:w="1597"/>
        <w:gridCol w:w="2435"/>
      </w:tblGrid>
      <w:tr w14:paraId="0615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blHeader/>
          <w:jc w:val="center"/>
        </w:trPr>
        <w:tc>
          <w:tcPr>
            <w:tcW w:w="3266" w:type="dxa"/>
            <w:shd w:val="clear" w:color="auto" w:fill="FFFFFF" w:themeFill="background1"/>
            <w:vAlign w:val="center"/>
          </w:tcPr>
          <w:p w14:paraId="204F3EF3">
            <w:pPr>
              <w:spacing w:after="0" w:line="240" w:lineRule="auto"/>
              <w:jc w:val="center"/>
              <w:rPr>
                <w:color w:val="auto"/>
              </w:rPr>
            </w:pPr>
            <w:r>
              <w:rPr>
                <w:rFonts w:ascii="宋体" w:hAnsi="宋体" w:eastAsia="宋体"/>
                <w:b/>
                <w:color w:val="auto"/>
                <w:sz w:val="21"/>
              </w:rPr>
              <w:t>服务项目</w:t>
            </w:r>
          </w:p>
        </w:tc>
        <w:tc>
          <w:tcPr>
            <w:tcW w:w="1597" w:type="dxa"/>
            <w:shd w:val="clear" w:color="auto" w:fill="FFFFFF" w:themeFill="background1"/>
            <w:vAlign w:val="center"/>
          </w:tcPr>
          <w:p w14:paraId="1A90F6C1">
            <w:pPr>
              <w:spacing w:after="0" w:line="240" w:lineRule="auto"/>
              <w:jc w:val="center"/>
              <w:rPr>
                <w:color w:val="auto"/>
              </w:rPr>
            </w:pPr>
            <w:r>
              <w:rPr>
                <w:rFonts w:ascii="宋体" w:hAnsi="宋体" w:eastAsia="宋体"/>
                <w:b/>
                <w:color w:val="auto"/>
                <w:sz w:val="21"/>
              </w:rPr>
              <w:t>频次</w:t>
            </w:r>
          </w:p>
        </w:tc>
        <w:tc>
          <w:tcPr>
            <w:tcW w:w="2435" w:type="dxa"/>
            <w:shd w:val="clear" w:color="auto" w:fill="FFFFFF" w:themeFill="background1"/>
            <w:vAlign w:val="center"/>
          </w:tcPr>
          <w:p w14:paraId="40DF4BD4">
            <w:pPr>
              <w:spacing w:after="0" w:line="240" w:lineRule="auto"/>
              <w:jc w:val="center"/>
              <w:rPr>
                <w:color w:val="auto"/>
              </w:rPr>
            </w:pPr>
            <w:r>
              <w:rPr>
                <w:rFonts w:ascii="宋体" w:hAnsi="宋体" w:eastAsia="宋体"/>
                <w:b/>
                <w:color w:val="auto"/>
                <w:sz w:val="21"/>
              </w:rPr>
              <w:t>年度次数/数量</w:t>
            </w:r>
          </w:p>
        </w:tc>
      </w:tr>
      <w:tr w14:paraId="1C2D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6" w:type="dxa"/>
            <w:shd w:val="clear" w:color="auto" w:fill="FFFFFF" w:themeFill="background1"/>
            <w:vAlign w:val="center"/>
          </w:tcPr>
          <w:p w14:paraId="41BCE56D">
            <w:pPr>
              <w:spacing w:after="0" w:line="240" w:lineRule="auto"/>
              <w:jc w:val="center"/>
              <w:rPr>
                <w:color w:val="auto"/>
              </w:rPr>
            </w:pPr>
            <w:r>
              <w:rPr>
                <w:rFonts w:ascii="宋体" w:hAnsi="宋体" w:eastAsia="宋体"/>
                <w:b w:val="0"/>
                <w:color w:val="auto"/>
                <w:sz w:val="21"/>
              </w:rPr>
              <w:t>余氯、pH、COD周校准</w:t>
            </w:r>
          </w:p>
        </w:tc>
        <w:tc>
          <w:tcPr>
            <w:tcW w:w="1597" w:type="dxa"/>
            <w:shd w:val="clear" w:color="auto" w:fill="FFFFFF" w:themeFill="background1"/>
            <w:vAlign w:val="center"/>
          </w:tcPr>
          <w:p w14:paraId="2EFCE5DA">
            <w:pPr>
              <w:spacing w:after="0" w:line="240" w:lineRule="auto"/>
              <w:jc w:val="center"/>
              <w:rPr>
                <w:color w:val="auto"/>
              </w:rPr>
            </w:pPr>
            <w:r>
              <w:rPr>
                <w:rFonts w:ascii="宋体" w:hAnsi="宋体" w:eastAsia="宋体"/>
                <w:b w:val="0"/>
                <w:color w:val="auto"/>
                <w:sz w:val="21"/>
              </w:rPr>
              <w:t>每周</w:t>
            </w:r>
          </w:p>
        </w:tc>
        <w:tc>
          <w:tcPr>
            <w:tcW w:w="2435" w:type="dxa"/>
            <w:shd w:val="clear" w:color="auto" w:fill="FFFFFF" w:themeFill="background1"/>
            <w:vAlign w:val="center"/>
          </w:tcPr>
          <w:p w14:paraId="01472BA1">
            <w:pPr>
              <w:spacing w:after="0" w:line="240" w:lineRule="auto"/>
              <w:jc w:val="center"/>
              <w:rPr>
                <w:color w:val="auto"/>
              </w:rPr>
            </w:pPr>
            <w:r>
              <w:rPr>
                <w:rFonts w:ascii="宋体" w:hAnsi="宋体" w:eastAsia="宋体"/>
                <w:b w:val="0"/>
                <w:color w:val="auto"/>
                <w:sz w:val="21"/>
              </w:rPr>
              <w:t>52周</w:t>
            </w:r>
          </w:p>
        </w:tc>
      </w:tr>
      <w:tr w14:paraId="4C00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6" w:type="dxa"/>
            <w:shd w:val="clear" w:color="auto" w:fill="FFFFFF" w:themeFill="background1"/>
            <w:vAlign w:val="center"/>
          </w:tcPr>
          <w:p w14:paraId="3706EAA4">
            <w:pPr>
              <w:spacing w:after="0" w:line="240" w:lineRule="auto"/>
              <w:jc w:val="center"/>
              <w:rPr>
                <w:color w:val="auto"/>
              </w:rPr>
            </w:pPr>
            <w:r>
              <w:rPr>
                <w:rFonts w:ascii="宋体" w:hAnsi="宋体" w:eastAsia="宋体"/>
                <w:b w:val="0"/>
                <w:color w:val="auto"/>
                <w:sz w:val="21"/>
              </w:rPr>
              <w:t>余氯、pH、COD月校准</w:t>
            </w:r>
          </w:p>
        </w:tc>
        <w:tc>
          <w:tcPr>
            <w:tcW w:w="1597" w:type="dxa"/>
            <w:shd w:val="clear" w:color="auto" w:fill="FFFFFF" w:themeFill="background1"/>
            <w:vAlign w:val="center"/>
          </w:tcPr>
          <w:p w14:paraId="38E0B11D">
            <w:pPr>
              <w:spacing w:after="0" w:line="240" w:lineRule="auto"/>
              <w:jc w:val="center"/>
              <w:rPr>
                <w:color w:val="auto"/>
              </w:rPr>
            </w:pPr>
            <w:r>
              <w:rPr>
                <w:rFonts w:ascii="宋体" w:hAnsi="宋体" w:eastAsia="宋体"/>
                <w:b w:val="0"/>
                <w:color w:val="auto"/>
                <w:sz w:val="21"/>
              </w:rPr>
              <w:t>每月</w:t>
            </w:r>
          </w:p>
        </w:tc>
        <w:tc>
          <w:tcPr>
            <w:tcW w:w="2435" w:type="dxa"/>
            <w:shd w:val="clear" w:color="auto" w:fill="FFFFFF" w:themeFill="background1"/>
            <w:vAlign w:val="center"/>
          </w:tcPr>
          <w:p w14:paraId="1E9383AC">
            <w:pPr>
              <w:spacing w:after="0" w:line="240" w:lineRule="auto"/>
              <w:jc w:val="center"/>
              <w:rPr>
                <w:color w:val="auto"/>
              </w:rPr>
            </w:pPr>
            <w:r>
              <w:rPr>
                <w:rFonts w:ascii="宋体" w:hAnsi="宋体" w:eastAsia="宋体"/>
                <w:b w:val="0"/>
                <w:color w:val="auto"/>
                <w:sz w:val="21"/>
              </w:rPr>
              <w:t>12次</w:t>
            </w:r>
          </w:p>
        </w:tc>
      </w:tr>
      <w:tr w14:paraId="2D46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6" w:type="dxa"/>
            <w:shd w:val="clear" w:color="auto" w:fill="FFFFFF" w:themeFill="background1"/>
            <w:vAlign w:val="center"/>
          </w:tcPr>
          <w:p w14:paraId="24433912">
            <w:pPr>
              <w:spacing w:after="0" w:line="240" w:lineRule="auto"/>
              <w:jc w:val="center"/>
              <w:rPr>
                <w:color w:val="auto"/>
              </w:rPr>
            </w:pPr>
            <w:r>
              <w:rPr>
                <w:rFonts w:ascii="宋体" w:hAnsi="宋体" w:eastAsia="宋体"/>
                <w:b w:val="0"/>
                <w:color w:val="auto"/>
                <w:sz w:val="21"/>
              </w:rPr>
              <w:t>流量计校准</w:t>
            </w:r>
          </w:p>
        </w:tc>
        <w:tc>
          <w:tcPr>
            <w:tcW w:w="1597" w:type="dxa"/>
            <w:shd w:val="clear" w:color="auto" w:fill="FFFFFF" w:themeFill="background1"/>
            <w:vAlign w:val="center"/>
          </w:tcPr>
          <w:p w14:paraId="5FDCC55A">
            <w:pPr>
              <w:spacing w:after="0" w:line="240" w:lineRule="auto"/>
              <w:jc w:val="center"/>
              <w:rPr>
                <w:color w:val="auto"/>
              </w:rPr>
            </w:pPr>
            <w:r>
              <w:rPr>
                <w:rFonts w:ascii="宋体" w:hAnsi="宋体" w:eastAsia="宋体"/>
                <w:b w:val="0"/>
                <w:color w:val="auto"/>
                <w:sz w:val="21"/>
              </w:rPr>
              <w:t>每年</w:t>
            </w:r>
          </w:p>
        </w:tc>
        <w:tc>
          <w:tcPr>
            <w:tcW w:w="2435" w:type="dxa"/>
            <w:shd w:val="clear" w:color="auto" w:fill="FFFFFF" w:themeFill="background1"/>
            <w:vAlign w:val="center"/>
          </w:tcPr>
          <w:p w14:paraId="4ECDF05D">
            <w:pPr>
              <w:spacing w:after="0" w:line="240" w:lineRule="auto"/>
              <w:jc w:val="center"/>
              <w:rPr>
                <w:color w:val="auto"/>
              </w:rPr>
            </w:pPr>
            <w:r>
              <w:rPr>
                <w:rFonts w:ascii="宋体" w:hAnsi="宋体" w:eastAsia="宋体"/>
                <w:b w:val="0"/>
                <w:color w:val="auto"/>
                <w:sz w:val="21"/>
              </w:rPr>
              <w:t>1次</w:t>
            </w:r>
          </w:p>
        </w:tc>
      </w:tr>
      <w:tr w14:paraId="3FE0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6" w:type="dxa"/>
            <w:shd w:val="clear" w:color="auto" w:fill="FFFFFF" w:themeFill="background1"/>
            <w:vAlign w:val="center"/>
          </w:tcPr>
          <w:p w14:paraId="77FDEA8A">
            <w:pPr>
              <w:spacing w:after="0" w:line="240" w:lineRule="auto"/>
              <w:jc w:val="center"/>
              <w:rPr>
                <w:color w:val="auto"/>
              </w:rPr>
            </w:pPr>
            <w:r>
              <w:rPr>
                <w:rFonts w:ascii="宋体" w:hAnsi="宋体" w:eastAsia="宋体"/>
                <w:b w:val="0"/>
                <w:color w:val="auto"/>
                <w:sz w:val="21"/>
              </w:rPr>
              <w:t>COD试剂</w:t>
            </w:r>
          </w:p>
        </w:tc>
        <w:tc>
          <w:tcPr>
            <w:tcW w:w="1597" w:type="dxa"/>
            <w:shd w:val="clear" w:color="auto" w:fill="FFFFFF" w:themeFill="background1"/>
            <w:vAlign w:val="center"/>
          </w:tcPr>
          <w:p w14:paraId="06FE1B85">
            <w:pPr>
              <w:spacing w:after="0" w:line="240" w:lineRule="auto"/>
              <w:jc w:val="center"/>
              <w:rPr>
                <w:color w:val="auto"/>
              </w:rPr>
            </w:pPr>
            <w:r>
              <w:rPr>
                <w:rFonts w:ascii="宋体" w:hAnsi="宋体" w:eastAsia="宋体"/>
                <w:b w:val="0"/>
                <w:color w:val="auto"/>
                <w:sz w:val="21"/>
              </w:rPr>
              <w:t>每月</w:t>
            </w:r>
          </w:p>
        </w:tc>
        <w:tc>
          <w:tcPr>
            <w:tcW w:w="2435" w:type="dxa"/>
            <w:shd w:val="clear" w:color="auto" w:fill="FFFFFF" w:themeFill="background1"/>
            <w:vAlign w:val="center"/>
          </w:tcPr>
          <w:p w14:paraId="4A6BD7B6">
            <w:pPr>
              <w:spacing w:after="0" w:line="240" w:lineRule="auto"/>
              <w:jc w:val="center"/>
              <w:rPr>
                <w:color w:val="auto"/>
              </w:rPr>
            </w:pPr>
            <w:r>
              <w:rPr>
                <w:rFonts w:ascii="宋体" w:hAnsi="宋体" w:eastAsia="宋体"/>
                <w:b w:val="0"/>
                <w:color w:val="auto"/>
                <w:sz w:val="21"/>
              </w:rPr>
              <w:t>12次</w:t>
            </w:r>
          </w:p>
        </w:tc>
      </w:tr>
    </w:tbl>
    <w:p w14:paraId="5526567E">
      <w:pPr>
        <w:rPr>
          <w:color w:val="auto"/>
        </w:rPr>
      </w:pPr>
    </w:p>
    <w:p w14:paraId="24092AAA">
      <w:pPr>
        <w:pStyle w:val="3"/>
        <w:numPr>
          <w:ilvl w:val="0"/>
          <w:numId w:val="4"/>
        </w:numPr>
        <w:ind w:left="845" w:leftChars="0" w:hanging="425" w:firstLineChars="0"/>
        <w:rPr>
          <w:rFonts w:hint="eastAsia"/>
          <w:color w:val="auto"/>
          <w:sz w:val="24"/>
          <w:szCs w:val="24"/>
          <w:lang w:val="en-US" w:eastAsia="zh-CN"/>
        </w:rPr>
      </w:pPr>
      <w:r>
        <w:rPr>
          <w:rFonts w:hint="eastAsia"/>
          <w:color w:val="auto"/>
          <w:sz w:val="24"/>
          <w:szCs w:val="24"/>
          <w:lang w:val="en-US" w:eastAsia="zh-CN"/>
        </w:rPr>
        <w:t>日常人工检测</w:t>
      </w:r>
    </w:p>
    <w:p w14:paraId="0A1F2991">
      <w:pPr>
        <w:spacing w:after="120" w:line="360" w:lineRule="auto"/>
        <w:ind w:firstLine="420"/>
        <w:rPr>
          <w:color w:val="auto"/>
        </w:rPr>
      </w:pPr>
      <w:r>
        <w:rPr>
          <w:rFonts w:ascii="宋体" w:hAnsi="宋体" w:eastAsia="宋体"/>
          <w:b w:val="0"/>
          <w:color w:val="auto"/>
          <w:sz w:val="24"/>
        </w:rPr>
        <w:t>按照</w:t>
      </w:r>
      <w:r>
        <w:rPr>
          <w:rFonts w:hint="eastAsia" w:ascii="宋体" w:hAnsi="宋体" w:eastAsia="宋体"/>
          <w:b w:val="0"/>
          <w:color w:val="auto"/>
          <w:sz w:val="24"/>
          <w:lang w:val="en-US" w:eastAsia="zh-CN"/>
        </w:rPr>
        <w:t>环保相关要求</w:t>
      </w:r>
      <w:r>
        <w:rPr>
          <w:rFonts w:ascii="宋体" w:hAnsi="宋体" w:eastAsia="宋体"/>
          <w:b w:val="0"/>
          <w:color w:val="auto"/>
          <w:sz w:val="24"/>
        </w:rPr>
        <w:t>开展污水排放口余氯、pH日常手工检测，每日3次，形成检测记录。检测结果用于辅助判断消毒及处理系统运行状态，并与在线监测数据进行必要的比对。</w:t>
      </w:r>
    </w:p>
    <w:p w14:paraId="5F35C1F1">
      <w:pPr>
        <w:pStyle w:val="3"/>
        <w:numPr>
          <w:ilvl w:val="0"/>
          <w:numId w:val="4"/>
        </w:numPr>
        <w:ind w:left="845" w:leftChars="0" w:hanging="425" w:firstLineChars="0"/>
        <w:rPr>
          <w:color w:val="auto"/>
        </w:rPr>
      </w:pPr>
      <w:r>
        <w:rPr>
          <w:color w:val="auto"/>
        </w:rPr>
        <w:t>污水检测及第三方检测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1623"/>
        <w:gridCol w:w="1255"/>
        <w:gridCol w:w="1255"/>
        <w:gridCol w:w="3448"/>
      </w:tblGrid>
      <w:tr w14:paraId="3361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blHeader/>
          <w:jc w:val="center"/>
        </w:trPr>
        <w:tc>
          <w:tcPr>
            <w:tcW w:w="1623" w:type="dxa"/>
            <w:shd w:val="clear" w:color="auto" w:fill="FFFFFF" w:themeFill="background1"/>
            <w:vAlign w:val="center"/>
          </w:tcPr>
          <w:p w14:paraId="7EDD6A04">
            <w:pPr>
              <w:spacing w:after="0" w:line="240" w:lineRule="auto"/>
              <w:jc w:val="center"/>
              <w:rPr>
                <w:color w:val="auto"/>
              </w:rPr>
            </w:pPr>
            <w:r>
              <w:rPr>
                <w:rFonts w:ascii="宋体" w:hAnsi="宋体" w:eastAsia="宋体"/>
                <w:b/>
                <w:color w:val="auto"/>
                <w:sz w:val="21"/>
              </w:rPr>
              <w:t>检测类别</w:t>
            </w:r>
          </w:p>
        </w:tc>
        <w:tc>
          <w:tcPr>
            <w:tcW w:w="1255" w:type="dxa"/>
            <w:shd w:val="clear" w:color="auto" w:fill="FFFFFF" w:themeFill="background1"/>
            <w:vAlign w:val="center"/>
          </w:tcPr>
          <w:p w14:paraId="6FAC6B15">
            <w:pPr>
              <w:spacing w:after="0" w:line="240" w:lineRule="auto"/>
              <w:jc w:val="center"/>
              <w:rPr>
                <w:color w:val="auto"/>
              </w:rPr>
            </w:pPr>
            <w:r>
              <w:rPr>
                <w:rFonts w:ascii="宋体" w:hAnsi="宋体" w:eastAsia="宋体"/>
                <w:b/>
                <w:color w:val="auto"/>
                <w:sz w:val="21"/>
              </w:rPr>
              <w:t>频次</w:t>
            </w:r>
          </w:p>
        </w:tc>
        <w:tc>
          <w:tcPr>
            <w:tcW w:w="1255" w:type="dxa"/>
            <w:shd w:val="clear" w:color="auto" w:fill="FFFFFF" w:themeFill="background1"/>
            <w:vAlign w:val="center"/>
          </w:tcPr>
          <w:p w14:paraId="752B8686">
            <w:pPr>
              <w:spacing w:after="0" w:line="240" w:lineRule="auto"/>
              <w:jc w:val="center"/>
              <w:rPr>
                <w:color w:val="auto"/>
              </w:rPr>
            </w:pPr>
            <w:r>
              <w:rPr>
                <w:rFonts w:ascii="宋体" w:hAnsi="宋体" w:eastAsia="宋体"/>
                <w:b/>
                <w:color w:val="auto"/>
                <w:sz w:val="21"/>
              </w:rPr>
              <w:t>年度次数</w:t>
            </w:r>
          </w:p>
        </w:tc>
        <w:tc>
          <w:tcPr>
            <w:tcW w:w="3448" w:type="dxa"/>
            <w:shd w:val="clear" w:color="auto" w:fill="FFFFFF" w:themeFill="background1"/>
            <w:vAlign w:val="center"/>
          </w:tcPr>
          <w:p w14:paraId="412A24AF">
            <w:pPr>
              <w:spacing w:after="0" w:line="240" w:lineRule="auto"/>
              <w:jc w:val="center"/>
              <w:rPr>
                <w:color w:val="auto"/>
              </w:rPr>
            </w:pPr>
            <w:r>
              <w:rPr>
                <w:rFonts w:ascii="宋体" w:hAnsi="宋体" w:eastAsia="宋体"/>
                <w:b/>
                <w:color w:val="auto"/>
                <w:sz w:val="21"/>
              </w:rPr>
              <w:t>主要内容</w:t>
            </w:r>
          </w:p>
        </w:tc>
      </w:tr>
      <w:tr w14:paraId="3842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3" w:type="dxa"/>
            <w:shd w:val="clear" w:color="auto" w:fill="FFFFFF" w:themeFill="background1"/>
            <w:vAlign w:val="center"/>
          </w:tcPr>
          <w:p w14:paraId="16435B0E">
            <w:pPr>
              <w:spacing w:after="0" w:line="240" w:lineRule="auto"/>
              <w:jc w:val="center"/>
              <w:rPr>
                <w:color w:val="auto"/>
              </w:rPr>
            </w:pPr>
            <w:r>
              <w:rPr>
                <w:rFonts w:ascii="宋体" w:hAnsi="宋体" w:eastAsia="宋体"/>
                <w:b w:val="0"/>
                <w:color w:val="auto"/>
                <w:sz w:val="21"/>
              </w:rPr>
              <w:t>污水季度检测</w:t>
            </w:r>
          </w:p>
        </w:tc>
        <w:tc>
          <w:tcPr>
            <w:tcW w:w="1255" w:type="dxa"/>
            <w:shd w:val="clear" w:color="auto" w:fill="FFFFFF" w:themeFill="background1"/>
            <w:vAlign w:val="center"/>
          </w:tcPr>
          <w:p w14:paraId="3D1A8836">
            <w:pPr>
              <w:spacing w:after="0" w:line="240" w:lineRule="auto"/>
              <w:jc w:val="center"/>
              <w:rPr>
                <w:color w:val="auto"/>
              </w:rPr>
            </w:pPr>
            <w:r>
              <w:rPr>
                <w:rFonts w:ascii="宋体" w:hAnsi="宋体" w:eastAsia="宋体"/>
                <w:b w:val="0"/>
                <w:color w:val="auto"/>
                <w:sz w:val="21"/>
              </w:rPr>
              <w:t>每季度</w:t>
            </w:r>
          </w:p>
        </w:tc>
        <w:tc>
          <w:tcPr>
            <w:tcW w:w="1255" w:type="dxa"/>
            <w:shd w:val="clear" w:color="auto" w:fill="FFFFFF" w:themeFill="background1"/>
            <w:vAlign w:val="center"/>
          </w:tcPr>
          <w:p w14:paraId="3F61D209">
            <w:pPr>
              <w:spacing w:after="0" w:line="240" w:lineRule="auto"/>
              <w:jc w:val="center"/>
              <w:rPr>
                <w:color w:val="auto"/>
              </w:rPr>
            </w:pPr>
            <w:r>
              <w:rPr>
                <w:rFonts w:ascii="宋体" w:hAnsi="宋体" w:eastAsia="宋体"/>
                <w:b w:val="0"/>
                <w:color w:val="auto"/>
                <w:sz w:val="21"/>
              </w:rPr>
              <w:t>4次</w:t>
            </w:r>
          </w:p>
        </w:tc>
        <w:tc>
          <w:tcPr>
            <w:tcW w:w="3448" w:type="dxa"/>
            <w:shd w:val="clear" w:color="auto" w:fill="FFFFFF" w:themeFill="background1"/>
            <w:vAlign w:val="center"/>
          </w:tcPr>
          <w:p w14:paraId="5F6BB2C7">
            <w:pPr>
              <w:spacing w:after="0" w:line="240" w:lineRule="auto"/>
              <w:jc w:val="center"/>
              <w:rPr>
                <w:color w:val="auto"/>
              </w:rPr>
            </w:pPr>
            <w:r>
              <w:rPr>
                <w:rFonts w:ascii="宋体" w:hAnsi="宋体" w:eastAsia="宋体"/>
                <w:b w:val="0"/>
                <w:color w:val="auto"/>
                <w:sz w:val="21"/>
              </w:rPr>
              <w:t>按照排污许可证要求开展污水相关因子检测；当天采集3次样品</w:t>
            </w:r>
          </w:p>
        </w:tc>
      </w:tr>
      <w:tr w14:paraId="180F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3" w:type="dxa"/>
            <w:shd w:val="clear" w:color="auto" w:fill="FFFFFF" w:themeFill="background1"/>
            <w:vAlign w:val="center"/>
          </w:tcPr>
          <w:p w14:paraId="25C38BA2">
            <w:pPr>
              <w:spacing w:after="0" w:line="240" w:lineRule="auto"/>
              <w:jc w:val="center"/>
              <w:rPr>
                <w:color w:val="auto"/>
              </w:rPr>
            </w:pPr>
            <w:r>
              <w:rPr>
                <w:rFonts w:ascii="宋体" w:hAnsi="宋体" w:eastAsia="宋体"/>
                <w:b w:val="0"/>
                <w:color w:val="auto"/>
                <w:sz w:val="21"/>
              </w:rPr>
              <w:t>污水月度检测</w:t>
            </w:r>
          </w:p>
        </w:tc>
        <w:tc>
          <w:tcPr>
            <w:tcW w:w="1255" w:type="dxa"/>
            <w:shd w:val="clear" w:color="auto" w:fill="FFFFFF" w:themeFill="background1"/>
            <w:vAlign w:val="center"/>
          </w:tcPr>
          <w:p w14:paraId="5BEEB54C">
            <w:pPr>
              <w:spacing w:after="0" w:line="240" w:lineRule="auto"/>
              <w:jc w:val="center"/>
              <w:rPr>
                <w:color w:val="auto"/>
              </w:rPr>
            </w:pPr>
            <w:r>
              <w:rPr>
                <w:rFonts w:ascii="宋体" w:hAnsi="宋体" w:eastAsia="宋体"/>
                <w:b w:val="0"/>
                <w:color w:val="auto"/>
                <w:sz w:val="21"/>
              </w:rPr>
              <w:t>每月</w:t>
            </w:r>
          </w:p>
        </w:tc>
        <w:tc>
          <w:tcPr>
            <w:tcW w:w="1255" w:type="dxa"/>
            <w:shd w:val="clear" w:color="auto" w:fill="FFFFFF" w:themeFill="background1"/>
            <w:vAlign w:val="center"/>
          </w:tcPr>
          <w:p w14:paraId="6E77CF46">
            <w:pPr>
              <w:spacing w:after="0" w:line="240" w:lineRule="auto"/>
              <w:jc w:val="center"/>
              <w:rPr>
                <w:color w:val="auto"/>
              </w:rPr>
            </w:pPr>
            <w:r>
              <w:rPr>
                <w:rFonts w:ascii="宋体" w:hAnsi="宋体" w:eastAsia="宋体"/>
                <w:b w:val="0"/>
                <w:color w:val="auto"/>
                <w:sz w:val="21"/>
              </w:rPr>
              <w:t>12次</w:t>
            </w:r>
          </w:p>
        </w:tc>
        <w:tc>
          <w:tcPr>
            <w:tcW w:w="3448" w:type="dxa"/>
            <w:shd w:val="clear" w:color="auto" w:fill="FFFFFF" w:themeFill="background1"/>
            <w:vAlign w:val="center"/>
          </w:tcPr>
          <w:p w14:paraId="56917E79">
            <w:pPr>
              <w:spacing w:after="0" w:line="240" w:lineRule="auto"/>
              <w:jc w:val="center"/>
              <w:rPr>
                <w:color w:val="auto"/>
              </w:rPr>
            </w:pPr>
            <w:r>
              <w:rPr>
                <w:rFonts w:ascii="宋体" w:hAnsi="宋体" w:eastAsia="宋体"/>
                <w:b w:val="0"/>
                <w:color w:val="auto"/>
                <w:sz w:val="21"/>
              </w:rPr>
              <w:t>粪大肠菌群检测；当天采集3次样品</w:t>
            </w:r>
          </w:p>
        </w:tc>
      </w:tr>
      <w:tr w14:paraId="6018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1623" w:type="dxa"/>
            <w:shd w:val="clear" w:color="auto" w:fill="FFFFFF" w:themeFill="background1"/>
            <w:vAlign w:val="center"/>
          </w:tcPr>
          <w:p w14:paraId="43B84DAF">
            <w:pPr>
              <w:spacing w:after="0" w:line="240" w:lineRule="auto"/>
              <w:jc w:val="center"/>
              <w:rPr>
                <w:color w:val="auto"/>
              </w:rPr>
            </w:pPr>
            <w:r>
              <w:rPr>
                <w:rFonts w:ascii="宋体" w:hAnsi="宋体" w:eastAsia="宋体"/>
                <w:b w:val="0"/>
                <w:color w:val="auto"/>
                <w:sz w:val="21"/>
              </w:rPr>
              <w:t>污水周检测</w:t>
            </w:r>
          </w:p>
        </w:tc>
        <w:tc>
          <w:tcPr>
            <w:tcW w:w="1255" w:type="dxa"/>
            <w:shd w:val="clear" w:color="auto" w:fill="FFFFFF" w:themeFill="background1"/>
            <w:vAlign w:val="center"/>
          </w:tcPr>
          <w:p w14:paraId="1AE29955">
            <w:pPr>
              <w:spacing w:after="0" w:line="240" w:lineRule="auto"/>
              <w:jc w:val="center"/>
              <w:rPr>
                <w:color w:val="auto"/>
              </w:rPr>
            </w:pPr>
            <w:r>
              <w:rPr>
                <w:rFonts w:ascii="宋体" w:hAnsi="宋体" w:eastAsia="宋体"/>
                <w:b w:val="0"/>
                <w:color w:val="auto"/>
                <w:sz w:val="21"/>
              </w:rPr>
              <w:t>每周</w:t>
            </w:r>
          </w:p>
        </w:tc>
        <w:tc>
          <w:tcPr>
            <w:tcW w:w="1255" w:type="dxa"/>
            <w:shd w:val="clear" w:color="auto" w:fill="FFFFFF" w:themeFill="background1"/>
            <w:vAlign w:val="center"/>
          </w:tcPr>
          <w:p w14:paraId="6B0024F6">
            <w:pPr>
              <w:spacing w:after="0" w:line="240" w:lineRule="auto"/>
              <w:jc w:val="center"/>
              <w:rPr>
                <w:color w:val="auto"/>
              </w:rPr>
            </w:pPr>
            <w:r>
              <w:rPr>
                <w:rFonts w:ascii="宋体" w:hAnsi="宋体" w:eastAsia="宋体"/>
                <w:b w:val="0"/>
                <w:color w:val="auto"/>
                <w:sz w:val="21"/>
              </w:rPr>
              <w:t>52次</w:t>
            </w:r>
          </w:p>
        </w:tc>
        <w:tc>
          <w:tcPr>
            <w:tcW w:w="3448" w:type="dxa"/>
            <w:shd w:val="clear" w:color="auto" w:fill="FFFFFF" w:themeFill="background1"/>
            <w:vAlign w:val="center"/>
          </w:tcPr>
          <w:p w14:paraId="5B6D334B">
            <w:pPr>
              <w:spacing w:after="0" w:line="240" w:lineRule="auto"/>
              <w:jc w:val="center"/>
              <w:rPr>
                <w:color w:val="auto"/>
              </w:rPr>
            </w:pPr>
            <w:r>
              <w:rPr>
                <w:rFonts w:ascii="宋体" w:hAnsi="宋体" w:eastAsia="宋体"/>
                <w:b w:val="0"/>
                <w:color w:val="auto"/>
                <w:sz w:val="21"/>
              </w:rPr>
              <w:t>化学需氧量、悬浮物检测；当天采集3次样品</w:t>
            </w:r>
          </w:p>
        </w:tc>
      </w:tr>
      <w:tr w14:paraId="3A0E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3" w:type="dxa"/>
            <w:shd w:val="clear" w:color="auto" w:fill="FFFFFF" w:themeFill="background1"/>
            <w:vAlign w:val="center"/>
          </w:tcPr>
          <w:p w14:paraId="5AC9A03E">
            <w:pPr>
              <w:spacing w:after="0" w:line="240" w:lineRule="auto"/>
              <w:jc w:val="center"/>
              <w:rPr>
                <w:color w:val="auto"/>
              </w:rPr>
            </w:pPr>
            <w:r>
              <w:rPr>
                <w:rFonts w:ascii="宋体" w:hAnsi="宋体" w:eastAsia="宋体"/>
                <w:b w:val="0"/>
                <w:color w:val="auto"/>
                <w:sz w:val="21"/>
              </w:rPr>
              <w:t>有组织废气检测</w:t>
            </w:r>
          </w:p>
        </w:tc>
        <w:tc>
          <w:tcPr>
            <w:tcW w:w="1255" w:type="dxa"/>
            <w:shd w:val="clear" w:color="auto" w:fill="FFFFFF" w:themeFill="background1"/>
            <w:vAlign w:val="center"/>
          </w:tcPr>
          <w:p w14:paraId="246849B9">
            <w:pPr>
              <w:spacing w:after="0" w:line="240" w:lineRule="auto"/>
              <w:jc w:val="center"/>
              <w:rPr>
                <w:color w:val="auto"/>
              </w:rPr>
            </w:pPr>
            <w:r>
              <w:rPr>
                <w:rFonts w:ascii="宋体" w:hAnsi="宋体" w:eastAsia="宋体"/>
                <w:b w:val="0"/>
                <w:color w:val="auto"/>
                <w:sz w:val="21"/>
              </w:rPr>
              <w:t>每季度</w:t>
            </w:r>
          </w:p>
        </w:tc>
        <w:tc>
          <w:tcPr>
            <w:tcW w:w="1255" w:type="dxa"/>
            <w:shd w:val="clear" w:color="auto" w:fill="FFFFFF" w:themeFill="background1"/>
            <w:vAlign w:val="center"/>
          </w:tcPr>
          <w:p w14:paraId="6660981C">
            <w:pPr>
              <w:spacing w:after="0" w:line="240" w:lineRule="auto"/>
              <w:jc w:val="center"/>
              <w:rPr>
                <w:color w:val="auto"/>
              </w:rPr>
            </w:pPr>
            <w:r>
              <w:rPr>
                <w:rFonts w:ascii="宋体" w:hAnsi="宋体" w:eastAsia="宋体"/>
                <w:b w:val="0"/>
                <w:color w:val="auto"/>
                <w:sz w:val="21"/>
              </w:rPr>
              <w:t>4次</w:t>
            </w:r>
          </w:p>
        </w:tc>
        <w:tc>
          <w:tcPr>
            <w:tcW w:w="3448" w:type="dxa"/>
            <w:shd w:val="clear" w:color="auto" w:fill="FFFFFF" w:themeFill="background1"/>
            <w:vAlign w:val="center"/>
          </w:tcPr>
          <w:p w14:paraId="55D6AFF0">
            <w:pPr>
              <w:spacing w:after="0" w:line="240" w:lineRule="auto"/>
              <w:jc w:val="center"/>
              <w:rPr>
                <w:color w:val="auto"/>
              </w:rPr>
            </w:pPr>
            <w:r>
              <w:rPr>
                <w:rFonts w:ascii="宋体" w:hAnsi="宋体" w:eastAsia="宋体"/>
                <w:b w:val="0"/>
                <w:color w:val="auto"/>
                <w:sz w:val="21"/>
              </w:rPr>
              <w:t>硫化氢、臭气、氨气；当天采集4次样品</w:t>
            </w:r>
          </w:p>
        </w:tc>
      </w:tr>
      <w:tr w14:paraId="5C8B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1623" w:type="dxa"/>
            <w:shd w:val="clear" w:color="auto" w:fill="FFFFFF" w:themeFill="background1"/>
            <w:vAlign w:val="center"/>
          </w:tcPr>
          <w:p w14:paraId="441BB72F">
            <w:pPr>
              <w:spacing w:after="0" w:line="240" w:lineRule="auto"/>
              <w:jc w:val="center"/>
              <w:rPr>
                <w:color w:val="auto"/>
              </w:rPr>
            </w:pPr>
            <w:r>
              <w:rPr>
                <w:rFonts w:ascii="宋体" w:hAnsi="宋体" w:eastAsia="宋体"/>
                <w:b w:val="0"/>
                <w:color w:val="auto"/>
                <w:sz w:val="21"/>
              </w:rPr>
              <w:t>无组织废气检测</w:t>
            </w:r>
          </w:p>
        </w:tc>
        <w:tc>
          <w:tcPr>
            <w:tcW w:w="1255" w:type="dxa"/>
            <w:shd w:val="clear" w:color="auto" w:fill="FFFFFF" w:themeFill="background1"/>
            <w:vAlign w:val="center"/>
          </w:tcPr>
          <w:p w14:paraId="71AC05E7">
            <w:pPr>
              <w:spacing w:after="0" w:line="240" w:lineRule="auto"/>
              <w:jc w:val="center"/>
              <w:rPr>
                <w:color w:val="auto"/>
              </w:rPr>
            </w:pPr>
            <w:r>
              <w:rPr>
                <w:rFonts w:ascii="宋体" w:hAnsi="宋体" w:eastAsia="宋体"/>
                <w:b w:val="0"/>
                <w:color w:val="auto"/>
                <w:sz w:val="21"/>
              </w:rPr>
              <w:t>每季度</w:t>
            </w:r>
          </w:p>
        </w:tc>
        <w:tc>
          <w:tcPr>
            <w:tcW w:w="1255" w:type="dxa"/>
            <w:shd w:val="clear" w:color="auto" w:fill="FFFFFF" w:themeFill="background1"/>
            <w:vAlign w:val="center"/>
          </w:tcPr>
          <w:p w14:paraId="7237FA9C">
            <w:pPr>
              <w:spacing w:after="0" w:line="240" w:lineRule="auto"/>
              <w:jc w:val="center"/>
              <w:rPr>
                <w:color w:val="auto"/>
              </w:rPr>
            </w:pPr>
            <w:r>
              <w:rPr>
                <w:rFonts w:ascii="宋体" w:hAnsi="宋体" w:eastAsia="宋体"/>
                <w:b w:val="0"/>
                <w:color w:val="auto"/>
                <w:sz w:val="21"/>
              </w:rPr>
              <w:t>4次</w:t>
            </w:r>
          </w:p>
        </w:tc>
        <w:tc>
          <w:tcPr>
            <w:tcW w:w="3448" w:type="dxa"/>
            <w:shd w:val="clear" w:color="auto" w:fill="FFFFFF" w:themeFill="background1"/>
            <w:vAlign w:val="center"/>
          </w:tcPr>
          <w:p w14:paraId="16556DBD">
            <w:pPr>
              <w:spacing w:after="0" w:line="240" w:lineRule="auto"/>
              <w:jc w:val="center"/>
              <w:rPr>
                <w:color w:val="auto"/>
              </w:rPr>
            </w:pPr>
            <w:r>
              <w:rPr>
                <w:rFonts w:ascii="宋体" w:hAnsi="宋体" w:eastAsia="宋体"/>
                <w:b w:val="0"/>
                <w:color w:val="auto"/>
                <w:sz w:val="21"/>
              </w:rPr>
              <w:t>甲烷、硫化氢、氨气、氯气、臭气；当天采集4次样品</w:t>
            </w:r>
          </w:p>
        </w:tc>
      </w:tr>
      <w:tr w14:paraId="3828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3" w:type="dxa"/>
            <w:shd w:val="clear" w:color="auto" w:fill="FFFFFF" w:themeFill="background1"/>
            <w:vAlign w:val="center"/>
          </w:tcPr>
          <w:p w14:paraId="7E98BFE9">
            <w:pPr>
              <w:spacing w:after="0" w:line="240" w:lineRule="auto"/>
              <w:jc w:val="center"/>
              <w:rPr>
                <w:color w:val="auto"/>
              </w:rPr>
            </w:pPr>
            <w:r>
              <w:rPr>
                <w:rFonts w:ascii="宋体" w:hAnsi="宋体" w:eastAsia="宋体"/>
                <w:b w:val="0"/>
                <w:color w:val="auto"/>
                <w:sz w:val="21"/>
              </w:rPr>
              <w:t>噪声检测</w:t>
            </w:r>
          </w:p>
        </w:tc>
        <w:tc>
          <w:tcPr>
            <w:tcW w:w="1255" w:type="dxa"/>
            <w:shd w:val="clear" w:color="auto" w:fill="FFFFFF" w:themeFill="background1"/>
            <w:vAlign w:val="center"/>
          </w:tcPr>
          <w:p w14:paraId="3C0FA438">
            <w:pPr>
              <w:spacing w:after="0" w:line="240" w:lineRule="auto"/>
              <w:jc w:val="center"/>
              <w:rPr>
                <w:color w:val="auto"/>
              </w:rPr>
            </w:pPr>
            <w:r>
              <w:rPr>
                <w:rFonts w:ascii="宋体" w:hAnsi="宋体" w:eastAsia="宋体"/>
                <w:b w:val="0"/>
                <w:color w:val="auto"/>
                <w:sz w:val="21"/>
              </w:rPr>
              <w:t>每季度</w:t>
            </w:r>
          </w:p>
        </w:tc>
        <w:tc>
          <w:tcPr>
            <w:tcW w:w="1255" w:type="dxa"/>
            <w:shd w:val="clear" w:color="auto" w:fill="FFFFFF" w:themeFill="background1"/>
            <w:vAlign w:val="center"/>
          </w:tcPr>
          <w:p w14:paraId="2C0439D8">
            <w:pPr>
              <w:spacing w:after="0" w:line="240" w:lineRule="auto"/>
              <w:jc w:val="center"/>
              <w:rPr>
                <w:color w:val="auto"/>
              </w:rPr>
            </w:pPr>
            <w:r>
              <w:rPr>
                <w:rFonts w:ascii="宋体" w:hAnsi="宋体" w:eastAsia="宋体"/>
                <w:b w:val="0"/>
                <w:color w:val="auto"/>
                <w:sz w:val="21"/>
              </w:rPr>
              <w:t>4次</w:t>
            </w:r>
          </w:p>
        </w:tc>
        <w:tc>
          <w:tcPr>
            <w:tcW w:w="3448" w:type="dxa"/>
            <w:shd w:val="clear" w:color="auto" w:fill="FFFFFF" w:themeFill="background1"/>
            <w:vAlign w:val="center"/>
          </w:tcPr>
          <w:p w14:paraId="47713824">
            <w:pPr>
              <w:spacing w:after="0" w:line="240" w:lineRule="auto"/>
              <w:jc w:val="center"/>
              <w:rPr>
                <w:color w:val="auto"/>
              </w:rPr>
            </w:pPr>
            <w:r>
              <w:rPr>
                <w:rFonts w:ascii="宋体" w:hAnsi="宋体" w:eastAsia="宋体"/>
                <w:b w:val="0"/>
                <w:color w:val="auto"/>
                <w:sz w:val="21"/>
              </w:rPr>
              <w:t>按照排污许可证相关要求开展</w:t>
            </w:r>
          </w:p>
        </w:tc>
      </w:tr>
    </w:tbl>
    <w:p w14:paraId="3D5F1CA6">
      <w:pPr>
        <w:rPr>
          <w:color w:val="auto"/>
        </w:rPr>
      </w:pPr>
    </w:p>
    <w:p w14:paraId="7954C9F6">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r>
        <w:rPr>
          <w:rFonts w:hint="eastAsia" w:ascii="Times New Roman" w:hAnsi="Times New Roman" w:eastAsia="宋体" w:cs="Times New Roman"/>
          <w:b/>
          <w:bCs w:val="0"/>
          <w:kern w:val="2"/>
          <w:sz w:val="30"/>
          <w:szCs w:val="30"/>
          <w:lang w:val="en-US" w:eastAsia="zh-CN" w:bidi="ar-SA"/>
        </w:rPr>
        <w:t>项目组织实施方案</w:t>
      </w:r>
    </w:p>
    <w:p w14:paraId="3D3364AA">
      <w:pPr>
        <w:pStyle w:val="3"/>
        <w:numPr>
          <w:ilvl w:val="0"/>
          <w:numId w:val="5"/>
        </w:numPr>
        <w:ind w:left="635" w:leftChars="0" w:hanging="425" w:firstLineChars="0"/>
        <w:rPr>
          <w:color w:val="auto"/>
        </w:rPr>
      </w:pPr>
      <w:r>
        <w:rPr>
          <w:color w:val="auto"/>
        </w:rPr>
        <w:t>组织架构</w:t>
      </w:r>
    </w:p>
    <w:p w14:paraId="414EB1F3">
      <w:pPr>
        <w:spacing w:after="120" w:line="360" w:lineRule="auto"/>
        <w:ind w:firstLine="420"/>
        <w:rPr>
          <w:rFonts w:ascii="宋体" w:hAnsi="宋体" w:eastAsia="宋体"/>
          <w:b w:val="0"/>
          <w:color w:val="auto"/>
          <w:sz w:val="24"/>
        </w:rPr>
      </w:pPr>
      <w:r>
        <w:rPr>
          <w:rFonts w:hint="eastAsia" w:ascii="宋体" w:hAnsi="宋体" w:eastAsia="宋体"/>
          <w:b w:val="0"/>
          <w:color w:val="auto"/>
          <w:sz w:val="24"/>
          <w:lang w:val="en-US" w:eastAsia="zh-CN"/>
        </w:rPr>
        <w:t>我方</w:t>
      </w:r>
      <w:r>
        <w:rPr>
          <w:rFonts w:ascii="宋体" w:hAnsi="宋体" w:eastAsia="宋体"/>
          <w:b w:val="0"/>
          <w:color w:val="auto"/>
          <w:sz w:val="24"/>
        </w:rPr>
        <w:t>设置项目负责人统筹项目管理，现场配置</w:t>
      </w:r>
      <w:r>
        <w:rPr>
          <w:rFonts w:hint="eastAsia" w:ascii="宋体" w:hAnsi="宋体" w:eastAsia="宋体"/>
          <w:b w:val="0"/>
          <w:color w:val="auto"/>
          <w:sz w:val="24"/>
          <w:lang w:val="en-US" w:eastAsia="zh-CN"/>
        </w:rPr>
        <w:t>3</w:t>
      </w:r>
      <w:r>
        <w:rPr>
          <w:rFonts w:ascii="宋体" w:hAnsi="宋体" w:eastAsia="宋体"/>
          <w:b w:val="0"/>
          <w:color w:val="auto"/>
          <w:sz w:val="24"/>
        </w:rPr>
        <w:t>名运维技术人员</w:t>
      </w:r>
      <w:r>
        <w:rPr>
          <w:rFonts w:hint="eastAsia" w:ascii="宋体" w:hAnsi="宋体" w:eastAsia="宋体"/>
          <w:b w:val="0"/>
          <w:color w:val="auto"/>
          <w:sz w:val="24"/>
          <w:lang w:val="en-US" w:eastAsia="zh-CN"/>
        </w:rPr>
        <w:t>以及1名项目负责人</w:t>
      </w:r>
      <w:r>
        <w:rPr>
          <w:rFonts w:ascii="宋体" w:hAnsi="宋体" w:eastAsia="宋体"/>
          <w:b w:val="0"/>
          <w:color w:val="auto"/>
          <w:sz w:val="24"/>
        </w:rPr>
        <w:t>。项目负责人负责与</w:t>
      </w:r>
      <w:r>
        <w:rPr>
          <w:rFonts w:hint="eastAsia" w:ascii="宋体" w:hAnsi="宋体" w:eastAsia="宋体"/>
          <w:b w:val="0"/>
          <w:color w:val="auto"/>
          <w:sz w:val="24"/>
          <w:lang w:eastAsia="zh-CN"/>
        </w:rPr>
        <w:t>院方</w:t>
      </w:r>
      <w:r>
        <w:rPr>
          <w:rFonts w:ascii="宋体" w:hAnsi="宋体" w:eastAsia="宋体"/>
          <w:b w:val="0"/>
          <w:color w:val="auto"/>
          <w:sz w:val="24"/>
        </w:rPr>
        <w:t>沟通协调、计划审批、质量检查、异常事项汇报及月度服务总结；现场运维人员负责具体运行维护工作</w:t>
      </w:r>
      <w:r>
        <w:rPr>
          <w:rFonts w:hint="eastAsia" w:ascii="宋体" w:hAnsi="宋体" w:eastAsia="宋体"/>
          <w:b w:val="0"/>
          <w:color w:val="auto"/>
          <w:sz w:val="24"/>
          <w:lang w:val="en-US" w:eastAsia="zh-CN"/>
        </w:rPr>
        <w:t>及24小时轮值</w:t>
      </w:r>
      <w:r>
        <w:rPr>
          <w:rFonts w:ascii="宋体" w:hAnsi="宋体" w:eastAsia="宋体"/>
          <w:b w:val="0"/>
          <w:color w:val="auto"/>
          <w:sz w:val="24"/>
        </w:rPr>
        <w:t>。</w:t>
      </w:r>
    </w:p>
    <w:p w14:paraId="7E2F6874">
      <w:pPr>
        <w:spacing w:after="120" w:line="360" w:lineRule="auto"/>
        <w:ind w:firstLine="420"/>
        <w:rPr>
          <w:rFonts w:ascii="宋体" w:hAnsi="宋体" w:eastAsia="宋体"/>
          <w:b w:val="0"/>
          <w:color w:val="auto"/>
          <w:sz w:val="24"/>
        </w:rPr>
      </w:pPr>
    </w:p>
    <w:p w14:paraId="22327B93">
      <w:pPr>
        <w:spacing w:after="120" w:line="360" w:lineRule="auto"/>
        <w:ind w:firstLine="420"/>
        <w:rPr>
          <w:rFonts w:ascii="宋体" w:hAnsi="宋体" w:eastAsia="宋体"/>
          <w:b w:val="0"/>
          <w:color w:val="auto"/>
          <w:sz w:val="24"/>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131"/>
        <w:gridCol w:w="1622"/>
        <w:gridCol w:w="4769"/>
      </w:tblGrid>
      <w:tr w14:paraId="6345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blHeader/>
          <w:jc w:val="center"/>
        </w:trPr>
        <w:tc>
          <w:tcPr>
            <w:tcW w:w="2268" w:type="dxa"/>
            <w:shd w:val="clear" w:color="auto" w:fill="FFFFFF" w:themeFill="background1"/>
            <w:vAlign w:val="center"/>
          </w:tcPr>
          <w:p w14:paraId="31107DB4">
            <w:pPr>
              <w:spacing w:after="0" w:line="240" w:lineRule="auto"/>
              <w:jc w:val="center"/>
              <w:rPr>
                <w:color w:val="auto"/>
              </w:rPr>
            </w:pPr>
            <w:r>
              <w:rPr>
                <w:rFonts w:ascii="宋体" w:hAnsi="宋体" w:eastAsia="宋体"/>
                <w:b/>
                <w:color w:val="auto"/>
                <w:sz w:val="21"/>
              </w:rPr>
              <w:t>岗位</w:t>
            </w:r>
          </w:p>
        </w:tc>
        <w:tc>
          <w:tcPr>
            <w:tcW w:w="1701" w:type="dxa"/>
            <w:shd w:val="clear" w:color="auto" w:fill="FFFFFF" w:themeFill="background1"/>
            <w:vAlign w:val="center"/>
          </w:tcPr>
          <w:p w14:paraId="1F44797F">
            <w:pPr>
              <w:spacing w:after="0" w:line="240" w:lineRule="auto"/>
              <w:jc w:val="center"/>
              <w:rPr>
                <w:color w:val="auto"/>
              </w:rPr>
            </w:pPr>
            <w:r>
              <w:rPr>
                <w:rFonts w:ascii="宋体" w:hAnsi="宋体" w:eastAsia="宋体"/>
                <w:b/>
                <w:color w:val="auto"/>
                <w:sz w:val="21"/>
              </w:rPr>
              <w:t>配置</w:t>
            </w:r>
          </w:p>
        </w:tc>
        <w:tc>
          <w:tcPr>
            <w:tcW w:w="5102" w:type="dxa"/>
            <w:shd w:val="clear" w:color="auto" w:fill="FFFFFF" w:themeFill="background1"/>
            <w:vAlign w:val="center"/>
          </w:tcPr>
          <w:p w14:paraId="5EAFDEB2">
            <w:pPr>
              <w:spacing w:after="0" w:line="240" w:lineRule="auto"/>
              <w:jc w:val="center"/>
              <w:rPr>
                <w:color w:val="auto"/>
              </w:rPr>
            </w:pPr>
            <w:r>
              <w:rPr>
                <w:rFonts w:ascii="宋体" w:hAnsi="宋体" w:eastAsia="宋体"/>
                <w:b/>
                <w:color w:val="auto"/>
                <w:sz w:val="21"/>
              </w:rPr>
              <w:t>主要职责</w:t>
            </w:r>
          </w:p>
        </w:tc>
      </w:tr>
      <w:tr w14:paraId="038C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3D876694">
            <w:pPr>
              <w:spacing w:after="0" w:line="240" w:lineRule="auto"/>
              <w:jc w:val="center"/>
              <w:rPr>
                <w:color w:val="auto"/>
              </w:rPr>
            </w:pPr>
            <w:r>
              <w:rPr>
                <w:rFonts w:ascii="宋体" w:hAnsi="宋体" w:eastAsia="宋体"/>
                <w:b w:val="0"/>
                <w:color w:val="auto"/>
                <w:sz w:val="21"/>
              </w:rPr>
              <w:t>项目负责人</w:t>
            </w:r>
          </w:p>
        </w:tc>
        <w:tc>
          <w:tcPr>
            <w:tcW w:w="1701" w:type="dxa"/>
            <w:shd w:val="clear" w:color="auto" w:fill="FFFFFF" w:themeFill="background1"/>
            <w:vAlign w:val="center"/>
          </w:tcPr>
          <w:p w14:paraId="7B3E66AA">
            <w:pPr>
              <w:spacing w:after="0" w:line="240" w:lineRule="auto"/>
              <w:jc w:val="center"/>
              <w:rPr>
                <w:color w:val="auto"/>
              </w:rPr>
            </w:pPr>
            <w:r>
              <w:rPr>
                <w:rFonts w:ascii="宋体" w:hAnsi="宋体" w:eastAsia="宋体"/>
                <w:b w:val="0"/>
                <w:color w:val="auto"/>
                <w:sz w:val="21"/>
              </w:rPr>
              <w:t>1人（统筹）</w:t>
            </w:r>
          </w:p>
        </w:tc>
        <w:tc>
          <w:tcPr>
            <w:tcW w:w="5102" w:type="dxa"/>
            <w:shd w:val="clear" w:color="auto" w:fill="FFFFFF" w:themeFill="background1"/>
            <w:vAlign w:val="center"/>
          </w:tcPr>
          <w:p w14:paraId="4A8F6BF1">
            <w:pPr>
              <w:spacing w:after="0" w:line="240" w:lineRule="auto"/>
              <w:jc w:val="center"/>
              <w:rPr>
                <w:color w:val="auto"/>
              </w:rPr>
            </w:pPr>
            <w:r>
              <w:rPr>
                <w:rFonts w:ascii="宋体" w:hAnsi="宋体" w:eastAsia="宋体"/>
                <w:b w:val="0"/>
                <w:color w:val="auto"/>
                <w:sz w:val="21"/>
              </w:rPr>
              <w:t>项目总体管理、</w:t>
            </w:r>
            <w:r>
              <w:rPr>
                <w:rFonts w:hint="eastAsia" w:ascii="宋体" w:hAnsi="宋体" w:eastAsia="宋体"/>
                <w:b w:val="0"/>
                <w:color w:val="auto"/>
                <w:sz w:val="21"/>
                <w:lang w:eastAsia="zh-CN"/>
              </w:rPr>
              <w:t>院方</w:t>
            </w:r>
            <w:r>
              <w:rPr>
                <w:rFonts w:ascii="宋体" w:hAnsi="宋体" w:eastAsia="宋体"/>
                <w:b w:val="0"/>
                <w:color w:val="auto"/>
                <w:sz w:val="21"/>
              </w:rPr>
              <w:t>沟通、计划安排、质量检查、异常协调、月度总结</w:t>
            </w:r>
          </w:p>
        </w:tc>
      </w:tr>
      <w:tr w14:paraId="022D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298B1C7A">
            <w:pPr>
              <w:spacing w:after="0" w:line="240" w:lineRule="auto"/>
              <w:jc w:val="center"/>
              <w:rPr>
                <w:color w:val="auto"/>
              </w:rPr>
            </w:pPr>
            <w:r>
              <w:rPr>
                <w:rFonts w:ascii="宋体" w:hAnsi="宋体" w:eastAsia="宋体"/>
                <w:b w:val="0"/>
                <w:color w:val="auto"/>
                <w:sz w:val="21"/>
              </w:rPr>
              <w:t>运维技术员</w:t>
            </w:r>
          </w:p>
        </w:tc>
        <w:tc>
          <w:tcPr>
            <w:tcW w:w="1701" w:type="dxa"/>
            <w:shd w:val="clear" w:color="auto" w:fill="FFFFFF" w:themeFill="background1"/>
            <w:vAlign w:val="center"/>
          </w:tcPr>
          <w:p w14:paraId="2ED7F924">
            <w:pPr>
              <w:spacing w:after="0" w:line="240" w:lineRule="auto"/>
              <w:jc w:val="center"/>
              <w:rPr>
                <w:color w:val="auto"/>
              </w:rPr>
            </w:pPr>
            <w:r>
              <w:rPr>
                <w:rFonts w:hint="eastAsia" w:ascii="宋体" w:hAnsi="宋体" w:eastAsia="宋体"/>
                <w:b w:val="0"/>
                <w:color w:val="auto"/>
                <w:sz w:val="21"/>
                <w:lang w:val="en-US" w:eastAsia="zh-CN"/>
              </w:rPr>
              <w:t>3</w:t>
            </w:r>
            <w:r>
              <w:rPr>
                <w:rFonts w:ascii="宋体" w:hAnsi="宋体" w:eastAsia="宋体"/>
                <w:b w:val="0"/>
                <w:color w:val="auto"/>
                <w:sz w:val="21"/>
              </w:rPr>
              <w:t>人</w:t>
            </w:r>
          </w:p>
        </w:tc>
        <w:tc>
          <w:tcPr>
            <w:tcW w:w="5102" w:type="dxa"/>
            <w:shd w:val="clear" w:color="auto" w:fill="FFFFFF" w:themeFill="background1"/>
            <w:vAlign w:val="center"/>
          </w:tcPr>
          <w:p w14:paraId="29381DCB">
            <w:pPr>
              <w:spacing w:after="0" w:line="240" w:lineRule="auto"/>
              <w:jc w:val="center"/>
              <w:rPr>
                <w:color w:val="auto"/>
              </w:rPr>
            </w:pPr>
            <w:r>
              <w:rPr>
                <w:rFonts w:ascii="宋体" w:hAnsi="宋体" w:eastAsia="宋体"/>
                <w:b w:val="0"/>
                <w:color w:val="auto"/>
                <w:sz w:val="21"/>
              </w:rPr>
              <w:t>24小时值守、巡检、设备操作、药剂投加、在线设备巡查、运行记录及异常处理</w:t>
            </w:r>
          </w:p>
        </w:tc>
      </w:tr>
      <w:tr w14:paraId="26BB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0784054C">
            <w:pPr>
              <w:spacing w:after="0" w:line="240" w:lineRule="auto"/>
              <w:jc w:val="center"/>
              <w:rPr>
                <w:color w:val="auto"/>
              </w:rPr>
            </w:pPr>
            <w:r>
              <w:rPr>
                <w:rFonts w:ascii="宋体" w:hAnsi="宋体" w:eastAsia="宋体"/>
                <w:b w:val="0"/>
                <w:color w:val="auto"/>
                <w:sz w:val="21"/>
              </w:rPr>
              <w:t>检测/技术支持</w:t>
            </w:r>
          </w:p>
        </w:tc>
        <w:tc>
          <w:tcPr>
            <w:tcW w:w="1701" w:type="dxa"/>
            <w:shd w:val="clear" w:color="auto" w:fill="FFFFFF" w:themeFill="background1"/>
            <w:vAlign w:val="center"/>
          </w:tcPr>
          <w:p w14:paraId="50443BD2">
            <w:pPr>
              <w:spacing w:after="0" w:line="240" w:lineRule="auto"/>
              <w:jc w:val="center"/>
              <w:rPr>
                <w:color w:val="auto"/>
              </w:rPr>
            </w:pPr>
            <w:r>
              <w:rPr>
                <w:rFonts w:ascii="宋体" w:hAnsi="宋体" w:eastAsia="宋体"/>
                <w:b w:val="0"/>
                <w:color w:val="auto"/>
                <w:sz w:val="21"/>
              </w:rPr>
              <w:t>按项目需要</w:t>
            </w:r>
          </w:p>
        </w:tc>
        <w:tc>
          <w:tcPr>
            <w:tcW w:w="5102" w:type="dxa"/>
            <w:shd w:val="clear" w:color="auto" w:fill="FFFFFF" w:themeFill="background1"/>
            <w:vAlign w:val="center"/>
          </w:tcPr>
          <w:p w14:paraId="3E5AFEF8">
            <w:pPr>
              <w:spacing w:after="0" w:line="240" w:lineRule="auto"/>
              <w:jc w:val="center"/>
              <w:rPr>
                <w:color w:val="auto"/>
              </w:rPr>
            </w:pPr>
            <w:r>
              <w:rPr>
                <w:rFonts w:ascii="宋体" w:hAnsi="宋体" w:eastAsia="宋体"/>
                <w:b w:val="0"/>
                <w:color w:val="auto"/>
                <w:sz w:val="21"/>
              </w:rPr>
              <w:t>检测协调、技术分析、专项问题处理及资料支持</w:t>
            </w:r>
          </w:p>
        </w:tc>
      </w:tr>
    </w:tbl>
    <w:p w14:paraId="4A0639CD">
      <w:pPr>
        <w:rPr>
          <w:color w:val="auto"/>
        </w:rPr>
      </w:pPr>
    </w:p>
    <w:p w14:paraId="34F0002B">
      <w:pPr>
        <w:pStyle w:val="3"/>
        <w:numPr>
          <w:ilvl w:val="0"/>
          <w:numId w:val="5"/>
        </w:numPr>
        <w:ind w:left="635" w:leftChars="0" w:hanging="425" w:firstLineChars="0"/>
        <w:rPr>
          <w:rFonts w:hint="eastAsia"/>
          <w:color w:val="auto"/>
          <w:lang w:val="en-US" w:eastAsia="zh-CN"/>
        </w:rPr>
      </w:pPr>
      <w:r>
        <w:rPr>
          <w:rFonts w:hint="eastAsia"/>
          <w:color w:val="auto"/>
          <w:lang w:val="en-US" w:eastAsia="zh-CN"/>
        </w:rPr>
        <w:t>日常运行流程</w:t>
      </w:r>
    </w:p>
    <w:p w14:paraId="4BB5852E">
      <w:pPr>
        <w:numPr>
          <w:ilvl w:val="0"/>
          <w:numId w:val="6"/>
        </w:numPr>
        <w:spacing w:after="120" w:line="360" w:lineRule="auto"/>
        <w:ind w:left="0" w:leftChars="0" w:firstLine="480" w:firstLineChars="200"/>
        <w:rPr>
          <w:color w:val="auto"/>
        </w:rPr>
      </w:pPr>
      <w:r>
        <w:rPr>
          <w:rFonts w:ascii="宋体" w:hAnsi="宋体" w:eastAsia="宋体"/>
          <w:b w:val="0"/>
          <w:color w:val="auto"/>
          <w:sz w:val="24"/>
        </w:rPr>
        <w:t>交接班检查：核对前一班运行记录、设备状态、药剂库存及异常事项。</w:t>
      </w:r>
    </w:p>
    <w:p w14:paraId="5FED76C5">
      <w:pPr>
        <w:numPr>
          <w:ilvl w:val="0"/>
          <w:numId w:val="6"/>
        </w:numPr>
        <w:spacing w:after="120" w:line="360" w:lineRule="auto"/>
        <w:ind w:left="0" w:leftChars="0" w:firstLine="480" w:firstLineChars="200"/>
        <w:rPr>
          <w:color w:val="auto"/>
        </w:rPr>
      </w:pPr>
      <w:r>
        <w:rPr>
          <w:rFonts w:ascii="宋体" w:hAnsi="宋体" w:eastAsia="宋体"/>
          <w:b w:val="0"/>
          <w:color w:val="auto"/>
          <w:sz w:val="24"/>
        </w:rPr>
        <w:t>现场巡检：检查水泵、风机、加药系统、消毒设施、电气控制及在线监测设备。</w:t>
      </w:r>
    </w:p>
    <w:p w14:paraId="0F1115EF">
      <w:pPr>
        <w:numPr>
          <w:ilvl w:val="0"/>
          <w:numId w:val="6"/>
        </w:numPr>
        <w:spacing w:after="120" w:line="360" w:lineRule="auto"/>
        <w:ind w:left="0" w:leftChars="0" w:firstLine="480" w:firstLineChars="200"/>
        <w:rPr>
          <w:color w:val="auto"/>
        </w:rPr>
      </w:pPr>
      <w:r>
        <w:rPr>
          <w:rFonts w:ascii="宋体" w:hAnsi="宋体" w:eastAsia="宋体"/>
          <w:b w:val="0"/>
          <w:color w:val="auto"/>
          <w:sz w:val="24"/>
        </w:rPr>
        <w:t>运行调整：结合进水量、水质、处理效果和检测数据，合理调整曝气、加药等运行参数。</w:t>
      </w:r>
    </w:p>
    <w:p w14:paraId="41D45A43">
      <w:pPr>
        <w:numPr>
          <w:ilvl w:val="0"/>
          <w:numId w:val="6"/>
        </w:numPr>
        <w:spacing w:after="120" w:line="360" w:lineRule="auto"/>
        <w:ind w:left="0" w:leftChars="0" w:firstLine="480" w:firstLineChars="200"/>
        <w:rPr>
          <w:color w:val="auto"/>
        </w:rPr>
      </w:pPr>
      <w:r>
        <w:rPr>
          <w:rFonts w:ascii="宋体" w:hAnsi="宋体" w:eastAsia="宋体"/>
          <w:b w:val="0"/>
          <w:color w:val="auto"/>
          <w:sz w:val="24"/>
        </w:rPr>
        <w:t>数据记录：及时填写运行台账、药剂台账、设备巡检及维护记录。</w:t>
      </w:r>
    </w:p>
    <w:p w14:paraId="417A9B07">
      <w:pPr>
        <w:numPr>
          <w:ilvl w:val="0"/>
          <w:numId w:val="6"/>
        </w:numPr>
        <w:spacing w:after="120" w:line="360" w:lineRule="auto"/>
        <w:ind w:left="0" w:leftChars="0" w:firstLine="480" w:firstLineChars="200"/>
        <w:rPr>
          <w:color w:val="auto"/>
        </w:rPr>
      </w:pPr>
      <w:r>
        <w:rPr>
          <w:rFonts w:ascii="宋体" w:hAnsi="宋体" w:eastAsia="宋体"/>
          <w:b w:val="0"/>
          <w:color w:val="auto"/>
          <w:sz w:val="24"/>
        </w:rPr>
        <w:t>异常处置：发现设备故障、数据异常或水质异常时，立即采取措施并向项目负责人及</w:t>
      </w:r>
      <w:r>
        <w:rPr>
          <w:rFonts w:hint="eastAsia" w:ascii="宋体" w:hAnsi="宋体" w:eastAsia="宋体"/>
          <w:b w:val="0"/>
          <w:color w:val="auto"/>
          <w:sz w:val="24"/>
          <w:lang w:eastAsia="zh-CN"/>
        </w:rPr>
        <w:t>院方</w:t>
      </w:r>
      <w:r>
        <w:rPr>
          <w:rFonts w:ascii="宋体" w:hAnsi="宋体" w:eastAsia="宋体"/>
          <w:b w:val="0"/>
          <w:color w:val="auto"/>
          <w:sz w:val="24"/>
        </w:rPr>
        <w:t>报告。</w:t>
      </w:r>
    </w:p>
    <w:p w14:paraId="364C32C9">
      <w:pPr>
        <w:numPr>
          <w:ilvl w:val="0"/>
          <w:numId w:val="6"/>
        </w:numPr>
        <w:spacing w:after="120" w:line="360" w:lineRule="auto"/>
        <w:ind w:left="0" w:leftChars="0" w:firstLine="480" w:firstLineChars="200"/>
        <w:rPr>
          <w:color w:val="auto"/>
        </w:rPr>
      </w:pPr>
      <w:r>
        <w:rPr>
          <w:rFonts w:ascii="宋体" w:hAnsi="宋体" w:eastAsia="宋体"/>
          <w:b w:val="0"/>
          <w:color w:val="auto"/>
          <w:sz w:val="24"/>
        </w:rPr>
        <w:t>交接班：形成闭环记录，确保运行信息连续。</w:t>
      </w:r>
    </w:p>
    <w:p w14:paraId="1BB25FBA">
      <w:pPr>
        <w:pStyle w:val="3"/>
        <w:numPr>
          <w:ilvl w:val="0"/>
          <w:numId w:val="5"/>
        </w:numPr>
        <w:ind w:left="635" w:leftChars="0" w:hanging="425" w:firstLineChars="0"/>
        <w:rPr>
          <w:color w:val="auto"/>
        </w:rPr>
      </w:pPr>
      <w:r>
        <w:rPr>
          <w:color w:val="auto"/>
        </w:rPr>
        <w:t>设备维护保养计划</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028"/>
        <w:gridCol w:w="6494"/>
      </w:tblGrid>
      <w:tr w14:paraId="7885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FFFFFF" w:themeFill="background1"/>
            <w:vAlign w:val="center"/>
          </w:tcPr>
          <w:p w14:paraId="44EEA8A6">
            <w:pPr>
              <w:spacing w:after="0" w:line="240" w:lineRule="auto"/>
              <w:jc w:val="center"/>
              <w:rPr>
                <w:color w:val="auto"/>
              </w:rPr>
            </w:pPr>
            <w:r>
              <w:rPr>
                <w:rFonts w:ascii="宋体" w:hAnsi="宋体" w:eastAsia="宋体"/>
                <w:b/>
                <w:color w:val="auto"/>
                <w:sz w:val="21"/>
              </w:rPr>
              <w:t>周期</w:t>
            </w:r>
          </w:p>
        </w:tc>
        <w:tc>
          <w:tcPr>
            <w:tcW w:w="7370" w:type="dxa"/>
            <w:shd w:val="clear" w:color="auto" w:fill="FFFFFF" w:themeFill="background1"/>
            <w:vAlign w:val="center"/>
          </w:tcPr>
          <w:p w14:paraId="35C733CD">
            <w:pPr>
              <w:spacing w:after="0" w:line="240" w:lineRule="auto"/>
              <w:jc w:val="center"/>
              <w:rPr>
                <w:color w:val="auto"/>
              </w:rPr>
            </w:pPr>
            <w:r>
              <w:rPr>
                <w:rFonts w:ascii="宋体" w:hAnsi="宋体" w:eastAsia="宋体"/>
                <w:b/>
                <w:color w:val="auto"/>
                <w:sz w:val="21"/>
              </w:rPr>
              <w:t>主要工作</w:t>
            </w:r>
          </w:p>
        </w:tc>
      </w:tr>
      <w:tr w14:paraId="3F84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27340F86">
            <w:pPr>
              <w:spacing w:after="0" w:line="240" w:lineRule="auto"/>
              <w:jc w:val="center"/>
              <w:rPr>
                <w:color w:val="auto"/>
              </w:rPr>
            </w:pPr>
            <w:r>
              <w:rPr>
                <w:rFonts w:ascii="宋体" w:hAnsi="宋体" w:eastAsia="宋体"/>
                <w:b w:val="0"/>
                <w:color w:val="auto"/>
                <w:sz w:val="21"/>
              </w:rPr>
              <w:t>每日</w:t>
            </w:r>
          </w:p>
        </w:tc>
        <w:tc>
          <w:tcPr>
            <w:tcW w:w="7370" w:type="dxa"/>
            <w:shd w:val="clear" w:color="auto" w:fill="FFFFFF" w:themeFill="background1"/>
            <w:vAlign w:val="center"/>
          </w:tcPr>
          <w:p w14:paraId="102E7892">
            <w:pPr>
              <w:spacing w:after="0" w:line="240" w:lineRule="auto"/>
              <w:jc w:val="center"/>
              <w:rPr>
                <w:color w:val="auto"/>
              </w:rPr>
            </w:pPr>
            <w:r>
              <w:rPr>
                <w:rFonts w:ascii="宋体" w:hAnsi="宋体" w:eastAsia="宋体"/>
                <w:b w:val="0"/>
                <w:color w:val="auto"/>
                <w:sz w:val="21"/>
              </w:rPr>
              <w:t>设备运行状态巡查；电气及控制柜检查；水泵、风机、加药设备巡检；异常声音、振动、温升检查。</w:t>
            </w:r>
          </w:p>
        </w:tc>
      </w:tr>
      <w:tr w14:paraId="5B2F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0B5D58EA">
            <w:pPr>
              <w:spacing w:after="0" w:line="240" w:lineRule="auto"/>
              <w:jc w:val="center"/>
              <w:rPr>
                <w:color w:val="auto"/>
              </w:rPr>
            </w:pPr>
            <w:r>
              <w:rPr>
                <w:rFonts w:ascii="宋体" w:hAnsi="宋体" w:eastAsia="宋体"/>
                <w:b w:val="0"/>
                <w:color w:val="auto"/>
                <w:sz w:val="21"/>
              </w:rPr>
              <w:t>每周</w:t>
            </w:r>
          </w:p>
        </w:tc>
        <w:tc>
          <w:tcPr>
            <w:tcW w:w="7370" w:type="dxa"/>
            <w:shd w:val="clear" w:color="auto" w:fill="FFFFFF" w:themeFill="background1"/>
            <w:vAlign w:val="center"/>
          </w:tcPr>
          <w:p w14:paraId="5567ACE4">
            <w:pPr>
              <w:spacing w:after="0" w:line="240" w:lineRule="auto"/>
              <w:jc w:val="center"/>
              <w:rPr>
                <w:color w:val="auto"/>
              </w:rPr>
            </w:pPr>
            <w:r>
              <w:rPr>
                <w:rFonts w:ascii="宋体" w:hAnsi="宋体" w:eastAsia="宋体"/>
                <w:b w:val="0"/>
                <w:color w:val="auto"/>
                <w:sz w:val="21"/>
              </w:rPr>
              <w:t>重点设备运行状态复核；管路、阀门及加药系统检查；在线监测设备校准及运行状态检查。</w:t>
            </w:r>
          </w:p>
        </w:tc>
      </w:tr>
      <w:tr w14:paraId="15CF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120CBB73">
            <w:pPr>
              <w:spacing w:after="0" w:line="240" w:lineRule="auto"/>
              <w:jc w:val="center"/>
              <w:rPr>
                <w:color w:val="auto"/>
              </w:rPr>
            </w:pPr>
            <w:r>
              <w:rPr>
                <w:rFonts w:ascii="宋体" w:hAnsi="宋体" w:eastAsia="宋体"/>
                <w:b w:val="0"/>
                <w:color w:val="auto"/>
                <w:sz w:val="21"/>
              </w:rPr>
              <w:t>每月</w:t>
            </w:r>
          </w:p>
        </w:tc>
        <w:tc>
          <w:tcPr>
            <w:tcW w:w="7370" w:type="dxa"/>
            <w:shd w:val="clear" w:color="auto" w:fill="FFFFFF" w:themeFill="background1"/>
            <w:vAlign w:val="center"/>
          </w:tcPr>
          <w:p w14:paraId="6A9B1212">
            <w:pPr>
              <w:spacing w:after="0" w:line="240" w:lineRule="auto"/>
              <w:jc w:val="center"/>
              <w:rPr>
                <w:color w:val="auto"/>
              </w:rPr>
            </w:pPr>
            <w:r>
              <w:rPr>
                <w:rFonts w:ascii="宋体" w:hAnsi="宋体" w:eastAsia="宋体"/>
                <w:b w:val="0"/>
                <w:color w:val="auto"/>
                <w:sz w:val="21"/>
              </w:rPr>
              <w:t>设备保养、紧固件检查、润滑检查；药剂库存盘点；运行数据分析；形成月度运维总结。</w:t>
            </w:r>
          </w:p>
        </w:tc>
      </w:tr>
      <w:tr w14:paraId="36A0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2268" w:type="dxa"/>
            <w:shd w:val="clear" w:color="auto" w:fill="FFFFFF" w:themeFill="background1"/>
            <w:vAlign w:val="center"/>
          </w:tcPr>
          <w:p w14:paraId="78B8CA69">
            <w:pPr>
              <w:spacing w:after="0" w:line="240" w:lineRule="auto"/>
              <w:jc w:val="center"/>
              <w:rPr>
                <w:color w:val="auto"/>
              </w:rPr>
            </w:pPr>
            <w:r>
              <w:rPr>
                <w:rFonts w:ascii="宋体" w:hAnsi="宋体" w:eastAsia="宋体"/>
                <w:b w:val="0"/>
                <w:color w:val="auto"/>
                <w:sz w:val="21"/>
              </w:rPr>
              <w:t>按需/年度</w:t>
            </w:r>
          </w:p>
        </w:tc>
        <w:tc>
          <w:tcPr>
            <w:tcW w:w="7370" w:type="dxa"/>
            <w:shd w:val="clear" w:color="auto" w:fill="FFFFFF" w:themeFill="background1"/>
            <w:vAlign w:val="center"/>
          </w:tcPr>
          <w:p w14:paraId="17BE4765">
            <w:pPr>
              <w:spacing w:after="0" w:line="240" w:lineRule="auto"/>
              <w:jc w:val="center"/>
              <w:rPr>
                <w:color w:val="auto"/>
              </w:rPr>
            </w:pPr>
            <w:r>
              <w:rPr>
                <w:rFonts w:ascii="宋体" w:hAnsi="宋体" w:eastAsia="宋体"/>
                <w:b w:val="0"/>
                <w:color w:val="auto"/>
                <w:sz w:val="21"/>
              </w:rPr>
              <w:t>鼓风机机油更换；流量计年度校准；对设备老化、故障和性能下降情况提出维修建议。</w:t>
            </w:r>
          </w:p>
        </w:tc>
      </w:tr>
    </w:tbl>
    <w:p w14:paraId="42449099">
      <w:pPr>
        <w:rPr>
          <w:color w:val="auto"/>
        </w:rPr>
      </w:pPr>
    </w:p>
    <w:p w14:paraId="5455C708">
      <w:pPr>
        <w:pStyle w:val="3"/>
        <w:numPr>
          <w:ilvl w:val="0"/>
          <w:numId w:val="5"/>
        </w:numPr>
        <w:ind w:left="635" w:leftChars="0" w:hanging="425" w:firstLineChars="0"/>
        <w:rPr>
          <w:rFonts w:hint="eastAsia"/>
          <w:color w:val="auto"/>
          <w:lang w:val="en-US" w:eastAsia="zh-CN"/>
        </w:rPr>
      </w:pPr>
      <w:r>
        <w:rPr>
          <w:rFonts w:hint="eastAsia"/>
          <w:color w:val="auto"/>
          <w:lang w:val="en-US" w:eastAsia="zh-CN"/>
        </w:rPr>
        <w:t>质量控制及环保管理</w:t>
      </w:r>
    </w:p>
    <w:p w14:paraId="37811BDA">
      <w:pPr>
        <w:numPr>
          <w:ilvl w:val="0"/>
          <w:numId w:val="7"/>
        </w:numPr>
        <w:spacing w:after="120" w:line="360" w:lineRule="auto"/>
        <w:ind w:left="0" w:leftChars="0" w:firstLine="480" w:firstLineChars="200"/>
        <w:rPr>
          <w:color w:val="auto"/>
        </w:rPr>
      </w:pPr>
      <w:r>
        <w:rPr>
          <w:rFonts w:ascii="宋体" w:hAnsi="宋体" w:eastAsia="宋体"/>
          <w:b w:val="0"/>
          <w:color w:val="auto"/>
          <w:sz w:val="24"/>
        </w:rPr>
        <w:t>建立项目运行质量责任制，现场运维人员对当班运行质量负责，项目负责人对整体服务质量负责。</w:t>
      </w:r>
    </w:p>
    <w:p w14:paraId="785066FB">
      <w:pPr>
        <w:numPr>
          <w:ilvl w:val="0"/>
          <w:numId w:val="7"/>
        </w:numPr>
        <w:spacing w:after="120" w:line="360" w:lineRule="auto"/>
        <w:ind w:left="0" w:leftChars="0" w:firstLine="480" w:firstLineChars="200"/>
        <w:rPr>
          <w:color w:val="auto"/>
        </w:rPr>
      </w:pPr>
      <w:r>
        <w:rPr>
          <w:rFonts w:ascii="宋体" w:hAnsi="宋体" w:eastAsia="宋体"/>
          <w:b w:val="0"/>
          <w:color w:val="auto"/>
          <w:sz w:val="24"/>
        </w:rPr>
        <w:t>以运行数据、在线监测数据和人工检测数据为主要依据，对污水处理系统运行效果进行综合判断。</w:t>
      </w:r>
    </w:p>
    <w:p w14:paraId="1C3E3B17">
      <w:pPr>
        <w:numPr>
          <w:ilvl w:val="0"/>
          <w:numId w:val="7"/>
        </w:numPr>
        <w:spacing w:after="120" w:line="360" w:lineRule="auto"/>
        <w:ind w:left="0" w:leftChars="0" w:firstLine="480" w:firstLineChars="200"/>
        <w:rPr>
          <w:color w:val="auto"/>
        </w:rPr>
      </w:pPr>
      <w:r>
        <w:rPr>
          <w:rFonts w:ascii="宋体" w:hAnsi="宋体" w:eastAsia="宋体"/>
          <w:b w:val="0"/>
          <w:color w:val="auto"/>
          <w:sz w:val="24"/>
        </w:rPr>
        <w:t>药剂实行计划采购、规范储存、定量领用和使用记录管理，防止缺药、错药及不规范储存。</w:t>
      </w:r>
    </w:p>
    <w:p w14:paraId="56A3D10E">
      <w:pPr>
        <w:numPr>
          <w:ilvl w:val="0"/>
          <w:numId w:val="7"/>
        </w:numPr>
        <w:spacing w:after="120" w:line="360" w:lineRule="auto"/>
        <w:ind w:left="0" w:leftChars="0" w:firstLine="480" w:firstLineChars="200"/>
        <w:rPr>
          <w:color w:val="auto"/>
        </w:rPr>
      </w:pPr>
      <w:r>
        <w:rPr>
          <w:rFonts w:ascii="宋体" w:hAnsi="宋体" w:eastAsia="宋体"/>
          <w:b w:val="0"/>
          <w:color w:val="auto"/>
          <w:sz w:val="24"/>
        </w:rPr>
        <w:t>检测项目按照报价单约定频次组织实施，检测结果及时归档；涉及第三方检测的，按项目要求协调具备相应能力的检测机构实施。</w:t>
      </w:r>
    </w:p>
    <w:p w14:paraId="4E762377">
      <w:pPr>
        <w:numPr>
          <w:ilvl w:val="0"/>
          <w:numId w:val="7"/>
        </w:numPr>
        <w:spacing w:after="120" w:line="360" w:lineRule="auto"/>
        <w:ind w:left="0" w:leftChars="0" w:firstLine="480" w:firstLineChars="200"/>
        <w:rPr>
          <w:color w:val="auto"/>
        </w:rPr>
      </w:pPr>
      <w:r>
        <w:rPr>
          <w:rFonts w:ascii="宋体" w:hAnsi="宋体" w:eastAsia="宋体"/>
          <w:b w:val="0"/>
          <w:color w:val="auto"/>
          <w:sz w:val="24"/>
        </w:rPr>
        <w:t>对异常数据、设备故障、突发水质变化等情况建立异常处置和闭环反馈机制。</w:t>
      </w:r>
    </w:p>
    <w:p w14:paraId="125E31AF">
      <w:pPr>
        <w:numPr>
          <w:ilvl w:val="0"/>
          <w:numId w:val="7"/>
        </w:numPr>
        <w:spacing w:after="120" w:line="360" w:lineRule="auto"/>
        <w:ind w:left="0" w:leftChars="0" w:firstLine="480" w:firstLineChars="200"/>
        <w:rPr>
          <w:color w:val="auto"/>
        </w:rPr>
      </w:pPr>
      <w:r>
        <w:rPr>
          <w:rFonts w:ascii="宋体" w:hAnsi="宋体" w:eastAsia="宋体"/>
          <w:b w:val="0"/>
          <w:color w:val="auto"/>
          <w:sz w:val="24"/>
        </w:rPr>
        <w:t>严格落实现场安全操作要求，涉及有限空间、用电、药剂等风险作业时执行相应安全管理措施。</w:t>
      </w:r>
    </w:p>
    <w:p w14:paraId="2C61D916">
      <w:pPr>
        <w:pStyle w:val="3"/>
        <w:numPr>
          <w:ilvl w:val="0"/>
          <w:numId w:val="5"/>
        </w:numPr>
        <w:ind w:left="635" w:leftChars="0" w:hanging="425" w:firstLineChars="0"/>
        <w:rPr>
          <w:rFonts w:hint="eastAsia"/>
          <w:lang w:eastAsia="zh-CN"/>
        </w:rPr>
      </w:pPr>
      <w:r>
        <w:rPr>
          <w:rFonts w:hint="eastAsia"/>
          <w:color w:val="auto"/>
          <w:lang w:eastAsia="zh-CN"/>
        </w:rPr>
        <w:t>异常情况应急处置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028"/>
        <w:gridCol w:w="6494"/>
      </w:tblGrid>
      <w:tr w14:paraId="4202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FFFFFF" w:themeFill="background1"/>
            <w:vAlign w:val="center"/>
          </w:tcPr>
          <w:p w14:paraId="238F7DF4">
            <w:pPr>
              <w:spacing w:after="0" w:line="240" w:lineRule="auto"/>
              <w:jc w:val="center"/>
              <w:rPr>
                <w:color w:val="auto"/>
              </w:rPr>
            </w:pPr>
            <w:r>
              <w:rPr>
                <w:rFonts w:ascii="宋体" w:hAnsi="宋体" w:eastAsia="宋体"/>
                <w:b/>
                <w:color w:val="auto"/>
                <w:sz w:val="21"/>
              </w:rPr>
              <w:t>异常类型</w:t>
            </w:r>
          </w:p>
        </w:tc>
        <w:tc>
          <w:tcPr>
            <w:tcW w:w="7370" w:type="dxa"/>
            <w:shd w:val="clear" w:color="auto" w:fill="FFFFFF" w:themeFill="background1"/>
            <w:vAlign w:val="center"/>
          </w:tcPr>
          <w:p w14:paraId="2942363F">
            <w:pPr>
              <w:spacing w:after="0" w:line="240" w:lineRule="auto"/>
              <w:jc w:val="center"/>
              <w:rPr>
                <w:color w:val="auto"/>
              </w:rPr>
            </w:pPr>
            <w:r>
              <w:rPr>
                <w:rFonts w:ascii="宋体" w:hAnsi="宋体" w:eastAsia="宋体"/>
                <w:b/>
                <w:color w:val="auto"/>
                <w:sz w:val="21"/>
              </w:rPr>
              <w:t>主要处置措施</w:t>
            </w:r>
          </w:p>
        </w:tc>
      </w:tr>
      <w:tr w14:paraId="74E8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651D95CE">
            <w:pPr>
              <w:spacing w:after="0" w:line="240" w:lineRule="auto"/>
              <w:jc w:val="center"/>
              <w:rPr>
                <w:color w:val="auto"/>
              </w:rPr>
            </w:pPr>
            <w:r>
              <w:rPr>
                <w:rFonts w:ascii="宋体" w:hAnsi="宋体" w:eastAsia="宋体"/>
                <w:b w:val="0"/>
                <w:color w:val="auto"/>
                <w:sz w:val="21"/>
              </w:rPr>
              <w:t>设备故障</w:t>
            </w:r>
          </w:p>
        </w:tc>
        <w:tc>
          <w:tcPr>
            <w:tcW w:w="7370" w:type="dxa"/>
            <w:shd w:val="clear" w:color="auto" w:fill="FFFFFF" w:themeFill="background1"/>
            <w:vAlign w:val="center"/>
          </w:tcPr>
          <w:p w14:paraId="792CB400">
            <w:pPr>
              <w:spacing w:after="0" w:line="240" w:lineRule="auto"/>
              <w:jc w:val="center"/>
              <w:rPr>
                <w:color w:val="auto"/>
              </w:rPr>
            </w:pPr>
            <w:r>
              <w:rPr>
                <w:rFonts w:ascii="宋体" w:hAnsi="宋体" w:eastAsia="宋体"/>
                <w:b w:val="0"/>
                <w:color w:val="auto"/>
                <w:sz w:val="21"/>
              </w:rPr>
              <w:t>立即确认故障设备及影响范围；启用备用设备或调整工艺；无法现场解决时及时组织维修，并记录故障原因及处理结果。</w:t>
            </w:r>
          </w:p>
        </w:tc>
      </w:tr>
      <w:tr w14:paraId="3C4F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0B2E92A9">
            <w:pPr>
              <w:spacing w:after="0" w:line="240" w:lineRule="auto"/>
              <w:jc w:val="center"/>
              <w:rPr>
                <w:color w:val="auto"/>
              </w:rPr>
            </w:pPr>
            <w:r>
              <w:rPr>
                <w:rFonts w:ascii="宋体" w:hAnsi="宋体" w:eastAsia="宋体"/>
                <w:b w:val="0"/>
                <w:color w:val="auto"/>
                <w:sz w:val="21"/>
              </w:rPr>
              <w:t>出水指标异常</w:t>
            </w:r>
          </w:p>
        </w:tc>
        <w:tc>
          <w:tcPr>
            <w:tcW w:w="7370" w:type="dxa"/>
            <w:shd w:val="clear" w:color="auto" w:fill="FFFFFF" w:themeFill="background1"/>
            <w:vAlign w:val="center"/>
          </w:tcPr>
          <w:p w14:paraId="243BC0BB">
            <w:pPr>
              <w:spacing w:after="0" w:line="240" w:lineRule="auto"/>
              <w:jc w:val="center"/>
              <w:rPr>
                <w:color w:val="auto"/>
              </w:rPr>
            </w:pPr>
            <w:r>
              <w:rPr>
                <w:rFonts w:ascii="宋体" w:hAnsi="宋体" w:eastAsia="宋体"/>
                <w:b w:val="0"/>
                <w:color w:val="auto"/>
                <w:sz w:val="21"/>
              </w:rPr>
              <w:t>立即复核在线及人工检测数据；检查进水水质、药剂投加、曝气及消毒工况；根据实际情况调整运行参数，并及时报告</w:t>
            </w:r>
            <w:r>
              <w:rPr>
                <w:rFonts w:hint="eastAsia" w:ascii="宋体" w:hAnsi="宋体" w:eastAsia="宋体"/>
                <w:b w:val="0"/>
                <w:color w:val="auto"/>
                <w:sz w:val="21"/>
                <w:lang w:eastAsia="zh-CN"/>
              </w:rPr>
              <w:t>院方</w:t>
            </w:r>
            <w:r>
              <w:rPr>
                <w:rFonts w:ascii="宋体" w:hAnsi="宋体" w:eastAsia="宋体"/>
                <w:b w:val="0"/>
                <w:color w:val="auto"/>
                <w:sz w:val="21"/>
              </w:rPr>
              <w:t>。</w:t>
            </w:r>
          </w:p>
        </w:tc>
      </w:tr>
      <w:tr w14:paraId="7585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55CB44D6">
            <w:pPr>
              <w:spacing w:after="0" w:line="240" w:lineRule="auto"/>
              <w:jc w:val="center"/>
              <w:rPr>
                <w:color w:val="auto"/>
              </w:rPr>
            </w:pPr>
            <w:r>
              <w:rPr>
                <w:rFonts w:ascii="宋体" w:hAnsi="宋体" w:eastAsia="宋体"/>
                <w:b w:val="0"/>
                <w:color w:val="auto"/>
                <w:sz w:val="21"/>
              </w:rPr>
              <w:t>在线监测异常</w:t>
            </w:r>
          </w:p>
        </w:tc>
        <w:tc>
          <w:tcPr>
            <w:tcW w:w="7370" w:type="dxa"/>
            <w:shd w:val="clear" w:color="auto" w:fill="FFFFFF" w:themeFill="background1"/>
            <w:vAlign w:val="center"/>
          </w:tcPr>
          <w:p w14:paraId="41A01690">
            <w:pPr>
              <w:spacing w:after="0" w:line="240" w:lineRule="auto"/>
              <w:jc w:val="center"/>
              <w:rPr>
                <w:color w:val="auto"/>
              </w:rPr>
            </w:pPr>
            <w:r>
              <w:rPr>
                <w:rFonts w:ascii="宋体" w:hAnsi="宋体" w:eastAsia="宋体"/>
                <w:b w:val="0"/>
                <w:color w:val="auto"/>
                <w:sz w:val="21"/>
              </w:rPr>
              <w:t>检查仪表供电、试剂、探头及通讯状态；开展人工比对检测；必要时组织专业人员检修或校准。</w:t>
            </w:r>
          </w:p>
        </w:tc>
      </w:tr>
      <w:tr w14:paraId="46AC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0E22A15F">
            <w:pPr>
              <w:spacing w:after="0" w:line="240" w:lineRule="auto"/>
              <w:jc w:val="center"/>
              <w:rPr>
                <w:color w:val="auto"/>
              </w:rPr>
            </w:pPr>
            <w:r>
              <w:rPr>
                <w:rFonts w:ascii="宋体" w:hAnsi="宋体" w:eastAsia="宋体"/>
                <w:b w:val="0"/>
                <w:color w:val="auto"/>
                <w:sz w:val="21"/>
              </w:rPr>
              <w:t>药剂不足</w:t>
            </w:r>
          </w:p>
        </w:tc>
        <w:tc>
          <w:tcPr>
            <w:tcW w:w="7370" w:type="dxa"/>
            <w:shd w:val="clear" w:color="auto" w:fill="FFFFFF" w:themeFill="background1"/>
            <w:vAlign w:val="center"/>
          </w:tcPr>
          <w:p w14:paraId="6EB18E53">
            <w:pPr>
              <w:spacing w:after="0" w:line="240" w:lineRule="auto"/>
              <w:jc w:val="center"/>
              <w:rPr>
                <w:color w:val="auto"/>
              </w:rPr>
            </w:pPr>
            <w:r>
              <w:rPr>
                <w:rFonts w:ascii="宋体" w:hAnsi="宋体" w:eastAsia="宋体"/>
                <w:b w:val="0"/>
                <w:color w:val="auto"/>
                <w:sz w:val="21"/>
              </w:rPr>
              <w:t>提前根据库存和消耗量制定采购计划；出现库存不足风险时及时预警，确保正常运行所需药剂供应。</w:t>
            </w:r>
          </w:p>
        </w:tc>
      </w:tr>
      <w:tr w14:paraId="6C44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FFFFFF" w:themeFill="background1"/>
            <w:vAlign w:val="center"/>
          </w:tcPr>
          <w:p w14:paraId="21466DBF">
            <w:pPr>
              <w:spacing w:after="0" w:line="240" w:lineRule="auto"/>
              <w:jc w:val="center"/>
              <w:rPr>
                <w:color w:val="auto"/>
              </w:rPr>
            </w:pPr>
            <w:r>
              <w:rPr>
                <w:rFonts w:ascii="宋体" w:hAnsi="宋体" w:eastAsia="宋体"/>
                <w:b w:val="0"/>
                <w:color w:val="auto"/>
                <w:sz w:val="21"/>
              </w:rPr>
              <w:t>停电或突发事件</w:t>
            </w:r>
          </w:p>
        </w:tc>
        <w:tc>
          <w:tcPr>
            <w:tcW w:w="7370" w:type="dxa"/>
            <w:shd w:val="clear" w:color="auto" w:fill="FFFFFF" w:themeFill="background1"/>
            <w:vAlign w:val="center"/>
          </w:tcPr>
          <w:p w14:paraId="43A6DBF8">
            <w:pPr>
              <w:spacing w:after="0" w:line="240" w:lineRule="auto"/>
              <w:jc w:val="center"/>
              <w:rPr>
                <w:color w:val="auto"/>
              </w:rPr>
            </w:pPr>
            <w:r>
              <w:rPr>
                <w:rFonts w:ascii="宋体" w:hAnsi="宋体" w:eastAsia="宋体"/>
                <w:b w:val="0"/>
                <w:color w:val="auto"/>
                <w:sz w:val="21"/>
              </w:rPr>
              <w:t>根据现场应急预案采取设备保护、人工巡查、恢复供电后逐项启动等措施，降低对污水处理系统的影响。</w:t>
            </w:r>
          </w:p>
        </w:tc>
      </w:tr>
    </w:tbl>
    <w:p w14:paraId="68078FD6">
      <w:pPr>
        <w:rPr>
          <w:color w:val="auto"/>
        </w:rPr>
      </w:pPr>
    </w:p>
    <w:p w14:paraId="7D66A5B1">
      <w:pPr>
        <w:pStyle w:val="3"/>
        <w:numPr>
          <w:ilvl w:val="0"/>
          <w:numId w:val="5"/>
        </w:numPr>
        <w:ind w:left="635" w:leftChars="0" w:hanging="425" w:firstLineChars="0"/>
        <w:rPr>
          <w:rFonts w:hint="eastAsia"/>
          <w:color w:val="auto"/>
          <w:lang w:eastAsia="zh-CN"/>
        </w:rPr>
      </w:pPr>
      <w:r>
        <w:rPr>
          <w:rFonts w:hint="eastAsia"/>
          <w:color w:val="auto"/>
          <w:lang w:eastAsia="zh-CN"/>
        </w:rPr>
        <w:t>运行资料及档案管理</w:t>
      </w:r>
    </w:p>
    <w:p w14:paraId="54488988">
      <w:pPr>
        <w:spacing w:after="120" w:line="360" w:lineRule="auto"/>
        <w:ind w:firstLine="420"/>
        <w:rPr>
          <w:color w:val="auto"/>
        </w:rPr>
      </w:pPr>
      <w:r>
        <w:rPr>
          <w:rFonts w:hint="eastAsia" w:ascii="宋体" w:hAnsi="宋体" w:eastAsia="宋体"/>
          <w:b w:val="0"/>
          <w:color w:val="auto"/>
          <w:sz w:val="24"/>
          <w:lang w:eastAsia="zh-CN"/>
        </w:rPr>
        <w:t>我方</w:t>
      </w:r>
      <w:r>
        <w:rPr>
          <w:rFonts w:ascii="宋体" w:hAnsi="宋体" w:eastAsia="宋体"/>
          <w:b w:val="0"/>
          <w:color w:val="auto"/>
          <w:sz w:val="24"/>
        </w:rPr>
        <w:t>建立项目运行资料档案，至少包括：人员值班记录、设备巡检记录、设备维护保养记录、药剂采购及使用记录、在线监测校准记录、人工检测记录、污水检测报告、废气检测报告、噪声检测报告、异常情况处置记录、月度运维总结等。</w:t>
      </w:r>
    </w:p>
    <w:p w14:paraId="1F41FCAA">
      <w:pPr>
        <w:spacing w:after="120" w:line="360" w:lineRule="auto"/>
        <w:ind w:firstLine="420"/>
        <w:rPr>
          <w:rFonts w:ascii="宋体" w:hAnsi="宋体" w:eastAsia="宋体"/>
          <w:b w:val="0"/>
          <w:color w:val="auto"/>
          <w:sz w:val="24"/>
        </w:rPr>
      </w:pPr>
      <w:r>
        <w:rPr>
          <w:rFonts w:ascii="宋体" w:hAnsi="宋体" w:eastAsia="宋体"/>
          <w:b w:val="0"/>
          <w:color w:val="auto"/>
          <w:sz w:val="24"/>
        </w:rPr>
        <w:t>所有运行记录应做到真实、完整、可追溯。涉及</w:t>
      </w:r>
      <w:r>
        <w:rPr>
          <w:rFonts w:hint="eastAsia" w:ascii="宋体" w:hAnsi="宋体" w:eastAsia="宋体"/>
          <w:b w:val="0"/>
          <w:color w:val="auto"/>
          <w:sz w:val="24"/>
          <w:lang w:eastAsia="zh-CN"/>
        </w:rPr>
        <w:t>院方</w:t>
      </w:r>
      <w:r>
        <w:rPr>
          <w:rFonts w:ascii="宋体" w:hAnsi="宋体" w:eastAsia="宋体"/>
          <w:b w:val="0"/>
          <w:color w:val="auto"/>
          <w:sz w:val="24"/>
        </w:rPr>
        <w:t>环保检查、主管部门检查或项目验收所需资料时，</w:t>
      </w:r>
      <w:r>
        <w:rPr>
          <w:rFonts w:hint="eastAsia" w:ascii="宋体" w:hAnsi="宋体" w:eastAsia="宋体"/>
          <w:b w:val="0"/>
          <w:color w:val="auto"/>
          <w:sz w:val="24"/>
          <w:lang w:eastAsia="zh-CN"/>
        </w:rPr>
        <w:t>我方</w:t>
      </w:r>
      <w:r>
        <w:rPr>
          <w:rFonts w:ascii="宋体" w:hAnsi="宋体" w:eastAsia="宋体"/>
          <w:b w:val="0"/>
          <w:color w:val="auto"/>
          <w:sz w:val="24"/>
        </w:rPr>
        <w:t>根据合同服务范围配合提供相关记录和报告。</w:t>
      </w:r>
    </w:p>
    <w:p w14:paraId="4D1508AB">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bookmarkStart w:id="3" w:name="_Toc23277"/>
      <w:r>
        <w:rPr>
          <w:rFonts w:hint="eastAsia" w:ascii="Times New Roman" w:hAnsi="Times New Roman" w:eastAsia="宋体" w:cs="Times New Roman"/>
          <w:b/>
          <w:bCs w:val="0"/>
          <w:kern w:val="2"/>
          <w:sz w:val="30"/>
          <w:szCs w:val="30"/>
          <w:lang w:val="en-US" w:eastAsia="zh-CN" w:bidi="ar-SA"/>
        </w:rPr>
        <w:t>环保管家及环保事务综合协调服务方案</w:t>
      </w:r>
      <w:bookmarkEnd w:id="3"/>
    </w:p>
    <w:p w14:paraId="25AE54A8">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eastAsia="宋体" w:cs="Times New Roman"/>
          <w:sz w:val="24"/>
          <w:szCs w:val="24"/>
        </w:rPr>
      </w:pPr>
      <w:r>
        <w:rPr>
          <w:rFonts w:eastAsia="宋体" w:cs="Times New Roman"/>
          <w:sz w:val="24"/>
          <w:szCs w:val="24"/>
        </w:rPr>
        <w:t>为协助医院规范落实生态环境保护主体责任，及时完成排污许可、环境管理台账、监测数据、执行报告及监管检查等环保事务，</w:t>
      </w:r>
      <w:r>
        <w:rPr>
          <w:rFonts w:hint="eastAsia" w:cs="Times New Roman"/>
          <w:sz w:val="24"/>
          <w:szCs w:val="24"/>
          <w:lang w:eastAsia="zh-CN"/>
        </w:rPr>
        <w:t>我司</w:t>
      </w:r>
      <w:r>
        <w:rPr>
          <w:rFonts w:eastAsia="宋体" w:cs="Times New Roman"/>
          <w:sz w:val="24"/>
          <w:szCs w:val="24"/>
        </w:rPr>
        <w:t>在做好污水处理站日常运行管理的基础上，安排专业环保技术人员，为医院提供类似“环保管家”的整体环保对接、咨询、申报和协助服务。</w:t>
      </w:r>
    </w:p>
    <w:p w14:paraId="65B3E7A3">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eastAsia="宋体" w:cs="Times New Roman"/>
          <w:sz w:val="24"/>
          <w:szCs w:val="24"/>
        </w:rPr>
      </w:pPr>
      <w:r>
        <w:rPr>
          <w:rFonts w:eastAsia="宋体" w:cs="Times New Roman"/>
          <w:sz w:val="24"/>
          <w:szCs w:val="24"/>
        </w:rPr>
        <w:t>环保管家服务坚持“统一协调、提前提醒、资料完整、数据一致、按期申报、全过程留痕”的管理原则，建立环保事项清单、申报计划、资料台账、问题整改和监管对接机制，降低因申报不及时、资料不完整、数据不一致或管理不到位产生的环保风险。</w:t>
      </w:r>
    </w:p>
    <w:p w14:paraId="4290B4C2">
      <w:pPr>
        <w:pStyle w:val="3"/>
        <w:numPr>
          <w:ilvl w:val="0"/>
          <w:numId w:val="8"/>
        </w:numPr>
        <w:ind w:left="635" w:leftChars="0" w:hanging="425" w:firstLineChars="0"/>
        <w:rPr>
          <w:rFonts w:hint="eastAsia"/>
          <w:b/>
          <w:bCs/>
          <w:color w:val="auto"/>
          <w:sz w:val="24"/>
          <w:szCs w:val="24"/>
          <w:lang w:eastAsia="zh-CN"/>
        </w:rPr>
      </w:pPr>
      <w:r>
        <w:rPr>
          <w:rFonts w:hint="eastAsia"/>
          <w:b/>
          <w:bCs/>
          <w:color w:val="auto"/>
          <w:sz w:val="24"/>
          <w:szCs w:val="24"/>
          <w:lang w:val="en-US" w:eastAsia="zh-CN"/>
        </w:rPr>
        <w:t>环保事务对接服务</w:t>
      </w:r>
    </w:p>
    <w:p w14:paraId="4775CB44">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eastAsia="宋体" w:cs="Times New Roman"/>
          <w:sz w:val="24"/>
          <w:szCs w:val="24"/>
        </w:rPr>
      </w:pPr>
      <w:r>
        <w:rPr>
          <w:rFonts w:hint="eastAsia" w:eastAsia="宋体" w:cs="Times New Roman"/>
          <w:sz w:val="24"/>
          <w:szCs w:val="24"/>
          <w:lang w:eastAsia="zh-CN"/>
        </w:rPr>
        <w:t>我司</w:t>
      </w:r>
      <w:r>
        <w:rPr>
          <w:rFonts w:eastAsia="宋体" w:cs="Times New Roman"/>
          <w:sz w:val="24"/>
          <w:szCs w:val="24"/>
        </w:rPr>
        <w:t>安排熟悉医院环保管理、污水处理运行、排污许可及环境管理台账的专业人员，作为医院环保事务服务联系人，负责与医院相关部门及生态环境主管部门进行日常沟通和协调。</w:t>
      </w:r>
    </w:p>
    <w:p w14:paraId="533CE92F">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排污许可证更新服务</w:t>
      </w:r>
    </w:p>
    <w:p w14:paraId="419A18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应协助医院对排污许可证载明信息进行定期核查，重点检查排污单位基本信息、主要生产及服务设施、污染治理设施、排放口、污染物种类、排放标准、监测要求及台账要求是否与现场实际情况一致。</w:t>
      </w:r>
    </w:p>
    <w:p w14:paraId="680357D4">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排污许可证季度执行报告申报</w:t>
      </w:r>
    </w:p>
    <w:p w14:paraId="68C723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应根据医院排污许可证及管理要求，协助开展季度执行情况资料汇总、报告编制和申报工作。</w:t>
      </w:r>
    </w:p>
    <w:p w14:paraId="154B298B">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排污许可证年度执行报告申报</w:t>
      </w:r>
    </w:p>
    <w:p w14:paraId="27FC5A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eastAsia="宋体" w:cs="Times New Roman"/>
          <w:sz w:val="24"/>
          <w:szCs w:val="24"/>
        </w:rPr>
        <w:t>每年度结束后，</w:t>
      </w:r>
      <w:r>
        <w:rPr>
          <w:rFonts w:hint="eastAsia" w:cs="Times New Roman"/>
          <w:sz w:val="24"/>
          <w:szCs w:val="24"/>
          <w:lang w:eastAsia="zh-CN"/>
        </w:rPr>
        <w:t>我司</w:t>
      </w:r>
      <w:r>
        <w:rPr>
          <w:rFonts w:eastAsia="宋体" w:cs="Times New Roman"/>
          <w:sz w:val="24"/>
          <w:szCs w:val="24"/>
        </w:rPr>
        <w:t>应协助医院对全年排污许可执行情况进行汇总分析，编制年度执行报告。</w:t>
      </w:r>
    </w:p>
    <w:p w14:paraId="21332C7D">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运行记录整理及申报服务</w:t>
      </w:r>
    </w:p>
    <w:p w14:paraId="738086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应根据排污许可证、污水处理站运行要求和医院环保管理需要，建立完整的污染治理设施运行记录。</w:t>
      </w:r>
    </w:p>
    <w:p w14:paraId="2F0DD524">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环保数据资料申报服务</w:t>
      </w:r>
    </w:p>
    <w:p w14:paraId="4C8A09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sz w:val="24"/>
          <w:szCs w:val="24"/>
        </w:rPr>
      </w:pPr>
      <w:r>
        <w:rPr>
          <w:rFonts w:eastAsia="宋体" w:cs="Times New Roman"/>
          <w:sz w:val="24"/>
          <w:szCs w:val="24"/>
        </w:rPr>
        <w:t>环保数据资料申报主要包括污水处理运行数据、水质监测数据、污染物排放数据、在线监测数据、药剂使用数据和设备运行数据等。</w:t>
      </w:r>
    </w:p>
    <w:p w14:paraId="7341F8EA">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环保监管稽查协助服务</w:t>
      </w:r>
    </w:p>
    <w:p w14:paraId="31B254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eastAsia="宋体" w:cs="Times New Roman"/>
          <w:sz w:val="24"/>
          <w:szCs w:val="24"/>
        </w:rPr>
        <w:t>生态环境主管部门、执法机构或其他相关单位开展现场检查、专项检查、环保稽查或资料核查时，</w:t>
      </w:r>
      <w:r>
        <w:rPr>
          <w:rFonts w:hint="eastAsia" w:cs="Times New Roman"/>
          <w:sz w:val="24"/>
          <w:szCs w:val="24"/>
          <w:lang w:eastAsia="zh-CN"/>
        </w:rPr>
        <w:t>我司</w:t>
      </w:r>
      <w:r>
        <w:rPr>
          <w:rFonts w:eastAsia="宋体" w:cs="Times New Roman"/>
          <w:sz w:val="24"/>
          <w:szCs w:val="24"/>
        </w:rPr>
        <w:t>应安排熟悉项目情况的专业人员配合医院开展迎检工作。</w:t>
      </w:r>
    </w:p>
    <w:p w14:paraId="6D4CF6D3">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环保问题排查与整改闭环管理</w:t>
      </w:r>
    </w:p>
    <w:p w14:paraId="677B7D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应结合日常运行、内部检查、监测数据和监管要求，定期开展环保风险排查。</w:t>
      </w:r>
    </w:p>
    <w:p w14:paraId="0BE4FF7C">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环保事项提醒及计划管理</w:t>
      </w:r>
    </w:p>
    <w:p w14:paraId="529901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应建立年度环保事务工作计划，对排污许可证有效期限、季度执行报告、年度执行报告、自行监测、在线设备校准、流量计年度校准及相关环保资料报送事项进行计划管理。</w:t>
      </w:r>
    </w:p>
    <w:p w14:paraId="2C92975E">
      <w:pPr>
        <w:pStyle w:val="3"/>
        <w:numPr>
          <w:ilvl w:val="0"/>
          <w:numId w:val="8"/>
        </w:numPr>
        <w:ind w:left="635" w:leftChars="0" w:hanging="425" w:firstLineChars="0"/>
        <w:rPr>
          <w:rFonts w:hint="eastAsia"/>
          <w:b/>
          <w:bCs/>
          <w:color w:val="auto"/>
          <w:sz w:val="24"/>
          <w:szCs w:val="24"/>
          <w:lang w:val="en-US" w:eastAsia="zh-CN"/>
        </w:rPr>
      </w:pPr>
      <w:r>
        <w:rPr>
          <w:rFonts w:hint="eastAsia"/>
          <w:b/>
          <w:bCs/>
          <w:color w:val="auto"/>
          <w:sz w:val="24"/>
          <w:szCs w:val="24"/>
          <w:lang w:val="en-US" w:eastAsia="zh-CN"/>
        </w:rPr>
        <w:t>环保资料档案管理</w:t>
      </w:r>
    </w:p>
    <w:p w14:paraId="74DE81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20"/>
        <w:textAlignment w:val="auto"/>
        <w:rPr>
          <w:rFonts w:eastAsia="宋体" w:cs="Times New Roman"/>
          <w:sz w:val="24"/>
          <w:szCs w:val="24"/>
        </w:rPr>
      </w:pPr>
      <w:r>
        <w:rPr>
          <w:rFonts w:hint="eastAsia" w:cs="Times New Roman"/>
          <w:sz w:val="24"/>
          <w:szCs w:val="24"/>
          <w:lang w:eastAsia="zh-CN"/>
        </w:rPr>
        <w:t>我司</w:t>
      </w:r>
      <w:r>
        <w:rPr>
          <w:rFonts w:eastAsia="宋体" w:cs="Times New Roman"/>
          <w:sz w:val="24"/>
          <w:szCs w:val="24"/>
        </w:rPr>
        <w:t>应协助医院建立分类清晰、内容完整、方便查询的环保管理档案。</w:t>
      </w:r>
    </w:p>
    <w:p w14:paraId="0845BD3D">
      <w:pPr>
        <w:rPr>
          <w:color w:val="auto"/>
        </w:rPr>
      </w:pPr>
    </w:p>
    <w:p w14:paraId="003C68DE">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r>
        <w:rPr>
          <w:rFonts w:hint="eastAsia" w:ascii="Times New Roman" w:hAnsi="Times New Roman" w:eastAsia="宋体" w:cs="Times New Roman"/>
          <w:b/>
          <w:bCs w:val="0"/>
          <w:kern w:val="2"/>
          <w:sz w:val="30"/>
          <w:szCs w:val="30"/>
          <w:lang w:val="en-US" w:eastAsia="zh-CN" w:bidi="ar-SA"/>
        </w:rPr>
        <w:t>服务响应和沟通协调保障</w:t>
      </w:r>
    </w:p>
    <w:p w14:paraId="4B10F2E9">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eastAsia" w:ascii="宋体" w:hAnsi="宋体" w:eastAsia="宋体" w:cs="宋体"/>
          <w:sz w:val="24"/>
          <w:szCs w:val="24"/>
        </w:rPr>
      </w:pPr>
      <w:r>
        <w:rPr>
          <w:rFonts w:hint="eastAsia" w:ascii="宋体" w:hAnsi="宋体" w:eastAsia="宋体" w:cs="宋体"/>
          <w:sz w:val="24"/>
          <w:szCs w:val="24"/>
        </w:rPr>
        <w:t>建立与</w:t>
      </w:r>
      <w:r>
        <w:rPr>
          <w:rFonts w:hint="eastAsia" w:ascii="宋体" w:hAnsi="宋体" w:cs="宋体"/>
          <w:sz w:val="24"/>
          <w:szCs w:val="24"/>
          <w:lang w:val="en-US" w:eastAsia="zh-CN"/>
        </w:rPr>
        <w:t>院方</w:t>
      </w:r>
      <w:r>
        <w:rPr>
          <w:rFonts w:hint="eastAsia" w:ascii="宋体" w:hAnsi="宋体" w:eastAsia="宋体" w:cs="宋体"/>
          <w:sz w:val="24"/>
          <w:szCs w:val="24"/>
        </w:rPr>
        <w:t>管理部门的日常沟通机制，及时汇报运行、水质、设备和在线监控情况。</w:t>
      </w:r>
    </w:p>
    <w:p w14:paraId="1E69909D">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eastAsia" w:ascii="宋体" w:hAnsi="宋体" w:eastAsia="宋体" w:cs="宋体"/>
          <w:sz w:val="24"/>
          <w:szCs w:val="24"/>
        </w:rPr>
      </w:pPr>
      <w:r>
        <w:rPr>
          <w:rFonts w:hint="eastAsia" w:ascii="宋体" w:hAnsi="宋体" w:eastAsia="宋体" w:cs="宋体"/>
          <w:sz w:val="24"/>
          <w:szCs w:val="24"/>
        </w:rPr>
        <w:t>对</w:t>
      </w:r>
      <w:r>
        <w:rPr>
          <w:rFonts w:hint="eastAsia" w:ascii="宋体" w:hAnsi="宋体" w:cs="宋体"/>
          <w:sz w:val="24"/>
          <w:szCs w:val="24"/>
          <w:lang w:val="en-US" w:eastAsia="zh-CN"/>
        </w:rPr>
        <w:t>院方</w:t>
      </w:r>
      <w:r>
        <w:rPr>
          <w:rFonts w:hint="eastAsia" w:ascii="宋体" w:hAnsi="宋体" w:eastAsia="宋体" w:cs="宋体"/>
          <w:sz w:val="24"/>
          <w:szCs w:val="24"/>
        </w:rPr>
        <w:t>提出的合理服务要求及时响应，明确处理责任人和完成时限。</w:t>
      </w:r>
    </w:p>
    <w:p w14:paraId="6C98F6D3">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eastAsia" w:ascii="宋体" w:hAnsi="宋体" w:eastAsia="宋体" w:cs="宋体"/>
          <w:sz w:val="24"/>
          <w:szCs w:val="24"/>
        </w:rPr>
      </w:pPr>
      <w:r>
        <w:rPr>
          <w:rFonts w:hint="eastAsia" w:ascii="宋体" w:hAnsi="宋体" w:eastAsia="宋体" w:cs="宋体"/>
          <w:sz w:val="24"/>
          <w:szCs w:val="24"/>
        </w:rPr>
        <w:t>一般问题由当班人员立即处理；较大问题由项目负责人协调技术和维修力量处理；重大问题立即启动公司技术支持和应急保障机制。</w:t>
      </w:r>
    </w:p>
    <w:p w14:paraId="24ECC67D">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eastAsia" w:ascii="宋体" w:hAnsi="宋体" w:eastAsia="宋体" w:cs="宋体"/>
          <w:sz w:val="24"/>
          <w:szCs w:val="24"/>
        </w:rPr>
      </w:pPr>
      <w:r>
        <w:rPr>
          <w:rFonts w:hint="eastAsia" w:ascii="宋体" w:hAnsi="宋体" w:eastAsia="宋体" w:cs="宋体"/>
          <w:sz w:val="24"/>
          <w:szCs w:val="24"/>
        </w:rPr>
        <w:t>设备故障、水质异常和在线监控异常应做到及时报告、持续反馈和结果确认。</w:t>
      </w:r>
    </w:p>
    <w:p w14:paraId="4CF6AB85">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eastAsia" w:ascii="宋体" w:hAnsi="宋体" w:eastAsia="宋体" w:cs="宋体"/>
          <w:sz w:val="24"/>
          <w:szCs w:val="24"/>
        </w:rPr>
      </w:pPr>
      <w:r>
        <w:rPr>
          <w:rFonts w:hint="eastAsia" w:ascii="宋体" w:hAnsi="宋体" w:eastAsia="宋体" w:cs="宋体"/>
          <w:sz w:val="24"/>
          <w:szCs w:val="24"/>
        </w:rPr>
        <w:t>定期提交运行分析、设备维护、水质检测和质量改进报告。</w:t>
      </w:r>
    </w:p>
    <w:p w14:paraId="0FFFAA9A">
      <w:pPr>
        <w:keepNext w:val="0"/>
        <w:keepLines w:val="0"/>
        <w:pageBreakBefore w:val="0"/>
        <w:widowControl/>
        <w:numPr>
          <w:ilvl w:val="0"/>
          <w:numId w:val="9"/>
        </w:numPr>
        <w:suppressLineNumbers w:val="0"/>
        <w:tabs>
          <w:tab w:val="clear" w:pos="-420"/>
        </w:tabs>
        <w:kinsoku/>
        <w:wordWrap/>
        <w:overflowPunct/>
        <w:topLinePunct w:val="0"/>
        <w:autoSpaceDE/>
        <w:autoSpaceDN/>
        <w:bidi w:val="0"/>
        <w:adjustRightInd/>
        <w:snapToGrid/>
        <w:spacing w:beforeAutospacing="0" w:afterAutospacing="0" w:line="360" w:lineRule="auto"/>
        <w:ind w:left="720" w:leftChars="0" w:hanging="360" w:firstLineChars="0"/>
        <w:textAlignment w:val="auto"/>
        <w:rPr>
          <w:rFonts w:hint="default" w:ascii="宋体" w:hAnsi="宋体" w:eastAsia="宋体"/>
          <w:b w:val="0"/>
          <w:color w:val="auto"/>
          <w:sz w:val="24"/>
          <w:lang w:val="en-US" w:eastAsia="zh-CN"/>
        </w:rPr>
      </w:pPr>
      <w:r>
        <w:rPr>
          <w:rFonts w:hint="eastAsia" w:ascii="宋体" w:hAnsi="宋体" w:eastAsia="宋体" w:cs="宋体"/>
          <w:sz w:val="24"/>
          <w:szCs w:val="24"/>
        </w:rPr>
        <w:t>对</w:t>
      </w:r>
      <w:r>
        <w:rPr>
          <w:rFonts w:hint="eastAsia" w:ascii="宋体" w:hAnsi="宋体" w:cs="宋体"/>
          <w:sz w:val="24"/>
          <w:szCs w:val="24"/>
          <w:lang w:val="en-US" w:eastAsia="zh-CN"/>
        </w:rPr>
        <w:t>院方</w:t>
      </w:r>
      <w:r>
        <w:rPr>
          <w:rFonts w:hint="eastAsia" w:ascii="宋体" w:hAnsi="宋体" w:eastAsia="宋体" w:cs="宋体"/>
          <w:sz w:val="24"/>
          <w:szCs w:val="24"/>
        </w:rPr>
        <w:t>检查中发现的问题，及时制定整改措施并反馈整改结果。</w:t>
      </w:r>
    </w:p>
    <w:p w14:paraId="5F331D46">
      <w:pPr>
        <w:rPr>
          <w:color w:val="auto"/>
        </w:rPr>
      </w:pPr>
    </w:p>
    <w:p w14:paraId="1A7E4ADF">
      <w:pPr>
        <w:pStyle w:val="5"/>
        <w:numPr>
          <w:ilvl w:val="0"/>
          <w:numId w:val="2"/>
        </w:numPr>
        <w:tabs>
          <w:tab w:val="left" w:pos="840"/>
          <w:tab w:val="clear" w:pos="0"/>
        </w:tabs>
        <w:bidi w:val="0"/>
        <w:ind w:left="425" w:leftChars="0" w:hanging="425" w:firstLineChars="0"/>
        <w:rPr>
          <w:rFonts w:hint="eastAsia" w:ascii="Times New Roman" w:hAnsi="Times New Roman" w:eastAsia="宋体" w:cs="Times New Roman"/>
          <w:b/>
          <w:bCs w:val="0"/>
          <w:kern w:val="2"/>
          <w:sz w:val="30"/>
          <w:szCs w:val="30"/>
          <w:lang w:val="en-US" w:eastAsia="zh-CN" w:bidi="ar-SA"/>
        </w:rPr>
      </w:pPr>
      <w:r>
        <w:rPr>
          <w:rFonts w:hint="eastAsia" w:ascii="Times New Roman" w:hAnsi="Times New Roman" w:eastAsia="宋体" w:cs="Times New Roman"/>
          <w:b/>
          <w:bCs w:val="0"/>
          <w:kern w:val="2"/>
          <w:sz w:val="30"/>
          <w:szCs w:val="30"/>
          <w:lang w:val="en-US" w:eastAsia="zh-CN" w:bidi="ar-SA"/>
        </w:rPr>
        <w:t>服务承诺</w:t>
      </w:r>
    </w:p>
    <w:p w14:paraId="26DA4902">
      <w:pPr>
        <w:numPr>
          <w:ilvl w:val="0"/>
          <w:numId w:val="10"/>
        </w:numPr>
        <w:spacing w:after="120" w:line="360" w:lineRule="auto"/>
        <w:ind w:left="845" w:leftChars="0" w:hanging="425" w:firstLineChars="0"/>
        <w:rPr>
          <w:color w:val="auto"/>
        </w:rPr>
      </w:pPr>
      <w:r>
        <w:rPr>
          <w:rFonts w:ascii="宋体" w:hAnsi="宋体" w:eastAsia="宋体"/>
          <w:b w:val="0"/>
          <w:color w:val="auto"/>
          <w:sz w:val="24"/>
        </w:rPr>
        <w:t>保证按照合同及本实施方案配置项目运维人员，落实24小时值守要求。</w:t>
      </w:r>
    </w:p>
    <w:p w14:paraId="75F2A650">
      <w:pPr>
        <w:numPr>
          <w:ilvl w:val="0"/>
          <w:numId w:val="10"/>
        </w:numPr>
        <w:spacing w:after="120" w:line="360" w:lineRule="auto"/>
        <w:ind w:left="845" w:leftChars="0" w:hanging="425" w:firstLineChars="0"/>
        <w:rPr>
          <w:color w:val="auto"/>
        </w:rPr>
      </w:pPr>
      <w:r>
        <w:rPr>
          <w:rFonts w:ascii="宋体" w:hAnsi="宋体" w:eastAsia="宋体"/>
          <w:b w:val="0"/>
          <w:color w:val="auto"/>
          <w:sz w:val="24"/>
        </w:rPr>
        <w:t>保证按照计划开展污水处理设施运行维护、设备保养、药剂投加和在线监测运营工作。</w:t>
      </w:r>
    </w:p>
    <w:p w14:paraId="349C169A">
      <w:pPr>
        <w:numPr>
          <w:ilvl w:val="0"/>
          <w:numId w:val="10"/>
        </w:numPr>
        <w:spacing w:after="120" w:line="360" w:lineRule="auto"/>
        <w:ind w:left="845" w:leftChars="0" w:hanging="425" w:firstLineChars="0"/>
        <w:rPr>
          <w:color w:val="auto"/>
        </w:rPr>
      </w:pPr>
      <w:r>
        <w:rPr>
          <w:rFonts w:ascii="宋体" w:hAnsi="宋体" w:eastAsia="宋体"/>
          <w:b w:val="0"/>
          <w:color w:val="auto"/>
          <w:sz w:val="24"/>
        </w:rPr>
        <w:t>保证运行记录和检测资料真实、完整、及时归档，做到过程可追溯。</w:t>
      </w:r>
    </w:p>
    <w:p w14:paraId="2584FA45">
      <w:pPr>
        <w:numPr>
          <w:ilvl w:val="0"/>
          <w:numId w:val="10"/>
        </w:numPr>
        <w:spacing w:after="120" w:line="360" w:lineRule="auto"/>
        <w:ind w:left="845" w:leftChars="0" w:hanging="425" w:firstLineChars="0"/>
        <w:rPr>
          <w:color w:val="auto"/>
        </w:rPr>
      </w:pPr>
      <w:r>
        <w:rPr>
          <w:rFonts w:ascii="宋体" w:hAnsi="宋体" w:eastAsia="宋体"/>
          <w:b w:val="0"/>
          <w:color w:val="auto"/>
          <w:sz w:val="24"/>
        </w:rPr>
        <w:t>发生运行异常时及时响应并采取处置措施，重大异常及时向</w:t>
      </w:r>
      <w:r>
        <w:rPr>
          <w:rFonts w:hint="eastAsia" w:ascii="宋体" w:hAnsi="宋体" w:eastAsia="宋体"/>
          <w:b w:val="0"/>
          <w:color w:val="auto"/>
          <w:sz w:val="24"/>
          <w:lang w:eastAsia="zh-CN"/>
        </w:rPr>
        <w:t>院方</w:t>
      </w:r>
      <w:r>
        <w:rPr>
          <w:rFonts w:ascii="宋体" w:hAnsi="宋体" w:eastAsia="宋体"/>
          <w:b w:val="0"/>
          <w:color w:val="auto"/>
          <w:sz w:val="24"/>
        </w:rPr>
        <w:t>报告。</w:t>
      </w:r>
    </w:p>
    <w:p w14:paraId="71D57298">
      <w:pPr>
        <w:numPr>
          <w:ilvl w:val="0"/>
          <w:numId w:val="10"/>
        </w:numPr>
        <w:spacing w:after="120" w:line="360" w:lineRule="auto"/>
        <w:ind w:left="845" w:leftChars="0" w:hanging="425" w:firstLineChars="0"/>
        <w:rPr>
          <w:color w:val="auto"/>
        </w:rPr>
      </w:pPr>
      <w:r>
        <w:rPr>
          <w:rFonts w:ascii="宋体" w:hAnsi="宋体" w:eastAsia="宋体"/>
          <w:b w:val="0"/>
          <w:color w:val="auto"/>
          <w:sz w:val="24"/>
        </w:rPr>
        <w:t>定期对项目运行情况进行分析，结合水量、水质和设备状态向</w:t>
      </w:r>
      <w:r>
        <w:rPr>
          <w:rFonts w:hint="eastAsia" w:ascii="宋体" w:hAnsi="宋体" w:eastAsia="宋体"/>
          <w:b w:val="0"/>
          <w:color w:val="auto"/>
          <w:sz w:val="24"/>
          <w:lang w:eastAsia="zh-CN"/>
        </w:rPr>
        <w:t>院方</w:t>
      </w:r>
      <w:r>
        <w:rPr>
          <w:rFonts w:ascii="宋体" w:hAnsi="宋体" w:eastAsia="宋体"/>
          <w:b w:val="0"/>
          <w:color w:val="auto"/>
          <w:sz w:val="24"/>
        </w:rPr>
        <w:t>提出合理化运行维护建议。</w:t>
      </w:r>
    </w:p>
    <w:p w14:paraId="480A3178">
      <w:pPr>
        <w:numPr>
          <w:ilvl w:val="0"/>
          <w:numId w:val="10"/>
        </w:numPr>
        <w:spacing w:after="120" w:line="360" w:lineRule="auto"/>
        <w:ind w:left="845" w:leftChars="0" w:hanging="425" w:firstLineChars="0"/>
        <w:rPr>
          <w:color w:val="auto"/>
        </w:rPr>
      </w:pPr>
      <w:r>
        <w:rPr>
          <w:rFonts w:ascii="宋体" w:hAnsi="宋体" w:eastAsia="宋体"/>
          <w:b w:val="0"/>
          <w:color w:val="auto"/>
          <w:sz w:val="24"/>
        </w:rPr>
        <w:t>严格遵守</w:t>
      </w:r>
      <w:r>
        <w:rPr>
          <w:rFonts w:hint="eastAsia" w:ascii="宋体" w:hAnsi="宋体" w:eastAsia="宋体"/>
          <w:b w:val="0"/>
          <w:color w:val="auto"/>
          <w:sz w:val="24"/>
          <w:lang w:eastAsia="zh-CN"/>
        </w:rPr>
        <w:t>院方</w:t>
      </w:r>
      <w:r>
        <w:rPr>
          <w:rFonts w:ascii="宋体" w:hAnsi="宋体" w:eastAsia="宋体"/>
          <w:b w:val="0"/>
          <w:color w:val="auto"/>
          <w:sz w:val="24"/>
        </w:rPr>
        <w:t>现场管理、安全管理及环保管理要求。</w:t>
      </w:r>
    </w:p>
    <w:p w14:paraId="5DCDA046">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EB853"/>
    <w:multiLevelType w:val="singleLevel"/>
    <w:tmpl w:val="9E4EB853"/>
    <w:lvl w:ilvl="0" w:tentative="0">
      <w:start w:val="1"/>
      <w:numFmt w:val="decimal"/>
      <w:lvlText w:val="%1."/>
      <w:lvlJc w:val="left"/>
      <w:pPr>
        <w:ind w:left="425" w:hanging="425"/>
      </w:pPr>
      <w:rPr>
        <w:rFonts w:hint="default"/>
      </w:rPr>
    </w:lvl>
  </w:abstractNum>
  <w:abstractNum w:abstractNumId="1">
    <w:nsid w:val="9EBA9167"/>
    <w:multiLevelType w:val="singleLevel"/>
    <w:tmpl w:val="9EBA9167"/>
    <w:lvl w:ilvl="0" w:tentative="0">
      <w:start w:val="1"/>
      <w:numFmt w:val="decimal"/>
      <w:lvlText w:val="%1."/>
      <w:lvlJc w:val="left"/>
      <w:pPr>
        <w:ind w:left="425" w:hanging="425"/>
      </w:pPr>
      <w:rPr>
        <w:rFonts w:hint="default"/>
      </w:rPr>
    </w:lvl>
  </w:abstractNum>
  <w:abstractNum w:abstractNumId="2">
    <w:nsid w:val="A3641650"/>
    <w:multiLevelType w:val="singleLevel"/>
    <w:tmpl w:val="A3641650"/>
    <w:lvl w:ilvl="0" w:tentative="0">
      <w:start w:val="1"/>
      <w:numFmt w:val="decimal"/>
      <w:lvlText w:val="(%1)"/>
      <w:lvlJc w:val="left"/>
      <w:pPr>
        <w:tabs>
          <w:tab w:val="left" w:pos="0"/>
        </w:tabs>
        <w:ind w:left="635" w:hanging="425"/>
      </w:pPr>
      <w:rPr>
        <w:rFonts w:hint="default"/>
        <w:color w:val="auto"/>
      </w:rPr>
    </w:lvl>
  </w:abstractNum>
  <w:abstractNum w:abstractNumId="3">
    <w:nsid w:val="C8B8418F"/>
    <w:multiLevelType w:val="singleLevel"/>
    <w:tmpl w:val="C8B8418F"/>
    <w:lvl w:ilvl="0" w:tentative="0">
      <w:start w:val="1"/>
      <w:numFmt w:val="decimal"/>
      <w:lvlText w:val="(%1)"/>
      <w:lvlJc w:val="left"/>
      <w:pPr>
        <w:tabs>
          <w:tab w:val="left" w:pos="420"/>
        </w:tabs>
        <w:ind w:left="845" w:hanging="425"/>
      </w:pPr>
      <w:rPr>
        <w:rFonts w:hint="default"/>
      </w:rPr>
    </w:lvl>
  </w:abstractNum>
  <w:abstractNum w:abstractNumId="4">
    <w:nsid w:val="D7A1C3AF"/>
    <w:multiLevelType w:val="singleLevel"/>
    <w:tmpl w:val="D7A1C3AF"/>
    <w:lvl w:ilvl="0" w:tentative="0">
      <w:start w:val="1"/>
      <w:numFmt w:val="decimal"/>
      <w:lvlText w:val="(%1)"/>
      <w:lvlJc w:val="left"/>
      <w:pPr>
        <w:tabs>
          <w:tab w:val="left" w:pos="420"/>
        </w:tabs>
        <w:ind w:left="845" w:hanging="425"/>
      </w:pPr>
      <w:rPr>
        <w:rFonts w:hint="default"/>
      </w:rPr>
    </w:lvl>
  </w:abstractNum>
  <w:abstractNum w:abstractNumId="5">
    <w:nsid w:val="00CF5F5E"/>
    <w:multiLevelType w:val="singleLevel"/>
    <w:tmpl w:val="00CF5F5E"/>
    <w:lvl w:ilvl="0" w:tentative="0">
      <w:start w:val="1"/>
      <w:numFmt w:val="decimal"/>
      <w:lvlText w:val="(%1)"/>
      <w:lvlJc w:val="left"/>
      <w:pPr>
        <w:tabs>
          <w:tab w:val="left" w:pos="0"/>
        </w:tabs>
        <w:ind w:left="635" w:hanging="425"/>
      </w:pPr>
      <w:rPr>
        <w:rFonts w:hint="default"/>
        <w:color w:val="auto"/>
      </w:rPr>
    </w:lvl>
  </w:abstractNum>
  <w:abstractNum w:abstractNumId="6">
    <w:nsid w:val="1E13B8EE"/>
    <w:multiLevelType w:val="singleLevel"/>
    <w:tmpl w:val="1E13B8EE"/>
    <w:lvl w:ilvl="0" w:tentative="0">
      <w:start w:val="1"/>
      <w:numFmt w:val="decimal"/>
      <w:lvlText w:val="%1."/>
      <w:lvlJc w:val="left"/>
      <w:pPr>
        <w:tabs>
          <w:tab w:val="left" w:pos="0"/>
        </w:tabs>
        <w:ind w:left="425" w:hanging="425"/>
      </w:pPr>
      <w:rPr>
        <w:rFonts w:hint="default"/>
      </w:rPr>
    </w:lvl>
  </w:abstractNum>
  <w:abstractNum w:abstractNumId="7">
    <w:nsid w:val="483E12E8"/>
    <w:multiLevelType w:val="multilevel"/>
    <w:tmpl w:val="483E12E8"/>
    <w:lvl w:ilvl="0" w:tentative="0">
      <w:start w:val="1"/>
      <w:numFmt w:val="chineseCounting"/>
      <w:lvlText w:val="%1."/>
      <w:lvlJc w:val="left"/>
      <w:pPr>
        <w:ind w:left="432" w:hanging="432"/>
      </w:pPr>
      <w:rPr>
        <w:rFonts w:hint="eastAsia"/>
        <w:b w:val="0"/>
        <w:bCs w:val="0"/>
      </w:rPr>
    </w:lvl>
    <w:lvl w:ilvl="1" w:tentative="0">
      <w:start w:val="1"/>
      <w:numFmt w:val="decimal"/>
      <w:isLgl/>
      <w:lvlText w:val="%1.%2."/>
      <w:lvlJc w:val="left"/>
      <w:pPr>
        <w:ind w:left="575" w:hanging="575"/>
      </w:pPr>
      <w:rPr>
        <w:rFonts w:hint="eastAsia"/>
      </w:rPr>
    </w:lvl>
    <w:lvl w:ilvl="2" w:tentative="0">
      <w:start w:val="1"/>
      <w:numFmt w:val="decimal"/>
      <w:pStyle w:val="4"/>
      <w:isLgl/>
      <w:lvlText w:val="%1.%2.%3."/>
      <w:lvlJc w:val="left"/>
      <w:pPr>
        <w:ind w:left="1356" w:hanging="720"/>
      </w:pPr>
      <w:rPr>
        <w:rFonts w:hint="default"/>
        <w:color w:val="auto"/>
      </w:rPr>
    </w:lvl>
    <w:lvl w:ilvl="3" w:tentative="0">
      <w:start w:val="1"/>
      <w:numFmt w:val="decimal"/>
      <w:pStyle w:val="5"/>
      <w:isLgl/>
      <w:lvlText w:val="%1.%2.%3.%4."/>
      <w:lvlJc w:val="left"/>
      <w:pPr>
        <w:ind w:left="864" w:hanging="864"/>
      </w:pPr>
      <w:rPr>
        <w:rFonts w:hint="default"/>
        <w:color w:val="auto"/>
      </w:rPr>
    </w:lvl>
    <w:lvl w:ilvl="4" w:tentative="0">
      <w:start w:val="1"/>
      <w:numFmt w:val="decimal"/>
      <w:pStyle w:val="6"/>
      <w:isLgl/>
      <w:lvlText w:val="%1.%2.%3.%4.%5."/>
      <w:lvlJc w:val="left"/>
      <w:pPr>
        <w:ind w:left="205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8">
    <w:nsid w:val="580BE51F"/>
    <w:multiLevelType w:val="singleLevel"/>
    <w:tmpl w:val="580BE51F"/>
    <w:lvl w:ilvl="0" w:tentative="0">
      <w:start w:val="1"/>
      <w:numFmt w:val="decimal"/>
      <w:lvlText w:val="(%1)"/>
      <w:lvlJc w:val="left"/>
      <w:pPr>
        <w:tabs>
          <w:tab w:val="left" w:pos="420"/>
        </w:tabs>
        <w:ind w:left="845" w:hanging="425"/>
      </w:pPr>
      <w:rPr>
        <w:rFonts w:hint="default"/>
      </w:rPr>
    </w:lvl>
  </w:abstractNum>
  <w:abstractNum w:abstractNumId="9">
    <w:nsid w:val="5959C174"/>
    <w:multiLevelType w:val="singleLevel"/>
    <w:tmpl w:val="5959C174"/>
    <w:lvl w:ilvl="0" w:tentative="0">
      <w:start w:val="1"/>
      <w:numFmt w:val="decimal"/>
      <w:lvlText w:val="(%1)"/>
      <w:lvlJc w:val="left"/>
      <w:pPr>
        <w:tabs>
          <w:tab w:val="left" w:pos="-420"/>
        </w:tabs>
        <w:ind w:left="5" w:hanging="425"/>
      </w:pPr>
      <w:rPr>
        <w:rFonts w:hint="default"/>
      </w:rPr>
    </w:lvl>
  </w:abstractNum>
  <w:num w:numId="1">
    <w:abstractNumId w:val="7"/>
  </w:num>
  <w:num w:numId="2">
    <w:abstractNumId w:val="6"/>
  </w:num>
  <w:num w:numId="3">
    <w:abstractNumId w:val="8"/>
  </w:num>
  <w:num w:numId="4">
    <w:abstractNumId w:val="3"/>
  </w:num>
  <w:num w:numId="5">
    <w:abstractNumId w:val="5"/>
  </w:num>
  <w:num w:numId="6">
    <w:abstractNumId w:val="1"/>
  </w:num>
  <w:num w:numId="7">
    <w:abstractNumId w:val="0"/>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F0F4D"/>
    <w:rsid w:val="025D2951"/>
    <w:rsid w:val="03C144DE"/>
    <w:rsid w:val="08CC0577"/>
    <w:rsid w:val="0C9462C4"/>
    <w:rsid w:val="106D2640"/>
    <w:rsid w:val="1AFA71C6"/>
    <w:rsid w:val="1B7A20B5"/>
    <w:rsid w:val="20903252"/>
    <w:rsid w:val="235B6BA2"/>
    <w:rsid w:val="28033B5E"/>
    <w:rsid w:val="295E7FDA"/>
    <w:rsid w:val="2F3B1F4A"/>
    <w:rsid w:val="31234F7C"/>
    <w:rsid w:val="37904CE2"/>
    <w:rsid w:val="3C677D0F"/>
    <w:rsid w:val="3F1B7587"/>
    <w:rsid w:val="420101C5"/>
    <w:rsid w:val="4250579A"/>
    <w:rsid w:val="465915C6"/>
    <w:rsid w:val="475573AE"/>
    <w:rsid w:val="496B110B"/>
    <w:rsid w:val="4C372932"/>
    <w:rsid w:val="4FFC2ABD"/>
    <w:rsid w:val="50767BFF"/>
    <w:rsid w:val="572C1045"/>
    <w:rsid w:val="5FBE7D8F"/>
    <w:rsid w:val="610C68D8"/>
    <w:rsid w:val="618943CD"/>
    <w:rsid w:val="628801E0"/>
    <w:rsid w:val="63BF5E84"/>
    <w:rsid w:val="6FEF0F4D"/>
    <w:rsid w:val="78F63C9E"/>
    <w:rsid w:val="793A6280"/>
    <w:rsid w:val="7FC548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32"/>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8"/>
      <w:szCs w:val="26"/>
      <w14:textFill>
        <w14:solidFill>
          <w14:schemeClr w14:val="accent1"/>
        </w14:solidFill>
      </w14:textFill>
    </w:rPr>
  </w:style>
  <w:style w:type="paragraph" w:styleId="4">
    <w:name w:val="heading 3"/>
    <w:basedOn w:val="1"/>
    <w:next w:val="1"/>
    <w:unhideWhenUsed/>
    <w:qFormat/>
    <w:uiPriority w:val="0"/>
    <w:pPr>
      <w:keepNext/>
      <w:keepLines/>
      <w:numPr>
        <w:ilvl w:val="2"/>
        <w:numId w:val="1"/>
      </w:numPr>
      <w:spacing w:before="50" w:beforeLines="50" w:after="50" w:afterLines="50" w:line="413" w:lineRule="auto"/>
      <w:ind w:left="0" w:firstLine="0"/>
      <w:jc w:val="left"/>
      <w:outlineLvl w:val="2"/>
    </w:pPr>
    <w:rPr>
      <w:rFonts w:ascii="Times New Roman" w:hAnsi="Times New Roman" w:eastAsia="宋体"/>
      <w:b/>
      <w:sz w:val="30"/>
      <w:szCs w:val="21"/>
    </w:rPr>
  </w:style>
  <w:style w:type="paragraph" w:styleId="5">
    <w:name w:val="heading 4"/>
    <w:basedOn w:val="1"/>
    <w:next w:val="1"/>
    <w:unhideWhenUsed/>
    <w:qFormat/>
    <w:uiPriority w:val="0"/>
    <w:pPr>
      <w:keepNext/>
      <w:keepLines/>
      <w:numPr>
        <w:ilvl w:val="3"/>
        <w:numId w:val="1"/>
      </w:numPr>
      <w:spacing w:line="360" w:lineRule="auto"/>
      <w:ind w:left="864" w:hanging="864"/>
      <w:outlineLvl w:val="3"/>
    </w:pPr>
    <w:rPr>
      <w:rFonts w:ascii="Times New Roman" w:hAnsi="Times New Roman" w:eastAsia="宋体"/>
      <w:b/>
      <w:bCs/>
      <w:sz w:val="28"/>
      <w:szCs w:val="28"/>
    </w:rPr>
  </w:style>
  <w:style w:type="paragraph" w:styleId="6">
    <w:name w:val="heading 5"/>
    <w:basedOn w:val="1"/>
    <w:next w:val="1"/>
    <w:unhideWhenUsed/>
    <w:qFormat/>
    <w:uiPriority w:val="0"/>
    <w:pPr>
      <w:keepNext/>
      <w:keepLines/>
      <w:numPr>
        <w:ilvl w:val="4"/>
        <w:numId w:val="1"/>
      </w:numPr>
      <w:spacing w:beforeAutospacing="0" w:afterAutospacing="0" w:line="372" w:lineRule="auto"/>
      <w:ind w:left="0" w:firstLine="0"/>
      <w:outlineLvl w:val="4"/>
    </w:pPr>
    <w:rPr>
      <w:rFonts w:ascii="Times New Roman" w:hAnsi="Times New Roman" w:eastAsia="宋体"/>
      <w:b/>
      <w:sz w:val="24"/>
      <w:szCs w:val="21"/>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font81"/>
    <w:basedOn w:val="12"/>
    <w:qFormat/>
    <w:uiPriority w:val="0"/>
    <w:rPr>
      <w:rFonts w:ascii="微软雅黑" w:hAnsi="微软雅黑" w:eastAsia="微软雅黑" w:cs="微软雅黑"/>
      <w:color w:val="000000"/>
      <w:sz w:val="18"/>
      <w:szCs w:val="18"/>
      <w:u w:val="none"/>
    </w:rPr>
  </w:style>
  <w:style w:type="character" w:customStyle="1" w:styleId="15">
    <w:name w:val="font51"/>
    <w:basedOn w:val="12"/>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3172</Words>
  <Characters>3419</Characters>
  <Lines>0</Lines>
  <Paragraphs>0</Paragraphs>
  <TotalTime>54</TotalTime>
  <ScaleCrop>false</ScaleCrop>
  <LinksUpToDate>false</LinksUpToDate>
  <CharactersWithSpaces>3422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2026-09-22T11:38:00Z</dcterms:created>
  <dc:creator>釋空</dc:creator>
  <cp:lastModifiedBy>国斌_2016</cp:lastModifiedBy>
  <dcterms:modified xsi:type="dcterms:W3CDTF">2026-10-19T01:35:18Z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0B132AB999774EB49CA9D431D38254C9_11</vt:lpwstr>
  </property>
  <property fmtid="{D5CDD505-2E9C-101B-9397-08002B2CF9AE}" pid="4" name="KSOTemplateDocerSaveRecord">
    <vt:lpwstr>eyJoZGlkIjoiMzY2MmRlODI1YTcyOGZjNmE0OGEyNTY3ZTI3MWRjYmIiLCJ1c2VySWQiOiIzNjcyODg4MDkifQ==</vt:lpwstr>
  </property>
</Properties>
</file>