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1B3F9">
      <w:pPr>
        <w:keepNext w:val="0"/>
        <w:keepLines w:val="0"/>
        <w:pageBreakBefore w:val="0"/>
        <w:kinsoku/>
        <w:wordWrap w:val="0"/>
        <w:topLinePunct w:val="0"/>
        <w:bidi w:val="0"/>
        <w:snapToGrid/>
        <w:spacing w:after="312" w:line="460" w:lineRule="exact"/>
        <w:ind w:left="0"/>
        <w:jc w:val="right"/>
        <w:rPr>
          <w:rFonts w:hint="eastAsia" w:ascii="宋体" w:hAnsi="宋体" w:cs="宋体"/>
          <w:b/>
          <w:sz w:val="24"/>
          <w:szCs w:val="24"/>
        </w:rPr>
      </w:pPr>
      <w:r>
        <w:rPr>
          <w:rFonts w:hint="eastAsia" w:ascii="宋体" w:hAnsi="宋体" w:cs="宋体"/>
          <w:b/>
          <w:sz w:val="24"/>
          <w:szCs w:val="24"/>
        </w:rPr>
        <w:t>合同编号：</w:t>
      </w:r>
      <w:r>
        <w:rPr>
          <w:rFonts w:hint="eastAsia" w:ascii="宋体" w:hAnsi="宋体" w:cs="宋体"/>
          <w:b/>
          <w:sz w:val="24"/>
          <w:szCs w:val="24"/>
          <w:u w:val="single"/>
        </w:rPr>
        <w:t xml:space="preserve">              </w:t>
      </w:r>
      <w:r>
        <w:rPr>
          <w:rFonts w:hint="eastAsia" w:ascii="宋体" w:hAnsi="宋体" w:cs="宋体"/>
          <w:b/>
          <w:sz w:val="24"/>
          <w:szCs w:val="24"/>
        </w:rPr>
        <w:t>号</w:t>
      </w:r>
    </w:p>
    <w:p w14:paraId="7DE503BB">
      <w:pPr>
        <w:keepNext w:val="0"/>
        <w:keepLines w:val="0"/>
        <w:pageBreakBefore w:val="0"/>
        <w:kinsoku/>
        <w:topLinePunct w:val="0"/>
        <w:bidi w:val="0"/>
        <w:snapToGrid/>
        <w:spacing w:after="312" w:line="460" w:lineRule="exact"/>
        <w:rPr>
          <w:rFonts w:hint="eastAsia" w:ascii="宋体" w:hAnsi="宋体" w:cs="宋体"/>
        </w:rPr>
      </w:pPr>
    </w:p>
    <w:p w14:paraId="4F7FF7C9">
      <w:pPr>
        <w:keepNext w:val="0"/>
        <w:keepLines w:val="0"/>
        <w:pageBreakBefore w:val="0"/>
        <w:kinsoku/>
        <w:topLinePunct w:val="0"/>
        <w:bidi w:val="0"/>
        <w:snapToGrid/>
        <w:spacing w:after="312" w:line="460" w:lineRule="exact"/>
        <w:ind w:left="210" w:leftChars="100"/>
        <w:jc w:val="center"/>
        <w:rPr>
          <w:rFonts w:hint="eastAsia" w:ascii="宋体" w:hAnsi="宋体" w:cs="宋体"/>
          <w:sz w:val="44"/>
          <w:szCs w:val="44"/>
        </w:rPr>
      </w:pPr>
      <w:r>
        <w:rPr>
          <w:rFonts w:hint="eastAsia" w:ascii="宋体" w:hAnsi="宋体" w:cs="宋体"/>
          <w:sz w:val="44"/>
          <w:szCs w:val="44"/>
        </w:rPr>
        <w:t xml:space="preserve"> </w:t>
      </w:r>
      <w:bookmarkStart w:id="5" w:name="_GoBack"/>
      <w:bookmarkEnd w:id="5"/>
    </w:p>
    <w:p w14:paraId="65B42733">
      <w:pPr>
        <w:keepNext w:val="0"/>
        <w:keepLines w:val="0"/>
        <w:pageBreakBefore w:val="0"/>
        <w:kinsoku/>
        <w:topLinePunct w:val="0"/>
        <w:bidi w:val="0"/>
        <w:snapToGrid/>
        <w:spacing w:after="312" w:line="460" w:lineRule="exact"/>
        <w:ind w:left="210" w:leftChars="100"/>
        <w:jc w:val="center"/>
        <w:rPr>
          <w:rFonts w:hint="eastAsia" w:ascii="宋体" w:hAnsi="宋体" w:cs="宋体"/>
          <w:sz w:val="44"/>
          <w:szCs w:val="44"/>
        </w:rPr>
      </w:pPr>
    </w:p>
    <w:p w14:paraId="3ECA315E">
      <w:pPr>
        <w:keepNext w:val="0"/>
        <w:keepLines w:val="0"/>
        <w:pageBreakBefore w:val="0"/>
        <w:kinsoku/>
        <w:topLinePunct w:val="0"/>
        <w:bidi w:val="0"/>
        <w:snapToGrid/>
        <w:spacing w:after="312" w:line="460" w:lineRule="exact"/>
        <w:ind w:left="0"/>
        <w:jc w:val="center"/>
        <w:rPr>
          <w:rFonts w:hint="eastAsia" w:ascii="宋体" w:hAnsi="宋体" w:cs="宋体"/>
          <w:b/>
          <w:bCs/>
          <w:sz w:val="36"/>
        </w:rPr>
      </w:pPr>
      <w:r>
        <w:rPr>
          <w:rFonts w:hint="eastAsia" w:ascii="宋体" w:hAnsi="宋体" w:cs="宋体"/>
          <w:b/>
          <w:bCs/>
          <w:sz w:val="44"/>
          <w:szCs w:val="44"/>
        </w:rPr>
        <w:t>中央空调设备维护保养</w:t>
      </w:r>
      <w:r>
        <w:rPr>
          <w:rFonts w:hint="eastAsia" w:ascii="宋体" w:hAnsi="宋体" w:cs="宋体"/>
          <w:b/>
          <w:bCs/>
          <w:sz w:val="44"/>
          <w:szCs w:val="44"/>
          <w:lang w:eastAsia="zh-CN"/>
        </w:rPr>
        <w:t>及水处理</w:t>
      </w:r>
      <w:r>
        <w:rPr>
          <w:rFonts w:hint="eastAsia" w:ascii="宋体" w:hAnsi="宋体" w:cs="宋体"/>
          <w:b/>
          <w:bCs/>
          <w:sz w:val="44"/>
          <w:szCs w:val="44"/>
        </w:rPr>
        <w:t>服务合同</w:t>
      </w:r>
    </w:p>
    <w:p w14:paraId="11D7BA01">
      <w:pPr>
        <w:keepNext w:val="0"/>
        <w:keepLines w:val="0"/>
        <w:pageBreakBefore w:val="0"/>
        <w:kinsoku/>
        <w:topLinePunct w:val="0"/>
        <w:bidi w:val="0"/>
        <w:snapToGrid/>
        <w:spacing w:after="312" w:line="460" w:lineRule="exact"/>
        <w:rPr>
          <w:rFonts w:hint="eastAsia" w:ascii="宋体" w:hAnsi="宋体" w:cs="宋体"/>
        </w:rPr>
      </w:pPr>
    </w:p>
    <w:p w14:paraId="5C7FC2BF">
      <w:pPr>
        <w:keepNext w:val="0"/>
        <w:keepLines w:val="0"/>
        <w:pageBreakBefore w:val="0"/>
        <w:kinsoku/>
        <w:topLinePunct w:val="0"/>
        <w:bidi w:val="0"/>
        <w:snapToGrid/>
        <w:spacing w:line="460" w:lineRule="exact"/>
        <w:ind w:left="5461" w:hanging="5461" w:hangingChars="1700"/>
        <w:jc w:val="center"/>
        <w:rPr>
          <w:rFonts w:hint="eastAsia" w:ascii="仿宋" w:hAnsi="仿宋" w:eastAsia="仿宋" w:cs="仿宋"/>
          <w:b/>
          <w:kern w:val="0"/>
          <w:sz w:val="24"/>
        </w:rPr>
      </w:pPr>
      <w:r>
        <w:rPr>
          <w:rFonts w:hint="eastAsia" w:ascii="仿宋" w:hAnsi="仿宋" w:eastAsia="仿宋" w:cs="仿宋"/>
          <w:b/>
          <w:kern w:val="0"/>
          <w:sz w:val="32"/>
          <w:szCs w:val="32"/>
        </w:rPr>
        <w:t>项目名称：</w:t>
      </w:r>
      <w:r>
        <w:rPr>
          <w:rFonts w:hint="eastAsia" w:ascii="仿宋" w:hAnsi="仿宋" w:eastAsia="仿宋" w:cs="仿宋"/>
          <w:b/>
          <w:kern w:val="0"/>
          <w:sz w:val="32"/>
          <w:szCs w:val="32"/>
          <w:u w:val="single"/>
        </w:rPr>
        <w:t>龙岗智慧家园项目</w:t>
      </w:r>
    </w:p>
    <w:p w14:paraId="364A2FED">
      <w:pPr>
        <w:keepNext w:val="0"/>
        <w:keepLines w:val="0"/>
        <w:pageBreakBefore w:val="0"/>
        <w:kinsoku/>
        <w:topLinePunct w:val="0"/>
        <w:bidi w:val="0"/>
        <w:snapToGrid/>
        <w:spacing w:after="312" w:line="460" w:lineRule="exact"/>
        <w:ind w:left="0"/>
        <w:rPr>
          <w:rFonts w:hint="eastAsia" w:ascii="宋体" w:hAnsi="宋体" w:cs="宋体"/>
        </w:rPr>
      </w:pPr>
    </w:p>
    <w:p w14:paraId="233E4C0F">
      <w:pPr>
        <w:keepNext w:val="0"/>
        <w:keepLines w:val="0"/>
        <w:pageBreakBefore w:val="0"/>
        <w:tabs>
          <w:tab w:val="left" w:pos="6263"/>
        </w:tabs>
        <w:kinsoku/>
        <w:topLinePunct w:val="0"/>
        <w:bidi w:val="0"/>
        <w:snapToGrid/>
        <w:spacing w:after="312" w:line="460" w:lineRule="exact"/>
        <w:rPr>
          <w:rFonts w:hint="eastAsia" w:ascii="宋体" w:hAnsi="宋体" w:cs="宋体"/>
        </w:rPr>
      </w:pPr>
      <w:r>
        <w:rPr>
          <w:rFonts w:hint="eastAsia" w:ascii="宋体" w:hAnsi="宋体" w:cs="宋体"/>
        </w:rPr>
        <w:tab/>
      </w:r>
    </w:p>
    <w:p w14:paraId="7A00891F">
      <w:pPr>
        <w:keepNext w:val="0"/>
        <w:keepLines w:val="0"/>
        <w:pageBreakBefore w:val="0"/>
        <w:kinsoku/>
        <w:topLinePunct w:val="0"/>
        <w:bidi w:val="0"/>
        <w:snapToGrid/>
        <w:spacing w:after="312" w:line="460" w:lineRule="exact"/>
        <w:rPr>
          <w:rFonts w:hint="eastAsia" w:ascii="宋体" w:hAnsi="宋体" w:cs="宋体"/>
        </w:rPr>
      </w:pPr>
    </w:p>
    <w:p w14:paraId="730FA2EA">
      <w:pPr>
        <w:keepNext w:val="0"/>
        <w:keepLines w:val="0"/>
        <w:pageBreakBefore w:val="0"/>
        <w:kinsoku/>
        <w:topLinePunct w:val="0"/>
        <w:bidi w:val="0"/>
        <w:snapToGrid/>
        <w:spacing w:after="312" w:line="460" w:lineRule="exact"/>
        <w:rPr>
          <w:rFonts w:hint="eastAsia" w:ascii="宋体" w:hAnsi="宋体" w:cs="宋体"/>
        </w:rPr>
      </w:pPr>
    </w:p>
    <w:p w14:paraId="1663D92E">
      <w:pPr>
        <w:keepNext w:val="0"/>
        <w:keepLines w:val="0"/>
        <w:pageBreakBefore w:val="0"/>
        <w:kinsoku/>
        <w:topLinePunct w:val="0"/>
        <w:bidi w:val="0"/>
        <w:snapToGrid/>
        <w:spacing w:after="312" w:line="460" w:lineRule="exact"/>
        <w:ind w:left="1117" w:leftChars="532" w:firstLine="0" w:firstLineChars="0"/>
        <w:rPr>
          <w:rFonts w:hint="eastAsia" w:ascii="宋体" w:hAnsi="宋体" w:cs="宋体"/>
          <w:b/>
          <w:bCs/>
          <w:sz w:val="28"/>
          <w:szCs w:val="28"/>
        </w:rPr>
      </w:pPr>
      <w:r>
        <w:rPr>
          <w:rFonts w:hint="eastAsia" w:ascii="宋体" w:hAnsi="宋体" w:cs="宋体"/>
          <w:b/>
          <w:bCs/>
          <w:sz w:val="28"/>
          <w:szCs w:val="28"/>
        </w:rPr>
        <w:t>甲方：</w:t>
      </w:r>
      <w:r>
        <w:rPr>
          <w:rFonts w:hint="eastAsia" w:asciiTheme="minorEastAsia" w:hAnsiTheme="minorEastAsia" w:cstheme="minorEastAsia"/>
          <w:b/>
          <w:bCs/>
          <w:kern w:val="0"/>
          <w:sz w:val="28"/>
          <w:szCs w:val="28"/>
          <w:u w:val="single"/>
        </w:rPr>
        <w:t>深圳市</w:t>
      </w:r>
      <w:r>
        <w:rPr>
          <w:rFonts w:hint="eastAsia" w:asciiTheme="minorEastAsia" w:hAnsiTheme="minorEastAsia" w:cstheme="minorEastAsia"/>
          <w:b/>
          <w:bCs/>
          <w:kern w:val="0"/>
          <w:sz w:val="28"/>
          <w:szCs w:val="28"/>
          <w:u w:val="single"/>
          <w:lang w:eastAsia="zh-CN"/>
        </w:rPr>
        <w:t>湾东物业服务有限公司</w:t>
      </w:r>
      <w:r>
        <w:rPr>
          <w:rFonts w:hint="eastAsia" w:ascii="宋体" w:hAnsi="宋体" w:cs="宋体"/>
          <w:b/>
          <w:bCs/>
          <w:sz w:val="28"/>
          <w:szCs w:val="28"/>
          <w:u w:val="none"/>
        </w:rPr>
        <w:t xml:space="preserve"> </w:t>
      </w:r>
      <w:r>
        <w:rPr>
          <w:rFonts w:hint="eastAsia" w:ascii="宋体" w:hAnsi="宋体" w:cs="宋体"/>
          <w:b/>
          <w:bCs/>
          <w:sz w:val="28"/>
          <w:szCs w:val="28"/>
        </w:rPr>
        <w:t xml:space="preserve">  </w:t>
      </w:r>
      <w:r>
        <w:rPr>
          <w:rFonts w:ascii="宋体" w:hAnsi="宋体" w:cs="宋体"/>
          <w:b/>
          <w:bCs/>
          <w:sz w:val="28"/>
          <w:szCs w:val="28"/>
        </w:rPr>
        <w:t xml:space="preserve">       </w:t>
      </w:r>
      <w:r>
        <w:rPr>
          <w:rFonts w:hint="eastAsia" w:ascii="宋体" w:hAnsi="宋体" w:cs="宋体"/>
          <w:b/>
          <w:bCs/>
          <w:sz w:val="28"/>
          <w:szCs w:val="28"/>
        </w:rPr>
        <w:t xml:space="preserve"> </w:t>
      </w:r>
    </w:p>
    <w:p w14:paraId="70F0257A">
      <w:pPr>
        <w:keepNext w:val="0"/>
        <w:keepLines w:val="0"/>
        <w:pageBreakBefore w:val="0"/>
        <w:kinsoku/>
        <w:topLinePunct w:val="0"/>
        <w:bidi w:val="0"/>
        <w:snapToGrid/>
        <w:spacing w:after="312" w:line="460" w:lineRule="exact"/>
        <w:ind w:left="1117" w:leftChars="532" w:firstLine="0" w:firstLineChars="0"/>
        <w:rPr>
          <w:rFonts w:hint="eastAsia" w:ascii="宋体" w:hAnsi="宋体" w:cs="宋体"/>
          <w:b/>
          <w:bCs/>
          <w:sz w:val="28"/>
          <w:szCs w:val="28"/>
          <w:u w:val="single"/>
        </w:rPr>
      </w:pPr>
      <w:r>
        <w:rPr>
          <w:rFonts w:hint="eastAsia" w:ascii="宋体" w:hAnsi="宋体" w:cs="宋体"/>
          <w:b/>
          <w:bCs/>
          <w:sz w:val="28"/>
          <w:szCs w:val="28"/>
        </w:rPr>
        <w:t>乙方：</w:t>
      </w:r>
      <w:r>
        <w:rPr>
          <w:rFonts w:hint="eastAsia" w:ascii="仿宋" w:hAnsi="仿宋" w:eastAsia="仿宋" w:cs="仿宋"/>
          <w:b/>
          <w:bCs/>
          <w:kern w:val="0"/>
          <w:sz w:val="28"/>
          <w:szCs w:val="28"/>
          <w:highlight w:val="none"/>
          <w:u w:val="single"/>
        </w:rPr>
        <w:t xml:space="preserve">                         </w:t>
      </w:r>
      <w:r>
        <w:rPr>
          <w:rFonts w:hint="eastAsia" w:ascii="宋体" w:hAnsi="宋体" w:cs="宋体"/>
          <w:b/>
          <w:bCs/>
          <w:sz w:val="28"/>
          <w:szCs w:val="28"/>
          <w:u w:val="single"/>
        </w:rPr>
        <w:t xml:space="preserve"> </w:t>
      </w:r>
      <w:r>
        <w:rPr>
          <w:rFonts w:hint="eastAsia" w:ascii="宋体" w:hAnsi="宋体" w:cs="宋体"/>
          <w:b/>
          <w:bCs/>
          <w:sz w:val="28"/>
          <w:szCs w:val="28"/>
          <w:u w:val="none"/>
        </w:rPr>
        <w:t xml:space="preserve">  </w:t>
      </w:r>
      <w:r>
        <w:rPr>
          <w:rFonts w:hint="eastAsia" w:ascii="宋体" w:hAnsi="宋体" w:cs="宋体"/>
          <w:b/>
          <w:bCs/>
          <w:sz w:val="28"/>
          <w:szCs w:val="28"/>
          <w:u w:val="single"/>
        </w:rPr>
        <w:t xml:space="preserve">     </w:t>
      </w:r>
      <w:r>
        <w:rPr>
          <w:rFonts w:hint="eastAsia" w:ascii="宋体" w:hAnsi="宋体" w:cs="宋体"/>
          <w:b/>
          <w:bCs/>
          <w:sz w:val="28"/>
          <w:szCs w:val="28"/>
        </w:rPr>
        <w:t xml:space="preserve"> </w:t>
      </w:r>
      <w:r>
        <w:rPr>
          <w:rFonts w:hint="eastAsia" w:ascii="宋体" w:hAnsi="宋体" w:cs="宋体"/>
          <w:b/>
          <w:bCs/>
          <w:sz w:val="28"/>
          <w:szCs w:val="28"/>
          <w:u w:val="single"/>
        </w:rPr>
        <w:t xml:space="preserve">    </w:t>
      </w:r>
    </w:p>
    <w:p w14:paraId="4DFC2FBC">
      <w:pPr>
        <w:keepNext w:val="0"/>
        <w:keepLines w:val="0"/>
        <w:pageBreakBefore w:val="0"/>
        <w:kinsoku/>
        <w:topLinePunct w:val="0"/>
        <w:bidi w:val="0"/>
        <w:snapToGrid/>
        <w:spacing w:after="312" w:line="460" w:lineRule="exact"/>
        <w:ind w:left="0"/>
        <w:jc w:val="center"/>
        <w:rPr>
          <w:rFonts w:hint="default" w:ascii="宋体" w:hAnsi="宋体" w:eastAsia="宋体" w:cs="宋体"/>
          <w:b/>
          <w:bCs/>
          <w:sz w:val="28"/>
          <w:szCs w:val="28"/>
          <w:lang w:val="en-US" w:eastAsia="zh-CN"/>
        </w:rPr>
      </w:pPr>
      <w:r>
        <w:rPr>
          <w:rFonts w:hint="eastAsia" w:ascii="宋体" w:hAnsi="宋体" w:cs="宋体"/>
          <w:b/>
          <w:bCs/>
          <w:sz w:val="28"/>
          <w:szCs w:val="28"/>
        </w:rPr>
        <w:t>签订日期：</w:t>
      </w:r>
      <w:r>
        <w:rPr>
          <w:rFonts w:ascii="宋体" w:hAnsi="宋体" w:cs="宋体"/>
          <w:b/>
          <w:bCs/>
          <w:sz w:val="28"/>
          <w:szCs w:val="28"/>
        </w:rPr>
        <w:t>202</w:t>
      </w:r>
      <w:r>
        <w:rPr>
          <w:rFonts w:hint="eastAsia" w:ascii="宋体" w:hAnsi="宋体" w:cs="宋体"/>
          <w:b/>
          <w:bCs/>
          <w:sz w:val="28"/>
          <w:szCs w:val="28"/>
          <w:lang w:val="en-US" w:eastAsia="zh-CN"/>
        </w:rPr>
        <w:t>6</w:t>
      </w:r>
      <w:r>
        <w:rPr>
          <w:rFonts w:hint="eastAsia" w:ascii="宋体" w:hAnsi="宋体" w:cs="宋体"/>
          <w:b/>
          <w:bCs/>
          <w:sz w:val="28"/>
          <w:szCs w:val="28"/>
        </w:rPr>
        <w:t>年</w:t>
      </w:r>
      <w:r>
        <w:rPr>
          <w:rFonts w:ascii="宋体" w:hAnsi="宋体" w:cs="宋体"/>
          <w:b/>
          <w:bCs/>
          <w:sz w:val="28"/>
          <w:szCs w:val="28"/>
        </w:rPr>
        <w:t xml:space="preserve">  </w:t>
      </w:r>
      <w:r>
        <w:rPr>
          <w:rFonts w:hint="eastAsia" w:ascii="宋体" w:hAnsi="宋体" w:cs="宋体"/>
          <w:b/>
          <w:bCs/>
          <w:sz w:val="28"/>
          <w:szCs w:val="28"/>
        </w:rPr>
        <w:t>月</w:t>
      </w:r>
      <w:r>
        <w:rPr>
          <w:rFonts w:hint="eastAsia" w:ascii="宋体" w:hAnsi="宋体" w:cs="宋体"/>
          <w:b/>
          <w:bCs/>
          <w:sz w:val="28"/>
          <w:szCs w:val="28"/>
          <w:lang w:val="en-US" w:eastAsia="zh-CN"/>
        </w:rPr>
        <w:t xml:space="preserve">  日</w:t>
      </w:r>
    </w:p>
    <w:p w14:paraId="13A98662">
      <w:pPr>
        <w:keepNext w:val="0"/>
        <w:keepLines w:val="0"/>
        <w:pageBreakBefore w:val="0"/>
        <w:widowControl/>
        <w:kinsoku/>
        <w:topLinePunct w:val="0"/>
        <w:bidi w:val="0"/>
        <w:snapToGrid/>
        <w:spacing w:after="0" w:line="460" w:lineRule="exact"/>
        <w:ind w:left="0" w:firstLine="480" w:firstLineChars="200"/>
        <w:jc w:val="left"/>
        <w:rPr>
          <w:rFonts w:hint="eastAsia" w:ascii="宋体" w:hAnsi="宋体" w:cs="宋体"/>
          <w:sz w:val="24"/>
          <w:szCs w:val="24"/>
        </w:rPr>
        <w:sectPr>
          <w:headerReference r:id="rId5" w:type="default"/>
          <w:footerReference r:id="rId6" w:type="default"/>
          <w:pgSz w:w="11906" w:h="16838"/>
          <w:pgMar w:top="1440" w:right="1800" w:bottom="1440" w:left="1800" w:header="851" w:footer="562" w:gutter="0"/>
          <w:pgNumType w:fmt="numberInDash" w:start="1"/>
          <w:cols w:space="720" w:num="1"/>
          <w:docGrid w:type="lines" w:linePitch="312" w:charSpace="0"/>
        </w:sectPr>
      </w:pPr>
    </w:p>
    <w:p w14:paraId="60F4FBA5">
      <w:pPr>
        <w:keepNext w:val="0"/>
        <w:keepLines w:val="0"/>
        <w:pageBreakBefore w:val="0"/>
        <w:kinsoku/>
        <w:topLinePunct w:val="0"/>
        <w:bidi w:val="0"/>
        <w:snapToGrid/>
        <w:spacing w:before="312" w:beforeLines="100" w:after="312" w:afterLines="100" w:line="460" w:lineRule="exact"/>
        <w:ind w:left="0" w:firstLine="643" w:firstLineChars="200"/>
        <w:jc w:val="center"/>
        <w:rPr>
          <w:rFonts w:hint="eastAsia" w:ascii="仿宋" w:hAnsi="仿宋" w:eastAsia="仿宋" w:cs="仿宋"/>
          <w:b/>
          <w:bCs/>
          <w:sz w:val="32"/>
          <w:szCs w:val="32"/>
        </w:rPr>
      </w:pPr>
      <w:r>
        <w:rPr>
          <w:rFonts w:hint="eastAsia" w:ascii="仿宋" w:hAnsi="仿宋" w:eastAsia="仿宋" w:cs="仿宋"/>
          <w:b/>
          <w:bCs/>
          <w:sz w:val="32"/>
          <w:szCs w:val="32"/>
        </w:rPr>
        <w:t>中央空调设备维护保养</w:t>
      </w:r>
      <w:r>
        <w:rPr>
          <w:rFonts w:hint="eastAsia" w:ascii="仿宋" w:hAnsi="仿宋" w:eastAsia="仿宋" w:cs="仿宋"/>
          <w:b/>
          <w:bCs/>
          <w:sz w:val="32"/>
          <w:szCs w:val="32"/>
          <w:lang w:eastAsia="zh-CN"/>
        </w:rPr>
        <w:t>及水处理</w:t>
      </w:r>
      <w:r>
        <w:rPr>
          <w:rFonts w:hint="eastAsia" w:ascii="仿宋" w:hAnsi="仿宋" w:eastAsia="仿宋" w:cs="仿宋"/>
          <w:b/>
          <w:bCs/>
          <w:sz w:val="32"/>
          <w:szCs w:val="32"/>
        </w:rPr>
        <w:t>服务合同</w:t>
      </w:r>
    </w:p>
    <w:p w14:paraId="48D9439F">
      <w:pPr>
        <w:keepNext w:val="0"/>
        <w:keepLines w:val="0"/>
        <w:pageBreakBefore w:val="0"/>
        <w:kinsoku/>
        <w:topLinePunct w:val="0"/>
        <w:bidi w:val="0"/>
        <w:snapToGrid/>
        <w:spacing w:after="0" w:line="460" w:lineRule="exact"/>
        <w:ind w:left="0" w:firstLine="482" w:firstLineChars="200"/>
        <w:rPr>
          <w:rFonts w:hint="eastAsia" w:ascii="仿宋" w:hAnsi="仿宋" w:eastAsia="仿宋" w:cs="仿宋"/>
          <w:b/>
          <w:bCs/>
          <w:color w:val="000000" w:themeColor="text1"/>
          <w:sz w:val="24"/>
          <w:szCs w:val="24"/>
          <w:u w:val="single"/>
          <w14:textFill>
            <w14:solidFill>
              <w14:schemeClr w14:val="tx1"/>
            </w14:solidFill>
          </w14:textFill>
        </w:rPr>
      </w:pPr>
      <w:r>
        <w:rPr>
          <w:rFonts w:hint="eastAsia" w:ascii="仿宋" w:hAnsi="仿宋" w:eastAsia="仿宋" w:cs="仿宋"/>
          <w:b/>
          <w:bCs/>
          <w:sz w:val="24"/>
          <w:szCs w:val="24"/>
        </w:rPr>
        <w:t>甲方（委托方）：</w:t>
      </w:r>
      <w:r>
        <w:rPr>
          <w:rFonts w:ascii="Times New Roman" w:hAnsi="Times New Roman" w:eastAsia="仿宋"/>
          <w:b w:val="0"/>
          <w:sz w:val="24"/>
          <w:u w:val="single"/>
        </w:rPr>
        <w:t>深圳市湾东物业服务有限公司</w:t>
      </w:r>
    </w:p>
    <w:p w14:paraId="18D9BF65">
      <w:pPr>
        <w:keepNext w:val="0"/>
        <w:keepLines w:val="0"/>
        <w:pageBreakBefore w:val="0"/>
        <w:kinsoku/>
        <w:topLinePunct w:val="0"/>
        <w:bidi w:val="0"/>
        <w:snapToGrid/>
        <w:spacing w:after="0" w:line="460" w:lineRule="exact"/>
        <w:ind w:left="0" w:firstLine="482" w:firstLineChars="200"/>
        <w:rPr>
          <w:rFonts w:hint="default" w:ascii="仿宋" w:hAnsi="仿宋" w:eastAsia="仿宋" w:cs="仿宋"/>
          <w:b/>
          <w:bCs/>
          <w:color w:val="auto"/>
          <w:sz w:val="24"/>
          <w:szCs w:val="24"/>
          <w:u w:val="none"/>
          <w:lang w:val="en-US" w:eastAsia="zh-CN"/>
        </w:rPr>
      </w:pPr>
      <w:r>
        <w:rPr>
          <w:rFonts w:hint="eastAsia" w:ascii="仿宋" w:hAnsi="仿宋" w:eastAsia="仿宋" w:cs="仿宋"/>
          <w:b/>
          <w:bCs/>
          <w:sz w:val="24"/>
          <w:szCs w:val="24"/>
        </w:rPr>
        <w:t>乙方（受托方）：</w:t>
      </w:r>
      <w:r>
        <w:rPr>
          <w:rFonts w:hint="eastAsia" w:ascii="仿宋" w:hAnsi="仿宋" w:eastAsia="仿宋" w:cs="仿宋"/>
          <w:b/>
          <w:bCs/>
          <w:sz w:val="24"/>
          <w:szCs w:val="24"/>
          <w:u w:val="none"/>
          <w:lang w:val="en-US" w:eastAsia="zh-CN"/>
        </w:rPr>
        <w:t xml:space="preserve">                          </w:t>
      </w:r>
    </w:p>
    <w:p w14:paraId="36131664">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为了保障甲方所管辖区域范围内的中央空调机组的正常、高效运行，由乙方承包甲方中央空调设备维护保养</w:t>
      </w:r>
      <w:r>
        <w:rPr>
          <w:rFonts w:hint="eastAsia" w:ascii="仿宋" w:hAnsi="仿宋" w:eastAsia="仿宋" w:cs="仿宋"/>
          <w:sz w:val="24"/>
          <w:szCs w:val="24"/>
          <w:lang w:val="en-US" w:eastAsia="zh-CN"/>
        </w:rPr>
        <w:t>及水处理</w:t>
      </w:r>
      <w:r>
        <w:rPr>
          <w:rFonts w:hint="eastAsia" w:ascii="仿宋" w:hAnsi="仿宋" w:eastAsia="仿宋" w:cs="仿宋"/>
          <w:sz w:val="24"/>
          <w:szCs w:val="24"/>
        </w:rPr>
        <w:t>服务。根据《中华人民共和国民法典》及相关法律、法规、规章及有关政策，本着平等、自愿的原则，甲、乙双方经友好协商签订本合同，以资共同遵守。</w:t>
      </w:r>
    </w:p>
    <w:p w14:paraId="1CFEFBCC">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第一条   基本情况</w:t>
      </w:r>
    </w:p>
    <w:p w14:paraId="0B346DE7">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1.项目名称：智慧家园项目中央空调设备维护保养服务及中央空调水处理服务</w:t>
      </w:r>
    </w:p>
    <w:p w14:paraId="4F4B32D0">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2.项目地点：</w:t>
      </w:r>
      <w:r>
        <w:rPr>
          <w:rFonts w:hint="eastAsia" w:ascii="仿宋" w:hAnsi="仿宋" w:eastAsia="仿宋" w:cs="仿宋"/>
          <w:sz w:val="24"/>
          <w:szCs w:val="24"/>
        </w:rPr>
        <w:t>深圳市龙岗区宝龙街道宝荷大道76号龙岗智慧家园</w:t>
      </w:r>
    </w:p>
    <w:p w14:paraId="12CF1B5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.机组</w:t>
      </w:r>
      <w:r>
        <w:rPr>
          <w:rFonts w:hint="eastAsia" w:ascii="仿宋" w:hAnsi="仿宋" w:eastAsia="仿宋" w:cs="仿宋"/>
          <w:sz w:val="24"/>
          <w:szCs w:val="24"/>
          <w:lang w:val="en-US" w:eastAsia="zh-CN"/>
        </w:rPr>
        <w:t>具体</w:t>
      </w:r>
      <w:r>
        <w:rPr>
          <w:rFonts w:hint="eastAsia" w:ascii="仿宋" w:hAnsi="仿宋" w:eastAsia="仿宋" w:cs="仿宋"/>
          <w:sz w:val="24"/>
          <w:szCs w:val="24"/>
        </w:rPr>
        <w:t>所在地点及设备型号详见本合同附件一《设备清单》。</w:t>
      </w:r>
    </w:p>
    <w:p w14:paraId="4EE7756B">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第二条  费用及付款方式</w:t>
      </w:r>
    </w:p>
    <w:p w14:paraId="2235B7D8">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1．本合同</w:t>
      </w:r>
      <w:r>
        <w:rPr>
          <w:rFonts w:hint="eastAsia" w:ascii="仿宋" w:hAnsi="仿宋" w:eastAsia="仿宋" w:cs="仿宋"/>
          <w:sz w:val="24"/>
          <w:szCs w:val="24"/>
          <w:lang w:val="en-US" w:eastAsia="zh-CN"/>
        </w:rPr>
        <w:t>含税总金额为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w:t>
      </w:r>
      <w:r>
        <w:rPr>
          <w:rFonts w:hint="eastAsia" w:ascii="仿宋" w:hAnsi="仿宋" w:eastAsia="仿宋" w:cs="仿宋"/>
          <w:sz w:val="24"/>
          <w:szCs w:val="24"/>
        </w:rPr>
        <w:t>服务分为【中央空调设备维护保养服务】、【中央空调水处理服务】</w:t>
      </w:r>
      <w:r>
        <w:rPr>
          <w:rFonts w:hint="eastAsia" w:ascii="仿宋" w:hAnsi="仿宋" w:eastAsia="仿宋" w:cs="仿宋"/>
          <w:sz w:val="24"/>
          <w:szCs w:val="24"/>
          <w:lang w:eastAsia="zh-CN"/>
        </w:rPr>
        <w:t>、【压力容器特种设备纳管登记服务】</w:t>
      </w:r>
      <w:r>
        <w:rPr>
          <w:rFonts w:hint="eastAsia" w:ascii="仿宋" w:hAnsi="仿宋" w:eastAsia="仿宋" w:cs="仿宋"/>
          <w:sz w:val="24"/>
          <w:szCs w:val="24"/>
        </w:rPr>
        <w:t>，费用分开核算：</w:t>
      </w:r>
    </w:p>
    <w:p w14:paraId="18120A88">
      <w:pPr>
        <w:keepNext w:val="0"/>
        <w:keepLines w:val="0"/>
        <w:pageBreakBefore w:val="0"/>
        <w:widowControl/>
        <w:kinsoku/>
        <w:topLinePunct w:val="0"/>
        <w:bidi w:val="0"/>
        <w:snapToGrid/>
        <w:spacing w:after="0" w:line="460" w:lineRule="exact"/>
        <w:ind w:left="0"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（1）中央空调设备维护保养费用</w:t>
      </w:r>
    </w:p>
    <w:tbl>
      <w:tblPr>
        <w:tblStyle w:val="16"/>
        <w:tblW w:w="7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891"/>
        <w:gridCol w:w="844"/>
        <w:gridCol w:w="2216"/>
        <w:gridCol w:w="1815"/>
      </w:tblGrid>
      <w:tr w14:paraId="3989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85" w:type="dxa"/>
            <w:vAlign w:val="center"/>
          </w:tcPr>
          <w:p w14:paraId="10FD0F49">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序号</w:t>
            </w:r>
          </w:p>
        </w:tc>
        <w:tc>
          <w:tcPr>
            <w:tcW w:w="1891" w:type="dxa"/>
            <w:vAlign w:val="center"/>
          </w:tcPr>
          <w:p w14:paraId="7D5C3EFB">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设备名称</w:t>
            </w:r>
          </w:p>
        </w:tc>
        <w:tc>
          <w:tcPr>
            <w:tcW w:w="844" w:type="dxa"/>
            <w:vAlign w:val="center"/>
          </w:tcPr>
          <w:p w14:paraId="183B3CA5">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rPr>
              <w:t>数量</w:t>
            </w:r>
          </w:p>
        </w:tc>
        <w:tc>
          <w:tcPr>
            <w:tcW w:w="2216" w:type="dxa"/>
            <w:vAlign w:val="center"/>
          </w:tcPr>
          <w:p w14:paraId="5D7AC5BC">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单价</w:t>
            </w:r>
          </w:p>
          <w:p w14:paraId="41D736FB">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（元/台/年）</w:t>
            </w:r>
          </w:p>
        </w:tc>
        <w:tc>
          <w:tcPr>
            <w:tcW w:w="1815" w:type="dxa"/>
            <w:vAlign w:val="center"/>
          </w:tcPr>
          <w:p w14:paraId="46470ECB">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总价</w:t>
            </w:r>
          </w:p>
          <w:p w14:paraId="515BE86B">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（元/年）</w:t>
            </w:r>
          </w:p>
        </w:tc>
      </w:tr>
      <w:tr w14:paraId="145C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5" w:type="dxa"/>
            <w:vAlign w:val="center"/>
          </w:tcPr>
          <w:p w14:paraId="70C03220">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1</w:t>
            </w:r>
          </w:p>
        </w:tc>
        <w:tc>
          <w:tcPr>
            <w:tcW w:w="1891" w:type="dxa"/>
            <w:vAlign w:val="center"/>
          </w:tcPr>
          <w:p w14:paraId="44F44D06">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螺杆机</w:t>
            </w:r>
            <w:r>
              <w:rPr>
                <w:rFonts w:ascii="Times New Roman" w:hAnsi="Times New Roman" w:eastAsia="仿宋"/>
                <w:b w:val="0"/>
                <w:sz w:val="21"/>
              </w:rPr>
              <w:t>（1162kW）</w:t>
            </w:r>
          </w:p>
        </w:tc>
        <w:tc>
          <w:tcPr>
            <w:tcW w:w="844" w:type="dxa"/>
            <w:vAlign w:val="center"/>
          </w:tcPr>
          <w:p w14:paraId="08D356C3">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1</w:t>
            </w:r>
          </w:p>
        </w:tc>
        <w:tc>
          <w:tcPr>
            <w:tcW w:w="2216" w:type="dxa"/>
            <w:vAlign w:val="center"/>
          </w:tcPr>
          <w:p w14:paraId="1A338820">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66C8EA04">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47AF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5" w:type="dxa"/>
            <w:vAlign w:val="center"/>
          </w:tcPr>
          <w:p w14:paraId="00213AB0">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2</w:t>
            </w:r>
          </w:p>
        </w:tc>
        <w:tc>
          <w:tcPr>
            <w:tcW w:w="1891" w:type="dxa"/>
            <w:vAlign w:val="center"/>
          </w:tcPr>
          <w:p w14:paraId="5F4647A4">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离心机</w:t>
            </w:r>
            <w:r>
              <w:rPr>
                <w:rFonts w:ascii="Times New Roman" w:hAnsi="Times New Roman" w:eastAsia="仿宋"/>
                <w:b w:val="0"/>
                <w:sz w:val="21"/>
              </w:rPr>
              <w:t>（</w:t>
            </w:r>
            <w:r>
              <w:rPr>
                <w:rFonts w:hint="eastAsia" w:ascii="Times New Roman" w:hAnsi="Times New Roman" w:eastAsia="仿宋"/>
                <w:b w:val="0"/>
                <w:sz w:val="21"/>
                <w:lang w:val="en-US" w:eastAsia="zh-CN"/>
              </w:rPr>
              <w:t>2110</w:t>
            </w:r>
            <w:r>
              <w:rPr>
                <w:rFonts w:ascii="Times New Roman" w:hAnsi="Times New Roman" w:eastAsia="仿宋"/>
                <w:b w:val="0"/>
                <w:sz w:val="21"/>
              </w:rPr>
              <w:t>kW）</w:t>
            </w:r>
          </w:p>
        </w:tc>
        <w:tc>
          <w:tcPr>
            <w:tcW w:w="844" w:type="dxa"/>
            <w:vAlign w:val="center"/>
          </w:tcPr>
          <w:p w14:paraId="1A5E5C5D">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2</w:t>
            </w:r>
          </w:p>
        </w:tc>
        <w:tc>
          <w:tcPr>
            <w:tcW w:w="2216" w:type="dxa"/>
            <w:vAlign w:val="center"/>
          </w:tcPr>
          <w:p w14:paraId="64061868">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5D4670E2">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5F645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5" w:type="dxa"/>
            <w:vAlign w:val="center"/>
          </w:tcPr>
          <w:p w14:paraId="51603F92">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3</w:t>
            </w:r>
          </w:p>
        </w:tc>
        <w:tc>
          <w:tcPr>
            <w:tcW w:w="1891" w:type="dxa"/>
            <w:vAlign w:val="center"/>
          </w:tcPr>
          <w:p w14:paraId="296B6A6F">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水泵</w:t>
            </w:r>
            <w:r>
              <w:rPr>
                <w:rFonts w:ascii="Times New Roman" w:hAnsi="Times New Roman" w:eastAsia="仿宋"/>
                <w:b w:val="0"/>
                <w:sz w:val="21"/>
              </w:rPr>
              <w:t>（</w:t>
            </w:r>
            <w:r>
              <w:rPr>
                <w:rFonts w:hint="eastAsia" w:ascii="Times New Roman" w:hAnsi="Times New Roman" w:eastAsia="仿宋"/>
                <w:b w:val="0"/>
                <w:sz w:val="21"/>
                <w:lang w:val="en-US" w:eastAsia="zh-CN"/>
              </w:rPr>
              <w:t>45</w:t>
            </w:r>
            <w:r>
              <w:rPr>
                <w:rFonts w:ascii="Times New Roman" w:hAnsi="Times New Roman" w:eastAsia="仿宋"/>
                <w:b w:val="0"/>
                <w:sz w:val="21"/>
              </w:rPr>
              <w:t>kW）</w:t>
            </w:r>
          </w:p>
        </w:tc>
        <w:tc>
          <w:tcPr>
            <w:tcW w:w="844" w:type="dxa"/>
            <w:vAlign w:val="center"/>
          </w:tcPr>
          <w:p w14:paraId="59919837">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6</w:t>
            </w:r>
          </w:p>
        </w:tc>
        <w:tc>
          <w:tcPr>
            <w:tcW w:w="2216" w:type="dxa"/>
            <w:vAlign w:val="center"/>
          </w:tcPr>
          <w:p w14:paraId="0E7C2744">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68678583">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1FD6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5" w:type="dxa"/>
            <w:vAlign w:val="center"/>
          </w:tcPr>
          <w:p w14:paraId="5435E158">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4</w:t>
            </w:r>
          </w:p>
        </w:tc>
        <w:tc>
          <w:tcPr>
            <w:tcW w:w="1891" w:type="dxa"/>
            <w:vAlign w:val="center"/>
          </w:tcPr>
          <w:p w14:paraId="75A2A4C1">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水泵</w:t>
            </w:r>
            <w:r>
              <w:rPr>
                <w:rFonts w:ascii="Times New Roman" w:hAnsi="Times New Roman" w:eastAsia="仿宋"/>
                <w:b w:val="0"/>
                <w:sz w:val="21"/>
              </w:rPr>
              <w:t>（</w:t>
            </w:r>
            <w:r>
              <w:rPr>
                <w:rFonts w:hint="eastAsia" w:ascii="Times New Roman" w:hAnsi="Times New Roman" w:eastAsia="仿宋"/>
                <w:b w:val="0"/>
                <w:sz w:val="21"/>
                <w:lang w:val="en-US" w:eastAsia="zh-CN"/>
              </w:rPr>
              <w:t>30</w:t>
            </w:r>
            <w:r>
              <w:rPr>
                <w:rFonts w:ascii="Times New Roman" w:hAnsi="Times New Roman" w:eastAsia="仿宋"/>
                <w:b w:val="0"/>
                <w:sz w:val="21"/>
              </w:rPr>
              <w:t>kW）</w:t>
            </w:r>
          </w:p>
        </w:tc>
        <w:tc>
          <w:tcPr>
            <w:tcW w:w="844" w:type="dxa"/>
            <w:vAlign w:val="center"/>
          </w:tcPr>
          <w:p w14:paraId="047245F3">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4</w:t>
            </w:r>
          </w:p>
        </w:tc>
        <w:tc>
          <w:tcPr>
            <w:tcW w:w="2216" w:type="dxa"/>
            <w:vAlign w:val="center"/>
          </w:tcPr>
          <w:p w14:paraId="1462DEC9">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05E7EDD7">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6671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5" w:type="dxa"/>
            <w:vAlign w:val="center"/>
          </w:tcPr>
          <w:p w14:paraId="75F854B2">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5</w:t>
            </w:r>
          </w:p>
        </w:tc>
        <w:tc>
          <w:tcPr>
            <w:tcW w:w="1891" w:type="dxa"/>
            <w:vAlign w:val="center"/>
          </w:tcPr>
          <w:p w14:paraId="7820D643">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板式换热器</w:t>
            </w:r>
          </w:p>
        </w:tc>
        <w:tc>
          <w:tcPr>
            <w:tcW w:w="844" w:type="dxa"/>
            <w:vAlign w:val="center"/>
          </w:tcPr>
          <w:p w14:paraId="42BCAC2A">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2</w:t>
            </w:r>
          </w:p>
        </w:tc>
        <w:tc>
          <w:tcPr>
            <w:tcW w:w="2216" w:type="dxa"/>
            <w:vAlign w:val="center"/>
          </w:tcPr>
          <w:p w14:paraId="0C9EFBDA">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410DE6AC">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66AE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5" w:type="dxa"/>
            <w:vAlign w:val="center"/>
          </w:tcPr>
          <w:p w14:paraId="429A0E7B">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6</w:t>
            </w:r>
          </w:p>
        </w:tc>
        <w:tc>
          <w:tcPr>
            <w:tcW w:w="1891" w:type="dxa"/>
            <w:vAlign w:val="center"/>
          </w:tcPr>
          <w:p w14:paraId="295F88A3">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板换层水泵</w:t>
            </w:r>
            <w:r>
              <w:rPr>
                <w:rFonts w:ascii="Times New Roman" w:hAnsi="Times New Roman" w:eastAsia="仿宋"/>
                <w:b w:val="0"/>
                <w:sz w:val="21"/>
              </w:rPr>
              <w:t>（</w:t>
            </w:r>
            <w:r>
              <w:rPr>
                <w:rFonts w:hint="eastAsia" w:ascii="Times New Roman" w:hAnsi="Times New Roman" w:eastAsia="仿宋"/>
                <w:b w:val="0"/>
                <w:sz w:val="21"/>
                <w:lang w:val="en-US" w:eastAsia="zh-CN"/>
              </w:rPr>
              <w:t>2</w:t>
            </w:r>
            <w:r>
              <w:rPr>
                <w:rFonts w:ascii="Times New Roman" w:hAnsi="Times New Roman" w:eastAsia="仿宋"/>
                <w:b w:val="0"/>
                <w:sz w:val="21"/>
              </w:rPr>
              <w:t>2kW）</w:t>
            </w:r>
          </w:p>
        </w:tc>
        <w:tc>
          <w:tcPr>
            <w:tcW w:w="844" w:type="dxa"/>
            <w:vAlign w:val="center"/>
          </w:tcPr>
          <w:p w14:paraId="14EF082B">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3</w:t>
            </w:r>
          </w:p>
        </w:tc>
        <w:tc>
          <w:tcPr>
            <w:tcW w:w="2216" w:type="dxa"/>
            <w:vAlign w:val="center"/>
          </w:tcPr>
          <w:p w14:paraId="38A69935">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37EB9A96">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76C6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5" w:type="dxa"/>
            <w:vAlign w:val="center"/>
          </w:tcPr>
          <w:p w14:paraId="777E3652">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7</w:t>
            </w:r>
          </w:p>
        </w:tc>
        <w:tc>
          <w:tcPr>
            <w:tcW w:w="1891" w:type="dxa"/>
            <w:vAlign w:val="center"/>
          </w:tcPr>
          <w:p w14:paraId="35818F1F">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val="en-US" w:eastAsia="zh-CN"/>
              </w:rPr>
              <w:t>冷却塔</w:t>
            </w:r>
          </w:p>
        </w:tc>
        <w:tc>
          <w:tcPr>
            <w:tcW w:w="844" w:type="dxa"/>
            <w:vAlign w:val="center"/>
          </w:tcPr>
          <w:p w14:paraId="215C39AC">
            <w:pPr>
              <w:keepNext w:val="0"/>
              <w:keepLines w:val="0"/>
              <w:pageBreakBefore w:val="0"/>
              <w:widowControl w:val="0"/>
              <w:kinsoku/>
              <w:wordWrap/>
              <w:overflowPunct/>
              <w:topLinePunct w:val="0"/>
              <w:autoSpaceDE/>
              <w:autoSpaceDN/>
              <w:bidi w:val="0"/>
              <w:adjustRightInd/>
              <w:snapToGrid/>
              <w:spacing w:before="0" w:line="460" w:lineRule="exact"/>
              <w:ind w:left="0" w:leftChars="0" w:firstLine="0" w:firstLineChars="0"/>
              <w:jc w:val="center"/>
              <w:textAlignment w:val="auto"/>
              <w:rPr>
                <w:rFonts w:hint="eastAsia" w:ascii="仿宋" w:hAnsi="仿宋" w:eastAsia="仿宋" w:cs="仿宋"/>
                <w:spacing w:val="12"/>
                <w:sz w:val="24"/>
              </w:rPr>
            </w:pPr>
            <w:r>
              <w:rPr>
                <w:rFonts w:hint="eastAsia" w:ascii="仿宋" w:hAnsi="仿宋" w:eastAsia="仿宋" w:cs="仿宋"/>
                <w:b w:val="0"/>
                <w:bCs/>
                <w:sz w:val="22"/>
                <w:szCs w:val="22"/>
                <w:lang w:eastAsia="zh-CN"/>
              </w:rPr>
              <w:t>5</w:t>
            </w:r>
          </w:p>
        </w:tc>
        <w:tc>
          <w:tcPr>
            <w:tcW w:w="2216" w:type="dxa"/>
            <w:vAlign w:val="center"/>
          </w:tcPr>
          <w:p w14:paraId="447B39DE">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c>
          <w:tcPr>
            <w:tcW w:w="1815" w:type="dxa"/>
            <w:vAlign w:val="center"/>
          </w:tcPr>
          <w:p w14:paraId="7B6FE0FB">
            <w:pPr>
              <w:keepNext w:val="0"/>
              <w:keepLines w:val="0"/>
              <w:pageBreakBefore w:val="0"/>
              <w:widowControl w:val="0"/>
              <w:tabs>
                <w:tab w:val="left" w:pos="6300"/>
              </w:tabs>
              <w:kinsoku/>
              <w:wordWrap/>
              <w:overflowPunct/>
              <w:topLinePunct w:val="0"/>
              <w:autoSpaceDE/>
              <w:autoSpaceDN/>
              <w:bidi w:val="0"/>
              <w:adjustRightInd/>
              <w:snapToGrid/>
              <w:spacing w:before="0" w:after="0" w:line="460" w:lineRule="exact"/>
              <w:ind w:left="0"/>
              <w:jc w:val="center"/>
              <w:textAlignment w:val="auto"/>
              <w:rPr>
                <w:rFonts w:hint="eastAsia" w:ascii="仿宋" w:hAnsi="仿宋" w:eastAsia="仿宋" w:cs="仿宋"/>
                <w:spacing w:val="12"/>
                <w:sz w:val="24"/>
                <w:highlight w:val="yellow"/>
              </w:rPr>
            </w:pPr>
          </w:p>
        </w:tc>
      </w:tr>
      <w:tr w14:paraId="0D6F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776" w:type="dxa"/>
            <w:gridSpan w:val="2"/>
            <w:vAlign w:val="center"/>
          </w:tcPr>
          <w:p w14:paraId="7EF797D8">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spacing w:val="12"/>
                <w:sz w:val="24"/>
              </w:rPr>
            </w:pPr>
            <w:r>
              <w:rPr>
                <w:rFonts w:hint="eastAsia" w:ascii="仿宋" w:hAnsi="仿宋" w:eastAsia="仿宋" w:cs="仿宋"/>
                <w:spacing w:val="12"/>
                <w:sz w:val="24"/>
              </w:rPr>
              <w:t>合计</w:t>
            </w:r>
          </w:p>
        </w:tc>
        <w:tc>
          <w:tcPr>
            <w:tcW w:w="4875" w:type="dxa"/>
            <w:gridSpan w:val="3"/>
            <w:shd w:val="clear" w:color="auto" w:fill="auto"/>
            <w:vAlign w:val="center"/>
          </w:tcPr>
          <w:p w14:paraId="241FE5A6">
            <w:pPr>
              <w:keepNext w:val="0"/>
              <w:keepLines w:val="0"/>
              <w:pageBreakBefore w:val="0"/>
              <w:widowControl w:val="0"/>
              <w:tabs>
                <w:tab w:val="left" w:pos="6300"/>
              </w:tabs>
              <w:kinsoku/>
              <w:wordWrap/>
              <w:overflowPunct/>
              <w:topLinePunct w:val="0"/>
              <w:autoSpaceDE/>
              <w:autoSpaceDN/>
              <w:bidi w:val="0"/>
              <w:adjustRightInd/>
              <w:snapToGrid/>
              <w:spacing w:after="0" w:line="460" w:lineRule="exact"/>
              <w:ind w:left="0"/>
              <w:jc w:val="center"/>
              <w:textAlignment w:val="auto"/>
              <w:rPr>
                <w:rFonts w:hint="eastAsia" w:ascii="仿宋" w:hAnsi="仿宋" w:eastAsia="仿宋" w:cs="仿宋"/>
                <w:b/>
                <w:spacing w:val="12"/>
                <w:kern w:val="2"/>
                <w:sz w:val="24"/>
                <w:lang w:val="en-US" w:eastAsia="zh-CN" w:bidi="ar-SA"/>
              </w:rPr>
            </w:pPr>
            <w:r>
              <w:rPr>
                <w:rFonts w:hint="eastAsia" w:ascii="仿宋" w:hAnsi="仿宋" w:eastAsia="仿宋" w:cs="仿宋"/>
                <w:b w:val="0"/>
                <w:spacing w:val="12"/>
                <w:sz w:val="24"/>
              </w:rPr>
              <w:t>以上合计含税价（小写）：¥</w:t>
            </w:r>
            <w:r>
              <w:rPr>
                <w:rFonts w:hint="eastAsia" w:ascii="仿宋" w:hAnsi="仿宋" w:eastAsia="仿宋" w:cs="仿宋"/>
                <w:b w:val="0"/>
                <w:spacing w:val="12"/>
                <w:sz w:val="24"/>
                <w:u w:val="single"/>
                <w:lang w:val="en-US" w:eastAsia="zh-CN"/>
              </w:rPr>
              <w:t xml:space="preserve">      </w:t>
            </w:r>
            <w:r>
              <w:rPr>
                <w:rFonts w:hint="eastAsia" w:ascii="仿宋" w:hAnsi="仿宋" w:eastAsia="仿宋" w:cs="仿宋"/>
                <w:b w:val="0"/>
                <w:spacing w:val="12"/>
                <w:sz w:val="24"/>
              </w:rPr>
              <w:t>元</w:t>
            </w:r>
          </w:p>
        </w:tc>
      </w:tr>
      <w:tr w14:paraId="4E9F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651" w:type="dxa"/>
            <w:gridSpan w:val="5"/>
            <w:vAlign w:val="center"/>
          </w:tcPr>
          <w:p w14:paraId="75BF886A">
            <w:pPr>
              <w:keepNext w:val="0"/>
              <w:keepLines w:val="0"/>
              <w:pageBreakBefore w:val="0"/>
              <w:tabs>
                <w:tab w:val="left" w:pos="6300"/>
              </w:tabs>
              <w:kinsoku/>
              <w:topLinePunct w:val="0"/>
              <w:bidi w:val="0"/>
              <w:snapToGrid/>
              <w:spacing w:after="0" w:line="460" w:lineRule="exact"/>
              <w:ind w:left="0" w:firstLine="24" w:firstLineChars="9"/>
              <w:jc w:val="center"/>
              <w:rPr>
                <w:rFonts w:hint="default" w:ascii="仿宋" w:hAnsi="仿宋" w:eastAsia="仿宋" w:cs="仿宋"/>
                <w:b/>
                <w:spacing w:val="12"/>
                <w:sz w:val="24"/>
                <w:lang w:val="en-US" w:eastAsia="zh-CN"/>
              </w:rPr>
            </w:pPr>
            <w:r>
              <w:rPr>
                <w:rFonts w:hint="eastAsia" w:ascii="仿宋" w:hAnsi="仿宋" w:eastAsia="仿宋" w:cs="仿宋"/>
                <w:b/>
                <w:spacing w:val="12"/>
                <w:sz w:val="24"/>
                <w:lang w:val="en-US" w:eastAsia="zh-CN"/>
              </w:rPr>
              <w:t>单件</w:t>
            </w:r>
            <w:r>
              <w:rPr>
                <w:rFonts w:hint="eastAsia" w:ascii="仿宋" w:hAnsi="仿宋" w:eastAsia="仿宋" w:cs="仿宋"/>
                <w:b/>
                <w:spacing w:val="12"/>
                <w:sz w:val="24"/>
              </w:rPr>
              <w:t>配件免费更换价格：含</w:t>
            </w:r>
            <w:r>
              <w:rPr>
                <w:rFonts w:hint="eastAsia" w:ascii="仿宋" w:hAnsi="仿宋" w:eastAsia="仿宋" w:cs="仿宋"/>
                <w:b/>
                <w:spacing w:val="12"/>
                <w:sz w:val="24"/>
                <w:u w:val="single"/>
              </w:rPr>
              <w:t xml:space="preserve">    </w:t>
            </w:r>
            <w:r>
              <w:rPr>
                <w:rFonts w:hint="eastAsia" w:ascii="仿宋" w:hAnsi="仿宋" w:eastAsia="仿宋" w:cs="仿宋"/>
                <w:b/>
                <w:spacing w:val="12"/>
                <w:sz w:val="24"/>
              </w:rPr>
              <w:t>元及以下配件</w:t>
            </w:r>
            <w:r>
              <w:rPr>
                <w:rFonts w:hint="eastAsia" w:ascii="仿宋" w:hAnsi="仿宋" w:eastAsia="仿宋" w:cs="仿宋"/>
                <w:b/>
                <w:spacing w:val="12"/>
                <w:sz w:val="24"/>
                <w:lang w:val="en-US" w:eastAsia="zh-CN"/>
              </w:rPr>
              <w:t>由乙方免费更换</w:t>
            </w:r>
          </w:p>
        </w:tc>
      </w:tr>
    </w:tbl>
    <w:p w14:paraId="63FDC924">
      <w:pPr>
        <w:keepNext w:val="0"/>
        <w:keepLines w:val="0"/>
        <w:pageBreakBefore w:val="0"/>
        <w:widowControl/>
        <w:numPr>
          <w:ilvl w:val="-1"/>
          <w:numId w:val="0"/>
        </w:numPr>
        <w:kinsoku/>
        <w:topLinePunct w:val="0"/>
        <w:bidi w:val="0"/>
        <w:snapToGrid/>
        <w:spacing w:after="0" w:line="460" w:lineRule="exact"/>
        <w:ind w:left="420" w:leftChars="200" w:firstLine="264" w:firstLineChars="100"/>
        <w:rPr>
          <w:rFonts w:hint="eastAsia" w:ascii="仿宋" w:hAnsi="仿宋" w:eastAsia="仿宋" w:cs="仿宋"/>
          <w:b w:val="0"/>
          <w:bCs/>
          <w:spacing w:val="12"/>
          <w:sz w:val="24"/>
          <w:lang w:eastAsia="zh-CN"/>
        </w:rPr>
      </w:pPr>
      <w:r>
        <w:rPr>
          <w:rFonts w:hint="eastAsia" w:ascii="仿宋" w:hAnsi="仿宋" w:eastAsia="仿宋" w:cs="仿宋"/>
          <w:b w:val="0"/>
          <w:bCs/>
          <w:spacing w:val="12"/>
          <w:sz w:val="24"/>
          <w:lang w:eastAsia="zh-CN"/>
        </w:rPr>
        <w:t>（</w:t>
      </w:r>
      <w:r>
        <w:rPr>
          <w:rFonts w:hint="eastAsia" w:ascii="仿宋" w:hAnsi="仿宋" w:eastAsia="仿宋" w:cs="仿宋"/>
          <w:b w:val="0"/>
          <w:bCs/>
          <w:spacing w:val="12"/>
          <w:sz w:val="24"/>
          <w:lang w:val="en-US" w:eastAsia="zh-CN"/>
        </w:rPr>
        <w:t>2</w:t>
      </w:r>
      <w:r>
        <w:rPr>
          <w:rFonts w:hint="eastAsia" w:ascii="仿宋" w:hAnsi="仿宋" w:eastAsia="仿宋" w:cs="仿宋"/>
          <w:b w:val="0"/>
          <w:bCs/>
          <w:spacing w:val="12"/>
          <w:sz w:val="24"/>
          <w:lang w:eastAsia="zh-CN"/>
        </w:rPr>
        <w:t>）中央空调水处理服务含税总价（小写）：¥</w:t>
      </w:r>
      <w:r>
        <w:rPr>
          <w:rFonts w:hint="eastAsia" w:ascii="仿宋" w:hAnsi="仿宋" w:eastAsia="仿宋" w:cs="仿宋"/>
          <w:b w:val="0"/>
          <w:bCs/>
          <w:spacing w:val="12"/>
          <w:sz w:val="24"/>
          <w:u w:val="single"/>
          <w:lang w:val="en-US" w:eastAsia="zh-CN"/>
        </w:rPr>
        <w:t xml:space="preserve">           </w:t>
      </w:r>
      <w:r>
        <w:rPr>
          <w:rFonts w:hint="eastAsia" w:ascii="仿宋" w:hAnsi="仿宋" w:eastAsia="仿宋" w:cs="仿宋"/>
          <w:b w:val="0"/>
          <w:bCs/>
          <w:spacing w:val="12"/>
          <w:sz w:val="24"/>
          <w:lang w:eastAsia="zh-CN"/>
        </w:rPr>
        <w:t>元。</w:t>
      </w:r>
    </w:p>
    <w:p w14:paraId="6F8AB590">
      <w:pPr>
        <w:pStyle w:val="2"/>
        <w:rPr>
          <w:rFonts w:hint="eastAsia" w:ascii="仿宋" w:hAnsi="仿宋" w:eastAsia="仿宋" w:cs="仿宋"/>
          <w:b w:val="0"/>
          <w:bCs/>
          <w:spacing w:val="12"/>
          <w:sz w:val="24"/>
          <w:lang w:eastAsia="zh-CN"/>
        </w:rPr>
      </w:pPr>
      <w:r>
        <w:rPr>
          <w:rFonts w:hint="eastAsia" w:ascii="仿宋" w:hAnsi="仿宋" w:eastAsia="仿宋" w:cs="仿宋"/>
          <w:b w:val="0"/>
          <w:bCs/>
          <w:spacing w:val="12"/>
          <w:sz w:val="24"/>
          <w:lang w:eastAsia="zh-CN"/>
        </w:rPr>
        <w:t>（</w:t>
      </w:r>
      <w:r>
        <w:rPr>
          <w:rFonts w:hint="eastAsia" w:ascii="仿宋" w:hAnsi="仿宋" w:eastAsia="仿宋" w:cs="仿宋"/>
          <w:b w:val="0"/>
          <w:bCs/>
          <w:spacing w:val="12"/>
          <w:sz w:val="24"/>
          <w:lang w:val="en-US" w:eastAsia="zh-CN"/>
        </w:rPr>
        <w:t>3</w:t>
      </w:r>
      <w:r>
        <w:rPr>
          <w:rFonts w:hint="eastAsia" w:ascii="仿宋" w:hAnsi="仿宋" w:eastAsia="仿宋" w:cs="仿宋"/>
          <w:b w:val="0"/>
          <w:bCs/>
          <w:spacing w:val="12"/>
          <w:sz w:val="24"/>
          <w:lang w:eastAsia="zh-CN"/>
        </w:rPr>
        <w:t>）压力容器特种设备纳管登记服务含税总价（小写）：¥</w:t>
      </w:r>
      <w:r>
        <w:rPr>
          <w:rFonts w:hint="eastAsia" w:ascii="仿宋" w:hAnsi="仿宋" w:eastAsia="仿宋" w:cs="仿宋"/>
          <w:b w:val="0"/>
          <w:bCs/>
          <w:spacing w:val="12"/>
          <w:sz w:val="24"/>
          <w:u w:val="single"/>
          <w:lang w:val="en-US" w:eastAsia="zh-CN"/>
        </w:rPr>
        <w:t xml:space="preserve">           </w:t>
      </w:r>
      <w:r>
        <w:rPr>
          <w:rFonts w:hint="eastAsia" w:ascii="仿宋" w:hAnsi="仿宋" w:eastAsia="仿宋" w:cs="仿宋"/>
          <w:b w:val="0"/>
          <w:bCs/>
          <w:spacing w:val="12"/>
          <w:sz w:val="24"/>
          <w:lang w:eastAsia="zh-CN"/>
        </w:rPr>
        <w:t>元。</w:t>
      </w:r>
    </w:p>
    <w:p w14:paraId="5690C1F7">
      <w:pPr>
        <w:pStyle w:val="3"/>
        <w:ind w:left="0" w:leftChars="0" w:firstLine="528" w:firstLineChars="200"/>
        <w:rPr>
          <w:rFonts w:hint="eastAsia" w:ascii="仿宋" w:hAnsi="仿宋" w:eastAsia="仿宋" w:cs="仿宋"/>
          <w:bCs/>
          <w:spacing w:val="12"/>
          <w:sz w:val="24"/>
          <w:szCs w:val="21"/>
          <w:lang w:eastAsia="zh-CN"/>
        </w:rPr>
      </w:pPr>
      <w:r>
        <w:rPr>
          <w:rFonts w:hint="eastAsia" w:ascii="仿宋" w:hAnsi="仿宋" w:eastAsia="仿宋" w:cs="仿宋"/>
          <w:bCs/>
          <w:spacing w:val="12"/>
          <w:sz w:val="24"/>
          <w:szCs w:val="21"/>
          <w:lang w:eastAsia="zh-CN"/>
        </w:rPr>
        <w:t>合同整体含税总金额=设备维保含税总价+水处理服务含税总价+压力容器特种设备纳管登记服务含税总价。</w:t>
      </w:r>
    </w:p>
    <w:p w14:paraId="436732DB">
      <w:pPr>
        <w:keepNext w:val="0"/>
        <w:keepLines w:val="0"/>
        <w:pageBreakBefore w:val="0"/>
        <w:widowControl/>
        <w:numPr>
          <w:ilvl w:val="-1"/>
          <w:numId w:val="0"/>
        </w:numPr>
        <w:kinsoku/>
        <w:topLinePunct w:val="0"/>
        <w:bidi w:val="0"/>
        <w:snapToGrid/>
        <w:spacing w:after="0" w:line="460" w:lineRule="exact"/>
        <w:ind w:left="420" w:leftChars="200"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备注：</w:t>
      </w:r>
    </w:p>
    <w:p w14:paraId="2788DABB">
      <w:pPr>
        <w:keepNext w:val="0"/>
        <w:keepLines w:val="0"/>
        <w:pageBreakBefore w:val="0"/>
        <w:widowControl/>
        <w:numPr>
          <w:ilvl w:val="0"/>
          <w:numId w:val="0"/>
        </w:numPr>
        <w:kinsoku/>
        <w:topLinePunct w:val="0"/>
        <w:bidi w:val="0"/>
        <w:snapToGrid/>
        <w:spacing w:after="0" w:line="46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（1）本合同整体服务周期：2026年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日至2027年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日；中央空调设备维护保养、中央空调水处理两项服务可根据现场实际运行情况分开启动、分开暂停、分开终止，各自按实际有效服务天数结算费用，未开展服务的项目不计取对应服务费。</w:t>
      </w:r>
    </w:p>
    <w:p w14:paraId="7D91A7E3">
      <w:pPr>
        <w:keepNext w:val="0"/>
        <w:keepLines w:val="0"/>
        <w:pageBreakBefore w:val="0"/>
        <w:widowControl/>
        <w:numPr>
          <w:ilvl w:val="0"/>
          <w:numId w:val="0"/>
        </w:numPr>
        <w:kinsoku/>
        <w:topLinePunct w:val="0"/>
        <w:bidi w:val="0"/>
        <w:snapToGrid/>
        <w:spacing w:after="0" w:line="46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（2）设备维保、水处理分别开展履约考核（见附件三），评价结果分别与对应服务项目付款比例挂钩；压力容器特种设备纳管登记专项服务不参与季度履约考核，付款以取得《特种设备使用登记证》为条件。</w:t>
      </w:r>
    </w:p>
    <w:p w14:paraId="5E1EEA36">
      <w:pPr>
        <w:keepNext w:val="0"/>
        <w:keepLines w:val="0"/>
        <w:pageBreakBefore w:val="0"/>
        <w:widowControl/>
        <w:numPr>
          <w:ilvl w:val="0"/>
          <w:numId w:val="0"/>
        </w:numPr>
        <w:kinsoku/>
        <w:topLinePunct w:val="0"/>
        <w:bidi w:val="0"/>
        <w:snapToGrid/>
        <w:spacing w:after="0" w:line="46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（3）上述三项服务费用为分开计价。</w:t>
      </w:r>
    </w:p>
    <w:p w14:paraId="0A67ED5A">
      <w:pPr>
        <w:keepNext w:val="0"/>
        <w:keepLines w:val="0"/>
        <w:pageBreakBefore w:val="0"/>
        <w:widowControl/>
        <w:numPr>
          <w:ilvl w:val="0"/>
          <w:numId w:val="0"/>
        </w:numPr>
        <w:kinsoku/>
        <w:topLinePunct w:val="0"/>
        <w:bidi w:val="0"/>
        <w:snapToGrid/>
        <w:spacing w:after="0"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付款方式：</w:t>
      </w:r>
    </w:p>
    <w:p w14:paraId="7F5F8EF2">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（1）中央空调设备维护保养、中央空调水处理服务</w:t>
      </w:r>
      <w:r>
        <w:rPr>
          <w:rFonts w:hint="eastAsia" w:ascii="仿宋" w:hAnsi="仿宋" w:eastAsia="仿宋" w:cs="仿宋"/>
          <w:sz w:val="24"/>
          <w:szCs w:val="24"/>
          <w:highlight w:val="none"/>
          <w:u w:val="none"/>
          <w:lang w:val="en-US" w:eastAsia="zh-CN"/>
        </w:rPr>
        <w:t>及压力容器特种设备纳管登记服务费用</w:t>
      </w:r>
      <w:r>
        <w:rPr>
          <w:rFonts w:hint="eastAsia" w:ascii="仿宋" w:hAnsi="仿宋" w:eastAsia="仿宋" w:cs="仿宋"/>
          <w:sz w:val="24"/>
          <w:szCs w:val="24"/>
          <w:highlight w:val="none"/>
          <w:u w:val="none"/>
        </w:rPr>
        <w:t>分开计取付款。中央空调设备维护保养、中央空调水处理服务</w:t>
      </w:r>
      <w:r>
        <w:rPr>
          <w:rFonts w:hint="eastAsia" w:ascii="仿宋" w:hAnsi="仿宋" w:eastAsia="仿宋" w:cs="仿宋"/>
          <w:sz w:val="24"/>
          <w:szCs w:val="24"/>
          <w:highlight w:val="none"/>
          <w:u w:val="none"/>
          <w:lang w:val="en-US" w:eastAsia="zh-CN"/>
        </w:rPr>
        <w:t>费用分别</w:t>
      </w:r>
      <w:r>
        <w:rPr>
          <w:rFonts w:hint="eastAsia" w:ascii="仿宋" w:hAnsi="仿宋" w:eastAsia="仿宋" w:cs="仿宋"/>
          <w:sz w:val="24"/>
          <w:szCs w:val="24"/>
          <w:highlight w:val="none"/>
          <w:u w:val="none"/>
        </w:rPr>
        <w:t>分四期支付，每三个月支付一期，每期支付合同总额的25%。若其中一项服务未启动</w:t>
      </w:r>
      <w:r>
        <w:rPr>
          <w:rFonts w:hint="eastAsia" w:ascii="仿宋" w:hAnsi="仿宋" w:eastAsia="仿宋" w:cs="仿宋"/>
          <w:sz w:val="24"/>
          <w:szCs w:val="24"/>
          <w:highlight w:val="none"/>
          <w:u w:val="none"/>
          <w:lang w:val="en-US" w:eastAsia="zh-CN"/>
        </w:rPr>
        <w:t>或</w:t>
      </w:r>
      <w:r>
        <w:rPr>
          <w:rFonts w:hint="eastAsia" w:ascii="仿宋" w:hAnsi="仿宋" w:eastAsia="仿宋" w:cs="仿宋"/>
          <w:sz w:val="24"/>
          <w:szCs w:val="24"/>
          <w:highlight w:val="none"/>
          <w:u w:val="none"/>
        </w:rPr>
        <w:t>暂停，则该项目当期不予支付，待实际开展服务后再按实际服务周期核算应付费用</w:t>
      </w:r>
    </w:p>
    <w:p w14:paraId="16842838">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2）维保、水处理每期付款前开展履约考核，评价结果与付款比例挂钩：履约考核评为优秀的支付当期服务费的100%，履约考核评为合格的支付当期服务费的95%，履约考核评为不合格的要求整改至合格后支付当期服务费的 50%，整改不合格的不予支付服务费</w:t>
      </w:r>
    </w:p>
    <w:p w14:paraId="1786C559">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w:t>
      </w:r>
      <w:r>
        <w:rPr>
          <w:rFonts w:ascii="仿宋" w:hAnsi="仿宋" w:eastAsia="仿宋" w:cs="仿宋"/>
          <w:sz w:val="24"/>
          <w:szCs w:val="24"/>
          <w:highlight w:val="none"/>
          <w:u w:val="none"/>
        </w:rPr>
        <w:t>3）</w:t>
      </w:r>
      <w:r>
        <w:rPr>
          <w:rFonts w:hint="eastAsia" w:ascii="仿宋" w:hAnsi="仿宋" w:eastAsia="仿宋" w:cs="仿宋"/>
          <w:sz w:val="24"/>
          <w:szCs w:val="24"/>
          <w:highlight w:val="none"/>
          <w:u w:val="none"/>
        </w:rPr>
        <w:t>对应维保、水处理服务周期届满后，乙方根据对应本周期内的每期履约考核结果于次月开始的10日前，分别开具维保、水处理对应金额合法有效的增值税专用发票，付款采用银行转账方式，在流程审核完成后支付。</w:t>
      </w:r>
    </w:p>
    <w:p w14:paraId="6BD1D084">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lang w:eastAsia="zh-CN"/>
        </w:rPr>
        <w:t>（</w:t>
      </w:r>
      <w:r>
        <w:rPr>
          <w:rFonts w:hint="eastAsia" w:ascii="仿宋" w:hAnsi="仿宋" w:eastAsia="仿宋" w:cs="仿宋"/>
          <w:sz w:val="24"/>
          <w:szCs w:val="24"/>
          <w:highlight w:val="none"/>
          <w:u w:val="none"/>
          <w:lang w:val="en-US" w:eastAsia="zh-CN"/>
        </w:rPr>
        <w:t>4）压力容器特种设备纳管登记服务付款：乙方完成全部纳管流程，完整取得本项目压力容器《特种设备使用登记证》，并将登记证复印件（加盖乙方公章）提交甲方存档后，乙方开具对应压力容器纳管登记服务全额增值税专用发票，甲方一次性支付本项服务全部合同价款；未取得《特种设备使用登记证》的，甲方有权不予支付该笔纳管登记服务费。</w:t>
      </w:r>
    </w:p>
    <w:p w14:paraId="021BC902">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3、乙方收款账户信息如下：</w:t>
      </w:r>
    </w:p>
    <w:p w14:paraId="34E1A824">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账户名：</w:t>
      </w:r>
      <w:r>
        <w:rPr>
          <w:rFonts w:hint="eastAsia" w:ascii="仿宋" w:hAnsi="仿宋" w:eastAsia="仿宋" w:cs="仿宋"/>
          <w:sz w:val="24"/>
          <w:szCs w:val="24"/>
          <w:lang w:val="en-US" w:eastAsia="zh-CN"/>
        </w:rPr>
        <w:t xml:space="preserve"> </w:t>
      </w:r>
    </w:p>
    <w:p w14:paraId="0DC351F6">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仿宋" w:hAnsi="仿宋" w:eastAsia="仿宋"/>
          <w:sz w:val="24"/>
          <w:szCs w:val="24"/>
          <w:u w:val="single"/>
          <w:lang w:eastAsia="zh-CN"/>
        </w:rPr>
      </w:pPr>
      <w:r>
        <w:rPr>
          <w:rFonts w:hint="eastAsia" w:ascii="仿宋" w:hAnsi="仿宋" w:eastAsia="仿宋" w:cs="仿宋"/>
          <w:sz w:val="24"/>
          <w:szCs w:val="24"/>
        </w:rPr>
        <w:t>账</w:t>
      </w:r>
      <w:r>
        <w:rPr>
          <w:rFonts w:ascii="仿宋" w:hAnsi="仿宋" w:eastAsia="仿宋" w:cs="仿宋"/>
          <w:sz w:val="24"/>
          <w:szCs w:val="24"/>
        </w:rPr>
        <w:t xml:space="preserve">  </w:t>
      </w:r>
      <w:r>
        <w:rPr>
          <w:rFonts w:hint="eastAsia" w:ascii="仿宋" w:hAnsi="仿宋" w:eastAsia="仿宋" w:cs="仿宋"/>
          <w:sz w:val="24"/>
          <w:szCs w:val="24"/>
        </w:rPr>
        <w:t>号：</w:t>
      </w:r>
      <w:r>
        <w:rPr>
          <w:rFonts w:hint="eastAsia" w:ascii="仿宋" w:hAnsi="仿宋" w:eastAsia="仿宋" w:cs="仿宋"/>
          <w:sz w:val="24"/>
          <w:szCs w:val="24"/>
          <w:lang w:val="en-US" w:eastAsia="zh-CN"/>
        </w:rPr>
        <w:t xml:space="preserve"> </w:t>
      </w:r>
    </w:p>
    <w:p w14:paraId="5AB3A059">
      <w:pPr>
        <w:keepNext w:val="0"/>
        <w:keepLines w:val="0"/>
        <w:pageBreakBefore w:val="0"/>
        <w:widowControl/>
        <w:kinsoku/>
        <w:topLinePunct w:val="0"/>
        <w:bidi w:val="0"/>
        <w:snapToGrid/>
        <w:spacing w:line="460" w:lineRule="exact"/>
        <w:ind w:left="0" w:firstLine="480" w:firstLineChars="200"/>
        <w:rPr>
          <w:rFonts w:ascii="仿宋" w:hAnsi="仿宋" w:eastAsia="仿宋"/>
          <w:sz w:val="24"/>
          <w:szCs w:val="24"/>
          <w:u w:val="single"/>
        </w:rPr>
      </w:pPr>
      <w:r>
        <w:rPr>
          <w:rFonts w:hint="eastAsia" w:ascii="仿宋" w:hAnsi="仿宋" w:eastAsia="仿宋" w:cs="仿宋"/>
          <w:sz w:val="24"/>
          <w:szCs w:val="24"/>
        </w:rPr>
        <w:t>开户行：</w:t>
      </w:r>
    </w:p>
    <w:p w14:paraId="1C7A779A">
      <w:pPr>
        <w:keepNext w:val="0"/>
        <w:keepLines w:val="0"/>
        <w:pageBreakBefore w:val="0"/>
        <w:widowControl/>
        <w:kinsoku/>
        <w:topLinePunct w:val="0"/>
        <w:bidi w:val="0"/>
        <w:snapToGrid/>
        <w:spacing w:line="460" w:lineRule="exact"/>
        <w:ind w:left="0" w:firstLine="480" w:firstLineChars="200"/>
        <w:rPr>
          <w:rFonts w:hint="eastAsia" w:ascii="仿宋" w:hAnsi="仿宋" w:eastAsia="仿宋"/>
          <w:sz w:val="24"/>
          <w:szCs w:val="24"/>
          <w:u w:val="single"/>
          <w:lang w:eastAsia="zh-CN"/>
        </w:rPr>
      </w:pPr>
      <w:r>
        <w:rPr>
          <w:rFonts w:hint="eastAsia" w:ascii="仿宋" w:hAnsi="仿宋" w:eastAsia="仿宋"/>
          <w:sz w:val="24"/>
          <w:szCs w:val="24"/>
          <w:u w:val="single"/>
        </w:rPr>
        <w:t>若乙方未按时提供合法有效的增值税发票或发票不合规，甲方有权顺延付款，且不承担任何违约责任</w:t>
      </w:r>
      <w:r>
        <w:rPr>
          <w:rFonts w:hint="eastAsia" w:ascii="仿宋" w:hAnsi="仿宋" w:eastAsia="仿宋"/>
          <w:sz w:val="24"/>
          <w:szCs w:val="24"/>
          <w:u w:val="single"/>
          <w:lang w:eastAsia="zh-CN"/>
        </w:rPr>
        <w:t>。</w:t>
      </w:r>
    </w:p>
    <w:p w14:paraId="74F46BE4">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第三条 合同期限</w:t>
      </w:r>
    </w:p>
    <w:p w14:paraId="556304C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本合同期限为</w:t>
      </w:r>
      <w:r>
        <w:rPr>
          <w:rFonts w:hint="eastAsia" w:ascii="仿宋" w:hAnsi="仿宋" w:eastAsia="仿宋" w:cs="仿宋"/>
          <w:sz w:val="24"/>
          <w:szCs w:val="24"/>
          <w:u w:val="single"/>
        </w:rPr>
        <w:t>12</w:t>
      </w:r>
      <w:r>
        <w:rPr>
          <w:rFonts w:hint="eastAsia" w:ascii="仿宋" w:hAnsi="仿宋" w:eastAsia="仿宋" w:cs="仿宋"/>
          <w:sz w:val="24"/>
          <w:szCs w:val="24"/>
        </w:rPr>
        <w:t>个月，自</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日起至</w:t>
      </w:r>
      <w:r>
        <w:rPr>
          <w:rFonts w:hint="eastAsia" w:ascii="仿宋" w:hAnsi="仿宋" w:eastAsia="仿宋" w:cs="仿宋"/>
          <w:sz w:val="24"/>
          <w:szCs w:val="24"/>
          <w:u w:val="single"/>
        </w:rPr>
        <w:t xml:space="preserve"> 202</w:t>
      </w:r>
      <w:r>
        <w:rPr>
          <w:rFonts w:hint="eastAsia" w:ascii="仿宋" w:hAnsi="仿宋" w:eastAsia="仿宋" w:cs="仿宋"/>
          <w:sz w:val="24"/>
          <w:szCs w:val="24"/>
          <w:u w:val="single"/>
          <w:lang w:val="en-US" w:eastAsia="zh-CN"/>
        </w:rPr>
        <w:t>7</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0274D39F">
      <w:pPr>
        <w:pStyle w:val="2"/>
        <w:keepNext w:val="0"/>
        <w:keepLines w:val="0"/>
        <w:pageBreakBefore w:val="0"/>
        <w:kinsoku/>
        <w:topLinePunct w:val="0"/>
        <w:bidi w:val="0"/>
        <w:snapToGrid/>
        <w:spacing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对于合同最终履约评价优秀的服务供应商可实行合同续期奖励，可续期不超过 24 个月，续期最多不超过2次，续期合同实质性内容不得改变。但无论履约评价结果如何，甲方均有权不予续约。</w:t>
      </w:r>
    </w:p>
    <w:p w14:paraId="28ABE984">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第四条 权利和义务</w:t>
      </w:r>
    </w:p>
    <w:p w14:paraId="1000E74D">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（一）甲方的权利和义务</w:t>
      </w:r>
    </w:p>
    <w:p w14:paraId="679D0F6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1、甲乙双方应加强沟通，甲方相关操作人员应接受乙方的正确操作指导，严格按操作规程操作、使用相关设备。</w:t>
      </w:r>
    </w:p>
    <w:p w14:paraId="690A98C8">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未经</w:t>
      </w:r>
      <w:r>
        <w:rPr>
          <w:rFonts w:hint="eastAsia" w:ascii="仿宋" w:hAnsi="仿宋" w:eastAsia="仿宋" w:cs="仿宋"/>
          <w:color w:val="000000"/>
          <w:sz w:val="24"/>
          <w:szCs w:val="24"/>
        </w:rPr>
        <w:t>乙方的许可，甲方不得擅自修理、拆卸设备元器件，如果因此造成设备损坏</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，责任由甲方</w:t>
      </w:r>
      <w:r>
        <w:rPr>
          <w:rFonts w:hint="eastAsia" w:ascii="仿宋" w:hAnsi="仿宋" w:eastAsia="仿宋" w:cs="仿宋"/>
          <w:color w:val="000000"/>
          <w:sz w:val="24"/>
          <w:szCs w:val="24"/>
          <w:lang w:val="en-US" w:eastAsia="zh-CN"/>
        </w:rPr>
        <w:t>承担</w:t>
      </w:r>
      <w:r>
        <w:rPr>
          <w:rFonts w:hint="eastAsia" w:ascii="仿宋" w:hAnsi="仿宋" w:eastAsia="仿宋" w:cs="仿宋"/>
          <w:color w:val="000000"/>
          <w:sz w:val="24"/>
          <w:szCs w:val="24"/>
        </w:rPr>
        <w:t>。</w:t>
      </w:r>
    </w:p>
    <w:p w14:paraId="605AF75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3、乙方未按合同履约</w:t>
      </w:r>
      <w:r>
        <w:rPr>
          <w:rFonts w:hint="eastAsia" w:ascii="仿宋" w:hAnsi="仿宋" w:eastAsia="仿宋" w:cs="仿宋"/>
          <w:color w:val="000000"/>
          <w:sz w:val="24"/>
          <w:szCs w:val="24"/>
          <w:lang w:val="en-US" w:eastAsia="zh-CN"/>
        </w:rPr>
        <w:t>时</w:t>
      </w:r>
      <w:r>
        <w:rPr>
          <w:rFonts w:hint="eastAsia" w:ascii="仿宋" w:hAnsi="仿宋" w:eastAsia="仿宋" w:cs="仿宋"/>
          <w:color w:val="000000"/>
          <w:sz w:val="24"/>
          <w:szCs w:val="24"/>
        </w:rPr>
        <w:t>，甲方有权提出整改通知、扣除保养费或解除本合同。</w:t>
      </w:r>
    </w:p>
    <w:p w14:paraId="0361A1B6">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4、甲方有权阻止</w:t>
      </w:r>
      <w:r>
        <w:rPr>
          <w:rFonts w:hint="eastAsia" w:ascii="仿宋" w:hAnsi="仿宋" w:eastAsia="仿宋" w:cs="仿宋"/>
          <w:color w:val="000000"/>
          <w:sz w:val="24"/>
          <w:szCs w:val="24"/>
          <w:lang w:val="en-US" w:eastAsia="zh-CN"/>
        </w:rPr>
        <w:t>未</w:t>
      </w:r>
      <w:r>
        <w:rPr>
          <w:rFonts w:hint="eastAsia" w:ascii="仿宋" w:hAnsi="仿宋" w:eastAsia="仿宋" w:cs="仿宋"/>
          <w:color w:val="000000"/>
          <w:sz w:val="24"/>
          <w:szCs w:val="24"/>
        </w:rPr>
        <w:t>穿工作服、</w:t>
      </w:r>
      <w:r>
        <w:rPr>
          <w:rFonts w:hint="eastAsia" w:ascii="仿宋" w:hAnsi="仿宋" w:eastAsia="仿宋" w:cs="仿宋"/>
          <w:color w:val="000000"/>
          <w:sz w:val="24"/>
          <w:szCs w:val="24"/>
          <w:lang w:val="en-US" w:eastAsia="zh-CN"/>
        </w:rPr>
        <w:t>未佩</w:t>
      </w:r>
      <w:r>
        <w:rPr>
          <w:rFonts w:hint="eastAsia" w:ascii="仿宋" w:hAnsi="仿宋" w:eastAsia="仿宋" w:cs="仿宋"/>
          <w:color w:val="000000"/>
          <w:sz w:val="24"/>
          <w:szCs w:val="24"/>
        </w:rPr>
        <w:t>戴工作牌的乙方人员进入甲方区域工作，由此造成的工作延误责任由乙方承担，甲方有权扣除乙方当月的部分或全部保养费。</w:t>
      </w:r>
    </w:p>
    <w:p w14:paraId="497C2E1D">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5、甲方</w:t>
      </w:r>
      <w:r>
        <w:rPr>
          <w:rFonts w:hint="eastAsia" w:ascii="仿宋" w:hAnsi="仿宋" w:eastAsia="仿宋" w:cs="仿宋"/>
          <w:color w:val="000000"/>
          <w:sz w:val="24"/>
          <w:szCs w:val="24"/>
          <w:lang w:val="en-US" w:eastAsia="zh-CN"/>
        </w:rPr>
        <w:t>以</w:t>
      </w:r>
      <w:r>
        <w:rPr>
          <w:rFonts w:hint="eastAsia" w:ascii="仿宋" w:hAnsi="仿宋" w:eastAsia="仿宋" w:cs="仿宋"/>
          <w:color w:val="000000"/>
          <w:sz w:val="24"/>
          <w:szCs w:val="24"/>
        </w:rPr>
        <w:t>电话通知乙方紧急维修情况，乙方收到后一小时内作出答复，否则甲方有权另请人代修，费用从乙方保养费内扣除。</w:t>
      </w:r>
    </w:p>
    <w:p w14:paraId="1B9A29FC">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6、甲方应及时签收维修报告，并对乙方工作人员的工作能力、态度、服务质量进行评价。</w:t>
      </w:r>
    </w:p>
    <w:p w14:paraId="68D74810">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7、甲方有权派出人员在维修、保养现场监督乙方的工作。</w:t>
      </w:r>
    </w:p>
    <w:p w14:paraId="4FB101B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8、甲方有按合同规定按时支付保养费的义务。</w:t>
      </w:r>
    </w:p>
    <w:p w14:paraId="10442693">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9、甲方有权拒付因维修未能达到正常运行状态的维修款项。</w:t>
      </w:r>
    </w:p>
    <w:p w14:paraId="18B79708">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甲方不承担乙方工作人员的人身安全责任。乙方必须为其在甲方现场作业的所有人员购买工伤保险、人身意外伤害保险及第三者责任险。乙方未购买或保险失效的，甲方有权要求乙方立即整改，费用由乙方承担，且甲方有权解除合同。</w:t>
      </w:r>
    </w:p>
    <w:p w14:paraId="7266DB13">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（二）乙方的权利和义务</w:t>
      </w:r>
    </w:p>
    <w:p w14:paraId="181F0D58">
      <w:pPr>
        <w:keepNext w:val="0"/>
        <w:keepLines w:val="0"/>
        <w:pageBreakBefore w:val="0"/>
        <w:widowControl/>
        <w:kinsoku/>
        <w:topLinePunct w:val="0"/>
        <w:bidi w:val="0"/>
        <w:snapToGrid/>
        <w:spacing w:after="0" w:line="460" w:lineRule="exact"/>
        <w:ind w:left="0" w:firstLine="480" w:firstLineChars="200"/>
        <w:jc w:val="left"/>
        <w:rPr>
          <w:rFonts w:hint="eastAsia" w:ascii="仿宋" w:hAnsi="仿宋" w:eastAsia="仿宋" w:cs="仿宋"/>
          <w:sz w:val="24"/>
          <w:szCs w:val="24"/>
        </w:rPr>
      </w:pPr>
      <w:r>
        <w:rPr>
          <w:rFonts w:hint="eastAsia" w:ascii="仿宋" w:hAnsi="仿宋" w:eastAsia="仿宋" w:cs="仿宋"/>
          <w:sz w:val="24"/>
          <w:szCs w:val="24"/>
        </w:rPr>
        <w:t>1、按照甲、乙双方认可的保养程序进行保养工作。</w:t>
      </w:r>
    </w:p>
    <w:p w14:paraId="1D540431">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2、严格按《</w:t>
      </w:r>
      <w:r>
        <w:rPr>
          <w:rFonts w:hint="eastAsia" w:ascii="仿宋" w:hAnsi="仿宋" w:eastAsia="仿宋" w:cs="仿宋"/>
          <w:sz w:val="24"/>
          <w:szCs w:val="24"/>
          <w:lang w:eastAsia="zh-CN"/>
        </w:rPr>
        <w:t>服务范围及详细技术标准</w:t>
      </w:r>
      <w:r>
        <w:rPr>
          <w:rFonts w:hint="eastAsia" w:ascii="仿宋" w:hAnsi="仿宋" w:eastAsia="仿宋" w:cs="仿宋"/>
          <w:sz w:val="24"/>
          <w:szCs w:val="24"/>
        </w:rPr>
        <w:t>》（见合同附件二）进行维修保养工作，每次检修保养完毕，均应向甲方提交维护保养报告。</w:t>
      </w:r>
    </w:p>
    <w:p w14:paraId="0884F435">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3、依据《</w:t>
      </w:r>
      <w:r>
        <w:rPr>
          <w:rFonts w:hint="eastAsia" w:ascii="仿宋" w:hAnsi="仿宋" w:eastAsia="仿宋" w:cs="仿宋"/>
          <w:sz w:val="24"/>
          <w:szCs w:val="24"/>
          <w:highlight w:val="none"/>
          <w:lang w:eastAsia="zh-CN"/>
        </w:rPr>
        <w:t>服务范围及详细技术标准</w:t>
      </w:r>
      <w:r>
        <w:rPr>
          <w:rFonts w:hint="eastAsia" w:ascii="仿宋" w:hAnsi="仿宋" w:eastAsia="仿宋" w:cs="仿宋"/>
          <w:sz w:val="24"/>
          <w:szCs w:val="24"/>
          <w:highlight w:val="none"/>
        </w:rPr>
        <w:t>》的范围，对机组设备在合同期间</w:t>
      </w:r>
      <w:r>
        <w:rPr>
          <w:rFonts w:hint="eastAsia" w:ascii="仿宋" w:hAnsi="仿宋" w:eastAsia="仿宋" w:cs="仿宋"/>
          <w:sz w:val="24"/>
          <w:szCs w:val="24"/>
          <w:highlight w:val="none"/>
          <w:u w:val="single"/>
        </w:rPr>
        <w:t>每月提供一次</w:t>
      </w:r>
      <w:r>
        <w:rPr>
          <w:rFonts w:hint="eastAsia" w:ascii="仿宋" w:hAnsi="仿宋" w:eastAsia="仿宋" w:cs="仿宋"/>
          <w:sz w:val="24"/>
          <w:szCs w:val="24"/>
          <w:highlight w:val="none"/>
        </w:rPr>
        <w:t>定期检查服务，并向甲方提交月度维护保养报告。</w:t>
      </w:r>
    </w:p>
    <w:p w14:paraId="0A8A867D">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4、依据年度维修保养工作内容，对机组设备</w:t>
      </w:r>
      <w:r>
        <w:rPr>
          <w:rFonts w:hint="eastAsia" w:ascii="仿宋" w:hAnsi="仿宋" w:eastAsia="仿宋" w:cs="仿宋"/>
          <w:sz w:val="24"/>
          <w:szCs w:val="24"/>
          <w:highlight w:val="none"/>
          <w:u w:val="single"/>
        </w:rPr>
        <w:t>在合同期内提供一次</w:t>
      </w:r>
      <w:r>
        <w:rPr>
          <w:rFonts w:hint="eastAsia" w:ascii="仿宋" w:hAnsi="仿宋" w:eastAsia="仿宋" w:cs="仿宋"/>
          <w:sz w:val="24"/>
          <w:szCs w:val="24"/>
          <w:highlight w:val="none"/>
        </w:rPr>
        <w:t>年度维修保养服务</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并向甲方提交年度维护保养报告。</w:t>
      </w:r>
    </w:p>
    <w:p w14:paraId="791272A3">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5、指导培训甲方操作人员掌握正确的操作方法与日常应急处理方法，以使各设备保持在最佳状态运行。</w:t>
      </w:r>
    </w:p>
    <w:p w14:paraId="7BB341FD">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6、对突发性机组故障，乙方应在</w:t>
      </w:r>
      <w:r>
        <w:rPr>
          <w:rFonts w:hint="eastAsia" w:ascii="仿宋" w:hAnsi="仿宋" w:eastAsia="仿宋" w:cs="仿宋"/>
          <w:b/>
          <w:bCs/>
          <w:sz w:val="24"/>
          <w:szCs w:val="24"/>
          <w:highlight w:val="none"/>
        </w:rPr>
        <w:t>两小时内</w:t>
      </w:r>
      <w:r>
        <w:rPr>
          <w:rFonts w:hint="eastAsia" w:ascii="仿宋" w:hAnsi="仿宋" w:eastAsia="仿宋" w:cs="仿宋"/>
          <w:sz w:val="24"/>
          <w:szCs w:val="24"/>
          <w:highlight w:val="none"/>
        </w:rPr>
        <w:t>派人前往处理（次数不限）并于</w:t>
      </w:r>
      <w:r>
        <w:rPr>
          <w:rFonts w:hint="eastAsia" w:ascii="仿宋" w:hAnsi="仿宋" w:eastAsia="仿宋" w:cs="仿宋"/>
          <w:b/>
          <w:bCs/>
          <w:sz w:val="24"/>
          <w:szCs w:val="24"/>
          <w:highlight w:val="none"/>
        </w:rPr>
        <w:t>八小时内</w:t>
      </w:r>
      <w:r>
        <w:rPr>
          <w:rFonts w:hint="eastAsia" w:ascii="仿宋" w:hAnsi="仿宋" w:eastAsia="仿宋" w:cs="仿宋"/>
          <w:sz w:val="24"/>
          <w:szCs w:val="24"/>
          <w:highlight w:val="none"/>
        </w:rPr>
        <w:t>提供详细的抢修报告。抢修所需配件，单价在</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u w:val="single"/>
          <w:lang w:val="en-US" w:eastAsia="zh-CN"/>
        </w:rPr>
        <w:t xml:space="preserve">  </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rPr>
        <w:t>元以下（含</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u w:val="single"/>
          <w:lang w:val="en-US" w:eastAsia="zh-CN"/>
        </w:rPr>
        <w:t xml:space="preserve">   </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rPr>
        <w:t>元）</w:t>
      </w:r>
      <w:r>
        <w:rPr>
          <w:rFonts w:hint="eastAsia" w:ascii="仿宋" w:hAnsi="仿宋" w:eastAsia="仿宋" w:cs="仿宋"/>
          <w:sz w:val="24"/>
          <w:szCs w:val="24"/>
          <w:highlight w:val="none"/>
        </w:rPr>
        <w:t>的配件由乙方负责免费更换；单价高于</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u w:val="single"/>
          <w:lang w:val="en-US" w:eastAsia="zh-CN"/>
        </w:rPr>
        <w:t xml:space="preserve">  </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rPr>
        <w:t>元</w:t>
      </w:r>
      <w:r>
        <w:rPr>
          <w:rFonts w:hint="eastAsia" w:ascii="仿宋" w:hAnsi="仿宋" w:eastAsia="仿宋" w:cs="仿宋"/>
          <w:sz w:val="24"/>
          <w:szCs w:val="24"/>
          <w:highlight w:val="none"/>
        </w:rPr>
        <w:t>的配件，须经双方书面认可，上述零件更换所需费用应由甲方另行支付乙方。乙方以优惠价格（不得高于市场价）向甲方提供零件,甲方仅需承担单价超过</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u w:val="single"/>
          <w:lang w:val="en-US" w:eastAsia="zh-CN"/>
        </w:rPr>
        <w:t xml:space="preserve">  </w:t>
      </w:r>
      <w:r>
        <w:rPr>
          <w:rFonts w:hint="eastAsia" w:ascii="仿宋" w:hAnsi="仿宋" w:eastAsia="仿宋" w:cs="仿宋"/>
          <w:b/>
          <w:bCs/>
          <w:sz w:val="24"/>
          <w:szCs w:val="24"/>
          <w:highlight w:val="none"/>
          <w:u w:val="single"/>
        </w:rPr>
        <w:t xml:space="preserve"> </w:t>
      </w:r>
      <w:r>
        <w:rPr>
          <w:rFonts w:hint="eastAsia" w:ascii="仿宋" w:hAnsi="仿宋" w:eastAsia="仿宋" w:cs="仿宋"/>
          <w:b/>
          <w:bCs/>
          <w:sz w:val="24"/>
          <w:szCs w:val="24"/>
          <w:highlight w:val="none"/>
        </w:rPr>
        <w:t>元</w:t>
      </w:r>
      <w:r>
        <w:rPr>
          <w:rFonts w:hint="eastAsia" w:ascii="仿宋" w:hAnsi="仿宋" w:eastAsia="仿宋" w:cs="仿宋"/>
          <w:sz w:val="24"/>
          <w:szCs w:val="24"/>
          <w:highlight w:val="none"/>
        </w:rPr>
        <w:t>范围之外的差额部分。材料清单由甲方工程负责人核实签字。需大修时提前三日通知甲方，维修工作三天内完成（扣除待料时间），完工后甲方确认后结算。乙方购置的零配件必须符合市场价位，且有相应质保期。</w:t>
      </w:r>
    </w:p>
    <w:p w14:paraId="69E13AE5">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7、乙方每次服务后，向甲方呈交维护保养报告，并鉴定运行状况，提出合理化建议，乙方每次检测设备发现故障时，也应于8小时内将书面报告提交甲方。</w:t>
      </w:r>
    </w:p>
    <w:p w14:paraId="22C9291B">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8、在保养期内，乙方技术人员在维修保养过程中，损坏机器配件或试机过程中损坏设备</w:t>
      </w:r>
      <w:r>
        <w:rPr>
          <w:rFonts w:hint="eastAsia" w:ascii="仿宋" w:hAnsi="仿宋" w:eastAsia="仿宋" w:cs="仿宋"/>
          <w:sz w:val="24"/>
          <w:szCs w:val="24"/>
          <w:highlight w:val="none"/>
          <w:lang w:val="en-US" w:eastAsia="zh-CN"/>
        </w:rPr>
        <w:t>的</w:t>
      </w:r>
      <w:r>
        <w:rPr>
          <w:rFonts w:hint="eastAsia" w:ascii="仿宋" w:hAnsi="仿宋" w:eastAsia="仿宋" w:cs="仿宋"/>
          <w:sz w:val="24"/>
          <w:szCs w:val="24"/>
          <w:highlight w:val="none"/>
        </w:rPr>
        <w:t>，所修复的一切费用</w:t>
      </w:r>
      <w:r>
        <w:rPr>
          <w:rFonts w:hint="eastAsia" w:ascii="仿宋" w:hAnsi="仿宋" w:eastAsia="仿宋" w:cs="仿宋"/>
          <w:sz w:val="24"/>
          <w:szCs w:val="24"/>
          <w:highlight w:val="none"/>
          <w:lang w:eastAsia="zh-CN"/>
        </w:rPr>
        <w:t>由乙方承担</w:t>
      </w:r>
      <w:r>
        <w:rPr>
          <w:rFonts w:hint="eastAsia" w:ascii="仿宋" w:hAnsi="仿宋" w:eastAsia="仿宋" w:cs="仿宋"/>
          <w:sz w:val="24"/>
          <w:szCs w:val="24"/>
          <w:highlight w:val="none"/>
        </w:rPr>
        <w:t>。</w:t>
      </w:r>
    </w:p>
    <w:p w14:paraId="5336AB6C">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9、对进行维修过的工程部分，给予</w:t>
      </w:r>
      <w:r>
        <w:rPr>
          <w:rFonts w:hint="eastAsia" w:ascii="仿宋" w:hAnsi="仿宋" w:eastAsia="仿宋" w:cs="仿宋"/>
          <w:sz w:val="24"/>
          <w:szCs w:val="24"/>
          <w:highlight w:val="none"/>
          <w:u w:val="single"/>
          <w:lang w:eastAsia="zh-CN"/>
        </w:rPr>
        <w:t>1</w:t>
      </w:r>
      <w:r>
        <w:rPr>
          <w:rFonts w:hint="eastAsia" w:ascii="仿宋" w:hAnsi="仿宋" w:eastAsia="仿宋" w:cs="仿宋"/>
          <w:sz w:val="24"/>
          <w:szCs w:val="24"/>
          <w:highlight w:val="none"/>
        </w:rPr>
        <w:t>年质保期。</w:t>
      </w:r>
    </w:p>
    <w:p w14:paraId="1886DA28">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10、乙方提供的维护保养报告及故障书面报告应有甲、乙双方有关人员签字认可。</w:t>
      </w:r>
    </w:p>
    <w:p w14:paraId="6FCFC640">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11、维修所需常用及专用工具均由乙方自带自备。</w:t>
      </w:r>
    </w:p>
    <w:p w14:paraId="32B01D51">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12、乙方应于合同签订后书面提交维修保养负责人名单，如该人员变更时应提前三天书面通知甲方。</w:t>
      </w:r>
    </w:p>
    <w:p w14:paraId="2DD16625">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13、乙方提供24小时抢修服务。维修热线：</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，若联系人或联系</w:t>
      </w:r>
      <w:r>
        <w:rPr>
          <w:rFonts w:hint="eastAsia" w:ascii="仿宋" w:hAnsi="仿宋" w:eastAsia="仿宋" w:cs="仿宋"/>
          <w:sz w:val="24"/>
          <w:szCs w:val="24"/>
          <w:highlight w:val="none"/>
          <w:lang w:eastAsia="zh-CN"/>
        </w:rPr>
        <w:t>方式</w:t>
      </w:r>
      <w:r>
        <w:rPr>
          <w:rFonts w:hint="eastAsia" w:ascii="仿宋" w:hAnsi="仿宋" w:eastAsia="仿宋" w:cs="仿宋"/>
          <w:sz w:val="24"/>
          <w:szCs w:val="24"/>
          <w:highlight w:val="none"/>
        </w:rPr>
        <w:t>有变更，乙方应及时书面通知甲方。</w:t>
      </w:r>
    </w:p>
    <w:p w14:paraId="3BF7D4C2">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14、如乙方安排的作业人员存在包括但不限于不服从甲方现场管理、态度恶劣、与他人产生矛盾冲突等</w:t>
      </w:r>
      <w:r>
        <w:rPr>
          <w:rFonts w:hint="eastAsia" w:ascii="仿宋" w:hAnsi="仿宋" w:eastAsia="仿宋" w:cs="仿宋"/>
          <w:sz w:val="24"/>
          <w:szCs w:val="24"/>
          <w:highlight w:val="none"/>
          <w:lang w:val="en-US" w:eastAsia="zh-CN"/>
        </w:rPr>
        <w:t>情形的</w:t>
      </w:r>
      <w:r>
        <w:rPr>
          <w:rFonts w:hint="eastAsia" w:ascii="仿宋" w:hAnsi="仿宋" w:eastAsia="仿宋" w:cs="仿宋"/>
          <w:sz w:val="24"/>
          <w:szCs w:val="24"/>
          <w:highlight w:val="none"/>
        </w:rPr>
        <w:t>，甲方可要求乙方立即更换现场作业人员。</w:t>
      </w:r>
    </w:p>
    <w:p w14:paraId="48063911">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15、乙方在服务过程中造成的乙方人员、甲方及任何第三方人身及财产损害，由乙方负责处理</w:t>
      </w:r>
      <w:r>
        <w:rPr>
          <w:rFonts w:hint="eastAsia" w:ascii="仿宋" w:hAnsi="仿宋" w:eastAsia="仿宋" w:cs="仿宋"/>
          <w:color w:val="000000"/>
          <w:sz w:val="24"/>
          <w:szCs w:val="24"/>
        </w:rPr>
        <w:t>并承担全部赔偿责任</w:t>
      </w:r>
      <w:r>
        <w:rPr>
          <w:rFonts w:hint="eastAsia" w:ascii="仿宋" w:hAnsi="仿宋" w:eastAsia="仿宋" w:cs="仿宋"/>
          <w:color w:val="000000"/>
          <w:sz w:val="24"/>
          <w:szCs w:val="24"/>
          <w:lang w:eastAsia="zh-CN"/>
        </w:rPr>
        <w:t>，</w:t>
      </w:r>
      <w:r>
        <w:rPr>
          <w:rFonts w:hint="eastAsia" w:ascii="仿宋" w:hAnsi="仿宋" w:eastAsia="仿宋" w:cs="仿宋"/>
          <w:sz w:val="24"/>
          <w:szCs w:val="24"/>
          <w:highlight w:val="none"/>
        </w:rPr>
        <w:t>财产按现行市场价予以赔偿</w:t>
      </w:r>
      <w:r>
        <w:rPr>
          <w:rFonts w:hint="eastAsia" w:ascii="仿宋" w:hAnsi="仿宋" w:eastAsia="仿宋" w:cs="仿宋"/>
          <w:sz w:val="24"/>
          <w:szCs w:val="24"/>
          <w:highlight w:val="none"/>
          <w:lang w:eastAsia="zh-CN"/>
        </w:rPr>
        <w:t>；</w:t>
      </w:r>
      <w:r>
        <w:rPr>
          <w:rFonts w:hint="eastAsia" w:ascii="仿宋" w:hAnsi="仿宋" w:eastAsia="仿宋" w:cs="仿宋"/>
          <w:color w:val="000000"/>
          <w:sz w:val="24"/>
          <w:szCs w:val="24"/>
        </w:rPr>
        <w:t>若甲方因此被追索，甲方有权向乙方全额追偿，并要求乙方支付</w:t>
      </w:r>
      <w:r>
        <w:rPr>
          <w:rFonts w:hint="eastAsia" w:ascii="仿宋" w:hAnsi="仿宋" w:eastAsia="仿宋" w:cs="仿宋"/>
          <w:color w:val="000000"/>
          <w:sz w:val="24"/>
          <w:szCs w:val="24"/>
          <w:lang w:val="en-US" w:eastAsia="zh-CN"/>
        </w:rPr>
        <w:t>合同总金额</w:t>
      </w:r>
      <w:r>
        <w:rPr>
          <w:rFonts w:hint="eastAsia" w:ascii="仿宋" w:hAnsi="仿宋" w:eastAsia="仿宋" w:cs="仿宋"/>
          <w:color w:val="000000"/>
          <w:sz w:val="24"/>
          <w:szCs w:val="24"/>
        </w:rPr>
        <w:t>20%的违约金</w:t>
      </w:r>
      <w:r>
        <w:rPr>
          <w:rFonts w:hint="eastAsia" w:ascii="仿宋" w:hAnsi="仿宋" w:eastAsia="仿宋" w:cs="仿宋"/>
          <w:sz w:val="24"/>
          <w:szCs w:val="24"/>
          <w:highlight w:val="none"/>
        </w:rPr>
        <w:t>。</w:t>
      </w:r>
    </w:p>
    <w:p w14:paraId="6851A701">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sz w:val="24"/>
          <w:szCs w:val="24"/>
          <w:highlight w:val="none"/>
          <w:lang w:val="en-US" w:eastAsia="zh-CN"/>
        </w:rPr>
        <w:t>16、</w:t>
      </w:r>
      <w:r>
        <w:rPr>
          <w:rFonts w:hint="eastAsia" w:ascii="仿宋" w:hAnsi="仿宋" w:eastAsia="仿宋" w:cs="仿宋"/>
          <w:color w:val="000000"/>
          <w:sz w:val="24"/>
          <w:szCs w:val="24"/>
        </w:rPr>
        <w:t>乙方不得将本合同项下的服务转包或分包给任何第三方</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否则，甲方有权单方解除本合同，并要求乙方支付合同总金额20%的违约金。</w:t>
      </w:r>
    </w:p>
    <w:p w14:paraId="18AD1DF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17、乙方应严格遵守甲方的安全管理规定，服从甲方现场管理。乙方在维修保养过程中发生安全事故的，由乙方承担全部责任。</w:t>
      </w:r>
    </w:p>
    <w:p w14:paraId="663DFF36">
      <w:pPr>
        <w:keepNext w:val="0"/>
        <w:keepLines w:val="0"/>
        <w:pageBreakBefore w:val="0"/>
        <w:kinsoku/>
        <w:topLinePunct w:val="0"/>
        <w:bidi w:val="0"/>
        <w:snapToGrid/>
        <w:spacing w:line="460" w:lineRule="exact"/>
        <w:ind w:left="0" w:firstLine="480" w:firstLineChars="200"/>
        <w:rPr>
          <w:rFonts w:ascii="Times New Roman" w:hAnsi="Times New Roman" w:eastAsia="仿宋"/>
          <w:b w:val="0"/>
          <w:sz w:val="24"/>
          <w:u w:val="none"/>
        </w:rPr>
      </w:pPr>
      <w:r>
        <w:rPr>
          <w:rFonts w:ascii="Times New Roman" w:hAnsi="Times New Roman" w:eastAsia="仿宋"/>
          <w:b w:val="0"/>
          <w:sz w:val="24"/>
          <w:u w:val="none"/>
        </w:rPr>
        <w:t>18．乙方应确保派驻本项目的作业人员均为其正式聘任员工并依法缴纳社会保险；甲方在履约考核中有权核查，不符合要求的，甲方有权要求乙方限期更换。</w:t>
      </w:r>
    </w:p>
    <w:p w14:paraId="7115AD9F">
      <w:pPr>
        <w:keepNext w:val="0"/>
        <w:keepLines w:val="0"/>
        <w:pageBreakBefore w:val="0"/>
        <w:kinsoku/>
        <w:topLinePunct w:val="0"/>
        <w:bidi w:val="0"/>
        <w:snapToGrid/>
        <w:spacing w:line="460" w:lineRule="exact"/>
        <w:ind w:left="0" w:firstLine="480" w:firstLineChars="200"/>
        <w:rPr>
          <w:rFonts w:hint="eastAsia" w:ascii="Times New Roman" w:hAnsi="Times New Roman" w:eastAsia="仿宋"/>
          <w:b w:val="0"/>
          <w:sz w:val="24"/>
          <w:u w:val="none"/>
        </w:rPr>
      </w:pPr>
      <w:r>
        <w:rPr>
          <w:rFonts w:ascii="Times New Roman" w:hAnsi="Times New Roman" w:eastAsia="仿宋"/>
          <w:b w:val="0"/>
          <w:sz w:val="24"/>
          <w:u w:val="none"/>
        </w:rPr>
        <w:t>19.</w:t>
      </w:r>
      <w:r>
        <w:rPr>
          <w:rFonts w:hint="eastAsia" w:ascii="Times New Roman" w:hAnsi="Times New Roman" w:eastAsia="仿宋"/>
          <w:b w:val="0"/>
          <w:sz w:val="24"/>
          <w:u w:val="none"/>
        </w:rPr>
        <w:t>智慧家园项目中央空调系统现有一台压力容器尚未完成特种设备纳管登记。乙方须遵照《深圳市市场监督管理局关于开展2025年度中央空调机组附属压力容器纳管工作的通知》要求开展纳管工作：</w:t>
      </w:r>
    </w:p>
    <w:p w14:paraId="4F087772">
      <w:pPr>
        <w:keepNext w:val="0"/>
        <w:keepLines w:val="0"/>
        <w:pageBreakBefore w:val="0"/>
        <w:kinsoku/>
        <w:topLinePunct w:val="0"/>
        <w:bidi w:val="0"/>
        <w:snapToGrid/>
        <w:spacing w:line="460" w:lineRule="exact"/>
        <w:ind w:left="0" w:firstLine="480" w:firstLineChars="200"/>
        <w:rPr>
          <w:rFonts w:hint="eastAsia" w:ascii="Times New Roman" w:hAnsi="Times New Roman" w:eastAsia="仿宋"/>
          <w:b w:val="0"/>
          <w:sz w:val="24"/>
          <w:u w:val="none"/>
        </w:rPr>
      </w:pPr>
      <w:r>
        <w:rPr>
          <w:rFonts w:hint="eastAsia" w:ascii="Times New Roman" w:hAnsi="Times New Roman" w:eastAsia="仿宋"/>
          <w:b w:val="0"/>
          <w:sz w:val="24"/>
          <w:u w:val="none"/>
        </w:rPr>
        <w:t>（1）优先收集、协调制造单位补齐该压力容器全套出厂技术资料；设备经制造监督检验合格且出厂资料齐全的，由乙方负责办理施工告知，按流程完成登记纳管。</w:t>
      </w:r>
    </w:p>
    <w:p w14:paraId="0DFC6F3F">
      <w:pPr>
        <w:keepNext w:val="0"/>
        <w:keepLines w:val="0"/>
        <w:pageBreakBefore w:val="0"/>
        <w:kinsoku/>
        <w:topLinePunct w:val="0"/>
        <w:bidi w:val="0"/>
        <w:snapToGrid/>
        <w:spacing w:line="460" w:lineRule="exact"/>
        <w:ind w:left="0" w:firstLine="480" w:firstLineChars="200"/>
        <w:rPr>
          <w:rFonts w:hint="eastAsia" w:ascii="Times New Roman" w:hAnsi="Times New Roman" w:eastAsia="仿宋"/>
          <w:b w:val="0"/>
          <w:sz w:val="24"/>
          <w:u w:val="none"/>
        </w:rPr>
      </w:pPr>
      <w:r>
        <w:rPr>
          <w:rFonts w:hint="eastAsia" w:ascii="Times New Roman" w:hAnsi="Times New Roman" w:eastAsia="仿宋"/>
          <w:b w:val="0"/>
          <w:sz w:val="24"/>
          <w:u w:val="none"/>
        </w:rPr>
        <w:t>（2）若无法补齐出厂资料，该设备经制造监督检验合格前提下，由乙方委托具备相应资质的特种设备检验机构开展委托检验，凭委托检验报告办理施工告知，按流程完成登记纳管。</w:t>
      </w:r>
    </w:p>
    <w:p w14:paraId="4836077D">
      <w:pPr>
        <w:keepNext w:val="0"/>
        <w:keepLines w:val="0"/>
        <w:pageBreakBefore w:val="0"/>
        <w:kinsoku/>
        <w:topLinePunct w:val="0"/>
        <w:bidi w:val="0"/>
        <w:snapToGrid/>
        <w:spacing w:line="460" w:lineRule="exact"/>
        <w:ind w:left="0" w:firstLine="480" w:firstLineChars="200"/>
        <w:rPr>
          <w:rFonts w:hint="eastAsia" w:ascii="Times New Roman" w:hAnsi="Times New Roman" w:eastAsia="仿宋"/>
          <w:b w:val="0"/>
          <w:sz w:val="24"/>
          <w:u w:val="none"/>
        </w:rPr>
      </w:pPr>
      <w:r>
        <w:rPr>
          <w:rFonts w:hint="eastAsia" w:ascii="Times New Roman" w:hAnsi="Times New Roman" w:eastAsia="仿宋"/>
          <w:b w:val="0"/>
          <w:sz w:val="24"/>
          <w:u w:val="none"/>
        </w:rPr>
        <w:t>乙方全程负责资料收集、协调制造厂家、委托检验、申报告知、登记办理全部工作，直至最终取得该压力容器《特种设备使用登记证》。本项工作涉及的人工、资料协调、委托检验费、申报登记等全部费用均包含在本合同总价之内，甲方不再另行支付任何费用。</w:t>
      </w:r>
    </w:p>
    <w:p w14:paraId="567A700D">
      <w:pPr>
        <w:keepNext w:val="0"/>
        <w:keepLines w:val="0"/>
        <w:pageBreakBefore w:val="0"/>
        <w:kinsoku/>
        <w:topLinePunct w:val="0"/>
        <w:bidi w:val="0"/>
        <w:snapToGrid/>
        <w:spacing w:line="460" w:lineRule="exact"/>
        <w:ind w:left="0" w:firstLine="480" w:firstLineChars="200"/>
        <w:rPr>
          <w:rFonts w:ascii="Times New Roman" w:hAnsi="Times New Roman" w:eastAsia="仿宋"/>
          <w:b w:val="0"/>
          <w:sz w:val="24"/>
          <w:u w:val="none"/>
        </w:rPr>
      </w:pPr>
      <w:r>
        <w:rPr>
          <w:rFonts w:hint="eastAsia" w:ascii="Times New Roman" w:hAnsi="Times New Roman" w:eastAsia="仿宋"/>
          <w:b w:val="0"/>
          <w:sz w:val="24"/>
          <w:u w:val="none"/>
        </w:rPr>
        <w:t>如因乙方资料收集不力、未按政策路径实施、检验安排延误、申报失误等乙方原因，导致不能按期取得《特种设备使用登记证》，由此产生的行政处罚、整改费用及全部损失，均由乙方承担。</w:t>
      </w:r>
    </w:p>
    <w:p w14:paraId="2AC7C931">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第五条 合同提前终止或解除</w:t>
      </w:r>
    </w:p>
    <w:p w14:paraId="1B03DC8A">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b/>
          <w:bCs/>
          <w:color w:val="000000"/>
          <w:sz w:val="24"/>
          <w:szCs w:val="24"/>
        </w:rPr>
      </w:pPr>
      <w:r>
        <w:rPr>
          <w:rFonts w:hint="eastAsia" w:ascii="仿宋" w:hAnsi="仿宋" w:eastAsia="仿宋" w:cs="仿宋"/>
          <w:sz w:val="24"/>
          <w:szCs w:val="24"/>
        </w:rPr>
        <w:t>本合同生效后，非因乙方原因（包括但不限于甲方不再管理该物业、甲方经营调整、甲方单方决定提前终止合同等）导致本合同提前终止或解除的，甲方按照乙方已完成且经甲方验收合格的工作量结算合同费用，除此之外，甲方不再承担任何其它补偿、赔偿责任。合同终止或解除后，乙方应在5日内向甲方移交全部维保记录、水质检测报告等资料，并按甲方要求完成工作交接。</w:t>
      </w:r>
    </w:p>
    <w:p w14:paraId="2375625D">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第六条 违约责任</w:t>
      </w:r>
    </w:p>
    <w:p w14:paraId="4963D2D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1、乙方在签订本合同后单方提前解除或终止合同的，乙方应向甲方支付本合同总金额20%的违约金。</w:t>
      </w:r>
    </w:p>
    <w:p w14:paraId="3D657B62">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2、乙方应及时按合同约定的时间提供相应的服务，如乙方未按照双方约定的时间提供服务</w:t>
      </w:r>
      <w:r>
        <w:rPr>
          <w:rFonts w:hint="eastAsia" w:ascii="仿宋" w:hAnsi="仿宋" w:eastAsia="仿宋" w:cs="仿宋"/>
          <w:sz w:val="24"/>
          <w:szCs w:val="24"/>
          <w:lang w:val="en-US" w:eastAsia="zh-CN"/>
        </w:rPr>
        <w:t>累计</w:t>
      </w:r>
      <w:r>
        <w:rPr>
          <w:rFonts w:hint="eastAsia" w:ascii="仿宋" w:hAnsi="仿宋" w:eastAsia="仿宋" w:cs="仿宋"/>
          <w:sz w:val="24"/>
          <w:szCs w:val="24"/>
        </w:rPr>
        <w:t>超过三次，甲方有权单方解除合同并</w:t>
      </w:r>
      <w:r>
        <w:rPr>
          <w:rFonts w:hint="eastAsia" w:ascii="仿宋" w:hAnsi="仿宋" w:eastAsia="仿宋" w:cs="仿宋"/>
          <w:sz w:val="24"/>
          <w:szCs w:val="24"/>
          <w:lang w:val="en-US" w:eastAsia="zh-CN"/>
        </w:rPr>
        <w:t>要求</w:t>
      </w:r>
      <w:r>
        <w:rPr>
          <w:rFonts w:hint="eastAsia" w:ascii="仿宋" w:hAnsi="仿宋" w:eastAsia="仿宋" w:cs="仿宋"/>
          <w:sz w:val="24"/>
          <w:szCs w:val="24"/>
        </w:rPr>
        <w:t>乙方</w:t>
      </w:r>
      <w:r>
        <w:rPr>
          <w:rFonts w:hint="eastAsia" w:ascii="仿宋" w:hAnsi="仿宋" w:eastAsia="仿宋" w:cs="仿宋"/>
          <w:sz w:val="24"/>
          <w:szCs w:val="24"/>
          <w:lang w:val="en-US" w:eastAsia="zh-CN"/>
        </w:rPr>
        <w:t>支付</w:t>
      </w:r>
      <w:r>
        <w:rPr>
          <w:rFonts w:hint="eastAsia" w:ascii="仿宋" w:hAnsi="仿宋" w:eastAsia="仿宋" w:cs="仿宋"/>
          <w:sz w:val="24"/>
          <w:szCs w:val="24"/>
        </w:rPr>
        <w:t>本合同总额20%</w:t>
      </w:r>
      <w:r>
        <w:rPr>
          <w:rFonts w:hint="eastAsia" w:ascii="仿宋" w:hAnsi="仿宋" w:eastAsia="仿宋" w:cs="仿宋"/>
          <w:sz w:val="24"/>
          <w:szCs w:val="24"/>
          <w:lang w:val="en-US" w:eastAsia="zh-CN"/>
        </w:rPr>
        <w:t>的违约金；因乙方行为给甲方造成损失的，应承担赔偿责任</w:t>
      </w:r>
      <w:r>
        <w:rPr>
          <w:rFonts w:hint="eastAsia" w:ascii="仿宋" w:hAnsi="仿宋" w:eastAsia="仿宋" w:cs="仿宋"/>
          <w:sz w:val="24"/>
          <w:szCs w:val="24"/>
        </w:rPr>
        <w:t>。</w:t>
      </w:r>
    </w:p>
    <w:p w14:paraId="6AE010F2">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3、乙方不得有任何贿赂或馈赠甲方人员的行为</w:t>
      </w:r>
      <w:r>
        <w:rPr>
          <w:rFonts w:hint="eastAsia" w:ascii="仿宋" w:hAnsi="仿宋" w:eastAsia="仿宋" w:cs="仿宋"/>
          <w:sz w:val="24"/>
          <w:szCs w:val="24"/>
          <w:lang w:eastAsia="zh-CN"/>
        </w:rPr>
        <w:t>，</w:t>
      </w:r>
      <w:r>
        <w:rPr>
          <w:rFonts w:hint="eastAsia" w:ascii="仿宋" w:hAnsi="仿宋" w:eastAsia="仿宋" w:cs="仿宋"/>
          <w:sz w:val="24"/>
          <w:szCs w:val="24"/>
        </w:rPr>
        <w:t>否则视为乙方违约</w:t>
      </w:r>
      <w:r>
        <w:rPr>
          <w:rFonts w:hint="eastAsia" w:ascii="仿宋" w:hAnsi="仿宋" w:eastAsia="仿宋" w:cs="仿宋"/>
          <w:sz w:val="24"/>
          <w:szCs w:val="24"/>
          <w:lang w:eastAsia="zh-CN"/>
        </w:rPr>
        <w:t>，</w:t>
      </w:r>
      <w:r>
        <w:rPr>
          <w:rFonts w:hint="eastAsia" w:ascii="仿宋" w:hAnsi="仿宋" w:eastAsia="仿宋" w:cs="仿宋"/>
          <w:sz w:val="24"/>
          <w:szCs w:val="24"/>
        </w:rPr>
        <w:t>甲方有权</w:t>
      </w:r>
      <w:r>
        <w:rPr>
          <w:rFonts w:hint="eastAsia" w:ascii="仿宋" w:hAnsi="仿宋" w:eastAsia="仿宋" w:cs="仿宋"/>
          <w:sz w:val="24"/>
          <w:szCs w:val="24"/>
          <w:lang w:val="en-US" w:eastAsia="zh-CN"/>
        </w:rPr>
        <w:t>要求</w:t>
      </w:r>
      <w:r>
        <w:rPr>
          <w:rFonts w:hint="eastAsia" w:ascii="仿宋" w:hAnsi="仿宋" w:eastAsia="仿宋" w:cs="仿宋"/>
          <w:sz w:val="24"/>
          <w:szCs w:val="24"/>
        </w:rPr>
        <w:t>乙方</w:t>
      </w:r>
      <w:r>
        <w:rPr>
          <w:rFonts w:hint="eastAsia" w:ascii="仿宋" w:hAnsi="仿宋" w:eastAsia="仿宋" w:cs="仿宋"/>
          <w:sz w:val="24"/>
          <w:szCs w:val="24"/>
          <w:lang w:val="en-US" w:eastAsia="zh-CN"/>
        </w:rPr>
        <w:t>支付</w:t>
      </w:r>
      <w:r>
        <w:rPr>
          <w:rFonts w:hint="eastAsia" w:ascii="仿宋" w:hAnsi="仿宋" w:eastAsia="仿宋" w:cs="仿宋"/>
          <w:sz w:val="24"/>
          <w:szCs w:val="24"/>
        </w:rPr>
        <w:t>本合同总额20%</w:t>
      </w:r>
      <w:r>
        <w:rPr>
          <w:rFonts w:hint="eastAsia" w:ascii="仿宋" w:hAnsi="仿宋" w:eastAsia="仿宋" w:cs="仿宋"/>
          <w:sz w:val="24"/>
          <w:szCs w:val="24"/>
          <w:lang w:val="en-US" w:eastAsia="zh-CN"/>
        </w:rPr>
        <w:t>的违约金并</w:t>
      </w:r>
      <w:r>
        <w:rPr>
          <w:rFonts w:hint="eastAsia" w:ascii="仿宋" w:hAnsi="仿宋" w:eastAsia="仿宋" w:cs="仿宋"/>
          <w:sz w:val="24"/>
          <w:szCs w:val="24"/>
        </w:rPr>
        <w:t>立即解除合同</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因乙方行为给甲方造成损失的，应承担赔偿责任</w:t>
      </w:r>
      <w:r>
        <w:rPr>
          <w:rFonts w:hint="eastAsia" w:ascii="仿宋" w:hAnsi="仿宋" w:eastAsia="仿宋" w:cs="仿宋"/>
          <w:sz w:val="24"/>
          <w:szCs w:val="24"/>
        </w:rPr>
        <w:t>。</w:t>
      </w:r>
    </w:p>
    <w:p w14:paraId="06723C57">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4、乙方人员不遵守甲方规章制度、未按照安全管理规定进行作业</w:t>
      </w:r>
      <w:r>
        <w:rPr>
          <w:rFonts w:hint="eastAsia" w:ascii="仿宋" w:hAnsi="仿宋" w:eastAsia="仿宋" w:cs="仿宋"/>
          <w:sz w:val="24"/>
          <w:szCs w:val="24"/>
          <w:lang w:eastAsia="zh-CN"/>
        </w:rPr>
        <w:t>，</w:t>
      </w:r>
      <w:r>
        <w:rPr>
          <w:rFonts w:hint="eastAsia" w:ascii="仿宋" w:hAnsi="仿宋" w:eastAsia="仿宋" w:cs="仿宋"/>
          <w:sz w:val="24"/>
          <w:szCs w:val="24"/>
        </w:rPr>
        <w:t>或服务质量未达到本合同约定的质量标准或服务态度恶劣的，甲方有权要求乙方在指定期限内整改直至甲方验收合格，整改费用由乙方自行承担；乙方拒不整改或整改不合格的，甲方有权解除本合同并要求乙方承担合同总额20%的违约金。</w:t>
      </w:r>
    </w:p>
    <w:p w14:paraId="490F70CC">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5、任何一方违约的，守约方因维权付出的所有费用，包括但不限于律师代理费、诉讼费、担保费、保全费、差旅费、材料费、调查费、评估费、鉴定费等均由违约方支付</w:t>
      </w:r>
      <w:r>
        <w:rPr>
          <w:rFonts w:hint="eastAsia" w:ascii="仿宋" w:hAnsi="仿宋" w:eastAsia="仿宋" w:cs="仿宋"/>
          <w:sz w:val="24"/>
          <w:szCs w:val="24"/>
          <w:lang w:eastAsia="zh-CN"/>
        </w:rPr>
        <w:t>；</w:t>
      </w:r>
      <w:r>
        <w:rPr>
          <w:rFonts w:hint="eastAsia" w:ascii="仿宋" w:hAnsi="仿宋" w:eastAsia="仿宋" w:cs="仿宋"/>
          <w:sz w:val="24"/>
          <w:szCs w:val="24"/>
        </w:rPr>
        <w:t>给守约方造成损失的，违约方还应另行赔偿。</w:t>
      </w:r>
    </w:p>
    <w:p w14:paraId="470F31FE">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r>
        <w:rPr>
          <w:rFonts w:hint="eastAsia" w:ascii="仿宋" w:hAnsi="仿宋" w:eastAsia="仿宋" w:cs="仿宋"/>
          <w:sz w:val="24"/>
          <w:szCs w:val="24"/>
        </w:rPr>
        <w:t>若经第三方检测确认乙方水处理水质指标超标，乙方须在7个工作日内完成整改达标，第三方检测费用由乙方承担；整改完成后重新送检。若整改后仍出现三项及以上指标同时超标，乙方按每项500元向甲方支付违约金。水质超标累计达到2次及以上的，甲方有权单方面解除本合同，并要求乙方支付合同总金额20%的违约金，造成甲方设备损失的，乙方另行全额赔偿。</w:t>
      </w:r>
    </w:p>
    <w:p w14:paraId="105DF5A5">
      <w:pPr>
        <w:pStyle w:val="34"/>
        <w:keepNext w:val="0"/>
        <w:keepLines w:val="0"/>
        <w:pageBreakBefore w:val="0"/>
        <w:tabs>
          <w:tab w:val="left" w:pos="1443"/>
        </w:tabs>
        <w:kinsoku/>
        <w:topLinePunct w:val="0"/>
        <w:bidi w:val="0"/>
        <w:snapToGrid/>
        <w:spacing w:after="0" w:line="460" w:lineRule="exact"/>
        <w:ind w:left="0" w:firstLine="482" w:firstLineChars="200"/>
        <w:rPr>
          <w:rFonts w:hint="eastAsia" w:ascii="仿宋" w:hAnsi="仿宋" w:eastAsia="仿宋" w:cs="仿宋"/>
          <w:b/>
          <w:bCs/>
          <w:color w:val="000000"/>
          <w:sz w:val="24"/>
          <w:szCs w:val="24"/>
          <w:lang w:bidi="en-US"/>
        </w:rPr>
      </w:pPr>
      <w:r>
        <w:rPr>
          <w:rFonts w:hint="eastAsia" w:ascii="仿宋" w:hAnsi="仿宋" w:eastAsia="仿宋" w:cs="仿宋"/>
          <w:b/>
          <w:bCs/>
          <w:color w:val="000000"/>
          <w:sz w:val="24"/>
          <w:szCs w:val="24"/>
          <w:lang w:bidi="en-US"/>
        </w:rPr>
        <w:t>第七条 通知与送达</w:t>
      </w:r>
    </w:p>
    <w:p w14:paraId="6EE7C56F">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lang w:bidi="en-US"/>
        </w:rPr>
      </w:pPr>
      <w:r>
        <w:rPr>
          <w:rFonts w:hint="eastAsia" w:ascii="仿宋" w:hAnsi="仿宋" w:eastAsia="仿宋" w:cs="仿宋"/>
          <w:color w:val="000000"/>
          <w:sz w:val="24"/>
          <w:szCs w:val="24"/>
          <w:lang w:bidi="en-US"/>
        </w:rPr>
        <w:t>甲乙双方约定相关文书、通知等资料的送达地址如下：</w:t>
      </w:r>
    </w:p>
    <w:p w14:paraId="797B1A0C">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lang w:bidi="en-US"/>
        </w:rPr>
      </w:pPr>
      <w:r>
        <w:rPr>
          <w:rFonts w:hint="eastAsia" w:ascii="仿宋" w:hAnsi="仿宋" w:eastAsia="仿宋" w:cs="仿宋"/>
          <w:color w:val="000000"/>
          <w:sz w:val="24"/>
          <w:szCs w:val="24"/>
          <w:highlight w:val="none"/>
          <w:lang w:bidi="en-US"/>
        </w:rPr>
        <w:t>甲方邮箱地址：</w:t>
      </w:r>
      <w:r>
        <w:rPr>
          <w:rFonts w:hint="eastAsia" w:ascii="仿宋" w:hAnsi="仿宋" w:eastAsia="仿宋" w:cs="仿宋"/>
          <w:color w:val="000000"/>
          <w:sz w:val="24"/>
          <w:szCs w:val="24"/>
          <w:highlight w:val="none"/>
          <w:u w:val="single"/>
          <w:lang w:bidi="en-US"/>
        </w:rPr>
        <w:t xml:space="preserve">    </w:t>
      </w:r>
    </w:p>
    <w:p w14:paraId="257219B5">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lang w:bidi="en-US"/>
        </w:rPr>
      </w:pPr>
      <w:r>
        <w:rPr>
          <w:rFonts w:hint="eastAsia" w:ascii="仿宋" w:hAnsi="仿宋" w:eastAsia="仿宋" w:cs="仿宋"/>
          <w:color w:val="000000"/>
          <w:sz w:val="24"/>
          <w:szCs w:val="24"/>
          <w:highlight w:val="none"/>
          <w:lang w:bidi="en-US"/>
        </w:rPr>
        <w:t>送达地址：</w:t>
      </w:r>
      <w:r>
        <w:rPr>
          <w:rFonts w:hint="eastAsia" w:ascii="仿宋" w:hAnsi="仿宋" w:eastAsia="仿宋" w:cs="仿宋"/>
          <w:color w:val="000000"/>
          <w:sz w:val="24"/>
          <w:szCs w:val="24"/>
          <w:highlight w:val="none"/>
          <w:u w:val="single"/>
          <w:lang w:bidi="en-US"/>
        </w:rPr>
        <w:t xml:space="preserve">            </w:t>
      </w:r>
      <w:r>
        <w:rPr>
          <w:rFonts w:hint="eastAsia" w:ascii="仿宋" w:hAnsi="仿宋" w:eastAsia="仿宋" w:cs="仿宋"/>
          <w:color w:val="000000"/>
          <w:sz w:val="24"/>
          <w:szCs w:val="24"/>
          <w:highlight w:val="none"/>
          <w:lang w:bidi="en-US"/>
        </w:rPr>
        <w:t xml:space="preserve">  </w:t>
      </w:r>
    </w:p>
    <w:p w14:paraId="541D5EB6">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u w:val="single"/>
          <w:lang w:bidi="en-US"/>
        </w:rPr>
      </w:pPr>
      <w:r>
        <w:rPr>
          <w:rFonts w:hint="eastAsia" w:ascii="仿宋" w:hAnsi="仿宋" w:eastAsia="仿宋" w:cs="仿宋"/>
          <w:color w:val="000000"/>
          <w:sz w:val="24"/>
          <w:szCs w:val="24"/>
          <w:highlight w:val="none"/>
          <w:lang w:bidi="en-US"/>
        </w:rPr>
        <w:t>联系人：</w:t>
      </w:r>
      <w:r>
        <w:rPr>
          <w:rFonts w:hint="eastAsia" w:ascii="仿宋" w:hAnsi="仿宋" w:eastAsia="仿宋" w:cs="仿宋"/>
          <w:color w:val="000000"/>
          <w:sz w:val="24"/>
          <w:szCs w:val="24"/>
          <w:highlight w:val="none"/>
          <w:u w:val="single"/>
          <w:lang w:bidi="en-US"/>
        </w:rPr>
        <w:t xml:space="preserve">   </w:t>
      </w:r>
    </w:p>
    <w:p w14:paraId="11661AFD">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u w:val="single"/>
          <w:lang w:bidi="en-US"/>
        </w:rPr>
      </w:pPr>
      <w:r>
        <w:rPr>
          <w:rFonts w:hint="eastAsia" w:ascii="仿宋" w:hAnsi="仿宋" w:eastAsia="仿宋" w:cs="仿宋"/>
          <w:color w:val="000000"/>
          <w:sz w:val="24"/>
          <w:szCs w:val="24"/>
          <w:highlight w:val="none"/>
          <w:lang w:bidi="en-US"/>
        </w:rPr>
        <w:t>电话：</w:t>
      </w:r>
      <w:r>
        <w:rPr>
          <w:rFonts w:hint="eastAsia" w:ascii="仿宋" w:hAnsi="仿宋" w:eastAsia="仿宋" w:cs="仿宋"/>
          <w:color w:val="000000"/>
          <w:sz w:val="24"/>
          <w:szCs w:val="24"/>
          <w:highlight w:val="none"/>
          <w:u w:val="single"/>
          <w:lang w:bidi="en-US"/>
        </w:rPr>
        <w:t xml:space="preserve"> </w:t>
      </w:r>
    </w:p>
    <w:p w14:paraId="12C6538B">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lang w:bidi="en-US"/>
        </w:rPr>
      </w:pPr>
      <w:r>
        <w:rPr>
          <w:rFonts w:hint="eastAsia" w:ascii="仿宋" w:hAnsi="仿宋" w:eastAsia="仿宋" w:cs="仿宋"/>
          <w:color w:val="000000"/>
          <w:sz w:val="24"/>
          <w:szCs w:val="24"/>
          <w:highlight w:val="none"/>
          <w:lang w:bidi="en-US"/>
        </w:rPr>
        <w:t>乙方邮箱地址：</w:t>
      </w:r>
    </w:p>
    <w:p w14:paraId="55A76046">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lang w:val="en-US" w:eastAsia="zh-CN" w:bidi="en-US"/>
        </w:rPr>
      </w:pPr>
      <w:r>
        <w:rPr>
          <w:rFonts w:hint="eastAsia" w:ascii="仿宋" w:hAnsi="仿宋" w:eastAsia="仿宋" w:cs="仿宋"/>
          <w:color w:val="000000"/>
          <w:sz w:val="24"/>
          <w:szCs w:val="24"/>
          <w:highlight w:val="none"/>
          <w:lang w:bidi="en-US"/>
        </w:rPr>
        <w:t>送达地址：</w:t>
      </w:r>
      <w:r>
        <w:rPr>
          <w:rFonts w:hint="eastAsia" w:ascii="仿宋" w:hAnsi="仿宋" w:eastAsia="仿宋" w:cs="仿宋"/>
          <w:color w:val="000000"/>
          <w:sz w:val="24"/>
          <w:szCs w:val="24"/>
          <w:highlight w:val="none"/>
          <w:lang w:val="en-US" w:eastAsia="zh-CN" w:bidi="en-US"/>
        </w:rPr>
        <w:t xml:space="preserve"> </w:t>
      </w:r>
    </w:p>
    <w:p w14:paraId="26D32895">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lang w:bidi="en-US"/>
        </w:rPr>
      </w:pPr>
      <w:r>
        <w:rPr>
          <w:rFonts w:hint="eastAsia" w:ascii="仿宋" w:hAnsi="仿宋" w:eastAsia="仿宋" w:cs="仿宋"/>
          <w:color w:val="000000"/>
          <w:sz w:val="24"/>
          <w:szCs w:val="24"/>
          <w:highlight w:val="none"/>
          <w:lang w:bidi="en-US"/>
        </w:rPr>
        <w:t>联系人：</w:t>
      </w:r>
    </w:p>
    <w:p w14:paraId="4B27931C">
      <w:pPr>
        <w:pStyle w:val="34"/>
        <w:keepNext w:val="0"/>
        <w:keepLines w:val="0"/>
        <w:pageBreakBefore w:val="0"/>
        <w:tabs>
          <w:tab w:val="left" w:pos="1443"/>
        </w:tabs>
        <w:kinsoku/>
        <w:topLinePunct w:val="0"/>
        <w:bidi w:val="0"/>
        <w:snapToGrid/>
        <w:spacing w:after="0" w:line="460" w:lineRule="exact"/>
        <w:ind w:left="0" w:firstLine="480" w:firstLineChars="200"/>
        <w:rPr>
          <w:rFonts w:hint="eastAsia" w:ascii="仿宋" w:hAnsi="仿宋" w:eastAsia="仿宋" w:cs="仿宋"/>
          <w:color w:val="000000"/>
          <w:sz w:val="24"/>
          <w:szCs w:val="24"/>
          <w:highlight w:val="none"/>
          <w:lang w:bidi="en-US"/>
        </w:rPr>
      </w:pPr>
      <w:r>
        <w:rPr>
          <w:rFonts w:hint="eastAsia" w:ascii="仿宋" w:hAnsi="仿宋" w:eastAsia="仿宋" w:cs="仿宋"/>
          <w:color w:val="000000"/>
          <w:sz w:val="24"/>
          <w:szCs w:val="24"/>
          <w:highlight w:val="none"/>
          <w:lang w:bidi="en-US"/>
        </w:rPr>
        <w:t>电话：</w:t>
      </w:r>
      <w:r>
        <w:rPr>
          <w:rFonts w:hint="eastAsia" w:ascii="仿宋" w:hAnsi="仿宋" w:eastAsia="仿宋" w:cs="仿宋"/>
          <w:color w:val="000000"/>
          <w:sz w:val="24"/>
          <w:szCs w:val="24"/>
          <w:highlight w:val="none"/>
          <w:lang w:val="en-US" w:eastAsia="zh-CN" w:bidi="en-US"/>
        </w:rPr>
        <w:t xml:space="preserve"> </w:t>
      </w:r>
      <w:r>
        <w:rPr>
          <w:rFonts w:hint="eastAsia" w:ascii="仿宋" w:hAnsi="仿宋" w:eastAsia="仿宋" w:cs="仿宋"/>
          <w:color w:val="000000"/>
          <w:sz w:val="24"/>
          <w:szCs w:val="24"/>
          <w:highlight w:val="none"/>
          <w:u w:val="single"/>
          <w:lang w:bidi="en-US"/>
        </w:rPr>
        <w:t xml:space="preserve">            </w:t>
      </w:r>
      <w:r>
        <w:rPr>
          <w:rFonts w:hint="eastAsia" w:ascii="仿宋" w:hAnsi="仿宋" w:eastAsia="仿宋" w:cs="仿宋"/>
          <w:color w:val="000000"/>
          <w:sz w:val="24"/>
          <w:szCs w:val="24"/>
          <w:highlight w:val="none"/>
          <w:lang w:bidi="en-US"/>
        </w:rPr>
        <w:t xml:space="preserve">    </w:t>
      </w:r>
    </w:p>
    <w:p w14:paraId="3B05A850">
      <w:pPr>
        <w:pStyle w:val="34"/>
        <w:keepNext w:val="0"/>
        <w:keepLines w:val="0"/>
        <w:pageBreakBefore w:val="0"/>
        <w:tabs>
          <w:tab w:val="left" w:pos="1443"/>
        </w:tabs>
        <w:kinsoku/>
        <w:topLinePunct w:val="0"/>
        <w:bidi w:val="0"/>
        <w:snapToGrid/>
        <w:spacing w:line="460" w:lineRule="exact"/>
        <w:ind w:left="0" w:firstLine="0"/>
        <w:rPr>
          <w:rFonts w:hint="eastAsia" w:ascii="仿宋" w:hAnsi="仿宋" w:eastAsia="仿宋" w:cs="仿宋"/>
        </w:rPr>
      </w:pPr>
      <w:r>
        <w:rPr>
          <w:rFonts w:hint="eastAsia" w:ascii="仿宋" w:hAnsi="仿宋" w:eastAsia="仿宋" w:cs="仿宋"/>
          <w:color w:val="000000"/>
          <w:sz w:val="24"/>
          <w:szCs w:val="24"/>
          <w:lang w:bidi="en-US"/>
        </w:rPr>
        <w:t xml:space="preserve">    双方共同确认：上述送达方式适用于协议</w:t>
      </w:r>
      <w:r>
        <w:rPr>
          <w:rFonts w:hint="eastAsia" w:ascii="仿宋" w:hAnsi="仿宋" w:eastAsia="仿宋" w:cs="仿宋"/>
          <w:color w:val="000000"/>
          <w:sz w:val="24"/>
          <w:szCs w:val="24"/>
          <w:lang w:val="en-US" w:eastAsia="zh-CN" w:bidi="en-US"/>
        </w:rPr>
        <w:t>本合同</w:t>
      </w:r>
      <w:r>
        <w:rPr>
          <w:rFonts w:hint="eastAsia" w:ascii="仿宋" w:hAnsi="仿宋" w:eastAsia="仿宋" w:cs="仿宋"/>
          <w:color w:val="000000"/>
          <w:sz w:val="24"/>
          <w:szCs w:val="24"/>
          <w:lang w:bidi="en-US"/>
        </w:rPr>
        <w:t>履行及各个司法阶段</w:t>
      </w:r>
      <w:r>
        <w:rPr>
          <w:rFonts w:hint="eastAsia" w:ascii="仿宋" w:hAnsi="仿宋" w:eastAsia="仿宋" w:cs="仿宋"/>
          <w:color w:val="000000"/>
          <w:sz w:val="24"/>
          <w:szCs w:val="24"/>
          <w:lang w:eastAsia="zh-CN" w:bidi="en-US"/>
        </w:rPr>
        <w:t>（</w:t>
      </w:r>
      <w:r>
        <w:rPr>
          <w:rFonts w:hint="eastAsia" w:ascii="仿宋" w:hAnsi="仿宋" w:eastAsia="仿宋" w:cs="仿宋"/>
          <w:color w:val="000000"/>
          <w:sz w:val="24"/>
          <w:szCs w:val="24"/>
          <w:lang w:bidi="en-US"/>
        </w:rPr>
        <w:t>包括但不限于协议履行期间、一审、二审、再审、执行以及督促程序。同时双方保证送达地址准确、有效，如果提供的地址不确切，或者不及时告知变更后的地址，使通知、协议或相关法律文书无法送达或未及时送达</w:t>
      </w:r>
      <w:r>
        <w:rPr>
          <w:rFonts w:hint="eastAsia" w:ascii="仿宋" w:hAnsi="仿宋" w:eastAsia="仿宋" w:cs="仿宋"/>
          <w:color w:val="000000"/>
          <w:sz w:val="24"/>
          <w:szCs w:val="24"/>
          <w:lang w:val="en-US" w:eastAsia="zh-CN" w:bidi="en-US"/>
        </w:rPr>
        <w:t>的</w:t>
      </w:r>
      <w:r>
        <w:rPr>
          <w:rFonts w:hint="eastAsia" w:ascii="仿宋" w:hAnsi="仿宋" w:eastAsia="仿宋" w:cs="仿宋"/>
          <w:color w:val="000000"/>
          <w:sz w:val="24"/>
          <w:szCs w:val="24"/>
          <w:lang w:bidi="en-US"/>
        </w:rPr>
        <w:t>，自行承担由此可能产生的法律后果。</w:t>
      </w:r>
    </w:p>
    <w:p w14:paraId="593C20FF">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第八条  争议解决</w:t>
      </w:r>
    </w:p>
    <w:p w14:paraId="21148619">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甲乙双方在履行本合同过程中发生争议的，双方首先应友好协商解决，协商不成的，提交甲方住所地人民法院诉讼解决。</w:t>
      </w:r>
    </w:p>
    <w:p w14:paraId="75F1B357">
      <w:pPr>
        <w:keepNext w:val="0"/>
        <w:keepLines w:val="0"/>
        <w:pageBreakBefore w:val="0"/>
        <w:widowControl/>
        <w:kinsoku/>
        <w:topLinePunct w:val="0"/>
        <w:bidi w:val="0"/>
        <w:snapToGrid/>
        <w:spacing w:after="0" w:line="460" w:lineRule="exact"/>
        <w:ind w:left="0"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 xml:space="preserve">第九条  </w:t>
      </w:r>
      <w:r>
        <w:rPr>
          <w:rFonts w:hint="eastAsia" w:ascii="仿宋" w:hAnsi="仿宋" w:eastAsia="仿宋" w:cs="仿宋"/>
          <w:b/>
          <w:bCs/>
          <w:color w:val="000000"/>
          <w:sz w:val="24"/>
          <w:szCs w:val="24"/>
          <w:lang w:eastAsia="zh-CN"/>
        </w:rPr>
        <w:t>其他</w:t>
      </w:r>
    </w:p>
    <w:p w14:paraId="0C29E3AA">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1、如甲方不再管理该物业</w:t>
      </w:r>
      <w:r>
        <w:rPr>
          <w:rFonts w:hint="eastAsia" w:ascii="仿宋" w:hAnsi="仿宋" w:eastAsia="仿宋" w:cs="仿宋"/>
          <w:sz w:val="24"/>
          <w:szCs w:val="24"/>
          <w:lang w:eastAsia="zh-CN"/>
        </w:rPr>
        <w:t>，</w:t>
      </w:r>
      <w:r>
        <w:rPr>
          <w:rFonts w:hint="eastAsia" w:ascii="仿宋" w:hAnsi="仿宋" w:eastAsia="仿宋" w:cs="仿宋"/>
          <w:sz w:val="24"/>
          <w:szCs w:val="24"/>
        </w:rPr>
        <w:t>则本合同自然终止，双方根据乙方提交给甲方并经甲方验收合格的实际完成工作量即时结清费用，甲方不承担任何违约责任。</w:t>
      </w:r>
    </w:p>
    <w:p w14:paraId="7C8A3562">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2、本合同自双方</w:t>
      </w:r>
      <w:r>
        <w:rPr>
          <w:rFonts w:hint="eastAsia" w:ascii="仿宋" w:hAnsi="仿宋" w:eastAsia="仿宋" w:cs="仿宋"/>
          <w:sz w:val="24"/>
          <w:szCs w:val="24"/>
          <w:lang w:val="en-US" w:eastAsia="zh-CN"/>
        </w:rPr>
        <w:t>法定代表人或授权代表</w:t>
      </w:r>
      <w:r>
        <w:rPr>
          <w:rFonts w:hint="eastAsia" w:ascii="仿宋" w:hAnsi="仿宋" w:eastAsia="仿宋" w:cs="仿宋"/>
          <w:sz w:val="24"/>
          <w:szCs w:val="24"/>
        </w:rPr>
        <w:t>签字</w:t>
      </w:r>
      <w:r>
        <w:rPr>
          <w:rFonts w:hint="eastAsia" w:ascii="仿宋" w:hAnsi="仿宋" w:eastAsia="仿宋" w:cs="仿宋"/>
          <w:sz w:val="24"/>
          <w:szCs w:val="24"/>
          <w:lang w:val="en-US" w:eastAsia="zh-CN"/>
        </w:rPr>
        <w:t>并加</w:t>
      </w:r>
      <w:r>
        <w:rPr>
          <w:rFonts w:hint="eastAsia" w:ascii="仿宋" w:hAnsi="仿宋" w:eastAsia="仿宋" w:cs="仿宋"/>
          <w:sz w:val="24"/>
          <w:szCs w:val="24"/>
        </w:rPr>
        <w:t>盖</w:t>
      </w:r>
      <w:r>
        <w:rPr>
          <w:rFonts w:hint="eastAsia" w:ascii="仿宋" w:hAnsi="仿宋" w:eastAsia="仿宋" w:cs="仿宋"/>
          <w:sz w:val="24"/>
          <w:szCs w:val="24"/>
          <w:lang w:val="en-US" w:eastAsia="zh-CN"/>
        </w:rPr>
        <w:t>公</w:t>
      </w:r>
      <w:r>
        <w:rPr>
          <w:rFonts w:hint="eastAsia" w:ascii="仿宋" w:hAnsi="仿宋" w:eastAsia="仿宋" w:cs="仿宋"/>
          <w:sz w:val="24"/>
          <w:szCs w:val="24"/>
        </w:rPr>
        <w:t>章之日起生效。如有变更或未尽事宜，由双方协商一致后，另行签订补充协议，补充协议构成本合同的组成部分。</w:t>
      </w:r>
    </w:p>
    <w:p w14:paraId="64154DBE">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3、本合同</w:t>
      </w:r>
      <w:r>
        <w:rPr>
          <w:rFonts w:hint="eastAsia" w:ascii="仿宋" w:hAnsi="仿宋" w:eastAsia="仿宋" w:cs="仿宋"/>
          <w:sz w:val="24"/>
          <w:szCs w:val="24"/>
          <w:u w:val="single"/>
        </w:rPr>
        <w:t>壹</w:t>
      </w:r>
      <w:r>
        <w:rPr>
          <w:rFonts w:hint="eastAsia" w:ascii="仿宋" w:hAnsi="仿宋" w:eastAsia="仿宋" w:cs="仿宋"/>
          <w:sz w:val="24"/>
          <w:szCs w:val="24"/>
        </w:rPr>
        <w:t>式</w:t>
      </w:r>
      <w:r>
        <w:rPr>
          <w:rFonts w:hint="eastAsia" w:ascii="仿宋" w:hAnsi="仿宋" w:eastAsia="仿宋" w:cs="仿宋"/>
          <w:sz w:val="24"/>
          <w:szCs w:val="24"/>
          <w:u w:val="single"/>
          <w:lang w:val="en-US" w:eastAsia="zh-CN"/>
        </w:rPr>
        <w:t>肆</w:t>
      </w:r>
      <w:r>
        <w:rPr>
          <w:rFonts w:hint="eastAsia" w:ascii="仿宋" w:hAnsi="仿宋" w:eastAsia="仿宋" w:cs="仿宋"/>
          <w:sz w:val="24"/>
          <w:szCs w:val="24"/>
        </w:rPr>
        <w:t>份，甲方执</w:t>
      </w:r>
      <w:r>
        <w:rPr>
          <w:rFonts w:hint="eastAsia" w:ascii="仿宋" w:hAnsi="仿宋" w:eastAsia="仿宋" w:cs="仿宋"/>
          <w:sz w:val="24"/>
          <w:szCs w:val="24"/>
          <w:u w:val="single"/>
          <w:lang w:val="en-US" w:eastAsia="zh-CN"/>
        </w:rPr>
        <w:t>贰</w:t>
      </w:r>
      <w:r>
        <w:rPr>
          <w:rFonts w:hint="eastAsia" w:ascii="仿宋" w:hAnsi="仿宋" w:eastAsia="仿宋" w:cs="仿宋"/>
          <w:sz w:val="24"/>
          <w:szCs w:val="24"/>
        </w:rPr>
        <w:t>份，乙方执</w:t>
      </w:r>
      <w:r>
        <w:rPr>
          <w:rFonts w:hint="eastAsia" w:ascii="仿宋" w:hAnsi="仿宋" w:eastAsia="仿宋" w:cs="仿宋"/>
          <w:sz w:val="24"/>
          <w:szCs w:val="24"/>
          <w:u w:val="single"/>
        </w:rPr>
        <w:t>贰</w:t>
      </w:r>
      <w:r>
        <w:rPr>
          <w:rFonts w:hint="eastAsia" w:ascii="仿宋" w:hAnsi="仿宋" w:eastAsia="仿宋" w:cs="仿宋"/>
          <w:sz w:val="24"/>
          <w:szCs w:val="24"/>
        </w:rPr>
        <w:t>份，均具有同等法律效力。</w:t>
      </w:r>
    </w:p>
    <w:p w14:paraId="3B5EF303">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4、其他补充约定（本条约定与本合同其他条款发生冲突时，以本条约定为准）：</w:t>
      </w:r>
    </w:p>
    <w:p w14:paraId="07891F02">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u w:val="none"/>
        </w:rPr>
      </w:pPr>
      <w:r>
        <w:rPr>
          <w:rFonts w:hint="eastAsia" w:ascii="仿宋" w:hAnsi="仿宋" w:eastAsia="仿宋" w:cs="仿宋"/>
          <w:color w:val="000000"/>
          <w:sz w:val="24"/>
          <w:szCs w:val="24"/>
          <w:u w:val="none"/>
          <w:lang w:eastAsia="zh-CN"/>
        </w:rPr>
        <w:t>（</w:t>
      </w:r>
      <w:r>
        <w:rPr>
          <w:rFonts w:hint="eastAsia" w:ascii="仿宋" w:hAnsi="仿宋" w:eastAsia="仿宋" w:cs="仿宋"/>
          <w:color w:val="000000"/>
          <w:sz w:val="24"/>
          <w:szCs w:val="24"/>
          <w:u w:val="none"/>
          <w:lang w:val="en-US" w:eastAsia="zh-CN"/>
        </w:rPr>
        <w:t>1</w:t>
      </w:r>
      <w:r>
        <w:rPr>
          <w:rFonts w:hint="eastAsia" w:ascii="仿宋" w:hAnsi="仿宋" w:eastAsia="仿宋" w:cs="仿宋"/>
          <w:color w:val="000000"/>
          <w:sz w:val="24"/>
          <w:szCs w:val="24"/>
          <w:u w:val="none"/>
          <w:lang w:eastAsia="zh-CN"/>
        </w:rPr>
        <w:t>）</w:t>
      </w:r>
      <w:r>
        <w:rPr>
          <w:rFonts w:hint="eastAsia" w:ascii="仿宋" w:hAnsi="仿宋" w:eastAsia="仿宋" w:cs="仿宋"/>
          <w:color w:val="000000"/>
          <w:sz w:val="24"/>
          <w:szCs w:val="24"/>
          <w:u w:val="none"/>
        </w:rPr>
        <w:t>中央空调设备维护保养、中央空调水处理为两项独立服务，服务可不同步实施；任一项目未实际开展服务，则不计取该项目费用；发生部分周期暂停服务时，按照实际有效服务日历天数按日折算对应项目服务费。日折算公式：单项年服务费÷365×实际有效服务天数。两项服务履约评价独立，互不影响另一项目的付款。</w:t>
      </w:r>
    </w:p>
    <w:p w14:paraId="4FFA3DB7">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u w:val="none"/>
          <w:lang w:eastAsia="zh-CN"/>
        </w:rPr>
      </w:pPr>
      <w:r>
        <w:rPr>
          <w:rFonts w:hint="eastAsia" w:ascii="仿宋" w:hAnsi="仿宋" w:eastAsia="仿宋" w:cs="仿宋"/>
          <w:color w:val="000000"/>
          <w:sz w:val="24"/>
          <w:szCs w:val="24"/>
          <w:u w:val="none"/>
          <w:lang w:eastAsia="zh-CN"/>
        </w:rPr>
        <w:t>（</w:t>
      </w:r>
      <w:r>
        <w:rPr>
          <w:rFonts w:hint="eastAsia" w:ascii="仿宋" w:hAnsi="仿宋" w:eastAsia="仿宋" w:cs="仿宋"/>
          <w:color w:val="000000"/>
          <w:sz w:val="24"/>
          <w:szCs w:val="24"/>
          <w:u w:val="none"/>
          <w:lang w:val="en-US" w:eastAsia="zh-CN"/>
        </w:rPr>
        <w:t>2</w:t>
      </w:r>
      <w:r>
        <w:rPr>
          <w:rFonts w:hint="eastAsia" w:ascii="仿宋" w:hAnsi="仿宋" w:eastAsia="仿宋" w:cs="仿宋"/>
          <w:color w:val="000000"/>
          <w:sz w:val="24"/>
          <w:szCs w:val="24"/>
          <w:u w:val="none"/>
          <w:lang w:eastAsia="zh-CN"/>
        </w:rPr>
        <w:t>）</w:t>
      </w:r>
      <w:r>
        <w:rPr>
          <w:rFonts w:hint="eastAsia" w:ascii="仿宋" w:hAnsi="仿宋" w:eastAsia="仿宋" w:cs="仿宋"/>
          <w:color w:val="000000"/>
          <w:sz w:val="24"/>
          <w:szCs w:val="24"/>
          <w:u w:val="none"/>
        </w:rPr>
        <w:t>本项目一台未纳管压力容器，乙方严格按照《深圳市市场监督管理局关于开展2025年度中央空调机组附属压力容器纳管工作的通知》执行纳管：优先协调补齐出厂资料办理纳管；资料无法补齐的，委托有资质机构完成委托检验，凭委托检验报告办理施工告知及登记，直至取得《特种设备使用登记证》；全部相关费用已包含合同总价，甲方不另行付费；因乙方原因未完成纳管产生的处罚、整改及一切损失，全部由乙方承担。</w:t>
      </w:r>
    </w:p>
    <w:p w14:paraId="188E9DEF">
      <w:pPr>
        <w:pStyle w:val="2"/>
        <w:keepNext w:val="0"/>
        <w:keepLines w:val="0"/>
        <w:pageBreakBefore w:val="0"/>
        <w:kinsoku/>
        <w:topLinePunct w:val="0"/>
        <w:bidi w:val="0"/>
        <w:snapToGrid/>
        <w:spacing w:after="0" w:line="460" w:lineRule="exact"/>
        <w:ind w:left="0" w:firstLine="420" w:firstLineChars="200"/>
        <w:rPr>
          <w:rFonts w:hint="eastAsia" w:ascii="仿宋" w:hAnsi="仿宋" w:eastAsia="仿宋" w:cs="仿宋"/>
          <w:sz w:val="24"/>
          <w:szCs w:val="24"/>
        </w:rPr>
      </w:pPr>
      <w:r>
        <w:rPr>
          <w:rFonts w:hint="eastAsia" w:ascii="仿宋" w:hAnsi="仿宋" w:eastAsia="仿宋" w:cs="仿宋"/>
        </w:rPr>
        <w:t>附件1：</w:t>
      </w:r>
      <w:r>
        <w:rPr>
          <w:rFonts w:hint="eastAsia" w:ascii="仿宋" w:hAnsi="仿宋" w:eastAsia="仿宋" w:cs="仿宋"/>
          <w:sz w:val="24"/>
          <w:szCs w:val="24"/>
        </w:rPr>
        <w:t>设备清单</w:t>
      </w:r>
    </w:p>
    <w:p w14:paraId="7231AF61">
      <w:pPr>
        <w:pStyle w:val="2"/>
        <w:keepNext w:val="0"/>
        <w:keepLines w:val="0"/>
        <w:pageBreakBefore w:val="0"/>
        <w:kinsoku/>
        <w:topLinePunct w:val="0"/>
        <w:bidi w:val="0"/>
        <w:snapToGrid/>
        <w:spacing w:after="0" w:line="460" w:lineRule="exact"/>
        <w:ind w:left="0" w:firstLine="420" w:firstLineChars="200"/>
        <w:rPr>
          <w:rFonts w:hint="eastAsia" w:ascii="仿宋" w:hAnsi="仿宋" w:eastAsia="仿宋" w:cs="仿宋"/>
          <w:lang w:eastAsia="zh-CN"/>
        </w:rPr>
      </w:pPr>
      <w:r>
        <w:rPr>
          <w:rFonts w:hint="eastAsia" w:ascii="仿宋" w:hAnsi="仿宋" w:eastAsia="仿宋" w:cs="仿宋"/>
        </w:rPr>
        <w:t>附件2：</w:t>
      </w:r>
      <w:r>
        <w:rPr>
          <w:rFonts w:hint="eastAsia" w:ascii="仿宋" w:hAnsi="仿宋" w:eastAsia="仿宋" w:cs="仿宋"/>
          <w:sz w:val="24"/>
          <w:szCs w:val="24"/>
          <w:lang w:eastAsia="zh-CN"/>
        </w:rPr>
        <w:t>服务范围及详细技术标准</w:t>
      </w:r>
    </w:p>
    <w:p w14:paraId="5006FF5C">
      <w:pPr>
        <w:pStyle w:val="2"/>
        <w:keepNext w:val="0"/>
        <w:keepLines w:val="0"/>
        <w:pageBreakBefore w:val="0"/>
        <w:kinsoku/>
        <w:topLinePunct w:val="0"/>
        <w:bidi w:val="0"/>
        <w:snapToGrid/>
        <w:spacing w:after="0" w:line="460" w:lineRule="exact"/>
        <w:ind w:left="0" w:firstLine="420" w:firstLineChars="200"/>
        <w:rPr>
          <w:rFonts w:hint="eastAsia" w:ascii="仿宋" w:hAnsi="仿宋" w:eastAsia="仿宋" w:cs="仿宋"/>
          <w:sz w:val="24"/>
          <w:szCs w:val="24"/>
        </w:rPr>
      </w:pPr>
      <w:r>
        <w:rPr>
          <w:rFonts w:hint="eastAsia" w:ascii="仿宋" w:hAnsi="仿宋" w:eastAsia="仿宋" w:cs="仿宋"/>
        </w:rPr>
        <w:t>附件3：</w:t>
      </w:r>
      <w:r>
        <w:rPr>
          <w:rFonts w:hint="eastAsia" w:ascii="仿宋" w:hAnsi="仿宋" w:eastAsia="仿宋" w:cs="仿宋"/>
          <w:sz w:val="24"/>
          <w:szCs w:val="24"/>
        </w:rPr>
        <w:t>履约评价表</w:t>
      </w:r>
    </w:p>
    <w:p w14:paraId="09E0C1D1">
      <w:pPr>
        <w:pStyle w:val="2"/>
        <w:keepNext w:val="0"/>
        <w:keepLines w:val="0"/>
        <w:pageBreakBefore w:val="0"/>
        <w:kinsoku/>
        <w:topLinePunct w:val="0"/>
        <w:bidi w:val="0"/>
        <w:snapToGrid/>
        <w:spacing w:after="0" w:line="460" w:lineRule="exact"/>
        <w:ind w:left="0" w:firstLine="420" w:firstLineChars="200"/>
        <w:rPr>
          <w:rFonts w:hint="eastAsia" w:ascii="仿宋" w:hAnsi="仿宋" w:eastAsia="仿宋" w:cs="仿宋"/>
          <w:sz w:val="24"/>
          <w:szCs w:val="24"/>
        </w:rPr>
      </w:pPr>
      <w:r>
        <w:rPr>
          <w:rFonts w:hint="eastAsia" w:ascii="仿宋" w:hAnsi="仿宋" w:eastAsia="仿宋" w:cs="仿宋"/>
        </w:rPr>
        <w:t>附件4：</w:t>
      </w:r>
      <w:r>
        <w:rPr>
          <w:rFonts w:hint="eastAsia" w:ascii="仿宋" w:hAnsi="仿宋" w:eastAsia="仿宋" w:cs="仿宋"/>
          <w:sz w:val="24"/>
          <w:szCs w:val="24"/>
        </w:rPr>
        <w:t>廉洁协议</w:t>
      </w:r>
    </w:p>
    <w:p w14:paraId="7D94D8BE">
      <w:pPr>
        <w:pStyle w:val="2"/>
        <w:keepNext w:val="0"/>
        <w:keepLines w:val="0"/>
        <w:pageBreakBefore w:val="0"/>
        <w:kinsoku/>
        <w:topLinePunct w:val="0"/>
        <w:bidi w:val="0"/>
        <w:snapToGrid/>
        <w:spacing w:after="0" w:line="460" w:lineRule="exact"/>
        <w:ind w:left="0" w:firstLine="420" w:firstLineChars="200"/>
        <w:rPr>
          <w:rFonts w:hint="eastAsia" w:ascii="仿宋" w:hAnsi="仿宋" w:eastAsia="仿宋" w:cs="仿宋"/>
          <w:sz w:val="24"/>
          <w:szCs w:val="24"/>
        </w:rPr>
      </w:pPr>
      <w:r>
        <w:rPr>
          <w:rFonts w:hint="eastAsia" w:ascii="仿宋" w:hAnsi="仿宋" w:eastAsia="仿宋" w:cs="仿宋"/>
        </w:rPr>
        <w:t>附件5：</w:t>
      </w:r>
      <w:r>
        <w:rPr>
          <w:rFonts w:hint="eastAsia" w:ascii="仿宋" w:hAnsi="仿宋" w:eastAsia="仿宋" w:cs="仿宋"/>
          <w:sz w:val="24"/>
          <w:szCs w:val="24"/>
        </w:rPr>
        <w:t>龙岗区进一步规范政商交往行为告知书</w:t>
      </w:r>
    </w:p>
    <w:p w14:paraId="2AE17020">
      <w:pPr>
        <w:pStyle w:val="2"/>
        <w:spacing w:after="0" w:line="460" w:lineRule="exact"/>
        <w:ind w:left="0" w:firstLine="420" w:firstLineChars="200"/>
        <w:rPr>
          <w:rFonts w:hint="eastAsia" w:ascii="仿宋" w:hAnsi="仿宋" w:eastAsia="仿宋" w:cs="仿宋"/>
          <w:sz w:val="21"/>
          <w:szCs w:val="21"/>
        </w:rPr>
      </w:pPr>
      <w:r>
        <w:rPr>
          <w:rStyle w:val="18"/>
          <w:rFonts w:hint="eastAsia" w:ascii="仿宋" w:hAnsi="仿宋" w:eastAsia="仿宋" w:cs="仿宋"/>
          <w:sz w:val="21"/>
          <w:szCs w:val="21"/>
        </w:rPr>
        <w:t>附件6：水质处理标准</w:t>
      </w:r>
    </w:p>
    <w:p w14:paraId="38054C7E">
      <w:pPr>
        <w:pStyle w:val="2"/>
        <w:spacing w:after="0" w:line="460" w:lineRule="exact"/>
        <w:ind w:left="0" w:firstLine="420" w:firstLineChars="200"/>
        <w:rPr>
          <w:rFonts w:hint="eastAsia" w:ascii="仿宋" w:hAnsi="仿宋" w:eastAsia="仿宋" w:cs="仿宋"/>
          <w:sz w:val="21"/>
          <w:szCs w:val="21"/>
        </w:rPr>
      </w:pPr>
      <w:r>
        <w:rPr>
          <w:rStyle w:val="18"/>
          <w:rFonts w:hint="eastAsia" w:ascii="仿宋" w:hAnsi="仿宋" w:eastAsia="仿宋" w:cs="仿宋"/>
          <w:sz w:val="21"/>
          <w:szCs w:val="21"/>
        </w:rPr>
        <w:t>附件7：水处理服务范围、频次及责任边界</w:t>
      </w:r>
    </w:p>
    <w:p w14:paraId="2EC97B25">
      <w:pPr>
        <w:pStyle w:val="2"/>
        <w:spacing w:after="0" w:line="460" w:lineRule="exact"/>
        <w:ind w:left="0" w:firstLine="420" w:firstLineChars="200"/>
        <w:rPr>
          <w:rFonts w:hint="eastAsia" w:ascii="仿宋" w:hAnsi="仿宋" w:eastAsia="仿宋" w:cs="仿宋"/>
          <w:sz w:val="21"/>
          <w:szCs w:val="21"/>
        </w:rPr>
      </w:pPr>
      <w:r>
        <w:rPr>
          <w:rStyle w:val="18"/>
          <w:rFonts w:hint="eastAsia" w:ascii="仿宋" w:hAnsi="仿宋" w:eastAsia="仿宋" w:cs="仿宋"/>
          <w:sz w:val="21"/>
          <w:szCs w:val="21"/>
        </w:rPr>
        <w:t>附件8：环境/职业健康安全保护协议</w:t>
      </w:r>
    </w:p>
    <w:p w14:paraId="04891125">
      <w:pPr>
        <w:pStyle w:val="2"/>
        <w:spacing w:after="0" w:line="460" w:lineRule="exact"/>
        <w:ind w:left="0" w:firstLine="420" w:firstLineChars="200"/>
        <w:rPr>
          <w:rFonts w:hint="eastAsia" w:ascii="仿宋" w:hAnsi="仿宋" w:eastAsia="仿宋" w:cs="仿宋"/>
        </w:rPr>
      </w:pPr>
      <w:r>
        <w:rPr>
          <w:rStyle w:val="18"/>
          <w:rFonts w:hint="eastAsia" w:ascii="仿宋" w:hAnsi="仿宋" w:eastAsia="仿宋" w:cs="仿宋"/>
          <w:sz w:val="21"/>
          <w:szCs w:val="21"/>
        </w:rPr>
        <w:t>附件9：保密协议</w:t>
      </w:r>
    </w:p>
    <w:p w14:paraId="54EA103A">
      <w:pPr>
        <w:keepNext w:val="0"/>
        <w:keepLines w:val="0"/>
        <w:pageBreakBefore w:val="0"/>
        <w:kinsoku/>
        <w:topLinePunct w:val="0"/>
        <w:bidi w:val="0"/>
        <w:snapToGrid/>
        <w:spacing w:after="0" w:line="460" w:lineRule="exact"/>
        <w:ind w:left="0" w:firstLine="482" w:firstLineChars="200"/>
        <w:rPr>
          <w:rFonts w:hint="eastAsia" w:ascii="仿宋" w:hAnsi="仿宋" w:eastAsia="仿宋" w:cs="仿宋"/>
          <w:b/>
          <w:bCs/>
          <w:color w:val="000000"/>
          <w:sz w:val="24"/>
          <w:szCs w:val="24"/>
          <w:lang w:bidi="en-US"/>
        </w:rPr>
      </w:pPr>
      <w:r>
        <w:rPr>
          <w:rFonts w:hint="eastAsia" w:ascii="仿宋" w:hAnsi="仿宋" w:eastAsia="仿宋" w:cs="仿宋"/>
          <w:b/>
          <w:bCs/>
          <w:color w:val="000000"/>
          <w:sz w:val="24"/>
          <w:szCs w:val="24"/>
          <w:lang w:bidi="en-US"/>
        </w:rPr>
        <w:t>本合同签约方已经充分知悉合同条款，并已完全了解其中含义，各方同意严格按照本合同约定执行。</w:t>
      </w:r>
    </w:p>
    <w:p w14:paraId="7352049A">
      <w:pPr>
        <w:pStyle w:val="12"/>
        <w:keepNext w:val="0"/>
        <w:keepLines w:val="0"/>
        <w:pageBreakBefore w:val="0"/>
        <w:kinsoku/>
        <w:topLinePunct w:val="0"/>
        <w:bidi w:val="0"/>
        <w:snapToGrid/>
        <w:spacing w:after="0" w:line="460" w:lineRule="exact"/>
        <w:ind w:left="0" w:firstLine="480" w:firstLineChars="200"/>
        <w:rPr>
          <w:rFonts w:hint="eastAsia" w:ascii="仿宋" w:hAnsi="仿宋" w:eastAsia="仿宋" w:cs="仿宋"/>
          <w:sz w:val="24"/>
          <w:szCs w:val="24"/>
          <w:lang w:bidi="en-US"/>
        </w:rPr>
      </w:pPr>
    </w:p>
    <w:p w14:paraId="5842C384">
      <w:pPr>
        <w:keepNext w:val="0"/>
        <w:keepLines w:val="0"/>
        <w:pageBreakBefore w:val="0"/>
        <w:kinsoku/>
        <w:topLinePunct w:val="0"/>
        <w:bidi w:val="0"/>
        <w:snapToGrid/>
        <w:spacing w:line="460" w:lineRule="exact"/>
        <w:rPr>
          <w:rFonts w:hint="eastAsia" w:ascii="仿宋" w:hAnsi="仿宋" w:eastAsia="仿宋" w:cs="仿宋"/>
          <w:sz w:val="24"/>
          <w:szCs w:val="24"/>
          <w:lang w:bidi="en-US"/>
        </w:rPr>
      </w:pPr>
    </w:p>
    <w:p w14:paraId="21E94DFC">
      <w:pPr>
        <w:keepNext w:val="0"/>
        <w:keepLines w:val="0"/>
        <w:pageBreakBefore w:val="0"/>
        <w:kinsoku/>
        <w:topLinePunct w:val="0"/>
        <w:bidi w:val="0"/>
        <w:snapToGrid/>
        <w:spacing w:line="460" w:lineRule="exact"/>
        <w:rPr>
          <w:rFonts w:hint="eastAsia" w:ascii="仿宋" w:hAnsi="仿宋" w:eastAsia="仿宋" w:cs="仿宋"/>
          <w:sz w:val="24"/>
          <w:szCs w:val="24"/>
          <w:lang w:bidi="en-US"/>
        </w:rPr>
      </w:pPr>
    </w:p>
    <w:p w14:paraId="32F39804">
      <w:pPr>
        <w:keepNext w:val="0"/>
        <w:keepLines w:val="0"/>
        <w:pageBreakBefore w:val="0"/>
        <w:kinsoku/>
        <w:topLinePunct w:val="0"/>
        <w:bidi w:val="0"/>
        <w:snapToGrid/>
        <w:spacing w:line="460" w:lineRule="exact"/>
        <w:rPr>
          <w:rFonts w:hint="eastAsia" w:ascii="仿宋" w:hAnsi="仿宋" w:eastAsia="仿宋" w:cs="仿宋"/>
          <w:sz w:val="24"/>
          <w:szCs w:val="24"/>
          <w:lang w:bidi="en-US"/>
        </w:rPr>
      </w:pPr>
    </w:p>
    <w:p w14:paraId="793B0421">
      <w:pPr>
        <w:keepNext w:val="0"/>
        <w:keepLines w:val="0"/>
        <w:pageBreakBefore w:val="0"/>
        <w:widowControl/>
        <w:kinsoku/>
        <w:topLinePunct w:val="0"/>
        <w:bidi w:val="0"/>
        <w:snapToGrid/>
        <w:spacing w:after="0" w:line="460" w:lineRule="exact"/>
        <w:ind w:left="0" w:firstLine="282" w:firstLineChars="117"/>
        <w:rPr>
          <w:rFonts w:hint="eastAsia" w:ascii="仿宋" w:hAnsi="仿宋" w:eastAsia="仿宋" w:cs="仿宋"/>
          <w:b/>
          <w:bCs/>
          <w:sz w:val="24"/>
          <w:szCs w:val="24"/>
        </w:rPr>
      </w:pPr>
      <w:r>
        <w:rPr>
          <w:rFonts w:hint="eastAsia" w:ascii="仿宋" w:hAnsi="仿宋" w:eastAsia="仿宋" w:cs="仿宋"/>
          <w:b/>
          <w:bCs/>
          <w:sz w:val="24"/>
          <w:szCs w:val="24"/>
        </w:rPr>
        <w:t>甲乙双方签字盖章：</w:t>
      </w:r>
    </w:p>
    <w:p w14:paraId="339556FD">
      <w:pPr>
        <w:keepNext w:val="0"/>
        <w:keepLines w:val="0"/>
        <w:pageBreakBefore w:val="0"/>
        <w:widowControl/>
        <w:kinsoku/>
        <w:topLinePunct w:val="0"/>
        <w:bidi w:val="0"/>
        <w:snapToGrid/>
        <w:spacing w:after="0" w:line="460" w:lineRule="exact"/>
        <w:ind w:left="6420" w:leftChars="200" w:hanging="6000" w:hangingChars="2500"/>
        <w:rPr>
          <w:rFonts w:hint="eastAsia" w:ascii="仿宋" w:hAnsi="仿宋" w:eastAsia="仿宋" w:cs="仿宋"/>
          <w:sz w:val="24"/>
          <w:szCs w:val="24"/>
        </w:rPr>
      </w:pPr>
      <w:r>
        <w:rPr>
          <w:rFonts w:hint="eastAsia" w:ascii="仿宋" w:hAnsi="仿宋" w:eastAsia="仿宋" w:cs="仿宋"/>
          <w:sz w:val="24"/>
          <w:szCs w:val="24"/>
        </w:rPr>
        <w:t>甲方（盖章）：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乙方（盖章）：</w:t>
      </w:r>
    </w:p>
    <w:p w14:paraId="6E46C652">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p>
    <w:p w14:paraId="588BD9AC">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p>
    <w:p w14:paraId="7A24F021">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r>
        <w:rPr>
          <w:rFonts w:hint="eastAsia" w:ascii="仿宋" w:hAnsi="仿宋" w:eastAsia="仿宋" w:cs="仿宋"/>
          <w:sz w:val="24"/>
          <w:szCs w:val="24"/>
        </w:rPr>
        <w:t>法定代表人（或授权代表）：</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法定代表人（或授权代表）：</w:t>
      </w:r>
    </w:p>
    <w:p w14:paraId="0BDAF3BE">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sz w:val="24"/>
          <w:szCs w:val="24"/>
        </w:rPr>
      </w:pPr>
    </w:p>
    <w:p w14:paraId="29AF959B">
      <w:pPr>
        <w:keepNext w:val="0"/>
        <w:keepLines w:val="0"/>
        <w:pageBreakBefore w:val="0"/>
        <w:widowControl/>
        <w:kinsoku/>
        <w:topLinePunct w:val="0"/>
        <w:bidi w:val="0"/>
        <w:snapToGrid/>
        <w:spacing w:after="0" w:line="460" w:lineRule="exact"/>
        <w:ind w:left="0" w:firstLine="480" w:firstLineChars="200"/>
        <w:rPr>
          <w:rFonts w:hint="eastAsia" w:ascii="仿宋" w:hAnsi="仿宋" w:eastAsia="仿宋" w:cs="仿宋"/>
          <w:color w:val="000000"/>
          <w:sz w:val="24"/>
          <w:szCs w:val="24"/>
        </w:rPr>
        <w:sectPr>
          <w:footerReference r:id="rId7" w:type="default"/>
          <w:pgSz w:w="11906" w:h="16838"/>
          <w:pgMar w:top="1327" w:right="1463" w:bottom="1327" w:left="1463" w:header="851" w:footer="562" w:gutter="0"/>
          <w:pgNumType w:fmt="numberInDash" w:start="1"/>
          <w:cols w:space="720" w:num="1"/>
          <w:docGrid w:type="lines" w:linePitch="312" w:charSpace="0"/>
        </w:sectPr>
      </w:pPr>
      <w:r>
        <w:rPr>
          <w:rFonts w:hint="eastAsia" w:ascii="仿宋" w:hAnsi="仿宋" w:eastAsia="仿宋" w:cs="仿宋"/>
          <w:sz w:val="24"/>
          <w:szCs w:val="24"/>
        </w:rPr>
        <w:t xml:space="preserve">签订日期：   年   月   日 </w:t>
      </w:r>
    </w:p>
    <w:p w14:paraId="2714DA99">
      <w:pPr>
        <w:pStyle w:val="2"/>
        <w:keepNext w:val="0"/>
        <w:keepLines w:val="0"/>
        <w:pageBreakBefore w:val="0"/>
        <w:kinsoku/>
        <w:topLinePunct w:val="0"/>
        <w:bidi w:val="0"/>
        <w:snapToGrid/>
        <w:spacing w:line="460" w:lineRule="exact"/>
        <w:ind w:left="0"/>
      </w:pPr>
      <w:r>
        <w:rPr>
          <w:rFonts w:hint="eastAsia"/>
        </w:rPr>
        <w:t xml:space="preserve">附件1：                  </w:t>
      </w:r>
    </w:p>
    <w:tbl>
      <w:tblPr>
        <w:tblStyle w:val="16"/>
        <w:tblW w:w="9547" w:type="dxa"/>
        <w:jc w:val="center"/>
        <w:tblLayout w:type="fixed"/>
        <w:tblCellMar>
          <w:top w:w="0" w:type="dxa"/>
          <w:left w:w="108" w:type="dxa"/>
          <w:bottom w:w="0" w:type="dxa"/>
          <w:right w:w="108" w:type="dxa"/>
        </w:tblCellMar>
      </w:tblPr>
      <w:tblGrid>
        <w:gridCol w:w="780"/>
        <w:gridCol w:w="1055"/>
        <w:gridCol w:w="3810"/>
        <w:gridCol w:w="940"/>
        <w:gridCol w:w="1260"/>
        <w:gridCol w:w="1702"/>
      </w:tblGrid>
      <w:tr w14:paraId="0910D19E">
        <w:tblPrEx>
          <w:tblCellMar>
            <w:top w:w="0" w:type="dxa"/>
            <w:left w:w="108" w:type="dxa"/>
            <w:bottom w:w="0" w:type="dxa"/>
            <w:right w:w="108" w:type="dxa"/>
          </w:tblCellMar>
        </w:tblPrEx>
        <w:trPr>
          <w:trHeight w:val="299" w:hRule="atLeast"/>
          <w:jc w:val="center"/>
        </w:trPr>
        <w:tc>
          <w:tcPr>
            <w:tcW w:w="9547" w:type="dxa"/>
            <w:gridSpan w:val="6"/>
            <w:tcBorders>
              <w:top w:val="nil"/>
              <w:left w:val="nil"/>
              <w:bottom w:val="single" w:color="auto" w:sz="4" w:space="0"/>
              <w:right w:val="nil"/>
            </w:tcBorders>
            <w:shd w:val="clear" w:color="auto" w:fill="auto"/>
            <w:vAlign w:val="center"/>
          </w:tcPr>
          <w:p w14:paraId="10800D71">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kern w:val="0"/>
                <w:sz w:val="36"/>
                <w:szCs w:val="36"/>
                <w:highlight w:val="none"/>
              </w:rPr>
            </w:pPr>
            <w:bookmarkStart w:id="0" w:name="OLE_LINK2" w:colFirst="2" w:colLast="2"/>
            <w:bookmarkStart w:id="1" w:name="OLE_LINK3" w:colFirst="3" w:colLast="3"/>
            <w:bookmarkStart w:id="2" w:name="OLE_LINK5" w:colFirst="7" w:colLast="7"/>
            <w:bookmarkStart w:id="3" w:name="OLE_LINK4" w:colFirst="6" w:colLast="6"/>
            <w:r>
              <w:rPr>
                <w:rFonts w:hint="eastAsia" w:ascii="宋体" w:hAnsi="宋体" w:cs="宋体"/>
                <w:b/>
                <w:bCs/>
                <w:color w:val="000000"/>
                <w:kern w:val="0"/>
                <w:sz w:val="32"/>
                <w:szCs w:val="32"/>
                <w:highlight w:val="none"/>
              </w:rPr>
              <w:t>设备清单</w:t>
            </w:r>
          </w:p>
        </w:tc>
      </w:tr>
      <w:tr w14:paraId="699E7198">
        <w:tblPrEx>
          <w:tblCellMar>
            <w:top w:w="0" w:type="dxa"/>
            <w:left w:w="108" w:type="dxa"/>
            <w:bottom w:w="0" w:type="dxa"/>
            <w:right w:w="108" w:type="dxa"/>
          </w:tblCellMar>
        </w:tblPrEx>
        <w:trPr>
          <w:trHeight w:val="583" w:hRule="atLeast"/>
          <w:jc w:val="center"/>
        </w:trPr>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14:paraId="2241F46F">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6194AC48">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名称</w:t>
            </w:r>
          </w:p>
        </w:tc>
        <w:tc>
          <w:tcPr>
            <w:tcW w:w="3810" w:type="dxa"/>
            <w:tcBorders>
              <w:top w:val="single" w:color="auto" w:sz="4" w:space="0"/>
              <w:left w:val="single" w:color="auto" w:sz="4" w:space="0"/>
              <w:bottom w:val="single" w:color="auto" w:sz="4" w:space="0"/>
              <w:right w:val="single" w:color="auto" w:sz="4" w:space="0"/>
            </w:tcBorders>
            <w:shd w:val="clear" w:color="auto" w:fill="auto"/>
            <w:vAlign w:val="center"/>
          </w:tcPr>
          <w:p w14:paraId="7B8C8949">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规格、型号</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313BCDE9">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数量（台）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617DECA">
            <w:pPr>
              <w:keepNext w:val="0"/>
              <w:keepLines w:val="0"/>
              <w:pageBreakBefore w:val="0"/>
              <w:widowControl/>
              <w:kinsoku/>
              <w:topLinePunct w:val="0"/>
              <w:bidi w:val="0"/>
              <w:snapToGrid/>
              <w:spacing w:after="0" w:line="460" w:lineRule="exact"/>
              <w:ind w:left="0"/>
              <w:jc w:val="center"/>
              <w:rPr>
                <w:rFonts w:hint="eastAsia"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品牌</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14:paraId="5D749338">
            <w:pPr>
              <w:keepNext w:val="0"/>
              <w:keepLines w:val="0"/>
              <w:pageBreakBefore w:val="0"/>
              <w:widowControl/>
              <w:kinsoku/>
              <w:topLinePunct w:val="0"/>
              <w:bidi w:val="0"/>
              <w:snapToGrid/>
              <w:spacing w:after="0" w:line="460" w:lineRule="exact"/>
              <w:ind w:left="0"/>
              <w:jc w:val="center"/>
              <w:rPr>
                <w:rFonts w:hint="eastAsia" w:ascii="宋体" w:hAnsi="宋体" w:eastAsia="宋体" w:cs="宋体"/>
                <w:b/>
                <w:bCs/>
                <w:color w:val="000000"/>
                <w:kern w:val="0"/>
                <w:sz w:val="22"/>
                <w:szCs w:val="22"/>
                <w:lang w:val="en-US" w:eastAsia="zh-CN"/>
              </w:rPr>
            </w:pPr>
            <w:r>
              <w:rPr>
                <w:rFonts w:hint="eastAsia" w:ascii="宋体" w:hAnsi="宋体" w:eastAsia="宋体" w:cs="宋体"/>
                <w:b/>
                <w:bCs/>
                <w:color w:val="000000"/>
                <w:kern w:val="0"/>
                <w:sz w:val="22"/>
                <w:szCs w:val="22"/>
                <w:lang w:val="en-US" w:eastAsia="zh-CN"/>
              </w:rPr>
              <w:t>位置</w:t>
            </w:r>
          </w:p>
        </w:tc>
      </w:tr>
      <w:tr w14:paraId="0A946BCF">
        <w:tblPrEx>
          <w:tblCellMar>
            <w:top w:w="0" w:type="dxa"/>
            <w:left w:w="108" w:type="dxa"/>
            <w:bottom w:w="0" w:type="dxa"/>
            <w:right w:w="108" w:type="dxa"/>
          </w:tblCellMar>
        </w:tblPrEx>
        <w:trPr>
          <w:trHeight w:val="1457" w:hRule="atLeast"/>
          <w:jc w:val="center"/>
        </w:trPr>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14:paraId="036D35EA">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bookmarkStart w:id="4" w:name="OLE_LINK1" w:colFirst="1" w:colLast="1"/>
            <w:r>
              <w:rPr>
                <w:rFonts w:hint="eastAsia" w:ascii="仿宋" w:hAnsi="仿宋" w:eastAsia="仿宋" w:cs="仿宋"/>
                <w:b w:val="0"/>
                <w:bCs/>
                <w:sz w:val="22"/>
                <w:szCs w:val="22"/>
                <w:lang w:val="en-US" w:eastAsia="zh-CN"/>
              </w:rPr>
              <w:t>1</w:t>
            </w: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19D86DB7">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螺杆机</w:t>
            </w:r>
          </w:p>
        </w:tc>
        <w:tc>
          <w:tcPr>
            <w:tcW w:w="3810" w:type="dxa"/>
            <w:tcBorders>
              <w:top w:val="single" w:color="auto" w:sz="4" w:space="0"/>
              <w:left w:val="single" w:color="auto" w:sz="4" w:space="0"/>
              <w:bottom w:val="single" w:color="auto" w:sz="4" w:space="0"/>
              <w:right w:val="single" w:color="auto" w:sz="4" w:space="0"/>
            </w:tcBorders>
            <w:shd w:val="clear" w:color="auto" w:fill="auto"/>
            <w:vAlign w:val="center"/>
          </w:tcPr>
          <w:p w14:paraId="1B8BDE58">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ascii="Times New Roman" w:hAnsi="Times New Roman" w:eastAsia="仿宋"/>
                <w:b w:val="0"/>
                <w:sz w:val="21"/>
              </w:rPr>
              <w:t>PFSY5LKSF/F3009_RE_2/02209_FK_2_NHCA；名义工况制冷量1162.0kW，功率198.1kW，性能系数5.87，制冷剂及充注量R134a/280kg</w:t>
            </w:r>
          </w:p>
        </w:tc>
        <w:tc>
          <w:tcPr>
            <w:tcW w:w="940" w:type="dxa"/>
            <w:tcBorders>
              <w:top w:val="single" w:color="auto" w:sz="4" w:space="0"/>
              <w:left w:val="single" w:color="auto" w:sz="4" w:space="0"/>
              <w:bottom w:val="single" w:color="auto" w:sz="4" w:space="0"/>
              <w:right w:val="single" w:color="auto" w:sz="4" w:space="0"/>
            </w:tcBorders>
            <w:shd w:val="clear" w:color="auto" w:fill="auto"/>
            <w:vAlign w:val="center"/>
          </w:tcPr>
          <w:p w14:paraId="398D7D5E">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27B12F14">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麦克维尔</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14:paraId="3FB20FE7">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3A负一层</w:t>
            </w:r>
          </w:p>
        </w:tc>
      </w:tr>
      <w:tr w14:paraId="040E6888">
        <w:tblPrEx>
          <w:tblCellMar>
            <w:top w:w="0" w:type="dxa"/>
            <w:left w:w="108" w:type="dxa"/>
            <w:bottom w:w="0" w:type="dxa"/>
            <w:right w:w="108" w:type="dxa"/>
          </w:tblCellMar>
        </w:tblPrEx>
        <w:trPr>
          <w:trHeight w:val="1470" w:hRule="atLeast"/>
          <w:jc w:val="center"/>
        </w:trPr>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14:paraId="67FC8ECF">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eastAsia="zh-CN"/>
              </w:rPr>
              <w:t>2</w:t>
            </w:r>
          </w:p>
        </w:tc>
        <w:tc>
          <w:tcPr>
            <w:tcW w:w="1055" w:type="dxa"/>
            <w:tcBorders>
              <w:top w:val="single" w:color="auto" w:sz="4" w:space="0"/>
              <w:left w:val="nil"/>
              <w:bottom w:val="single" w:color="auto" w:sz="4" w:space="0"/>
              <w:right w:val="single" w:color="auto" w:sz="4" w:space="0"/>
            </w:tcBorders>
            <w:shd w:val="clear" w:color="auto" w:fill="auto"/>
            <w:vAlign w:val="center"/>
          </w:tcPr>
          <w:p w14:paraId="518E6F9D">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离心机</w:t>
            </w:r>
          </w:p>
        </w:tc>
        <w:tc>
          <w:tcPr>
            <w:tcW w:w="3810" w:type="dxa"/>
            <w:tcBorders>
              <w:top w:val="single" w:color="auto" w:sz="4" w:space="0"/>
              <w:left w:val="nil"/>
              <w:bottom w:val="single" w:color="auto" w:sz="4" w:space="0"/>
              <w:right w:val="single" w:color="auto" w:sz="4" w:space="0"/>
            </w:tcBorders>
            <w:shd w:val="clear" w:color="auto" w:fill="auto"/>
            <w:vAlign w:val="center"/>
          </w:tcPr>
          <w:p w14:paraId="04C2C167">
            <w:pPr>
              <w:keepNext w:val="0"/>
              <w:keepLines w:val="0"/>
              <w:pageBreakBefore w:val="0"/>
              <w:kinsoku/>
              <w:topLinePunct w:val="0"/>
              <w:bidi w:val="0"/>
              <w:snapToGrid/>
              <w:spacing w:after="0" w:line="460" w:lineRule="exact"/>
              <w:ind w:left="0" w:leftChars="0"/>
              <w:rPr>
                <w:rFonts w:hint="eastAsia" w:ascii="宋体" w:hAnsi="宋体" w:eastAsia="宋体" w:cs="宋体"/>
                <w:color w:val="000000"/>
                <w:kern w:val="0"/>
                <w:sz w:val="22"/>
                <w:szCs w:val="22"/>
                <w:lang w:val="en-US" w:eastAsia="zh-CN"/>
              </w:rPr>
            </w:pPr>
            <w:r>
              <w:rPr>
                <w:rFonts w:ascii="Times New Roman" w:hAnsi="Times New Roman" w:eastAsia="仿宋"/>
                <w:b w:val="0"/>
                <w:sz w:val="21"/>
              </w:rPr>
              <w:t>WSC087MAT57F/E3012-BE/C3012-DL-FC；名义工况制冷量2110.0kW，功率357.1kW，性能系数5.9，制冷剂及充注量R134a/523kg</w:t>
            </w:r>
          </w:p>
        </w:tc>
        <w:tc>
          <w:tcPr>
            <w:tcW w:w="940" w:type="dxa"/>
            <w:tcBorders>
              <w:top w:val="single" w:color="auto" w:sz="4" w:space="0"/>
              <w:left w:val="nil"/>
              <w:bottom w:val="single" w:color="auto" w:sz="4" w:space="0"/>
              <w:right w:val="single" w:color="auto" w:sz="4" w:space="0"/>
            </w:tcBorders>
            <w:shd w:val="clear" w:color="auto" w:fill="auto"/>
            <w:vAlign w:val="center"/>
          </w:tcPr>
          <w:p w14:paraId="0168AE43">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260" w:type="dxa"/>
            <w:tcBorders>
              <w:top w:val="single" w:color="auto" w:sz="4" w:space="0"/>
              <w:left w:val="nil"/>
              <w:bottom w:val="single" w:color="auto" w:sz="4" w:space="0"/>
              <w:right w:val="single" w:color="auto" w:sz="4" w:space="0"/>
            </w:tcBorders>
            <w:shd w:val="clear" w:color="auto" w:fill="auto"/>
            <w:vAlign w:val="center"/>
          </w:tcPr>
          <w:p w14:paraId="6E635CEA">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麦克维尔</w:t>
            </w:r>
          </w:p>
        </w:tc>
        <w:tc>
          <w:tcPr>
            <w:tcW w:w="1702" w:type="dxa"/>
            <w:tcBorders>
              <w:top w:val="single" w:color="auto" w:sz="4" w:space="0"/>
              <w:left w:val="nil"/>
              <w:bottom w:val="single" w:color="auto" w:sz="4" w:space="0"/>
              <w:right w:val="single" w:color="auto" w:sz="4" w:space="0"/>
            </w:tcBorders>
            <w:shd w:val="clear" w:color="auto" w:fill="auto"/>
            <w:vAlign w:val="center"/>
          </w:tcPr>
          <w:p w14:paraId="362B08A7">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3A负一层</w:t>
            </w:r>
          </w:p>
        </w:tc>
      </w:tr>
      <w:tr w14:paraId="70489D9F">
        <w:tblPrEx>
          <w:tblCellMar>
            <w:top w:w="0" w:type="dxa"/>
            <w:left w:w="108" w:type="dxa"/>
            <w:bottom w:w="0" w:type="dxa"/>
            <w:right w:w="108" w:type="dxa"/>
          </w:tblCellMar>
        </w:tblPrEx>
        <w:trPr>
          <w:trHeight w:val="570" w:hRule="atLeast"/>
          <w:jc w:val="center"/>
        </w:trPr>
        <w:tc>
          <w:tcPr>
            <w:tcW w:w="780" w:type="dxa"/>
            <w:tcBorders>
              <w:top w:val="nil"/>
              <w:left w:val="single" w:color="auto" w:sz="4" w:space="0"/>
              <w:bottom w:val="single" w:color="auto" w:sz="4" w:space="0"/>
              <w:right w:val="single" w:color="auto" w:sz="4" w:space="0"/>
            </w:tcBorders>
            <w:shd w:val="clear" w:color="auto" w:fill="auto"/>
            <w:vAlign w:val="center"/>
          </w:tcPr>
          <w:p w14:paraId="68835133">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eastAsia="zh-CN"/>
              </w:rPr>
              <w:t>3</w:t>
            </w:r>
          </w:p>
        </w:tc>
        <w:tc>
          <w:tcPr>
            <w:tcW w:w="1055" w:type="dxa"/>
            <w:tcBorders>
              <w:top w:val="nil"/>
              <w:left w:val="nil"/>
              <w:bottom w:val="single" w:color="auto" w:sz="4" w:space="0"/>
              <w:right w:val="single" w:color="auto" w:sz="4" w:space="0"/>
            </w:tcBorders>
            <w:shd w:val="clear" w:color="auto" w:fill="auto"/>
            <w:vAlign w:val="center"/>
          </w:tcPr>
          <w:p w14:paraId="651ED2C4">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水泵</w:t>
            </w:r>
          </w:p>
        </w:tc>
        <w:tc>
          <w:tcPr>
            <w:tcW w:w="3810" w:type="dxa"/>
            <w:tcBorders>
              <w:top w:val="nil"/>
              <w:left w:val="nil"/>
              <w:bottom w:val="single" w:color="auto" w:sz="4" w:space="0"/>
              <w:right w:val="single" w:color="auto" w:sz="4" w:space="0"/>
            </w:tcBorders>
            <w:shd w:val="clear" w:color="auto" w:fill="auto"/>
            <w:vAlign w:val="center"/>
          </w:tcPr>
          <w:p w14:paraId="49E05853">
            <w:pPr>
              <w:keepNext w:val="0"/>
              <w:keepLines w:val="0"/>
              <w:pageBreakBefore w:val="0"/>
              <w:kinsoku/>
              <w:topLinePunct w:val="0"/>
              <w:bidi w:val="0"/>
              <w:snapToGrid/>
              <w:spacing w:after="0" w:line="460" w:lineRule="exact"/>
              <w:ind w:left="0" w:leftChars="0"/>
              <w:rPr>
                <w:rFonts w:hint="eastAsia" w:ascii="宋体" w:hAnsi="宋体" w:eastAsia="宋体" w:cs="宋体"/>
                <w:color w:val="000000"/>
                <w:kern w:val="0"/>
                <w:sz w:val="22"/>
                <w:szCs w:val="22"/>
                <w:lang w:val="en-US" w:eastAsia="zh-CN"/>
              </w:rPr>
            </w:pPr>
            <w:r>
              <w:rPr>
                <w:rFonts w:ascii="Times New Roman" w:hAnsi="Times New Roman" w:eastAsia="仿宋"/>
                <w:b w:val="0"/>
                <w:sz w:val="21"/>
              </w:rPr>
              <w:t>功率45kW，电压380V</w:t>
            </w:r>
          </w:p>
        </w:tc>
        <w:tc>
          <w:tcPr>
            <w:tcW w:w="940" w:type="dxa"/>
            <w:tcBorders>
              <w:top w:val="nil"/>
              <w:left w:val="nil"/>
              <w:bottom w:val="single" w:color="auto" w:sz="4" w:space="0"/>
              <w:right w:val="single" w:color="auto" w:sz="4" w:space="0"/>
            </w:tcBorders>
            <w:shd w:val="clear" w:color="auto" w:fill="auto"/>
            <w:vAlign w:val="center"/>
          </w:tcPr>
          <w:p w14:paraId="6CDF7F1E">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6</w:t>
            </w:r>
          </w:p>
        </w:tc>
        <w:tc>
          <w:tcPr>
            <w:tcW w:w="1260" w:type="dxa"/>
            <w:tcBorders>
              <w:top w:val="nil"/>
              <w:left w:val="nil"/>
              <w:bottom w:val="single" w:color="auto" w:sz="4" w:space="0"/>
              <w:right w:val="single" w:color="auto" w:sz="4" w:space="0"/>
            </w:tcBorders>
            <w:shd w:val="clear" w:color="auto" w:fill="auto"/>
            <w:vAlign w:val="center"/>
          </w:tcPr>
          <w:p w14:paraId="50EB2593">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荏原</w:t>
            </w:r>
          </w:p>
        </w:tc>
        <w:tc>
          <w:tcPr>
            <w:tcW w:w="1702" w:type="dxa"/>
            <w:tcBorders>
              <w:top w:val="nil"/>
              <w:left w:val="nil"/>
              <w:bottom w:val="single" w:color="auto" w:sz="4" w:space="0"/>
              <w:right w:val="single" w:color="auto" w:sz="4" w:space="0"/>
            </w:tcBorders>
            <w:shd w:val="clear" w:color="auto" w:fill="auto"/>
            <w:vAlign w:val="center"/>
          </w:tcPr>
          <w:p w14:paraId="4BBE2A26">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3A负一层</w:t>
            </w:r>
          </w:p>
        </w:tc>
      </w:tr>
      <w:tr w14:paraId="45F5E8E7">
        <w:tblPrEx>
          <w:tblCellMar>
            <w:top w:w="0" w:type="dxa"/>
            <w:left w:w="108" w:type="dxa"/>
            <w:bottom w:w="0" w:type="dxa"/>
            <w:right w:w="108" w:type="dxa"/>
          </w:tblCellMar>
        </w:tblPrEx>
        <w:trPr>
          <w:trHeight w:val="660" w:hRule="atLeast"/>
          <w:jc w:val="center"/>
        </w:trPr>
        <w:tc>
          <w:tcPr>
            <w:tcW w:w="780" w:type="dxa"/>
            <w:tcBorders>
              <w:top w:val="nil"/>
              <w:left w:val="single" w:color="auto" w:sz="4" w:space="0"/>
              <w:bottom w:val="single" w:color="auto" w:sz="4" w:space="0"/>
              <w:right w:val="single" w:color="auto" w:sz="4" w:space="0"/>
            </w:tcBorders>
            <w:shd w:val="clear" w:color="auto" w:fill="auto"/>
            <w:vAlign w:val="center"/>
          </w:tcPr>
          <w:p w14:paraId="402D453B">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eastAsia="zh-CN"/>
              </w:rPr>
              <w:t>4</w:t>
            </w:r>
          </w:p>
        </w:tc>
        <w:tc>
          <w:tcPr>
            <w:tcW w:w="1055" w:type="dxa"/>
            <w:tcBorders>
              <w:top w:val="nil"/>
              <w:left w:val="nil"/>
              <w:bottom w:val="single" w:color="auto" w:sz="4" w:space="0"/>
              <w:right w:val="single" w:color="auto" w:sz="4" w:space="0"/>
            </w:tcBorders>
            <w:shd w:val="clear" w:color="auto" w:fill="auto"/>
            <w:vAlign w:val="center"/>
          </w:tcPr>
          <w:p w14:paraId="563943DB">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水泵</w:t>
            </w:r>
          </w:p>
        </w:tc>
        <w:tc>
          <w:tcPr>
            <w:tcW w:w="3810" w:type="dxa"/>
            <w:tcBorders>
              <w:top w:val="nil"/>
              <w:left w:val="nil"/>
              <w:bottom w:val="single" w:color="auto" w:sz="4" w:space="0"/>
              <w:right w:val="single" w:color="auto" w:sz="4" w:space="0"/>
            </w:tcBorders>
            <w:shd w:val="clear" w:color="auto" w:fill="auto"/>
            <w:vAlign w:val="center"/>
          </w:tcPr>
          <w:p w14:paraId="74C29444">
            <w:pPr>
              <w:keepNext w:val="0"/>
              <w:keepLines w:val="0"/>
              <w:pageBreakBefore w:val="0"/>
              <w:kinsoku/>
              <w:topLinePunct w:val="0"/>
              <w:bidi w:val="0"/>
              <w:snapToGrid/>
              <w:spacing w:after="0" w:line="460" w:lineRule="exact"/>
              <w:ind w:left="0" w:leftChars="0"/>
              <w:rPr>
                <w:rFonts w:hint="eastAsia" w:ascii="宋体" w:hAnsi="宋体" w:eastAsia="宋体" w:cs="宋体"/>
                <w:color w:val="000000"/>
                <w:kern w:val="0"/>
                <w:sz w:val="22"/>
                <w:szCs w:val="22"/>
                <w:lang w:val="en-US" w:eastAsia="zh-CN"/>
              </w:rPr>
            </w:pPr>
            <w:r>
              <w:rPr>
                <w:rFonts w:ascii="Times New Roman" w:hAnsi="Times New Roman" w:eastAsia="仿宋"/>
                <w:b w:val="0"/>
                <w:sz w:val="21"/>
              </w:rPr>
              <w:t>功率30kW，电压380V</w:t>
            </w:r>
          </w:p>
        </w:tc>
        <w:tc>
          <w:tcPr>
            <w:tcW w:w="940" w:type="dxa"/>
            <w:tcBorders>
              <w:top w:val="nil"/>
              <w:left w:val="nil"/>
              <w:bottom w:val="single" w:color="auto" w:sz="4" w:space="0"/>
              <w:right w:val="single" w:color="auto" w:sz="4" w:space="0"/>
            </w:tcBorders>
            <w:shd w:val="clear" w:color="auto" w:fill="auto"/>
            <w:vAlign w:val="center"/>
          </w:tcPr>
          <w:p w14:paraId="34B32700">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4</w:t>
            </w:r>
          </w:p>
        </w:tc>
        <w:tc>
          <w:tcPr>
            <w:tcW w:w="1260" w:type="dxa"/>
            <w:tcBorders>
              <w:top w:val="nil"/>
              <w:left w:val="nil"/>
              <w:bottom w:val="single" w:color="auto" w:sz="4" w:space="0"/>
              <w:right w:val="single" w:color="auto" w:sz="4" w:space="0"/>
            </w:tcBorders>
            <w:shd w:val="clear" w:color="auto" w:fill="auto"/>
            <w:vAlign w:val="center"/>
          </w:tcPr>
          <w:p w14:paraId="5828F508">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荏原</w:t>
            </w:r>
          </w:p>
        </w:tc>
        <w:tc>
          <w:tcPr>
            <w:tcW w:w="1702" w:type="dxa"/>
            <w:tcBorders>
              <w:top w:val="nil"/>
              <w:left w:val="nil"/>
              <w:bottom w:val="single" w:color="auto" w:sz="4" w:space="0"/>
              <w:right w:val="single" w:color="auto" w:sz="4" w:space="0"/>
            </w:tcBorders>
            <w:shd w:val="clear" w:color="auto" w:fill="auto"/>
            <w:vAlign w:val="center"/>
          </w:tcPr>
          <w:p w14:paraId="4F933750">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3A负一层</w:t>
            </w:r>
          </w:p>
        </w:tc>
      </w:tr>
      <w:tr w14:paraId="27952D2F">
        <w:tblPrEx>
          <w:tblCellMar>
            <w:top w:w="0" w:type="dxa"/>
            <w:left w:w="108" w:type="dxa"/>
            <w:bottom w:w="0" w:type="dxa"/>
            <w:right w:w="108" w:type="dxa"/>
          </w:tblCellMar>
        </w:tblPrEx>
        <w:trPr>
          <w:trHeight w:val="645" w:hRule="atLeast"/>
          <w:jc w:val="center"/>
        </w:trPr>
        <w:tc>
          <w:tcPr>
            <w:tcW w:w="780" w:type="dxa"/>
            <w:tcBorders>
              <w:top w:val="nil"/>
              <w:left w:val="single" w:color="auto" w:sz="4" w:space="0"/>
              <w:bottom w:val="single" w:color="auto" w:sz="4" w:space="0"/>
              <w:right w:val="single" w:color="auto" w:sz="4" w:space="0"/>
            </w:tcBorders>
            <w:shd w:val="clear" w:color="auto" w:fill="auto"/>
            <w:vAlign w:val="center"/>
          </w:tcPr>
          <w:p w14:paraId="1B3E5598">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eastAsia="zh-CN"/>
              </w:rPr>
              <w:t>5</w:t>
            </w:r>
          </w:p>
        </w:tc>
        <w:tc>
          <w:tcPr>
            <w:tcW w:w="1055" w:type="dxa"/>
            <w:tcBorders>
              <w:top w:val="nil"/>
              <w:left w:val="nil"/>
              <w:bottom w:val="single" w:color="auto" w:sz="4" w:space="0"/>
              <w:right w:val="single" w:color="auto" w:sz="4" w:space="0"/>
            </w:tcBorders>
            <w:shd w:val="clear" w:color="auto" w:fill="auto"/>
            <w:vAlign w:val="center"/>
          </w:tcPr>
          <w:p w14:paraId="22188061">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板式换热器</w:t>
            </w:r>
          </w:p>
        </w:tc>
        <w:tc>
          <w:tcPr>
            <w:tcW w:w="3810" w:type="dxa"/>
            <w:tcBorders>
              <w:top w:val="nil"/>
              <w:left w:val="nil"/>
              <w:bottom w:val="single" w:color="auto" w:sz="4" w:space="0"/>
              <w:right w:val="single" w:color="auto" w:sz="4" w:space="0"/>
            </w:tcBorders>
            <w:shd w:val="clear" w:color="auto" w:fill="auto"/>
            <w:vAlign w:val="center"/>
          </w:tcPr>
          <w:p w14:paraId="374D26E4">
            <w:pPr>
              <w:keepNext w:val="0"/>
              <w:keepLines w:val="0"/>
              <w:pageBreakBefore w:val="0"/>
              <w:kinsoku/>
              <w:topLinePunct w:val="0"/>
              <w:bidi w:val="0"/>
              <w:snapToGrid/>
              <w:spacing w:after="0" w:line="460" w:lineRule="exact"/>
              <w:ind w:left="0" w:leftChars="0"/>
              <w:rPr>
                <w:rFonts w:hint="eastAsia" w:ascii="宋体" w:hAnsi="宋体" w:eastAsia="宋体" w:cs="宋体"/>
                <w:color w:val="000000"/>
                <w:kern w:val="0"/>
                <w:sz w:val="22"/>
                <w:szCs w:val="22"/>
                <w:lang w:val="en-US" w:eastAsia="zh-CN"/>
              </w:rPr>
            </w:pPr>
            <w:r>
              <w:rPr>
                <w:rFonts w:ascii="Times New Roman" w:hAnsi="Times New Roman" w:eastAsia="仿宋"/>
                <w:b w:val="0"/>
                <w:sz w:val="21"/>
              </w:rPr>
              <w:t>M15-BFG</w:t>
            </w:r>
          </w:p>
        </w:tc>
        <w:tc>
          <w:tcPr>
            <w:tcW w:w="940" w:type="dxa"/>
            <w:tcBorders>
              <w:top w:val="nil"/>
              <w:left w:val="nil"/>
              <w:bottom w:val="single" w:color="auto" w:sz="4" w:space="0"/>
              <w:right w:val="single" w:color="auto" w:sz="4" w:space="0"/>
            </w:tcBorders>
            <w:shd w:val="clear" w:color="auto" w:fill="auto"/>
            <w:vAlign w:val="center"/>
          </w:tcPr>
          <w:p w14:paraId="53BE578E">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260" w:type="dxa"/>
            <w:tcBorders>
              <w:top w:val="nil"/>
              <w:left w:val="nil"/>
              <w:bottom w:val="single" w:color="auto" w:sz="4" w:space="0"/>
              <w:right w:val="single" w:color="auto" w:sz="4" w:space="0"/>
            </w:tcBorders>
            <w:shd w:val="clear" w:color="auto" w:fill="auto"/>
            <w:vAlign w:val="center"/>
          </w:tcPr>
          <w:p w14:paraId="229A327D">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阿法拉伐</w:t>
            </w:r>
          </w:p>
        </w:tc>
        <w:tc>
          <w:tcPr>
            <w:tcW w:w="1702" w:type="dxa"/>
            <w:tcBorders>
              <w:top w:val="nil"/>
              <w:left w:val="nil"/>
              <w:bottom w:val="single" w:color="auto" w:sz="4" w:space="0"/>
              <w:right w:val="single" w:color="auto" w:sz="4" w:space="0"/>
            </w:tcBorders>
            <w:shd w:val="clear" w:color="auto" w:fill="auto"/>
            <w:vAlign w:val="center"/>
          </w:tcPr>
          <w:p w14:paraId="716759AC">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3A22层</w:t>
            </w:r>
          </w:p>
        </w:tc>
      </w:tr>
      <w:tr w14:paraId="6CC8799C">
        <w:tblPrEx>
          <w:tblCellMar>
            <w:top w:w="0" w:type="dxa"/>
            <w:left w:w="108" w:type="dxa"/>
            <w:bottom w:w="0" w:type="dxa"/>
            <w:right w:w="108" w:type="dxa"/>
          </w:tblCellMar>
        </w:tblPrEx>
        <w:trPr>
          <w:trHeight w:val="1500" w:hRule="atLeast"/>
          <w:jc w:val="center"/>
        </w:trPr>
        <w:tc>
          <w:tcPr>
            <w:tcW w:w="780" w:type="dxa"/>
            <w:tcBorders>
              <w:top w:val="nil"/>
              <w:left w:val="single" w:color="auto" w:sz="4" w:space="0"/>
              <w:bottom w:val="single" w:color="auto" w:sz="4" w:space="0"/>
              <w:right w:val="single" w:color="auto" w:sz="4" w:space="0"/>
            </w:tcBorders>
            <w:shd w:val="clear" w:color="auto" w:fill="auto"/>
            <w:vAlign w:val="center"/>
          </w:tcPr>
          <w:p w14:paraId="3146EBD7">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eastAsia="zh-CN"/>
              </w:rPr>
              <w:t>6</w:t>
            </w:r>
          </w:p>
        </w:tc>
        <w:tc>
          <w:tcPr>
            <w:tcW w:w="1055" w:type="dxa"/>
            <w:tcBorders>
              <w:top w:val="nil"/>
              <w:left w:val="nil"/>
              <w:bottom w:val="single" w:color="auto" w:sz="4" w:space="0"/>
              <w:right w:val="single" w:color="auto" w:sz="4" w:space="0"/>
            </w:tcBorders>
            <w:shd w:val="clear" w:color="auto" w:fill="auto"/>
            <w:vAlign w:val="center"/>
          </w:tcPr>
          <w:p w14:paraId="505C03CF">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板换层水泵</w:t>
            </w:r>
          </w:p>
        </w:tc>
        <w:tc>
          <w:tcPr>
            <w:tcW w:w="3810" w:type="dxa"/>
            <w:tcBorders>
              <w:top w:val="nil"/>
              <w:left w:val="nil"/>
              <w:bottom w:val="single" w:color="auto" w:sz="4" w:space="0"/>
              <w:right w:val="single" w:color="auto" w:sz="4" w:space="0"/>
            </w:tcBorders>
            <w:shd w:val="clear" w:color="auto" w:fill="auto"/>
            <w:vAlign w:val="center"/>
          </w:tcPr>
          <w:p w14:paraId="2D0CBDF2">
            <w:pPr>
              <w:keepNext w:val="0"/>
              <w:keepLines w:val="0"/>
              <w:pageBreakBefore w:val="0"/>
              <w:kinsoku/>
              <w:topLinePunct w:val="0"/>
              <w:bidi w:val="0"/>
              <w:snapToGrid/>
              <w:spacing w:after="0" w:line="460" w:lineRule="exact"/>
              <w:ind w:left="0" w:leftChars="0"/>
              <w:rPr>
                <w:rFonts w:hint="eastAsia" w:ascii="宋体" w:hAnsi="宋体" w:eastAsia="宋体" w:cs="宋体"/>
                <w:color w:val="000000"/>
                <w:kern w:val="0"/>
                <w:sz w:val="22"/>
                <w:szCs w:val="22"/>
                <w:lang w:val="en-US" w:eastAsia="zh-CN"/>
              </w:rPr>
            </w:pPr>
            <w:r>
              <w:rPr>
                <w:rFonts w:ascii="Times New Roman" w:hAnsi="Times New Roman" w:eastAsia="仿宋"/>
                <w:b w:val="0"/>
                <w:sz w:val="21"/>
              </w:rPr>
              <w:t>WE-DA180ME-D2；功率22kW，电压380V，电流40.5A，频率50Hz，转速2950r/min，功率因数cosΦ0.89，效率92.7%</w:t>
            </w:r>
          </w:p>
        </w:tc>
        <w:tc>
          <w:tcPr>
            <w:tcW w:w="940" w:type="dxa"/>
            <w:tcBorders>
              <w:top w:val="nil"/>
              <w:left w:val="nil"/>
              <w:bottom w:val="single" w:color="auto" w:sz="4" w:space="0"/>
              <w:right w:val="single" w:color="auto" w:sz="4" w:space="0"/>
            </w:tcBorders>
            <w:shd w:val="clear" w:color="auto" w:fill="auto"/>
            <w:vAlign w:val="center"/>
          </w:tcPr>
          <w:p w14:paraId="203076D0">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260" w:type="dxa"/>
            <w:tcBorders>
              <w:top w:val="nil"/>
              <w:left w:val="nil"/>
              <w:bottom w:val="single" w:color="auto" w:sz="4" w:space="0"/>
              <w:right w:val="single" w:color="auto" w:sz="4" w:space="0"/>
            </w:tcBorders>
            <w:shd w:val="clear" w:color="auto" w:fill="auto"/>
            <w:vAlign w:val="center"/>
          </w:tcPr>
          <w:p w14:paraId="17F1C14B">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荏原</w:t>
            </w:r>
          </w:p>
        </w:tc>
        <w:tc>
          <w:tcPr>
            <w:tcW w:w="1702" w:type="dxa"/>
            <w:tcBorders>
              <w:top w:val="nil"/>
              <w:left w:val="nil"/>
              <w:bottom w:val="single" w:color="auto" w:sz="4" w:space="0"/>
              <w:right w:val="single" w:color="auto" w:sz="4" w:space="0"/>
            </w:tcBorders>
            <w:shd w:val="clear" w:color="auto" w:fill="auto"/>
            <w:vAlign w:val="center"/>
          </w:tcPr>
          <w:p w14:paraId="516EF018">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3A22层</w:t>
            </w:r>
          </w:p>
        </w:tc>
      </w:tr>
      <w:tr w14:paraId="33851FE0">
        <w:tblPrEx>
          <w:tblCellMar>
            <w:top w:w="0" w:type="dxa"/>
            <w:left w:w="108" w:type="dxa"/>
            <w:bottom w:w="0" w:type="dxa"/>
            <w:right w:w="108" w:type="dxa"/>
          </w:tblCellMar>
        </w:tblPrEx>
        <w:trPr>
          <w:trHeight w:val="1622" w:hRule="atLeast"/>
          <w:jc w:val="center"/>
        </w:trPr>
        <w:tc>
          <w:tcPr>
            <w:tcW w:w="780" w:type="dxa"/>
            <w:tcBorders>
              <w:top w:val="nil"/>
              <w:left w:val="single" w:color="auto" w:sz="4" w:space="0"/>
              <w:bottom w:val="single" w:color="auto" w:sz="4" w:space="0"/>
              <w:right w:val="single" w:color="auto" w:sz="4" w:space="0"/>
            </w:tcBorders>
            <w:shd w:val="clear" w:color="auto" w:fill="auto"/>
            <w:vAlign w:val="center"/>
          </w:tcPr>
          <w:p w14:paraId="4D922CC4">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eastAsia="zh-CN"/>
              </w:rPr>
              <w:t>7</w:t>
            </w:r>
          </w:p>
        </w:tc>
        <w:tc>
          <w:tcPr>
            <w:tcW w:w="1055" w:type="dxa"/>
            <w:tcBorders>
              <w:top w:val="nil"/>
              <w:left w:val="nil"/>
              <w:bottom w:val="single" w:color="auto" w:sz="4" w:space="0"/>
              <w:right w:val="single" w:color="auto" w:sz="4" w:space="0"/>
            </w:tcBorders>
            <w:shd w:val="clear" w:color="auto" w:fill="auto"/>
            <w:vAlign w:val="center"/>
          </w:tcPr>
          <w:p w14:paraId="73B41054">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宋体" w:hAnsi="宋体" w:cs="宋体"/>
                <w:color w:val="000000"/>
                <w:kern w:val="0"/>
                <w:sz w:val="22"/>
                <w:szCs w:val="22"/>
              </w:rPr>
            </w:pPr>
            <w:r>
              <w:rPr>
                <w:rFonts w:hint="eastAsia" w:ascii="仿宋" w:hAnsi="仿宋" w:eastAsia="仿宋" w:cs="仿宋"/>
                <w:b w:val="0"/>
                <w:bCs/>
                <w:sz w:val="22"/>
                <w:szCs w:val="22"/>
                <w:lang w:val="en-US" w:eastAsia="zh-CN"/>
              </w:rPr>
              <w:t>冷却塔</w:t>
            </w:r>
          </w:p>
        </w:tc>
        <w:tc>
          <w:tcPr>
            <w:tcW w:w="3810" w:type="dxa"/>
            <w:tcBorders>
              <w:top w:val="nil"/>
              <w:left w:val="nil"/>
              <w:bottom w:val="single" w:color="auto" w:sz="4" w:space="0"/>
              <w:right w:val="single" w:color="auto" w:sz="4" w:space="0"/>
            </w:tcBorders>
            <w:shd w:val="clear" w:color="auto" w:fill="auto"/>
            <w:vAlign w:val="center"/>
          </w:tcPr>
          <w:p w14:paraId="295CC9AD">
            <w:pPr>
              <w:keepNext w:val="0"/>
              <w:keepLines w:val="0"/>
              <w:pageBreakBefore w:val="0"/>
              <w:kinsoku/>
              <w:topLinePunct w:val="0"/>
              <w:bidi w:val="0"/>
              <w:snapToGrid/>
              <w:spacing w:after="0" w:line="460" w:lineRule="exact"/>
              <w:ind w:left="0" w:leftChars="0"/>
              <w:rPr>
                <w:rFonts w:hint="eastAsia" w:ascii="宋体" w:hAnsi="宋体" w:eastAsia="宋体" w:cs="宋体"/>
                <w:color w:val="000000"/>
                <w:kern w:val="0"/>
                <w:sz w:val="22"/>
                <w:szCs w:val="22"/>
                <w:lang w:val="en-US" w:eastAsia="zh-CN"/>
              </w:rPr>
            </w:pPr>
            <w:r>
              <w:rPr>
                <w:rFonts w:ascii="Times New Roman" w:hAnsi="Times New Roman" w:eastAsia="仿宋"/>
                <w:b w:val="0"/>
                <w:sz w:val="21"/>
              </w:rPr>
              <w:t>SC-104HD-H-5-1；电机功率15×5kW，长×宽×高5100×15940×4507mm，循环水量297×5m³/h，风机直径2439mm</w:t>
            </w:r>
          </w:p>
        </w:tc>
        <w:tc>
          <w:tcPr>
            <w:tcW w:w="940" w:type="dxa"/>
            <w:tcBorders>
              <w:top w:val="nil"/>
              <w:left w:val="nil"/>
              <w:bottom w:val="single" w:color="auto" w:sz="4" w:space="0"/>
              <w:right w:val="single" w:color="auto" w:sz="4" w:space="0"/>
            </w:tcBorders>
            <w:shd w:val="clear" w:color="auto" w:fill="auto"/>
            <w:vAlign w:val="center"/>
          </w:tcPr>
          <w:p w14:paraId="54A7BA4C">
            <w:pPr>
              <w:keepNext w:val="0"/>
              <w:keepLines w:val="0"/>
              <w:pageBreakBefore w:val="0"/>
              <w:widowControl/>
              <w:kinsoku/>
              <w:wordWrap/>
              <w:overflowPunct/>
              <w:topLinePunct w:val="0"/>
              <w:autoSpaceDE/>
              <w:autoSpaceDN/>
              <w:bidi w:val="0"/>
              <w:adjustRightInd/>
              <w:snapToGrid/>
              <w:spacing w:after="0" w:line="460" w:lineRule="exact"/>
              <w:ind w:left="0"/>
              <w:jc w:val="center"/>
              <w:textAlignment w:val="auto"/>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1260" w:type="dxa"/>
            <w:tcBorders>
              <w:top w:val="nil"/>
              <w:left w:val="nil"/>
              <w:bottom w:val="single" w:color="auto" w:sz="4" w:space="0"/>
              <w:right w:val="single" w:color="auto" w:sz="4" w:space="0"/>
            </w:tcBorders>
            <w:shd w:val="clear" w:color="auto" w:fill="auto"/>
            <w:vAlign w:val="center"/>
          </w:tcPr>
          <w:p w14:paraId="79A70C3D">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新菱</w:t>
            </w:r>
          </w:p>
        </w:tc>
        <w:tc>
          <w:tcPr>
            <w:tcW w:w="1702" w:type="dxa"/>
            <w:tcBorders>
              <w:top w:val="nil"/>
              <w:left w:val="nil"/>
              <w:bottom w:val="single" w:color="auto" w:sz="4" w:space="0"/>
              <w:right w:val="single" w:color="auto" w:sz="4" w:space="0"/>
            </w:tcBorders>
            <w:shd w:val="clear" w:color="auto" w:fill="auto"/>
            <w:vAlign w:val="center"/>
          </w:tcPr>
          <w:p w14:paraId="290BD91A">
            <w:pPr>
              <w:keepNext w:val="0"/>
              <w:keepLines w:val="0"/>
              <w:pageBreakBefore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3B天面</w:t>
            </w:r>
          </w:p>
        </w:tc>
      </w:tr>
      <w:bookmarkEnd w:id="0"/>
      <w:bookmarkEnd w:id="1"/>
      <w:bookmarkEnd w:id="2"/>
      <w:bookmarkEnd w:id="3"/>
      <w:bookmarkEnd w:id="4"/>
      <w:tr w14:paraId="2DF39065">
        <w:tblPrEx>
          <w:tblCellMar>
            <w:top w:w="0" w:type="dxa"/>
            <w:left w:w="108" w:type="dxa"/>
            <w:bottom w:w="0" w:type="dxa"/>
            <w:right w:w="108" w:type="dxa"/>
          </w:tblCellMar>
        </w:tblPrEx>
        <w:trPr>
          <w:trHeight w:val="708" w:hRule="atLeast"/>
          <w:jc w:val="center"/>
        </w:trPr>
        <w:tc>
          <w:tcPr>
            <w:tcW w:w="954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5E3F013">
            <w:pPr>
              <w:keepNext w:val="0"/>
              <w:keepLines w:val="0"/>
              <w:pageBreakBefore w:val="0"/>
              <w:widowControl/>
              <w:kinsoku/>
              <w:topLinePunct w:val="0"/>
              <w:bidi w:val="0"/>
              <w:snapToGrid/>
              <w:spacing w:after="0" w:line="460" w:lineRule="exact"/>
              <w:ind w:left="0"/>
              <w:jc w:val="center"/>
              <w:rPr>
                <w:rFonts w:hint="eastAsia" w:ascii="宋体" w:hAnsi="宋体" w:cs="宋体"/>
                <w:color w:val="000000"/>
                <w:kern w:val="0"/>
                <w:sz w:val="22"/>
                <w:szCs w:val="22"/>
              </w:rPr>
            </w:pPr>
            <w:r>
              <w:rPr>
                <w:rFonts w:ascii="Times New Roman" w:hAnsi="Times New Roman" w:eastAsia="仿宋"/>
                <w:b/>
                <w:sz w:val="21"/>
              </w:rPr>
              <w:t>合计总价（含税价）：¥＿＿＿＿＿＿元；单件配件免费更换价格：含200元及以下配件</w:t>
            </w:r>
          </w:p>
        </w:tc>
      </w:tr>
    </w:tbl>
    <w:p w14:paraId="0D91E797">
      <w:pPr>
        <w:keepNext w:val="0"/>
        <w:keepLines w:val="0"/>
        <w:pageBreakBefore w:val="0"/>
        <w:kinsoku/>
        <w:topLinePunct w:val="0"/>
        <w:bidi w:val="0"/>
        <w:snapToGrid/>
        <w:spacing w:line="460" w:lineRule="exact"/>
        <w:ind w:left="0"/>
        <w:rPr>
          <w:rFonts w:hint="eastAsia" w:ascii="宋体" w:hAnsi="宋体" w:cs="宋体"/>
          <w:szCs w:val="21"/>
        </w:rPr>
      </w:pPr>
    </w:p>
    <w:p w14:paraId="27B7B656">
      <w:pPr>
        <w:keepNext w:val="0"/>
        <w:keepLines w:val="0"/>
        <w:pageBreakBefore w:val="0"/>
        <w:kinsoku/>
        <w:topLinePunct w:val="0"/>
        <w:bidi w:val="0"/>
        <w:snapToGrid/>
        <w:spacing w:line="460" w:lineRule="exact"/>
        <w:ind w:left="0"/>
        <w:rPr>
          <w:rFonts w:hint="eastAsia" w:ascii="宋体" w:hAnsi="宋体" w:cs="宋体"/>
          <w:szCs w:val="21"/>
        </w:rPr>
      </w:pPr>
    </w:p>
    <w:p w14:paraId="17F779C7">
      <w:pPr>
        <w:keepNext w:val="0"/>
        <w:keepLines w:val="0"/>
        <w:pageBreakBefore w:val="0"/>
        <w:kinsoku/>
        <w:topLinePunct w:val="0"/>
        <w:bidi w:val="0"/>
        <w:snapToGrid/>
        <w:spacing w:line="460" w:lineRule="exact"/>
        <w:ind w:left="0"/>
        <w:rPr>
          <w:rFonts w:hint="eastAsia" w:ascii="宋体" w:hAnsi="宋体" w:cs="宋体"/>
          <w:szCs w:val="21"/>
        </w:rPr>
        <w:sectPr>
          <w:pgSz w:w="11906" w:h="16838"/>
          <w:pgMar w:top="1440" w:right="1576" w:bottom="1440" w:left="1576" w:header="851" w:footer="562" w:gutter="0"/>
          <w:pgNumType w:fmt="numberInDash"/>
          <w:cols w:space="720" w:num="1"/>
          <w:docGrid w:type="lines" w:linePitch="312" w:charSpace="0"/>
        </w:sectPr>
      </w:pPr>
    </w:p>
    <w:p w14:paraId="201B9166">
      <w:pPr>
        <w:keepNext w:val="0"/>
        <w:keepLines w:val="0"/>
        <w:pageBreakBefore w:val="0"/>
        <w:kinsoku/>
        <w:topLinePunct w:val="0"/>
        <w:bidi w:val="0"/>
        <w:snapToGrid/>
        <w:spacing w:line="460" w:lineRule="exact"/>
      </w:pPr>
      <w:r>
        <w:rPr>
          <w:rFonts w:ascii="Times New Roman" w:hAnsi="Times New Roman" w:eastAsia="黑体"/>
          <w:b/>
          <w:sz w:val="28"/>
          <w:u w:val="none"/>
        </w:rPr>
        <w:t>附件2：服务范围及详细技术标准</w:t>
      </w:r>
    </w:p>
    <w:p w14:paraId="29B79C25">
      <w:pPr>
        <w:keepNext w:val="0"/>
        <w:keepLines w:val="0"/>
        <w:pageBreakBefore w:val="0"/>
        <w:kinsoku/>
        <w:topLinePunct w:val="0"/>
        <w:bidi w:val="0"/>
        <w:snapToGrid/>
        <w:spacing w:line="460" w:lineRule="exact"/>
      </w:pPr>
      <w:r>
        <w:rPr>
          <w:rFonts w:ascii="Times New Roman" w:hAnsi="Times New Roman" w:eastAsia="仿宋"/>
          <w:b/>
          <w:sz w:val="24"/>
          <w:u w:val="none"/>
        </w:rPr>
        <w:t>（一）中央空调维护保养服务（半包模式）</w:t>
      </w:r>
    </w:p>
    <w:p w14:paraId="39B59B8B">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1．服务频次要求：螺杆主机、离心主机、水泵、冷却塔、板式换热器、板换水泵全部设备每月至少完成1次全套巡检保养；全年不限次数应急抢修。</w:t>
      </w:r>
    </w:p>
    <w:p w14:paraId="33C1146D">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2．应急响应标准：甲方报修后，乙方2小时内人员抵达现场（紧急情况1小时内答复）；一般故障24小时内修复，重大故障3日内修复（不含原厂配件采购等待周期）；抢修完成8小时内提交书面抢修记录，甲乙双方签字归档。</w:t>
      </w:r>
    </w:p>
    <w:p w14:paraId="30622C25">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3．维保工具、耗材：提供维保所需工具和劳务，并免费提供单价</w:t>
      </w:r>
      <w:r>
        <w:rPr>
          <w:rFonts w:hint="eastAsia" w:ascii="Times New Roman" w:hAnsi="Times New Roman" w:eastAsia="仿宋"/>
          <w:b w:val="0"/>
          <w:sz w:val="24"/>
          <w:u w:val="single"/>
          <w:lang w:val="en-US" w:eastAsia="zh-CN"/>
        </w:rPr>
        <w:t xml:space="preserve">   </w:t>
      </w:r>
      <w:r>
        <w:rPr>
          <w:rFonts w:ascii="Times New Roman" w:hAnsi="Times New Roman" w:eastAsia="仿宋"/>
          <w:b w:val="0"/>
          <w:sz w:val="24"/>
          <w:u w:val="none"/>
        </w:rPr>
        <w:t>元以下（含）零部件，整批更换除外；单件单价超过</w:t>
      </w:r>
      <w:r>
        <w:rPr>
          <w:rFonts w:hint="eastAsia" w:ascii="Times New Roman" w:hAnsi="Times New Roman" w:eastAsia="仿宋"/>
          <w:b w:val="0"/>
          <w:sz w:val="24"/>
          <w:u w:val="single"/>
          <w:lang w:val="en-US" w:eastAsia="zh-CN"/>
        </w:rPr>
        <w:t xml:space="preserve">   </w:t>
      </w:r>
      <w:r>
        <w:rPr>
          <w:rFonts w:ascii="Times New Roman" w:hAnsi="Times New Roman" w:eastAsia="仿宋"/>
          <w:b w:val="0"/>
          <w:sz w:val="24"/>
          <w:u w:val="none"/>
        </w:rPr>
        <w:t>元的配件，乙方提供市场比价单，经甲方书面确认后方可更换，配件费用由甲方另行承担；乙方承诺配件为全新原厂件并提供质保。</w:t>
      </w:r>
    </w:p>
    <w:p w14:paraId="44A8E574">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4．月度维保核心作业内容：（1）主机：制冷剂检漏、油位油压检测、电气接线紧固、运行参数记录、冷凝器外观检查；（2）水泵：轴承温度、振动、密封渗漏、电机绝缘检测；（3）冷却塔：风机电机、布水系统、阀门、塔盘污物清理；（4）板式换热器：压差检测、渗漏检查、阀门维护。</w:t>
      </w:r>
    </w:p>
    <w:p w14:paraId="5F9905B3">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5．年度深度维保工作：每年一次整机电气绝缘测试、控制系统校准；配合水处理完成冷凝器机械通炮；每半年免费为甲方工程人员开展设备操作、日常巡检、基础故障应急培训，留存培训签到表、课件。</w:t>
      </w:r>
    </w:p>
    <w:p w14:paraId="2487C7F4">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6．现场管理要求：乙方作业人员统一工装、佩戴工牌，无工装工牌禁止进场；高空作业人员持证上岗，作业前向甲方报备；甲方有权要求乙方更换态度恶劣、违规作业人员。</w:t>
      </w:r>
    </w:p>
    <w:p w14:paraId="2E41BFDF">
      <w:pPr>
        <w:keepNext w:val="0"/>
        <w:keepLines w:val="0"/>
        <w:pageBreakBefore w:val="0"/>
        <w:kinsoku/>
        <w:topLinePunct w:val="0"/>
        <w:bidi w:val="0"/>
        <w:snapToGrid/>
        <w:spacing w:line="460" w:lineRule="exact"/>
      </w:pPr>
      <w:r>
        <w:rPr>
          <w:rFonts w:ascii="Times New Roman" w:hAnsi="Times New Roman" w:eastAsia="仿宋"/>
          <w:b/>
          <w:sz w:val="24"/>
          <w:u w:val="none"/>
        </w:rPr>
        <w:t>（二）中央空调水处理（全包干）</w:t>
      </w:r>
    </w:p>
    <w:p w14:paraId="3EF33834">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1．药剂供给：全年免费提供冷冻系统缓蚀剂、杀菌剂；冷却系统杀菌剂、阻垢缓蚀剂、冬季停机湿保剂；所有药剂提供合格证、MSDS安全说明书</w:t>
      </w:r>
      <w:r>
        <w:rPr>
          <w:rFonts w:hint="eastAsia" w:ascii="Times New Roman" w:hAnsi="Times New Roman" w:eastAsia="仿宋"/>
          <w:b w:val="0"/>
          <w:sz w:val="24"/>
          <w:u w:val="none"/>
          <w:lang w:eastAsia="zh-CN"/>
        </w:rPr>
        <w:t>，</w:t>
      </w:r>
      <w:r>
        <w:rPr>
          <w:rStyle w:val="18"/>
          <w:rFonts w:ascii="Times New Roman" w:hAnsi="Times New Roman" w:eastAsia="仿宋" w:cs="Times New Roman"/>
          <w:b w:val="0"/>
          <w:sz w:val="24"/>
          <w:szCs w:val="20"/>
          <w:u w:val="none"/>
        </w:rPr>
        <w:t>药剂进场须经甲方验收合格后方可投入使用</w:t>
      </w:r>
      <w:r>
        <w:rPr>
          <w:rFonts w:ascii="Times New Roman" w:hAnsi="Times New Roman" w:eastAsia="仿宋" w:cs="Times New Roman"/>
          <w:sz w:val="24"/>
          <w:szCs w:val="20"/>
          <w:u w:val="none"/>
        </w:rPr>
        <w:t>；</w:t>
      </w:r>
      <w:r>
        <w:rPr>
          <w:rFonts w:ascii="Times New Roman" w:hAnsi="Times New Roman" w:eastAsia="仿宋"/>
          <w:b w:val="0"/>
          <w:sz w:val="24"/>
          <w:u w:val="none"/>
        </w:rPr>
        <w:t>药剂环保可直排市政管网，不得腐蚀板换密封、水泵轴封。</w:t>
      </w:r>
    </w:p>
    <w:p w14:paraId="3ACFF3CC">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2．日常加药、排污频次：全系统每周水质检测，按需加药、排污；冷却水系统每两周现场加药一次及排污，并按时向甲方提供《维保工作记录单》；冷却塔塔盘每月清洗</w:t>
      </w:r>
      <w:r>
        <w:rPr>
          <w:rFonts w:hint="eastAsia" w:ascii="Times New Roman" w:hAnsi="Times New Roman" w:eastAsia="仿宋"/>
          <w:b w:val="0"/>
          <w:sz w:val="24"/>
          <w:u w:val="none"/>
          <w:lang w:val="en-US" w:eastAsia="zh-CN"/>
        </w:rPr>
        <w:t>一次</w:t>
      </w:r>
      <w:r>
        <w:rPr>
          <w:rFonts w:ascii="Times New Roman" w:hAnsi="Times New Roman" w:eastAsia="仿宋"/>
          <w:b w:val="0"/>
          <w:sz w:val="24"/>
          <w:u w:val="none"/>
        </w:rPr>
        <w:t>，填料每季度清洗</w:t>
      </w:r>
      <w:r>
        <w:rPr>
          <w:rFonts w:hint="eastAsia" w:ascii="Times New Roman" w:hAnsi="Times New Roman" w:eastAsia="仿宋"/>
          <w:b w:val="0"/>
          <w:sz w:val="24"/>
          <w:u w:val="none"/>
          <w:lang w:val="en-US" w:eastAsia="zh-CN"/>
        </w:rPr>
        <w:t>一次</w:t>
      </w:r>
      <w:r>
        <w:rPr>
          <w:rFonts w:ascii="Times New Roman" w:hAnsi="Times New Roman" w:eastAsia="仿宋"/>
          <w:b w:val="0"/>
          <w:sz w:val="24"/>
          <w:u w:val="none"/>
        </w:rPr>
        <w:t>；冷却水泵过滤器</w:t>
      </w:r>
      <w:r>
        <w:rPr>
          <w:rFonts w:hint="eastAsia" w:ascii="Times New Roman" w:hAnsi="Times New Roman" w:eastAsia="仿宋"/>
          <w:b w:val="0"/>
          <w:sz w:val="24"/>
          <w:u w:val="none"/>
          <w:lang w:val="en-US" w:eastAsia="zh-CN"/>
        </w:rPr>
        <w:t>每</w:t>
      </w:r>
      <w:r>
        <w:rPr>
          <w:rFonts w:ascii="Times New Roman" w:hAnsi="Times New Roman" w:eastAsia="仿宋"/>
          <w:b w:val="0"/>
          <w:sz w:val="24"/>
          <w:u w:val="none"/>
        </w:rPr>
        <w:t>半年拆洗，冷冻水泵过滤器每年拆洗；严禁使用高压水枪、硬毛刷损伤冷却塔填料，填料损坏由乙方照价赔偿。</w:t>
      </w:r>
      <w:r>
        <w:rPr>
          <w:rFonts w:ascii="Times New Roman" w:hAnsi="Times New Roman" w:eastAsia="仿宋" w:cs="Times New Roman"/>
          <w:sz w:val="24"/>
          <w:szCs w:val="20"/>
          <w:u w:val="none"/>
        </w:rPr>
        <w:t>乙方负责巡检、调试自动加药装置，保障加药装置全年正常运行。</w:t>
      </w:r>
    </w:p>
    <w:p w14:paraId="41AF558F">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3．</w:t>
      </w:r>
      <w:r>
        <w:rPr>
          <w:rFonts w:hint="eastAsia" w:ascii="Times New Roman" w:hAnsi="Times New Roman" w:eastAsia="仿宋"/>
          <w:b w:val="0"/>
          <w:sz w:val="24"/>
          <w:u w:val="none"/>
        </w:rPr>
        <w:t>水质取样、报告提交：开机阶段：冷却水每月取水样检测，冷冻水每季度取水样检测；冷却水水质检测报告每月15日前提交甲方，冷冻水检测报告每季度首月15日前提交甲方；每月30日前提交月度水处理工作月报及下月工作计划；合同签订后提交本年度水处理工作计划及人员配置报甲方审核。日常水处理作业完成后24小时内将水处理相关维修信息录入甲方FM系统（如具备实施条件）。</w:t>
      </w:r>
    </w:p>
    <w:p w14:paraId="756EFC70">
      <w:pPr>
        <w:keepNext w:val="0"/>
        <w:keepLines w:val="0"/>
        <w:pageBreakBefore w:val="0"/>
        <w:kinsoku/>
        <w:topLinePunct w:val="0"/>
        <w:bidi w:val="0"/>
        <w:snapToGrid/>
        <w:spacing w:line="460" w:lineRule="exact"/>
        <w:ind w:firstLine="480"/>
        <w:rPr>
          <w:rFonts w:hint="eastAsia" w:ascii="Times New Roman" w:hAnsi="Times New Roman" w:eastAsia="仿宋"/>
          <w:b w:val="0"/>
          <w:sz w:val="24"/>
          <w:u w:val="none"/>
        </w:rPr>
      </w:pPr>
      <w:r>
        <w:rPr>
          <w:rFonts w:ascii="Times New Roman" w:hAnsi="Times New Roman" w:eastAsia="仿宋"/>
          <w:b w:val="0"/>
          <w:sz w:val="24"/>
          <w:u w:val="none"/>
        </w:rPr>
        <w:t>4．年度专项水处理工作：</w:t>
      </w:r>
      <w:r>
        <w:rPr>
          <w:rFonts w:hint="eastAsia" w:ascii="Times New Roman" w:hAnsi="Times New Roman" w:eastAsia="仿宋"/>
          <w:b w:val="0"/>
          <w:sz w:val="24"/>
          <w:u w:val="none"/>
        </w:rPr>
        <w:t>每年主机冷凝器机械通炮1次，提供清洗前后对比照片、通炮记录；若因乙方水处理不达标，造成蒸发器小温差超过2.0</w:t>
      </w:r>
      <w:r>
        <w:rPr>
          <w:rFonts w:hint="eastAsia" w:ascii="Times New Roman" w:hAnsi="Times New Roman" w:eastAsia="仿宋"/>
          <w:b w:val="0"/>
          <w:sz w:val="24"/>
          <w:u w:val="none"/>
          <w:lang w:val="en-US" w:eastAsia="zh-CN"/>
        </w:rPr>
        <w:t>-</w:t>
      </w:r>
      <w:r>
        <w:rPr>
          <w:rFonts w:hint="eastAsia" w:ascii="Times New Roman" w:hAnsi="Times New Roman" w:eastAsia="仿宋"/>
          <w:b w:val="0"/>
          <w:sz w:val="24"/>
          <w:u w:val="none"/>
        </w:rPr>
        <w:t>2.5℃，乙方须额外增加通炮处理1次，全部费用由乙方承担；蒸发器清洗由甲方负责。（2）每年系统最低点全排冷却水，拆洗全部过滤器、彻底清洗冷却塔盘；冷却塔禁止用扫把、高压水枪等强力工具对冷却塔填料进行损伤性清洗。（3）冷却水系统每年进行化学清洗及化学预膜处理，使管道形成一层均匀致密的保护膜，以控制系统的锈蚀速度。（4）乙方进场第一年完成基建遗留管道清理去红，检查冷冻水、冷却水系统，必要时开展系统预膜处理。（5）停机阶段：投加防锈湿保剂，完成系统封闭保养并提交停机保养记录。</w:t>
      </w:r>
    </w:p>
    <w:p w14:paraId="1C349273">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5．水质执行标准：在补水符合水处理技术规范和没有环境不利因素影响的前提下，经水处理后，水质应达到如下指标：冷却循环水参照《工业循环冷却水处理设计规范》（GB/T 50050-2017）；冷冻循环水参照日本工业规格JIS K 2234。甲方可随机委托第三方检测，水质超标产生的检测费、整改成本全部由乙方承担。</w:t>
      </w:r>
    </w:p>
    <w:p w14:paraId="61135F05">
      <w:pPr>
        <w:keepNext w:val="0"/>
        <w:keepLines w:val="0"/>
        <w:pageBreakBefore w:val="0"/>
        <w:kinsoku/>
        <w:topLinePunct w:val="0"/>
        <w:bidi w:val="0"/>
        <w:snapToGrid/>
        <w:spacing w:line="460" w:lineRule="exact"/>
        <w:ind w:firstLine="480"/>
      </w:pPr>
      <w:r>
        <w:rPr>
          <w:rFonts w:ascii="Times New Roman" w:hAnsi="Times New Roman" w:eastAsia="仿宋"/>
          <w:b w:val="0"/>
          <w:sz w:val="24"/>
          <w:u w:val="none"/>
        </w:rPr>
        <w:t>6．系统运行管控硬性指标：冷凝器小温差月度上涨≤0.5℃；蒸发器小温差年度上涨≤1℃；系统每90天挂片腐蚀监测，严禁出现点蚀</w:t>
      </w:r>
      <w:r>
        <w:rPr>
          <w:rFonts w:hint="eastAsia" w:ascii="Times New Roman" w:hAnsi="Times New Roman" w:eastAsia="仿宋"/>
          <w:b w:val="0"/>
          <w:sz w:val="24"/>
          <w:u w:val="none"/>
          <w:lang w:eastAsia="zh-CN"/>
        </w:rPr>
        <w:t>；</w:t>
      </w:r>
      <w:r>
        <w:rPr>
          <w:rFonts w:ascii="Times New Roman" w:hAnsi="Times New Roman" w:eastAsia="仿宋" w:cs="Times New Roman"/>
          <w:sz w:val="24"/>
          <w:szCs w:val="20"/>
          <w:u w:val="none"/>
        </w:rPr>
        <w:t>钢、铜腐蚀速率符合附件 6 水质标准。</w:t>
      </w:r>
    </w:p>
    <w:p w14:paraId="65F0CC7F">
      <w:pPr>
        <w:keepNext w:val="0"/>
        <w:keepLines w:val="0"/>
        <w:pageBreakBefore w:val="0"/>
        <w:widowControl/>
        <w:kinsoku/>
        <w:topLinePunct w:val="0"/>
        <w:bidi w:val="0"/>
        <w:snapToGrid/>
        <w:spacing w:after="0" w:line="460" w:lineRule="exact"/>
        <w:ind w:left="420" w:leftChars="200" w:firstLine="480" w:firstLineChars="200"/>
        <w:rPr>
          <w:rFonts w:ascii="Times New Roman" w:hAnsi="Times New Roman" w:eastAsia="仿宋" w:cs="Times New Roman"/>
          <w:sz w:val="24"/>
          <w:szCs w:val="20"/>
          <w:u w:val="none"/>
        </w:rPr>
      </w:pPr>
      <w:r>
        <w:rPr>
          <w:rFonts w:hint="default" w:ascii="Times New Roman" w:hAnsi="Times New Roman" w:eastAsia="仿宋" w:cs="Times New Roman"/>
          <w:sz w:val="24"/>
          <w:szCs w:val="20"/>
          <w:u w:val="none"/>
          <w:lang w:val="en-US" w:eastAsia="zh-CN"/>
        </w:rPr>
        <w:t>7.</w:t>
      </w:r>
      <w:r>
        <w:rPr>
          <w:rFonts w:ascii="Times New Roman" w:hAnsi="Times New Roman" w:eastAsia="仿宋" w:cs="Times New Roman"/>
          <w:sz w:val="24"/>
          <w:szCs w:val="20"/>
          <w:u w:val="none"/>
        </w:rPr>
        <w:t>人员与作业管理：水处理作业人员须具备 3 年以上水处理相关工作经验；涉及高空、动火、密闭空间、临时用电等特殊作业，乙方必须提前向甲方提交《特殊作业申请表》，履行甲方特殊作业审批流程；作业完成后及时清理现场，残余药品、药品包装容器带回乙方单位处置，不得在甲方场地倾倒残余药剂；废弃含油抹布、手套按危废管理要求处置。发现设备及系统隐患须 30 分钟内向甲方监管人员报告；发生重大故障，3个工作日</w:t>
      </w:r>
      <w:r>
        <w:rPr>
          <w:rFonts w:hint="eastAsia" w:ascii="Times New Roman" w:hAnsi="Times New Roman" w:eastAsia="仿宋" w:cs="Times New Roman"/>
          <w:sz w:val="24"/>
          <w:szCs w:val="20"/>
          <w:u w:val="none"/>
          <w:lang w:val="en-US" w:eastAsia="zh-CN"/>
        </w:rPr>
        <w:t>内</w:t>
      </w:r>
      <w:r>
        <w:rPr>
          <w:rFonts w:ascii="Times New Roman" w:hAnsi="Times New Roman" w:eastAsia="仿宋" w:cs="Times New Roman"/>
          <w:sz w:val="24"/>
          <w:szCs w:val="20"/>
          <w:u w:val="none"/>
        </w:rPr>
        <w:t>提交事故报告。</w:t>
      </w:r>
    </w:p>
    <w:p w14:paraId="1DAC9F3D">
      <w:pPr>
        <w:keepNext w:val="0"/>
        <w:keepLines w:val="0"/>
        <w:pageBreakBefore w:val="0"/>
        <w:widowControl/>
        <w:kinsoku/>
        <w:topLinePunct w:val="0"/>
        <w:bidi w:val="0"/>
        <w:snapToGrid/>
        <w:spacing w:after="0" w:line="460" w:lineRule="exact"/>
        <w:ind w:left="420" w:leftChars="200" w:firstLine="480" w:firstLineChars="200"/>
        <w:rPr>
          <w:rFonts w:hint="default" w:ascii="Times New Roman" w:hAnsi="Times New Roman" w:eastAsia="仿宋" w:cs="Times New Roman"/>
          <w:sz w:val="24"/>
          <w:szCs w:val="20"/>
          <w:u w:val="none"/>
          <w:lang w:val="en-US" w:eastAsia="zh-CN"/>
        </w:rPr>
      </w:pPr>
      <w:r>
        <w:rPr>
          <w:rFonts w:hint="eastAsia" w:ascii="Times New Roman" w:hAnsi="Times New Roman" w:eastAsia="仿宋" w:cs="Times New Roman"/>
          <w:sz w:val="24"/>
          <w:szCs w:val="20"/>
          <w:u w:val="none"/>
          <w:lang w:val="en-US" w:eastAsia="zh-CN"/>
        </w:rPr>
        <w:t>8.应急服务：提供24小时水处理服务热线；接到甲方通知后，紧急情况2小时内人员抵达现场处置。</w:t>
      </w:r>
    </w:p>
    <w:p w14:paraId="3AF31CD8">
      <w:pPr>
        <w:keepNext w:val="0"/>
        <w:keepLines w:val="0"/>
        <w:pageBreakBefore w:val="0"/>
        <w:widowControl/>
        <w:kinsoku/>
        <w:topLinePunct w:val="0"/>
        <w:bidi w:val="0"/>
        <w:snapToGrid/>
        <w:spacing w:after="0" w:line="460" w:lineRule="exact"/>
        <w:ind w:left="0" w:leftChars="0" w:firstLine="0" w:firstLineChars="0"/>
        <w:rPr>
          <w:rFonts w:ascii="Times New Roman" w:hAnsi="Times New Roman" w:eastAsia="仿宋" w:cs="Times New Roman"/>
          <w:sz w:val="24"/>
          <w:szCs w:val="20"/>
          <w:u w:val="none"/>
        </w:rPr>
      </w:pPr>
    </w:p>
    <w:p w14:paraId="3464D577">
      <w:pPr>
        <w:keepNext w:val="0"/>
        <w:keepLines w:val="0"/>
        <w:pageBreakBefore w:val="0"/>
        <w:widowControl/>
        <w:kinsoku/>
        <w:topLinePunct w:val="0"/>
        <w:bidi w:val="0"/>
        <w:snapToGrid/>
        <w:spacing w:after="0" w:line="460" w:lineRule="exact"/>
        <w:ind w:left="0" w:leftChars="0" w:firstLine="0" w:firstLineChars="0"/>
        <w:rPr>
          <w:rFonts w:hint="default" w:ascii="Times New Roman" w:hAnsi="Times New Roman" w:eastAsia="仿宋" w:cs="Times New Roman"/>
          <w:sz w:val="24"/>
          <w:szCs w:val="20"/>
          <w:u w:val="none"/>
          <w:lang w:val="en-US" w:eastAsia="zh-CN"/>
        </w:rPr>
        <w:sectPr>
          <w:pgSz w:w="11906" w:h="16838"/>
          <w:pgMar w:top="1020" w:right="1134" w:bottom="567" w:left="1134" w:header="851" w:footer="562" w:gutter="0"/>
          <w:pgNumType w:fmt="numberInDash"/>
          <w:cols w:space="720" w:num="1"/>
          <w:docGrid w:type="lines" w:linePitch="312" w:charSpace="0"/>
        </w:sectPr>
      </w:pPr>
    </w:p>
    <w:p w14:paraId="0E17819D">
      <w:pPr>
        <w:pBdr>
          <w:top w:val="none" w:color="auto" w:sz="0" w:space="0"/>
          <w:left w:val="none" w:color="auto" w:sz="0" w:space="0"/>
          <w:right w:val="none" w:color="auto" w:sz="0" w:space="0"/>
          <w:between w:val="none" w:color="auto" w:sz="0" w:space="0"/>
        </w:pBdr>
        <w:spacing w:before="0" w:after="0" w:line="440" w:lineRule="exact"/>
        <w:ind w:left="0"/>
        <w:rPr>
          <w:rFonts w:ascii="宋体" w:hAnsi="宋体" w:eastAsia="宋体" w:cs="宋体"/>
          <w:spacing w:val="11"/>
          <w:sz w:val="28"/>
          <w:szCs w:val="28"/>
        </w:rPr>
      </w:pPr>
      <w:r>
        <w:rPr>
          <w:rFonts w:hint="eastAsia" w:ascii="宋体" w:hAnsi="宋体" w:cs="宋体"/>
          <w:spacing w:val="11"/>
          <w:sz w:val="28"/>
          <w:szCs w:val="28"/>
          <w:lang w:val="en-US" w:eastAsia="zh-CN"/>
        </w:rPr>
        <w:t>附件二</w:t>
      </w:r>
      <w:r>
        <w:rPr>
          <w:rFonts w:ascii="宋体" w:hAnsi="宋体" w:eastAsia="宋体" w:cs="宋体"/>
          <w:spacing w:val="11"/>
          <w:sz w:val="28"/>
          <w:szCs w:val="28"/>
        </w:rPr>
        <w:t>：《水质处理标准》</w:t>
      </w:r>
    </w:p>
    <w:p w14:paraId="31868C83">
      <w:pPr>
        <w:pStyle w:val="2"/>
        <w:pBdr>
          <w:top w:val="none" w:color="auto" w:sz="0" w:space="0"/>
          <w:left w:val="none" w:color="auto" w:sz="0" w:space="0"/>
          <w:right w:val="none" w:color="auto" w:sz="0" w:space="0"/>
          <w:between w:val="none" w:color="auto" w:sz="0" w:space="0"/>
        </w:pBdr>
      </w:pPr>
    </w:p>
    <w:p w14:paraId="7813353E">
      <w:pPr>
        <w:pBdr>
          <w:top w:val="none" w:color="auto" w:sz="0" w:space="0"/>
          <w:left w:val="none" w:color="auto" w:sz="0" w:space="0"/>
          <w:bottom w:val="none" w:color="FFFFFF" w:sz="0" w:space="0"/>
          <w:right w:val="none" w:color="auto" w:sz="0" w:space="0"/>
          <w:between w:val="none" w:color="auto" w:sz="0" w:space="0"/>
        </w:pBdr>
        <w:spacing w:before="0" w:after="0" w:line="440" w:lineRule="exact"/>
        <w:ind w:left="3793"/>
        <w:rPr>
          <w:rFonts w:ascii="宋体" w:hAnsi="宋体" w:eastAsia="宋体" w:cs="宋体"/>
          <w:sz w:val="28"/>
          <w:szCs w:val="28"/>
        </w:rPr>
      </w:pPr>
      <w:r>
        <w:rPr>
          <w:rFonts w:ascii="宋体" w:hAnsi="宋体" w:eastAsia="宋体" w:cs="宋体"/>
          <w:b/>
          <w:bCs/>
          <w:spacing w:val="-5"/>
          <w:sz w:val="28"/>
          <w:szCs w:val="28"/>
        </w:rPr>
        <w:t>水质处理标准</w:t>
      </w:r>
    </w:p>
    <w:p w14:paraId="640909F0">
      <w:pPr>
        <w:pBdr>
          <w:top w:val="none" w:color="auto" w:sz="0" w:space="0"/>
          <w:left w:val="none" w:color="auto" w:sz="0" w:space="0"/>
          <w:bottom w:val="none" w:color="FFFFFF" w:sz="0" w:space="0"/>
          <w:right w:val="none" w:color="auto" w:sz="0" w:space="0"/>
          <w:between w:val="none" w:color="auto" w:sz="0" w:space="0"/>
        </w:pBdr>
        <w:spacing w:line="15" w:lineRule="exact"/>
      </w:pPr>
    </w:p>
    <w:tbl>
      <w:tblPr>
        <w:tblStyle w:val="51"/>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022"/>
        <w:gridCol w:w="1895"/>
        <w:gridCol w:w="1964"/>
        <w:gridCol w:w="2016"/>
        <w:gridCol w:w="1749"/>
      </w:tblGrid>
      <w:tr w14:paraId="00AF6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048" w:type="pct"/>
            <w:vMerge w:val="restart"/>
            <w:tcBorders>
              <w:bottom w:val="nil"/>
            </w:tcBorders>
            <w:vAlign w:val="center"/>
          </w:tcPr>
          <w:p w14:paraId="1580267E">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7"/>
                <w:sz w:val="24"/>
                <w:szCs w:val="24"/>
              </w:rPr>
              <w:t>检测项目</w:t>
            </w:r>
          </w:p>
        </w:tc>
        <w:tc>
          <w:tcPr>
            <w:tcW w:w="2000" w:type="pct"/>
            <w:gridSpan w:val="2"/>
            <w:vAlign w:val="center"/>
          </w:tcPr>
          <w:p w14:paraId="7ED0347E">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6"/>
                <w:sz w:val="24"/>
                <w:szCs w:val="24"/>
              </w:rPr>
              <w:t>冷却水</w:t>
            </w:r>
          </w:p>
        </w:tc>
        <w:tc>
          <w:tcPr>
            <w:tcW w:w="1951" w:type="pct"/>
            <w:gridSpan w:val="2"/>
            <w:vAlign w:val="center"/>
          </w:tcPr>
          <w:p w14:paraId="6916F30F">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6"/>
                <w:sz w:val="24"/>
                <w:szCs w:val="24"/>
              </w:rPr>
              <w:t>冷冻水</w:t>
            </w:r>
          </w:p>
        </w:tc>
      </w:tr>
      <w:tr w14:paraId="01A1A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Merge w:val="continue"/>
            <w:tcBorders>
              <w:top w:val="nil"/>
            </w:tcBorders>
            <w:vAlign w:val="center"/>
          </w:tcPr>
          <w:p w14:paraId="75CB29B2">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c>
          <w:tcPr>
            <w:tcW w:w="982" w:type="pct"/>
            <w:vAlign w:val="center"/>
          </w:tcPr>
          <w:p w14:paraId="64301B94">
            <w:pPr>
              <w:pStyle w:val="52"/>
              <w:pBdr>
                <w:top w:val="none" w:color="auto" w:sz="0" w:space="0"/>
                <w:left w:val="none" w:color="auto" w:sz="0" w:space="0"/>
                <w:bottom w:val="none" w:color="FFFFFF" w:sz="0" w:space="0"/>
                <w:right w:val="none" w:color="auto" w:sz="0" w:space="0"/>
                <w:between w:val="none" w:color="auto" w:sz="0" w:space="0"/>
              </w:pBdr>
              <w:spacing w:before="0" w:after="0" w:line="220" w:lineRule="auto"/>
              <w:ind w:left="0"/>
              <w:jc w:val="center"/>
              <w:rPr>
                <w:sz w:val="24"/>
                <w:szCs w:val="24"/>
              </w:rPr>
            </w:pPr>
            <w:r>
              <w:rPr>
                <w:b/>
                <w:bCs/>
                <w:spacing w:val="-6"/>
                <w:sz w:val="24"/>
                <w:szCs w:val="24"/>
              </w:rPr>
              <w:t>标准</w:t>
            </w:r>
          </w:p>
        </w:tc>
        <w:tc>
          <w:tcPr>
            <w:tcW w:w="1017" w:type="pct"/>
            <w:vAlign w:val="center"/>
          </w:tcPr>
          <w:p w14:paraId="106B8843">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5"/>
                <w:sz w:val="24"/>
                <w:szCs w:val="24"/>
              </w:rPr>
              <w:t>检测次数</w:t>
            </w:r>
          </w:p>
        </w:tc>
        <w:tc>
          <w:tcPr>
            <w:tcW w:w="1045" w:type="pct"/>
            <w:vAlign w:val="center"/>
          </w:tcPr>
          <w:p w14:paraId="039FC5CF">
            <w:pPr>
              <w:pStyle w:val="52"/>
              <w:pBdr>
                <w:top w:val="none" w:color="auto" w:sz="0" w:space="0"/>
                <w:left w:val="none" w:color="auto" w:sz="0" w:space="0"/>
                <w:bottom w:val="none" w:color="FFFFFF" w:sz="0" w:space="0"/>
                <w:right w:val="none" w:color="auto" w:sz="0" w:space="0"/>
                <w:between w:val="none" w:color="auto" w:sz="0" w:space="0"/>
              </w:pBdr>
              <w:spacing w:before="0" w:after="0" w:line="220" w:lineRule="auto"/>
              <w:ind w:left="0"/>
              <w:jc w:val="center"/>
              <w:rPr>
                <w:sz w:val="24"/>
                <w:szCs w:val="24"/>
              </w:rPr>
            </w:pPr>
            <w:r>
              <w:rPr>
                <w:b/>
                <w:bCs/>
                <w:spacing w:val="-6"/>
                <w:sz w:val="24"/>
                <w:szCs w:val="24"/>
              </w:rPr>
              <w:t>标准</w:t>
            </w:r>
          </w:p>
        </w:tc>
        <w:tc>
          <w:tcPr>
            <w:tcW w:w="905" w:type="pct"/>
            <w:vAlign w:val="center"/>
          </w:tcPr>
          <w:p w14:paraId="3812177B">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5"/>
                <w:sz w:val="24"/>
                <w:szCs w:val="24"/>
              </w:rPr>
              <w:t>检测次数</w:t>
            </w:r>
          </w:p>
        </w:tc>
      </w:tr>
      <w:tr w14:paraId="6213F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2B698648">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6"/>
                <w:sz w:val="24"/>
                <w:szCs w:val="24"/>
              </w:rPr>
              <w:t>P</w:t>
            </w:r>
            <w:r>
              <w:rPr>
                <w:spacing w:val="-33"/>
                <w:sz w:val="24"/>
                <w:szCs w:val="24"/>
              </w:rPr>
              <w:t xml:space="preserve"> </w:t>
            </w:r>
            <w:r>
              <w:rPr>
                <w:b/>
                <w:bCs/>
                <w:spacing w:val="-6"/>
                <w:sz w:val="24"/>
                <w:szCs w:val="24"/>
              </w:rPr>
              <w:t>H</w:t>
            </w:r>
            <w:r>
              <w:rPr>
                <w:spacing w:val="-26"/>
                <w:sz w:val="24"/>
                <w:szCs w:val="24"/>
              </w:rPr>
              <w:t xml:space="preserve"> </w:t>
            </w:r>
            <w:r>
              <w:rPr>
                <w:b/>
                <w:bCs/>
                <w:spacing w:val="-6"/>
                <w:sz w:val="24"/>
                <w:szCs w:val="24"/>
              </w:rPr>
              <w:t>值</w:t>
            </w:r>
          </w:p>
        </w:tc>
        <w:tc>
          <w:tcPr>
            <w:tcW w:w="982" w:type="pct"/>
            <w:vAlign w:val="center"/>
          </w:tcPr>
          <w:p w14:paraId="15B84AC5">
            <w:pPr>
              <w:pStyle w:val="52"/>
              <w:pBdr>
                <w:top w:val="none" w:color="auto" w:sz="0" w:space="0"/>
                <w:left w:val="none" w:color="auto" w:sz="0" w:space="0"/>
                <w:bottom w:val="none" w:color="FFFFFF" w:sz="0" w:space="0"/>
                <w:right w:val="none" w:color="auto" w:sz="0" w:space="0"/>
                <w:between w:val="none" w:color="auto" w:sz="0" w:space="0"/>
              </w:pBdr>
              <w:spacing w:before="0" w:after="0" w:line="172" w:lineRule="auto"/>
              <w:ind w:left="0"/>
              <w:jc w:val="center"/>
              <w:rPr>
                <w:sz w:val="24"/>
                <w:szCs w:val="24"/>
              </w:rPr>
            </w:pPr>
            <w:r>
              <w:rPr>
                <w:spacing w:val="-14"/>
                <w:sz w:val="24"/>
                <w:szCs w:val="24"/>
              </w:rPr>
              <w:t>7.0</w:t>
            </w:r>
            <w:r>
              <w:rPr>
                <w:rFonts w:hint="eastAsia"/>
                <w:spacing w:val="-14"/>
                <w:sz w:val="24"/>
                <w:szCs w:val="24"/>
                <w:lang w:val="en-US" w:eastAsia="zh-CN"/>
              </w:rPr>
              <w:t>-</w:t>
            </w:r>
            <w:r>
              <w:rPr>
                <w:spacing w:val="-14"/>
                <w:sz w:val="24"/>
                <w:szCs w:val="24"/>
              </w:rPr>
              <w:t>9.2</w:t>
            </w:r>
          </w:p>
        </w:tc>
        <w:tc>
          <w:tcPr>
            <w:tcW w:w="1017" w:type="pct"/>
            <w:vAlign w:val="center"/>
          </w:tcPr>
          <w:p w14:paraId="215278F3">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5874B66B">
            <w:pPr>
              <w:pStyle w:val="52"/>
              <w:pBdr>
                <w:top w:val="none" w:color="auto" w:sz="0" w:space="0"/>
                <w:left w:val="none" w:color="auto" w:sz="0" w:space="0"/>
                <w:bottom w:val="none" w:color="FFFFFF" w:sz="0" w:space="0"/>
                <w:right w:val="none" w:color="auto" w:sz="0" w:space="0"/>
                <w:between w:val="none" w:color="auto" w:sz="0" w:space="0"/>
              </w:pBdr>
              <w:spacing w:before="0" w:after="0" w:line="187" w:lineRule="auto"/>
              <w:ind w:left="0"/>
              <w:jc w:val="center"/>
              <w:rPr>
                <w:sz w:val="24"/>
                <w:szCs w:val="24"/>
              </w:rPr>
            </w:pPr>
            <w:r>
              <w:rPr>
                <w:spacing w:val="-13"/>
                <w:sz w:val="24"/>
                <w:szCs w:val="24"/>
              </w:rPr>
              <w:t>8.0</w:t>
            </w:r>
            <w:r>
              <w:rPr>
                <w:rFonts w:hint="eastAsia"/>
                <w:spacing w:val="-13"/>
                <w:sz w:val="24"/>
                <w:szCs w:val="24"/>
                <w:lang w:val="en-US" w:eastAsia="zh-CN"/>
              </w:rPr>
              <w:t>-</w:t>
            </w:r>
            <w:r>
              <w:rPr>
                <w:spacing w:val="-13"/>
                <w:sz w:val="24"/>
                <w:szCs w:val="24"/>
              </w:rPr>
              <w:t>11.0</w:t>
            </w:r>
          </w:p>
        </w:tc>
        <w:tc>
          <w:tcPr>
            <w:tcW w:w="905" w:type="pct"/>
            <w:vAlign w:val="center"/>
          </w:tcPr>
          <w:p w14:paraId="60F33534">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r>
      <w:tr w14:paraId="318FC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48" w:type="pct"/>
            <w:vAlign w:val="center"/>
          </w:tcPr>
          <w:p w14:paraId="0350C285">
            <w:pPr>
              <w:pStyle w:val="52"/>
              <w:pBdr>
                <w:top w:val="none" w:color="auto" w:sz="0" w:space="0"/>
                <w:left w:val="none" w:color="auto" w:sz="0" w:space="0"/>
                <w:bottom w:val="none" w:color="FFFFFF" w:sz="0" w:space="0"/>
                <w:right w:val="none" w:color="auto" w:sz="0" w:space="0"/>
                <w:between w:val="none" w:color="auto" w:sz="0" w:space="0"/>
              </w:pBdr>
              <w:spacing w:before="0" w:after="0" w:line="214" w:lineRule="auto"/>
              <w:ind w:left="0"/>
              <w:jc w:val="center"/>
              <w:rPr>
                <w:sz w:val="24"/>
                <w:szCs w:val="24"/>
              </w:rPr>
            </w:pPr>
            <w:r>
              <w:rPr>
                <w:b/>
                <w:bCs/>
                <w:spacing w:val="-5"/>
                <w:sz w:val="24"/>
                <w:szCs w:val="24"/>
              </w:rPr>
              <w:t>浊度mg/L</w:t>
            </w:r>
          </w:p>
        </w:tc>
        <w:tc>
          <w:tcPr>
            <w:tcW w:w="982" w:type="pct"/>
            <w:vAlign w:val="center"/>
          </w:tcPr>
          <w:p w14:paraId="3FE9C19A">
            <w:pPr>
              <w:pStyle w:val="52"/>
              <w:pBdr>
                <w:top w:val="none" w:color="auto" w:sz="0" w:space="0"/>
                <w:left w:val="none" w:color="auto" w:sz="0" w:space="0"/>
                <w:bottom w:val="none" w:color="FFFFFF" w:sz="0" w:space="0"/>
                <w:right w:val="none" w:color="auto" w:sz="0" w:space="0"/>
                <w:between w:val="none" w:color="auto" w:sz="0" w:space="0"/>
              </w:pBdr>
              <w:spacing w:before="0" w:after="0" w:line="235" w:lineRule="auto"/>
              <w:ind w:left="0"/>
              <w:jc w:val="center"/>
              <w:rPr>
                <w:sz w:val="24"/>
                <w:szCs w:val="24"/>
              </w:rPr>
            </w:pPr>
            <w:r>
              <w:rPr>
                <w:spacing w:val="-7"/>
                <w:sz w:val="24"/>
                <w:szCs w:val="24"/>
              </w:rPr>
              <w:t>≤20</w:t>
            </w:r>
          </w:p>
        </w:tc>
        <w:tc>
          <w:tcPr>
            <w:tcW w:w="1017" w:type="pct"/>
            <w:vAlign w:val="center"/>
          </w:tcPr>
          <w:p w14:paraId="14DB83FA">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26B26DF0">
            <w:pPr>
              <w:pStyle w:val="52"/>
              <w:pBdr>
                <w:top w:val="none" w:color="auto" w:sz="0" w:space="0"/>
                <w:left w:val="none" w:color="auto" w:sz="0" w:space="0"/>
                <w:bottom w:val="none" w:color="FFFFFF" w:sz="0" w:space="0"/>
                <w:right w:val="none" w:color="auto" w:sz="0" w:space="0"/>
                <w:between w:val="none" w:color="auto" w:sz="0" w:space="0"/>
              </w:pBdr>
              <w:spacing w:before="0" w:after="0" w:line="143" w:lineRule="exact"/>
              <w:ind w:left="786"/>
              <w:jc w:val="center"/>
              <w:rPr>
                <w:sz w:val="24"/>
                <w:szCs w:val="24"/>
              </w:rPr>
            </w:pPr>
          </w:p>
        </w:tc>
        <w:tc>
          <w:tcPr>
            <w:tcW w:w="905" w:type="pct"/>
            <w:vAlign w:val="center"/>
          </w:tcPr>
          <w:p w14:paraId="542E1DC9">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r>
      <w:tr w14:paraId="24FD2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3710FC68">
            <w:pPr>
              <w:pStyle w:val="52"/>
              <w:pBdr>
                <w:top w:val="none" w:color="auto" w:sz="0" w:space="0"/>
                <w:left w:val="none" w:color="auto" w:sz="0" w:space="0"/>
                <w:bottom w:val="none" w:color="FFFFFF" w:sz="0" w:space="0"/>
                <w:right w:val="none" w:color="auto" w:sz="0" w:space="0"/>
                <w:between w:val="none" w:color="auto" w:sz="0" w:space="0"/>
              </w:pBdr>
              <w:spacing w:before="0" w:after="0" w:line="214" w:lineRule="auto"/>
              <w:ind w:left="0"/>
              <w:jc w:val="center"/>
              <w:rPr>
                <w:sz w:val="24"/>
                <w:szCs w:val="24"/>
              </w:rPr>
            </w:pPr>
            <w:r>
              <w:rPr>
                <w:b/>
                <w:bCs/>
                <w:spacing w:val="-5"/>
                <w:sz w:val="24"/>
                <w:szCs w:val="24"/>
              </w:rPr>
              <w:t>总硬度mg/L</w:t>
            </w:r>
          </w:p>
        </w:tc>
        <w:tc>
          <w:tcPr>
            <w:tcW w:w="982" w:type="pct"/>
            <w:vAlign w:val="center"/>
          </w:tcPr>
          <w:p w14:paraId="51412EE2">
            <w:pPr>
              <w:pStyle w:val="52"/>
              <w:pBdr>
                <w:top w:val="none" w:color="auto" w:sz="0" w:space="0"/>
                <w:left w:val="none" w:color="auto" w:sz="0" w:space="0"/>
                <w:bottom w:val="none" w:color="FFFFFF" w:sz="0" w:space="0"/>
                <w:right w:val="none" w:color="auto" w:sz="0" w:space="0"/>
                <w:between w:val="none" w:color="auto" w:sz="0" w:space="0"/>
              </w:pBdr>
              <w:spacing w:before="0" w:after="0" w:line="235" w:lineRule="auto"/>
              <w:ind w:left="0"/>
              <w:jc w:val="center"/>
              <w:rPr>
                <w:sz w:val="24"/>
                <w:szCs w:val="24"/>
              </w:rPr>
            </w:pPr>
            <w:r>
              <w:rPr>
                <w:spacing w:val="-6"/>
                <w:sz w:val="24"/>
                <w:szCs w:val="24"/>
              </w:rPr>
              <w:t>≤600</w:t>
            </w:r>
          </w:p>
        </w:tc>
        <w:tc>
          <w:tcPr>
            <w:tcW w:w="1017" w:type="pct"/>
            <w:vAlign w:val="center"/>
          </w:tcPr>
          <w:p w14:paraId="6A1B7003">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6D5C4034">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c>
          <w:tcPr>
            <w:tcW w:w="905" w:type="pct"/>
            <w:vAlign w:val="center"/>
          </w:tcPr>
          <w:p w14:paraId="432E9554">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r>
      <w:tr w14:paraId="621C2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1100390C">
            <w:pPr>
              <w:pStyle w:val="52"/>
              <w:pBdr>
                <w:top w:val="none" w:color="auto" w:sz="0" w:space="0"/>
                <w:left w:val="none" w:color="auto" w:sz="0" w:space="0"/>
                <w:bottom w:val="none" w:color="FFFFFF" w:sz="0" w:space="0"/>
                <w:right w:val="none" w:color="auto" w:sz="0" w:space="0"/>
                <w:between w:val="none" w:color="auto" w:sz="0" w:space="0"/>
              </w:pBdr>
              <w:spacing w:before="0" w:after="0" w:line="214" w:lineRule="auto"/>
              <w:ind w:left="0"/>
              <w:jc w:val="center"/>
              <w:rPr>
                <w:sz w:val="24"/>
                <w:szCs w:val="24"/>
              </w:rPr>
            </w:pPr>
            <w:r>
              <w:rPr>
                <w:b/>
                <w:bCs/>
                <w:spacing w:val="-5"/>
                <w:sz w:val="24"/>
                <w:szCs w:val="24"/>
              </w:rPr>
              <w:t>总碱度mg/L</w:t>
            </w:r>
          </w:p>
        </w:tc>
        <w:tc>
          <w:tcPr>
            <w:tcW w:w="982" w:type="pct"/>
            <w:vAlign w:val="center"/>
          </w:tcPr>
          <w:p w14:paraId="73976B1C">
            <w:pPr>
              <w:pStyle w:val="52"/>
              <w:pBdr>
                <w:top w:val="none" w:color="auto" w:sz="0" w:space="0"/>
                <w:left w:val="none" w:color="auto" w:sz="0" w:space="0"/>
                <w:bottom w:val="none" w:color="FFFFFF" w:sz="0" w:space="0"/>
                <w:right w:val="none" w:color="auto" w:sz="0" w:space="0"/>
                <w:between w:val="none" w:color="auto" w:sz="0" w:space="0"/>
              </w:pBdr>
              <w:spacing w:before="0" w:after="0" w:line="195" w:lineRule="auto"/>
              <w:ind w:left="0"/>
              <w:jc w:val="center"/>
              <w:rPr>
                <w:sz w:val="24"/>
                <w:szCs w:val="24"/>
              </w:rPr>
            </w:pPr>
            <w:r>
              <w:rPr>
                <w:spacing w:val="-6"/>
                <w:sz w:val="24"/>
                <w:szCs w:val="24"/>
              </w:rPr>
              <w:t>≤500</w:t>
            </w:r>
          </w:p>
        </w:tc>
        <w:tc>
          <w:tcPr>
            <w:tcW w:w="1017" w:type="pct"/>
            <w:vAlign w:val="center"/>
          </w:tcPr>
          <w:p w14:paraId="6024F150">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489D545F">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c>
          <w:tcPr>
            <w:tcW w:w="905" w:type="pct"/>
            <w:vAlign w:val="center"/>
          </w:tcPr>
          <w:p w14:paraId="663D5CA4">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r>
      <w:tr w14:paraId="20259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0782160F">
            <w:pPr>
              <w:pStyle w:val="52"/>
              <w:pBdr>
                <w:top w:val="none" w:color="auto" w:sz="0" w:space="0"/>
                <w:left w:val="none" w:color="auto" w:sz="0" w:space="0"/>
                <w:bottom w:val="none" w:color="FFFFFF" w:sz="0" w:space="0"/>
                <w:right w:val="none" w:color="auto" w:sz="0" w:space="0"/>
                <w:between w:val="none" w:color="auto" w:sz="0" w:space="0"/>
              </w:pBdr>
              <w:spacing w:before="0" w:after="0" w:line="220" w:lineRule="auto"/>
              <w:ind w:left="0"/>
              <w:jc w:val="center"/>
              <w:rPr>
                <w:sz w:val="24"/>
                <w:szCs w:val="24"/>
              </w:rPr>
            </w:pPr>
            <w:r>
              <w:rPr>
                <w:b/>
                <w:bCs/>
                <w:spacing w:val="-5"/>
                <w:sz w:val="24"/>
                <w:szCs w:val="24"/>
              </w:rPr>
              <w:t>铁离子</w:t>
            </w:r>
          </w:p>
        </w:tc>
        <w:tc>
          <w:tcPr>
            <w:tcW w:w="982" w:type="pct"/>
            <w:vAlign w:val="center"/>
          </w:tcPr>
          <w:p w14:paraId="4A114545">
            <w:pPr>
              <w:pStyle w:val="52"/>
              <w:pBdr>
                <w:top w:val="none" w:color="auto" w:sz="0" w:space="0"/>
                <w:left w:val="none" w:color="auto" w:sz="0" w:space="0"/>
                <w:bottom w:val="none" w:color="FFFFFF" w:sz="0" w:space="0"/>
                <w:right w:val="none" w:color="auto" w:sz="0" w:space="0"/>
                <w:between w:val="none" w:color="auto" w:sz="0" w:space="0"/>
              </w:pBdr>
              <w:spacing w:before="0" w:after="0" w:line="233" w:lineRule="auto"/>
              <w:ind w:left="0"/>
              <w:jc w:val="center"/>
              <w:rPr>
                <w:sz w:val="24"/>
                <w:szCs w:val="24"/>
              </w:rPr>
            </w:pPr>
            <w:r>
              <w:rPr>
                <w:spacing w:val="-7"/>
                <w:sz w:val="24"/>
                <w:szCs w:val="24"/>
              </w:rPr>
              <w:t>≤1.0</w:t>
            </w:r>
          </w:p>
        </w:tc>
        <w:tc>
          <w:tcPr>
            <w:tcW w:w="1017" w:type="pct"/>
            <w:vAlign w:val="center"/>
          </w:tcPr>
          <w:p w14:paraId="0462C46A">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3C0287C5">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c>
          <w:tcPr>
            <w:tcW w:w="905" w:type="pct"/>
            <w:vAlign w:val="center"/>
          </w:tcPr>
          <w:p w14:paraId="19016748">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r>
      <w:tr w14:paraId="4A752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48" w:type="pct"/>
            <w:vAlign w:val="center"/>
          </w:tcPr>
          <w:p w14:paraId="7AD54389">
            <w:pPr>
              <w:pStyle w:val="52"/>
              <w:pBdr>
                <w:top w:val="none" w:color="auto" w:sz="0" w:space="0"/>
                <w:left w:val="none" w:color="auto" w:sz="0" w:space="0"/>
                <w:bottom w:val="none" w:color="FFFFFF" w:sz="0" w:space="0"/>
                <w:right w:val="none" w:color="auto" w:sz="0" w:space="0"/>
                <w:between w:val="none" w:color="auto" w:sz="0" w:space="0"/>
              </w:pBdr>
              <w:spacing w:before="0" w:after="0" w:line="220" w:lineRule="auto"/>
              <w:ind w:left="0"/>
              <w:jc w:val="center"/>
              <w:rPr>
                <w:sz w:val="24"/>
                <w:szCs w:val="24"/>
              </w:rPr>
            </w:pPr>
            <w:r>
              <w:rPr>
                <w:b/>
                <w:bCs/>
                <w:spacing w:val="-5"/>
                <w:sz w:val="24"/>
                <w:szCs w:val="24"/>
              </w:rPr>
              <w:t>铜离子</w:t>
            </w:r>
          </w:p>
        </w:tc>
        <w:tc>
          <w:tcPr>
            <w:tcW w:w="982" w:type="pct"/>
            <w:vAlign w:val="center"/>
          </w:tcPr>
          <w:p w14:paraId="5525468F">
            <w:pPr>
              <w:pStyle w:val="52"/>
              <w:pBdr>
                <w:top w:val="none" w:color="auto" w:sz="0" w:space="0"/>
                <w:left w:val="none" w:color="auto" w:sz="0" w:space="0"/>
                <w:bottom w:val="none" w:color="FFFFFF" w:sz="0" w:space="0"/>
                <w:right w:val="none" w:color="auto" w:sz="0" w:space="0"/>
                <w:between w:val="none" w:color="auto" w:sz="0" w:space="0"/>
              </w:pBdr>
              <w:spacing w:before="0" w:after="0" w:line="233" w:lineRule="auto"/>
              <w:ind w:left="0"/>
              <w:jc w:val="center"/>
              <w:rPr>
                <w:sz w:val="24"/>
                <w:szCs w:val="24"/>
              </w:rPr>
            </w:pPr>
            <w:r>
              <w:rPr>
                <w:spacing w:val="-7"/>
                <w:sz w:val="24"/>
                <w:szCs w:val="24"/>
              </w:rPr>
              <w:t>≤0.2</w:t>
            </w:r>
          </w:p>
        </w:tc>
        <w:tc>
          <w:tcPr>
            <w:tcW w:w="1017" w:type="pct"/>
            <w:vAlign w:val="center"/>
          </w:tcPr>
          <w:p w14:paraId="6B22E646">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771CDBC2">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c>
          <w:tcPr>
            <w:tcW w:w="905" w:type="pct"/>
            <w:vAlign w:val="center"/>
          </w:tcPr>
          <w:p w14:paraId="1113767F">
            <w:pPr>
              <w:pBdr>
                <w:top w:val="none" w:color="auto" w:sz="0" w:space="0"/>
                <w:left w:val="none" w:color="auto" w:sz="0" w:space="0"/>
                <w:bottom w:val="none" w:color="FFFFFF" w:sz="0" w:space="0"/>
                <w:right w:val="none" w:color="auto" w:sz="0" w:space="0"/>
                <w:between w:val="none" w:color="auto" w:sz="0" w:space="0"/>
              </w:pBdr>
              <w:spacing w:after="0"/>
              <w:jc w:val="center"/>
              <w:rPr>
                <w:rFonts w:ascii="Arial"/>
                <w:sz w:val="21"/>
              </w:rPr>
            </w:pPr>
          </w:p>
        </w:tc>
      </w:tr>
      <w:tr w14:paraId="2A72B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46658630">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4"/>
                <w:sz w:val="24"/>
                <w:szCs w:val="24"/>
              </w:rPr>
              <w:t>细菌总个数/mL</w:t>
            </w:r>
          </w:p>
        </w:tc>
        <w:tc>
          <w:tcPr>
            <w:tcW w:w="982" w:type="pct"/>
            <w:vAlign w:val="center"/>
          </w:tcPr>
          <w:p w14:paraId="56235374">
            <w:pPr>
              <w:pStyle w:val="52"/>
              <w:pBdr>
                <w:top w:val="none" w:color="auto" w:sz="0" w:space="0"/>
                <w:left w:val="none" w:color="auto" w:sz="0" w:space="0"/>
                <w:bottom w:val="none" w:color="FFFFFF" w:sz="0" w:space="0"/>
                <w:right w:val="none" w:color="auto" w:sz="0" w:space="0"/>
                <w:between w:val="none" w:color="auto" w:sz="0" w:space="0"/>
              </w:pBdr>
              <w:spacing w:before="0" w:after="0" w:line="232" w:lineRule="auto"/>
              <w:ind w:left="0"/>
              <w:jc w:val="center"/>
              <w:rPr>
                <w:rFonts w:ascii="Calibri" w:hAnsi="Calibri" w:eastAsia="Calibri" w:cs="Calibri"/>
                <w:sz w:val="24"/>
                <w:szCs w:val="24"/>
              </w:rPr>
            </w:pPr>
            <w:r>
              <w:rPr>
                <w:spacing w:val="-5"/>
                <w:sz w:val="24"/>
                <w:szCs w:val="24"/>
              </w:rPr>
              <w:t>≤1×10</w:t>
            </w:r>
            <w:r>
              <w:rPr>
                <w:rFonts w:ascii="Calibri" w:hAnsi="Calibri" w:eastAsia="Calibri" w:cs="Calibri"/>
                <w:spacing w:val="-5"/>
                <w:sz w:val="24"/>
                <w:szCs w:val="24"/>
              </w:rPr>
              <w:t>⁵</w:t>
            </w:r>
          </w:p>
        </w:tc>
        <w:tc>
          <w:tcPr>
            <w:tcW w:w="1017" w:type="pct"/>
            <w:vAlign w:val="center"/>
          </w:tcPr>
          <w:p w14:paraId="1FF4A9A3">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3BC1128B">
            <w:pPr>
              <w:pStyle w:val="52"/>
              <w:pBdr>
                <w:top w:val="none" w:color="auto" w:sz="0" w:space="0"/>
                <w:left w:val="none" w:color="auto" w:sz="0" w:space="0"/>
                <w:bottom w:val="none" w:color="FFFFFF" w:sz="0" w:space="0"/>
                <w:right w:val="none" w:color="auto" w:sz="0" w:space="0"/>
                <w:between w:val="none" w:color="auto" w:sz="0" w:space="0"/>
              </w:pBdr>
              <w:spacing w:before="0" w:after="0" w:line="232" w:lineRule="auto"/>
              <w:ind w:left="0"/>
              <w:jc w:val="center"/>
              <w:rPr>
                <w:rFonts w:ascii="Calibri" w:hAnsi="Calibri" w:eastAsia="Calibri" w:cs="Calibri"/>
                <w:sz w:val="24"/>
                <w:szCs w:val="24"/>
              </w:rPr>
            </w:pPr>
            <w:r>
              <w:rPr>
                <w:spacing w:val="-5"/>
                <w:sz w:val="24"/>
                <w:szCs w:val="24"/>
              </w:rPr>
              <w:t>≤1×10</w:t>
            </w:r>
            <w:r>
              <w:rPr>
                <w:rFonts w:ascii="Calibri" w:hAnsi="Calibri" w:eastAsia="Calibri" w:cs="Calibri"/>
                <w:spacing w:val="-5"/>
                <w:sz w:val="24"/>
                <w:szCs w:val="24"/>
              </w:rPr>
              <w:t>⁵</w:t>
            </w:r>
          </w:p>
        </w:tc>
        <w:tc>
          <w:tcPr>
            <w:tcW w:w="905" w:type="pct"/>
            <w:vAlign w:val="center"/>
          </w:tcPr>
          <w:p w14:paraId="30CB13B2">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2"/>
                <w:sz w:val="24"/>
                <w:szCs w:val="24"/>
              </w:rPr>
              <w:t>每季度一次</w:t>
            </w:r>
          </w:p>
        </w:tc>
      </w:tr>
      <w:tr w14:paraId="2C986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65019CE2">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right="9"/>
              <w:jc w:val="center"/>
              <w:rPr>
                <w:sz w:val="24"/>
                <w:szCs w:val="24"/>
              </w:rPr>
            </w:pPr>
            <w:r>
              <w:rPr>
                <w:b/>
                <w:bCs/>
                <w:spacing w:val="-4"/>
                <w:sz w:val="24"/>
                <w:szCs w:val="24"/>
              </w:rPr>
              <w:t>电导率μs/cm</w:t>
            </w:r>
          </w:p>
        </w:tc>
        <w:tc>
          <w:tcPr>
            <w:tcW w:w="982" w:type="pct"/>
            <w:vAlign w:val="center"/>
          </w:tcPr>
          <w:p w14:paraId="6EBC0CC8">
            <w:pPr>
              <w:pStyle w:val="52"/>
              <w:pBdr>
                <w:top w:val="none" w:color="auto" w:sz="0" w:space="0"/>
                <w:left w:val="none" w:color="auto" w:sz="0" w:space="0"/>
                <w:bottom w:val="none" w:color="FFFFFF" w:sz="0" w:space="0"/>
                <w:right w:val="none" w:color="auto" w:sz="0" w:space="0"/>
                <w:between w:val="none" w:color="auto" w:sz="0" w:space="0"/>
              </w:pBdr>
              <w:spacing w:before="0" w:after="0" w:line="229" w:lineRule="auto"/>
              <w:ind w:left="0"/>
              <w:jc w:val="center"/>
              <w:rPr>
                <w:sz w:val="24"/>
                <w:szCs w:val="24"/>
              </w:rPr>
            </w:pPr>
            <w:r>
              <w:rPr>
                <w:spacing w:val="-3"/>
                <w:sz w:val="24"/>
                <w:szCs w:val="24"/>
              </w:rPr>
              <w:t>&lt;2500</w:t>
            </w:r>
          </w:p>
        </w:tc>
        <w:tc>
          <w:tcPr>
            <w:tcW w:w="1017" w:type="pct"/>
            <w:vAlign w:val="center"/>
          </w:tcPr>
          <w:p w14:paraId="61D698E7">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419CE84D">
            <w:pPr>
              <w:pStyle w:val="52"/>
              <w:pBdr>
                <w:top w:val="none" w:color="auto" w:sz="0" w:space="0"/>
                <w:left w:val="none" w:color="auto" w:sz="0" w:space="0"/>
                <w:bottom w:val="none" w:color="FFFFFF" w:sz="0" w:space="0"/>
                <w:right w:val="none" w:color="auto" w:sz="0" w:space="0"/>
                <w:between w:val="none" w:color="auto" w:sz="0" w:space="0"/>
              </w:pBdr>
              <w:spacing w:before="0" w:after="0" w:line="95" w:lineRule="exact"/>
              <w:ind w:left="846"/>
              <w:jc w:val="center"/>
              <w:rPr>
                <w:sz w:val="24"/>
                <w:szCs w:val="24"/>
              </w:rPr>
            </w:pPr>
          </w:p>
        </w:tc>
        <w:tc>
          <w:tcPr>
            <w:tcW w:w="905" w:type="pct"/>
            <w:vAlign w:val="center"/>
          </w:tcPr>
          <w:p w14:paraId="3ABA4520">
            <w:pPr>
              <w:pBdr>
                <w:top w:val="none" w:color="auto" w:sz="0" w:space="0"/>
                <w:left w:val="none" w:color="auto" w:sz="0" w:space="0"/>
                <w:bottom w:val="none" w:color="FFFFFF" w:sz="0" w:space="0"/>
                <w:right w:val="none" w:color="auto" w:sz="0" w:space="0"/>
                <w:between w:val="none" w:color="auto" w:sz="0" w:space="0"/>
              </w:pBdr>
              <w:spacing w:after="0"/>
              <w:ind w:left="0"/>
              <w:jc w:val="center"/>
              <w:rPr>
                <w:rFonts w:ascii="Arial"/>
                <w:sz w:val="21"/>
              </w:rPr>
            </w:pPr>
          </w:p>
        </w:tc>
      </w:tr>
      <w:tr w14:paraId="7FB29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283188E5">
            <w:pPr>
              <w:pStyle w:val="52"/>
              <w:pBdr>
                <w:top w:val="none" w:color="auto" w:sz="0" w:space="0"/>
                <w:left w:val="none" w:color="auto" w:sz="0" w:space="0"/>
                <w:bottom w:val="none" w:color="FFFFFF" w:sz="0" w:space="0"/>
                <w:right w:val="none" w:color="auto" w:sz="0" w:space="0"/>
                <w:between w:val="none" w:color="auto" w:sz="0" w:space="0"/>
              </w:pBdr>
              <w:spacing w:before="0" w:after="0" w:line="214" w:lineRule="auto"/>
              <w:ind w:left="0"/>
              <w:jc w:val="center"/>
              <w:rPr>
                <w:sz w:val="24"/>
                <w:szCs w:val="24"/>
              </w:rPr>
            </w:pPr>
            <w:r>
              <w:rPr>
                <w:b/>
                <w:bCs/>
                <w:spacing w:val="-5"/>
                <w:sz w:val="24"/>
                <w:szCs w:val="24"/>
              </w:rPr>
              <w:t>氯离子mg/L</w:t>
            </w:r>
          </w:p>
        </w:tc>
        <w:tc>
          <w:tcPr>
            <w:tcW w:w="982" w:type="pct"/>
            <w:vAlign w:val="center"/>
          </w:tcPr>
          <w:p w14:paraId="132399D3">
            <w:pPr>
              <w:pStyle w:val="52"/>
              <w:pBdr>
                <w:top w:val="none" w:color="auto" w:sz="0" w:space="0"/>
                <w:left w:val="none" w:color="auto" w:sz="0" w:space="0"/>
                <w:bottom w:val="none" w:color="FFFFFF" w:sz="0" w:space="0"/>
                <w:right w:val="none" w:color="auto" w:sz="0" w:space="0"/>
                <w:between w:val="none" w:color="auto" w:sz="0" w:space="0"/>
              </w:pBdr>
              <w:spacing w:before="0" w:after="0" w:line="192" w:lineRule="auto"/>
              <w:ind w:left="0"/>
              <w:jc w:val="center"/>
              <w:rPr>
                <w:sz w:val="24"/>
                <w:szCs w:val="24"/>
              </w:rPr>
            </w:pPr>
            <w:r>
              <w:rPr>
                <w:spacing w:val="-5"/>
                <w:sz w:val="24"/>
                <w:szCs w:val="24"/>
              </w:rPr>
              <w:t>≤1000</w:t>
            </w:r>
          </w:p>
        </w:tc>
        <w:tc>
          <w:tcPr>
            <w:tcW w:w="1017" w:type="pct"/>
            <w:vAlign w:val="center"/>
          </w:tcPr>
          <w:p w14:paraId="14D75F69">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3"/>
                <w:sz w:val="24"/>
                <w:szCs w:val="24"/>
              </w:rPr>
              <w:t>每月一次</w:t>
            </w:r>
          </w:p>
        </w:tc>
        <w:tc>
          <w:tcPr>
            <w:tcW w:w="1045" w:type="pct"/>
            <w:vAlign w:val="center"/>
          </w:tcPr>
          <w:p w14:paraId="44F91524">
            <w:pPr>
              <w:pStyle w:val="52"/>
              <w:pBdr>
                <w:top w:val="none" w:color="auto" w:sz="0" w:space="0"/>
                <w:left w:val="none" w:color="auto" w:sz="0" w:space="0"/>
                <w:bottom w:val="none" w:color="FFFFFF" w:sz="0" w:space="0"/>
                <w:right w:val="none" w:color="auto" w:sz="0" w:space="0"/>
                <w:between w:val="none" w:color="auto" w:sz="0" w:space="0"/>
              </w:pBdr>
              <w:spacing w:before="0" w:after="0" w:line="138" w:lineRule="exact"/>
              <w:jc w:val="center"/>
              <w:rPr>
                <w:sz w:val="24"/>
                <w:szCs w:val="24"/>
              </w:rPr>
            </w:pPr>
          </w:p>
        </w:tc>
        <w:tc>
          <w:tcPr>
            <w:tcW w:w="905" w:type="pct"/>
            <w:vAlign w:val="center"/>
          </w:tcPr>
          <w:p w14:paraId="76A6A79C">
            <w:pPr>
              <w:pBdr>
                <w:top w:val="none" w:color="auto" w:sz="0" w:space="0"/>
                <w:left w:val="none" w:color="auto" w:sz="0" w:space="0"/>
                <w:bottom w:val="none" w:color="FFFFFF" w:sz="0" w:space="0"/>
                <w:right w:val="none" w:color="auto" w:sz="0" w:space="0"/>
                <w:between w:val="none" w:color="auto" w:sz="0" w:space="0"/>
              </w:pBdr>
              <w:spacing w:after="0"/>
              <w:ind w:left="0"/>
              <w:jc w:val="center"/>
              <w:rPr>
                <w:rFonts w:ascii="Arial"/>
                <w:sz w:val="21"/>
              </w:rPr>
            </w:pPr>
          </w:p>
        </w:tc>
      </w:tr>
      <w:tr w14:paraId="090CE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48" w:type="pct"/>
            <w:vAlign w:val="center"/>
          </w:tcPr>
          <w:p w14:paraId="6762D4A8">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4"/>
                <w:sz w:val="24"/>
                <w:szCs w:val="24"/>
              </w:rPr>
              <w:t>钢腐蚀率</w:t>
            </w:r>
          </w:p>
        </w:tc>
        <w:tc>
          <w:tcPr>
            <w:tcW w:w="982" w:type="pct"/>
            <w:vAlign w:val="center"/>
          </w:tcPr>
          <w:p w14:paraId="33C5ABA7">
            <w:pPr>
              <w:pStyle w:val="52"/>
              <w:pBdr>
                <w:top w:val="none" w:color="auto" w:sz="0" w:space="0"/>
                <w:left w:val="none" w:color="auto" w:sz="0" w:space="0"/>
                <w:bottom w:val="none" w:color="FFFFFF" w:sz="0" w:space="0"/>
                <w:right w:val="none" w:color="auto" w:sz="0" w:space="0"/>
                <w:between w:val="none" w:color="auto" w:sz="0" w:space="0"/>
              </w:pBdr>
              <w:spacing w:before="0" w:after="0" w:line="203" w:lineRule="auto"/>
              <w:ind w:left="0"/>
              <w:jc w:val="center"/>
              <w:rPr>
                <w:sz w:val="24"/>
                <w:szCs w:val="24"/>
              </w:rPr>
            </w:pPr>
            <w:r>
              <w:rPr>
                <w:spacing w:val="-2"/>
                <w:sz w:val="24"/>
                <w:szCs w:val="24"/>
              </w:rPr>
              <w:t>&lt;0.125mm/a</w:t>
            </w:r>
          </w:p>
        </w:tc>
        <w:tc>
          <w:tcPr>
            <w:tcW w:w="1017" w:type="pct"/>
            <w:vAlign w:val="center"/>
          </w:tcPr>
          <w:p w14:paraId="679274C7">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2"/>
                <w:sz w:val="24"/>
                <w:szCs w:val="24"/>
              </w:rPr>
              <w:t>每季度一次</w:t>
            </w:r>
          </w:p>
        </w:tc>
        <w:tc>
          <w:tcPr>
            <w:tcW w:w="1045" w:type="pct"/>
            <w:vAlign w:val="center"/>
          </w:tcPr>
          <w:p w14:paraId="497128C4">
            <w:pPr>
              <w:pStyle w:val="52"/>
              <w:pBdr>
                <w:top w:val="none" w:color="auto" w:sz="0" w:space="0"/>
                <w:left w:val="none" w:color="auto" w:sz="0" w:space="0"/>
                <w:bottom w:val="none" w:color="FFFFFF" w:sz="0" w:space="0"/>
                <w:right w:val="none" w:color="auto" w:sz="0" w:space="0"/>
                <w:between w:val="none" w:color="auto" w:sz="0" w:space="0"/>
              </w:pBdr>
              <w:spacing w:before="0" w:after="0" w:line="214" w:lineRule="auto"/>
              <w:ind w:left="0"/>
              <w:jc w:val="center"/>
              <w:rPr>
                <w:sz w:val="24"/>
                <w:szCs w:val="24"/>
              </w:rPr>
            </w:pPr>
            <w:r>
              <w:rPr>
                <w:spacing w:val="-2"/>
                <w:sz w:val="24"/>
                <w:szCs w:val="24"/>
              </w:rPr>
              <w:t>&lt;0.6mg/cm²</w:t>
            </w:r>
          </w:p>
        </w:tc>
        <w:tc>
          <w:tcPr>
            <w:tcW w:w="905" w:type="pct"/>
            <w:vAlign w:val="center"/>
          </w:tcPr>
          <w:p w14:paraId="167EBA06">
            <w:pPr>
              <w:pStyle w:val="52"/>
              <w:pBdr>
                <w:top w:val="none" w:color="auto" w:sz="0" w:space="0"/>
                <w:left w:val="none" w:color="auto" w:sz="0" w:space="0"/>
                <w:bottom w:val="none" w:color="FFFFFF" w:sz="0" w:space="0"/>
                <w:right w:val="none" w:color="auto" w:sz="0" w:space="0"/>
                <w:between w:val="none" w:color="auto" w:sz="0" w:space="0"/>
              </w:pBdr>
              <w:spacing w:before="0" w:after="0" w:line="216" w:lineRule="auto"/>
              <w:ind w:left="0"/>
              <w:jc w:val="center"/>
              <w:rPr>
                <w:sz w:val="24"/>
                <w:szCs w:val="24"/>
              </w:rPr>
            </w:pPr>
            <w:r>
              <w:rPr>
                <w:spacing w:val="-2"/>
                <w:sz w:val="24"/>
                <w:szCs w:val="24"/>
              </w:rPr>
              <w:t>每季度一次</w:t>
            </w:r>
          </w:p>
        </w:tc>
      </w:tr>
      <w:tr w14:paraId="08C80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48" w:type="pct"/>
            <w:vAlign w:val="center"/>
          </w:tcPr>
          <w:p w14:paraId="1A35C620">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b/>
                <w:bCs/>
                <w:spacing w:val="-5"/>
                <w:sz w:val="24"/>
                <w:szCs w:val="24"/>
              </w:rPr>
              <w:t>铜腐蚀率</w:t>
            </w:r>
          </w:p>
        </w:tc>
        <w:tc>
          <w:tcPr>
            <w:tcW w:w="982" w:type="pct"/>
            <w:vAlign w:val="center"/>
          </w:tcPr>
          <w:p w14:paraId="54FE6CFA">
            <w:pPr>
              <w:pStyle w:val="52"/>
              <w:pBdr>
                <w:top w:val="none" w:color="auto" w:sz="0" w:space="0"/>
                <w:left w:val="none" w:color="auto" w:sz="0" w:space="0"/>
                <w:bottom w:val="none" w:color="FFFFFF" w:sz="0" w:space="0"/>
                <w:right w:val="none" w:color="auto" w:sz="0" w:space="0"/>
                <w:between w:val="none" w:color="auto" w:sz="0" w:space="0"/>
              </w:pBdr>
              <w:spacing w:before="0" w:after="0" w:line="224" w:lineRule="auto"/>
              <w:ind w:left="0"/>
              <w:jc w:val="center"/>
              <w:rPr>
                <w:sz w:val="24"/>
                <w:szCs w:val="24"/>
              </w:rPr>
            </w:pPr>
            <w:r>
              <w:rPr>
                <w:spacing w:val="-2"/>
                <w:sz w:val="24"/>
                <w:szCs w:val="24"/>
              </w:rPr>
              <w:t>&lt;0.005mm/a</w:t>
            </w:r>
          </w:p>
        </w:tc>
        <w:tc>
          <w:tcPr>
            <w:tcW w:w="1017" w:type="pct"/>
            <w:vAlign w:val="center"/>
          </w:tcPr>
          <w:p w14:paraId="34D05244">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2"/>
                <w:sz w:val="24"/>
                <w:szCs w:val="24"/>
              </w:rPr>
              <w:t>每季度一次</w:t>
            </w:r>
          </w:p>
        </w:tc>
        <w:tc>
          <w:tcPr>
            <w:tcW w:w="1045" w:type="pct"/>
            <w:vAlign w:val="center"/>
          </w:tcPr>
          <w:p w14:paraId="2A197EB7">
            <w:pPr>
              <w:pStyle w:val="52"/>
              <w:pBdr>
                <w:top w:val="none" w:color="auto" w:sz="0" w:space="0"/>
                <w:left w:val="none" w:color="auto" w:sz="0" w:space="0"/>
                <w:bottom w:val="none" w:color="FFFFFF" w:sz="0" w:space="0"/>
                <w:right w:val="none" w:color="auto" w:sz="0" w:space="0"/>
                <w:between w:val="none" w:color="auto" w:sz="0" w:space="0"/>
              </w:pBdr>
              <w:spacing w:before="0" w:after="0" w:line="214" w:lineRule="auto"/>
              <w:ind w:left="0"/>
              <w:jc w:val="center"/>
              <w:rPr>
                <w:sz w:val="24"/>
                <w:szCs w:val="24"/>
              </w:rPr>
            </w:pPr>
            <w:r>
              <w:rPr>
                <w:spacing w:val="-2"/>
                <w:sz w:val="24"/>
                <w:szCs w:val="24"/>
              </w:rPr>
              <w:t>&lt;0.3mg/cm²</w:t>
            </w:r>
          </w:p>
        </w:tc>
        <w:tc>
          <w:tcPr>
            <w:tcW w:w="905" w:type="pct"/>
            <w:vAlign w:val="center"/>
          </w:tcPr>
          <w:p w14:paraId="22B1262C">
            <w:pPr>
              <w:pStyle w:val="52"/>
              <w:pBdr>
                <w:top w:val="none" w:color="auto" w:sz="0" w:space="0"/>
                <w:left w:val="none" w:color="auto" w:sz="0" w:space="0"/>
                <w:bottom w:val="none" w:color="FFFFFF" w:sz="0" w:space="0"/>
                <w:right w:val="none" w:color="auto" w:sz="0" w:space="0"/>
                <w:between w:val="none" w:color="auto" w:sz="0" w:space="0"/>
              </w:pBdr>
              <w:spacing w:before="0" w:after="0" w:line="219" w:lineRule="auto"/>
              <w:ind w:left="0"/>
              <w:jc w:val="center"/>
              <w:rPr>
                <w:sz w:val="24"/>
                <w:szCs w:val="24"/>
              </w:rPr>
            </w:pPr>
            <w:r>
              <w:rPr>
                <w:spacing w:val="-2"/>
                <w:sz w:val="24"/>
                <w:szCs w:val="24"/>
              </w:rPr>
              <w:t>每季度一次</w:t>
            </w:r>
          </w:p>
        </w:tc>
      </w:tr>
    </w:tbl>
    <w:p w14:paraId="4840CF0F">
      <w:pPr>
        <w:keepNext w:val="0"/>
        <w:keepLines w:val="0"/>
        <w:pageBreakBefore w:val="0"/>
        <w:widowControl/>
        <w:kinsoku/>
        <w:topLinePunct w:val="0"/>
        <w:bidi w:val="0"/>
        <w:snapToGrid/>
        <w:spacing w:after="0" w:line="460" w:lineRule="exact"/>
        <w:ind w:left="0" w:leftChars="0" w:firstLine="0" w:firstLineChars="0"/>
        <w:rPr>
          <w:rFonts w:hint="default" w:ascii="Times New Roman" w:hAnsi="Times New Roman" w:eastAsia="仿宋" w:cs="Times New Roman"/>
          <w:sz w:val="24"/>
          <w:szCs w:val="20"/>
          <w:u w:val="none"/>
          <w:lang w:val="en-US" w:eastAsia="zh-CN"/>
        </w:rPr>
        <w:sectPr>
          <w:pgSz w:w="11906" w:h="16838"/>
          <w:pgMar w:top="1020" w:right="1134" w:bottom="567" w:left="1134" w:header="851" w:footer="562" w:gutter="0"/>
          <w:pgNumType w:fmt="numberInDash"/>
          <w:cols w:space="720" w:num="1"/>
          <w:docGrid w:type="lines" w:linePitch="312" w:charSpace="0"/>
        </w:sectPr>
      </w:pPr>
    </w:p>
    <w:p w14:paraId="6DCE1EBE">
      <w:pPr>
        <w:keepNext w:val="0"/>
        <w:keepLines w:val="0"/>
        <w:pageBreakBefore w:val="0"/>
        <w:widowControl/>
        <w:kinsoku/>
        <w:topLinePunct w:val="0"/>
        <w:bidi w:val="0"/>
        <w:snapToGrid/>
        <w:spacing w:after="0" w:line="460" w:lineRule="exact"/>
        <w:ind w:left="0"/>
        <w:jc w:val="left"/>
        <w:rPr>
          <w:rFonts w:hint="eastAsia" w:ascii="宋体" w:hAnsi="宋体" w:cs="宋体"/>
          <w:b/>
          <w:bCs/>
          <w:sz w:val="24"/>
          <w:szCs w:val="24"/>
        </w:rPr>
      </w:pPr>
      <w:r>
        <w:rPr>
          <w:rFonts w:hint="eastAsia" w:ascii="宋体" w:hAnsi="宋体" w:cs="宋体"/>
          <w:b/>
          <w:bCs/>
          <w:sz w:val="24"/>
          <w:szCs w:val="24"/>
        </w:rPr>
        <w:t xml:space="preserve">附件3：                       </w:t>
      </w:r>
      <w:r>
        <w:rPr>
          <w:rFonts w:ascii="宋体" w:hAnsi="宋体" w:cs="宋体"/>
          <w:b/>
          <w:bCs/>
          <w:sz w:val="24"/>
          <w:szCs w:val="24"/>
        </w:rPr>
        <w:t xml:space="preserve">  </w:t>
      </w:r>
    </w:p>
    <w:p w14:paraId="6FD07138">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sz w:val="32"/>
          <w:szCs w:val="32"/>
        </w:rPr>
      </w:pPr>
      <w:r>
        <w:rPr>
          <w:rFonts w:hint="eastAsia" w:ascii="宋体" w:hAnsi="宋体" w:cs="宋体"/>
          <w:b/>
          <w:bCs/>
          <w:color w:val="000000"/>
          <w:sz w:val="32"/>
          <w:szCs w:val="32"/>
        </w:rPr>
        <w:t>履约评价表</w:t>
      </w:r>
    </w:p>
    <w:p w14:paraId="256D0156">
      <w:pPr>
        <w:keepNext w:val="0"/>
        <w:keepLines w:val="0"/>
        <w:pageBreakBefore w:val="0"/>
        <w:widowControl/>
        <w:kinsoku/>
        <w:topLinePunct w:val="0"/>
        <w:bidi w:val="0"/>
        <w:snapToGrid/>
        <w:spacing w:after="0" w:line="460" w:lineRule="exact"/>
        <w:ind w:left="0"/>
        <w:jc w:val="center"/>
        <w:rPr>
          <w:rFonts w:hint="eastAsia" w:ascii="宋体" w:hAnsi="宋体" w:cs="宋体"/>
          <w:b/>
          <w:bCs/>
          <w:color w:val="000000"/>
          <w:sz w:val="32"/>
          <w:szCs w:val="32"/>
        </w:rPr>
      </w:pPr>
    </w:p>
    <w:p w14:paraId="3C248DCA">
      <w:pPr>
        <w:keepNext w:val="0"/>
        <w:keepLines w:val="0"/>
        <w:pageBreakBefore w:val="0"/>
        <w:widowControl/>
        <w:kinsoku/>
        <w:topLinePunct w:val="0"/>
        <w:bidi w:val="0"/>
        <w:snapToGrid/>
        <w:spacing w:after="0" w:line="460" w:lineRule="exact"/>
        <w:ind w:left="0"/>
        <w:jc w:val="left"/>
        <w:rPr>
          <w:rFonts w:hint="eastAsia" w:ascii="宋体" w:hAnsi="宋体" w:cs="宋体"/>
          <w:b/>
          <w:bCs/>
          <w:color w:val="000000"/>
          <w:sz w:val="32"/>
          <w:szCs w:val="32"/>
        </w:rPr>
      </w:pPr>
      <w:r>
        <w:rPr>
          <w:rFonts w:ascii="Times New Roman" w:hAnsi="Times New Roman" w:eastAsia="仿宋"/>
          <w:b w:val="0"/>
          <w:sz w:val="24"/>
          <w:u w:val="none"/>
        </w:rPr>
        <w:t>评价频次：每季度评价一次，评价结果与合同第二条约定的付款比例挂钩（优秀支付100%，合格支付95%，不合格整改合格后支付50%）。</w:t>
      </w:r>
    </w:p>
    <w:p w14:paraId="1812DC1E">
      <w:pPr>
        <w:keepNext w:val="0"/>
        <w:keepLines w:val="0"/>
        <w:pageBreakBefore w:val="0"/>
        <w:widowControl/>
        <w:kinsoku/>
        <w:topLinePunct w:val="0"/>
        <w:bidi w:val="0"/>
        <w:snapToGrid/>
        <w:spacing w:after="0" w:line="460" w:lineRule="exact"/>
        <w:ind w:left="0"/>
        <w:jc w:val="left"/>
        <w:rPr>
          <w:rFonts w:hint="eastAsia" w:ascii="宋体" w:hAnsi="宋体" w:cs="宋体"/>
          <w:color w:val="000000"/>
          <w:sz w:val="32"/>
          <w:szCs w:val="32"/>
        </w:rPr>
      </w:pPr>
      <w:r>
        <w:rPr>
          <w:rFonts w:hint="eastAsia" w:ascii="宋体" w:hAnsi="宋体" w:cs="宋体"/>
          <w:b/>
          <w:bCs/>
          <w:sz w:val="24"/>
          <w:szCs w:val="24"/>
        </w:rPr>
        <w:t>评价单位：</w:t>
      </w:r>
      <w:r>
        <w:rPr>
          <w:rFonts w:hint="eastAsia" w:ascii="宋体" w:hAnsi="宋体" w:cs="宋体"/>
          <w:b/>
          <w:bCs/>
          <w:sz w:val="24"/>
          <w:szCs w:val="24"/>
          <w:u w:val="single"/>
        </w:rPr>
        <w:t xml:space="preserve">                      </w:t>
      </w:r>
      <w:r>
        <w:rPr>
          <w:rFonts w:hint="eastAsia" w:ascii="宋体" w:hAnsi="宋体" w:cs="宋体"/>
          <w:b/>
          <w:bCs/>
          <w:sz w:val="24"/>
          <w:szCs w:val="24"/>
        </w:rPr>
        <w:t xml:space="preserve">   </w:t>
      </w:r>
      <w:r>
        <w:rPr>
          <w:rFonts w:hint="eastAsia" w:ascii="宋体" w:hAnsi="宋体" w:cs="宋体"/>
          <w:color w:val="000000"/>
          <w:sz w:val="32"/>
          <w:szCs w:val="32"/>
        </w:rPr>
        <w:t xml:space="preserve">   </w:t>
      </w:r>
    </w:p>
    <w:tbl>
      <w:tblPr>
        <w:tblStyle w:val="16"/>
        <w:tblW w:w="9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4528"/>
        <w:gridCol w:w="1316"/>
        <w:gridCol w:w="727"/>
        <w:gridCol w:w="743"/>
        <w:gridCol w:w="1108"/>
      </w:tblGrid>
      <w:tr w14:paraId="4EB4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293" w:type="dxa"/>
            <w:vAlign w:val="center"/>
          </w:tcPr>
          <w:p w14:paraId="6ABD8520">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评价日期</w:t>
            </w:r>
          </w:p>
        </w:tc>
        <w:tc>
          <w:tcPr>
            <w:tcW w:w="4528" w:type="dxa"/>
            <w:vAlign w:val="center"/>
          </w:tcPr>
          <w:p w14:paraId="1DF2FD69">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p>
        </w:tc>
        <w:tc>
          <w:tcPr>
            <w:tcW w:w="1316" w:type="dxa"/>
            <w:vAlign w:val="center"/>
          </w:tcPr>
          <w:p w14:paraId="1E7C0E66">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被评价单位</w:t>
            </w:r>
          </w:p>
        </w:tc>
        <w:tc>
          <w:tcPr>
            <w:tcW w:w="2578" w:type="dxa"/>
            <w:gridSpan w:val="3"/>
            <w:vAlign w:val="center"/>
          </w:tcPr>
          <w:p w14:paraId="43097BEB">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p>
        </w:tc>
      </w:tr>
      <w:tr w14:paraId="4CB3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93" w:type="dxa"/>
            <w:vAlign w:val="center"/>
          </w:tcPr>
          <w:p w14:paraId="7DFE90EF">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合同名称</w:t>
            </w:r>
          </w:p>
        </w:tc>
        <w:tc>
          <w:tcPr>
            <w:tcW w:w="4528" w:type="dxa"/>
            <w:vAlign w:val="center"/>
          </w:tcPr>
          <w:p w14:paraId="222E7266">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p>
        </w:tc>
        <w:tc>
          <w:tcPr>
            <w:tcW w:w="1316" w:type="dxa"/>
            <w:vAlign w:val="center"/>
          </w:tcPr>
          <w:p w14:paraId="64E08D88">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合同编号</w:t>
            </w:r>
          </w:p>
        </w:tc>
        <w:tc>
          <w:tcPr>
            <w:tcW w:w="2578" w:type="dxa"/>
            <w:gridSpan w:val="3"/>
            <w:vAlign w:val="center"/>
          </w:tcPr>
          <w:p w14:paraId="494485C7">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p>
        </w:tc>
      </w:tr>
      <w:tr w14:paraId="58D9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293" w:type="dxa"/>
            <w:vAlign w:val="center"/>
          </w:tcPr>
          <w:p w14:paraId="5CBA3C34">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评价指标</w:t>
            </w:r>
          </w:p>
        </w:tc>
        <w:tc>
          <w:tcPr>
            <w:tcW w:w="4528" w:type="dxa"/>
            <w:vAlign w:val="center"/>
          </w:tcPr>
          <w:p w14:paraId="7A7B8DFE">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一般情形评价内容</w:t>
            </w:r>
          </w:p>
        </w:tc>
        <w:tc>
          <w:tcPr>
            <w:tcW w:w="1316" w:type="dxa"/>
            <w:vAlign w:val="center"/>
          </w:tcPr>
          <w:p w14:paraId="5BC6B3CC">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分值</w:t>
            </w:r>
          </w:p>
        </w:tc>
        <w:tc>
          <w:tcPr>
            <w:tcW w:w="727" w:type="dxa"/>
            <w:vAlign w:val="center"/>
          </w:tcPr>
          <w:p w14:paraId="16BDE06F">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扣分</w:t>
            </w:r>
          </w:p>
        </w:tc>
        <w:tc>
          <w:tcPr>
            <w:tcW w:w="743" w:type="dxa"/>
            <w:vAlign w:val="center"/>
          </w:tcPr>
          <w:p w14:paraId="4C942926">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得分</w:t>
            </w:r>
          </w:p>
        </w:tc>
        <w:tc>
          <w:tcPr>
            <w:tcW w:w="1108" w:type="dxa"/>
            <w:vAlign w:val="center"/>
          </w:tcPr>
          <w:p w14:paraId="2A19E529">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备注</w:t>
            </w:r>
          </w:p>
        </w:tc>
      </w:tr>
      <w:tr w14:paraId="2D12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293" w:type="dxa"/>
            <w:vMerge w:val="restart"/>
            <w:vAlign w:val="center"/>
          </w:tcPr>
          <w:p w14:paraId="05C8BA9A">
            <w:pPr>
              <w:keepNext w:val="0"/>
              <w:keepLines w:val="0"/>
              <w:pageBreakBefore w:val="0"/>
              <w:widowControl/>
              <w:kinsoku/>
              <w:overflowPunct w:val="0"/>
              <w:topLinePunct w:val="0"/>
              <w:autoSpaceDE w:val="0"/>
              <w:autoSpaceDN w:val="0"/>
              <w:bidi w:val="0"/>
              <w:adjustRightInd w:val="0"/>
              <w:snapToGrid/>
              <w:spacing w:after="0" w:line="460" w:lineRule="exact"/>
              <w:ind w:left="0"/>
              <w:textAlignment w:val="baseline"/>
              <w:rPr>
                <w:rFonts w:hint="eastAsia" w:ascii="宋体" w:hAnsi="宋体" w:cs="宋体"/>
                <w:kern w:val="0"/>
                <w:szCs w:val="21"/>
              </w:rPr>
            </w:pPr>
            <w:r>
              <w:rPr>
                <w:rFonts w:hint="eastAsia" w:ascii="宋体" w:hAnsi="宋体" w:cs="宋体"/>
                <w:kern w:val="0"/>
                <w:szCs w:val="21"/>
              </w:rPr>
              <w:t>常规服务需求响应</w:t>
            </w:r>
          </w:p>
        </w:tc>
        <w:tc>
          <w:tcPr>
            <w:tcW w:w="4528" w:type="dxa"/>
            <w:vAlign w:val="center"/>
          </w:tcPr>
          <w:p w14:paraId="17EABE8B">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是否常出现（评价期内2次及以上）维保人员</w:t>
            </w:r>
            <w:r>
              <w:rPr>
                <w:rFonts w:hint="eastAsia" w:ascii="宋体" w:hAnsi="宋体" w:cs="宋体"/>
                <w:color w:val="000000"/>
                <w:kern w:val="0"/>
                <w:szCs w:val="21"/>
              </w:rPr>
              <w:t>被派遣单位/其他第三人投诉</w:t>
            </w:r>
          </w:p>
        </w:tc>
        <w:tc>
          <w:tcPr>
            <w:tcW w:w="1316" w:type="dxa"/>
            <w:vAlign w:val="center"/>
          </w:tcPr>
          <w:p w14:paraId="23D54407">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20</w:t>
            </w:r>
          </w:p>
        </w:tc>
        <w:tc>
          <w:tcPr>
            <w:tcW w:w="727" w:type="dxa"/>
            <w:vAlign w:val="center"/>
          </w:tcPr>
          <w:p w14:paraId="7B2EA713">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743" w:type="dxa"/>
            <w:vAlign w:val="center"/>
          </w:tcPr>
          <w:p w14:paraId="74D3AEAC">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1108" w:type="dxa"/>
            <w:vMerge w:val="restart"/>
            <w:vAlign w:val="center"/>
          </w:tcPr>
          <w:p w14:paraId="2B91E4D1">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90-100分为优秀；60-89分为合格；0-59分为不合格</w:t>
            </w:r>
          </w:p>
          <w:p w14:paraId="17E33C75">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r>
      <w:tr w14:paraId="0B20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293" w:type="dxa"/>
            <w:vMerge w:val="continue"/>
            <w:vAlign w:val="center"/>
          </w:tcPr>
          <w:p w14:paraId="6DA4386B">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4528" w:type="dxa"/>
            <w:vAlign w:val="center"/>
          </w:tcPr>
          <w:p w14:paraId="5B1B2F9B">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是否常出现（评价期内2次及以上）维保人员服务态度差，维保工作不到位的情况</w:t>
            </w:r>
          </w:p>
        </w:tc>
        <w:tc>
          <w:tcPr>
            <w:tcW w:w="1316" w:type="dxa"/>
            <w:vAlign w:val="center"/>
          </w:tcPr>
          <w:p w14:paraId="0AC9B791">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20</w:t>
            </w:r>
          </w:p>
        </w:tc>
        <w:tc>
          <w:tcPr>
            <w:tcW w:w="727" w:type="dxa"/>
            <w:vAlign w:val="center"/>
          </w:tcPr>
          <w:p w14:paraId="1A4AA690">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743" w:type="dxa"/>
            <w:vAlign w:val="center"/>
          </w:tcPr>
          <w:p w14:paraId="1821C30D">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1108" w:type="dxa"/>
            <w:vMerge w:val="continue"/>
            <w:vAlign w:val="center"/>
          </w:tcPr>
          <w:p w14:paraId="469A9E18">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r>
      <w:tr w14:paraId="61BD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293" w:type="dxa"/>
            <w:vMerge w:val="continue"/>
            <w:vAlign w:val="center"/>
          </w:tcPr>
          <w:p w14:paraId="68BE4F53">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4528" w:type="dxa"/>
            <w:vAlign w:val="center"/>
          </w:tcPr>
          <w:p w14:paraId="35B02914">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对于甲方提出的整改要求，有无专人响应，是否出现过服务不及时的情况</w:t>
            </w:r>
          </w:p>
        </w:tc>
        <w:tc>
          <w:tcPr>
            <w:tcW w:w="1316" w:type="dxa"/>
            <w:vAlign w:val="center"/>
          </w:tcPr>
          <w:p w14:paraId="0DAD9D42">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20</w:t>
            </w:r>
          </w:p>
        </w:tc>
        <w:tc>
          <w:tcPr>
            <w:tcW w:w="727" w:type="dxa"/>
            <w:vAlign w:val="center"/>
          </w:tcPr>
          <w:p w14:paraId="12317A73">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743" w:type="dxa"/>
            <w:vAlign w:val="center"/>
          </w:tcPr>
          <w:p w14:paraId="1B85C93E">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1108" w:type="dxa"/>
            <w:vMerge w:val="continue"/>
            <w:vAlign w:val="center"/>
          </w:tcPr>
          <w:p w14:paraId="2D2503D0">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r>
      <w:tr w14:paraId="236E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293" w:type="dxa"/>
            <w:vMerge w:val="restart"/>
            <w:vAlign w:val="center"/>
          </w:tcPr>
          <w:p w14:paraId="1042DE0B">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新增服务需求相应</w:t>
            </w:r>
          </w:p>
        </w:tc>
        <w:tc>
          <w:tcPr>
            <w:tcW w:w="4528" w:type="dxa"/>
            <w:vAlign w:val="center"/>
          </w:tcPr>
          <w:p w14:paraId="2A658CA0">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color w:val="000000"/>
                <w:kern w:val="0"/>
                <w:szCs w:val="21"/>
              </w:rPr>
              <w:t>维保人员不符合要求，服务单位</w:t>
            </w:r>
            <w:r>
              <w:rPr>
                <w:rFonts w:hint="eastAsia" w:ascii="宋体" w:hAnsi="宋体" w:cs="宋体"/>
                <w:color w:val="000000"/>
                <w:kern w:val="0"/>
                <w:szCs w:val="21"/>
                <w:lang w:eastAsia="zh-CN"/>
              </w:rPr>
              <w:t>要</w:t>
            </w:r>
            <w:r>
              <w:rPr>
                <w:rFonts w:hint="eastAsia" w:ascii="宋体" w:hAnsi="宋体" w:cs="宋体"/>
                <w:color w:val="000000"/>
                <w:kern w:val="0"/>
                <w:szCs w:val="21"/>
              </w:rPr>
              <w:t>及时更换符合要求的维保人员。</w:t>
            </w:r>
          </w:p>
        </w:tc>
        <w:tc>
          <w:tcPr>
            <w:tcW w:w="1316" w:type="dxa"/>
            <w:vAlign w:val="center"/>
          </w:tcPr>
          <w:p w14:paraId="7300C323">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20</w:t>
            </w:r>
          </w:p>
        </w:tc>
        <w:tc>
          <w:tcPr>
            <w:tcW w:w="727" w:type="dxa"/>
            <w:vAlign w:val="center"/>
          </w:tcPr>
          <w:p w14:paraId="28CEBF62">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743" w:type="dxa"/>
            <w:vAlign w:val="center"/>
          </w:tcPr>
          <w:p w14:paraId="0C23E4F9">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1108" w:type="dxa"/>
            <w:vMerge w:val="continue"/>
            <w:vAlign w:val="center"/>
          </w:tcPr>
          <w:p w14:paraId="79331B52">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r>
      <w:tr w14:paraId="0E03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93" w:type="dxa"/>
            <w:vMerge w:val="continue"/>
            <w:vAlign w:val="center"/>
          </w:tcPr>
          <w:p w14:paraId="3D29D809">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4528" w:type="dxa"/>
            <w:vAlign w:val="center"/>
          </w:tcPr>
          <w:p w14:paraId="1A074941">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对紧急维修情况，能否按时到达处理</w:t>
            </w:r>
          </w:p>
        </w:tc>
        <w:tc>
          <w:tcPr>
            <w:tcW w:w="1316" w:type="dxa"/>
            <w:vAlign w:val="center"/>
          </w:tcPr>
          <w:p w14:paraId="4BE88C98">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20</w:t>
            </w:r>
          </w:p>
        </w:tc>
        <w:tc>
          <w:tcPr>
            <w:tcW w:w="727" w:type="dxa"/>
            <w:vAlign w:val="center"/>
          </w:tcPr>
          <w:p w14:paraId="19E21FA3">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743" w:type="dxa"/>
            <w:vAlign w:val="center"/>
          </w:tcPr>
          <w:p w14:paraId="0FC2F4E0">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1108" w:type="dxa"/>
            <w:vMerge w:val="continue"/>
            <w:vAlign w:val="center"/>
          </w:tcPr>
          <w:p w14:paraId="4D7F1431">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r>
      <w:tr w14:paraId="4480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821" w:type="dxa"/>
            <w:gridSpan w:val="2"/>
            <w:vAlign w:val="center"/>
          </w:tcPr>
          <w:p w14:paraId="0E8C5B55">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合计</w:t>
            </w:r>
          </w:p>
        </w:tc>
        <w:tc>
          <w:tcPr>
            <w:tcW w:w="1316" w:type="dxa"/>
            <w:vAlign w:val="center"/>
          </w:tcPr>
          <w:p w14:paraId="502B8CFA">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kern w:val="0"/>
                <w:szCs w:val="21"/>
              </w:rPr>
              <w:t>100</w:t>
            </w:r>
          </w:p>
        </w:tc>
        <w:tc>
          <w:tcPr>
            <w:tcW w:w="727" w:type="dxa"/>
            <w:vAlign w:val="center"/>
          </w:tcPr>
          <w:p w14:paraId="32DACE30">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743" w:type="dxa"/>
            <w:vAlign w:val="center"/>
          </w:tcPr>
          <w:p w14:paraId="4DFE42BE">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c>
          <w:tcPr>
            <w:tcW w:w="1108" w:type="dxa"/>
            <w:vAlign w:val="center"/>
          </w:tcPr>
          <w:p w14:paraId="0CA0642A">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p>
        </w:tc>
      </w:tr>
      <w:tr w14:paraId="6898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821" w:type="dxa"/>
            <w:gridSpan w:val="2"/>
            <w:vAlign w:val="center"/>
          </w:tcPr>
          <w:p w14:paraId="557EE69C">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不合格情形评价内容</w:t>
            </w:r>
          </w:p>
        </w:tc>
        <w:tc>
          <w:tcPr>
            <w:tcW w:w="1316" w:type="dxa"/>
            <w:vAlign w:val="center"/>
          </w:tcPr>
          <w:p w14:paraId="1278177B">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扣分</w:t>
            </w:r>
          </w:p>
        </w:tc>
        <w:tc>
          <w:tcPr>
            <w:tcW w:w="727" w:type="dxa"/>
            <w:vAlign w:val="center"/>
          </w:tcPr>
          <w:p w14:paraId="06750E90">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扣分</w:t>
            </w:r>
          </w:p>
        </w:tc>
        <w:tc>
          <w:tcPr>
            <w:tcW w:w="743" w:type="dxa"/>
            <w:vAlign w:val="center"/>
          </w:tcPr>
          <w:p w14:paraId="2D251F17">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得分</w:t>
            </w:r>
          </w:p>
        </w:tc>
        <w:tc>
          <w:tcPr>
            <w:tcW w:w="1108" w:type="dxa"/>
            <w:vAlign w:val="center"/>
          </w:tcPr>
          <w:p w14:paraId="733BF6C6">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b/>
                <w:bCs/>
                <w:kern w:val="0"/>
                <w:szCs w:val="21"/>
              </w:rPr>
            </w:pPr>
            <w:r>
              <w:rPr>
                <w:rFonts w:hint="eastAsia" w:ascii="宋体" w:hAnsi="宋体" w:cs="宋体"/>
                <w:b/>
                <w:bCs/>
                <w:kern w:val="0"/>
                <w:szCs w:val="21"/>
              </w:rPr>
              <w:t>备注</w:t>
            </w:r>
          </w:p>
        </w:tc>
      </w:tr>
      <w:tr w14:paraId="5F3D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821" w:type="dxa"/>
            <w:gridSpan w:val="2"/>
          </w:tcPr>
          <w:p w14:paraId="4A867ADF">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更换的设备或配件以次充好</w:t>
            </w:r>
          </w:p>
        </w:tc>
        <w:tc>
          <w:tcPr>
            <w:tcW w:w="1316" w:type="dxa"/>
            <w:vMerge w:val="restart"/>
          </w:tcPr>
          <w:p w14:paraId="121E615B">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出现任一情形扣除41分，同时不再对一般评价内容进行评价。</w:t>
            </w:r>
          </w:p>
        </w:tc>
        <w:tc>
          <w:tcPr>
            <w:tcW w:w="727" w:type="dxa"/>
          </w:tcPr>
          <w:p w14:paraId="3E23ABAF">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43" w:type="dxa"/>
            <w:vMerge w:val="restart"/>
          </w:tcPr>
          <w:p w14:paraId="5693CA0A">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1108" w:type="dxa"/>
            <w:vMerge w:val="restart"/>
          </w:tcPr>
          <w:p w14:paraId="4667EA7C">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r>
      <w:tr w14:paraId="5514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821" w:type="dxa"/>
            <w:gridSpan w:val="2"/>
          </w:tcPr>
          <w:p w14:paraId="34DDB9D8">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lang w:val="en-US" w:eastAsia="zh-CN"/>
              </w:rPr>
              <w:t>累计</w:t>
            </w:r>
            <w:r>
              <w:rPr>
                <w:rFonts w:hint="eastAsia" w:ascii="宋体" w:hAnsi="宋体" w:cs="宋体"/>
                <w:kern w:val="0"/>
                <w:szCs w:val="21"/>
              </w:rPr>
              <w:t>3次及以上接到报修电话后没有在一小时内赶到现场</w:t>
            </w:r>
          </w:p>
        </w:tc>
        <w:tc>
          <w:tcPr>
            <w:tcW w:w="1316" w:type="dxa"/>
            <w:vMerge w:val="continue"/>
          </w:tcPr>
          <w:p w14:paraId="2013B4FF">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27" w:type="dxa"/>
          </w:tcPr>
          <w:p w14:paraId="7266E225">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43" w:type="dxa"/>
            <w:vMerge w:val="continue"/>
          </w:tcPr>
          <w:p w14:paraId="2E615B94">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1108" w:type="dxa"/>
            <w:vMerge w:val="continue"/>
          </w:tcPr>
          <w:p w14:paraId="4C325A64">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r>
      <w:tr w14:paraId="27E02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5821" w:type="dxa"/>
            <w:gridSpan w:val="2"/>
          </w:tcPr>
          <w:p w14:paraId="305111F5">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弄虚作假，串通损害甲方利益、存在欺骗等不诚信行为</w:t>
            </w:r>
          </w:p>
        </w:tc>
        <w:tc>
          <w:tcPr>
            <w:tcW w:w="1316" w:type="dxa"/>
            <w:vMerge w:val="continue"/>
          </w:tcPr>
          <w:p w14:paraId="5D74B19A">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27" w:type="dxa"/>
          </w:tcPr>
          <w:p w14:paraId="5ACA6E3C">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43" w:type="dxa"/>
            <w:vMerge w:val="continue"/>
          </w:tcPr>
          <w:p w14:paraId="18E57161">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1108" w:type="dxa"/>
            <w:vMerge w:val="continue"/>
          </w:tcPr>
          <w:p w14:paraId="40B189E5">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r>
      <w:tr w14:paraId="1A62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5821" w:type="dxa"/>
            <w:gridSpan w:val="2"/>
          </w:tcPr>
          <w:p w14:paraId="48637999">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color w:val="000000"/>
                <w:kern w:val="0"/>
                <w:szCs w:val="21"/>
              </w:rPr>
              <w:t>维保人员未能检测故障或检测到故障未及时告知甲方，发生相关安全责任事故。</w:t>
            </w:r>
          </w:p>
        </w:tc>
        <w:tc>
          <w:tcPr>
            <w:tcW w:w="1316" w:type="dxa"/>
            <w:vMerge w:val="continue"/>
          </w:tcPr>
          <w:p w14:paraId="546D5A2B">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27" w:type="dxa"/>
          </w:tcPr>
          <w:p w14:paraId="13A2598D">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43" w:type="dxa"/>
            <w:vMerge w:val="continue"/>
          </w:tcPr>
          <w:p w14:paraId="0F9C9233">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1108" w:type="dxa"/>
            <w:vMerge w:val="continue"/>
          </w:tcPr>
          <w:p w14:paraId="3400E931">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r>
      <w:tr w14:paraId="23FA7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5821" w:type="dxa"/>
            <w:gridSpan w:val="2"/>
          </w:tcPr>
          <w:p w14:paraId="49216FC7">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r>
              <w:rPr>
                <w:rFonts w:hint="eastAsia" w:ascii="宋体" w:hAnsi="宋体" w:cs="宋体"/>
                <w:kern w:val="0"/>
                <w:szCs w:val="21"/>
              </w:rPr>
              <w:t>向甲方人员行贿或采取其他不正当手段试图谋取不正当利益的行为</w:t>
            </w:r>
          </w:p>
        </w:tc>
        <w:tc>
          <w:tcPr>
            <w:tcW w:w="1316" w:type="dxa"/>
            <w:vMerge w:val="continue"/>
          </w:tcPr>
          <w:p w14:paraId="63B69262">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27" w:type="dxa"/>
          </w:tcPr>
          <w:p w14:paraId="3517B918">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743" w:type="dxa"/>
            <w:vMerge w:val="continue"/>
          </w:tcPr>
          <w:p w14:paraId="6A59AEEB">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c>
          <w:tcPr>
            <w:tcW w:w="1108" w:type="dxa"/>
            <w:vMerge w:val="continue"/>
          </w:tcPr>
          <w:p w14:paraId="00FC725D">
            <w:pPr>
              <w:keepNext w:val="0"/>
              <w:keepLines w:val="0"/>
              <w:pageBreakBefore w:val="0"/>
              <w:widowControl/>
              <w:kinsoku/>
              <w:overflowPunct w:val="0"/>
              <w:topLinePunct w:val="0"/>
              <w:autoSpaceDE w:val="0"/>
              <w:autoSpaceDN w:val="0"/>
              <w:bidi w:val="0"/>
              <w:adjustRightInd w:val="0"/>
              <w:snapToGrid/>
              <w:spacing w:after="0" w:line="460" w:lineRule="exact"/>
              <w:ind w:left="0"/>
              <w:jc w:val="left"/>
              <w:textAlignment w:val="baseline"/>
              <w:rPr>
                <w:rFonts w:hint="eastAsia" w:ascii="宋体" w:hAnsi="宋体" w:cs="宋体"/>
                <w:kern w:val="0"/>
                <w:szCs w:val="21"/>
              </w:rPr>
            </w:pPr>
          </w:p>
        </w:tc>
      </w:tr>
      <w:tr w14:paraId="7B55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5821" w:type="dxa"/>
            <w:gridSpan w:val="2"/>
            <w:vAlign w:val="center"/>
          </w:tcPr>
          <w:p w14:paraId="65493CF4">
            <w:pPr>
              <w:keepNext w:val="0"/>
              <w:keepLines w:val="0"/>
              <w:pageBreakBefore w:val="0"/>
              <w:widowControl/>
              <w:kinsoku/>
              <w:overflowPunct w:val="0"/>
              <w:topLinePunct w:val="0"/>
              <w:autoSpaceDE w:val="0"/>
              <w:autoSpaceDN w:val="0"/>
              <w:bidi w:val="0"/>
              <w:adjustRightInd w:val="0"/>
              <w:snapToGrid/>
              <w:spacing w:after="0" w:line="460" w:lineRule="exact"/>
              <w:ind w:left="0"/>
              <w:jc w:val="center"/>
              <w:textAlignment w:val="baseline"/>
              <w:rPr>
                <w:rFonts w:hint="eastAsia" w:ascii="宋体" w:hAnsi="宋体" w:cs="宋体"/>
                <w:kern w:val="0"/>
                <w:szCs w:val="21"/>
              </w:rPr>
            </w:pPr>
            <w:r>
              <w:rPr>
                <w:rFonts w:hint="eastAsia" w:ascii="宋体" w:hAnsi="宋体" w:cs="宋体"/>
                <w:b/>
                <w:bCs/>
                <w:sz w:val="24"/>
                <w:szCs w:val="24"/>
              </w:rPr>
              <w:t>评价结果</w:t>
            </w:r>
          </w:p>
        </w:tc>
        <w:tc>
          <w:tcPr>
            <w:tcW w:w="3894" w:type="dxa"/>
            <w:gridSpan w:val="4"/>
            <w:vAlign w:val="center"/>
          </w:tcPr>
          <w:p w14:paraId="7826068C">
            <w:pPr>
              <w:keepNext w:val="0"/>
              <w:keepLines w:val="0"/>
              <w:pageBreakBefore w:val="0"/>
              <w:widowControl/>
              <w:kinsoku/>
              <w:overflowPunct w:val="0"/>
              <w:topLinePunct w:val="0"/>
              <w:autoSpaceDE w:val="0"/>
              <w:autoSpaceDN w:val="0"/>
              <w:bidi w:val="0"/>
              <w:adjustRightInd w:val="0"/>
              <w:snapToGrid/>
              <w:spacing w:after="0" w:line="460" w:lineRule="exact"/>
              <w:ind w:left="0"/>
              <w:textAlignment w:val="baseline"/>
              <w:rPr>
                <w:rFonts w:hint="eastAsia" w:ascii="宋体" w:hAnsi="宋体" w:cs="宋体"/>
                <w:kern w:val="0"/>
                <w:szCs w:val="21"/>
              </w:rPr>
            </w:pPr>
            <w:r>
              <w:rPr>
                <w:rFonts w:hint="eastAsia" w:ascii="宋体" w:hAnsi="宋体" w:cs="宋体"/>
                <w:b/>
                <w:bCs/>
                <w:sz w:val="24"/>
                <w:szCs w:val="24"/>
                <w:u w:val="single"/>
              </w:rPr>
              <w:t xml:space="preserve"> </w:t>
            </w:r>
            <w:r>
              <w:rPr>
                <w:rFonts w:hint="eastAsia" w:ascii="宋体" w:hAnsi="宋体" w:cs="宋体"/>
                <w:b/>
                <w:bCs/>
                <w:sz w:val="24"/>
                <w:szCs w:val="24"/>
                <w:u w:val="single"/>
              </w:rPr>
              <w:sym w:font="Wingdings 2" w:char="00A3"/>
            </w:r>
            <w:r>
              <w:rPr>
                <w:rFonts w:hint="eastAsia" w:ascii="宋体" w:hAnsi="宋体" w:cs="宋体"/>
                <w:b/>
                <w:bCs/>
                <w:sz w:val="24"/>
                <w:szCs w:val="24"/>
                <w:u w:val="single"/>
              </w:rPr>
              <w:t xml:space="preserve"> 优秀   </w:t>
            </w:r>
            <w:r>
              <w:rPr>
                <w:rFonts w:hint="eastAsia" w:ascii="宋体" w:hAnsi="宋体" w:cs="宋体"/>
                <w:b/>
                <w:bCs/>
                <w:sz w:val="24"/>
                <w:szCs w:val="24"/>
                <w:u w:val="single"/>
              </w:rPr>
              <w:sym w:font="Wingdings 2" w:char="00A3"/>
            </w:r>
            <w:r>
              <w:rPr>
                <w:rFonts w:hint="eastAsia" w:ascii="宋体" w:hAnsi="宋体" w:cs="宋体"/>
                <w:b/>
                <w:bCs/>
                <w:sz w:val="24"/>
                <w:szCs w:val="24"/>
                <w:u w:val="single"/>
              </w:rPr>
              <w:t xml:space="preserve">合格   </w:t>
            </w:r>
            <w:r>
              <w:rPr>
                <w:rFonts w:hint="eastAsia" w:ascii="宋体" w:hAnsi="宋体" w:cs="宋体"/>
                <w:b/>
                <w:bCs/>
                <w:sz w:val="24"/>
                <w:szCs w:val="24"/>
                <w:u w:val="single"/>
              </w:rPr>
              <w:sym w:font="Wingdings 2" w:char="00A3"/>
            </w:r>
            <w:r>
              <w:rPr>
                <w:rFonts w:hint="eastAsia" w:ascii="宋体" w:hAnsi="宋体" w:cs="宋体"/>
                <w:b/>
                <w:bCs/>
                <w:sz w:val="24"/>
                <w:szCs w:val="24"/>
                <w:u w:val="single"/>
              </w:rPr>
              <w:t>不合格</w:t>
            </w:r>
          </w:p>
        </w:tc>
      </w:tr>
    </w:tbl>
    <w:p w14:paraId="38277A95">
      <w:pPr>
        <w:keepNext w:val="0"/>
        <w:keepLines w:val="0"/>
        <w:pageBreakBefore w:val="0"/>
        <w:kinsoku/>
        <w:topLinePunct w:val="0"/>
        <w:bidi w:val="0"/>
        <w:snapToGrid/>
        <w:spacing w:after="0" w:line="460" w:lineRule="exact"/>
        <w:ind w:left="0"/>
        <w:sectPr>
          <w:pgSz w:w="11906" w:h="16838"/>
          <w:pgMar w:top="1020" w:right="1134" w:bottom="567" w:left="1134" w:header="851" w:footer="562" w:gutter="0"/>
          <w:pgNumType w:fmt="numberInDash"/>
          <w:cols w:space="720" w:num="1"/>
          <w:docGrid w:type="lines" w:linePitch="312" w:charSpace="0"/>
        </w:sectPr>
      </w:pPr>
    </w:p>
    <w:p w14:paraId="685F4EE6">
      <w:pPr>
        <w:keepNext w:val="0"/>
        <w:keepLines w:val="0"/>
        <w:pageBreakBefore w:val="0"/>
        <w:kinsoku/>
        <w:topLinePunct w:val="0"/>
        <w:bidi w:val="0"/>
        <w:snapToGrid/>
        <w:spacing w:after="0" w:line="460" w:lineRule="exact"/>
        <w:ind w:left="0"/>
        <w:rPr>
          <w:rFonts w:hint="eastAsia" w:ascii="宋体" w:hAnsi="宋体" w:cs="宋体"/>
          <w:b/>
          <w:spacing w:val="20"/>
          <w:sz w:val="32"/>
          <w:szCs w:val="32"/>
        </w:rPr>
      </w:pPr>
      <w:r>
        <w:rPr>
          <w:rFonts w:hint="eastAsia" w:ascii="宋体" w:hAnsi="宋体" w:cs="宋体"/>
          <w:b/>
          <w:bCs/>
          <w:sz w:val="24"/>
          <w:szCs w:val="24"/>
        </w:rPr>
        <w:t>附件4：</w:t>
      </w:r>
      <w:r>
        <w:rPr>
          <w:rFonts w:hint="eastAsia" w:ascii="宋体" w:hAnsi="宋体" w:cs="宋体"/>
          <w:color w:val="000000"/>
          <w:sz w:val="24"/>
          <w:szCs w:val="24"/>
        </w:rPr>
        <w:t xml:space="preserve">                      </w:t>
      </w:r>
      <w:r>
        <w:rPr>
          <w:rFonts w:hint="eastAsia" w:ascii="宋体" w:hAnsi="宋体" w:cs="宋体"/>
          <w:b/>
          <w:spacing w:val="20"/>
          <w:sz w:val="32"/>
          <w:szCs w:val="32"/>
        </w:rPr>
        <w:t>廉洁协议</w:t>
      </w:r>
    </w:p>
    <w:p w14:paraId="347BB8EF">
      <w:pPr>
        <w:pStyle w:val="33"/>
        <w:keepNext w:val="0"/>
        <w:keepLines w:val="0"/>
        <w:pageBreakBefore w:val="0"/>
        <w:kinsoku/>
        <w:topLinePunct w:val="0"/>
        <w:bidi w:val="0"/>
        <w:snapToGrid/>
        <w:spacing w:line="460" w:lineRule="exact"/>
        <w:ind w:left="0"/>
        <w:rPr>
          <w:rFonts w:hint="eastAsia" w:ascii="宋体" w:hAnsi="宋体" w:eastAsia="宋体" w:cs="宋体"/>
          <w:b/>
          <w:bCs/>
          <w:color w:val="auto"/>
          <w:sz w:val="24"/>
          <w:szCs w:val="24"/>
        </w:rPr>
      </w:pPr>
    </w:p>
    <w:p w14:paraId="6F94162C">
      <w:pPr>
        <w:pStyle w:val="33"/>
        <w:keepNext w:val="0"/>
        <w:keepLines w:val="0"/>
        <w:pageBreakBefore w:val="0"/>
        <w:kinsoku/>
        <w:topLinePunct w:val="0"/>
        <w:bidi w:val="0"/>
        <w:snapToGrid/>
        <w:spacing w:after="0" w:line="460" w:lineRule="exact"/>
        <w:ind w:left="0"/>
        <w:rPr>
          <w:rFonts w:hint="eastAsia" w:ascii="宋体" w:hAnsi="宋体" w:eastAsia="宋体" w:cs="宋体"/>
          <w:b/>
          <w:bCs/>
          <w:color w:val="auto"/>
          <w:sz w:val="24"/>
          <w:szCs w:val="24"/>
        </w:rPr>
      </w:pPr>
      <w:r>
        <w:rPr>
          <w:rFonts w:hint="eastAsia" w:ascii="宋体" w:hAnsi="宋体" w:eastAsia="宋体" w:cs="宋体"/>
          <w:b/>
          <w:bCs/>
          <w:color w:val="auto"/>
          <w:sz w:val="24"/>
          <w:szCs w:val="24"/>
        </w:rPr>
        <w:t>甲方：</w:t>
      </w:r>
      <w:r>
        <w:rPr>
          <w:rFonts w:hint="eastAsia" w:ascii="宋体" w:hAnsi="宋体" w:eastAsia="宋体" w:cs="宋体"/>
          <w:b/>
          <w:bCs/>
          <w:color w:val="auto"/>
          <w:sz w:val="24"/>
          <w:szCs w:val="24"/>
          <w:u w:val="single"/>
          <w:lang w:val="en-US" w:eastAsia="zh-CN"/>
        </w:rPr>
        <w:t>深圳市湾东物业服务有限公司</w:t>
      </w:r>
    </w:p>
    <w:p w14:paraId="7D3DD91F">
      <w:pPr>
        <w:keepNext w:val="0"/>
        <w:keepLines w:val="0"/>
        <w:pageBreakBefore w:val="0"/>
        <w:widowControl/>
        <w:kinsoku/>
        <w:topLinePunct w:val="0"/>
        <w:bidi w:val="0"/>
        <w:snapToGrid/>
        <w:spacing w:after="0" w:line="460" w:lineRule="exact"/>
        <w:ind w:left="0"/>
        <w:rPr>
          <w:rFonts w:hint="default" w:ascii="宋体" w:hAnsi="宋体" w:eastAsia="宋体" w:cs="宋体"/>
          <w:sz w:val="24"/>
          <w:szCs w:val="24"/>
          <w:lang w:val="en-US" w:eastAsia="zh-CN"/>
        </w:rPr>
      </w:pPr>
      <w:r>
        <w:rPr>
          <w:rFonts w:hint="eastAsia" w:ascii="宋体" w:hAnsi="宋体" w:cs="宋体"/>
          <w:b/>
          <w:bCs/>
          <w:sz w:val="24"/>
          <w:szCs w:val="24"/>
        </w:rPr>
        <w:t>乙方：</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p>
    <w:p w14:paraId="434734F5">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甲乙双方为加强阳光合作，保证职员职业安全，甲乙双方经协商</w:t>
      </w:r>
      <w:r>
        <w:rPr>
          <w:rFonts w:hint="eastAsia" w:ascii="宋体" w:hAnsi="宋体" w:cs="宋体"/>
          <w:sz w:val="24"/>
          <w:szCs w:val="24"/>
          <w:lang w:eastAsia="zh-CN"/>
        </w:rPr>
        <w:t>签订</w:t>
      </w:r>
      <w:r>
        <w:rPr>
          <w:rFonts w:hint="eastAsia" w:ascii="宋体" w:hAnsi="宋体" w:cs="宋体"/>
          <w:sz w:val="24"/>
          <w:szCs w:val="24"/>
        </w:rPr>
        <w:t>本协议并作为双方共同遵守的廉政行为准则。</w:t>
      </w:r>
    </w:p>
    <w:p w14:paraId="4BC8A787">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甲方责任：</w:t>
      </w:r>
    </w:p>
    <w:p w14:paraId="3358ED86">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1.甲方从事业务活动必须坚持公开、公平、公正、诚信、透明的原则（除法律法规认定的商业秘密和合同文件另有规定者外）。</w:t>
      </w:r>
    </w:p>
    <w:p w14:paraId="63127D9B">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2.甲方人员应严格遵守本单位</w:t>
      </w:r>
      <w:r>
        <w:rPr>
          <w:rFonts w:hint="eastAsia" w:ascii="宋体" w:hAnsi="宋体" w:cs="宋体"/>
          <w:sz w:val="24"/>
          <w:szCs w:val="24"/>
          <w:lang w:eastAsia="zh-CN"/>
        </w:rPr>
        <w:t>有关</w:t>
      </w:r>
      <w:r>
        <w:rPr>
          <w:rFonts w:hint="eastAsia" w:ascii="宋体" w:hAnsi="宋体" w:cs="宋体"/>
          <w:sz w:val="24"/>
          <w:szCs w:val="24"/>
        </w:rPr>
        <w:t xml:space="preserve">廉政管理的规定，不得接受乙方任何形式的回扣、实物、现金、有价证券、礼券等有价物品，不得参加乙方提供的旅游或其他可能影响职务行为公正履行的活动。 </w:t>
      </w:r>
    </w:p>
    <w:p w14:paraId="60DD27EC">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3.甲方人员如违反廉政管理制度及本协议规定，甲方视情节轻重、影响大小给予处罚，或移交司法机关处理。</w:t>
      </w:r>
    </w:p>
    <w:p w14:paraId="7132FDBE">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4．对于乙方举报甲方人员违反廉政规定的情况，甲方应及时进行调查，根据调查情况进行处理，并将调查结果向乙方反馈。</w:t>
      </w:r>
    </w:p>
    <w:p w14:paraId="7446B171">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5.接受举报的一方应为举报方保密，不得对举报方进行报复。</w:t>
      </w:r>
    </w:p>
    <w:p w14:paraId="716A41AD">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乙方责任</w:t>
      </w:r>
    </w:p>
    <w:p w14:paraId="7D1D4655">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乙方应与甲方保持正常的业务交往，按照有关法律法规和程序开展业务活动。</w:t>
      </w:r>
    </w:p>
    <w:p w14:paraId="1391EF37">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1.乙方不得以任何形式给予甲方人员回扣、赠送实物、现金、有价证券、礼券等有价物品或提供旅游等其他可能影响职务行为公正履行的活动（以下统称“财物”）。</w:t>
      </w:r>
    </w:p>
    <w:p w14:paraId="71451ED9">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2.乙方有责任接受甲方对乙方在合作期间廉政管理执行情况的监督，并对甲方相关调查工作主动配合。</w:t>
      </w:r>
    </w:p>
    <w:p w14:paraId="3245387C">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3.乙方有义务就甲方人员任何形式的索取或收受财物行为及时向甲方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本合同总价的10%的违约金，并对乙方知情不报人员进行相应处罚，被司法机关立案查处核实属实的，甲方有权解除原合同，如甲方解除原合同的，则乙方应退还甲方所支付的所有款项并按原合同与本合同约定承担违约责任。</w:t>
      </w:r>
    </w:p>
    <w:p w14:paraId="28419351">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4．甲方接受乙方实名或匿名举报，保证为举报者的信息保密。</w:t>
      </w:r>
    </w:p>
    <w:p w14:paraId="2F8D95EB">
      <w:pPr>
        <w:keepNext w:val="0"/>
        <w:keepLines w:val="0"/>
        <w:pageBreakBefore w:val="0"/>
        <w:widowControl/>
        <w:numPr>
          <w:ilvl w:val="255"/>
          <w:numId w:val="0"/>
        </w:numPr>
        <w:kinsoku/>
        <w:topLinePunct w:val="0"/>
        <w:bidi w:val="0"/>
        <w:snapToGrid/>
        <w:spacing w:after="0" w:line="460" w:lineRule="exact"/>
        <w:ind w:firstLine="480" w:firstLineChars="200"/>
        <w:rPr>
          <w:rFonts w:hint="eastAsia"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其他</w:t>
      </w:r>
    </w:p>
    <w:p w14:paraId="20375873">
      <w:pPr>
        <w:keepNext w:val="0"/>
        <w:keepLines w:val="0"/>
        <w:pageBreakBefore w:val="0"/>
        <w:widowControl/>
        <w:kinsoku/>
        <w:topLinePunct w:val="0"/>
        <w:bidi w:val="0"/>
        <w:snapToGrid/>
        <w:spacing w:after="0" w:line="460" w:lineRule="exact"/>
        <w:ind w:left="0" w:firstLine="480" w:firstLineChars="200"/>
        <w:rPr>
          <w:rFonts w:hint="eastAsia" w:ascii="宋体" w:hAnsi="宋体" w:cs="宋体"/>
          <w:sz w:val="24"/>
          <w:szCs w:val="24"/>
        </w:rPr>
      </w:pPr>
      <w:r>
        <w:rPr>
          <w:rFonts w:hint="eastAsia" w:ascii="宋体" w:hAnsi="宋体" w:cs="宋体"/>
          <w:sz w:val="24"/>
          <w:szCs w:val="24"/>
        </w:rPr>
        <w:t>本协议经双方签署并盖章后生效。</w:t>
      </w:r>
    </w:p>
    <w:p w14:paraId="272E1598">
      <w:pPr>
        <w:pStyle w:val="2"/>
        <w:keepNext w:val="0"/>
        <w:keepLines w:val="0"/>
        <w:pageBreakBefore w:val="0"/>
        <w:kinsoku/>
        <w:topLinePunct w:val="0"/>
        <w:bidi w:val="0"/>
        <w:snapToGrid/>
        <w:spacing w:line="460" w:lineRule="exact"/>
      </w:pPr>
    </w:p>
    <w:p w14:paraId="4632417E">
      <w:pPr>
        <w:keepNext w:val="0"/>
        <w:keepLines w:val="0"/>
        <w:pageBreakBefore w:val="0"/>
        <w:widowControl/>
        <w:kinsoku/>
        <w:topLinePunct w:val="0"/>
        <w:bidi w:val="0"/>
        <w:snapToGrid/>
        <w:spacing w:after="0" w:line="460" w:lineRule="exact"/>
        <w:ind w:left="0"/>
        <w:rPr>
          <w:rFonts w:hint="eastAsia" w:ascii="宋体" w:hAnsi="宋体" w:cs="宋体"/>
          <w:b/>
          <w:bCs/>
          <w:sz w:val="24"/>
          <w:szCs w:val="24"/>
        </w:rPr>
      </w:pPr>
      <w:r>
        <w:rPr>
          <w:rFonts w:hint="eastAsia" w:ascii="宋体" w:hAnsi="宋体" w:cs="宋体"/>
          <w:b/>
          <w:bCs/>
          <w:sz w:val="24"/>
          <w:szCs w:val="24"/>
        </w:rPr>
        <w:t>甲乙双方签字盖章：</w:t>
      </w:r>
    </w:p>
    <w:p w14:paraId="0AF43CA6">
      <w:pPr>
        <w:keepNext w:val="0"/>
        <w:keepLines w:val="0"/>
        <w:pageBreakBefore w:val="0"/>
        <w:widowControl/>
        <w:kinsoku/>
        <w:topLinePunct w:val="0"/>
        <w:bidi w:val="0"/>
        <w:snapToGrid/>
        <w:spacing w:after="0" w:line="460" w:lineRule="exact"/>
        <w:ind w:left="6240" w:hanging="6240" w:hangingChars="2600"/>
        <w:jc w:val="left"/>
        <w:rPr>
          <w:rFonts w:hint="eastAsia" w:ascii="宋体" w:hAnsi="宋体" w:cs="宋体"/>
          <w:sz w:val="24"/>
          <w:szCs w:val="24"/>
        </w:rPr>
      </w:pPr>
      <w:r>
        <w:rPr>
          <w:rFonts w:hint="eastAsia" w:ascii="宋体" w:hAnsi="宋体" w:cs="宋体"/>
          <w:sz w:val="24"/>
          <w:szCs w:val="24"/>
        </w:rPr>
        <w:t>甲方（盖章）：                       乙方（盖章）：</w:t>
      </w:r>
      <w:r>
        <w:rPr>
          <w:rFonts w:hint="eastAsia" w:ascii="宋体" w:hAnsi="宋体" w:cs="宋体"/>
          <w:sz w:val="24"/>
          <w:szCs w:val="24"/>
          <w:lang w:val="en-US" w:eastAsia="zh-CN"/>
        </w:rPr>
        <w:t xml:space="preserve">  </w:t>
      </w:r>
      <w:r>
        <w:rPr>
          <w:rFonts w:hint="eastAsia" w:ascii="宋体" w:hAnsi="宋体" w:cs="宋体"/>
          <w:sz w:val="24"/>
          <w:szCs w:val="24"/>
        </w:rPr>
        <w:t xml:space="preserve">   </w:t>
      </w:r>
    </w:p>
    <w:p w14:paraId="5D74E17A">
      <w:pPr>
        <w:keepNext w:val="0"/>
        <w:keepLines w:val="0"/>
        <w:pageBreakBefore w:val="0"/>
        <w:widowControl/>
        <w:kinsoku/>
        <w:topLinePunct w:val="0"/>
        <w:bidi w:val="0"/>
        <w:snapToGrid/>
        <w:spacing w:after="0" w:line="460" w:lineRule="exact"/>
        <w:ind w:left="0"/>
        <w:jc w:val="left"/>
        <w:rPr>
          <w:rFonts w:hint="eastAsia" w:ascii="宋体" w:hAnsi="宋体" w:cs="宋体"/>
          <w:sz w:val="24"/>
          <w:szCs w:val="24"/>
        </w:rPr>
      </w:pPr>
    </w:p>
    <w:p w14:paraId="4B1C7A19">
      <w:pPr>
        <w:keepNext w:val="0"/>
        <w:keepLines w:val="0"/>
        <w:pageBreakBefore w:val="0"/>
        <w:widowControl/>
        <w:kinsoku/>
        <w:topLinePunct w:val="0"/>
        <w:bidi w:val="0"/>
        <w:snapToGrid/>
        <w:spacing w:after="0" w:line="460" w:lineRule="exact"/>
        <w:ind w:left="0"/>
        <w:jc w:val="left"/>
        <w:rPr>
          <w:rFonts w:hint="eastAsia" w:ascii="宋体" w:hAnsi="宋体" w:cs="宋体"/>
          <w:sz w:val="24"/>
          <w:szCs w:val="24"/>
        </w:rPr>
      </w:pPr>
      <w:r>
        <w:rPr>
          <w:rFonts w:hint="eastAsia" w:ascii="宋体" w:hAnsi="宋体" w:cs="宋体"/>
          <w:sz w:val="24"/>
          <w:szCs w:val="24"/>
        </w:rPr>
        <w:t>法定代表人（或授权代表）：</w:t>
      </w:r>
      <w:r>
        <w:rPr>
          <w:rFonts w:hint="eastAsia" w:ascii="宋体" w:hAnsi="宋体" w:cs="宋体"/>
          <w:sz w:val="24"/>
          <w:szCs w:val="24"/>
        </w:rPr>
        <w:tab/>
      </w:r>
      <w:r>
        <w:rPr>
          <w:rFonts w:hint="eastAsia" w:ascii="宋体" w:hAnsi="宋体" w:cs="宋体"/>
          <w:sz w:val="24"/>
          <w:szCs w:val="24"/>
        </w:rPr>
        <w:tab/>
      </w:r>
      <w:r>
        <w:rPr>
          <w:rFonts w:hint="eastAsia" w:ascii="宋体" w:hAnsi="宋体" w:cs="宋体"/>
          <w:sz w:val="24"/>
          <w:szCs w:val="24"/>
        </w:rPr>
        <w:tab/>
      </w:r>
      <w:r>
        <w:rPr>
          <w:rFonts w:hint="eastAsia" w:ascii="宋体" w:hAnsi="宋体" w:cs="宋体"/>
          <w:sz w:val="24"/>
          <w:szCs w:val="24"/>
        </w:rPr>
        <w:t xml:space="preserve"> 法定代表人（或授权代表）：</w:t>
      </w:r>
    </w:p>
    <w:p w14:paraId="2E4BA226">
      <w:pPr>
        <w:keepNext w:val="0"/>
        <w:keepLines w:val="0"/>
        <w:pageBreakBefore w:val="0"/>
        <w:widowControl/>
        <w:kinsoku/>
        <w:topLinePunct w:val="0"/>
        <w:bidi w:val="0"/>
        <w:snapToGrid/>
        <w:spacing w:after="0" w:line="460" w:lineRule="exact"/>
        <w:ind w:left="0" w:firstLine="480" w:firstLineChars="200"/>
        <w:jc w:val="left"/>
        <w:rPr>
          <w:rFonts w:hint="eastAsia" w:ascii="宋体" w:hAnsi="宋体" w:cs="宋体"/>
          <w:sz w:val="24"/>
          <w:szCs w:val="24"/>
        </w:rPr>
      </w:pPr>
    </w:p>
    <w:p w14:paraId="0F64F4C4">
      <w:pPr>
        <w:keepNext w:val="0"/>
        <w:keepLines w:val="0"/>
        <w:pageBreakBefore w:val="0"/>
        <w:widowControl/>
        <w:kinsoku/>
        <w:topLinePunct w:val="0"/>
        <w:bidi w:val="0"/>
        <w:snapToGrid/>
        <w:spacing w:after="0" w:line="460" w:lineRule="exact"/>
        <w:ind w:left="0" w:firstLine="480" w:firstLineChars="200"/>
        <w:jc w:val="left"/>
        <w:rPr>
          <w:rFonts w:hint="eastAsia" w:ascii="宋体" w:hAnsi="宋体" w:cs="宋体"/>
          <w:sz w:val="24"/>
          <w:szCs w:val="24"/>
        </w:rPr>
      </w:pPr>
    </w:p>
    <w:p w14:paraId="55354290">
      <w:pPr>
        <w:keepNext w:val="0"/>
        <w:keepLines w:val="0"/>
        <w:pageBreakBefore w:val="0"/>
        <w:widowControl/>
        <w:kinsoku/>
        <w:topLinePunct w:val="0"/>
        <w:bidi w:val="0"/>
        <w:snapToGrid/>
        <w:spacing w:after="0" w:line="460" w:lineRule="exact"/>
        <w:ind w:left="0" w:firstLine="1120" w:firstLineChars="400"/>
        <w:jc w:val="left"/>
        <w:rPr>
          <w:rFonts w:hint="eastAsia" w:ascii="宋体" w:hAnsi="宋体" w:cs="宋体"/>
          <w:sz w:val="28"/>
          <w:szCs w:val="28"/>
        </w:rPr>
      </w:pPr>
    </w:p>
    <w:p w14:paraId="050E0913">
      <w:pPr>
        <w:keepNext w:val="0"/>
        <w:keepLines w:val="0"/>
        <w:pageBreakBefore w:val="0"/>
        <w:widowControl/>
        <w:kinsoku/>
        <w:topLinePunct w:val="0"/>
        <w:bidi w:val="0"/>
        <w:snapToGrid/>
        <w:spacing w:after="0" w:line="460" w:lineRule="exact"/>
        <w:ind w:left="0"/>
        <w:jc w:val="left"/>
        <w:rPr>
          <w:rFonts w:hint="eastAsia" w:ascii="宋体" w:hAnsi="宋体" w:cs="宋体"/>
          <w:sz w:val="28"/>
          <w:szCs w:val="28"/>
        </w:rPr>
      </w:pPr>
    </w:p>
    <w:p w14:paraId="5EE4848C">
      <w:pPr>
        <w:keepNext w:val="0"/>
        <w:keepLines w:val="0"/>
        <w:pageBreakBefore w:val="0"/>
        <w:kinsoku/>
        <w:topLinePunct w:val="0"/>
        <w:bidi w:val="0"/>
        <w:snapToGrid/>
        <w:spacing w:line="460" w:lineRule="exact"/>
        <w:ind w:left="0"/>
        <w:rPr>
          <w:rFonts w:hint="eastAsia" w:ascii="宋体" w:hAnsi="宋体" w:cs="宋体"/>
          <w:sz w:val="28"/>
          <w:szCs w:val="28"/>
        </w:rPr>
      </w:pPr>
    </w:p>
    <w:p w14:paraId="25CCFCB6">
      <w:pPr>
        <w:keepNext w:val="0"/>
        <w:keepLines w:val="0"/>
        <w:pageBreakBefore w:val="0"/>
        <w:kinsoku/>
        <w:topLinePunct w:val="0"/>
        <w:bidi w:val="0"/>
        <w:snapToGrid/>
        <w:spacing w:line="460" w:lineRule="exact"/>
        <w:ind w:left="0"/>
        <w:rPr>
          <w:rFonts w:hint="eastAsia" w:ascii="宋体" w:hAnsi="宋体" w:cs="宋体"/>
          <w:sz w:val="28"/>
          <w:szCs w:val="28"/>
        </w:rPr>
      </w:pPr>
    </w:p>
    <w:p w14:paraId="6D4B9BAF">
      <w:pPr>
        <w:keepNext w:val="0"/>
        <w:keepLines w:val="0"/>
        <w:pageBreakBefore w:val="0"/>
        <w:kinsoku/>
        <w:topLinePunct w:val="0"/>
        <w:bidi w:val="0"/>
        <w:snapToGrid/>
        <w:spacing w:before="55" w:line="4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3E1165B7">
      <w:pPr>
        <w:pStyle w:val="7"/>
        <w:keepNext w:val="0"/>
        <w:keepLines w:val="0"/>
        <w:pageBreakBefore w:val="0"/>
        <w:kinsoku/>
        <w:topLinePunct w:val="0"/>
        <w:bidi w:val="0"/>
        <w:snapToGrid/>
        <w:spacing w:before="55" w:line="460" w:lineRule="exact"/>
        <w:ind w:lef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附件5</w:t>
      </w:r>
    </w:p>
    <w:p w14:paraId="05C2D54A">
      <w:pPr>
        <w:keepNext w:val="0"/>
        <w:keepLines w:val="0"/>
        <w:pageBreakBefore w:val="0"/>
        <w:widowControl w:val="0"/>
        <w:kinsoku/>
        <w:wordWrap/>
        <w:overflowPunct/>
        <w:topLinePunct w:val="0"/>
        <w:autoSpaceDE/>
        <w:autoSpaceDN/>
        <w:bidi w:val="0"/>
        <w:adjustRightInd/>
        <w:snapToGrid/>
        <w:spacing w:after="313" w:afterLines="100" w:line="460" w:lineRule="exact"/>
        <w:ind w:left="0"/>
        <w:jc w:val="center"/>
        <w:textAlignment w:val="auto"/>
        <w:rPr>
          <w:rFonts w:hint="eastAsia"/>
        </w:rPr>
      </w:pPr>
      <w:r>
        <w:rPr>
          <w:rFonts w:hint="eastAsia" w:ascii="宋体" w:hAnsi="宋体" w:eastAsia="宋体" w:cs="宋体"/>
          <w:b/>
          <w:spacing w:val="20"/>
          <w:sz w:val="32"/>
          <w:szCs w:val="32"/>
        </w:rPr>
        <w:t>龙岗区进一步规范政商交往行为告知书</w:t>
      </w:r>
    </w:p>
    <w:p w14:paraId="76B49559">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为深入构建“亲”“清”新型政商关系，努力打造尊商、亲商、助商、安商良好营商环境，龙岗区委区政府制定了《龙岗区公职人员政商交往“十个不准”》，严明公职人员在政商交往中的纪律要求。 请参与龙岗建设的广大企业及其从业人员，严格监督我区公职人员落实“十个不准”，并在与我区公职人员交往中切实做到“十个不得”。</w:t>
      </w:r>
    </w:p>
    <w:p w14:paraId="50576636">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一、不得向公职人员赠送礼品、礼金、消费卡等财物。</w:t>
      </w:r>
    </w:p>
    <w:p w14:paraId="15C6323C">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二、不得违规向公职人员提供宴请、旅游、娱乐等安排。</w:t>
      </w:r>
    </w:p>
    <w:p w14:paraId="4820214A">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三、不得通过打麻将等形式向公职人员输送利益。</w:t>
      </w:r>
    </w:p>
    <w:p w14:paraId="4D54EB22">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四、不得为公职人员报销应由其个人支付的费用。</w:t>
      </w:r>
    </w:p>
    <w:p w14:paraId="3632FE2D">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五、不得违规向公职人员及其亲友借贷款。</w:t>
      </w:r>
    </w:p>
    <w:p w14:paraId="4313DDBD">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六、不得违规将车辆、住房等借给公职人员使用。</w:t>
      </w:r>
    </w:p>
    <w:p w14:paraId="5DE34114">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七、不得在招投标中与公职人员搞暗箱操作、围标串标。</w:t>
      </w:r>
    </w:p>
    <w:p w14:paraId="71DC5555">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八、不得为利益相关人和公职人员牵线搭桥或者代为传递信息、传递财物。</w:t>
      </w:r>
    </w:p>
    <w:p w14:paraId="3584BA02">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九、不得让公职人员在企业违规兼职取酬。</w:t>
      </w:r>
    </w:p>
    <w:p w14:paraId="07D6C53A">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十、不得为公职人员亲友违规承揽业务提供便利。</w:t>
      </w:r>
    </w:p>
    <w:p w14:paraId="1E9C8054">
      <w:pPr>
        <w:keepNext w:val="0"/>
        <w:keepLines w:val="0"/>
        <w:pageBreakBefore w:val="0"/>
        <w:widowControl/>
        <w:kinsoku/>
        <w:topLinePunct w:val="0"/>
        <w:bidi w:val="0"/>
        <w:snapToGrid/>
        <w:spacing w:after="0" w:line="460" w:lineRule="exact"/>
        <w:ind w:left="0" w:firstLine="480" w:firstLineChars="200"/>
        <w:rPr>
          <w:rFonts w:hint="eastAsia" w:ascii="宋体" w:hAnsi="宋体" w:eastAsia="宋体" w:cs="宋体"/>
          <w:sz w:val="24"/>
          <w:szCs w:val="24"/>
        </w:rPr>
      </w:pPr>
      <w:r>
        <w:rPr>
          <w:rFonts w:hint="eastAsia" w:ascii="宋体" w:hAnsi="宋体" w:eastAsia="宋体" w:cs="宋体"/>
          <w:sz w:val="24"/>
          <w:szCs w:val="24"/>
        </w:rPr>
        <w:t>上述“十个不得”，请您严格遵守。同时，在政商交往中， 如有发现我区公职人员存在违反“十个不准”的问题，请及时通过网络举报平台或者 12388 举报电话等方式，向纪检监察机关反映举报，我们将一律严格保密、一律优先处置、一律严肃查处。</w:t>
      </w:r>
    </w:p>
    <w:p w14:paraId="768598F9">
      <w:pPr>
        <w:keepNext w:val="0"/>
        <w:keepLines w:val="0"/>
        <w:pageBreakBefore w:val="0"/>
        <w:widowControl/>
        <w:kinsoku/>
        <w:wordWrap/>
        <w:overflowPunct/>
        <w:topLinePunct w:val="0"/>
        <w:autoSpaceDE/>
        <w:autoSpaceDN/>
        <w:bidi w:val="0"/>
        <w:adjustRightInd/>
        <w:snapToGrid/>
        <w:spacing w:after="313" w:afterLines="100" w:line="4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本人已知晓上述告知内容，并愿意遵照执行（签名）：</w:t>
      </w:r>
    </w:p>
    <w:p w14:paraId="6F6C76E9">
      <w:pPr>
        <w:keepNext w:val="0"/>
        <w:keepLines w:val="0"/>
        <w:pageBreakBefore w:val="0"/>
        <w:widowControl/>
        <w:kinsoku/>
        <w:topLinePunct w:val="0"/>
        <w:bidi w:val="0"/>
        <w:snapToGrid/>
        <w:spacing w:after="0" w:line="460" w:lineRule="exact"/>
        <w:ind w:left="0" w:firstLine="6480" w:firstLineChars="2700"/>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cs="宋体"/>
          <w:sz w:val="24"/>
          <w:szCs w:val="24"/>
          <w:lang w:val="en-US" w:eastAsia="zh-CN"/>
        </w:rPr>
        <w:t>26</w:t>
      </w:r>
      <w:r>
        <w:rPr>
          <w:rFonts w:hint="eastAsia" w:ascii="宋体" w:hAnsi="宋体" w:eastAsia="宋体" w:cs="宋体"/>
          <w:sz w:val="24"/>
          <w:szCs w:val="24"/>
        </w:rPr>
        <w:t>年  月  日</w:t>
      </w:r>
    </w:p>
    <w:sectPr>
      <w:pgSz w:w="11906" w:h="16838"/>
      <w:pgMar w:top="1440" w:right="1800" w:bottom="1440" w:left="1800" w:header="851" w:footer="56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PingFang SC">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FZXBSJW--GB1-0">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ngXian">
    <w:altName w:val="C059"/>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FDD6">
    <w:pPr>
      <w:pStyle w:val="10"/>
      <w:jc w:val="center"/>
    </w:pPr>
  </w:p>
  <w:p w14:paraId="2A1AD9A3">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B5E1A">
    <w:pPr>
      <w:pStyle w:val="10"/>
      <w:jc w:val="center"/>
    </w:pPr>
  </w:p>
  <w:p w14:paraId="11D43357">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B9F7D21">
                          <w:pPr>
                            <w:pStyle w:val="10"/>
                            <w:jc w:val="center"/>
                          </w:pPr>
                          <w:r>
                            <w:fldChar w:fldCharType="begin"/>
                          </w:r>
                          <w:r>
                            <w:instrText xml:space="preserve"> PAGE   \* MERGEFORMAT </w:instrText>
                          </w:r>
                          <w:r>
                            <w:fldChar w:fldCharType="separate"/>
                          </w:r>
                          <w:r>
                            <w:rPr>
                              <w:lang w:val="zh-CN"/>
                            </w:rPr>
                            <w:t>-</w:t>
                          </w:r>
                          <w:r>
                            <w:t xml:space="preserve"> 18 -</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bbl9A9MBAAClAwAADgAAAAAAAAABACAAAAAeAQAA&#10;ZHJzL2Uyb0RvYy54bWxQSwUGAAAAAAYABgBZAQAAYwUAAAAA&#10;">
              <v:fill on="f" focussize="0,0"/>
              <v:stroke on="f"/>
              <v:imagedata o:title=""/>
              <o:lock v:ext="edit" aspectratio="f"/>
              <v:textbox inset="0mm,0mm,0mm,0mm" style="mso-fit-shape-to-text:t;">
                <w:txbxContent>
                  <w:p w14:paraId="0B9F7D21">
                    <w:pPr>
                      <w:pStyle w:val="10"/>
                      <w:jc w:val="center"/>
                    </w:pPr>
                    <w:r>
                      <w:fldChar w:fldCharType="begin"/>
                    </w:r>
                    <w:r>
                      <w:instrText xml:space="preserve"> PAGE   \* MERGEFORMAT </w:instrText>
                    </w:r>
                    <w:r>
                      <w:fldChar w:fldCharType="separate"/>
                    </w:r>
                    <w:r>
                      <w:rPr>
                        <w:lang w:val="zh-CN"/>
                      </w:rPr>
                      <w:t>-</w:t>
                    </w:r>
                    <w:r>
                      <w:t xml:space="preserve"> 18 -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C863C">
    <w:pPr>
      <w:pStyle w:val="11"/>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k1ZDY4Y2FlNGQ0OGY0ZWYwZThlMzI0ZWFkODZkYzMifQ=="/>
    <w:docVar w:name="KGWebUrl" w:val="https://zhct.lggov.cn/sys/attachment/sys_att_main/jg_service.jsp"/>
  </w:docVars>
  <w:rsids>
    <w:rsidRoot w:val="00172A27"/>
    <w:rsid w:val="0008407B"/>
    <w:rsid w:val="00087FFE"/>
    <w:rsid w:val="00094A92"/>
    <w:rsid w:val="000B1549"/>
    <w:rsid w:val="000B362B"/>
    <w:rsid w:val="000C1FAE"/>
    <w:rsid w:val="000E1C32"/>
    <w:rsid w:val="00100A79"/>
    <w:rsid w:val="0011241D"/>
    <w:rsid w:val="00125335"/>
    <w:rsid w:val="001542FA"/>
    <w:rsid w:val="001641B2"/>
    <w:rsid w:val="001671C8"/>
    <w:rsid w:val="00172921"/>
    <w:rsid w:val="00172A27"/>
    <w:rsid w:val="00185EF1"/>
    <w:rsid w:val="00190B2C"/>
    <w:rsid w:val="001B4BD6"/>
    <w:rsid w:val="001D7700"/>
    <w:rsid w:val="001F29B0"/>
    <w:rsid w:val="001F43EC"/>
    <w:rsid w:val="001F64A8"/>
    <w:rsid w:val="00207EE3"/>
    <w:rsid w:val="00210FED"/>
    <w:rsid w:val="00225EDE"/>
    <w:rsid w:val="00230BD8"/>
    <w:rsid w:val="00260E1B"/>
    <w:rsid w:val="0026693C"/>
    <w:rsid w:val="00272454"/>
    <w:rsid w:val="002940CE"/>
    <w:rsid w:val="002C2237"/>
    <w:rsid w:val="002C3345"/>
    <w:rsid w:val="002E6D51"/>
    <w:rsid w:val="003167B3"/>
    <w:rsid w:val="00317ABE"/>
    <w:rsid w:val="00336FC0"/>
    <w:rsid w:val="00341EA4"/>
    <w:rsid w:val="00354D21"/>
    <w:rsid w:val="00372353"/>
    <w:rsid w:val="003B1ECF"/>
    <w:rsid w:val="003E23ED"/>
    <w:rsid w:val="00415A47"/>
    <w:rsid w:val="0043036D"/>
    <w:rsid w:val="00452668"/>
    <w:rsid w:val="004678AD"/>
    <w:rsid w:val="004978C8"/>
    <w:rsid w:val="004E2CA7"/>
    <w:rsid w:val="004E6A14"/>
    <w:rsid w:val="00507176"/>
    <w:rsid w:val="00526A50"/>
    <w:rsid w:val="00533A4F"/>
    <w:rsid w:val="005419D2"/>
    <w:rsid w:val="00542119"/>
    <w:rsid w:val="00544461"/>
    <w:rsid w:val="005577AE"/>
    <w:rsid w:val="0056537D"/>
    <w:rsid w:val="005A0603"/>
    <w:rsid w:val="005B16F1"/>
    <w:rsid w:val="005B2B3C"/>
    <w:rsid w:val="00604F92"/>
    <w:rsid w:val="00622C43"/>
    <w:rsid w:val="006307DF"/>
    <w:rsid w:val="00651EA9"/>
    <w:rsid w:val="00670467"/>
    <w:rsid w:val="00682D13"/>
    <w:rsid w:val="006B6AB8"/>
    <w:rsid w:val="006C590C"/>
    <w:rsid w:val="006F0924"/>
    <w:rsid w:val="006F5AB8"/>
    <w:rsid w:val="00703793"/>
    <w:rsid w:val="00712D61"/>
    <w:rsid w:val="007374A0"/>
    <w:rsid w:val="0074228D"/>
    <w:rsid w:val="00753786"/>
    <w:rsid w:val="00784454"/>
    <w:rsid w:val="007D31E9"/>
    <w:rsid w:val="007D7CCB"/>
    <w:rsid w:val="008139C8"/>
    <w:rsid w:val="00817198"/>
    <w:rsid w:val="008263FE"/>
    <w:rsid w:val="0083044C"/>
    <w:rsid w:val="00836AE4"/>
    <w:rsid w:val="00856177"/>
    <w:rsid w:val="00886A6C"/>
    <w:rsid w:val="008876A5"/>
    <w:rsid w:val="008877C8"/>
    <w:rsid w:val="008D1411"/>
    <w:rsid w:val="008D161F"/>
    <w:rsid w:val="008E5A73"/>
    <w:rsid w:val="00913CAA"/>
    <w:rsid w:val="009167FE"/>
    <w:rsid w:val="00962F92"/>
    <w:rsid w:val="00970889"/>
    <w:rsid w:val="00996B2F"/>
    <w:rsid w:val="009A18DC"/>
    <w:rsid w:val="009B74D2"/>
    <w:rsid w:val="009C710A"/>
    <w:rsid w:val="009D6433"/>
    <w:rsid w:val="009D7F16"/>
    <w:rsid w:val="009F4748"/>
    <w:rsid w:val="009F7D2A"/>
    <w:rsid w:val="00A01CCF"/>
    <w:rsid w:val="00A35924"/>
    <w:rsid w:val="00A776C8"/>
    <w:rsid w:val="00A83A86"/>
    <w:rsid w:val="00A9467E"/>
    <w:rsid w:val="00AB25BC"/>
    <w:rsid w:val="00B255F3"/>
    <w:rsid w:val="00B62C2B"/>
    <w:rsid w:val="00B66D06"/>
    <w:rsid w:val="00B72C51"/>
    <w:rsid w:val="00B80A33"/>
    <w:rsid w:val="00BB35EE"/>
    <w:rsid w:val="00C01A3F"/>
    <w:rsid w:val="00C03EDE"/>
    <w:rsid w:val="00C40B2C"/>
    <w:rsid w:val="00C76381"/>
    <w:rsid w:val="00C764B9"/>
    <w:rsid w:val="00C92F96"/>
    <w:rsid w:val="00CA3712"/>
    <w:rsid w:val="00CA639E"/>
    <w:rsid w:val="00CA761F"/>
    <w:rsid w:val="00CB5C5F"/>
    <w:rsid w:val="00CD6A64"/>
    <w:rsid w:val="00D11915"/>
    <w:rsid w:val="00D13E0E"/>
    <w:rsid w:val="00D317A3"/>
    <w:rsid w:val="00D33C03"/>
    <w:rsid w:val="00D65963"/>
    <w:rsid w:val="00DE6A9F"/>
    <w:rsid w:val="00E006C8"/>
    <w:rsid w:val="00E15690"/>
    <w:rsid w:val="00E20335"/>
    <w:rsid w:val="00E42006"/>
    <w:rsid w:val="00E61C17"/>
    <w:rsid w:val="00E673D2"/>
    <w:rsid w:val="00E67CE4"/>
    <w:rsid w:val="00F07FEA"/>
    <w:rsid w:val="00F20171"/>
    <w:rsid w:val="00F27974"/>
    <w:rsid w:val="00F36126"/>
    <w:rsid w:val="00F44972"/>
    <w:rsid w:val="00F528C1"/>
    <w:rsid w:val="00F66E70"/>
    <w:rsid w:val="00F90949"/>
    <w:rsid w:val="00F95380"/>
    <w:rsid w:val="00FA583B"/>
    <w:rsid w:val="00FA72D1"/>
    <w:rsid w:val="00FB2C43"/>
    <w:rsid w:val="00FC7F29"/>
    <w:rsid w:val="00FD6F44"/>
    <w:rsid w:val="00FF4316"/>
    <w:rsid w:val="0130254E"/>
    <w:rsid w:val="018132B9"/>
    <w:rsid w:val="01A76066"/>
    <w:rsid w:val="01C03431"/>
    <w:rsid w:val="01DA13FD"/>
    <w:rsid w:val="01DF65F9"/>
    <w:rsid w:val="02291129"/>
    <w:rsid w:val="023149C0"/>
    <w:rsid w:val="028068D9"/>
    <w:rsid w:val="028A6A28"/>
    <w:rsid w:val="029E3EC5"/>
    <w:rsid w:val="02CE2947"/>
    <w:rsid w:val="02E83E9C"/>
    <w:rsid w:val="02EB51D8"/>
    <w:rsid w:val="0304331C"/>
    <w:rsid w:val="03123850"/>
    <w:rsid w:val="031776E8"/>
    <w:rsid w:val="031C5AA9"/>
    <w:rsid w:val="034B1D44"/>
    <w:rsid w:val="035644A4"/>
    <w:rsid w:val="03A4160B"/>
    <w:rsid w:val="03A953B6"/>
    <w:rsid w:val="03FE68F6"/>
    <w:rsid w:val="04033B99"/>
    <w:rsid w:val="040C5917"/>
    <w:rsid w:val="0430558F"/>
    <w:rsid w:val="043C10E0"/>
    <w:rsid w:val="04600308"/>
    <w:rsid w:val="04C53A9F"/>
    <w:rsid w:val="04D02639"/>
    <w:rsid w:val="04F2260F"/>
    <w:rsid w:val="052627A3"/>
    <w:rsid w:val="053D40AE"/>
    <w:rsid w:val="0549443D"/>
    <w:rsid w:val="057C2806"/>
    <w:rsid w:val="05912687"/>
    <w:rsid w:val="05A91806"/>
    <w:rsid w:val="05D66BAD"/>
    <w:rsid w:val="05E44EB7"/>
    <w:rsid w:val="06503623"/>
    <w:rsid w:val="06524610"/>
    <w:rsid w:val="065D70B4"/>
    <w:rsid w:val="065F04E2"/>
    <w:rsid w:val="066C61B3"/>
    <w:rsid w:val="06DC5BF4"/>
    <w:rsid w:val="06E60322"/>
    <w:rsid w:val="0703476C"/>
    <w:rsid w:val="071700D6"/>
    <w:rsid w:val="07A3393F"/>
    <w:rsid w:val="07AF71FF"/>
    <w:rsid w:val="07DE427B"/>
    <w:rsid w:val="080E70DC"/>
    <w:rsid w:val="080F3E65"/>
    <w:rsid w:val="082C029F"/>
    <w:rsid w:val="08671713"/>
    <w:rsid w:val="08682ED7"/>
    <w:rsid w:val="086A17EB"/>
    <w:rsid w:val="086C1887"/>
    <w:rsid w:val="0874220E"/>
    <w:rsid w:val="089C5447"/>
    <w:rsid w:val="08CF0C35"/>
    <w:rsid w:val="08FE4D99"/>
    <w:rsid w:val="090C09ED"/>
    <w:rsid w:val="093A0A5D"/>
    <w:rsid w:val="09734A3C"/>
    <w:rsid w:val="09B15FF4"/>
    <w:rsid w:val="09D36227"/>
    <w:rsid w:val="09D45D51"/>
    <w:rsid w:val="09E53B8C"/>
    <w:rsid w:val="0A242C0F"/>
    <w:rsid w:val="0A434CCB"/>
    <w:rsid w:val="0A707AA7"/>
    <w:rsid w:val="0AA727AC"/>
    <w:rsid w:val="0B5949C2"/>
    <w:rsid w:val="0B9A3FA4"/>
    <w:rsid w:val="0B9D544B"/>
    <w:rsid w:val="0BB13318"/>
    <w:rsid w:val="0BE02498"/>
    <w:rsid w:val="0BE5131C"/>
    <w:rsid w:val="0BEB2CC7"/>
    <w:rsid w:val="0BF32B89"/>
    <w:rsid w:val="0BF47F61"/>
    <w:rsid w:val="0C0B6575"/>
    <w:rsid w:val="0C0D58E5"/>
    <w:rsid w:val="0C3725CC"/>
    <w:rsid w:val="0C4041E3"/>
    <w:rsid w:val="0C671EFD"/>
    <w:rsid w:val="0C8E78E9"/>
    <w:rsid w:val="0CD022C4"/>
    <w:rsid w:val="0CE852E7"/>
    <w:rsid w:val="0D033894"/>
    <w:rsid w:val="0D2E3DF4"/>
    <w:rsid w:val="0D6C7735"/>
    <w:rsid w:val="0D873153"/>
    <w:rsid w:val="0D99187F"/>
    <w:rsid w:val="0DEC1420"/>
    <w:rsid w:val="0DED5F50"/>
    <w:rsid w:val="0E2A6C86"/>
    <w:rsid w:val="0E3F5604"/>
    <w:rsid w:val="0E616208"/>
    <w:rsid w:val="0EA60BB0"/>
    <w:rsid w:val="0EB34C4C"/>
    <w:rsid w:val="0EDB514F"/>
    <w:rsid w:val="0EDF64C6"/>
    <w:rsid w:val="0EF9067B"/>
    <w:rsid w:val="0EFB55DD"/>
    <w:rsid w:val="0F006544"/>
    <w:rsid w:val="0F080549"/>
    <w:rsid w:val="0F0F3BE3"/>
    <w:rsid w:val="0F113ECF"/>
    <w:rsid w:val="0F1D7E22"/>
    <w:rsid w:val="0F4A29A6"/>
    <w:rsid w:val="0F5F2683"/>
    <w:rsid w:val="0F667565"/>
    <w:rsid w:val="0F737197"/>
    <w:rsid w:val="1074635E"/>
    <w:rsid w:val="107544A9"/>
    <w:rsid w:val="107E6FA0"/>
    <w:rsid w:val="10DE7C77"/>
    <w:rsid w:val="10ED1320"/>
    <w:rsid w:val="110546B8"/>
    <w:rsid w:val="11096110"/>
    <w:rsid w:val="11164E12"/>
    <w:rsid w:val="113B1689"/>
    <w:rsid w:val="11961DB5"/>
    <w:rsid w:val="11A72F2F"/>
    <w:rsid w:val="11D9638B"/>
    <w:rsid w:val="11E608FC"/>
    <w:rsid w:val="11EF19A7"/>
    <w:rsid w:val="12414F2B"/>
    <w:rsid w:val="124C6368"/>
    <w:rsid w:val="12787E62"/>
    <w:rsid w:val="12DD1596"/>
    <w:rsid w:val="12FC252C"/>
    <w:rsid w:val="131F29FB"/>
    <w:rsid w:val="134734DF"/>
    <w:rsid w:val="13594430"/>
    <w:rsid w:val="138D2F0C"/>
    <w:rsid w:val="13A24D3E"/>
    <w:rsid w:val="13A615F1"/>
    <w:rsid w:val="13A63542"/>
    <w:rsid w:val="13B50D02"/>
    <w:rsid w:val="13BF6335"/>
    <w:rsid w:val="13C012D3"/>
    <w:rsid w:val="13CE536B"/>
    <w:rsid w:val="13F96C7B"/>
    <w:rsid w:val="14112A3B"/>
    <w:rsid w:val="14222580"/>
    <w:rsid w:val="14376EE8"/>
    <w:rsid w:val="14446F4B"/>
    <w:rsid w:val="14450CC7"/>
    <w:rsid w:val="144850B4"/>
    <w:rsid w:val="1463517B"/>
    <w:rsid w:val="147C1F48"/>
    <w:rsid w:val="14BE6E5C"/>
    <w:rsid w:val="15131955"/>
    <w:rsid w:val="15695D15"/>
    <w:rsid w:val="15941D4E"/>
    <w:rsid w:val="15CF33E6"/>
    <w:rsid w:val="15D65645"/>
    <w:rsid w:val="15ED3077"/>
    <w:rsid w:val="16073D34"/>
    <w:rsid w:val="161E6293"/>
    <w:rsid w:val="163F7C68"/>
    <w:rsid w:val="164F627D"/>
    <w:rsid w:val="16682133"/>
    <w:rsid w:val="16A56C0B"/>
    <w:rsid w:val="16E9411D"/>
    <w:rsid w:val="16F969DB"/>
    <w:rsid w:val="1723614E"/>
    <w:rsid w:val="173D1C56"/>
    <w:rsid w:val="174632B8"/>
    <w:rsid w:val="176764A1"/>
    <w:rsid w:val="17776AC1"/>
    <w:rsid w:val="17845162"/>
    <w:rsid w:val="178D0DEA"/>
    <w:rsid w:val="17912041"/>
    <w:rsid w:val="17AB2115"/>
    <w:rsid w:val="17EF758B"/>
    <w:rsid w:val="17F72734"/>
    <w:rsid w:val="181C5FCC"/>
    <w:rsid w:val="18566F32"/>
    <w:rsid w:val="189A0277"/>
    <w:rsid w:val="18A232DE"/>
    <w:rsid w:val="18AC6F46"/>
    <w:rsid w:val="18B45B4E"/>
    <w:rsid w:val="18C05BC7"/>
    <w:rsid w:val="18ED1542"/>
    <w:rsid w:val="191218F2"/>
    <w:rsid w:val="19596099"/>
    <w:rsid w:val="19672D68"/>
    <w:rsid w:val="1974416C"/>
    <w:rsid w:val="19E0461D"/>
    <w:rsid w:val="1A065EE4"/>
    <w:rsid w:val="1A073AB7"/>
    <w:rsid w:val="1A1B7D5B"/>
    <w:rsid w:val="1A630326"/>
    <w:rsid w:val="1AB07437"/>
    <w:rsid w:val="1AF71E09"/>
    <w:rsid w:val="1B441136"/>
    <w:rsid w:val="1BDB2D67"/>
    <w:rsid w:val="1BF66811"/>
    <w:rsid w:val="1C0A0C05"/>
    <w:rsid w:val="1C0B13F8"/>
    <w:rsid w:val="1C164A8D"/>
    <w:rsid w:val="1C325609"/>
    <w:rsid w:val="1C3C2A43"/>
    <w:rsid w:val="1C4036D0"/>
    <w:rsid w:val="1CEB64B7"/>
    <w:rsid w:val="1CFB2E63"/>
    <w:rsid w:val="1D6E5C1A"/>
    <w:rsid w:val="1DA55D98"/>
    <w:rsid w:val="1DC0481F"/>
    <w:rsid w:val="1DCD60B9"/>
    <w:rsid w:val="1E3C3A1B"/>
    <w:rsid w:val="1E482F5C"/>
    <w:rsid w:val="1E5100DC"/>
    <w:rsid w:val="1E9E4AB6"/>
    <w:rsid w:val="1EA75998"/>
    <w:rsid w:val="1EAE19E3"/>
    <w:rsid w:val="1EC65807"/>
    <w:rsid w:val="1ED05C11"/>
    <w:rsid w:val="1EE164E3"/>
    <w:rsid w:val="1EEC4D90"/>
    <w:rsid w:val="1F1615B2"/>
    <w:rsid w:val="1F27551E"/>
    <w:rsid w:val="1F6A3BE0"/>
    <w:rsid w:val="1F7148AF"/>
    <w:rsid w:val="1F954AE0"/>
    <w:rsid w:val="1FB978FC"/>
    <w:rsid w:val="1FDF538F"/>
    <w:rsid w:val="20237509"/>
    <w:rsid w:val="204A7BDE"/>
    <w:rsid w:val="208E2911"/>
    <w:rsid w:val="20B32B28"/>
    <w:rsid w:val="20BE3109"/>
    <w:rsid w:val="20D03E9F"/>
    <w:rsid w:val="20FE11DB"/>
    <w:rsid w:val="210D0D1F"/>
    <w:rsid w:val="21113641"/>
    <w:rsid w:val="21155AA8"/>
    <w:rsid w:val="21195C83"/>
    <w:rsid w:val="212B0B49"/>
    <w:rsid w:val="21520379"/>
    <w:rsid w:val="21843334"/>
    <w:rsid w:val="218B0286"/>
    <w:rsid w:val="219357C5"/>
    <w:rsid w:val="21D62F40"/>
    <w:rsid w:val="21FB0993"/>
    <w:rsid w:val="22135B69"/>
    <w:rsid w:val="225265B5"/>
    <w:rsid w:val="226F0DA3"/>
    <w:rsid w:val="22907A63"/>
    <w:rsid w:val="22A8468C"/>
    <w:rsid w:val="22BB63DF"/>
    <w:rsid w:val="22D92F30"/>
    <w:rsid w:val="22FE2E8E"/>
    <w:rsid w:val="23007DDC"/>
    <w:rsid w:val="23235D13"/>
    <w:rsid w:val="235270A7"/>
    <w:rsid w:val="23822DC6"/>
    <w:rsid w:val="23CB0535"/>
    <w:rsid w:val="23D5466C"/>
    <w:rsid w:val="23DF75A3"/>
    <w:rsid w:val="24077057"/>
    <w:rsid w:val="24405F43"/>
    <w:rsid w:val="24CC0B11"/>
    <w:rsid w:val="24D063F7"/>
    <w:rsid w:val="24F15D15"/>
    <w:rsid w:val="25036FD7"/>
    <w:rsid w:val="259551ED"/>
    <w:rsid w:val="25A55F80"/>
    <w:rsid w:val="25C549AC"/>
    <w:rsid w:val="25CB285F"/>
    <w:rsid w:val="25CC56BD"/>
    <w:rsid w:val="25D12BED"/>
    <w:rsid w:val="25D46469"/>
    <w:rsid w:val="25ED6A05"/>
    <w:rsid w:val="26396AF4"/>
    <w:rsid w:val="26F3521D"/>
    <w:rsid w:val="270B696A"/>
    <w:rsid w:val="27105E1F"/>
    <w:rsid w:val="27217C9E"/>
    <w:rsid w:val="27312E84"/>
    <w:rsid w:val="27361D7E"/>
    <w:rsid w:val="27370721"/>
    <w:rsid w:val="276A1CF6"/>
    <w:rsid w:val="277F143E"/>
    <w:rsid w:val="279B1907"/>
    <w:rsid w:val="27B556DF"/>
    <w:rsid w:val="27E242BF"/>
    <w:rsid w:val="28021F80"/>
    <w:rsid w:val="28127D42"/>
    <w:rsid w:val="28533D32"/>
    <w:rsid w:val="2855768E"/>
    <w:rsid w:val="28622210"/>
    <w:rsid w:val="286272ED"/>
    <w:rsid w:val="28667D9E"/>
    <w:rsid w:val="288C0F29"/>
    <w:rsid w:val="28987B4C"/>
    <w:rsid w:val="28C96D0B"/>
    <w:rsid w:val="290931B1"/>
    <w:rsid w:val="294156D1"/>
    <w:rsid w:val="29904B52"/>
    <w:rsid w:val="29A64E5F"/>
    <w:rsid w:val="29BA591D"/>
    <w:rsid w:val="29BF20FF"/>
    <w:rsid w:val="29C764A3"/>
    <w:rsid w:val="29E63137"/>
    <w:rsid w:val="29EB20D8"/>
    <w:rsid w:val="2A0F3860"/>
    <w:rsid w:val="2A580148"/>
    <w:rsid w:val="2A595DE3"/>
    <w:rsid w:val="2A807505"/>
    <w:rsid w:val="2A9101BB"/>
    <w:rsid w:val="2B0658F6"/>
    <w:rsid w:val="2B165A83"/>
    <w:rsid w:val="2B435885"/>
    <w:rsid w:val="2B7D0B2C"/>
    <w:rsid w:val="2B99672D"/>
    <w:rsid w:val="2B997D06"/>
    <w:rsid w:val="2B9F353E"/>
    <w:rsid w:val="2BAD3146"/>
    <w:rsid w:val="2BDA56FD"/>
    <w:rsid w:val="2C16218C"/>
    <w:rsid w:val="2C98599D"/>
    <w:rsid w:val="2CD66E8E"/>
    <w:rsid w:val="2CDB3525"/>
    <w:rsid w:val="2D2C0946"/>
    <w:rsid w:val="2D3268EE"/>
    <w:rsid w:val="2D3354CA"/>
    <w:rsid w:val="2D414A34"/>
    <w:rsid w:val="2D514E17"/>
    <w:rsid w:val="2D806ECE"/>
    <w:rsid w:val="2D900CD7"/>
    <w:rsid w:val="2DC62533"/>
    <w:rsid w:val="2DFC8C79"/>
    <w:rsid w:val="2DFD0EC5"/>
    <w:rsid w:val="2E165D86"/>
    <w:rsid w:val="2E452813"/>
    <w:rsid w:val="2E4E348E"/>
    <w:rsid w:val="2E557697"/>
    <w:rsid w:val="2E5708C6"/>
    <w:rsid w:val="2E9F1623"/>
    <w:rsid w:val="2EB61840"/>
    <w:rsid w:val="2EC659B7"/>
    <w:rsid w:val="2EE3D46F"/>
    <w:rsid w:val="2EEA0360"/>
    <w:rsid w:val="2EEE2A6F"/>
    <w:rsid w:val="2EEF1916"/>
    <w:rsid w:val="2F44055A"/>
    <w:rsid w:val="2F5213C1"/>
    <w:rsid w:val="2FD741F9"/>
    <w:rsid w:val="309255DF"/>
    <w:rsid w:val="30AA5C90"/>
    <w:rsid w:val="30B855F7"/>
    <w:rsid w:val="30C34D67"/>
    <w:rsid w:val="30CE4E24"/>
    <w:rsid w:val="30E82E25"/>
    <w:rsid w:val="30F346BF"/>
    <w:rsid w:val="31115FFA"/>
    <w:rsid w:val="31677D19"/>
    <w:rsid w:val="318848EF"/>
    <w:rsid w:val="31C95E39"/>
    <w:rsid w:val="31ED132C"/>
    <w:rsid w:val="31F70023"/>
    <w:rsid w:val="31F7179F"/>
    <w:rsid w:val="31F86589"/>
    <w:rsid w:val="3209521F"/>
    <w:rsid w:val="323E4771"/>
    <w:rsid w:val="32794BE9"/>
    <w:rsid w:val="32802493"/>
    <w:rsid w:val="32F418C2"/>
    <w:rsid w:val="334D3EDF"/>
    <w:rsid w:val="336E5A3B"/>
    <w:rsid w:val="337F57B1"/>
    <w:rsid w:val="33837F92"/>
    <w:rsid w:val="33976E38"/>
    <w:rsid w:val="33BF53DA"/>
    <w:rsid w:val="33C44F2E"/>
    <w:rsid w:val="33C81CF5"/>
    <w:rsid w:val="33E7594E"/>
    <w:rsid w:val="33F52116"/>
    <w:rsid w:val="340B5AAF"/>
    <w:rsid w:val="34911605"/>
    <w:rsid w:val="34A71D15"/>
    <w:rsid w:val="34B943A0"/>
    <w:rsid w:val="34DA00F6"/>
    <w:rsid w:val="350A7422"/>
    <w:rsid w:val="350F0B4A"/>
    <w:rsid w:val="353E43F8"/>
    <w:rsid w:val="35664FED"/>
    <w:rsid w:val="356F2D6E"/>
    <w:rsid w:val="356F3D20"/>
    <w:rsid w:val="35760C37"/>
    <w:rsid w:val="35A147C9"/>
    <w:rsid w:val="35F46058"/>
    <w:rsid w:val="360A3687"/>
    <w:rsid w:val="362F4FA7"/>
    <w:rsid w:val="36301C13"/>
    <w:rsid w:val="363275B0"/>
    <w:rsid w:val="36432E5B"/>
    <w:rsid w:val="366D3CDB"/>
    <w:rsid w:val="36766A72"/>
    <w:rsid w:val="367B6D1D"/>
    <w:rsid w:val="36AF189C"/>
    <w:rsid w:val="36CF535D"/>
    <w:rsid w:val="36D56DBD"/>
    <w:rsid w:val="36DD414B"/>
    <w:rsid w:val="36E857E9"/>
    <w:rsid w:val="36F10FA1"/>
    <w:rsid w:val="371057FB"/>
    <w:rsid w:val="371A03F1"/>
    <w:rsid w:val="37353553"/>
    <w:rsid w:val="37475A82"/>
    <w:rsid w:val="375C7A0F"/>
    <w:rsid w:val="377D764C"/>
    <w:rsid w:val="37852759"/>
    <w:rsid w:val="37CB1818"/>
    <w:rsid w:val="37CC4785"/>
    <w:rsid w:val="37D93528"/>
    <w:rsid w:val="37F4771F"/>
    <w:rsid w:val="382D2531"/>
    <w:rsid w:val="382F7561"/>
    <w:rsid w:val="38551E2E"/>
    <w:rsid w:val="385665F6"/>
    <w:rsid w:val="3859415B"/>
    <w:rsid w:val="38644802"/>
    <w:rsid w:val="38853297"/>
    <w:rsid w:val="38D00668"/>
    <w:rsid w:val="38D13052"/>
    <w:rsid w:val="38E96BDA"/>
    <w:rsid w:val="38EC77D3"/>
    <w:rsid w:val="391D00D0"/>
    <w:rsid w:val="39301094"/>
    <w:rsid w:val="39613966"/>
    <w:rsid w:val="39836402"/>
    <w:rsid w:val="398B45DE"/>
    <w:rsid w:val="39D11CF1"/>
    <w:rsid w:val="39DA3ECE"/>
    <w:rsid w:val="39FB6120"/>
    <w:rsid w:val="3A0A2F1E"/>
    <w:rsid w:val="3A1219DE"/>
    <w:rsid w:val="3A2023A0"/>
    <w:rsid w:val="3A2A6A1D"/>
    <w:rsid w:val="3A4F13A4"/>
    <w:rsid w:val="3A885736"/>
    <w:rsid w:val="3AA60CCA"/>
    <w:rsid w:val="3AAC2512"/>
    <w:rsid w:val="3AD674D3"/>
    <w:rsid w:val="3B553B72"/>
    <w:rsid w:val="3B6D33B2"/>
    <w:rsid w:val="3B762CA9"/>
    <w:rsid w:val="3B8810C8"/>
    <w:rsid w:val="3C82349B"/>
    <w:rsid w:val="3C8D0B22"/>
    <w:rsid w:val="3CCF1E2D"/>
    <w:rsid w:val="3CDE4D6F"/>
    <w:rsid w:val="3CE42693"/>
    <w:rsid w:val="3D3C374B"/>
    <w:rsid w:val="3D4D28A3"/>
    <w:rsid w:val="3D5E5AD9"/>
    <w:rsid w:val="3D770F2F"/>
    <w:rsid w:val="3D8D3368"/>
    <w:rsid w:val="3D9B0F7B"/>
    <w:rsid w:val="3DE141B8"/>
    <w:rsid w:val="3E4E4435"/>
    <w:rsid w:val="3E575368"/>
    <w:rsid w:val="3E5F595D"/>
    <w:rsid w:val="3E9A728A"/>
    <w:rsid w:val="3EB77534"/>
    <w:rsid w:val="3EB836D4"/>
    <w:rsid w:val="3EBF191E"/>
    <w:rsid w:val="3ECB0DE3"/>
    <w:rsid w:val="3EEB4621"/>
    <w:rsid w:val="3EEC38BA"/>
    <w:rsid w:val="3EFB2415"/>
    <w:rsid w:val="3EFFA78E"/>
    <w:rsid w:val="3F11712E"/>
    <w:rsid w:val="3F303F82"/>
    <w:rsid w:val="3F55680E"/>
    <w:rsid w:val="3F682EC2"/>
    <w:rsid w:val="3F825D93"/>
    <w:rsid w:val="3FB967D2"/>
    <w:rsid w:val="3FF64818"/>
    <w:rsid w:val="400F0D4E"/>
    <w:rsid w:val="406560B8"/>
    <w:rsid w:val="406A6B10"/>
    <w:rsid w:val="40C23BCA"/>
    <w:rsid w:val="40CD0C98"/>
    <w:rsid w:val="412001DE"/>
    <w:rsid w:val="41562863"/>
    <w:rsid w:val="415E5D17"/>
    <w:rsid w:val="41612670"/>
    <w:rsid w:val="41A2569D"/>
    <w:rsid w:val="41B97487"/>
    <w:rsid w:val="41C51CA5"/>
    <w:rsid w:val="41D70D12"/>
    <w:rsid w:val="421E2CBC"/>
    <w:rsid w:val="42586E62"/>
    <w:rsid w:val="42802068"/>
    <w:rsid w:val="42A01F0B"/>
    <w:rsid w:val="42AB0C1E"/>
    <w:rsid w:val="42BA303D"/>
    <w:rsid w:val="42F449F5"/>
    <w:rsid w:val="430475BC"/>
    <w:rsid w:val="43180FF8"/>
    <w:rsid w:val="434A5A29"/>
    <w:rsid w:val="438A4546"/>
    <w:rsid w:val="439539B4"/>
    <w:rsid w:val="43DF365E"/>
    <w:rsid w:val="43DF730C"/>
    <w:rsid w:val="445A42DB"/>
    <w:rsid w:val="44814C4B"/>
    <w:rsid w:val="44A161C6"/>
    <w:rsid w:val="44CC3C57"/>
    <w:rsid w:val="44EE4D80"/>
    <w:rsid w:val="454071D0"/>
    <w:rsid w:val="458337E3"/>
    <w:rsid w:val="46297335"/>
    <w:rsid w:val="46313395"/>
    <w:rsid w:val="4671119F"/>
    <w:rsid w:val="46840BA8"/>
    <w:rsid w:val="46A84C02"/>
    <w:rsid w:val="46CB4A27"/>
    <w:rsid w:val="47434B7A"/>
    <w:rsid w:val="475A7751"/>
    <w:rsid w:val="47650D44"/>
    <w:rsid w:val="47694BEE"/>
    <w:rsid w:val="47A32E8A"/>
    <w:rsid w:val="48005153"/>
    <w:rsid w:val="484143C7"/>
    <w:rsid w:val="486E2CD3"/>
    <w:rsid w:val="48F57398"/>
    <w:rsid w:val="49267F27"/>
    <w:rsid w:val="49B92B0F"/>
    <w:rsid w:val="49C7069E"/>
    <w:rsid w:val="49ED651F"/>
    <w:rsid w:val="4A137F28"/>
    <w:rsid w:val="4A370777"/>
    <w:rsid w:val="4A3C1D9E"/>
    <w:rsid w:val="4A410343"/>
    <w:rsid w:val="4A626861"/>
    <w:rsid w:val="4A7543DB"/>
    <w:rsid w:val="4A8941B9"/>
    <w:rsid w:val="4A9C7F91"/>
    <w:rsid w:val="4AD65163"/>
    <w:rsid w:val="4B195F41"/>
    <w:rsid w:val="4B3111F0"/>
    <w:rsid w:val="4B48238F"/>
    <w:rsid w:val="4B61205F"/>
    <w:rsid w:val="4BBA322A"/>
    <w:rsid w:val="4BE75AA9"/>
    <w:rsid w:val="4C066AC5"/>
    <w:rsid w:val="4C3210EA"/>
    <w:rsid w:val="4C391A73"/>
    <w:rsid w:val="4C3A0D35"/>
    <w:rsid w:val="4C417F01"/>
    <w:rsid w:val="4C441340"/>
    <w:rsid w:val="4C761830"/>
    <w:rsid w:val="4CEA640F"/>
    <w:rsid w:val="4D006191"/>
    <w:rsid w:val="4D1E0B09"/>
    <w:rsid w:val="4D256130"/>
    <w:rsid w:val="4D261B2B"/>
    <w:rsid w:val="4D2910C1"/>
    <w:rsid w:val="4D291E3C"/>
    <w:rsid w:val="4D3F48BC"/>
    <w:rsid w:val="4D7E2A1D"/>
    <w:rsid w:val="4DB0784B"/>
    <w:rsid w:val="4DB24C7E"/>
    <w:rsid w:val="4DB45E77"/>
    <w:rsid w:val="4DD26C3C"/>
    <w:rsid w:val="4DFC54A8"/>
    <w:rsid w:val="4E0E3983"/>
    <w:rsid w:val="4E2C1798"/>
    <w:rsid w:val="4E6C371D"/>
    <w:rsid w:val="4E7F2A72"/>
    <w:rsid w:val="4EB70BA3"/>
    <w:rsid w:val="4EDA1A8C"/>
    <w:rsid w:val="4F0A7BFE"/>
    <w:rsid w:val="4F49163C"/>
    <w:rsid w:val="4F507EFD"/>
    <w:rsid w:val="4F7E02B1"/>
    <w:rsid w:val="4F9124B7"/>
    <w:rsid w:val="4FBA519E"/>
    <w:rsid w:val="4FBF7B0F"/>
    <w:rsid w:val="500C2576"/>
    <w:rsid w:val="500E2370"/>
    <w:rsid w:val="502511FD"/>
    <w:rsid w:val="5029176D"/>
    <w:rsid w:val="505F79EA"/>
    <w:rsid w:val="50711F28"/>
    <w:rsid w:val="507237C3"/>
    <w:rsid w:val="50D37096"/>
    <w:rsid w:val="51056288"/>
    <w:rsid w:val="51076B88"/>
    <w:rsid w:val="51363DAD"/>
    <w:rsid w:val="5146036C"/>
    <w:rsid w:val="51586F8B"/>
    <w:rsid w:val="515F5349"/>
    <w:rsid w:val="51954E9E"/>
    <w:rsid w:val="51B302BE"/>
    <w:rsid w:val="51BF6993"/>
    <w:rsid w:val="51C71D7B"/>
    <w:rsid w:val="51DE1EE2"/>
    <w:rsid w:val="51EB3E6C"/>
    <w:rsid w:val="523B423F"/>
    <w:rsid w:val="524B4437"/>
    <w:rsid w:val="52501CF6"/>
    <w:rsid w:val="526633A3"/>
    <w:rsid w:val="52AA5958"/>
    <w:rsid w:val="52C72103"/>
    <w:rsid w:val="52CB63C6"/>
    <w:rsid w:val="53071C4B"/>
    <w:rsid w:val="537C52BB"/>
    <w:rsid w:val="539332E3"/>
    <w:rsid w:val="53952FF9"/>
    <w:rsid w:val="53AD74C1"/>
    <w:rsid w:val="53F401AE"/>
    <w:rsid w:val="541E5516"/>
    <w:rsid w:val="546C5A9F"/>
    <w:rsid w:val="54C36FD8"/>
    <w:rsid w:val="54D240C9"/>
    <w:rsid w:val="54EF6E8C"/>
    <w:rsid w:val="54F47E58"/>
    <w:rsid w:val="55017659"/>
    <w:rsid w:val="55195CB9"/>
    <w:rsid w:val="55282CEE"/>
    <w:rsid w:val="556248F6"/>
    <w:rsid w:val="55681E78"/>
    <w:rsid w:val="55A278BD"/>
    <w:rsid w:val="55D1216A"/>
    <w:rsid w:val="55F2265D"/>
    <w:rsid w:val="56127761"/>
    <w:rsid w:val="561567B0"/>
    <w:rsid w:val="562E4663"/>
    <w:rsid w:val="563422B1"/>
    <w:rsid w:val="564263F9"/>
    <w:rsid w:val="564751B4"/>
    <w:rsid w:val="56503A04"/>
    <w:rsid w:val="56575043"/>
    <w:rsid w:val="567940A0"/>
    <w:rsid w:val="57045934"/>
    <w:rsid w:val="57121D7E"/>
    <w:rsid w:val="5730370D"/>
    <w:rsid w:val="57453E00"/>
    <w:rsid w:val="577DE7BE"/>
    <w:rsid w:val="57B13D57"/>
    <w:rsid w:val="57FA6084"/>
    <w:rsid w:val="582A39CF"/>
    <w:rsid w:val="583D1328"/>
    <w:rsid w:val="58496BC9"/>
    <w:rsid w:val="58B42AAA"/>
    <w:rsid w:val="58E32AAD"/>
    <w:rsid w:val="58F72F4B"/>
    <w:rsid w:val="595251BE"/>
    <w:rsid w:val="597B508A"/>
    <w:rsid w:val="59C410B1"/>
    <w:rsid w:val="59CE10DB"/>
    <w:rsid w:val="59EBEAE4"/>
    <w:rsid w:val="5A1A44A4"/>
    <w:rsid w:val="5A212C3E"/>
    <w:rsid w:val="5A430C63"/>
    <w:rsid w:val="5AB706E2"/>
    <w:rsid w:val="5B223596"/>
    <w:rsid w:val="5B231282"/>
    <w:rsid w:val="5B325E15"/>
    <w:rsid w:val="5BA97F12"/>
    <w:rsid w:val="5BDED4A1"/>
    <w:rsid w:val="5BFA6273"/>
    <w:rsid w:val="5C1346E9"/>
    <w:rsid w:val="5C283D12"/>
    <w:rsid w:val="5C5D55D0"/>
    <w:rsid w:val="5C710FE5"/>
    <w:rsid w:val="5C7E36B3"/>
    <w:rsid w:val="5C8114B0"/>
    <w:rsid w:val="5CFF3D28"/>
    <w:rsid w:val="5D2E5AF0"/>
    <w:rsid w:val="5D4F1D0E"/>
    <w:rsid w:val="5D662359"/>
    <w:rsid w:val="5D6C4811"/>
    <w:rsid w:val="5D7852B2"/>
    <w:rsid w:val="5D7E3A89"/>
    <w:rsid w:val="5DAB5AD3"/>
    <w:rsid w:val="5DB94428"/>
    <w:rsid w:val="5DD62F43"/>
    <w:rsid w:val="5DF00FA1"/>
    <w:rsid w:val="5E01408F"/>
    <w:rsid w:val="5E094191"/>
    <w:rsid w:val="5E317DD6"/>
    <w:rsid w:val="5E453FBF"/>
    <w:rsid w:val="5E5C0F5D"/>
    <w:rsid w:val="5E6E4344"/>
    <w:rsid w:val="5EA07928"/>
    <w:rsid w:val="5EC46ABA"/>
    <w:rsid w:val="5EF93785"/>
    <w:rsid w:val="5F3263C1"/>
    <w:rsid w:val="5F717C5D"/>
    <w:rsid w:val="5F784102"/>
    <w:rsid w:val="5F7F84D1"/>
    <w:rsid w:val="5F9367DD"/>
    <w:rsid w:val="5FA71DFB"/>
    <w:rsid w:val="5FB53E3C"/>
    <w:rsid w:val="5FD74C8F"/>
    <w:rsid w:val="5FE9507C"/>
    <w:rsid w:val="5FF66F97"/>
    <w:rsid w:val="603652FB"/>
    <w:rsid w:val="604D6455"/>
    <w:rsid w:val="60587FA4"/>
    <w:rsid w:val="60947D0F"/>
    <w:rsid w:val="60D27DED"/>
    <w:rsid w:val="60EF46E4"/>
    <w:rsid w:val="611A3CDF"/>
    <w:rsid w:val="6125796F"/>
    <w:rsid w:val="613561B6"/>
    <w:rsid w:val="613C7F7C"/>
    <w:rsid w:val="615078A5"/>
    <w:rsid w:val="6151218A"/>
    <w:rsid w:val="615A3BA8"/>
    <w:rsid w:val="61612259"/>
    <w:rsid w:val="617B4637"/>
    <w:rsid w:val="61A85CE5"/>
    <w:rsid w:val="61C4640D"/>
    <w:rsid w:val="61D110CD"/>
    <w:rsid w:val="61E61E9D"/>
    <w:rsid w:val="61E629CB"/>
    <w:rsid w:val="61EC2501"/>
    <w:rsid w:val="627F7E50"/>
    <w:rsid w:val="628325FF"/>
    <w:rsid w:val="628D2EB0"/>
    <w:rsid w:val="62DE614F"/>
    <w:rsid w:val="62FA64F9"/>
    <w:rsid w:val="633103E7"/>
    <w:rsid w:val="63832D01"/>
    <w:rsid w:val="63A17917"/>
    <w:rsid w:val="64247253"/>
    <w:rsid w:val="642D031A"/>
    <w:rsid w:val="646F486F"/>
    <w:rsid w:val="647D7BDF"/>
    <w:rsid w:val="648653CA"/>
    <w:rsid w:val="64B514AE"/>
    <w:rsid w:val="65320509"/>
    <w:rsid w:val="65A16B9B"/>
    <w:rsid w:val="65ED483E"/>
    <w:rsid w:val="65EF0F12"/>
    <w:rsid w:val="665964D3"/>
    <w:rsid w:val="665D0B44"/>
    <w:rsid w:val="66DF214E"/>
    <w:rsid w:val="66EF41EC"/>
    <w:rsid w:val="67225515"/>
    <w:rsid w:val="672F6E29"/>
    <w:rsid w:val="67527934"/>
    <w:rsid w:val="67683D4B"/>
    <w:rsid w:val="67690300"/>
    <w:rsid w:val="67C25F8A"/>
    <w:rsid w:val="67EB4B79"/>
    <w:rsid w:val="67F546DE"/>
    <w:rsid w:val="68262867"/>
    <w:rsid w:val="68544A9D"/>
    <w:rsid w:val="68580695"/>
    <w:rsid w:val="686F469D"/>
    <w:rsid w:val="68C51AFA"/>
    <w:rsid w:val="694758DA"/>
    <w:rsid w:val="695C37BB"/>
    <w:rsid w:val="69E75752"/>
    <w:rsid w:val="69F33F1C"/>
    <w:rsid w:val="6A07391B"/>
    <w:rsid w:val="6A3678A1"/>
    <w:rsid w:val="6A4F4DA2"/>
    <w:rsid w:val="6A6E4F4E"/>
    <w:rsid w:val="6A7B0308"/>
    <w:rsid w:val="6A8C23FE"/>
    <w:rsid w:val="6A9149CB"/>
    <w:rsid w:val="6A957110"/>
    <w:rsid w:val="6AC90186"/>
    <w:rsid w:val="6AD87989"/>
    <w:rsid w:val="6B161D94"/>
    <w:rsid w:val="6B2322F4"/>
    <w:rsid w:val="6B3903BE"/>
    <w:rsid w:val="6B4C60F4"/>
    <w:rsid w:val="6B4E67B0"/>
    <w:rsid w:val="6B4E7B82"/>
    <w:rsid w:val="6C1B7FEC"/>
    <w:rsid w:val="6C51476C"/>
    <w:rsid w:val="6C7247D9"/>
    <w:rsid w:val="6C8A4F2D"/>
    <w:rsid w:val="6CA30124"/>
    <w:rsid w:val="6CB25302"/>
    <w:rsid w:val="6CFC06D1"/>
    <w:rsid w:val="6D00398C"/>
    <w:rsid w:val="6D190644"/>
    <w:rsid w:val="6D624BFE"/>
    <w:rsid w:val="6D68124B"/>
    <w:rsid w:val="6D75606A"/>
    <w:rsid w:val="6D8474F6"/>
    <w:rsid w:val="6D9B09F9"/>
    <w:rsid w:val="6DE47D42"/>
    <w:rsid w:val="6DF27FF7"/>
    <w:rsid w:val="6DFE433A"/>
    <w:rsid w:val="6DFE5F82"/>
    <w:rsid w:val="6E2200F8"/>
    <w:rsid w:val="6E644767"/>
    <w:rsid w:val="6E8B7EE0"/>
    <w:rsid w:val="6ECF4EB9"/>
    <w:rsid w:val="6EE5301D"/>
    <w:rsid w:val="6EE97108"/>
    <w:rsid w:val="6EFB50DB"/>
    <w:rsid w:val="6F0A0A9C"/>
    <w:rsid w:val="6F101D7D"/>
    <w:rsid w:val="6F42039E"/>
    <w:rsid w:val="6F4303FB"/>
    <w:rsid w:val="6F7A02AF"/>
    <w:rsid w:val="6FA00F72"/>
    <w:rsid w:val="6FAB3E19"/>
    <w:rsid w:val="6FC11649"/>
    <w:rsid w:val="6FE74252"/>
    <w:rsid w:val="704B7DF1"/>
    <w:rsid w:val="70597F91"/>
    <w:rsid w:val="707A560C"/>
    <w:rsid w:val="70975F90"/>
    <w:rsid w:val="70BE76F0"/>
    <w:rsid w:val="711855E2"/>
    <w:rsid w:val="71277E60"/>
    <w:rsid w:val="713835DF"/>
    <w:rsid w:val="71404AD4"/>
    <w:rsid w:val="717B51DC"/>
    <w:rsid w:val="72082598"/>
    <w:rsid w:val="72917A41"/>
    <w:rsid w:val="72B74EFD"/>
    <w:rsid w:val="72BC2121"/>
    <w:rsid w:val="72C4327E"/>
    <w:rsid w:val="72CD0110"/>
    <w:rsid w:val="72D903C7"/>
    <w:rsid w:val="72E84B4D"/>
    <w:rsid w:val="72F472B9"/>
    <w:rsid w:val="7308071B"/>
    <w:rsid w:val="732E0880"/>
    <w:rsid w:val="73404A7F"/>
    <w:rsid w:val="735F6544"/>
    <w:rsid w:val="73E647B6"/>
    <w:rsid w:val="73EA381F"/>
    <w:rsid w:val="73FC20CD"/>
    <w:rsid w:val="740E2C49"/>
    <w:rsid w:val="740E6D6C"/>
    <w:rsid w:val="74242406"/>
    <w:rsid w:val="74442C1A"/>
    <w:rsid w:val="74A30015"/>
    <w:rsid w:val="74BB0D35"/>
    <w:rsid w:val="74CC7723"/>
    <w:rsid w:val="74FC7F6B"/>
    <w:rsid w:val="7537666F"/>
    <w:rsid w:val="753A4A24"/>
    <w:rsid w:val="75492FC2"/>
    <w:rsid w:val="75543C54"/>
    <w:rsid w:val="758354A7"/>
    <w:rsid w:val="7595595C"/>
    <w:rsid w:val="75E77FC7"/>
    <w:rsid w:val="75F46451"/>
    <w:rsid w:val="764106ED"/>
    <w:rsid w:val="764C498F"/>
    <w:rsid w:val="765729FD"/>
    <w:rsid w:val="767E74BE"/>
    <w:rsid w:val="76986222"/>
    <w:rsid w:val="76F7212F"/>
    <w:rsid w:val="76FE7438"/>
    <w:rsid w:val="77043E82"/>
    <w:rsid w:val="777268D6"/>
    <w:rsid w:val="77821231"/>
    <w:rsid w:val="78095693"/>
    <w:rsid w:val="785E1D80"/>
    <w:rsid w:val="78884E15"/>
    <w:rsid w:val="78AB20DC"/>
    <w:rsid w:val="78F00364"/>
    <w:rsid w:val="78F72ECB"/>
    <w:rsid w:val="79287BCD"/>
    <w:rsid w:val="793B5441"/>
    <w:rsid w:val="79403C85"/>
    <w:rsid w:val="7974113C"/>
    <w:rsid w:val="797EF26A"/>
    <w:rsid w:val="79AF4A16"/>
    <w:rsid w:val="79BD336E"/>
    <w:rsid w:val="79F80A69"/>
    <w:rsid w:val="7A8F08F6"/>
    <w:rsid w:val="7AD8194A"/>
    <w:rsid w:val="7AE64748"/>
    <w:rsid w:val="7AEAE001"/>
    <w:rsid w:val="7B0C0C7F"/>
    <w:rsid w:val="7B1C4DA1"/>
    <w:rsid w:val="7B5141AA"/>
    <w:rsid w:val="7B537D91"/>
    <w:rsid w:val="7B5854CA"/>
    <w:rsid w:val="7C4F2BCD"/>
    <w:rsid w:val="7C5014A6"/>
    <w:rsid w:val="7C7A4310"/>
    <w:rsid w:val="7CA939DC"/>
    <w:rsid w:val="7CD8458D"/>
    <w:rsid w:val="7D090751"/>
    <w:rsid w:val="7D614A09"/>
    <w:rsid w:val="7D7674C6"/>
    <w:rsid w:val="7D8145E2"/>
    <w:rsid w:val="7DA40243"/>
    <w:rsid w:val="7DAA000E"/>
    <w:rsid w:val="7DB8103B"/>
    <w:rsid w:val="7DD3780E"/>
    <w:rsid w:val="7DDB509C"/>
    <w:rsid w:val="7DFF7F7F"/>
    <w:rsid w:val="7E0A4884"/>
    <w:rsid w:val="7E0F6422"/>
    <w:rsid w:val="7E285595"/>
    <w:rsid w:val="7E3B5CCE"/>
    <w:rsid w:val="7E916D19"/>
    <w:rsid w:val="7EAD5B17"/>
    <w:rsid w:val="7EB1090F"/>
    <w:rsid w:val="7EB663A9"/>
    <w:rsid w:val="7F0662D0"/>
    <w:rsid w:val="7F196281"/>
    <w:rsid w:val="7F401D56"/>
    <w:rsid w:val="7F5A7476"/>
    <w:rsid w:val="7F687075"/>
    <w:rsid w:val="7FAB375B"/>
    <w:rsid w:val="7FAE77FD"/>
    <w:rsid w:val="7FD05F79"/>
    <w:rsid w:val="AEDFDE69"/>
    <w:rsid w:val="B5772CC4"/>
    <w:rsid w:val="B6BF0DA6"/>
    <w:rsid w:val="DB9129D7"/>
    <w:rsid w:val="DFDFC939"/>
    <w:rsid w:val="DFFF1E67"/>
    <w:rsid w:val="E7FAD86A"/>
    <w:rsid w:val="EF7F0645"/>
    <w:rsid w:val="EFCF1406"/>
    <w:rsid w:val="EFFC2FA6"/>
    <w:rsid w:val="F7F9E2D1"/>
    <w:rsid w:val="FC776074"/>
    <w:rsid w:val="FDED0C0D"/>
    <w:rsid w:val="FF79C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40" w:line="580" w:lineRule="exact"/>
      <w:ind w:left="646"/>
      <w:jc w:val="both"/>
    </w:pPr>
    <w:rPr>
      <w:rFonts w:ascii="Calibri" w:hAnsi="Calibri" w:eastAsia="宋体" w:cs="Times New Roman"/>
      <w:kern w:val="2"/>
      <w:sz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sz w:val="32"/>
    </w:rPr>
  </w:style>
  <w:style w:type="paragraph" w:styleId="6">
    <w:name w:val="heading 3"/>
    <w:basedOn w:val="1"/>
    <w:next w:val="1"/>
    <w:link w:val="23"/>
    <w:qFormat/>
    <w:uiPriority w:val="0"/>
    <w:pPr>
      <w:widowControl/>
      <w:spacing w:after="0" w:line="240" w:lineRule="auto"/>
      <w:ind w:left="0"/>
      <w:jc w:val="left"/>
      <w:outlineLvl w:val="2"/>
    </w:pPr>
    <w:rPr>
      <w:rFonts w:ascii="宋体" w:hAnsi="宋体"/>
      <w:b/>
      <w:sz w:val="27"/>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1"/>
    </w:rPr>
  </w:style>
  <w:style w:type="paragraph" w:styleId="3">
    <w:name w:val="index 8"/>
    <w:basedOn w:val="1"/>
    <w:next w:val="1"/>
    <w:qFormat/>
    <w:uiPriority w:val="0"/>
    <w:pPr>
      <w:ind w:left="1400" w:leftChars="1400"/>
    </w:pPr>
  </w:style>
  <w:style w:type="paragraph" w:styleId="7">
    <w:name w:val="Body Text"/>
    <w:basedOn w:val="1"/>
    <w:qFormat/>
    <w:uiPriority w:val="0"/>
    <w:pPr>
      <w:spacing w:after="120"/>
    </w:pPr>
  </w:style>
  <w:style w:type="paragraph" w:styleId="8">
    <w:name w:val="Body Text Indent"/>
    <w:basedOn w:val="1"/>
    <w:qFormat/>
    <w:uiPriority w:val="0"/>
    <w:pPr>
      <w:ind w:left="2603"/>
    </w:pPr>
    <w:rPr>
      <w:rFonts w:ascii="华文细黑" w:hAnsi="华文细黑" w:eastAsia="华文细黑"/>
      <w:color w:val="000000"/>
    </w:rPr>
  </w:style>
  <w:style w:type="paragraph" w:styleId="9">
    <w:name w:val="Balloon Text"/>
    <w:basedOn w:val="1"/>
    <w:link w:val="24"/>
    <w:qFormat/>
    <w:uiPriority w:val="0"/>
    <w:pPr>
      <w:spacing w:after="0" w:line="240" w:lineRule="auto"/>
    </w:pPr>
    <w:rPr>
      <w:sz w:val="18"/>
    </w:rPr>
  </w:style>
  <w:style w:type="paragraph" w:styleId="10">
    <w:name w:val="footer"/>
    <w:basedOn w:val="1"/>
    <w:link w:val="27"/>
    <w:qFormat/>
    <w:uiPriority w:val="0"/>
    <w:pPr>
      <w:tabs>
        <w:tab w:val="center" w:pos="4153"/>
        <w:tab w:val="right" w:pos="8306"/>
      </w:tabs>
      <w:snapToGrid w:val="0"/>
      <w:spacing w:line="240" w:lineRule="atLeast"/>
      <w:jc w:val="left"/>
    </w:pPr>
    <w:rPr>
      <w:sz w:val="18"/>
    </w:rPr>
  </w:style>
  <w:style w:type="paragraph" w:styleId="11">
    <w:name w:val="header"/>
    <w:basedOn w:val="1"/>
    <w:link w:val="28"/>
    <w:qFormat/>
    <w:uiPriority w:val="0"/>
    <w:pPr>
      <w:pBdr>
        <w:bottom w:val="single" w:color="auto" w:sz="6" w:space="1"/>
      </w:pBdr>
      <w:tabs>
        <w:tab w:val="center" w:pos="4153"/>
        <w:tab w:val="right" w:pos="8306"/>
      </w:tabs>
      <w:snapToGrid w:val="0"/>
      <w:spacing w:line="240" w:lineRule="atLeast"/>
      <w:jc w:val="center"/>
    </w:pPr>
    <w:rPr>
      <w:sz w:val="18"/>
    </w:rPr>
  </w:style>
  <w:style w:type="paragraph" w:styleId="12">
    <w:name w:val="toc 1"/>
    <w:basedOn w:val="1"/>
    <w:next w:val="1"/>
    <w:qFormat/>
    <w:uiPriority w:val="0"/>
    <w:pPr>
      <w:spacing w:line="380" w:lineRule="exact"/>
    </w:pPr>
  </w:style>
  <w:style w:type="paragraph" w:styleId="13">
    <w:name w:val="toc 2"/>
    <w:basedOn w:val="1"/>
    <w:next w:val="1"/>
    <w:qFormat/>
    <w:uiPriority w:val="0"/>
    <w:pPr>
      <w:tabs>
        <w:tab w:val="right" w:leader="dot" w:pos="8949"/>
      </w:tabs>
      <w:adjustRightInd w:val="0"/>
      <w:snapToGrid w:val="0"/>
      <w:spacing w:line="360" w:lineRule="auto"/>
      <w:ind w:right="420" w:rightChars="200" w:firstLine="964" w:firstLineChars="400"/>
      <w:jc w:val="distribute"/>
    </w:pPr>
    <w:rPr>
      <w:rFonts w:ascii="宋体" w:hAnsi="宋体"/>
      <w:b/>
      <w:smallCaps/>
      <w:sz w:val="24"/>
      <w:szCs w:val="24"/>
    </w:rPr>
  </w:style>
  <w:style w:type="paragraph" w:styleId="14">
    <w:name w:val="Normal (Web)"/>
    <w:basedOn w:val="1"/>
    <w:qFormat/>
    <w:uiPriority w:val="0"/>
    <w:pPr>
      <w:widowControl/>
      <w:spacing w:before="100" w:beforeAutospacing="1" w:after="100" w:afterAutospacing="1" w:line="240" w:lineRule="auto"/>
      <w:ind w:left="0"/>
      <w:jc w:val="left"/>
    </w:pPr>
    <w:rPr>
      <w:rFonts w:ascii="宋体" w:hAnsi="宋体"/>
      <w:kern w:val="0"/>
      <w:sz w:val="24"/>
    </w:rPr>
  </w:style>
  <w:style w:type="paragraph" w:styleId="15">
    <w:name w:val="Body Text First Indent 2"/>
    <w:basedOn w:val="8"/>
    <w:qFormat/>
    <w:uiPriority w:val="0"/>
    <w:pPr>
      <w:spacing w:after="120"/>
      <w:ind w:left="420" w:leftChars="200" w:firstLine="420" w:firstLineChars="200"/>
    </w:pPr>
    <w:rPr>
      <w:rFonts w:ascii="Times New Roman" w:hAnsi="Times New Roman" w:eastAsia="宋体"/>
      <w:color w:val="auto"/>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basedOn w:val="18"/>
    <w:qFormat/>
    <w:uiPriority w:val="0"/>
  </w:style>
  <w:style w:type="character" w:styleId="21">
    <w:name w:val="FollowedHyperlink"/>
    <w:basedOn w:val="18"/>
    <w:unhideWhenUsed/>
    <w:qFormat/>
    <w:uiPriority w:val="99"/>
    <w:rPr>
      <w:rFonts w:ascii="PingFang SC" w:hAnsi="PingFang SC" w:eastAsia="PingFang SC" w:cs="PingFang SC"/>
      <w:color w:val="333333"/>
      <w:sz w:val="21"/>
      <w:szCs w:val="21"/>
      <w:u w:val="none"/>
    </w:rPr>
  </w:style>
  <w:style w:type="character" w:styleId="22">
    <w:name w:val="Hyperlink"/>
    <w:qFormat/>
    <w:uiPriority w:val="0"/>
    <w:rPr>
      <w:color w:val="0000CC"/>
      <w:u w:val="single"/>
    </w:rPr>
  </w:style>
  <w:style w:type="character" w:customStyle="1" w:styleId="23">
    <w:name w:val="标题 3 字符"/>
    <w:link w:val="6"/>
    <w:qFormat/>
    <w:uiPriority w:val="0"/>
    <w:rPr>
      <w:rFonts w:ascii="宋体" w:hAnsi="宋体"/>
      <w:b/>
      <w:sz w:val="27"/>
    </w:rPr>
  </w:style>
  <w:style w:type="character" w:customStyle="1" w:styleId="24">
    <w:name w:val="批注框文本 字符"/>
    <w:link w:val="9"/>
    <w:qFormat/>
    <w:uiPriority w:val="0"/>
    <w:rPr>
      <w:kern w:val="2"/>
      <w:sz w:val="18"/>
    </w:rPr>
  </w:style>
  <w:style w:type="character" w:customStyle="1" w:styleId="25">
    <w:name w:val="注释级别 2字符"/>
    <w:link w:val="26"/>
    <w:qFormat/>
    <w:uiPriority w:val="0"/>
    <w:rPr>
      <w:sz w:val="22"/>
      <w:lang w:val="en-US" w:eastAsia="zh-CN"/>
    </w:rPr>
  </w:style>
  <w:style w:type="paragraph" w:customStyle="1" w:styleId="26">
    <w:name w:val="Note Level 2"/>
    <w:link w:val="25"/>
    <w:qFormat/>
    <w:uiPriority w:val="0"/>
    <w:rPr>
      <w:rFonts w:ascii="Calibri" w:hAnsi="Calibri" w:eastAsia="宋体" w:cs="Times New Roman"/>
      <w:sz w:val="22"/>
      <w:lang w:val="en-US" w:eastAsia="zh-CN" w:bidi="ar-SA"/>
    </w:rPr>
  </w:style>
  <w:style w:type="character" w:customStyle="1" w:styleId="27">
    <w:name w:val="页脚 字符"/>
    <w:link w:val="10"/>
    <w:qFormat/>
    <w:uiPriority w:val="0"/>
    <w:rPr>
      <w:sz w:val="18"/>
    </w:rPr>
  </w:style>
  <w:style w:type="character" w:customStyle="1" w:styleId="28">
    <w:name w:val="页眉 字符"/>
    <w:link w:val="11"/>
    <w:qFormat/>
    <w:uiPriority w:val="0"/>
    <w:rPr>
      <w:sz w:val="18"/>
    </w:rPr>
  </w:style>
  <w:style w:type="character" w:customStyle="1" w:styleId="29">
    <w:name w:val="apple-converted-space"/>
    <w:qFormat/>
    <w:uiPriority w:val="0"/>
  </w:style>
  <w:style w:type="paragraph" w:customStyle="1" w:styleId="30">
    <w:name w:val="列出段落1"/>
    <w:basedOn w:val="1"/>
    <w:qFormat/>
    <w:uiPriority w:val="0"/>
    <w:pPr>
      <w:ind w:firstLine="420" w:firstLineChars="200"/>
    </w:pPr>
  </w:style>
  <w:style w:type="paragraph" w:customStyle="1" w:styleId="31">
    <w:name w:val="List Paragraph1"/>
    <w:basedOn w:val="1"/>
    <w:qFormat/>
    <w:uiPriority w:val="0"/>
    <w:pPr>
      <w:ind w:firstLine="420" w:firstLineChars="200"/>
    </w:pPr>
  </w:style>
  <w:style w:type="paragraph" w:customStyle="1" w:styleId="32">
    <w:name w:val="彩色列表1"/>
    <w:basedOn w:val="1"/>
    <w:qFormat/>
    <w:uiPriority w:val="0"/>
    <w:pPr>
      <w:ind w:firstLine="420" w:firstLineChars="200"/>
    </w:pPr>
  </w:style>
  <w:style w:type="paragraph" w:customStyle="1" w:styleId="33">
    <w:name w:val="正文 A"/>
    <w:qFormat/>
    <w:uiPriority w:val="0"/>
    <w:pPr>
      <w:widowControl w:val="0"/>
      <w:spacing w:after="240" w:line="580" w:lineRule="exact"/>
      <w:ind w:left="646"/>
      <w:jc w:val="both"/>
    </w:pPr>
    <w:rPr>
      <w:rFonts w:ascii="Calibri" w:hAnsi="Calibri" w:eastAsia="Calibri" w:cs="Calibri"/>
      <w:color w:val="000000"/>
      <w:kern w:val="2"/>
      <w:sz w:val="21"/>
      <w:szCs w:val="21"/>
      <w:u w:color="000000"/>
      <w:lang w:val="en-US" w:eastAsia="zh-CN" w:bidi="ar-SA"/>
    </w:rPr>
  </w:style>
  <w:style w:type="paragraph" w:customStyle="1" w:styleId="34">
    <w:name w:val="正文文本1"/>
    <w:basedOn w:val="1"/>
    <w:qFormat/>
    <w:uiPriority w:val="0"/>
    <w:pPr>
      <w:spacing w:line="384" w:lineRule="auto"/>
      <w:ind w:firstLine="400"/>
    </w:pPr>
    <w:rPr>
      <w:rFonts w:ascii="宋体" w:hAnsi="宋体" w:cs="宋体"/>
      <w:sz w:val="30"/>
      <w:szCs w:val="30"/>
    </w:rPr>
  </w:style>
  <w:style w:type="character" w:customStyle="1" w:styleId="35">
    <w:name w:val="fontstyle21"/>
    <w:basedOn w:val="18"/>
    <w:qFormat/>
    <w:uiPriority w:val="0"/>
    <w:rPr>
      <w:rFonts w:ascii="FZXBSJW--GB1-0" w:hAnsi="FZXBSJW--GB1-0" w:eastAsia="FZXBSJW--GB1-0" w:cs="FZXBSJW--GB1-0"/>
      <w:color w:val="000000"/>
      <w:sz w:val="44"/>
      <w:szCs w:val="44"/>
    </w:rPr>
  </w:style>
  <w:style w:type="character" w:customStyle="1" w:styleId="36">
    <w:name w:val="fontstyle31"/>
    <w:basedOn w:val="18"/>
    <w:qFormat/>
    <w:uiPriority w:val="0"/>
    <w:rPr>
      <w:rFonts w:ascii="仿宋_GB2312" w:hAnsi="仿宋_GB2312" w:eastAsia="仿宋_GB2312" w:cs="仿宋_GB2312"/>
      <w:color w:val="000000"/>
      <w:sz w:val="32"/>
      <w:szCs w:val="32"/>
    </w:rPr>
  </w:style>
  <w:style w:type="paragraph" w:customStyle="1" w:styleId="37">
    <w:name w:val="Normal_0"/>
    <w:qFormat/>
    <w:uiPriority w:val="0"/>
    <w:rPr>
      <w:rFonts w:ascii="Times New Roman" w:hAnsi="Times New Roman" w:eastAsia="Times New Roman" w:cs="Times New Roman"/>
      <w:sz w:val="24"/>
      <w:szCs w:val="24"/>
      <w:lang w:val="en-US" w:eastAsia="zh-CN" w:bidi="ar-SA"/>
    </w:rPr>
  </w:style>
  <w:style w:type="character" w:customStyle="1" w:styleId="38">
    <w:name w:val="hover"/>
    <w:basedOn w:val="18"/>
    <w:qFormat/>
    <w:uiPriority w:val="0"/>
    <w:rPr>
      <w:shd w:val="clear" w:color="auto" w:fill="346AC3"/>
    </w:rPr>
  </w:style>
  <w:style w:type="character" w:customStyle="1" w:styleId="39">
    <w:name w:val="hover1"/>
    <w:basedOn w:val="18"/>
    <w:qFormat/>
    <w:uiPriority w:val="0"/>
    <w:rPr>
      <w:color w:val="1A85D7"/>
    </w:rPr>
  </w:style>
  <w:style w:type="character" w:customStyle="1" w:styleId="40">
    <w:name w:val="hover2"/>
    <w:basedOn w:val="18"/>
    <w:qFormat/>
    <w:uiPriority w:val="0"/>
    <w:rPr>
      <w:color w:val="4285F4"/>
      <w:u w:val="none"/>
    </w:rPr>
  </w:style>
  <w:style w:type="character" w:customStyle="1" w:styleId="41">
    <w:name w:val="hover3"/>
    <w:basedOn w:val="18"/>
    <w:qFormat/>
    <w:uiPriority w:val="0"/>
    <w:rPr>
      <w:color w:val="4285F4"/>
    </w:rPr>
  </w:style>
  <w:style w:type="character" w:customStyle="1" w:styleId="42">
    <w:name w:val="hover4"/>
    <w:basedOn w:val="18"/>
    <w:qFormat/>
    <w:uiPriority w:val="0"/>
  </w:style>
  <w:style w:type="character" w:customStyle="1" w:styleId="43">
    <w:name w:val="hover5"/>
    <w:basedOn w:val="18"/>
    <w:qFormat/>
    <w:uiPriority w:val="0"/>
    <w:rPr>
      <w:color w:val="4285F4"/>
    </w:rPr>
  </w:style>
  <w:style w:type="character" w:customStyle="1" w:styleId="44">
    <w:name w:val="credit"/>
    <w:basedOn w:val="18"/>
    <w:qFormat/>
    <w:uiPriority w:val="0"/>
    <w:rPr>
      <w:sz w:val="18"/>
      <w:szCs w:val="18"/>
    </w:rPr>
  </w:style>
  <w:style w:type="character" w:customStyle="1" w:styleId="45">
    <w:name w:val="after"/>
    <w:basedOn w:val="18"/>
    <w:qFormat/>
    <w:uiPriority w:val="0"/>
    <w:rPr>
      <w:bdr w:val="dashed" w:color="auto" w:sz="48" w:space="0"/>
    </w:rPr>
  </w:style>
  <w:style w:type="character" w:customStyle="1" w:styleId="46">
    <w:name w:val="after1"/>
    <w:basedOn w:val="18"/>
    <w:qFormat/>
    <w:uiPriority w:val="0"/>
  </w:style>
  <w:style w:type="character" w:customStyle="1" w:styleId="47">
    <w:name w:val="before"/>
    <w:basedOn w:val="18"/>
    <w:qFormat/>
    <w:uiPriority w:val="0"/>
    <w:rPr>
      <w:bdr w:val="single" w:color="auto" w:sz="48" w:space="0"/>
    </w:rPr>
  </w:style>
  <w:style w:type="character" w:customStyle="1" w:styleId="48">
    <w:name w:val="first-child"/>
    <w:basedOn w:val="18"/>
    <w:qFormat/>
    <w:uiPriority w:val="0"/>
  </w:style>
  <w:style w:type="character" w:customStyle="1" w:styleId="49">
    <w:name w:val="active4"/>
    <w:basedOn w:val="18"/>
    <w:qFormat/>
    <w:uiPriority w:val="0"/>
    <w:rPr>
      <w:color w:val="4285F4"/>
      <w:bdr w:val="single" w:color="4285F4" w:sz="6" w:space="0"/>
    </w:rPr>
  </w:style>
  <w:style w:type="character" w:customStyle="1" w:styleId="50">
    <w:name w:val="last-child1"/>
    <w:basedOn w:val="18"/>
    <w:qFormat/>
    <w:uiPriority w:val="0"/>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Table Text"/>
    <w:basedOn w:val="1"/>
    <w:semiHidden/>
    <w:qFormat/>
    <w:uiPriority w:val="0"/>
    <w:rPr>
      <w:rFonts w:ascii="宋体" w:hAnsi="宋体" w:eastAsia="宋体" w:cs="宋体"/>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C21390-58D3-4B0C-80D7-2E7086D4C81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10209</Words>
  <Characters>10725</Characters>
  <Lines>1</Lines>
  <Paragraphs>1</Paragraphs>
  <TotalTime>21</TotalTime>
  <ScaleCrop>false</ScaleCrop>
  <LinksUpToDate>false</LinksUpToDate>
  <CharactersWithSpaces>11182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2021-10-09T22:45:00Z</dcterms:created>
  <dc:creator>微软用户</dc:creator>
  <cp:lastModifiedBy>佳泽</cp:lastModifiedBy>
  <cp:lastPrinted>2021-08-19T01:17:00Z</cp:lastPrinted>
  <dcterms:modified xsi:type="dcterms:W3CDTF">2026-10-16T18:20:03Z</dcterms:modified>
  <dc:title>合同编号：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92DDE1CC9EB94362BB25580CD36034D6_13</vt:lpwstr>
  </property>
  <property fmtid="{D5CDD505-2E9C-101B-9397-08002B2CF9AE}" pid="4" name="KSOTemplateDocerSaveRecord">
    <vt:lpwstr>eyJoZGlkIjoiMzEwNTM5NzYwMDRjMzkwZTVkZjY2ODkwMGIxNGU0OTUiLCJ1c2VySWQiOiIxMTcxMzc0NDQ1In0=</vt:lpwstr>
  </property>
</Properties>
</file>