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1C466">
      <w:pPr>
        <w:spacing w:line="360" w:lineRule="auto"/>
        <w:jc w:val="center"/>
        <w:rPr>
          <w:b w:val="0"/>
          <w:bCs/>
          <w:sz w:val="44"/>
          <w:szCs w:val="44"/>
        </w:rPr>
      </w:pPr>
      <w:r>
        <w:rPr>
          <w:rFonts w:ascii="Times New Roman" w:hAnsi="Times New Roman" w:eastAsia="方正小标宋简体"/>
          <w:b w:val="0"/>
          <w:bCs/>
          <w:sz w:val="44"/>
          <w:szCs w:val="44"/>
        </w:rPr>
        <w:t>综合评分表</w:t>
      </w:r>
    </w:p>
    <w:p w14:paraId="5CD43E79">
      <w:pPr>
        <w:widowControl/>
        <w:shd w:val="clear"/>
        <w:adjustRightInd w:val="0"/>
        <w:snapToGrid w:val="0"/>
        <w:spacing w:after="0" w:line="560" w:lineRule="exact"/>
        <w:jc w:val="both"/>
        <w:rPr>
          <w:rFonts w:hint="eastAsia" w:ascii="仿宋" w:hAnsi="仿宋" w:eastAsia="仿宋" w:cs="仿宋"/>
          <w:kern w:val="2"/>
          <w:sz w:val="28"/>
          <w:szCs w:val="28"/>
          <w:lang w:val="en-US" w:eastAsia="zh-CN"/>
        </w:rPr>
      </w:pPr>
      <w:r>
        <w:rPr>
          <w:rFonts w:hint="eastAsia" w:ascii="仿宋" w:hAnsi="仿宋" w:eastAsia="仿宋" w:cs="仿宋"/>
          <w:kern w:val="2"/>
          <w:sz w:val="28"/>
          <w:szCs w:val="28"/>
          <w:lang w:val="en-US" w:eastAsia="zh-CN"/>
        </w:rPr>
        <w:t>项目名称：智慧家园项目中央空调设备维护保养及水处理服务采购</w:t>
      </w:r>
    </w:p>
    <w:p w14:paraId="072360A6">
      <w:pPr>
        <w:widowControl/>
        <w:shd w:val="clear"/>
        <w:adjustRightInd w:val="0"/>
        <w:snapToGrid w:val="0"/>
        <w:spacing w:after="0" w:line="560" w:lineRule="exact"/>
        <w:jc w:val="both"/>
        <w:rPr>
          <w:rFonts w:hint="eastAsia" w:ascii="仿宋" w:hAnsi="仿宋" w:eastAsia="仿宋" w:cs="仿宋"/>
          <w:kern w:val="2"/>
          <w:sz w:val="28"/>
          <w:szCs w:val="28"/>
          <w:lang w:val="en-US" w:eastAsia="zh-CN"/>
        </w:rPr>
      </w:pPr>
      <w:r>
        <w:rPr>
          <w:rFonts w:hint="eastAsia" w:ascii="仿宋" w:hAnsi="仿宋" w:eastAsia="仿宋" w:cs="仿宋"/>
          <w:kern w:val="2"/>
          <w:sz w:val="28"/>
          <w:szCs w:val="28"/>
          <w:lang w:val="en-US" w:eastAsia="zh-CN"/>
        </w:rPr>
        <w:t>采购控制价：72015元/年（含税）</w:t>
      </w:r>
      <w:bookmarkStart w:id="0" w:name="_GoBack"/>
      <w:bookmarkEnd w:id="0"/>
    </w:p>
    <w:p w14:paraId="0517FF36">
      <w:pPr>
        <w:jc w:val="center"/>
      </w:pPr>
    </w:p>
    <w:p w14:paraId="14775A36">
      <w:pPr>
        <w:spacing w:line="360" w:lineRule="auto"/>
        <w:jc w:val="center"/>
      </w:pPr>
      <w:r>
        <w:rPr>
          <w:rFonts w:ascii="Times New Roman" w:hAnsi="Times New Roman" w:eastAsia="仿宋"/>
          <w:b/>
          <w:sz w:val="24"/>
        </w:rPr>
        <w:t>《商务标、技术标、价格标权重表和综合得分汇总》</w:t>
      </w:r>
    </w:p>
    <w:tbl>
      <w:tblPr>
        <w:tblStyle w:val="33"/>
        <w:tblW w:w="89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436"/>
      </w:tblGrid>
      <w:tr w14:paraId="20C3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2160" w:type="dxa"/>
            <w:vAlign w:val="center"/>
          </w:tcPr>
          <w:p w14:paraId="602FE561">
            <w:pPr>
              <w:widowControl w:val="0"/>
              <w:adjustRightInd w:val="0"/>
              <w:snapToGrid w:val="0"/>
              <w:spacing w:after="0" w:line="240" w:lineRule="auto"/>
              <w:ind w:firstLine="0" w:firstLineChars="0"/>
              <w:jc w:val="center"/>
              <w:rPr>
                <w:rFonts w:hint="eastAsia" w:ascii="仿宋" w:hAnsi="仿宋" w:eastAsia="仿宋" w:cs="仿宋"/>
                <w:b/>
                <w:kern w:val="2"/>
                <w:sz w:val="21"/>
                <w:szCs w:val="21"/>
                <w:lang w:eastAsia="zh-CN"/>
              </w:rPr>
            </w:pPr>
            <w:r>
              <w:rPr>
                <w:rFonts w:hint="eastAsia" w:ascii="仿宋" w:hAnsi="仿宋" w:eastAsia="仿宋" w:cs="仿宋"/>
                <w:b/>
                <w:kern w:val="2"/>
                <w:sz w:val="21"/>
                <w:szCs w:val="21"/>
                <w:lang w:eastAsia="zh-CN"/>
              </w:rPr>
              <w:t>权重名称</w:t>
            </w:r>
          </w:p>
        </w:tc>
        <w:tc>
          <w:tcPr>
            <w:tcW w:w="2160" w:type="dxa"/>
            <w:vAlign w:val="center"/>
          </w:tcPr>
          <w:p w14:paraId="0AA063F9">
            <w:pPr>
              <w:widowControl w:val="0"/>
              <w:adjustRightInd w:val="0"/>
              <w:snapToGrid w:val="0"/>
              <w:spacing w:after="0" w:line="240" w:lineRule="auto"/>
              <w:ind w:firstLine="0" w:firstLineChars="0"/>
              <w:jc w:val="center"/>
              <w:rPr>
                <w:rFonts w:hint="eastAsia" w:ascii="仿宋" w:hAnsi="仿宋" w:eastAsia="仿宋" w:cs="仿宋"/>
                <w:b/>
                <w:kern w:val="2"/>
                <w:sz w:val="21"/>
                <w:szCs w:val="21"/>
                <w:lang w:eastAsia="zh-CN"/>
              </w:rPr>
            </w:pPr>
            <w:r>
              <w:rPr>
                <w:rFonts w:hint="eastAsia" w:ascii="仿宋" w:hAnsi="仿宋" w:eastAsia="仿宋" w:cs="仿宋"/>
                <w:b/>
                <w:kern w:val="2"/>
                <w:sz w:val="21"/>
                <w:szCs w:val="21"/>
                <w:lang w:eastAsia="zh-CN"/>
              </w:rPr>
              <w:t>价格权重</w:t>
            </w:r>
          </w:p>
        </w:tc>
        <w:tc>
          <w:tcPr>
            <w:tcW w:w="2160" w:type="dxa"/>
            <w:vAlign w:val="center"/>
          </w:tcPr>
          <w:p w14:paraId="5A8C217B">
            <w:pPr>
              <w:widowControl w:val="0"/>
              <w:adjustRightInd w:val="0"/>
              <w:snapToGrid w:val="0"/>
              <w:spacing w:after="0" w:line="240" w:lineRule="auto"/>
              <w:ind w:firstLine="0" w:firstLineChars="0"/>
              <w:jc w:val="center"/>
              <w:rPr>
                <w:rFonts w:hint="eastAsia" w:ascii="仿宋" w:hAnsi="仿宋" w:eastAsia="仿宋" w:cs="仿宋"/>
                <w:b/>
                <w:kern w:val="2"/>
                <w:sz w:val="21"/>
                <w:szCs w:val="21"/>
                <w:lang w:eastAsia="zh-CN"/>
              </w:rPr>
            </w:pPr>
            <w:r>
              <w:rPr>
                <w:rFonts w:hint="eastAsia" w:ascii="仿宋" w:hAnsi="仿宋" w:eastAsia="仿宋" w:cs="仿宋"/>
                <w:b/>
                <w:kern w:val="2"/>
                <w:sz w:val="21"/>
                <w:szCs w:val="21"/>
                <w:lang w:eastAsia="zh-CN"/>
              </w:rPr>
              <w:t>商务权重</w:t>
            </w:r>
          </w:p>
        </w:tc>
        <w:tc>
          <w:tcPr>
            <w:tcW w:w="2436" w:type="dxa"/>
            <w:vAlign w:val="center"/>
          </w:tcPr>
          <w:p w14:paraId="795D4147">
            <w:pPr>
              <w:widowControl w:val="0"/>
              <w:adjustRightInd w:val="0"/>
              <w:snapToGrid w:val="0"/>
              <w:spacing w:after="0" w:line="240" w:lineRule="auto"/>
              <w:ind w:firstLine="0" w:firstLineChars="0"/>
              <w:jc w:val="center"/>
              <w:rPr>
                <w:rFonts w:hint="eastAsia" w:ascii="仿宋" w:hAnsi="仿宋" w:eastAsia="仿宋" w:cs="仿宋"/>
                <w:b/>
                <w:kern w:val="2"/>
                <w:sz w:val="21"/>
                <w:szCs w:val="21"/>
                <w:lang w:eastAsia="zh-CN"/>
              </w:rPr>
            </w:pPr>
            <w:r>
              <w:rPr>
                <w:rFonts w:hint="eastAsia" w:ascii="仿宋" w:hAnsi="仿宋" w:eastAsia="仿宋" w:cs="仿宋"/>
                <w:b/>
                <w:kern w:val="2"/>
                <w:sz w:val="21"/>
                <w:szCs w:val="21"/>
                <w:lang w:eastAsia="zh-CN"/>
              </w:rPr>
              <w:t>技术权重</w:t>
            </w:r>
          </w:p>
        </w:tc>
      </w:tr>
      <w:tr w14:paraId="69AD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2160" w:type="dxa"/>
            <w:vAlign w:val="center"/>
          </w:tcPr>
          <w:p w14:paraId="75C5AB58">
            <w:pPr>
              <w:spacing w:after="0" w:line="240" w:lineRule="auto"/>
              <w:jc w:val="center"/>
            </w:pPr>
            <w:r>
              <w:rPr>
                <w:rFonts w:ascii="Times New Roman" w:hAnsi="Times New Roman" w:eastAsia="仿宋"/>
                <w:sz w:val="24"/>
              </w:rPr>
              <w:t>权重</w:t>
            </w:r>
          </w:p>
        </w:tc>
        <w:tc>
          <w:tcPr>
            <w:tcW w:w="2160" w:type="dxa"/>
            <w:vAlign w:val="center"/>
          </w:tcPr>
          <w:p w14:paraId="6F12E3D7">
            <w:pPr>
              <w:spacing w:after="0" w:line="240" w:lineRule="auto"/>
              <w:jc w:val="center"/>
            </w:pPr>
            <w:r>
              <w:rPr>
                <w:rFonts w:ascii="Times New Roman" w:hAnsi="Times New Roman" w:eastAsia="仿宋"/>
                <w:sz w:val="24"/>
              </w:rPr>
              <w:t>2</w:t>
            </w:r>
            <w:r>
              <w:rPr>
                <w:rFonts w:hint="eastAsia"/>
                <w:sz w:val="24"/>
                <w:lang w:val="en-US" w:eastAsia="zh-CN"/>
              </w:rPr>
              <w:t>5</w:t>
            </w:r>
            <w:r>
              <w:rPr>
                <w:rFonts w:ascii="Times New Roman" w:hAnsi="Times New Roman" w:eastAsia="仿宋"/>
                <w:sz w:val="24"/>
              </w:rPr>
              <w:t>%</w:t>
            </w:r>
          </w:p>
        </w:tc>
        <w:tc>
          <w:tcPr>
            <w:tcW w:w="2160" w:type="dxa"/>
            <w:vAlign w:val="center"/>
          </w:tcPr>
          <w:p w14:paraId="01FB80A0">
            <w:pPr>
              <w:spacing w:after="0" w:line="240" w:lineRule="auto"/>
              <w:jc w:val="center"/>
            </w:pPr>
            <w:r>
              <w:rPr>
                <w:rFonts w:hint="eastAsia"/>
                <w:sz w:val="24"/>
                <w:lang w:val="en-US" w:eastAsia="zh-CN"/>
              </w:rPr>
              <w:t>50</w:t>
            </w:r>
            <w:r>
              <w:rPr>
                <w:rFonts w:ascii="Times New Roman" w:hAnsi="Times New Roman" w:eastAsia="仿宋"/>
                <w:sz w:val="24"/>
              </w:rPr>
              <w:t>%</w:t>
            </w:r>
          </w:p>
        </w:tc>
        <w:tc>
          <w:tcPr>
            <w:tcW w:w="2436" w:type="dxa"/>
            <w:vAlign w:val="center"/>
          </w:tcPr>
          <w:p w14:paraId="506FB51F">
            <w:pPr>
              <w:spacing w:after="0" w:line="240" w:lineRule="auto"/>
              <w:jc w:val="center"/>
            </w:pPr>
            <w:r>
              <w:rPr>
                <w:rFonts w:hint="eastAsia"/>
                <w:sz w:val="24"/>
                <w:lang w:val="en-US" w:eastAsia="zh-CN"/>
              </w:rPr>
              <w:t>25</w:t>
            </w:r>
            <w:r>
              <w:rPr>
                <w:rFonts w:ascii="Times New Roman" w:hAnsi="Times New Roman" w:eastAsia="仿宋"/>
                <w:sz w:val="24"/>
              </w:rPr>
              <w:t>%</w:t>
            </w:r>
          </w:p>
        </w:tc>
      </w:tr>
    </w:tbl>
    <w:p w14:paraId="516CE141">
      <w:pPr>
        <w:spacing w:line="360" w:lineRule="auto"/>
        <w:rPr>
          <w:rFonts w:ascii="Times New Roman" w:hAnsi="Times New Roman" w:eastAsia="仿宋"/>
          <w:b w:val="0"/>
          <w:sz w:val="24"/>
        </w:rPr>
      </w:pPr>
      <w:r>
        <w:rPr>
          <w:rFonts w:ascii="Times New Roman" w:hAnsi="Times New Roman" w:eastAsia="仿宋"/>
          <w:b w:val="0"/>
          <w:sz w:val="24"/>
        </w:rPr>
        <w:t>投标人综合得分＝价格标得分＋商务标得分＋技术标得分＝100分</w:t>
      </w:r>
    </w:p>
    <w:p w14:paraId="582DDC60">
      <w:pPr>
        <w:pStyle w:val="2"/>
      </w:pPr>
    </w:p>
    <w:tbl>
      <w:tblPr>
        <w:tblStyle w:val="33"/>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1446"/>
        <w:gridCol w:w="1509"/>
        <w:gridCol w:w="636"/>
        <w:gridCol w:w="4870"/>
      </w:tblGrid>
      <w:tr w14:paraId="1B5B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590" w:type="dxa"/>
            <w:vAlign w:val="center"/>
          </w:tcPr>
          <w:p w14:paraId="50C388EF">
            <w:pPr>
              <w:widowControl w:val="0"/>
              <w:spacing w:after="0" w:line="240" w:lineRule="auto"/>
              <w:jc w:val="center"/>
              <w:rPr>
                <w:rFonts w:hint="eastAsia" w:ascii="仿宋" w:hAnsi="仿宋" w:eastAsia="仿宋" w:cs="仿宋"/>
                <w:b/>
                <w:bCs/>
                <w:color w:val="000000" w:themeColor="text1"/>
                <w:kern w:val="2"/>
                <w:sz w:val="22"/>
                <w:szCs w:val="22"/>
                <w:lang w:val="en-US" w:eastAsia="zh-CN" w:bidi="ar-SA"/>
                <w14:textFill>
                  <w14:solidFill>
                    <w14:schemeClr w14:val="tx1"/>
                  </w14:solidFill>
                </w14:textFill>
              </w:rPr>
            </w:pPr>
            <w:r>
              <w:rPr>
                <w:rFonts w:hint="eastAsia" w:ascii="仿宋" w:hAnsi="仿宋" w:eastAsia="仿宋" w:cs="仿宋"/>
                <w:b/>
                <w:bCs/>
                <w:color w:val="000000" w:themeColor="text1"/>
                <w:kern w:val="2"/>
                <w:sz w:val="22"/>
                <w:szCs w:val="22"/>
                <w:lang w:val="en-US" w:eastAsia="zh-CN" w:bidi="ar-SA"/>
                <w14:textFill>
                  <w14:solidFill>
                    <w14:schemeClr w14:val="tx1"/>
                  </w14:solidFill>
                </w14:textFill>
              </w:rPr>
              <w:t>序号</w:t>
            </w:r>
          </w:p>
        </w:tc>
        <w:tc>
          <w:tcPr>
            <w:tcW w:w="1446" w:type="dxa"/>
            <w:vAlign w:val="center"/>
          </w:tcPr>
          <w:p w14:paraId="21B005F5">
            <w:pPr>
              <w:widowControl w:val="0"/>
              <w:spacing w:after="0" w:line="240" w:lineRule="auto"/>
              <w:jc w:val="center"/>
              <w:rPr>
                <w:rFonts w:hint="eastAsia" w:ascii="仿宋" w:hAnsi="仿宋" w:eastAsia="仿宋" w:cs="仿宋"/>
                <w:b/>
                <w:bCs/>
                <w:color w:val="000000" w:themeColor="text1"/>
                <w:kern w:val="2"/>
                <w:sz w:val="22"/>
                <w:szCs w:val="22"/>
                <w:lang w:val="en-US" w:eastAsia="zh-CN" w:bidi="ar-SA"/>
                <w14:textFill>
                  <w14:solidFill>
                    <w14:schemeClr w14:val="tx1"/>
                  </w14:solidFill>
                </w14:textFill>
              </w:rPr>
            </w:pPr>
            <w:r>
              <w:rPr>
                <w:rFonts w:hint="eastAsia" w:ascii="仿宋" w:hAnsi="仿宋" w:eastAsia="仿宋" w:cs="仿宋"/>
                <w:b/>
                <w:bCs/>
                <w:color w:val="000000" w:themeColor="text1"/>
                <w:kern w:val="2"/>
                <w:sz w:val="22"/>
                <w:szCs w:val="22"/>
                <w:lang w:val="en-US" w:eastAsia="zh-CN" w:bidi="ar-SA"/>
                <w14:textFill>
                  <w14:solidFill>
                    <w14:schemeClr w14:val="tx1"/>
                  </w14:solidFill>
                </w14:textFill>
              </w:rPr>
              <w:t>评分因素及权重</w:t>
            </w:r>
          </w:p>
        </w:tc>
        <w:tc>
          <w:tcPr>
            <w:tcW w:w="1509" w:type="dxa"/>
            <w:vAlign w:val="center"/>
          </w:tcPr>
          <w:p w14:paraId="1B7EB463">
            <w:pPr>
              <w:widowControl w:val="0"/>
              <w:spacing w:after="0" w:line="240" w:lineRule="auto"/>
              <w:jc w:val="center"/>
              <w:rPr>
                <w:rFonts w:hint="eastAsia" w:ascii="仿宋" w:hAnsi="仿宋" w:eastAsia="仿宋" w:cs="仿宋"/>
                <w:b/>
                <w:bCs/>
                <w:color w:val="000000" w:themeColor="text1"/>
                <w:kern w:val="2"/>
                <w:sz w:val="22"/>
                <w:szCs w:val="22"/>
                <w:lang w:val="en-US" w:eastAsia="zh-CN" w:bidi="ar-SA"/>
                <w14:textFill>
                  <w14:solidFill>
                    <w14:schemeClr w14:val="tx1"/>
                  </w14:solidFill>
                </w14:textFill>
              </w:rPr>
            </w:pPr>
            <w:r>
              <w:rPr>
                <w:rFonts w:hint="eastAsia" w:ascii="仿宋" w:hAnsi="仿宋" w:eastAsia="仿宋" w:cs="仿宋"/>
                <w:b/>
                <w:bCs/>
                <w:color w:val="000000" w:themeColor="text1"/>
                <w:kern w:val="2"/>
                <w:sz w:val="22"/>
                <w:szCs w:val="22"/>
                <w:lang w:val="en-US" w:eastAsia="zh-CN" w:bidi="ar-SA"/>
                <w14:textFill>
                  <w14:solidFill>
                    <w14:schemeClr w14:val="tx1"/>
                  </w14:solidFill>
                </w14:textFill>
              </w:rPr>
              <w:t>评分内容</w:t>
            </w:r>
          </w:p>
        </w:tc>
        <w:tc>
          <w:tcPr>
            <w:tcW w:w="636" w:type="dxa"/>
            <w:vAlign w:val="center"/>
          </w:tcPr>
          <w:p w14:paraId="389ED86F">
            <w:pPr>
              <w:widowControl w:val="0"/>
              <w:spacing w:after="0" w:line="240" w:lineRule="auto"/>
              <w:jc w:val="center"/>
              <w:rPr>
                <w:rFonts w:hint="eastAsia" w:ascii="仿宋" w:hAnsi="仿宋" w:eastAsia="仿宋" w:cs="仿宋"/>
                <w:b/>
                <w:bCs/>
                <w:color w:val="000000" w:themeColor="text1"/>
                <w:kern w:val="2"/>
                <w:sz w:val="22"/>
                <w:szCs w:val="22"/>
                <w:lang w:val="en-US" w:eastAsia="zh-CN" w:bidi="ar-SA"/>
                <w14:textFill>
                  <w14:solidFill>
                    <w14:schemeClr w14:val="tx1"/>
                  </w14:solidFill>
                </w14:textFill>
              </w:rPr>
            </w:pPr>
            <w:r>
              <w:rPr>
                <w:rFonts w:hint="eastAsia" w:ascii="仿宋" w:hAnsi="仿宋" w:eastAsia="仿宋" w:cs="仿宋"/>
                <w:b/>
                <w:bCs/>
                <w:color w:val="000000" w:themeColor="text1"/>
                <w:kern w:val="2"/>
                <w:sz w:val="22"/>
                <w:szCs w:val="22"/>
                <w:lang w:val="en-US" w:eastAsia="zh-CN" w:bidi="ar-SA"/>
                <w14:textFill>
                  <w14:solidFill>
                    <w14:schemeClr w14:val="tx1"/>
                  </w14:solidFill>
                </w14:textFill>
              </w:rPr>
              <w:t>满分</w:t>
            </w:r>
          </w:p>
        </w:tc>
        <w:tc>
          <w:tcPr>
            <w:tcW w:w="4870" w:type="dxa"/>
            <w:vAlign w:val="center"/>
          </w:tcPr>
          <w:p w14:paraId="67C83386">
            <w:pPr>
              <w:widowControl w:val="0"/>
              <w:spacing w:after="0" w:line="240" w:lineRule="auto"/>
              <w:jc w:val="center"/>
              <w:rPr>
                <w:rFonts w:hint="eastAsia" w:ascii="仿宋" w:hAnsi="仿宋" w:eastAsia="仿宋" w:cs="仿宋"/>
                <w:b/>
                <w:bCs/>
                <w:color w:val="000000" w:themeColor="text1"/>
                <w:kern w:val="2"/>
                <w:sz w:val="22"/>
                <w:szCs w:val="22"/>
                <w:lang w:val="en-US" w:eastAsia="zh-CN" w:bidi="ar-SA"/>
                <w14:textFill>
                  <w14:solidFill>
                    <w14:schemeClr w14:val="tx1"/>
                  </w14:solidFill>
                </w14:textFill>
              </w:rPr>
            </w:pPr>
            <w:r>
              <w:rPr>
                <w:rFonts w:hint="eastAsia" w:ascii="仿宋" w:hAnsi="仿宋" w:eastAsia="仿宋" w:cs="仿宋"/>
                <w:b/>
                <w:bCs/>
                <w:color w:val="000000" w:themeColor="text1"/>
                <w:kern w:val="2"/>
                <w:sz w:val="22"/>
                <w:szCs w:val="22"/>
                <w:lang w:val="en-US" w:eastAsia="zh-CN" w:bidi="ar-SA"/>
                <w14:textFill>
                  <w14:solidFill>
                    <w14:schemeClr w14:val="tx1"/>
                  </w14:solidFill>
                </w14:textFill>
              </w:rPr>
              <w:t>评分细则</w:t>
            </w:r>
          </w:p>
        </w:tc>
      </w:tr>
      <w:tr w14:paraId="1CC5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590" w:type="dxa"/>
            <w:vMerge w:val="restart"/>
            <w:vAlign w:val="center"/>
          </w:tcPr>
          <w:p w14:paraId="35216B3B">
            <w:pPr>
              <w:spacing w:after="0" w:line="312" w:lineRule="auto"/>
              <w:jc w:val="center"/>
            </w:pPr>
            <w:r>
              <w:rPr>
                <w:rFonts w:ascii="Times New Roman" w:hAnsi="Times New Roman" w:eastAsia="仿宋"/>
                <w:b/>
                <w:sz w:val="21"/>
              </w:rPr>
              <w:t>1</w:t>
            </w:r>
          </w:p>
        </w:tc>
        <w:tc>
          <w:tcPr>
            <w:tcW w:w="1446" w:type="dxa"/>
            <w:vMerge w:val="restart"/>
            <w:vAlign w:val="center"/>
          </w:tcPr>
          <w:p w14:paraId="60FE347D">
            <w:pPr>
              <w:spacing w:after="0" w:line="312" w:lineRule="auto"/>
              <w:jc w:val="center"/>
            </w:pPr>
            <w:r>
              <w:rPr>
                <w:rFonts w:ascii="Times New Roman" w:hAnsi="Times New Roman" w:eastAsia="仿宋"/>
                <w:b/>
                <w:sz w:val="21"/>
              </w:rPr>
              <w:t>价格评分</w:t>
            </w:r>
          </w:p>
          <w:p w14:paraId="5BF45D10">
            <w:pPr>
              <w:spacing w:after="0" w:line="312" w:lineRule="auto"/>
              <w:jc w:val="center"/>
            </w:pPr>
            <w:r>
              <w:rPr>
                <w:rFonts w:ascii="Times New Roman" w:hAnsi="Times New Roman" w:eastAsia="仿宋"/>
                <w:b/>
                <w:sz w:val="21"/>
              </w:rPr>
              <w:t>（2</w:t>
            </w:r>
            <w:r>
              <w:rPr>
                <w:rFonts w:hint="eastAsia"/>
                <w:b/>
                <w:sz w:val="21"/>
                <w:lang w:val="en-US" w:eastAsia="zh-CN"/>
              </w:rPr>
              <w:t>5</w:t>
            </w:r>
            <w:r>
              <w:rPr>
                <w:rFonts w:ascii="Times New Roman" w:hAnsi="Times New Roman" w:eastAsia="仿宋"/>
                <w:b/>
                <w:sz w:val="21"/>
              </w:rPr>
              <w:t>%）</w:t>
            </w:r>
          </w:p>
        </w:tc>
        <w:tc>
          <w:tcPr>
            <w:tcW w:w="1509" w:type="dxa"/>
            <w:vAlign w:val="center"/>
          </w:tcPr>
          <w:p w14:paraId="2D7326EE">
            <w:pPr>
              <w:spacing w:after="0" w:line="312" w:lineRule="auto"/>
              <w:jc w:val="center"/>
            </w:pPr>
            <w:r>
              <w:rPr>
                <w:rFonts w:ascii="Times New Roman" w:hAnsi="Times New Roman" w:eastAsia="仿宋"/>
                <w:b w:val="0"/>
                <w:sz w:val="21"/>
              </w:rPr>
              <w:t>投标报价</w:t>
            </w:r>
          </w:p>
        </w:tc>
        <w:tc>
          <w:tcPr>
            <w:tcW w:w="636" w:type="dxa"/>
            <w:vAlign w:val="center"/>
          </w:tcPr>
          <w:p w14:paraId="2BB8D24A">
            <w:pPr>
              <w:spacing w:after="0" w:line="312" w:lineRule="auto"/>
              <w:jc w:val="center"/>
              <w:rPr>
                <w:rFonts w:hint="default"/>
                <w:lang w:val="en-US"/>
              </w:rPr>
            </w:pPr>
            <w:r>
              <w:rPr>
                <w:rFonts w:hint="eastAsia"/>
                <w:b w:val="0"/>
                <w:sz w:val="21"/>
                <w:lang w:val="en-US" w:eastAsia="zh-CN"/>
              </w:rPr>
              <w:t>20</w:t>
            </w:r>
          </w:p>
        </w:tc>
        <w:tc>
          <w:tcPr>
            <w:tcW w:w="4870" w:type="dxa"/>
            <w:vAlign w:val="center"/>
          </w:tcPr>
          <w:p w14:paraId="1B9FB409">
            <w:pPr>
              <w:spacing w:after="0" w:line="312" w:lineRule="auto"/>
            </w:pPr>
            <w:r>
              <w:rPr>
                <w:rFonts w:ascii="Times New Roman" w:hAnsi="Times New Roman" w:eastAsia="仿宋"/>
                <w:b w:val="0"/>
                <w:sz w:val="21"/>
              </w:rPr>
              <w:t>1．价格分统一采用低价优先法计算，即满足招标文件要求且投标价格最低的投标报价为评标基准价，其价格分为满分。</w:t>
            </w:r>
          </w:p>
          <w:p w14:paraId="20B2F740">
            <w:pPr>
              <w:spacing w:after="0" w:line="312" w:lineRule="auto"/>
            </w:pPr>
            <w:r>
              <w:rPr>
                <w:rFonts w:ascii="Times New Roman" w:hAnsi="Times New Roman" w:eastAsia="仿宋"/>
                <w:b w:val="0"/>
                <w:sz w:val="21"/>
              </w:rPr>
              <w:t>2．其他投标人的价格分统一按照下列公式计算：投标报价得分＝（评标基准价÷投标报价）×</w:t>
            </w:r>
            <w:r>
              <w:rPr>
                <w:rFonts w:hint="eastAsia"/>
                <w:b w:val="0"/>
                <w:sz w:val="21"/>
                <w:lang w:val="en-US" w:eastAsia="zh-CN"/>
              </w:rPr>
              <w:t>20</w:t>
            </w:r>
            <w:r>
              <w:rPr>
                <w:rFonts w:ascii="Times New Roman" w:hAnsi="Times New Roman" w:eastAsia="仿宋"/>
                <w:b w:val="0"/>
                <w:sz w:val="21"/>
              </w:rPr>
              <w:t>。</w:t>
            </w:r>
          </w:p>
        </w:tc>
      </w:tr>
      <w:tr w14:paraId="57AA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0" w:type="dxa"/>
            <w:vMerge w:val="continue"/>
          </w:tcPr>
          <w:p w14:paraId="7647AC30">
            <w:pPr>
              <w:spacing w:after="0" w:line="240" w:lineRule="auto"/>
            </w:pPr>
          </w:p>
        </w:tc>
        <w:tc>
          <w:tcPr>
            <w:tcW w:w="1446" w:type="dxa"/>
            <w:vMerge w:val="continue"/>
          </w:tcPr>
          <w:p w14:paraId="3DEFF603">
            <w:pPr>
              <w:spacing w:after="0" w:line="240" w:lineRule="auto"/>
            </w:pPr>
          </w:p>
        </w:tc>
        <w:tc>
          <w:tcPr>
            <w:tcW w:w="1509" w:type="dxa"/>
            <w:vAlign w:val="center"/>
          </w:tcPr>
          <w:p w14:paraId="4689253E">
            <w:pPr>
              <w:spacing w:after="0" w:line="312" w:lineRule="auto"/>
              <w:jc w:val="center"/>
            </w:pPr>
            <w:r>
              <w:rPr>
                <w:rFonts w:hint="eastAsia"/>
                <w:sz w:val="21"/>
              </w:rPr>
              <w:t>单次配件免 费更换价格</w:t>
            </w:r>
          </w:p>
        </w:tc>
        <w:tc>
          <w:tcPr>
            <w:tcW w:w="636" w:type="dxa"/>
            <w:vAlign w:val="center"/>
          </w:tcPr>
          <w:p w14:paraId="5863C1A2">
            <w:pPr>
              <w:spacing w:after="0" w:line="312" w:lineRule="auto"/>
              <w:jc w:val="center"/>
            </w:pPr>
            <w:r>
              <w:rPr>
                <w:rFonts w:ascii="Times New Roman" w:hAnsi="Times New Roman" w:eastAsia="仿宋"/>
                <w:b w:val="0"/>
                <w:sz w:val="21"/>
              </w:rPr>
              <w:t>5</w:t>
            </w:r>
          </w:p>
        </w:tc>
        <w:tc>
          <w:tcPr>
            <w:tcW w:w="4870" w:type="dxa"/>
            <w:vAlign w:val="center"/>
          </w:tcPr>
          <w:p w14:paraId="3F50DC28">
            <w:pPr>
              <w:spacing w:after="0" w:line="312" w:lineRule="auto"/>
              <w:rPr>
                <w:rFonts w:hint="eastAsia"/>
                <w:sz w:val="21"/>
              </w:rPr>
            </w:pPr>
            <w:r>
              <w:rPr>
                <w:rFonts w:ascii="Times New Roman" w:hAnsi="Times New Roman" w:eastAsia="仿宋"/>
                <w:b w:val="0"/>
                <w:sz w:val="21"/>
              </w:rPr>
              <w:t>1．</w:t>
            </w:r>
            <w:r>
              <w:rPr>
                <w:rFonts w:hint="eastAsia"/>
                <w:sz w:val="21"/>
              </w:rPr>
              <w:t>单次配件免费更换价格不少于xxx元，当次</w:t>
            </w:r>
          </w:p>
          <w:p w14:paraId="50F0F581">
            <w:pPr>
              <w:spacing w:after="0" w:line="312" w:lineRule="auto"/>
            </w:pPr>
            <w:r>
              <w:rPr>
                <w:rFonts w:hint="eastAsia"/>
                <w:sz w:val="21"/>
              </w:rPr>
              <w:t>配件免费更换价格最高的投标报价为评标基准价，其价格分为满分。</w:t>
            </w:r>
          </w:p>
          <w:p w14:paraId="2DA0BB69">
            <w:pPr>
              <w:spacing w:after="0" w:line="312" w:lineRule="auto"/>
            </w:pPr>
            <w:r>
              <w:rPr>
                <w:rFonts w:ascii="Times New Roman" w:hAnsi="Times New Roman" w:eastAsia="仿宋"/>
                <w:b w:val="0"/>
                <w:sz w:val="21"/>
              </w:rPr>
              <w:t>2．承诺值最高的为该项基准值，得满分；其他投标人得分＝（承诺值÷基准值）×5。</w:t>
            </w:r>
          </w:p>
          <w:p w14:paraId="7A966769">
            <w:pPr>
              <w:spacing w:after="0" w:line="312" w:lineRule="auto"/>
            </w:pPr>
            <w:r>
              <w:rPr>
                <w:rFonts w:ascii="Times New Roman" w:hAnsi="Times New Roman" w:eastAsia="仿宋"/>
                <w:b w:val="0"/>
                <w:sz w:val="21"/>
              </w:rPr>
              <w:t>3．未填报承诺值的，本项得0分。承诺值一经填报，即写入合同并作为履约考核依据。</w:t>
            </w:r>
          </w:p>
        </w:tc>
      </w:tr>
      <w:tr w14:paraId="1DA5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Merge w:val="restart"/>
            <w:vAlign w:val="center"/>
          </w:tcPr>
          <w:p w14:paraId="07F13628">
            <w:pPr>
              <w:spacing w:after="0" w:line="312" w:lineRule="auto"/>
              <w:jc w:val="center"/>
            </w:pPr>
            <w:r>
              <w:rPr>
                <w:rFonts w:ascii="Times New Roman" w:hAnsi="Times New Roman" w:eastAsia="仿宋"/>
                <w:b/>
                <w:sz w:val="21"/>
              </w:rPr>
              <w:t>2</w:t>
            </w:r>
          </w:p>
        </w:tc>
        <w:tc>
          <w:tcPr>
            <w:tcW w:w="1446" w:type="dxa"/>
            <w:vMerge w:val="restart"/>
            <w:vAlign w:val="center"/>
          </w:tcPr>
          <w:p w14:paraId="58E3EDF4">
            <w:pPr>
              <w:spacing w:after="0" w:line="312" w:lineRule="auto"/>
              <w:jc w:val="center"/>
            </w:pPr>
            <w:r>
              <w:rPr>
                <w:rFonts w:ascii="Times New Roman" w:hAnsi="Times New Roman" w:eastAsia="仿宋"/>
                <w:b/>
                <w:sz w:val="21"/>
              </w:rPr>
              <w:t>商务评分</w:t>
            </w:r>
          </w:p>
          <w:p w14:paraId="3FAD652E">
            <w:pPr>
              <w:spacing w:after="0" w:line="312" w:lineRule="auto"/>
              <w:jc w:val="center"/>
            </w:pPr>
            <w:r>
              <w:rPr>
                <w:rFonts w:ascii="Times New Roman" w:hAnsi="Times New Roman" w:eastAsia="仿宋"/>
                <w:b/>
                <w:sz w:val="21"/>
              </w:rPr>
              <w:t>（</w:t>
            </w:r>
            <w:r>
              <w:rPr>
                <w:rFonts w:hint="eastAsia"/>
                <w:b/>
                <w:sz w:val="21"/>
                <w:lang w:val="en-US" w:eastAsia="zh-CN"/>
              </w:rPr>
              <w:t>50</w:t>
            </w:r>
            <w:r>
              <w:rPr>
                <w:rFonts w:ascii="Times New Roman" w:hAnsi="Times New Roman" w:eastAsia="仿宋"/>
                <w:b/>
                <w:sz w:val="21"/>
              </w:rPr>
              <w:t>%）</w:t>
            </w:r>
          </w:p>
        </w:tc>
        <w:tc>
          <w:tcPr>
            <w:tcW w:w="1509" w:type="dxa"/>
            <w:vAlign w:val="center"/>
          </w:tcPr>
          <w:p w14:paraId="22FC8825">
            <w:pPr>
              <w:spacing w:after="0" w:line="312" w:lineRule="auto"/>
              <w:jc w:val="center"/>
            </w:pPr>
            <w:r>
              <w:rPr>
                <w:rFonts w:ascii="Times New Roman" w:hAnsi="Times New Roman" w:eastAsia="仿宋"/>
                <w:b w:val="0"/>
                <w:sz w:val="21"/>
              </w:rPr>
              <w:t>投标人管理体系认证情况</w:t>
            </w:r>
          </w:p>
        </w:tc>
        <w:tc>
          <w:tcPr>
            <w:tcW w:w="636" w:type="dxa"/>
            <w:vAlign w:val="center"/>
          </w:tcPr>
          <w:p w14:paraId="1EE12758">
            <w:pPr>
              <w:spacing w:after="0" w:line="312" w:lineRule="auto"/>
              <w:jc w:val="center"/>
              <w:rPr>
                <w:rFonts w:hint="eastAsia" w:eastAsia="仿宋"/>
                <w:lang w:eastAsia="zh-CN"/>
              </w:rPr>
            </w:pPr>
            <w:r>
              <w:rPr>
                <w:rFonts w:hint="eastAsia"/>
                <w:b w:val="0"/>
                <w:sz w:val="21"/>
                <w:lang w:val="en-US" w:eastAsia="zh-CN"/>
              </w:rPr>
              <w:t>3</w:t>
            </w:r>
          </w:p>
        </w:tc>
        <w:tc>
          <w:tcPr>
            <w:tcW w:w="4870" w:type="dxa"/>
            <w:vAlign w:val="center"/>
          </w:tcPr>
          <w:p w14:paraId="07EB60F5">
            <w:pPr>
              <w:spacing w:after="0" w:line="312" w:lineRule="auto"/>
              <w:rPr>
                <w:color w:val="auto"/>
              </w:rPr>
            </w:pPr>
            <w:r>
              <w:rPr>
                <w:rFonts w:ascii="Times New Roman" w:hAnsi="Times New Roman" w:eastAsia="仿宋"/>
                <w:b w:val="0"/>
                <w:sz w:val="21"/>
              </w:rPr>
              <w:t>【</w:t>
            </w:r>
            <w:r>
              <w:rPr>
                <w:rFonts w:ascii="Times New Roman" w:hAnsi="Times New Roman" w:eastAsia="仿宋"/>
                <w:b w:val="0"/>
                <w:color w:val="auto"/>
                <w:sz w:val="21"/>
              </w:rPr>
              <w:t>评审标准】</w:t>
            </w:r>
          </w:p>
          <w:p w14:paraId="3472C09F">
            <w:pPr>
              <w:spacing w:after="0" w:line="312" w:lineRule="auto"/>
              <w:rPr>
                <w:color w:val="auto"/>
              </w:rPr>
            </w:pPr>
            <w:r>
              <w:rPr>
                <w:rFonts w:ascii="Times New Roman" w:hAnsi="Times New Roman" w:eastAsia="仿宋"/>
                <w:b w:val="0"/>
                <w:color w:val="auto"/>
                <w:sz w:val="21"/>
              </w:rPr>
              <w:t>1．具有质量管理体系认证证书；</w:t>
            </w:r>
          </w:p>
          <w:p w14:paraId="4908FD0F">
            <w:pPr>
              <w:spacing w:after="0" w:line="312" w:lineRule="auto"/>
              <w:rPr>
                <w:color w:val="auto"/>
              </w:rPr>
            </w:pPr>
            <w:r>
              <w:rPr>
                <w:rFonts w:ascii="Times New Roman" w:hAnsi="Times New Roman" w:eastAsia="仿宋"/>
                <w:b w:val="0"/>
                <w:color w:val="auto"/>
                <w:sz w:val="21"/>
              </w:rPr>
              <w:t>2．具有环境管理体系认证证书；</w:t>
            </w:r>
          </w:p>
          <w:p w14:paraId="4E8FC1DD">
            <w:pPr>
              <w:spacing w:after="0" w:line="312" w:lineRule="auto"/>
              <w:rPr>
                <w:rFonts w:ascii="Times New Roman" w:hAnsi="Times New Roman" w:eastAsia="仿宋"/>
                <w:b w:val="0"/>
                <w:color w:val="auto"/>
                <w:sz w:val="21"/>
              </w:rPr>
            </w:pPr>
            <w:r>
              <w:rPr>
                <w:rFonts w:ascii="Times New Roman" w:hAnsi="Times New Roman" w:eastAsia="仿宋"/>
                <w:b w:val="0"/>
                <w:color w:val="auto"/>
                <w:sz w:val="21"/>
              </w:rPr>
              <w:t>3．具有职业健康安全管理体系认证证书。</w:t>
            </w:r>
          </w:p>
          <w:p w14:paraId="2A011CD8">
            <w:pPr>
              <w:spacing w:line="312" w:lineRule="auto"/>
              <w:rPr>
                <w:rFonts w:ascii="Times New Roman" w:hAnsi="Times New Roman" w:eastAsia="仿宋" w:cstheme="minorBidi"/>
                <w:b w:val="0"/>
                <w:bCs w:val="0"/>
                <w:color w:val="auto"/>
                <w:sz w:val="21"/>
                <w:szCs w:val="22"/>
              </w:rPr>
            </w:pPr>
            <w:r>
              <w:rPr>
                <w:rFonts w:hint="default" w:ascii="Times New Roman" w:hAnsi="Times New Roman" w:eastAsia="仿宋" w:cstheme="minorBidi"/>
                <w:b w:val="0"/>
                <w:bCs w:val="0"/>
                <w:color w:val="auto"/>
                <w:sz w:val="21"/>
                <w:szCs w:val="22"/>
              </w:rPr>
              <w:t>每提供一项有效认证的得</w:t>
            </w:r>
            <w:r>
              <w:rPr>
                <w:rFonts w:hint="eastAsia" w:cstheme="minorBidi"/>
                <w:b w:val="0"/>
                <w:bCs w:val="0"/>
                <w:color w:val="auto"/>
                <w:sz w:val="21"/>
                <w:szCs w:val="22"/>
                <w:lang w:val="en-US" w:eastAsia="zh-CN"/>
              </w:rPr>
              <w:t>1</w:t>
            </w:r>
            <w:r>
              <w:rPr>
                <w:rFonts w:hint="default" w:ascii="Times New Roman" w:hAnsi="Times New Roman" w:eastAsia="仿宋" w:cstheme="minorBidi"/>
                <w:b w:val="0"/>
                <w:bCs w:val="0"/>
                <w:color w:val="auto"/>
                <w:sz w:val="21"/>
                <w:szCs w:val="22"/>
              </w:rPr>
              <w:t>分，最高得</w:t>
            </w:r>
            <w:r>
              <w:rPr>
                <w:rFonts w:hint="eastAsia" w:cstheme="minorBidi"/>
                <w:b w:val="0"/>
                <w:bCs w:val="0"/>
                <w:color w:val="auto"/>
                <w:sz w:val="21"/>
                <w:szCs w:val="22"/>
                <w:lang w:val="en-US" w:eastAsia="zh-CN"/>
              </w:rPr>
              <w:t>3</w:t>
            </w:r>
            <w:r>
              <w:rPr>
                <w:rFonts w:hint="default" w:ascii="Times New Roman" w:hAnsi="Times New Roman" w:eastAsia="仿宋" w:cstheme="minorBidi"/>
                <w:b w:val="0"/>
                <w:bCs w:val="0"/>
                <w:color w:val="auto"/>
                <w:sz w:val="21"/>
                <w:szCs w:val="22"/>
              </w:rPr>
              <w:t>分。</w:t>
            </w:r>
          </w:p>
          <w:p w14:paraId="1EA23948">
            <w:pPr>
              <w:spacing w:after="0" w:line="312" w:lineRule="auto"/>
              <w:rPr>
                <w:rFonts w:hint="default" w:eastAsia="仿宋"/>
                <w:lang w:val="en-US" w:eastAsia="zh-CN"/>
              </w:rPr>
            </w:pPr>
            <w:r>
              <w:rPr>
                <w:rFonts w:ascii="Times New Roman" w:hAnsi="Times New Roman" w:eastAsia="仿宋"/>
                <w:b w:val="0"/>
                <w:sz w:val="21"/>
              </w:rPr>
              <w:t>【证明材料】1．提供有效期内的体系认证证书扫描件并加盖</w:t>
            </w:r>
            <w:r>
              <w:rPr>
                <w:rFonts w:hint="eastAsia"/>
                <w:b w:val="0"/>
                <w:sz w:val="21"/>
                <w:lang w:val="en-US" w:eastAsia="zh-CN"/>
              </w:rPr>
              <w:t>投标人</w:t>
            </w:r>
            <w:r>
              <w:rPr>
                <w:rFonts w:ascii="Times New Roman" w:hAnsi="Times New Roman" w:eastAsia="仿宋"/>
                <w:b w:val="0"/>
                <w:sz w:val="21"/>
              </w:rPr>
              <w:t>公章；2．提供国家市场监督管理总局全国认证认可信息公共服务平台（cx.cnca.cn）查询结果截图；3．证书过期、无效或未提供查询截图的，对应项不得分。</w:t>
            </w:r>
            <w:r>
              <w:rPr>
                <w:rFonts w:hint="eastAsia"/>
                <w:b w:val="0"/>
                <w:sz w:val="21"/>
                <w:lang w:val="en-US" w:eastAsia="zh-CN"/>
              </w:rPr>
              <w:t>4.</w:t>
            </w:r>
            <w:r>
              <w:rPr>
                <w:rFonts w:hint="eastAsia"/>
                <w:sz w:val="21"/>
                <w:lang w:eastAsia="zh-CN"/>
              </w:rPr>
              <w:t>以上证明材料原件备查，未按要求提供或提供不清晰导致专家无法判断的不得分。</w:t>
            </w:r>
          </w:p>
        </w:tc>
      </w:tr>
      <w:tr w14:paraId="5CC1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2" w:hRule="atLeast"/>
        </w:trPr>
        <w:tc>
          <w:tcPr>
            <w:tcW w:w="590" w:type="dxa"/>
            <w:vMerge w:val="continue"/>
          </w:tcPr>
          <w:p w14:paraId="1CD28C38">
            <w:pPr>
              <w:spacing w:after="0" w:line="240" w:lineRule="auto"/>
            </w:pPr>
          </w:p>
        </w:tc>
        <w:tc>
          <w:tcPr>
            <w:tcW w:w="1446" w:type="dxa"/>
            <w:vMerge w:val="continue"/>
          </w:tcPr>
          <w:p w14:paraId="557F0639">
            <w:pPr>
              <w:spacing w:after="0" w:line="240" w:lineRule="auto"/>
            </w:pPr>
          </w:p>
        </w:tc>
        <w:tc>
          <w:tcPr>
            <w:tcW w:w="1509" w:type="dxa"/>
            <w:vAlign w:val="center"/>
          </w:tcPr>
          <w:p w14:paraId="6EAED1F2">
            <w:pPr>
              <w:spacing w:after="0" w:line="312" w:lineRule="auto"/>
              <w:jc w:val="center"/>
              <w:rPr>
                <w:rFonts w:hint="eastAsia" w:eastAsia="仿宋"/>
                <w:lang w:eastAsia="zh-CN"/>
              </w:rPr>
            </w:pPr>
            <w:r>
              <w:rPr>
                <w:rFonts w:ascii="Times New Roman" w:hAnsi="Times New Roman" w:eastAsia="仿宋"/>
                <w:b w:val="0"/>
                <w:sz w:val="21"/>
              </w:rPr>
              <w:t>投标人</w:t>
            </w:r>
            <w:r>
              <w:rPr>
                <w:rFonts w:hint="eastAsia"/>
                <w:b w:val="0"/>
                <w:sz w:val="21"/>
                <w:lang w:val="en-US" w:eastAsia="zh-CN"/>
              </w:rPr>
              <w:t>实力</w:t>
            </w:r>
          </w:p>
        </w:tc>
        <w:tc>
          <w:tcPr>
            <w:tcW w:w="636" w:type="dxa"/>
            <w:vAlign w:val="center"/>
          </w:tcPr>
          <w:p w14:paraId="40B9BA51">
            <w:pPr>
              <w:spacing w:after="0" w:line="312" w:lineRule="auto"/>
              <w:jc w:val="center"/>
              <w:rPr>
                <w:rFonts w:hint="eastAsia" w:eastAsia="仿宋"/>
                <w:lang w:eastAsia="zh-CN"/>
              </w:rPr>
            </w:pPr>
            <w:r>
              <w:rPr>
                <w:rFonts w:hint="eastAsia"/>
                <w:b w:val="0"/>
                <w:sz w:val="21"/>
                <w:lang w:val="en-US" w:eastAsia="zh-CN"/>
              </w:rPr>
              <w:t>9</w:t>
            </w:r>
          </w:p>
        </w:tc>
        <w:tc>
          <w:tcPr>
            <w:tcW w:w="4870" w:type="dxa"/>
            <w:vAlign w:val="center"/>
          </w:tcPr>
          <w:p w14:paraId="74795C20">
            <w:pPr>
              <w:spacing w:after="0" w:line="312" w:lineRule="auto"/>
              <w:rPr>
                <w:rFonts w:ascii="Times New Roman" w:hAnsi="Times New Roman" w:eastAsia="仿宋"/>
                <w:b w:val="0"/>
                <w:color w:val="auto"/>
                <w:sz w:val="21"/>
                <w:highlight w:val="none"/>
              </w:rPr>
            </w:pPr>
            <w:r>
              <w:rPr>
                <w:rFonts w:ascii="Times New Roman" w:hAnsi="Times New Roman" w:eastAsia="仿宋"/>
                <w:b w:val="0"/>
                <w:color w:val="auto"/>
                <w:sz w:val="21"/>
                <w:highlight w:val="none"/>
              </w:rPr>
              <w:t>【评审标准】</w:t>
            </w:r>
          </w:p>
          <w:p w14:paraId="6D0A9650">
            <w:pPr>
              <w:spacing w:after="0" w:line="312" w:lineRule="auto"/>
              <w:rPr>
                <w:rFonts w:hint="eastAsia"/>
                <w:color w:val="auto"/>
                <w:sz w:val="21"/>
                <w:highlight w:val="none"/>
              </w:rPr>
            </w:pPr>
            <w:r>
              <w:rPr>
                <w:rFonts w:hint="eastAsia"/>
                <w:color w:val="auto"/>
                <w:sz w:val="21"/>
                <w:highlight w:val="none"/>
              </w:rPr>
              <w:t>1.具有维修企业技术等级证书(机电制冷设备)</w:t>
            </w:r>
            <w:r>
              <w:rPr>
                <w:rFonts w:hint="eastAsia"/>
                <w:color w:val="auto"/>
                <w:sz w:val="21"/>
                <w:highlight w:val="none"/>
                <w:lang w:eastAsia="zh-CN"/>
              </w:rPr>
              <w:t>，</w:t>
            </w:r>
            <w:r>
              <w:rPr>
                <w:rFonts w:hint="eastAsia"/>
                <w:color w:val="auto"/>
                <w:sz w:val="21"/>
                <w:highlight w:val="none"/>
              </w:rPr>
              <w:t xml:space="preserve">一级证书得 </w:t>
            </w:r>
            <w:r>
              <w:rPr>
                <w:rFonts w:hint="eastAsia"/>
                <w:color w:val="auto"/>
                <w:sz w:val="21"/>
                <w:highlight w:val="none"/>
                <w:lang w:val="en-US" w:eastAsia="zh-CN"/>
              </w:rPr>
              <w:t>3</w:t>
            </w:r>
            <w:r>
              <w:rPr>
                <w:rFonts w:hint="eastAsia"/>
                <w:color w:val="auto"/>
                <w:sz w:val="21"/>
                <w:highlight w:val="none"/>
              </w:rPr>
              <w:t xml:space="preserve">分；二级证书得 </w:t>
            </w:r>
            <w:r>
              <w:rPr>
                <w:rFonts w:hint="eastAsia"/>
                <w:color w:val="auto"/>
                <w:sz w:val="21"/>
                <w:highlight w:val="none"/>
                <w:lang w:val="en-US" w:eastAsia="zh-CN"/>
              </w:rPr>
              <w:t>2</w:t>
            </w:r>
            <w:r>
              <w:rPr>
                <w:rFonts w:hint="eastAsia"/>
                <w:color w:val="auto"/>
                <w:sz w:val="21"/>
                <w:highlight w:val="none"/>
              </w:rPr>
              <w:t xml:space="preserve"> 分；三级证书得 2 分，得</w:t>
            </w:r>
            <w:r>
              <w:rPr>
                <w:rFonts w:hint="eastAsia"/>
                <w:color w:val="auto"/>
                <w:sz w:val="21"/>
                <w:highlight w:val="none"/>
                <w:lang w:val="en-US" w:eastAsia="zh-CN"/>
              </w:rPr>
              <w:t>1</w:t>
            </w:r>
            <w:r>
              <w:rPr>
                <w:rFonts w:hint="eastAsia"/>
                <w:color w:val="auto"/>
                <w:sz w:val="21"/>
                <w:highlight w:val="none"/>
              </w:rPr>
              <w:t>分。</w:t>
            </w:r>
          </w:p>
          <w:p w14:paraId="28A3F986">
            <w:pPr>
              <w:spacing w:after="0" w:line="312" w:lineRule="auto"/>
              <w:rPr>
                <w:rFonts w:hint="eastAsia"/>
                <w:color w:val="auto"/>
                <w:sz w:val="21"/>
                <w:highlight w:val="none"/>
              </w:rPr>
            </w:pPr>
            <w:r>
              <w:rPr>
                <w:rFonts w:hint="eastAsia"/>
                <w:color w:val="auto"/>
                <w:sz w:val="21"/>
                <w:highlight w:val="none"/>
              </w:rPr>
              <w:t>2.具有中国设备维修安装企业能力等级证书制冷空调A类</w:t>
            </w:r>
            <w:r>
              <w:rPr>
                <w:rFonts w:hint="eastAsia"/>
                <w:color w:val="auto"/>
                <w:sz w:val="21"/>
                <w:highlight w:val="none"/>
                <w:lang w:eastAsia="zh-CN"/>
              </w:rPr>
              <w:t>，</w:t>
            </w:r>
            <w:r>
              <w:rPr>
                <w:rFonts w:hint="eastAsia"/>
                <w:color w:val="auto"/>
                <w:sz w:val="21"/>
                <w:highlight w:val="none"/>
              </w:rPr>
              <w:t>Ⅰ级得3分，A类Ⅱ级得2分，A类Ⅲ级得1分。</w:t>
            </w:r>
          </w:p>
          <w:p w14:paraId="3B008987">
            <w:pPr>
              <w:spacing w:line="312" w:lineRule="auto"/>
              <w:rPr>
                <w:rFonts w:hint="default" w:eastAsia="宋体"/>
                <w:color w:val="auto"/>
                <w:highlight w:val="none"/>
                <w:lang w:val="en-US" w:eastAsia="zh-CN"/>
              </w:rPr>
            </w:pPr>
            <w:r>
              <w:rPr>
                <w:rFonts w:hint="eastAsia"/>
                <w:color w:val="auto"/>
                <w:sz w:val="21"/>
                <w:highlight w:val="none"/>
                <w:lang w:val="en-US" w:eastAsia="zh-CN"/>
              </w:rPr>
              <w:t>3.</w:t>
            </w:r>
            <w:r>
              <w:rPr>
                <w:rFonts w:hint="eastAsia"/>
                <w:color w:val="auto"/>
                <w:sz w:val="21"/>
                <w:highlight w:val="none"/>
              </w:rPr>
              <w:t>具有工业、商用循环水处理机构资质等级证书</w:t>
            </w:r>
            <w:r>
              <w:rPr>
                <w:rFonts w:hint="eastAsia"/>
                <w:color w:val="auto"/>
                <w:sz w:val="21"/>
                <w:highlight w:val="none"/>
                <w:lang w:eastAsia="zh-CN"/>
              </w:rPr>
              <w:t>，甲级证书</w:t>
            </w:r>
            <w:r>
              <w:rPr>
                <w:rFonts w:hint="eastAsia"/>
                <w:color w:val="auto"/>
                <w:sz w:val="21"/>
                <w:highlight w:val="none"/>
              </w:rPr>
              <w:t>得</w:t>
            </w:r>
            <w:r>
              <w:rPr>
                <w:rFonts w:hint="eastAsia"/>
                <w:color w:val="auto"/>
                <w:sz w:val="21"/>
                <w:highlight w:val="none"/>
                <w:lang w:val="en-US" w:eastAsia="zh-CN"/>
              </w:rPr>
              <w:t>3</w:t>
            </w:r>
            <w:r>
              <w:rPr>
                <w:rFonts w:hint="eastAsia"/>
                <w:color w:val="auto"/>
                <w:sz w:val="21"/>
                <w:highlight w:val="none"/>
              </w:rPr>
              <w:t>分</w:t>
            </w:r>
            <w:r>
              <w:rPr>
                <w:rFonts w:hint="eastAsia"/>
                <w:color w:val="auto"/>
                <w:sz w:val="21"/>
                <w:highlight w:val="none"/>
                <w:lang w:eastAsia="zh-CN"/>
              </w:rPr>
              <w:t>；乙级证书得</w:t>
            </w:r>
            <w:r>
              <w:rPr>
                <w:rFonts w:hint="eastAsia"/>
                <w:color w:val="auto"/>
                <w:sz w:val="21"/>
                <w:highlight w:val="none"/>
                <w:lang w:val="en-US" w:eastAsia="zh-CN"/>
              </w:rPr>
              <w:t>1分，丙级证书得1分</w:t>
            </w:r>
            <w:r>
              <w:rPr>
                <w:rFonts w:hint="eastAsia"/>
                <w:color w:val="auto"/>
                <w:sz w:val="21"/>
                <w:highlight w:val="none"/>
              </w:rPr>
              <w:t>。</w:t>
            </w:r>
          </w:p>
          <w:p w14:paraId="5063C191">
            <w:pPr>
              <w:spacing w:after="0" w:line="312" w:lineRule="auto"/>
              <w:rPr>
                <w:color w:val="auto"/>
                <w:highlight w:val="none"/>
              </w:rPr>
            </w:pPr>
            <w:r>
              <w:rPr>
                <w:rFonts w:ascii="Times New Roman" w:hAnsi="Times New Roman" w:eastAsia="仿宋"/>
                <w:b w:val="0"/>
                <w:color w:val="auto"/>
                <w:sz w:val="21"/>
                <w:highlight w:val="none"/>
              </w:rPr>
              <w:t>【证明材料】提供上述有效资质证书复印件并加盖</w:t>
            </w:r>
            <w:r>
              <w:rPr>
                <w:rFonts w:hint="eastAsia"/>
                <w:b w:val="0"/>
                <w:color w:val="auto"/>
                <w:sz w:val="21"/>
                <w:highlight w:val="none"/>
                <w:lang w:val="en-US" w:eastAsia="zh-CN"/>
              </w:rPr>
              <w:t>投标人</w:t>
            </w:r>
            <w:r>
              <w:rPr>
                <w:rFonts w:ascii="Times New Roman" w:hAnsi="Times New Roman" w:eastAsia="仿宋"/>
                <w:b w:val="0"/>
                <w:color w:val="auto"/>
                <w:sz w:val="21"/>
                <w:highlight w:val="none"/>
              </w:rPr>
              <w:t>公章，原件备查。</w:t>
            </w:r>
            <w:r>
              <w:rPr>
                <w:rFonts w:hint="eastAsia"/>
                <w:color w:val="auto"/>
                <w:sz w:val="21"/>
                <w:highlight w:val="none"/>
                <w:lang w:eastAsia="zh-CN"/>
              </w:rPr>
              <w:t>未按要求提供或提供不清晰导致专家无法判断的不得分。</w:t>
            </w:r>
          </w:p>
        </w:tc>
      </w:tr>
      <w:tr w14:paraId="09E0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Merge w:val="continue"/>
          </w:tcPr>
          <w:p w14:paraId="6DD73F87">
            <w:pPr>
              <w:spacing w:after="0" w:line="240" w:lineRule="auto"/>
            </w:pPr>
          </w:p>
        </w:tc>
        <w:tc>
          <w:tcPr>
            <w:tcW w:w="1446" w:type="dxa"/>
            <w:vMerge w:val="continue"/>
          </w:tcPr>
          <w:p w14:paraId="26996580">
            <w:pPr>
              <w:spacing w:after="0" w:line="240" w:lineRule="auto"/>
            </w:pPr>
          </w:p>
        </w:tc>
        <w:tc>
          <w:tcPr>
            <w:tcW w:w="1509" w:type="dxa"/>
            <w:vAlign w:val="center"/>
          </w:tcPr>
          <w:p w14:paraId="57592A71">
            <w:pPr>
              <w:spacing w:after="0" w:line="312" w:lineRule="auto"/>
              <w:jc w:val="center"/>
            </w:pPr>
            <w:r>
              <w:rPr>
                <w:rFonts w:hint="eastAsia"/>
                <w:b w:val="0"/>
                <w:sz w:val="21"/>
                <w:lang w:val="en-US" w:eastAsia="zh-CN"/>
              </w:rPr>
              <w:t>同类项目</w:t>
            </w:r>
            <w:r>
              <w:rPr>
                <w:rFonts w:ascii="Times New Roman" w:hAnsi="Times New Roman" w:eastAsia="仿宋"/>
                <w:b w:val="0"/>
                <w:sz w:val="21"/>
              </w:rPr>
              <w:t>业绩</w:t>
            </w:r>
          </w:p>
        </w:tc>
        <w:tc>
          <w:tcPr>
            <w:tcW w:w="636" w:type="dxa"/>
            <w:vAlign w:val="center"/>
          </w:tcPr>
          <w:p w14:paraId="1818ADAA">
            <w:pPr>
              <w:spacing w:after="0" w:line="312" w:lineRule="auto"/>
              <w:jc w:val="center"/>
              <w:rPr>
                <w:rFonts w:hint="default" w:eastAsia="仿宋"/>
                <w:lang w:val="en-US" w:eastAsia="zh-CN"/>
              </w:rPr>
            </w:pPr>
            <w:r>
              <w:rPr>
                <w:rFonts w:hint="eastAsia"/>
                <w:b w:val="0"/>
                <w:sz w:val="21"/>
                <w:lang w:val="en-US" w:eastAsia="zh-CN"/>
              </w:rPr>
              <w:t>18</w:t>
            </w:r>
          </w:p>
        </w:tc>
        <w:tc>
          <w:tcPr>
            <w:tcW w:w="4870" w:type="dxa"/>
            <w:vAlign w:val="center"/>
          </w:tcPr>
          <w:p w14:paraId="11BBA630">
            <w:pPr>
              <w:spacing w:after="0" w:line="312" w:lineRule="auto"/>
              <w:rPr>
                <w:rFonts w:ascii="Times New Roman" w:hAnsi="Times New Roman" w:eastAsia="仿宋"/>
                <w:b w:val="0"/>
                <w:color w:val="auto"/>
                <w:sz w:val="21"/>
                <w:highlight w:val="none"/>
              </w:rPr>
            </w:pPr>
            <w:r>
              <w:rPr>
                <w:rFonts w:ascii="Times New Roman" w:hAnsi="Times New Roman" w:eastAsia="仿宋"/>
                <w:b w:val="0"/>
                <w:color w:val="auto"/>
                <w:sz w:val="21"/>
                <w:highlight w:val="none"/>
              </w:rPr>
              <w:t>【评审标准】</w:t>
            </w:r>
          </w:p>
          <w:p w14:paraId="3E04EFA6">
            <w:pPr>
              <w:spacing w:after="0" w:line="312" w:lineRule="auto"/>
              <w:rPr>
                <w:rFonts w:hint="eastAsia"/>
                <w:color w:val="auto"/>
                <w:sz w:val="21"/>
                <w:highlight w:val="none"/>
              </w:rPr>
            </w:pPr>
            <w:r>
              <w:rPr>
                <w:rFonts w:hint="eastAsia"/>
                <w:b w:val="0"/>
                <w:color w:val="auto"/>
                <w:sz w:val="21"/>
                <w:highlight w:val="none"/>
                <w:lang w:val="en-US" w:eastAsia="zh-CN"/>
              </w:rPr>
              <w:t>1.</w:t>
            </w:r>
            <w:r>
              <w:rPr>
                <w:rFonts w:hint="eastAsia"/>
                <w:color w:val="auto"/>
                <w:sz w:val="21"/>
                <w:highlight w:val="none"/>
              </w:rPr>
              <w:t>投标人自2023年1月1日至本项目开标日承担的(完成或进行中)空调维保服务业绩</w:t>
            </w:r>
            <w:r>
              <w:rPr>
                <w:rFonts w:hint="eastAsia"/>
                <w:color w:val="auto"/>
                <w:sz w:val="21"/>
                <w:highlight w:val="none"/>
                <w:lang w:eastAsia="zh-CN"/>
              </w:rPr>
              <w:t>（含至少</w:t>
            </w:r>
            <w:r>
              <w:rPr>
                <w:rFonts w:hint="eastAsia"/>
                <w:color w:val="auto"/>
                <w:sz w:val="21"/>
                <w:highlight w:val="none"/>
                <w:lang w:val="en-US" w:eastAsia="zh-CN"/>
              </w:rPr>
              <w:t>2次</w:t>
            </w:r>
            <w:r>
              <w:rPr>
                <w:rFonts w:hint="eastAsia"/>
                <w:color w:val="auto"/>
                <w:sz w:val="21"/>
                <w:highlight w:val="none"/>
                <w:lang w:eastAsia="zh-CN"/>
              </w:rPr>
              <w:t>水处理服务业绩）</w:t>
            </w:r>
            <w:r>
              <w:rPr>
                <w:rFonts w:hint="eastAsia"/>
                <w:color w:val="auto"/>
                <w:sz w:val="21"/>
                <w:highlight w:val="none"/>
              </w:rPr>
              <w:t>；</w:t>
            </w:r>
          </w:p>
          <w:p w14:paraId="46269AF2">
            <w:pPr>
              <w:spacing w:line="312" w:lineRule="auto"/>
              <w:rPr>
                <w:rFonts w:hint="eastAsia"/>
                <w:color w:val="auto"/>
                <w:sz w:val="21"/>
                <w:highlight w:val="none"/>
              </w:rPr>
            </w:pPr>
            <w:r>
              <w:rPr>
                <w:rFonts w:hint="eastAsia"/>
                <w:color w:val="auto"/>
                <w:sz w:val="21"/>
                <w:highlight w:val="none"/>
                <w:lang w:val="en-US" w:eastAsia="zh-CN"/>
              </w:rPr>
              <w:t>2</w:t>
            </w:r>
            <w:r>
              <w:rPr>
                <w:rFonts w:hint="eastAsia"/>
                <w:color w:val="auto"/>
                <w:sz w:val="21"/>
                <w:highlight w:val="none"/>
              </w:rPr>
              <w:t>.每提供一份合同金额不少于10万元</w:t>
            </w:r>
            <w:r>
              <w:rPr>
                <w:rFonts w:hint="eastAsia"/>
                <w:color w:val="auto"/>
                <w:sz w:val="21"/>
                <w:highlight w:val="none"/>
                <w:lang w:eastAsia="zh-CN"/>
              </w:rPr>
              <w:t>（含）</w:t>
            </w:r>
            <w:r>
              <w:rPr>
                <w:rFonts w:hint="eastAsia"/>
                <w:color w:val="auto"/>
                <w:sz w:val="21"/>
                <w:highlight w:val="none"/>
              </w:rPr>
              <w:t>的空调系统保养服务合同业绩，得</w:t>
            </w:r>
            <w:r>
              <w:rPr>
                <w:rFonts w:hint="eastAsia"/>
                <w:color w:val="auto"/>
                <w:sz w:val="21"/>
                <w:highlight w:val="none"/>
                <w:lang w:val="en-US" w:eastAsia="zh-CN"/>
              </w:rPr>
              <w:t>3</w:t>
            </w:r>
            <w:r>
              <w:rPr>
                <w:rFonts w:hint="eastAsia"/>
                <w:color w:val="auto"/>
                <w:sz w:val="21"/>
                <w:highlight w:val="none"/>
              </w:rPr>
              <w:t>分；</w:t>
            </w:r>
          </w:p>
          <w:p w14:paraId="58AC5279">
            <w:pPr>
              <w:spacing w:after="0" w:line="312" w:lineRule="auto"/>
              <w:rPr>
                <w:rFonts w:hint="eastAsia"/>
                <w:color w:val="auto"/>
                <w:sz w:val="21"/>
                <w:highlight w:val="none"/>
              </w:rPr>
            </w:pPr>
            <w:r>
              <w:rPr>
                <w:rFonts w:hint="eastAsia"/>
                <w:color w:val="auto"/>
                <w:sz w:val="21"/>
                <w:highlight w:val="none"/>
              </w:rPr>
              <w:t>以上同一业绩不可重复计分</w:t>
            </w:r>
            <w:r>
              <w:rPr>
                <w:rFonts w:hint="eastAsia"/>
                <w:color w:val="auto"/>
                <w:sz w:val="21"/>
                <w:highlight w:val="none"/>
                <w:lang w:eastAsia="zh-CN"/>
              </w:rPr>
              <w:t>（含合同续签）</w:t>
            </w:r>
            <w:r>
              <w:rPr>
                <w:rFonts w:hint="eastAsia"/>
                <w:color w:val="auto"/>
                <w:sz w:val="21"/>
                <w:highlight w:val="none"/>
              </w:rPr>
              <w:t>，最高得</w:t>
            </w:r>
            <w:r>
              <w:rPr>
                <w:rFonts w:hint="eastAsia"/>
                <w:color w:val="auto"/>
                <w:sz w:val="21"/>
                <w:highlight w:val="none"/>
                <w:lang w:val="en-US" w:eastAsia="zh-CN"/>
              </w:rPr>
              <w:t>18</w:t>
            </w:r>
            <w:r>
              <w:rPr>
                <w:rFonts w:hint="eastAsia"/>
                <w:color w:val="auto"/>
                <w:sz w:val="21"/>
                <w:highlight w:val="none"/>
              </w:rPr>
              <w:t>分。</w:t>
            </w:r>
          </w:p>
          <w:p w14:paraId="521D8463">
            <w:pPr>
              <w:spacing w:after="0" w:line="312" w:lineRule="auto"/>
              <w:rPr>
                <w:color w:val="auto"/>
                <w:highlight w:val="none"/>
              </w:rPr>
            </w:pPr>
            <w:r>
              <w:rPr>
                <w:rFonts w:ascii="Times New Roman" w:hAnsi="Times New Roman" w:eastAsia="仿宋"/>
                <w:b w:val="0"/>
                <w:color w:val="auto"/>
                <w:sz w:val="21"/>
                <w:highlight w:val="none"/>
              </w:rPr>
              <w:t>【证明材料】提交项目合同或中标（成交）通知书复印件并加盖公章（原件备查），证明文件应能体现合同买方、合同金额、合同签订时间及服务内容，否则视为无效证明文件。</w:t>
            </w:r>
          </w:p>
        </w:tc>
      </w:tr>
      <w:tr w14:paraId="2FF5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6" w:hRule="atLeast"/>
        </w:trPr>
        <w:tc>
          <w:tcPr>
            <w:tcW w:w="590" w:type="dxa"/>
            <w:vMerge w:val="continue"/>
          </w:tcPr>
          <w:p w14:paraId="75332682">
            <w:pPr>
              <w:spacing w:after="0" w:line="240" w:lineRule="auto"/>
            </w:pPr>
          </w:p>
        </w:tc>
        <w:tc>
          <w:tcPr>
            <w:tcW w:w="1446" w:type="dxa"/>
            <w:vMerge w:val="continue"/>
          </w:tcPr>
          <w:p w14:paraId="05E8152D">
            <w:pPr>
              <w:spacing w:after="0" w:line="240" w:lineRule="auto"/>
            </w:pPr>
          </w:p>
        </w:tc>
        <w:tc>
          <w:tcPr>
            <w:tcW w:w="1509" w:type="dxa"/>
            <w:vAlign w:val="center"/>
          </w:tcPr>
          <w:p w14:paraId="05E9C49D">
            <w:pPr>
              <w:spacing w:after="0" w:line="312" w:lineRule="auto"/>
              <w:jc w:val="center"/>
            </w:pPr>
            <w:r>
              <w:rPr>
                <w:rFonts w:ascii="Times New Roman" w:hAnsi="Times New Roman" w:eastAsia="仿宋"/>
                <w:b w:val="0"/>
                <w:sz w:val="21"/>
              </w:rPr>
              <w:t>拟派项目团队情况</w:t>
            </w:r>
          </w:p>
        </w:tc>
        <w:tc>
          <w:tcPr>
            <w:tcW w:w="636" w:type="dxa"/>
            <w:vAlign w:val="center"/>
          </w:tcPr>
          <w:p w14:paraId="0A6A9F3A">
            <w:pPr>
              <w:spacing w:after="0" w:line="312" w:lineRule="auto"/>
              <w:jc w:val="center"/>
              <w:rPr>
                <w:rFonts w:hint="default" w:eastAsia="仿宋"/>
                <w:lang w:val="en-US" w:eastAsia="zh-CN"/>
              </w:rPr>
            </w:pPr>
            <w:r>
              <w:rPr>
                <w:rFonts w:hint="eastAsia"/>
                <w:b w:val="0"/>
                <w:sz w:val="21"/>
                <w:lang w:val="en-US" w:eastAsia="zh-CN"/>
              </w:rPr>
              <w:t>20</w:t>
            </w:r>
          </w:p>
        </w:tc>
        <w:tc>
          <w:tcPr>
            <w:tcW w:w="4870" w:type="dxa"/>
            <w:vAlign w:val="center"/>
          </w:tcPr>
          <w:p w14:paraId="521711AB">
            <w:pPr>
              <w:spacing w:after="0" w:line="312" w:lineRule="auto"/>
              <w:rPr>
                <w:rFonts w:ascii="Times New Roman" w:hAnsi="Times New Roman" w:eastAsia="仿宋"/>
                <w:b w:val="0"/>
                <w:color w:val="auto"/>
                <w:sz w:val="21"/>
                <w:highlight w:val="none"/>
              </w:rPr>
            </w:pPr>
            <w:r>
              <w:rPr>
                <w:rFonts w:ascii="Times New Roman" w:hAnsi="Times New Roman" w:eastAsia="仿宋"/>
                <w:b w:val="0"/>
                <w:color w:val="auto"/>
                <w:sz w:val="21"/>
                <w:highlight w:val="none"/>
              </w:rPr>
              <w:t>【评审标准】</w:t>
            </w:r>
          </w:p>
          <w:p w14:paraId="455C9432">
            <w:pPr>
              <w:spacing w:after="0" w:line="312" w:lineRule="auto"/>
              <w:rPr>
                <w:rFonts w:hint="eastAsia"/>
                <w:b w:val="0"/>
                <w:color w:val="auto"/>
                <w:sz w:val="21"/>
                <w:highlight w:val="none"/>
                <w:lang w:eastAsia="zh-CN"/>
              </w:rPr>
            </w:pPr>
            <w:r>
              <w:rPr>
                <w:rFonts w:ascii="Times New Roman" w:hAnsi="Times New Roman" w:eastAsia="仿宋"/>
                <w:b w:val="0"/>
                <w:color w:val="auto"/>
                <w:sz w:val="21"/>
                <w:highlight w:val="none"/>
              </w:rPr>
              <w:t>一、项目负责人</w:t>
            </w:r>
            <w:r>
              <w:rPr>
                <w:rFonts w:hint="eastAsia"/>
                <w:b w:val="0"/>
                <w:color w:val="auto"/>
                <w:sz w:val="21"/>
                <w:highlight w:val="none"/>
                <w:lang w:eastAsia="zh-CN"/>
              </w:rPr>
              <w:t>（</w:t>
            </w:r>
            <w:r>
              <w:rPr>
                <w:rFonts w:hint="eastAsia"/>
                <w:b w:val="0"/>
                <w:color w:val="auto"/>
                <w:sz w:val="21"/>
                <w:highlight w:val="none"/>
                <w:lang w:val="en-US" w:eastAsia="zh-CN"/>
              </w:rPr>
              <w:t>5分</w:t>
            </w:r>
            <w:r>
              <w:rPr>
                <w:rFonts w:hint="eastAsia"/>
                <w:b w:val="0"/>
                <w:color w:val="auto"/>
                <w:sz w:val="21"/>
                <w:highlight w:val="none"/>
                <w:lang w:eastAsia="zh-CN"/>
              </w:rPr>
              <w:t>）</w:t>
            </w:r>
          </w:p>
          <w:p w14:paraId="4ACBA9D2">
            <w:pPr>
              <w:spacing w:after="0" w:line="312" w:lineRule="auto"/>
              <w:rPr>
                <w:rFonts w:ascii="Times New Roman" w:hAnsi="Times New Roman" w:eastAsia="仿宋"/>
                <w:b w:val="0"/>
                <w:color w:val="auto"/>
                <w:sz w:val="21"/>
                <w:highlight w:val="none"/>
              </w:rPr>
            </w:pPr>
            <w:r>
              <w:rPr>
                <w:rFonts w:ascii="Times New Roman" w:hAnsi="Times New Roman" w:eastAsia="仿宋"/>
                <w:b w:val="0"/>
                <w:color w:val="auto"/>
                <w:sz w:val="21"/>
                <w:highlight w:val="none"/>
              </w:rPr>
              <w:t>（仅限1名，须为投标人正式聘任员工，否则本小项不得分）：</w:t>
            </w:r>
          </w:p>
          <w:p w14:paraId="5067DE8D">
            <w:pPr>
              <w:numPr>
                <w:ilvl w:val="-1"/>
                <w:numId w:val="0"/>
              </w:numPr>
              <w:spacing w:after="0" w:line="312" w:lineRule="auto"/>
              <w:rPr>
                <w:rFonts w:hint="eastAsia"/>
                <w:b w:val="0"/>
                <w:color w:val="auto"/>
                <w:sz w:val="21"/>
                <w:highlight w:val="none"/>
                <w:lang w:val="en-US" w:eastAsia="zh-CN"/>
              </w:rPr>
            </w:pPr>
            <w:r>
              <w:rPr>
                <w:rFonts w:hint="eastAsia"/>
                <w:b w:val="0"/>
                <w:color w:val="auto"/>
                <w:sz w:val="21"/>
                <w:highlight w:val="none"/>
                <w:lang w:val="en-US" w:eastAsia="zh-CN"/>
              </w:rPr>
              <w:t>1.具有人力资源和社会保障部门颁发制冷设备维修工(制冷工)职业资格证书，二级/技师等级证书得1分，一级/高级技师等级证书得3分；</w:t>
            </w:r>
          </w:p>
          <w:p w14:paraId="6EE4F34A">
            <w:pPr>
              <w:numPr>
                <w:ilvl w:val="-1"/>
                <w:numId w:val="0"/>
              </w:numPr>
              <w:spacing w:after="0" w:line="312" w:lineRule="auto"/>
              <w:rPr>
                <w:rFonts w:ascii="Times New Roman" w:hAnsi="Times New Roman" w:eastAsia="仿宋"/>
                <w:b w:val="0"/>
                <w:color w:val="auto"/>
                <w:sz w:val="21"/>
                <w:highlight w:val="none"/>
              </w:rPr>
            </w:pPr>
            <w:r>
              <w:rPr>
                <w:rFonts w:hint="eastAsia"/>
                <w:b w:val="0"/>
                <w:color w:val="auto"/>
                <w:sz w:val="21"/>
                <w:highlight w:val="none"/>
                <w:lang w:val="en-US" w:eastAsia="zh-CN"/>
              </w:rPr>
              <w:t>2.</w:t>
            </w:r>
            <w:r>
              <w:rPr>
                <w:rFonts w:hint="eastAsia" w:ascii="Times New Roman" w:hAnsi="Times New Roman" w:eastAsia="仿宋"/>
                <w:b w:val="0"/>
                <w:color w:val="auto"/>
                <w:sz w:val="21"/>
                <w:highlight w:val="none"/>
              </w:rPr>
              <w:t>具有担任项目负责人工作经验，</w:t>
            </w:r>
            <w:r>
              <w:rPr>
                <w:rFonts w:hint="eastAsia"/>
                <w:b w:val="0"/>
                <w:color w:val="auto"/>
                <w:sz w:val="21"/>
                <w:highlight w:val="none"/>
                <w:lang w:eastAsia="zh-CN"/>
              </w:rPr>
              <w:t>每</w:t>
            </w:r>
            <w:r>
              <w:rPr>
                <w:rFonts w:hint="eastAsia" w:ascii="Times New Roman" w:hAnsi="Times New Roman" w:eastAsia="仿宋"/>
                <w:b w:val="0"/>
                <w:color w:val="auto"/>
                <w:sz w:val="21"/>
                <w:highlight w:val="none"/>
              </w:rPr>
              <w:t>提供</w:t>
            </w:r>
            <w:r>
              <w:rPr>
                <w:rFonts w:hint="eastAsia"/>
                <w:b w:val="0"/>
                <w:color w:val="auto"/>
                <w:sz w:val="21"/>
                <w:highlight w:val="none"/>
                <w:lang w:val="en-US" w:eastAsia="zh-CN"/>
              </w:rPr>
              <w:t>1</w:t>
            </w:r>
            <w:r>
              <w:rPr>
                <w:rFonts w:hint="eastAsia" w:ascii="Times New Roman" w:hAnsi="Times New Roman" w:eastAsia="仿宋"/>
                <w:b w:val="0"/>
                <w:color w:val="auto"/>
                <w:sz w:val="21"/>
                <w:highlight w:val="none"/>
              </w:rPr>
              <w:t>个项目业绩</w:t>
            </w:r>
            <w:r>
              <w:rPr>
                <w:rFonts w:hint="eastAsia"/>
                <w:b w:val="0"/>
                <w:color w:val="auto"/>
                <w:sz w:val="21"/>
                <w:highlight w:val="none"/>
                <w:lang w:eastAsia="zh-CN"/>
              </w:rPr>
              <w:t>，</w:t>
            </w:r>
            <w:r>
              <w:rPr>
                <w:rFonts w:hint="eastAsia" w:ascii="Times New Roman" w:hAnsi="Times New Roman" w:eastAsia="仿宋"/>
                <w:b w:val="0"/>
                <w:color w:val="auto"/>
                <w:sz w:val="21"/>
                <w:highlight w:val="none"/>
              </w:rPr>
              <w:t>得</w:t>
            </w:r>
            <w:r>
              <w:rPr>
                <w:rFonts w:hint="eastAsia"/>
                <w:b w:val="0"/>
                <w:color w:val="auto"/>
                <w:sz w:val="21"/>
                <w:highlight w:val="none"/>
                <w:lang w:val="en-US" w:eastAsia="zh-CN"/>
              </w:rPr>
              <w:t>1</w:t>
            </w:r>
            <w:r>
              <w:rPr>
                <w:rFonts w:hint="eastAsia" w:ascii="Times New Roman" w:hAnsi="Times New Roman" w:eastAsia="仿宋"/>
                <w:b w:val="0"/>
                <w:color w:val="auto"/>
                <w:sz w:val="21"/>
                <w:highlight w:val="none"/>
              </w:rPr>
              <w:t>分</w:t>
            </w:r>
            <w:r>
              <w:rPr>
                <w:rFonts w:hint="eastAsia"/>
                <w:b w:val="0"/>
                <w:color w:val="auto"/>
                <w:sz w:val="21"/>
                <w:highlight w:val="none"/>
                <w:lang w:eastAsia="zh-CN"/>
              </w:rPr>
              <w:t>，最高得</w:t>
            </w:r>
            <w:r>
              <w:rPr>
                <w:rFonts w:hint="eastAsia"/>
                <w:b w:val="0"/>
                <w:color w:val="auto"/>
                <w:sz w:val="21"/>
                <w:highlight w:val="none"/>
                <w:lang w:val="en-US" w:eastAsia="zh-CN"/>
              </w:rPr>
              <w:t>2分</w:t>
            </w:r>
            <w:r>
              <w:rPr>
                <w:rFonts w:hint="eastAsia" w:ascii="Times New Roman" w:hAnsi="Times New Roman" w:eastAsia="仿宋"/>
                <w:b w:val="0"/>
                <w:color w:val="auto"/>
                <w:sz w:val="21"/>
                <w:highlight w:val="none"/>
              </w:rPr>
              <w:t>。</w:t>
            </w:r>
          </w:p>
          <w:p w14:paraId="4F6DF69F">
            <w:pPr>
              <w:spacing w:after="0" w:line="312" w:lineRule="auto"/>
              <w:rPr>
                <w:rFonts w:hint="eastAsia" w:ascii="Times New Roman" w:hAnsi="Times New Roman" w:eastAsia="仿宋"/>
                <w:b w:val="0"/>
                <w:color w:val="auto"/>
                <w:sz w:val="21"/>
                <w:highlight w:val="none"/>
                <w:lang w:eastAsia="zh-CN"/>
              </w:rPr>
            </w:pPr>
            <w:r>
              <w:rPr>
                <w:rFonts w:ascii="Times New Roman" w:hAnsi="Times New Roman" w:eastAsia="仿宋"/>
                <w:b w:val="0"/>
                <w:color w:val="auto"/>
                <w:sz w:val="21"/>
                <w:highlight w:val="none"/>
              </w:rPr>
              <w:t>二、项目团队其他成员</w:t>
            </w:r>
            <w:r>
              <w:rPr>
                <w:rFonts w:hint="eastAsia"/>
                <w:b w:val="0"/>
                <w:color w:val="auto"/>
                <w:sz w:val="21"/>
                <w:highlight w:val="none"/>
                <w:lang w:eastAsia="zh-CN"/>
              </w:rPr>
              <w:t>（</w:t>
            </w:r>
            <w:r>
              <w:rPr>
                <w:rFonts w:hint="eastAsia"/>
                <w:b w:val="0"/>
                <w:color w:val="auto"/>
                <w:sz w:val="21"/>
                <w:highlight w:val="none"/>
                <w:lang w:val="en-US" w:eastAsia="zh-CN"/>
              </w:rPr>
              <w:t>15分</w:t>
            </w:r>
            <w:r>
              <w:rPr>
                <w:rFonts w:hint="eastAsia"/>
                <w:b w:val="0"/>
                <w:color w:val="auto"/>
                <w:sz w:val="21"/>
                <w:highlight w:val="none"/>
                <w:lang w:eastAsia="zh-CN"/>
              </w:rPr>
              <w:t>）</w:t>
            </w:r>
          </w:p>
          <w:p w14:paraId="2020BBD3">
            <w:pPr>
              <w:spacing w:after="0" w:line="312" w:lineRule="auto"/>
              <w:rPr>
                <w:rFonts w:hint="eastAsia"/>
                <w:b w:val="0"/>
                <w:color w:val="auto"/>
                <w:sz w:val="21"/>
                <w:highlight w:val="none"/>
                <w:lang w:val="en-US" w:eastAsia="zh-CN"/>
              </w:rPr>
            </w:pPr>
            <w:r>
              <w:rPr>
                <w:rFonts w:hint="eastAsia"/>
                <w:b w:val="0"/>
                <w:color w:val="auto"/>
                <w:sz w:val="21"/>
                <w:highlight w:val="none"/>
                <w:lang w:val="en-US" w:eastAsia="zh-CN"/>
              </w:rPr>
              <w:t>（</w:t>
            </w:r>
            <w:r>
              <w:rPr>
                <w:rFonts w:hint="eastAsia"/>
                <w:color w:val="auto"/>
                <w:sz w:val="21"/>
                <w:highlight w:val="none"/>
              </w:rPr>
              <w:t>需为投标人正式聘任员工，否则本项不得分</w:t>
            </w:r>
            <w:r>
              <w:rPr>
                <w:rFonts w:hint="eastAsia"/>
                <w:b w:val="0"/>
                <w:color w:val="auto"/>
                <w:sz w:val="21"/>
                <w:highlight w:val="none"/>
                <w:lang w:val="en-US" w:eastAsia="zh-CN"/>
              </w:rPr>
              <w:t>）：</w:t>
            </w:r>
          </w:p>
          <w:p w14:paraId="78385B48">
            <w:pPr>
              <w:spacing w:after="0" w:line="312" w:lineRule="auto"/>
              <w:rPr>
                <w:rFonts w:hint="eastAsia" w:eastAsia="仿宋"/>
                <w:color w:val="auto"/>
                <w:sz w:val="21"/>
                <w:highlight w:val="none"/>
                <w:lang w:eastAsia="zh-CN"/>
              </w:rPr>
            </w:pPr>
            <w:r>
              <w:rPr>
                <w:rFonts w:hint="eastAsia"/>
                <w:b w:val="0"/>
                <w:color w:val="auto"/>
                <w:sz w:val="21"/>
                <w:highlight w:val="none"/>
                <w:lang w:val="en-US" w:eastAsia="zh-CN"/>
              </w:rPr>
              <w:t>1.</w:t>
            </w:r>
            <w:r>
              <w:rPr>
                <w:rFonts w:hint="eastAsia"/>
                <w:color w:val="auto"/>
                <w:sz w:val="21"/>
                <w:highlight w:val="none"/>
              </w:rPr>
              <w:t>具有制冷与空调作业</w:t>
            </w:r>
            <w:r>
              <w:rPr>
                <w:rFonts w:hint="eastAsia"/>
                <w:color w:val="auto"/>
                <w:sz w:val="21"/>
                <w:highlight w:val="none"/>
                <w:lang w:eastAsia="zh-CN"/>
              </w:rPr>
              <w:t>证、</w:t>
            </w:r>
            <w:r>
              <w:rPr>
                <w:rFonts w:hint="eastAsia"/>
                <w:color w:val="auto"/>
                <w:sz w:val="21"/>
                <w:highlight w:val="none"/>
              </w:rPr>
              <w:t>每提供一人得</w:t>
            </w:r>
            <w:r>
              <w:rPr>
                <w:rFonts w:hint="eastAsia"/>
                <w:color w:val="auto"/>
                <w:sz w:val="21"/>
                <w:highlight w:val="none"/>
                <w:lang w:val="en-US" w:eastAsia="zh-CN"/>
              </w:rPr>
              <w:t>1</w:t>
            </w:r>
            <w:r>
              <w:rPr>
                <w:rFonts w:hint="eastAsia"/>
                <w:color w:val="auto"/>
                <w:sz w:val="21"/>
                <w:highlight w:val="none"/>
              </w:rPr>
              <w:t>分，本项最高得</w:t>
            </w:r>
            <w:r>
              <w:rPr>
                <w:rFonts w:hint="eastAsia"/>
                <w:color w:val="auto"/>
                <w:sz w:val="21"/>
                <w:highlight w:val="none"/>
                <w:lang w:val="en-US" w:eastAsia="zh-CN"/>
              </w:rPr>
              <w:t>3</w:t>
            </w:r>
            <w:r>
              <w:rPr>
                <w:rFonts w:hint="eastAsia"/>
                <w:color w:val="auto"/>
                <w:sz w:val="21"/>
                <w:highlight w:val="none"/>
              </w:rPr>
              <w:t>分</w:t>
            </w:r>
            <w:r>
              <w:rPr>
                <w:rFonts w:hint="eastAsia"/>
                <w:color w:val="auto"/>
                <w:sz w:val="21"/>
                <w:highlight w:val="none"/>
                <w:lang w:eastAsia="zh-CN"/>
              </w:rPr>
              <w:t>；</w:t>
            </w:r>
          </w:p>
          <w:p w14:paraId="388F0ABD">
            <w:pPr>
              <w:spacing w:after="0" w:line="312" w:lineRule="auto"/>
              <w:rPr>
                <w:rFonts w:hint="eastAsia"/>
                <w:color w:val="auto"/>
                <w:sz w:val="21"/>
                <w:highlight w:val="none"/>
                <w:lang w:eastAsia="zh-CN"/>
              </w:rPr>
            </w:pPr>
            <w:r>
              <w:rPr>
                <w:rFonts w:hint="eastAsia"/>
                <w:color w:val="auto"/>
                <w:sz w:val="21"/>
                <w:highlight w:val="none"/>
                <w:lang w:val="en-US" w:eastAsia="zh-CN"/>
              </w:rPr>
              <w:t>2.具有</w:t>
            </w:r>
            <w:r>
              <w:rPr>
                <w:rFonts w:hint="eastAsia"/>
                <w:color w:val="auto"/>
                <w:sz w:val="21"/>
                <w:highlight w:val="none"/>
                <w:lang w:eastAsia="zh-CN"/>
              </w:rPr>
              <w:t>高压或</w:t>
            </w:r>
            <w:r>
              <w:rPr>
                <w:rFonts w:hint="eastAsia"/>
                <w:color w:val="auto"/>
                <w:sz w:val="21"/>
                <w:highlight w:val="none"/>
              </w:rPr>
              <w:t>低压电工作业证</w:t>
            </w:r>
            <w:r>
              <w:rPr>
                <w:rFonts w:hint="eastAsia"/>
                <w:color w:val="auto"/>
                <w:sz w:val="21"/>
                <w:highlight w:val="none"/>
                <w:lang w:eastAsia="zh-CN"/>
              </w:rPr>
              <w:t>，</w:t>
            </w:r>
            <w:r>
              <w:rPr>
                <w:rFonts w:hint="eastAsia"/>
                <w:color w:val="auto"/>
                <w:sz w:val="21"/>
                <w:highlight w:val="none"/>
              </w:rPr>
              <w:t>每提供一人得</w:t>
            </w:r>
            <w:r>
              <w:rPr>
                <w:rFonts w:hint="eastAsia"/>
                <w:color w:val="auto"/>
                <w:sz w:val="21"/>
                <w:highlight w:val="none"/>
                <w:lang w:val="en-US" w:eastAsia="zh-CN"/>
              </w:rPr>
              <w:t>1</w:t>
            </w:r>
            <w:r>
              <w:rPr>
                <w:rFonts w:hint="eastAsia"/>
                <w:color w:val="auto"/>
                <w:sz w:val="21"/>
                <w:highlight w:val="none"/>
              </w:rPr>
              <w:t>分，本项最高得</w:t>
            </w:r>
            <w:r>
              <w:rPr>
                <w:rFonts w:hint="eastAsia"/>
                <w:color w:val="auto"/>
                <w:sz w:val="21"/>
                <w:highlight w:val="none"/>
                <w:lang w:val="en-US" w:eastAsia="zh-CN"/>
              </w:rPr>
              <w:t>3</w:t>
            </w:r>
            <w:r>
              <w:rPr>
                <w:rFonts w:hint="eastAsia"/>
                <w:color w:val="auto"/>
                <w:sz w:val="21"/>
                <w:highlight w:val="none"/>
              </w:rPr>
              <w:t>分</w:t>
            </w:r>
          </w:p>
          <w:p w14:paraId="6C96E614">
            <w:pPr>
              <w:spacing w:after="0" w:line="312" w:lineRule="auto"/>
              <w:rPr>
                <w:rFonts w:hint="eastAsia" w:eastAsia="仿宋"/>
                <w:color w:val="auto"/>
                <w:sz w:val="21"/>
                <w:highlight w:val="none"/>
                <w:lang w:eastAsia="zh-CN"/>
              </w:rPr>
            </w:pPr>
            <w:r>
              <w:rPr>
                <w:rFonts w:hint="eastAsia"/>
                <w:color w:val="auto"/>
                <w:sz w:val="21"/>
                <w:highlight w:val="none"/>
                <w:lang w:val="en-US" w:eastAsia="zh-CN"/>
              </w:rPr>
              <w:t>3.具有</w:t>
            </w:r>
            <w:r>
              <w:rPr>
                <w:rFonts w:hint="eastAsia"/>
                <w:color w:val="auto"/>
                <w:sz w:val="21"/>
                <w:highlight w:val="none"/>
              </w:rPr>
              <w:t>高处安装、维护、拆除作业证</w:t>
            </w:r>
            <w:r>
              <w:rPr>
                <w:rFonts w:hint="eastAsia"/>
                <w:color w:val="auto"/>
                <w:sz w:val="21"/>
                <w:highlight w:val="none"/>
                <w:lang w:eastAsia="zh-CN"/>
              </w:rPr>
              <w:t>，</w:t>
            </w:r>
            <w:r>
              <w:rPr>
                <w:rFonts w:hint="eastAsia"/>
                <w:color w:val="auto"/>
                <w:sz w:val="21"/>
                <w:highlight w:val="none"/>
              </w:rPr>
              <w:t>每提供一人得</w:t>
            </w:r>
            <w:r>
              <w:rPr>
                <w:rFonts w:hint="eastAsia"/>
                <w:color w:val="auto"/>
                <w:sz w:val="21"/>
                <w:highlight w:val="none"/>
                <w:lang w:val="en-US" w:eastAsia="zh-CN"/>
              </w:rPr>
              <w:t>1</w:t>
            </w:r>
            <w:r>
              <w:rPr>
                <w:rFonts w:hint="eastAsia"/>
                <w:color w:val="auto"/>
                <w:sz w:val="21"/>
                <w:highlight w:val="none"/>
              </w:rPr>
              <w:t>分，本项最高得</w:t>
            </w:r>
            <w:r>
              <w:rPr>
                <w:rFonts w:hint="eastAsia"/>
                <w:color w:val="auto"/>
                <w:sz w:val="21"/>
                <w:highlight w:val="none"/>
                <w:lang w:val="en-US" w:eastAsia="zh-CN"/>
              </w:rPr>
              <w:t>3</w:t>
            </w:r>
            <w:r>
              <w:rPr>
                <w:rFonts w:hint="eastAsia"/>
                <w:color w:val="auto"/>
                <w:sz w:val="21"/>
                <w:highlight w:val="none"/>
              </w:rPr>
              <w:t>分</w:t>
            </w:r>
            <w:r>
              <w:rPr>
                <w:rFonts w:hint="eastAsia"/>
                <w:color w:val="auto"/>
                <w:sz w:val="21"/>
                <w:highlight w:val="none"/>
                <w:lang w:eastAsia="zh-CN"/>
              </w:rPr>
              <w:t>；</w:t>
            </w:r>
          </w:p>
          <w:p w14:paraId="5DD45EA9">
            <w:pPr>
              <w:spacing w:after="0" w:line="312" w:lineRule="auto"/>
              <w:rPr>
                <w:rFonts w:hint="eastAsia"/>
                <w:color w:val="auto"/>
                <w:sz w:val="21"/>
                <w:highlight w:val="none"/>
              </w:rPr>
            </w:pPr>
            <w:r>
              <w:rPr>
                <w:rFonts w:hint="eastAsia"/>
                <w:color w:val="auto"/>
                <w:sz w:val="21"/>
                <w:highlight w:val="none"/>
                <w:lang w:val="en-US" w:eastAsia="zh-CN"/>
              </w:rPr>
              <w:t>4.具有</w:t>
            </w:r>
            <w:r>
              <w:rPr>
                <w:rFonts w:hint="eastAsia"/>
                <w:color w:val="auto"/>
                <w:sz w:val="21"/>
                <w:highlight w:val="none"/>
                <w:lang w:eastAsia="zh-CN"/>
              </w:rPr>
              <w:t>焊接特种作业证</w:t>
            </w:r>
            <w:r>
              <w:rPr>
                <w:rFonts w:hint="eastAsia"/>
                <w:color w:val="auto"/>
                <w:sz w:val="21"/>
                <w:highlight w:val="none"/>
              </w:rPr>
              <w:t>，每提供一人得</w:t>
            </w:r>
            <w:r>
              <w:rPr>
                <w:rFonts w:hint="eastAsia"/>
                <w:color w:val="auto"/>
                <w:sz w:val="21"/>
                <w:highlight w:val="none"/>
                <w:lang w:val="en-US" w:eastAsia="zh-CN"/>
              </w:rPr>
              <w:t>1</w:t>
            </w:r>
            <w:r>
              <w:rPr>
                <w:rFonts w:hint="eastAsia"/>
                <w:color w:val="auto"/>
                <w:sz w:val="21"/>
                <w:highlight w:val="none"/>
              </w:rPr>
              <w:t>分，本项最高得</w:t>
            </w:r>
            <w:r>
              <w:rPr>
                <w:rFonts w:hint="eastAsia"/>
                <w:color w:val="auto"/>
                <w:sz w:val="21"/>
                <w:highlight w:val="none"/>
                <w:lang w:val="en-US" w:eastAsia="zh-CN"/>
              </w:rPr>
              <w:t>3</w:t>
            </w:r>
            <w:r>
              <w:rPr>
                <w:rFonts w:hint="eastAsia"/>
                <w:color w:val="auto"/>
                <w:sz w:val="21"/>
                <w:highlight w:val="none"/>
              </w:rPr>
              <w:t>分；</w:t>
            </w:r>
          </w:p>
          <w:p w14:paraId="47338021">
            <w:pPr>
              <w:spacing w:after="0" w:line="312" w:lineRule="auto"/>
              <w:rPr>
                <w:color w:val="auto"/>
                <w:highlight w:val="none"/>
              </w:rPr>
            </w:pPr>
            <w:r>
              <w:rPr>
                <w:rFonts w:hint="eastAsia"/>
                <w:color w:val="auto"/>
                <w:sz w:val="21"/>
                <w:highlight w:val="none"/>
                <w:lang w:val="en-US" w:eastAsia="zh-CN"/>
              </w:rPr>
              <w:t>5.</w:t>
            </w:r>
            <w:r>
              <w:rPr>
                <w:rFonts w:hint="eastAsia"/>
                <w:color w:val="auto"/>
                <w:sz w:val="21"/>
                <w:highlight w:val="none"/>
              </w:rPr>
              <w:t>具有《工业、商用循环水处理专业技术人员培训证书》的，每提供一人得</w:t>
            </w:r>
            <w:r>
              <w:rPr>
                <w:rFonts w:hint="eastAsia"/>
                <w:color w:val="auto"/>
                <w:sz w:val="21"/>
                <w:highlight w:val="none"/>
                <w:lang w:val="en-US" w:eastAsia="zh-CN"/>
              </w:rPr>
              <w:t>1</w:t>
            </w:r>
            <w:r>
              <w:rPr>
                <w:rFonts w:hint="eastAsia"/>
                <w:color w:val="auto"/>
                <w:sz w:val="21"/>
                <w:highlight w:val="none"/>
              </w:rPr>
              <w:t>分，本项最高得</w:t>
            </w:r>
            <w:r>
              <w:rPr>
                <w:rFonts w:hint="eastAsia"/>
                <w:color w:val="auto"/>
                <w:sz w:val="21"/>
                <w:highlight w:val="none"/>
                <w:lang w:val="en-US" w:eastAsia="zh-CN"/>
              </w:rPr>
              <w:t>3</w:t>
            </w:r>
            <w:r>
              <w:rPr>
                <w:rFonts w:hint="eastAsia"/>
                <w:color w:val="auto"/>
                <w:sz w:val="21"/>
                <w:highlight w:val="none"/>
              </w:rPr>
              <w:t>分；</w:t>
            </w:r>
          </w:p>
          <w:p w14:paraId="154BB817">
            <w:pPr>
              <w:spacing w:line="312" w:lineRule="auto"/>
              <w:rPr>
                <w:color w:val="auto"/>
                <w:highlight w:val="none"/>
              </w:rPr>
            </w:pPr>
            <w:r>
              <w:rPr>
                <w:rFonts w:hint="eastAsia"/>
                <w:color w:val="auto"/>
                <w:sz w:val="21"/>
                <w:highlight w:val="none"/>
                <w:lang w:val="en-US" w:eastAsia="zh-CN"/>
              </w:rPr>
              <w:t>6.</w:t>
            </w:r>
            <w:r>
              <w:rPr>
                <w:rFonts w:hint="eastAsia"/>
                <w:color w:val="auto"/>
                <w:sz w:val="21"/>
                <w:highlight w:val="none"/>
                <w:lang w:eastAsia="zh-CN"/>
              </w:rPr>
              <w:t>以上</w:t>
            </w:r>
            <w:r>
              <w:rPr>
                <w:rFonts w:ascii="Times New Roman" w:hAnsi="Times New Roman" w:eastAsia="仿宋"/>
                <w:b w:val="0"/>
                <w:color w:val="auto"/>
                <w:sz w:val="21"/>
                <w:highlight w:val="none"/>
              </w:rPr>
              <w:t>同一人员</w:t>
            </w:r>
            <w:r>
              <w:rPr>
                <w:rFonts w:hint="eastAsia"/>
                <w:b w:val="0"/>
                <w:color w:val="auto"/>
                <w:sz w:val="21"/>
                <w:highlight w:val="none"/>
                <w:lang w:eastAsia="zh-CN"/>
              </w:rPr>
              <w:t>可</w:t>
            </w:r>
            <w:r>
              <w:rPr>
                <w:rFonts w:ascii="Times New Roman" w:hAnsi="Times New Roman" w:eastAsia="仿宋"/>
                <w:b w:val="0"/>
                <w:color w:val="auto"/>
                <w:sz w:val="21"/>
                <w:highlight w:val="none"/>
              </w:rPr>
              <w:t>重复计分。</w:t>
            </w:r>
          </w:p>
          <w:p w14:paraId="398EA4CB">
            <w:pPr>
              <w:spacing w:after="0" w:line="312" w:lineRule="auto"/>
              <w:rPr>
                <w:rFonts w:hint="eastAsia"/>
                <w:color w:val="auto"/>
                <w:sz w:val="21"/>
                <w:highlight w:val="none"/>
              </w:rPr>
            </w:pPr>
            <w:r>
              <w:rPr>
                <w:rFonts w:ascii="Times New Roman" w:hAnsi="Times New Roman" w:eastAsia="仿宋"/>
                <w:b w:val="0"/>
                <w:color w:val="auto"/>
                <w:sz w:val="21"/>
                <w:highlight w:val="none"/>
              </w:rPr>
              <w:t>【证明材料】</w:t>
            </w:r>
            <w:r>
              <w:rPr>
                <w:rFonts w:hint="eastAsia"/>
                <w:color w:val="auto"/>
                <w:sz w:val="21"/>
                <w:highlight w:val="none"/>
              </w:rPr>
              <w:t>提供以上人员有效证书复印件(如属于特种作业操作证的，还需提供在应急管理部(http://cx.mem.gov.cn/)官方网站查询结果的截图证明)及投标人为上述人员缴纳的近</w:t>
            </w:r>
            <w:r>
              <w:rPr>
                <w:rFonts w:hint="eastAsia"/>
                <w:color w:val="auto"/>
                <w:sz w:val="21"/>
                <w:highlight w:val="none"/>
                <w:lang w:val="en-US" w:eastAsia="zh-CN"/>
              </w:rPr>
              <w:t>3</w:t>
            </w:r>
            <w:r>
              <w:rPr>
                <w:rFonts w:hint="eastAsia"/>
                <w:color w:val="auto"/>
                <w:sz w:val="21"/>
                <w:highlight w:val="none"/>
              </w:rPr>
              <w:t>个月（以投标人所在地社保局能开具的近</w:t>
            </w:r>
            <w:r>
              <w:rPr>
                <w:rFonts w:hint="eastAsia"/>
                <w:color w:val="auto"/>
                <w:sz w:val="21"/>
                <w:highlight w:val="none"/>
                <w:lang w:val="en-US" w:eastAsia="zh-CN"/>
              </w:rPr>
              <w:t>3</w:t>
            </w:r>
            <w:r>
              <w:rPr>
                <w:rFonts w:hint="eastAsia"/>
                <w:color w:val="auto"/>
                <w:sz w:val="21"/>
                <w:highlight w:val="none"/>
              </w:rPr>
              <w:t>个月社保为准）的社保证明复印件，加盖投标人公章。</w:t>
            </w:r>
          </w:p>
          <w:p w14:paraId="283FAB5A">
            <w:pPr>
              <w:pStyle w:val="2"/>
              <w:rPr>
                <w:color w:val="auto"/>
                <w:highlight w:val="none"/>
              </w:rPr>
            </w:pPr>
          </w:p>
        </w:tc>
      </w:tr>
      <w:tr w14:paraId="75D0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Merge w:val="restart"/>
            <w:vAlign w:val="center"/>
          </w:tcPr>
          <w:p w14:paraId="4BE432D2">
            <w:pPr>
              <w:spacing w:after="0" w:line="312" w:lineRule="auto"/>
              <w:jc w:val="center"/>
            </w:pPr>
            <w:r>
              <w:rPr>
                <w:rFonts w:ascii="Times New Roman" w:hAnsi="Times New Roman" w:eastAsia="仿宋"/>
                <w:b/>
                <w:sz w:val="21"/>
              </w:rPr>
              <w:t>3</w:t>
            </w:r>
          </w:p>
        </w:tc>
        <w:tc>
          <w:tcPr>
            <w:tcW w:w="1446" w:type="dxa"/>
            <w:vMerge w:val="restart"/>
            <w:vAlign w:val="center"/>
          </w:tcPr>
          <w:p w14:paraId="4BE12104">
            <w:pPr>
              <w:spacing w:after="0" w:line="312" w:lineRule="auto"/>
              <w:jc w:val="center"/>
            </w:pPr>
            <w:r>
              <w:rPr>
                <w:rFonts w:ascii="Times New Roman" w:hAnsi="Times New Roman" w:eastAsia="仿宋"/>
                <w:b/>
                <w:sz w:val="21"/>
              </w:rPr>
              <w:t>技术评分</w:t>
            </w:r>
          </w:p>
          <w:p w14:paraId="41496245">
            <w:pPr>
              <w:spacing w:after="0" w:line="312" w:lineRule="auto"/>
              <w:jc w:val="center"/>
            </w:pPr>
            <w:r>
              <w:rPr>
                <w:rFonts w:ascii="Times New Roman" w:hAnsi="Times New Roman" w:eastAsia="仿宋"/>
                <w:b/>
                <w:sz w:val="21"/>
              </w:rPr>
              <w:t>（</w:t>
            </w:r>
            <w:r>
              <w:rPr>
                <w:rFonts w:hint="eastAsia"/>
                <w:b/>
                <w:sz w:val="21"/>
                <w:lang w:val="en-US" w:eastAsia="zh-CN"/>
              </w:rPr>
              <w:t>25</w:t>
            </w:r>
            <w:r>
              <w:rPr>
                <w:rFonts w:ascii="Times New Roman" w:hAnsi="Times New Roman" w:eastAsia="仿宋"/>
                <w:b/>
                <w:sz w:val="21"/>
              </w:rPr>
              <w:t>%）</w:t>
            </w:r>
          </w:p>
        </w:tc>
        <w:tc>
          <w:tcPr>
            <w:tcW w:w="1509" w:type="dxa"/>
            <w:vAlign w:val="center"/>
          </w:tcPr>
          <w:p w14:paraId="11842590">
            <w:pPr>
              <w:spacing w:after="0" w:line="312" w:lineRule="auto"/>
              <w:jc w:val="center"/>
            </w:pPr>
            <w:r>
              <w:rPr>
                <w:rFonts w:ascii="Times New Roman" w:hAnsi="Times New Roman" w:eastAsia="仿宋"/>
                <w:b w:val="0"/>
                <w:sz w:val="21"/>
              </w:rPr>
              <w:t>项目重点、难点分析及应对措施</w:t>
            </w:r>
          </w:p>
        </w:tc>
        <w:tc>
          <w:tcPr>
            <w:tcW w:w="636" w:type="dxa"/>
            <w:vAlign w:val="center"/>
          </w:tcPr>
          <w:p w14:paraId="34524748">
            <w:pPr>
              <w:spacing w:after="0" w:line="312" w:lineRule="auto"/>
              <w:jc w:val="center"/>
              <w:rPr>
                <w:rFonts w:hint="eastAsia" w:eastAsia="仿宋"/>
                <w:lang w:eastAsia="zh-CN"/>
              </w:rPr>
            </w:pPr>
            <w:r>
              <w:rPr>
                <w:rFonts w:hint="eastAsia"/>
                <w:b w:val="0"/>
                <w:sz w:val="21"/>
                <w:lang w:val="en-US" w:eastAsia="zh-CN"/>
              </w:rPr>
              <w:t>6</w:t>
            </w:r>
          </w:p>
        </w:tc>
        <w:tc>
          <w:tcPr>
            <w:tcW w:w="4870" w:type="dxa"/>
            <w:vAlign w:val="center"/>
          </w:tcPr>
          <w:p w14:paraId="3C611385">
            <w:pPr>
              <w:spacing w:after="0" w:line="312" w:lineRule="auto"/>
              <w:rPr>
                <w:rFonts w:hint="eastAsia"/>
                <w:sz w:val="21"/>
              </w:rPr>
            </w:pPr>
            <w:r>
              <w:rPr>
                <w:rFonts w:hint="eastAsia"/>
                <w:sz w:val="21"/>
              </w:rPr>
              <w:t>各投标人针对本项目的理解，分析项目在实施过程中的重点、难点及其解决措施情况进行综合评价:</w:t>
            </w:r>
          </w:p>
          <w:p w14:paraId="6D423B11">
            <w:pPr>
              <w:spacing w:after="0" w:line="312" w:lineRule="auto"/>
              <w:rPr>
                <w:rFonts w:hint="eastAsia"/>
                <w:sz w:val="21"/>
              </w:rPr>
            </w:pPr>
            <w:r>
              <w:rPr>
                <w:rFonts w:hint="eastAsia"/>
                <w:sz w:val="21"/>
              </w:rPr>
              <w:t>1.对项目的重点、难点分析准确，解决措施科学合理，可操作性强，得5~6分;</w:t>
            </w:r>
          </w:p>
          <w:p w14:paraId="2391CB06">
            <w:pPr>
              <w:spacing w:after="0" w:line="312" w:lineRule="auto"/>
              <w:rPr>
                <w:rFonts w:hint="eastAsia"/>
                <w:sz w:val="21"/>
              </w:rPr>
            </w:pPr>
            <w:r>
              <w:rPr>
                <w:rFonts w:hint="eastAsia"/>
                <w:sz w:val="21"/>
              </w:rPr>
              <w:t>2.对项目重点、难点分析较准确，解决措施基本合理，可操作性一般，得3~4分;</w:t>
            </w:r>
          </w:p>
          <w:p w14:paraId="71D8793A">
            <w:pPr>
              <w:spacing w:after="0" w:line="312" w:lineRule="auto"/>
            </w:pPr>
            <w:r>
              <w:rPr>
                <w:rFonts w:hint="eastAsia"/>
                <w:sz w:val="21"/>
              </w:rPr>
              <w:t>3.对项目重点、难点分析不准确，解决措施不合理，可操作性差，得1~2分。</w:t>
            </w:r>
          </w:p>
        </w:tc>
      </w:tr>
      <w:tr w14:paraId="6D52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Merge w:val="continue"/>
          </w:tcPr>
          <w:p w14:paraId="26D243DE">
            <w:pPr>
              <w:spacing w:after="0" w:line="240" w:lineRule="auto"/>
            </w:pPr>
          </w:p>
        </w:tc>
        <w:tc>
          <w:tcPr>
            <w:tcW w:w="1446" w:type="dxa"/>
            <w:vMerge w:val="continue"/>
          </w:tcPr>
          <w:p w14:paraId="7681731F">
            <w:pPr>
              <w:spacing w:after="0" w:line="240" w:lineRule="auto"/>
            </w:pPr>
          </w:p>
        </w:tc>
        <w:tc>
          <w:tcPr>
            <w:tcW w:w="1509" w:type="dxa"/>
            <w:vAlign w:val="center"/>
          </w:tcPr>
          <w:p w14:paraId="1F8B3C90">
            <w:pPr>
              <w:spacing w:after="0" w:line="312" w:lineRule="auto"/>
              <w:jc w:val="center"/>
            </w:pPr>
            <w:r>
              <w:rPr>
                <w:rFonts w:ascii="Times New Roman" w:hAnsi="Times New Roman" w:eastAsia="仿宋"/>
                <w:b w:val="0"/>
                <w:sz w:val="21"/>
              </w:rPr>
              <w:t>服务方案</w:t>
            </w:r>
          </w:p>
        </w:tc>
        <w:tc>
          <w:tcPr>
            <w:tcW w:w="636" w:type="dxa"/>
            <w:vAlign w:val="center"/>
          </w:tcPr>
          <w:p w14:paraId="1A9DA1DF">
            <w:pPr>
              <w:spacing w:after="0" w:line="312" w:lineRule="auto"/>
              <w:jc w:val="center"/>
              <w:rPr>
                <w:rFonts w:hint="eastAsia" w:eastAsia="仿宋"/>
                <w:lang w:eastAsia="zh-CN"/>
              </w:rPr>
            </w:pPr>
            <w:r>
              <w:rPr>
                <w:rFonts w:hint="eastAsia"/>
                <w:b w:val="0"/>
                <w:sz w:val="21"/>
                <w:lang w:val="en-US" w:eastAsia="zh-CN"/>
              </w:rPr>
              <w:t>6</w:t>
            </w:r>
          </w:p>
        </w:tc>
        <w:tc>
          <w:tcPr>
            <w:tcW w:w="4870" w:type="dxa"/>
            <w:vAlign w:val="center"/>
          </w:tcPr>
          <w:p w14:paraId="00CAB568">
            <w:pPr>
              <w:spacing w:after="0" w:line="312" w:lineRule="auto"/>
              <w:rPr>
                <w:rFonts w:hint="eastAsia"/>
                <w:sz w:val="21"/>
              </w:rPr>
            </w:pPr>
            <w:r>
              <w:rPr>
                <w:rFonts w:hint="eastAsia"/>
                <w:sz w:val="21"/>
              </w:rPr>
              <w:t>对比各投标人的服务方案(包括但不限于维护服务流程、服务标准、服务管理、服务措施、安全保障措施等)进行综合评价:</w:t>
            </w:r>
          </w:p>
          <w:p w14:paraId="671638A2">
            <w:pPr>
              <w:spacing w:after="0" w:line="312" w:lineRule="auto"/>
              <w:rPr>
                <w:rFonts w:hint="eastAsia"/>
                <w:sz w:val="21"/>
              </w:rPr>
            </w:pPr>
            <w:r>
              <w:rPr>
                <w:rFonts w:hint="eastAsia"/>
                <w:sz w:val="21"/>
              </w:rPr>
              <w:t>1.服务方案完整，各项措施全面，针对性强得5~6分;</w:t>
            </w:r>
          </w:p>
          <w:p w14:paraId="0642B2F4">
            <w:pPr>
              <w:spacing w:after="0" w:line="312" w:lineRule="auto"/>
              <w:rPr>
                <w:rFonts w:hint="eastAsia"/>
                <w:sz w:val="21"/>
              </w:rPr>
            </w:pPr>
            <w:r>
              <w:rPr>
                <w:rFonts w:hint="eastAsia"/>
                <w:sz w:val="21"/>
              </w:rPr>
              <w:t>2.服务方案较完整，各项措施不够全面，针对性一般得3~4分；</w:t>
            </w:r>
          </w:p>
          <w:p w14:paraId="57F5C543">
            <w:pPr>
              <w:spacing w:after="0" w:line="312" w:lineRule="auto"/>
            </w:pPr>
            <w:r>
              <w:rPr>
                <w:rFonts w:hint="eastAsia"/>
                <w:sz w:val="21"/>
              </w:rPr>
              <w:t>3.服务方案不完整，各项措施不全面，针对性较差得1~2分。</w:t>
            </w:r>
          </w:p>
        </w:tc>
      </w:tr>
      <w:tr w14:paraId="72AB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Merge w:val="continue"/>
          </w:tcPr>
          <w:p w14:paraId="6452345E">
            <w:pPr>
              <w:spacing w:after="0" w:line="240" w:lineRule="auto"/>
            </w:pPr>
          </w:p>
        </w:tc>
        <w:tc>
          <w:tcPr>
            <w:tcW w:w="1446" w:type="dxa"/>
            <w:vMerge w:val="continue"/>
          </w:tcPr>
          <w:p w14:paraId="28F52B3E">
            <w:pPr>
              <w:spacing w:after="0" w:line="240" w:lineRule="auto"/>
            </w:pPr>
          </w:p>
        </w:tc>
        <w:tc>
          <w:tcPr>
            <w:tcW w:w="1509" w:type="dxa"/>
            <w:vAlign w:val="center"/>
          </w:tcPr>
          <w:p w14:paraId="3B69F115">
            <w:pPr>
              <w:spacing w:after="0" w:line="312" w:lineRule="auto"/>
              <w:jc w:val="center"/>
            </w:pPr>
            <w:r>
              <w:rPr>
                <w:rFonts w:hint="eastAsia"/>
                <w:sz w:val="21"/>
              </w:rPr>
              <w:t>质量保证措施</w:t>
            </w:r>
          </w:p>
        </w:tc>
        <w:tc>
          <w:tcPr>
            <w:tcW w:w="636" w:type="dxa"/>
            <w:vAlign w:val="center"/>
          </w:tcPr>
          <w:p w14:paraId="20432F81">
            <w:pPr>
              <w:spacing w:after="0" w:line="312" w:lineRule="auto"/>
              <w:jc w:val="center"/>
              <w:rPr>
                <w:rFonts w:hint="eastAsia" w:eastAsia="仿宋"/>
                <w:lang w:eastAsia="zh-CN"/>
              </w:rPr>
            </w:pPr>
            <w:r>
              <w:rPr>
                <w:rFonts w:hint="eastAsia"/>
                <w:b w:val="0"/>
                <w:sz w:val="21"/>
                <w:lang w:val="en-US" w:eastAsia="zh-CN"/>
              </w:rPr>
              <w:t>7</w:t>
            </w:r>
          </w:p>
        </w:tc>
        <w:tc>
          <w:tcPr>
            <w:tcW w:w="4870" w:type="dxa"/>
            <w:vAlign w:val="center"/>
          </w:tcPr>
          <w:p w14:paraId="5AE56E7D">
            <w:pPr>
              <w:spacing w:after="0" w:line="312" w:lineRule="auto"/>
              <w:rPr>
                <w:rFonts w:hint="eastAsia"/>
                <w:sz w:val="21"/>
              </w:rPr>
            </w:pPr>
            <w:r>
              <w:rPr>
                <w:rFonts w:hint="eastAsia"/>
                <w:sz w:val="21"/>
              </w:rPr>
              <w:t>投标文件中质量保障措施详细阐述项目质量保障方案，包括但不限于质量控制方案、团队能力保障方案及质量管理制度等。</w:t>
            </w:r>
          </w:p>
          <w:p w14:paraId="4D25AEB7">
            <w:pPr>
              <w:spacing w:after="0" w:line="312" w:lineRule="auto"/>
              <w:rPr>
                <w:rFonts w:hint="eastAsia"/>
                <w:sz w:val="21"/>
              </w:rPr>
            </w:pPr>
            <w:r>
              <w:rPr>
                <w:rFonts w:hint="eastAsia"/>
                <w:sz w:val="21"/>
              </w:rPr>
              <w:t>1.质量保障措施及方案科学、详实得5~7分;</w:t>
            </w:r>
          </w:p>
          <w:p w14:paraId="20422A16">
            <w:pPr>
              <w:spacing w:after="0" w:line="312" w:lineRule="auto"/>
              <w:rPr>
                <w:rFonts w:hint="eastAsia"/>
                <w:sz w:val="21"/>
              </w:rPr>
            </w:pPr>
            <w:r>
              <w:rPr>
                <w:rFonts w:hint="eastAsia"/>
                <w:sz w:val="21"/>
              </w:rPr>
              <w:t>2.质量保障措施及方案合理得2~4分;</w:t>
            </w:r>
          </w:p>
          <w:p w14:paraId="39EE0937">
            <w:pPr>
              <w:spacing w:after="0" w:line="312" w:lineRule="auto"/>
            </w:pPr>
            <w:r>
              <w:rPr>
                <w:rFonts w:hint="eastAsia"/>
                <w:sz w:val="21"/>
              </w:rPr>
              <w:t>3.质量保障措施及方案符合要求但缺乏合理性得1~2分。</w:t>
            </w:r>
          </w:p>
        </w:tc>
      </w:tr>
      <w:tr w14:paraId="1EDF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vMerge w:val="continue"/>
          </w:tcPr>
          <w:p w14:paraId="5384A62A">
            <w:pPr>
              <w:spacing w:after="0" w:line="240" w:lineRule="auto"/>
            </w:pPr>
          </w:p>
        </w:tc>
        <w:tc>
          <w:tcPr>
            <w:tcW w:w="1446" w:type="dxa"/>
            <w:vMerge w:val="continue"/>
          </w:tcPr>
          <w:p w14:paraId="040FA6D5">
            <w:pPr>
              <w:spacing w:after="0" w:line="240" w:lineRule="auto"/>
            </w:pPr>
          </w:p>
        </w:tc>
        <w:tc>
          <w:tcPr>
            <w:tcW w:w="1509" w:type="dxa"/>
            <w:vAlign w:val="center"/>
          </w:tcPr>
          <w:p w14:paraId="18C29A36">
            <w:pPr>
              <w:spacing w:after="0" w:line="312" w:lineRule="auto"/>
              <w:jc w:val="center"/>
            </w:pPr>
            <w:r>
              <w:rPr>
                <w:rFonts w:ascii="Times New Roman" w:hAnsi="Times New Roman" w:eastAsia="仿宋"/>
                <w:b w:val="0"/>
                <w:sz w:val="21"/>
              </w:rPr>
              <w:t>应急抢修预案</w:t>
            </w:r>
          </w:p>
        </w:tc>
        <w:tc>
          <w:tcPr>
            <w:tcW w:w="636" w:type="dxa"/>
            <w:vAlign w:val="center"/>
          </w:tcPr>
          <w:p w14:paraId="5FDFB137">
            <w:pPr>
              <w:spacing w:after="0" w:line="312" w:lineRule="auto"/>
              <w:jc w:val="center"/>
              <w:rPr>
                <w:rFonts w:hint="eastAsia" w:eastAsia="仿宋"/>
                <w:lang w:eastAsia="zh-CN"/>
              </w:rPr>
            </w:pPr>
            <w:r>
              <w:rPr>
                <w:rFonts w:hint="eastAsia"/>
                <w:b w:val="0"/>
                <w:sz w:val="21"/>
                <w:lang w:val="en-US" w:eastAsia="zh-CN"/>
              </w:rPr>
              <w:t>6</w:t>
            </w:r>
          </w:p>
        </w:tc>
        <w:tc>
          <w:tcPr>
            <w:tcW w:w="4870" w:type="dxa"/>
            <w:vAlign w:val="center"/>
          </w:tcPr>
          <w:p w14:paraId="43D7C48A">
            <w:pPr>
              <w:spacing w:after="0" w:line="312" w:lineRule="auto"/>
              <w:rPr>
                <w:rFonts w:hint="eastAsia"/>
                <w:sz w:val="21"/>
              </w:rPr>
            </w:pPr>
            <w:r>
              <w:rPr>
                <w:rFonts w:hint="eastAsia"/>
                <w:sz w:val="21"/>
              </w:rPr>
              <w:t>投标人针对意外事故，重大接待任务，重大节假日或活动等特殊情况制定的应急抢修方案及解决措施进行综合评价:</w:t>
            </w:r>
          </w:p>
          <w:p w14:paraId="6B0ACB42">
            <w:pPr>
              <w:spacing w:after="0" w:line="312" w:lineRule="auto"/>
              <w:rPr>
                <w:rFonts w:hint="eastAsia"/>
                <w:sz w:val="21"/>
              </w:rPr>
            </w:pPr>
            <w:r>
              <w:rPr>
                <w:rFonts w:hint="eastAsia"/>
                <w:sz w:val="21"/>
              </w:rPr>
              <w:t>1.制定的应急抢修方案科学合理，解决措施妥当得5~6分;</w:t>
            </w:r>
          </w:p>
          <w:p w14:paraId="5A45C519">
            <w:pPr>
              <w:spacing w:after="0" w:line="312" w:lineRule="auto"/>
              <w:rPr>
                <w:rFonts w:hint="eastAsia"/>
                <w:sz w:val="21"/>
              </w:rPr>
            </w:pPr>
            <w:r>
              <w:rPr>
                <w:rFonts w:hint="eastAsia"/>
                <w:sz w:val="21"/>
              </w:rPr>
              <w:t>2.制定的应急抢修方案较科学合理，解决措施较妥当得3~4分</w:t>
            </w:r>
          </w:p>
          <w:p w14:paraId="04307B49">
            <w:pPr>
              <w:spacing w:after="0" w:line="312" w:lineRule="auto"/>
            </w:pPr>
            <w:r>
              <w:rPr>
                <w:rFonts w:hint="eastAsia"/>
                <w:sz w:val="21"/>
              </w:rPr>
              <w:t>3.制定的应急抢修方案不够合理，解决措施欠妥当得1~2分。</w:t>
            </w:r>
          </w:p>
        </w:tc>
      </w:tr>
      <w:tr w14:paraId="3175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81" w:type="dxa"/>
            <w:gridSpan w:val="4"/>
            <w:vAlign w:val="center"/>
          </w:tcPr>
          <w:p w14:paraId="632B6B3D">
            <w:pPr>
              <w:spacing w:after="0" w:line="312" w:lineRule="auto"/>
              <w:jc w:val="center"/>
            </w:pPr>
            <w:r>
              <w:rPr>
                <w:rFonts w:ascii="Times New Roman" w:hAnsi="Times New Roman" w:eastAsia="仿宋"/>
                <w:b/>
                <w:sz w:val="21"/>
              </w:rPr>
              <w:t>总分合计</w:t>
            </w:r>
          </w:p>
        </w:tc>
        <w:tc>
          <w:tcPr>
            <w:tcW w:w="4870" w:type="dxa"/>
            <w:vAlign w:val="center"/>
          </w:tcPr>
          <w:p w14:paraId="5383622A">
            <w:pPr>
              <w:spacing w:after="0" w:line="312" w:lineRule="auto"/>
              <w:jc w:val="both"/>
            </w:pPr>
          </w:p>
        </w:tc>
      </w:tr>
    </w:tbl>
    <w:p w14:paraId="116C7C09">
      <w:pPr>
        <w:spacing w:line="360" w:lineRule="auto"/>
        <w:rPr>
          <w:rFonts w:hint="eastAsia" w:eastAsia="仿宋"/>
          <w:lang w:eastAsia="zh-CN"/>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auto"/>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ＭＳ 明朝">
    <w:altName w:val="C059"/>
    <w:panose1 w:val="00000000000000000000"/>
    <w:charset w:val="80"/>
    <w:family w:val="roman"/>
    <w:pitch w:val="default"/>
    <w:sig w:usb0="00000000" w:usb1="00000000" w:usb2="00000010" w:usb3="00000000" w:csb0="00020000" w:csb1="00000000"/>
  </w:font>
  <w:font w:name="ＭＳ 明朝">
    <w:altName w:val="C059"/>
    <w:panose1 w:val="00000000000000000000"/>
    <w:charset w:val="86"/>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ＭＳ ゴシック">
    <w:altName w:val="C059"/>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Wingdings 2">
    <w:panose1 w:val="05020102010507070707"/>
    <w:charset w:val="00"/>
    <w:family w:val="auto"/>
    <w:pitch w:val="default"/>
    <w:sig w:usb0="00000000" w:usb1="00000000" w:usb2="00000000" w:usb3="00000000" w:csb0="80000000" w:csb1="00000000"/>
  </w:font>
  <w:font w:name="方正小标宋简体">
    <w:panose1 w:val="02000000000000000000"/>
    <w:charset w:val="86"/>
    <w:family w:val="auto"/>
    <w:pitch w:val="default"/>
    <w:sig w:usb0="A00002BF" w:usb1="184F6CFA" w:usb2="00000012" w:usb3="00000000" w:csb0="00040001" w:csb1="00000000"/>
  </w:font>
  <w:font w:name="ＭＳ 明朝">
    <w:altName w:val="C059"/>
    <w:panose1 w:val="00000000000000000000"/>
    <w:charset w:val="00"/>
    <w:family w:val="auto"/>
    <w:pitch w:val="default"/>
    <w:sig w:usb0="00000000" w:usb1="00000000" w:usb2="00000000" w:usb3="00000000" w:csb0="00000000" w:csb1="00000000"/>
  </w:font>
  <w:font w:name="Arial">
    <w:altName w:val="DejaVu San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AE1145"/>
    <w:rsid w:val="044A57DF"/>
    <w:rsid w:val="04DA1455"/>
    <w:rsid w:val="07FA268A"/>
    <w:rsid w:val="0B4E7969"/>
    <w:rsid w:val="0D9F625A"/>
    <w:rsid w:val="1C8A06C1"/>
    <w:rsid w:val="2B494008"/>
    <w:rsid w:val="2DFF28DA"/>
    <w:rsid w:val="2FDA12A1"/>
    <w:rsid w:val="35BD6598"/>
    <w:rsid w:val="37C5D116"/>
    <w:rsid w:val="3A6164C2"/>
    <w:rsid w:val="3F5BDDE0"/>
    <w:rsid w:val="3FFF1080"/>
    <w:rsid w:val="4D790089"/>
    <w:rsid w:val="51BC0D63"/>
    <w:rsid w:val="5AF939A3"/>
    <w:rsid w:val="5BDBEA4A"/>
    <w:rsid w:val="5DBE9DAD"/>
    <w:rsid w:val="67AF6CE9"/>
    <w:rsid w:val="69E20B1E"/>
    <w:rsid w:val="7AF554EF"/>
    <w:rsid w:val="7BE91898"/>
    <w:rsid w:val="7F3FE783"/>
    <w:rsid w:val="7FEE591B"/>
    <w:rsid w:val="AF77FA6F"/>
    <w:rsid w:val="BFBF6FA8"/>
    <w:rsid w:val="F6F82A47"/>
    <w:rsid w:val="FDBB712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imes New Roman" w:hAnsi="Times New Roman" w:eastAsia="仿宋" w:cstheme="minorBidi"/>
      <w:sz w:val="24"/>
      <w:szCs w:val="22"/>
      <w:lang w:val="en-US" w:eastAsia="en-US" w:bidi="ar-SA"/>
    </w:rPr>
  </w:style>
  <w:style w:type="paragraph" w:styleId="4">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2">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2144</Words>
  <Characters>2272</Characters>
  <Lines>0</Lines>
  <Paragraphs>0</Paragraphs>
  <TotalTime>27</TotalTime>
  <ScaleCrop>false</ScaleCrop>
  <LinksUpToDate>false</LinksUpToDate>
  <CharactersWithSpaces>2278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2013-12-26T23:15:00Z</dcterms:created>
  <dc:creator>python-docx</dc:creator>
  <dc:description>generated by python-docx</dc:description>
  <cp:lastModifiedBy>佳泽</cp:lastModifiedBy>
  <dcterms:modified xsi:type="dcterms:W3CDTF">2026-10-16T18:20:21Z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eyJoZGlkIjoiNjc5YmU0NWNmMzFiODVhYTRhOGQwYmYwZDcyYmZkMjMiLCJ1c2VySWQiOiI0NTk0MzMwNTgifQ==</vt:lpwstr>
  </property>
  <property fmtid="{D5CDD505-2E9C-101B-9397-08002B2CF9AE}" pid="3" name="KSOProductBuildVer">
    <vt:lpwstr>2052-12.1.2.24722</vt:lpwstr>
  </property>
  <property fmtid="{D5CDD505-2E9C-101B-9397-08002B2CF9AE}" pid="4" name="ICV">
    <vt:lpwstr>31493083BEF94CA891015A72DCAEA0A8_13</vt:lpwstr>
  </property>
</Properties>
</file>