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sz w:val="24"/>
        </w:rPr>
      </w:pPr>
      <w:r>
        <w:rPr>
          <w:rFonts w:hint="eastAsia" w:ascii="黑体" w:eastAsia="黑体"/>
          <w:b w:val="0"/>
          <w:sz w:val="24"/>
          <w:szCs w:val="24"/>
        </w:rPr>
        <w:t>技术要求偏离表</w:t>
      </w:r>
    </w:p>
    <w:tbl>
      <w:tblPr>
        <w:tblStyle w:val="5"/>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18"/>
        <w:gridCol w:w="5099"/>
        <w:gridCol w:w="924"/>
        <w:gridCol w:w="670"/>
        <w:gridCol w:w="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trPr>
        <w:tc>
          <w:tcPr>
            <w:tcW w:w="456" w:type="dxa"/>
            <w:vAlign w:val="center"/>
          </w:tcPr>
          <w:p>
            <w:pPr>
              <w:jc w:val="center"/>
              <w:rPr>
                <w:color w:val="000000" w:themeColor="text1"/>
                <w:szCs w:val="21"/>
                <w14:textFill>
                  <w14:solidFill>
                    <w14:schemeClr w14:val="tx1"/>
                  </w14:solidFill>
                </w14:textFill>
              </w:rPr>
            </w:pPr>
            <w:r>
              <w:rPr>
                <w:rFonts w:hint="eastAsia"/>
                <w:sz w:val="24"/>
              </w:rPr>
              <w:t>序号</w:t>
            </w:r>
          </w:p>
        </w:tc>
        <w:tc>
          <w:tcPr>
            <w:tcW w:w="918" w:type="dxa"/>
            <w:vAlign w:val="center"/>
          </w:tcPr>
          <w:p>
            <w:pPr>
              <w:jc w:val="center"/>
              <w:rPr>
                <w:color w:val="000000" w:themeColor="text1"/>
                <w:szCs w:val="21"/>
                <w14:textFill>
                  <w14:solidFill>
                    <w14:schemeClr w14:val="tx1"/>
                  </w14:solidFill>
                </w14:textFill>
              </w:rPr>
            </w:pPr>
            <w:r>
              <w:rPr>
                <w:rFonts w:hint="eastAsia"/>
                <w:sz w:val="24"/>
              </w:rPr>
              <w:t>货物名称</w:t>
            </w:r>
          </w:p>
        </w:tc>
        <w:tc>
          <w:tcPr>
            <w:tcW w:w="5099" w:type="dxa"/>
            <w:vAlign w:val="center"/>
          </w:tcPr>
          <w:p>
            <w:pPr>
              <w:jc w:val="center"/>
              <w:rPr>
                <w:color w:val="000000" w:themeColor="text1"/>
                <w:szCs w:val="21"/>
                <w14:textFill>
                  <w14:solidFill>
                    <w14:schemeClr w14:val="tx1"/>
                  </w14:solidFill>
                </w14:textFill>
              </w:rPr>
            </w:pPr>
            <w:r>
              <w:rPr>
                <w:rFonts w:hint="eastAsia"/>
                <w:sz w:val="24"/>
              </w:rPr>
              <w:t>技术要求</w:t>
            </w:r>
          </w:p>
        </w:tc>
        <w:tc>
          <w:tcPr>
            <w:tcW w:w="924" w:type="dxa"/>
            <w:vAlign w:val="center"/>
          </w:tcPr>
          <w:p>
            <w:pPr>
              <w:jc w:val="center"/>
              <w:rPr>
                <w:color w:val="000000" w:themeColor="text1"/>
                <w:szCs w:val="21"/>
                <w14:textFill>
                  <w14:solidFill>
                    <w14:schemeClr w14:val="tx1"/>
                  </w14:solidFill>
                </w14:textFill>
              </w:rPr>
            </w:pPr>
            <w:r>
              <w:rPr>
                <w:rFonts w:hint="eastAsia"/>
                <w:sz w:val="24"/>
              </w:rPr>
              <w:t>投标技术响应</w:t>
            </w:r>
          </w:p>
        </w:tc>
        <w:tc>
          <w:tcPr>
            <w:tcW w:w="670" w:type="dxa"/>
            <w:vAlign w:val="center"/>
          </w:tcPr>
          <w:p>
            <w:pPr>
              <w:jc w:val="center"/>
              <w:rPr>
                <w:color w:val="000000" w:themeColor="text1"/>
                <w:szCs w:val="21"/>
                <w14:textFill>
                  <w14:solidFill>
                    <w14:schemeClr w14:val="tx1"/>
                  </w14:solidFill>
                </w14:textFill>
              </w:rPr>
            </w:pPr>
            <w:r>
              <w:rPr>
                <w:rFonts w:hint="eastAsia"/>
                <w:sz w:val="24"/>
              </w:rPr>
              <w:t>偏离情况</w:t>
            </w:r>
          </w:p>
        </w:tc>
        <w:tc>
          <w:tcPr>
            <w:tcW w:w="457" w:type="dxa"/>
            <w:vAlign w:val="center"/>
          </w:tcPr>
          <w:p>
            <w:pPr>
              <w:jc w:val="center"/>
              <w:rPr>
                <w:color w:val="000000" w:themeColor="text1"/>
                <w:szCs w:val="21"/>
                <w14:textFill>
                  <w14:solidFill>
                    <w14:schemeClr w14:val="tx1"/>
                  </w14:solidFill>
                </w14:textFill>
              </w:rPr>
            </w:pPr>
            <w:r>
              <w:rPr>
                <w:rFonts w:hint="eastAsia"/>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restart"/>
            <w:vAlign w:val="center"/>
          </w:tcPr>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918" w:type="dxa"/>
            <w:vMerge w:val="restart"/>
            <w:vAlign w:val="center"/>
          </w:tcPr>
          <w:p>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阅览桌</w:t>
            </w: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vAlign w:val="center"/>
          </w:tcPr>
          <w:p>
            <w:pPr>
              <w:jc w:val="center"/>
              <w:rPr>
                <w:color w:val="000000" w:themeColor="text1"/>
                <w:szCs w:val="21"/>
                <w14:textFill>
                  <w14:solidFill>
                    <w14:schemeClr w14:val="tx1"/>
                  </w14:solidFill>
                </w14:textFill>
              </w:rPr>
            </w:pPr>
          </w:p>
        </w:tc>
        <w:tc>
          <w:tcPr>
            <w:tcW w:w="918" w:type="dxa"/>
            <w:vMerge w:val="continue"/>
            <w:vAlign w:val="center"/>
          </w:tcPr>
          <w:p>
            <w:pPr>
              <w:jc w:val="cente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vAlign w:val="center"/>
          </w:tcPr>
          <w:p>
            <w:pPr>
              <w:jc w:val="center"/>
              <w:rPr>
                <w:color w:val="000000" w:themeColor="text1"/>
                <w:szCs w:val="21"/>
                <w14:textFill>
                  <w14:solidFill>
                    <w14:schemeClr w14:val="tx1"/>
                  </w14:solidFill>
                </w14:textFill>
              </w:rPr>
            </w:pPr>
          </w:p>
        </w:tc>
        <w:tc>
          <w:tcPr>
            <w:tcW w:w="918" w:type="dxa"/>
            <w:vMerge w:val="continue"/>
            <w:vAlign w:val="center"/>
          </w:tcPr>
          <w:p>
            <w:pPr>
              <w:jc w:val="cente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vAlign w:val="center"/>
          </w:tcPr>
          <w:p>
            <w:pPr>
              <w:jc w:val="center"/>
              <w:rPr>
                <w:color w:val="000000" w:themeColor="text1"/>
                <w:szCs w:val="21"/>
                <w14:textFill>
                  <w14:solidFill>
                    <w14:schemeClr w14:val="tx1"/>
                  </w14:solidFill>
                </w14:textFill>
              </w:rPr>
            </w:pPr>
          </w:p>
        </w:tc>
        <w:tc>
          <w:tcPr>
            <w:tcW w:w="918" w:type="dxa"/>
            <w:vMerge w:val="continue"/>
            <w:vAlign w:val="center"/>
          </w:tcPr>
          <w:p>
            <w:pPr>
              <w:jc w:val="cente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vAlign w:val="center"/>
          </w:tcPr>
          <w:p>
            <w:pPr>
              <w:jc w:val="center"/>
              <w:rPr>
                <w:color w:val="000000" w:themeColor="text1"/>
                <w:szCs w:val="21"/>
                <w14:textFill>
                  <w14:solidFill>
                    <w14:schemeClr w14:val="tx1"/>
                  </w14:solidFill>
                </w14:textFill>
              </w:rPr>
            </w:pPr>
          </w:p>
        </w:tc>
        <w:tc>
          <w:tcPr>
            <w:tcW w:w="918" w:type="dxa"/>
            <w:vMerge w:val="continue"/>
            <w:vAlign w:val="center"/>
          </w:tcPr>
          <w:p>
            <w:pPr>
              <w:jc w:val="cente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rStyle w:val="7"/>
                <w:b w:val="0"/>
                <w:bCs w:val="0"/>
                <w:color w:val="000000" w:themeColor="text1"/>
                <w:szCs w:val="21"/>
                <w14:textFill>
                  <w14:solidFill>
                    <w14:schemeClr w14:val="tx1"/>
                  </w14:solidFill>
                </w14:textFill>
              </w:rPr>
            </w:pPr>
          </w:p>
        </w:tc>
        <w:tc>
          <w:tcPr>
            <w:tcW w:w="670" w:type="dxa"/>
          </w:tcPr>
          <w:p>
            <w:pPr>
              <w:rPr>
                <w:rStyle w:val="7"/>
                <w:b w:val="0"/>
                <w:bCs w:val="0"/>
                <w:color w:val="000000" w:themeColor="text1"/>
                <w:szCs w:val="21"/>
                <w14:textFill>
                  <w14:solidFill>
                    <w14:schemeClr w14:val="tx1"/>
                  </w14:solidFill>
                </w14:textFill>
              </w:rPr>
            </w:pPr>
          </w:p>
        </w:tc>
        <w:tc>
          <w:tcPr>
            <w:tcW w:w="457" w:type="dxa"/>
          </w:tcPr>
          <w:p>
            <w:pPr>
              <w:rPr>
                <w:rStyle w:val="7"/>
                <w:b w:val="0"/>
                <w:bCs w:val="0"/>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vAlign w:val="center"/>
          </w:tcPr>
          <w:p>
            <w:pPr>
              <w:jc w:val="center"/>
              <w:rPr>
                <w:color w:val="000000" w:themeColor="text1"/>
                <w:szCs w:val="21"/>
                <w14:textFill>
                  <w14:solidFill>
                    <w14:schemeClr w14:val="tx1"/>
                  </w14:solidFill>
                </w14:textFill>
              </w:rPr>
            </w:pPr>
          </w:p>
        </w:tc>
        <w:tc>
          <w:tcPr>
            <w:tcW w:w="918" w:type="dxa"/>
            <w:vMerge w:val="continue"/>
            <w:vAlign w:val="center"/>
          </w:tcPr>
          <w:p>
            <w:pPr>
              <w:jc w:val="cente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918" w:type="dxa"/>
            <w:vMerge w:val="restart"/>
            <w:vAlign w:val="center"/>
          </w:tcPr>
          <w:p>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阅览椅</w:t>
            </w:r>
          </w:p>
        </w:tc>
        <w:tc>
          <w:tcPr>
            <w:tcW w:w="5099" w:type="dxa"/>
          </w:tcPr>
          <w:p>
            <w:pPr>
              <w:jc w:val="center"/>
              <w:rPr>
                <w:b/>
                <w:bCs/>
                <w:color w:val="000000" w:themeColor="text1"/>
                <w:szCs w:val="21"/>
                <w14:textFill>
                  <w14:solidFill>
                    <w14:schemeClr w14:val="tx1"/>
                  </w14:solidFill>
                </w14:textFill>
              </w:rPr>
            </w:pPr>
            <w:r>
              <w:rPr>
                <w:rFonts w:hint="eastAsia"/>
              </w:rPr>
              <w:t>（填写相关内容）</w:t>
            </w:r>
          </w:p>
        </w:tc>
        <w:tc>
          <w:tcPr>
            <w:tcW w:w="924" w:type="dxa"/>
          </w:tcPr>
          <w:p>
            <w:pPr>
              <w:rPr>
                <w:b/>
                <w:bCs/>
                <w:color w:val="FF0000"/>
                <w:szCs w:val="21"/>
              </w:rPr>
            </w:pPr>
          </w:p>
        </w:tc>
        <w:tc>
          <w:tcPr>
            <w:tcW w:w="670" w:type="dxa"/>
          </w:tcPr>
          <w:p>
            <w:pPr>
              <w:rPr>
                <w:b/>
                <w:bCs/>
                <w:color w:val="FF0000"/>
                <w:szCs w:val="21"/>
              </w:rPr>
            </w:pPr>
          </w:p>
        </w:tc>
        <w:tc>
          <w:tcPr>
            <w:tcW w:w="457" w:type="dxa"/>
          </w:tcPr>
          <w:p>
            <w:pPr>
              <w:rPr>
                <w:b/>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tcPr>
          <w:p>
            <w:pPr>
              <w:jc w:val="center"/>
              <w:rPr>
                <w:color w:val="000000" w:themeColor="text1"/>
                <w:szCs w:val="21"/>
                <w14:textFill>
                  <w14:solidFill>
                    <w14:schemeClr w14:val="tx1"/>
                  </w14:solidFill>
                </w14:textFill>
              </w:rPr>
            </w:pPr>
          </w:p>
        </w:tc>
        <w:tc>
          <w:tcPr>
            <w:tcW w:w="918" w:type="dxa"/>
            <w:vMerge w:val="continue"/>
          </w:tcPr>
          <w:p>
            <w:pP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456" w:type="dxa"/>
            <w:vMerge w:val="continue"/>
          </w:tcPr>
          <w:p>
            <w:pPr>
              <w:jc w:val="center"/>
              <w:rPr>
                <w:color w:val="000000" w:themeColor="text1"/>
                <w:szCs w:val="21"/>
                <w14:textFill>
                  <w14:solidFill>
                    <w14:schemeClr w14:val="tx1"/>
                  </w14:solidFill>
                </w14:textFill>
              </w:rPr>
            </w:pPr>
          </w:p>
        </w:tc>
        <w:tc>
          <w:tcPr>
            <w:tcW w:w="918" w:type="dxa"/>
            <w:vMerge w:val="continue"/>
          </w:tcPr>
          <w:p>
            <w:pP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rPr>
              <w:t>（填写相关内容）</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456" w:type="dxa"/>
            <w:vMerge w:val="continue"/>
          </w:tcPr>
          <w:p>
            <w:pPr>
              <w:jc w:val="center"/>
              <w:rPr>
                <w:color w:val="000000" w:themeColor="text1"/>
                <w:szCs w:val="21"/>
                <w14:textFill>
                  <w14:solidFill>
                    <w14:schemeClr w14:val="tx1"/>
                  </w14:solidFill>
                </w14:textFill>
              </w:rPr>
            </w:pPr>
          </w:p>
        </w:tc>
        <w:tc>
          <w:tcPr>
            <w:tcW w:w="918" w:type="dxa"/>
            <w:vMerge w:val="continue"/>
          </w:tcPr>
          <w:p>
            <w:pPr>
              <w:rPr>
                <w:color w:val="000000" w:themeColor="text1"/>
                <w:szCs w:val="21"/>
                <w14:textFill>
                  <w14:solidFill>
                    <w14:schemeClr w14:val="tx1"/>
                  </w14:solidFill>
                </w14:textFill>
              </w:rPr>
            </w:pPr>
          </w:p>
        </w:tc>
        <w:tc>
          <w:tcPr>
            <w:tcW w:w="5099" w:type="dxa"/>
          </w:tcPr>
          <w:p>
            <w:pPr>
              <w:jc w:val="center"/>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924" w:type="dxa"/>
          </w:tcPr>
          <w:p>
            <w:pPr>
              <w:rPr>
                <w:color w:val="000000" w:themeColor="text1"/>
                <w:szCs w:val="21"/>
                <w14:textFill>
                  <w14:solidFill>
                    <w14:schemeClr w14:val="tx1"/>
                  </w14:solidFill>
                </w14:textFill>
              </w:rPr>
            </w:pPr>
          </w:p>
        </w:tc>
        <w:tc>
          <w:tcPr>
            <w:tcW w:w="670" w:type="dxa"/>
          </w:tcPr>
          <w:p>
            <w:pPr>
              <w:rPr>
                <w:color w:val="000000" w:themeColor="text1"/>
                <w:szCs w:val="21"/>
                <w14:textFill>
                  <w14:solidFill>
                    <w14:schemeClr w14:val="tx1"/>
                  </w14:solidFill>
                </w14:textFill>
              </w:rPr>
            </w:pPr>
          </w:p>
        </w:tc>
        <w:tc>
          <w:tcPr>
            <w:tcW w:w="457" w:type="dxa"/>
          </w:tcPr>
          <w:p>
            <w:pPr>
              <w:rPr>
                <w:color w:val="000000" w:themeColor="text1"/>
                <w:szCs w:val="21"/>
                <w14:textFill>
                  <w14:solidFill>
                    <w14:schemeClr w14:val="tx1"/>
                  </w14:solidFill>
                </w14:textFill>
              </w:rPr>
            </w:pPr>
          </w:p>
        </w:tc>
      </w:tr>
    </w:tbl>
    <w:p>
      <w:pPr>
        <w:rPr>
          <w:sz w:val="24"/>
        </w:rPr>
      </w:pPr>
    </w:p>
    <w:p>
      <w:pPr>
        <w:rPr>
          <w:szCs w:val="21"/>
        </w:rPr>
      </w:pPr>
      <w:bookmarkStart w:id="0" w:name="_Hlk72095977"/>
      <w:r>
        <w:rPr>
          <w:rFonts w:hint="eastAsia"/>
          <w:szCs w:val="21"/>
        </w:rPr>
        <w:t>证明资料【如有的话，提供的证明资料应统一编号（排序），格式自定】</w:t>
      </w:r>
      <w:bookmarkEnd w:id="0"/>
      <w:r>
        <w:rPr>
          <w:rFonts w:hint="eastAsia"/>
          <w:szCs w:val="21"/>
        </w:rPr>
        <w:t>：</w:t>
      </w:r>
    </w:p>
    <w:p>
      <w:pPr>
        <w:ind w:firstLine="422" w:firstLineChars="200"/>
        <w:rPr>
          <w:b/>
          <w:szCs w:val="21"/>
        </w:rPr>
      </w:pPr>
      <w:bookmarkStart w:id="11" w:name="_GoBack"/>
      <w:bookmarkEnd w:id="11"/>
    </w:p>
    <w:p>
      <w:pPr>
        <w:ind w:firstLine="422" w:firstLineChars="200"/>
        <w:rPr>
          <w:b/>
          <w:szCs w:val="21"/>
        </w:rPr>
      </w:pPr>
    </w:p>
    <w:p>
      <w:pPr>
        <w:ind w:firstLine="420" w:firstLineChars="200"/>
        <w:rPr>
          <w:bCs/>
          <w:szCs w:val="21"/>
        </w:rPr>
      </w:pPr>
      <w:r>
        <w:rPr>
          <w:rFonts w:hint="eastAsia"/>
          <w:bCs/>
          <w:szCs w:val="21"/>
        </w:rPr>
        <w:t>《技术要求偏离表》编制指引：</w:t>
      </w:r>
    </w:p>
    <w:p>
      <w:pPr>
        <w:ind w:firstLine="420" w:firstLineChars="200"/>
        <w:rPr>
          <w:bCs/>
          <w:szCs w:val="21"/>
        </w:rPr>
      </w:pPr>
      <w:r>
        <w:rPr>
          <w:rFonts w:hint="eastAsia"/>
          <w:bCs/>
          <w:szCs w:val="21"/>
        </w:rPr>
        <w:t>1、技术要求偏离表的序号、货物名称、招标技术要求等栏目</w:t>
      </w:r>
      <w:bookmarkStart w:id="1" w:name="_Hlk72094407"/>
      <w:r>
        <w:rPr>
          <w:rFonts w:hint="eastAsia"/>
          <w:bCs/>
          <w:szCs w:val="21"/>
        </w:rPr>
        <w:t>对应“</w:t>
      </w:r>
      <w:r>
        <w:rPr>
          <w:rFonts w:hint="eastAsia"/>
          <w:bCs/>
          <w:szCs w:val="21"/>
          <w:lang w:eastAsia="zh-CN"/>
        </w:rPr>
        <w:t>招标公告</w:t>
      </w:r>
      <w:r>
        <w:rPr>
          <w:rFonts w:hint="eastAsia"/>
          <w:bCs/>
          <w:szCs w:val="21"/>
        </w:rPr>
        <w:t>”中的“</w:t>
      </w:r>
      <w:r>
        <w:rPr>
          <w:rFonts w:hint="eastAsia"/>
          <w:bCs/>
          <w:szCs w:val="21"/>
          <w:lang w:eastAsia="zh-CN"/>
        </w:rPr>
        <w:t>六、相关</w:t>
      </w:r>
      <w:r>
        <w:rPr>
          <w:rFonts w:hint="eastAsia"/>
          <w:bCs/>
          <w:szCs w:val="21"/>
        </w:rPr>
        <w:t>技术要求”</w:t>
      </w:r>
      <w:bookmarkEnd w:id="1"/>
      <w:r>
        <w:rPr>
          <w:rFonts w:hint="eastAsia"/>
          <w:bCs/>
          <w:szCs w:val="21"/>
        </w:rPr>
        <w:t>。</w:t>
      </w:r>
    </w:p>
    <w:p>
      <w:pPr>
        <w:pStyle w:val="4"/>
        <w:widowControl/>
        <w:spacing w:beforeAutospacing="0" w:afterAutospacing="0"/>
        <w:ind w:firstLine="420" w:firstLineChars="200"/>
        <w:jc w:val="both"/>
        <w:rPr>
          <w:bCs/>
          <w:color w:val="FF0000"/>
          <w:kern w:val="2"/>
          <w:sz w:val="21"/>
          <w:szCs w:val="21"/>
        </w:rPr>
      </w:pPr>
      <w:r>
        <w:rPr>
          <w:bCs/>
          <w:sz w:val="21"/>
          <w:szCs w:val="21"/>
        </w:rPr>
        <w:t>2</w:t>
      </w:r>
      <w:r>
        <w:rPr>
          <w:rFonts w:hint="eastAsia"/>
          <w:bCs/>
          <w:sz w:val="21"/>
          <w:szCs w:val="21"/>
        </w:rPr>
        <w:t>、“投标技术响应”一栏必须一一对照“</w:t>
      </w:r>
      <w:r>
        <w:rPr>
          <w:rFonts w:hint="eastAsia"/>
          <w:bCs/>
          <w:sz w:val="21"/>
          <w:szCs w:val="21"/>
          <w:lang w:eastAsia="zh-CN"/>
        </w:rPr>
        <w:t>相关</w:t>
      </w:r>
      <w:r>
        <w:rPr>
          <w:rFonts w:hint="eastAsia"/>
          <w:bCs/>
          <w:sz w:val="21"/>
          <w:szCs w:val="21"/>
        </w:rPr>
        <w:t>技术要求”，详细填写投标人自身投标货物的具体参数，以体现具体响应情况。</w:t>
      </w:r>
    </w:p>
    <w:p>
      <w:pPr>
        <w:ind w:firstLine="420" w:firstLineChars="200"/>
        <w:rPr>
          <w:bCs/>
          <w:color w:val="FF0000"/>
          <w:szCs w:val="21"/>
        </w:rPr>
      </w:pPr>
      <w:r>
        <w:rPr>
          <w:bCs/>
          <w:szCs w:val="21"/>
        </w:rPr>
        <w:t>3</w:t>
      </w:r>
      <w:r>
        <w:rPr>
          <w:rFonts w:hint="eastAsia"/>
          <w:bCs/>
          <w:szCs w:val="21"/>
        </w:rPr>
        <w:t>、</w:t>
      </w:r>
      <w:bookmarkStart w:id="2" w:name="_Hlk72158270"/>
      <w:r>
        <w:rPr>
          <w:rFonts w:hint="eastAsia"/>
          <w:bCs/>
          <w:szCs w:val="21"/>
        </w:rPr>
        <w:t>“偏离情况”</w:t>
      </w:r>
      <w:bookmarkEnd w:id="2"/>
      <w:r>
        <w:rPr>
          <w:rFonts w:hint="eastAsia"/>
          <w:bCs/>
          <w:szCs w:val="21"/>
        </w:rPr>
        <w:t>一栏填写如实填写“正偏离”、“负偏离”或“无偏离”，其中：</w:t>
      </w:r>
      <w:bookmarkStart w:id="3" w:name="_Hlk72093866"/>
      <w:r>
        <w:rPr>
          <w:rFonts w:hint="eastAsia"/>
          <w:bCs/>
          <w:szCs w:val="21"/>
        </w:rPr>
        <w:t>“正偏离”表示“投标响应优于招标技术要求”，“负偏离”表示“投标响应不满足招标技术要求”，“无偏离”表示“投标响应与招标技术要求一致”</w:t>
      </w:r>
      <w:bookmarkEnd w:id="3"/>
      <w:r>
        <w:rPr>
          <w:rFonts w:hint="eastAsia"/>
          <w:bCs/>
          <w:szCs w:val="21"/>
        </w:rPr>
        <w:t>。“投标技术响应”对比“招标技术要求”存在响应不全（包括未响应整项招标技术要求或者未响应一项招标技术要求的部分内容），均视为“负偏离”。</w:t>
      </w:r>
    </w:p>
    <w:p>
      <w:pPr>
        <w:ind w:firstLine="420" w:firstLineChars="200"/>
        <w:rPr>
          <w:bCs/>
          <w:szCs w:val="21"/>
        </w:rPr>
      </w:pPr>
      <w:r>
        <w:rPr>
          <w:bCs/>
          <w:szCs w:val="21"/>
        </w:rPr>
        <w:t>4</w:t>
      </w:r>
      <w:r>
        <w:rPr>
          <w:rFonts w:hint="eastAsia"/>
          <w:bCs/>
          <w:szCs w:val="21"/>
        </w:rPr>
        <w:t>、未要求提供证明资料的招标技术要求，可以不提供证明资料（如实响应即可）。</w:t>
      </w:r>
    </w:p>
    <w:p>
      <w:pPr>
        <w:ind w:firstLine="420" w:firstLineChars="200"/>
        <w:rPr>
          <w:bCs/>
          <w:szCs w:val="21"/>
        </w:rPr>
      </w:pPr>
      <w:r>
        <w:rPr>
          <w:rFonts w:hint="eastAsia"/>
          <w:bCs/>
          <w:szCs w:val="21"/>
        </w:rPr>
        <w:t>5、</w:t>
      </w:r>
      <w:bookmarkStart w:id="4" w:name="_Hlk72096106"/>
      <w:r>
        <w:rPr>
          <w:rFonts w:hint="eastAsia"/>
          <w:bCs/>
          <w:szCs w:val="21"/>
        </w:rPr>
        <w:t>证明资料条款响应要求</w:t>
      </w:r>
      <w:bookmarkEnd w:id="4"/>
      <w:r>
        <w:rPr>
          <w:rFonts w:hint="eastAsia"/>
          <w:bCs/>
          <w:szCs w:val="21"/>
        </w:rPr>
        <w:t>：要求提供证明资料（且已对证明资料的形式、内容作出明确要求）进行响应的条款，应当在“说明”一栏中列明是否提供了符合要求的证明资料，以及所提供证明资料在表后“证明资料”中的编号（位置）</w:t>
      </w:r>
      <w:r>
        <w:rPr>
          <w:rFonts w:hint="eastAsia"/>
          <w:bCs/>
          <w:szCs w:val="21"/>
          <w:lang w:eastAsia="zh-CN"/>
        </w:rPr>
        <w:t>，</w:t>
      </w:r>
      <w:r>
        <w:rPr>
          <w:rFonts w:hint="eastAsia"/>
          <w:bCs/>
          <w:szCs w:val="21"/>
        </w:rPr>
        <w:t>以便评审；</w:t>
      </w:r>
      <w:bookmarkStart w:id="5" w:name="_Hlk73558782"/>
      <w:r>
        <w:rPr>
          <w:rFonts w:hint="eastAsia"/>
          <w:bCs/>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6" w:name="_Hlk73558164"/>
      <w:r>
        <w:rPr>
          <w:rFonts w:hint="eastAsia"/>
          <w:bCs/>
          <w:szCs w:val="21"/>
        </w:rPr>
        <w:t>且投标人在“偏离情况”一栏响应为“正偏离”或“无偏离”的，经评审委员会认定，将判定为负偏离。</w:t>
      </w:r>
      <w:bookmarkEnd w:id="5"/>
      <w:bookmarkEnd w:id="6"/>
    </w:p>
    <w:p>
      <w:pPr>
        <w:ind w:firstLine="420" w:firstLineChars="200"/>
        <w:rPr>
          <w:bCs/>
          <w:szCs w:val="21"/>
        </w:rPr>
      </w:pPr>
      <w:r>
        <w:rPr>
          <w:rFonts w:hint="eastAsia"/>
          <w:bCs/>
          <w:szCs w:val="21"/>
        </w:rPr>
        <w:t>6、</w:t>
      </w:r>
      <w:bookmarkStart w:id="7" w:name="_Hlk72096137"/>
      <w:r>
        <w:rPr>
          <w:rFonts w:hint="eastAsia"/>
          <w:bCs/>
          <w:szCs w:val="21"/>
        </w:rPr>
        <w:t>表后“证明资料”部分内容的编制</w:t>
      </w:r>
      <w:bookmarkEnd w:id="7"/>
      <w:r>
        <w:rPr>
          <w:rFonts w:hint="eastAsia"/>
          <w:bCs/>
          <w:szCs w:val="21"/>
        </w:rPr>
        <w:t>：提供的所有证明资料应当统一编号（排序），且证明资料的编号（顺序）、数量和名称（形式）均应与“说明”一栏所填内容保持一致（一一对应），以便评审委员会查看。</w:t>
      </w:r>
      <w:bookmarkStart w:id="8" w:name="_Hlk73558180"/>
      <w:r>
        <w:rPr>
          <w:rFonts w:hint="eastAsia"/>
          <w:bCs/>
          <w:szCs w:val="21"/>
        </w:rPr>
        <w:t>未按照招标文件要求在表后放置证明材料的供应商将承担不利后果，经评审委员会认定，相关技术要求将判定为负偏离。</w:t>
      </w:r>
      <w:bookmarkEnd w:id="8"/>
    </w:p>
    <w:p>
      <w:pPr>
        <w:ind w:firstLine="420" w:firstLineChars="200"/>
        <w:rPr>
          <w:bCs/>
          <w:szCs w:val="21"/>
        </w:rPr>
      </w:pPr>
      <w:r>
        <w:rPr>
          <w:rFonts w:hint="eastAsia"/>
          <w:bCs/>
          <w:szCs w:val="21"/>
        </w:rPr>
        <w:t>7、</w:t>
      </w:r>
      <w:bookmarkStart w:id="9" w:name="_Hlk72096176"/>
      <w:r>
        <w:rPr>
          <w:rFonts w:hint="eastAsia"/>
          <w:bCs/>
          <w:szCs w:val="21"/>
        </w:rPr>
        <w:t>证明资料的形式及其它具体要求</w:t>
      </w:r>
      <w:bookmarkEnd w:id="9"/>
      <w:r>
        <w:rPr>
          <w:rFonts w:hint="eastAsia"/>
          <w:bCs/>
          <w:szCs w:val="21"/>
        </w:rPr>
        <w:t>：</w:t>
      </w:r>
    </w:p>
    <w:p>
      <w:pPr>
        <w:ind w:firstLine="420" w:firstLineChars="200"/>
        <w:rPr>
          <w:bCs/>
          <w:szCs w:val="21"/>
        </w:rPr>
      </w:pPr>
      <w:r>
        <w:rPr>
          <w:rFonts w:hint="eastAsia"/>
          <w:bCs/>
          <w:szCs w:val="21"/>
        </w:rPr>
        <w:t>（1）除照片、图片（截图）及不需加盖公章的文字说明（技术说明）外，其它证明资料均要求为原件扫描件；</w:t>
      </w:r>
    </w:p>
    <w:p>
      <w:pPr>
        <w:ind w:firstLine="420" w:firstLineChars="200"/>
        <w:rPr>
          <w:bCs/>
          <w:szCs w:val="21"/>
        </w:rPr>
      </w:pPr>
      <w:r>
        <w:rPr>
          <w:rFonts w:hint="eastAsia"/>
          <w:bCs/>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pPr>
        <w:ind w:firstLine="420" w:firstLineChars="200"/>
        <w:rPr>
          <w:bCs/>
          <w:szCs w:val="21"/>
        </w:rPr>
      </w:pPr>
      <w:r>
        <w:rPr>
          <w:rFonts w:hint="eastAsia"/>
          <w:bCs/>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20" w:firstLineChars="200"/>
        <w:rPr>
          <w:bCs/>
          <w:szCs w:val="21"/>
        </w:rPr>
      </w:pPr>
      <w:r>
        <w:rPr>
          <w:rFonts w:hint="eastAsia"/>
          <w:bCs/>
          <w:szCs w:val="21"/>
        </w:rPr>
        <w:t>我国政府机构出具的产品检验和核准证件应为证件正面、背面和附件标注的全部具体内容；产品检验和核准证件的尺寸和清晰度应该能够在电脑上被阅读、识别和判断；</w:t>
      </w:r>
    </w:p>
    <w:p>
      <w:pPr>
        <w:ind w:firstLine="420" w:firstLineChars="200"/>
        <w:rPr>
          <w:bCs/>
          <w:szCs w:val="21"/>
        </w:rPr>
      </w:pPr>
      <w:r>
        <w:rPr>
          <w:rFonts w:hint="eastAsia"/>
          <w:bCs/>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pPr>
        <w:ind w:firstLine="420" w:firstLineChars="200"/>
        <w:rPr>
          <w:bCs/>
          <w:szCs w:val="21"/>
        </w:rPr>
      </w:pPr>
      <w:r>
        <w:rPr>
          <w:rFonts w:hint="eastAsia"/>
          <w:bCs/>
          <w:szCs w:val="21"/>
        </w:rPr>
        <w:t>其它证明资料的形式要求参照以上要求执行；</w:t>
      </w:r>
    </w:p>
    <w:p>
      <w:pPr>
        <w:ind w:firstLine="420" w:firstLineChars="200"/>
        <w:rPr>
          <w:bCs/>
          <w:szCs w:val="21"/>
        </w:rPr>
      </w:pPr>
      <w:r>
        <w:rPr>
          <w:rFonts w:hint="eastAsia"/>
          <w:bCs/>
          <w:szCs w:val="21"/>
        </w:rPr>
        <w:t>（4）证明资料均要求原件备查。</w:t>
      </w:r>
    </w:p>
    <w:p>
      <w:pPr>
        <w:ind w:firstLine="422" w:firstLineChars="200"/>
        <w:rPr>
          <w:b/>
          <w:szCs w:val="21"/>
        </w:rPr>
      </w:pPr>
      <w:r>
        <w:rPr>
          <w:rFonts w:hint="eastAsia"/>
          <w:b/>
          <w:szCs w:val="21"/>
        </w:rPr>
        <w:t>8、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ind w:firstLine="420" w:firstLineChars="200"/>
        <w:rPr>
          <w:bCs/>
          <w:szCs w:val="21"/>
        </w:rPr>
      </w:pPr>
      <w:r>
        <w:rPr>
          <w:rFonts w:hint="eastAsia"/>
          <w:bCs/>
          <w:szCs w:val="21"/>
        </w:rPr>
        <w:t>9、其它注意事项：</w:t>
      </w:r>
    </w:p>
    <w:p>
      <w:pPr>
        <w:ind w:firstLine="420" w:firstLineChars="200"/>
        <w:rPr>
          <w:bCs/>
          <w:szCs w:val="21"/>
        </w:rPr>
      </w:pPr>
      <w:r>
        <w:rPr>
          <w:rFonts w:hint="eastAsia"/>
          <w:bCs/>
          <w:szCs w:val="21"/>
        </w:rPr>
        <w:t>（1）评审委员会有权对投标人的响应情况作出判断（评审结论）；</w:t>
      </w:r>
    </w:p>
    <w:p>
      <w:pPr>
        <w:ind w:firstLine="420" w:firstLineChars="200"/>
        <w:rPr>
          <w:bCs/>
          <w:szCs w:val="21"/>
        </w:rPr>
      </w:pPr>
      <w:r>
        <w:rPr>
          <w:rFonts w:hint="eastAsia"/>
          <w:bCs/>
          <w:szCs w:val="21"/>
        </w:rPr>
        <w:t>（2）</w:t>
      </w:r>
      <w:bookmarkStart w:id="10" w:name="_Hlk72158213"/>
      <w:r>
        <w:rPr>
          <w:rFonts w:hint="eastAsia"/>
          <w:bCs/>
          <w:szCs w:val="21"/>
        </w:rPr>
        <w:t>评审委员会有权对以谋取中标为目的的技术规格模糊响应（如有意不合理照搬照抄招标文件的技术要求）或虚假响应予以认定，并视情况经政府集中采购机构报主管部门进行处理。</w:t>
      </w:r>
      <w:bookmarkEnd w:id="1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E97C2A"/>
    <w:rsid w:val="53E97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3"/>
    <w:next w:val="1"/>
    <w:qFormat/>
    <w:uiPriority w:val="9"/>
    <w:pPr>
      <w:spacing w:before="260" w:after="260" w:line="240" w:lineRule="auto"/>
      <w:outlineLvl w:val="2"/>
    </w:pPr>
    <w:rPr>
      <w:rFonts w:ascii="宋体" w:hAnsi="宋体" w:eastAsia="宋体"/>
      <w:szCs w:val="32"/>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4">
    <w:name w:val="Normal (Web)"/>
    <w:basedOn w:val="1"/>
    <w:qFormat/>
    <w:uiPriority w:val="99"/>
    <w:pPr>
      <w:spacing w:beforeAutospacing="1" w:afterAutospacing="1"/>
      <w:jc w:val="left"/>
    </w:pPr>
    <w:rPr>
      <w:kern w:val="0"/>
      <w:sz w:val="24"/>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2026-08-05T09:32:00Z</dcterms:created>
  <dc:creator>再加点盐</dc:creator>
  <cp:lastModifiedBy>再加点盐</cp:lastModifiedBy>
  <dcterms:modified xsi:type="dcterms:W3CDTF">2026-08-05T09:38:11Z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