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黑体" w:hAnsi="黑体" w:eastAsia="黑体" w:cs="黑体"/>
          <w:sz w:val="32"/>
          <w:szCs w:val="32"/>
        </w:rPr>
      </w:pPr>
      <w:r>
        <w:rPr>
          <w:rFonts w:hint="eastAsia" w:ascii="黑体" w:hAnsi="黑体" w:eastAsia="黑体" w:cs="黑体"/>
          <w:sz w:val="32"/>
          <w:szCs w:val="32"/>
        </w:rPr>
        <w:t>附件2</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深圳市龙岗区工业和信息化局关于《龙岗区</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重点产业项目遴选、一般产业项目出让及</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产业监管实施细则（征求意见稿）》</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起草说明</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为贯彻落实市、区关于加强产业项目用地保障、规范工业及其他产业用地供应管理的工作要求，做好市、区政策衔接，根据《深圳市工业及其他产业用地供应管理办法》（深府规〔2026〕4号）（以下简称《管理办法》）要求，结合龙岗区产业发展和产业用地管理实际，编制形成《龙岗区重点产业项目遴选、一般产业项目出让及产业监管实施细则（征求意见稿）》（以下简称</w:t>
      </w:r>
      <w:r>
        <w:rPr>
          <w:rFonts w:hint="eastAsia" w:ascii="仿宋_GB2312" w:hAnsi="仿宋_GB2312" w:eastAsia="仿宋_GB2312" w:cs="仿宋_GB2312"/>
          <w:sz w:val="32"/>
          <w:szCs w:val="32"/>
          <w:lang w:eastAsia="zh-CN"/>
        </w:rPr>
        <w:t>《实施细则》</w:t>
      </w:r>
      <w:r>
        <w:rPr>
          <w:rFonts w:hint="eastAsia" w:ascii="仿宋_GB2312" w:hAnsi="仿宋_GB2312" w:eastAsia="仿宋_GB2312" w:cs="仿宋_GB2312"/>
          <w:sz w:val="32"/>
          <w:szCs w:val="32"/>
        </w:rPr>
        <w:t>）。具体情况如下：</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一、修订背景</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2026年4月27日，市政府印发《管理办法》，对工业及其他产业用地供应管理制度进行系统优化。为确保我区产业用地相关制度与市级政策有效衔接，在区商务局2025年印发的《龙岗区重点产业项目遴选及用地监管实施细则》基础上，结合各</w:t>
      </w:r>
      <w:r>
        <w:rPr>
          <w:rFonts w:hint="eastAsia" w:ascii="仿宋_GB2312" w:hAnsi="仿宋_GB2312" w:eastAsia="仿宋_GB2312" w:cs="仿宋_GB2312"/>
          <w:sz w:val="32"/>
          <w:szCs w:val="32"/>
          <w:lang w:eastAsia="zh-CN"/>
        </w:rPr>
        <w:t>相关</w:t>
      </w:r>
      <w:r>
        <w:rPr>
          <w:rFonts w:hint="eastAsia" w:ascii="仿宋_GB2312" w:hAnsi="仿宋_GB2312" w:eastAsia="仿宋_GB2312" w:cs="仿宋_GB2312"/>
          <w:sz w:val="32"/>
          <w:szCs w:val="32"/>
        </w:rPr>
        <w:t>部门意见建议，修订形成</w:t>
      </w:r>
      <w:r>
        <w:rPr>
          <w:rFonts w:hint="eastAsia" w:ascii="仿宋_GB2312" w:hAnsi="仿宋_GB2312" w:eastAsia="仿宋_GB2312" w:cs="仿宋_GB2312"/>
          <w:sz w:val="32"/>
          <w:szCs w:val="32"/>
          <w:lang w:eastAsia="zh-CN"/>
        </w:rPr>
        <w:t>《实施细则》</w:t>
      </w:r>
      <w:r>
        <w:rPr>
          <w:rFonts w:hint="eastAsia" w:ascii="仿宋_GB2312" w:hAnsi="仿宋_GB2312" w:eastAsia="仿宋_GB2312" w:cs="仿宋_GB2312"/>
          <w:sz w:val="32"/>
          <w:szCs w:val="32"/>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二、主要内容</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《实施细则》</w:t>
      </w:r>
      <w:r>
        <w:rPr>
          <w:rFonts w:hint="eastAsia" w:ascii="仿宋_GB2312" w:hAnsi="仿宋_GB2312" w:eastAsia="仿宋_GB2312" w:cs="仿宋_GB2312"/>
          <w:sz w:val="32"/>
          <w:szCs w:val="32"/>
        </w:rPr>
        <w:t>从</w:t>
      </w:r>
      <w:r>
        <w:rPr>
          <w:rFonts w:hint="eastAsia" w:ascii="仿宋_GB2312" w:hAnsi="仿宋_GB2312" w:eastAsia="仿宋_GB2312" w:cs="仿宋_GB2312"/>
          <w:sz w:val="32"/>
          <w:szCs w:val="32"/>
          <w:lang w:eastAsia="zh-CN"/>
        </w:rPr>
        <w:t>保障</w:t>
      </w:r>
      <w:r>
        <w:rPr>
          <w:rFonts w:hint="eastAsia" w:ascii="仿宋_GB2312" w:hAnsi="仿宋_GB2312" w:eastAsia="仿宋_GB2312" w:cs="仿宋_GB2312"/>
          <w:sz w:val="32"/>
          <w:szCs w:val="32"/>
        </w:rPr>
        <w:t>我区“4+6+N”现代化产业体系发展用地需求的角度，对重点产业项目遴选、一般产业项目出让及产业监管制度进行优化调整，主要内容如下：</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（一）调整政策适用范围</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根据上位政策要求对</w:t>
      </w:r>
      <w:r>
        <w:rPr>
          <w:rFonts w:hint="eastAsia" w:ascii="仿宋_GB2312" w:hAnsi="仿宋_GB2312" w:eastAsia="仿宋_GB2312" w:cs="仿宋_GB2312"/>
          <w:sz w:val="32"/>
          <w:szCs w:val="32"/>
          <w:lang w:eastAsia="zh-CN"/>
        </w:rPr>
        <w:t>《实施细则》</w:t>
      </w:r>
      <w:r>
        <w:rPr>
          <w:rFonts w:hint="eastAsia" w:ascii="仿宋_GB2312" w:hAnsi="仿宋_GB2312" w:eastAsia="仿宋_GB2312" w:cs="仿宋_GB2312"/>
          <w:sz w:val="32"/>
          <w:szCs w:val="32"/>
        </w:rPr>
        <w:t>适用的项目类型和可参照用地类型进行调整。</w:t>
      </w:r>
      <w:r>
        <w:rPr>
          <w:rFonts w:hint="eastAsia" w:ascii="仿宋_GB2312" w:hAnsi="仿宋_GB2312" w:eastAsia="仿宋_GB2312" w:cs="仿宋_GB2312"/>
          <w:b/>
          <w:bCs/>
          <w:sz w:val="32"/>
          <w:szCs w:val="32"/>
        </w:rPr>
        <w:t>一是</w:t>
      </w:r>
      <w:r>
        <w:rPr>
          <w:rFonts w:hint="eastAsia" w:ascii="仿宋_GB2312" w:hAnsi="仿宋_GB2312" w:eastAsia="仿宋_GB2312" w:cs="仿宋_GB2312"/>
          <w:sz w:val="32"/>
          <w:szCs w:val="32"/>
        </w:rPr>
        <w:t>修改适用项目类型。根据《管理办法》第十九条，将适用的项目类型扩展至以招标、拍卖、挂牌方式公开出让、长期租赁或先租后让供应工业及其他产业用地的产业项目。</w:t>
      </w:r>
      <w:r>
        <w:rPr>
          <w:rFonts w:hint="eastAsia" w:ascii="仿宋_GB2312" w:hAnsi="仿宋_GB2312" w:eastAsia="仿宋_GB2312" w:cs="仿宋_GB2312"/>
          <w:b/>
          <w:bCs/>
          <w:sz w:val="32"/>
          <w:szCs w:val="32"/>
        </w:rPr>
        <w:t>二是</w:t>
      </w:r>
      <w:r>
        <w:rPr>
          <w:rFonts w:hint="eastAsia" w:ascii="仿宋_GB2312" w:hAnsi="仿宋_GB2312" w:eastAsia="仿宋_GB2312" w:cs="仿宋_GB2312"/>
          <w:sz w:val="32"/>
          <w:szCs w:val="32"/>
        </w:rPr>
        <w:t>明确参照用地类型。根据《管理办法》第四条，明确用于产业化经营项目的文体设施</w:t>
      </w:r>
      <w:bookmarkStart w:id="0" w:name="_GoBack"/>
      <w:bookmarkEnd w:id="0"/>
      <w:r>
        <w:rPr>
          <w:rFonts w:hint="eastAsia" w:ascii="仿宋_GB2312" w:hAnsi="仿宋_GB2312" w:eastAsia="仿宋_GB2312" w:cs="仿宋_GB2312"/>
          <w:sz w:val="32"/>
          <w:szCs w:val="32"/>
        </w:rPr>
        <w:t>用地(GIC2)、医疗卫生用地(GIC4)、教育设施用地(GIC5)，以及市发展改革、工业和信息化、交通运输等产业部门认定属于鼓励发展产业使用的交通设施用地(S)、公用设施用地(U)等，可以参照本细则执行。</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（二）完善重点产业项目及一般产业项目认定标准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结合我区产业发展需要，优化调整认定标准。</w:t>
      </w:r>
      <w:r>
        <w:rPr>
          <w:rFonts w:hint="eastAsia" w:ascii="仿宋_GB2312" w:hAnsi="仿宋_GB2312" w:eastAsia="仿宋_GB2312" w:cs="仿宋_GB2312"/>
          <w:b/>
          <w:bCs/>
          <w:sz w:val="32"/>
          <w:szCs w:val="32"/>
        </w:rPr>
        <w:t>一是</w:t>
      </w:r>
      <w:r>
        <w:rPr>
          <w:rFonts w:hint="eastAsia" w:ascii="仿宋_GB2312" w:hAnsi="仿宋_GB2312" w:eastAsia="仿宋_GB2312" w:cs="仿宋_GB2312"/>
          <w:sz w:val="32"/>
          <w:szCs w:val="32"/>
        </w:rPr>
        <w:t>修改重点产业项目认定标准。针对我区在重点产业遴选中出现的评价维度单一问题，完善重点产业项目遴选标准。在收入法增加值规模要求基础上，增设上市企业准入路径，</w:t>
      </w:r>
      <w:r>
        <w:rPr>
          <w:rFonts w:hint="eastAsia" w:ascii="仿宋_GB2312" w:hAnsi="仿宋_GB2312" w:eastAsia="仿宋_GB2312" w:cs="仿宋_GB2312"/>
          <w:sz w:val="32"/>
          <w:szCs w:val="32"/>
          <w:lang w:eastAsia="zh-CN"/>
        </w:rPr>
        <w:t>并</w:t>
      </w:r>
      <w:r>
        <w:rPr>
          <w:rFonts w:hint="eastAsia" w:ascii="仿宋_GB2312" w:hAnsi="仿宋_GB2312" w:eastAsia="仿宋_GB2312" w:cs="仿宋_GB2312"/>
          <w:sz w:val="32"/>
          <w:szCs w:val="32"/>
        </w:rPr>
        <w:t>为对我区经济和产业发展具有重大带动作用的产业项目增设区政府审定准入路径。</w:t>
      </w:r>
      <w:r>
        <w:rPr>
          <w:rFonts w:hint="eastAsia" w:ascii="仿宋_GB2312" w:hAnsi="仿宋_GB2312" w:eastAsia="仿宋_GB2312" w:cs="仿宋_GB2312"/>
          <w:b/>
          <w:bCs/>
          <w:sz w:val="32"/>
          <w:szCs w:val="32"/>
        </w:rPr>
        <w:t>二是</w:t>
      </w:r>
      <w:r>
        <w:rPr>
          <w:rFonts w:hint="eastAsia" w:ascii="仿宋_GB2312" w:hAnsi="仿宋_GB2312" w:eastAsia="仿宋_GB2312" w:cs="仿宋_GB2312"/>
          <w:sz w:val="32"/>
          <w:szCs w:val="32"/>
        </w:rPr>
        <w:t>新增一般产业项目认定标准。不符合</w:t>
      </w:r>
      <w:r>
        <w:rPr>
          <w:rFonts w:hint="eastAsia" w:ascii="仿宋_GB2312" w:hAnsi="仿宋_GB2312" w:eastAsia="仿宋_GB2312" w:cs="仿宋_GB2312"/>
          <w:sz w:val="32"/>
          <w:szCs w:val="32"/>
          <w:lang w:eastAsia="zh-CN"/>
        </w:rPr>
        <w:t>《实施细则》</w:t>
      </w:r>
      <w:r>
        <w:rPr>
          <w:rFonts w:hint="eastAsia" w:ascii="仿宋_GB2312" w:hAnsi="仿宋_GB2312" w:eastAsia="仿宋_GB2312" w:cs="仿宋_GB2312"/>
          <w:sz w:val="32"/>
          <w:szCs w:val="32"/>
        </w:rPr>
        <w:t>第五条重点产业项目相关要求的产业项目为一般产业项目。</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（三）完善产业项目拿地、供房方式</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根据《管理办法》第十九条，统一了所有产业项目的拿地方式，覆盖重点、一般产业项目。明确产业项目可以通过招标、拍卖、挂牌方式公开出让、长期租赁或先租后让等方式拿地。根据《管理办法》第五条，新增了“通用产业用房”这一供房方式。</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（四）允许部分材料容缺</w:t>
      </w:r>
      <w:r>
        <w:rPr>
          <w:rFonts w:hint="eastAsia" w:ascii="楷体_GB2312" w:hAnsi="楷体_GB2312" w:eastAsia="楷体_GB2312" w:cs="楷体_GB2312"/>
          <w:sz w:val="32"/>
          <w:szCs w:val="32"/>
          <w:lang w:eastAsia="zh-CN"/>
        </w:rPr>
        <w:t>受理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根据《管理办法》新增证明履约能力材料以及意向用地单位及其关联公司市内已有产业用地开发建设情况材料。为加快产业遴选和产业用地供应速度，允许容缺部分用地申请材料启动重点产业项目遴选相关工作。</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（五）优化重点产业遴选工作流程</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根据《管理办法》，新增项目论证环节，调整后的遴选工作流程：项目受理—专家评审和尽职调查—项目论证—拟选址用地确定—重点产业项目认定及遴选方案草案拟定—征求意见—提请区遴选小组会议审定—遴选方案备案—土地供应启动—竞买资格审查—产业发展监管协议签订。</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明确一般产业项目无需拟定遴选方案，申报材料及工作流程参照重点产业项目。</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（六）新增“拿地即开工”工作原则性要求</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我区在2026年3月4日召开的空间赋能产业高质量发展大会上向企业发布“拿地即开工，竣备即投产”全流程机制，为此，在</w:t>
      </w:r>
      <w:r>
        <w:rPr>
          <w:rFonts w:hint="eastAsia" w:ascii="仿宋_GB2312" w:hAnsi="仿宋_GB2312" w:eastAsia="仿宋_GB2312" w:cs="仿宋_GB2312"/>
          <w:sz w:val="32"/>
          <w:szCs w:val="32"/>
          <w:lang w:eastAsia="zh-CN"/>
        </w:rPr>
        <w:t>《实施细则》</w:t>
      </w:r>
      <w:r>
        <w:rPr>
          <w:rFonts w:hint="eastAsia" w:ascii="仿宋_GB2312" w:hAnsi="仿宋_GB2312" w:eastAsia="仿宋_GB2312" w:cs="仿宋_GB2312"/>
          <w:sz w:val="32"/>
          <w:szCs w:val="32"/>
        </w:rPr>
        <w:t>中加入相关原则性要求。</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专此说明。</w:t>
      </w:r>
    </w:p>
    <w:sectPr>
      <w:footerReference r:id="rId3" w:type="default"/>
      <w:pgSz w:w="11906" w:h="16838"/>
      <w:pgMar w:top="2041" w:right="1474" w:bottom="1984" w:left="1587"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楷体_GB2312">
    <w:panose1 w:val="02010609030101010101"/>
    <w:charset w:val="86"/>
    <w:family w:val="auto"/>
    <w:pitch w:val="default"/>
    <w:sig w:usb0="00000001" w:usb1="080E0000" w:usb2="00000000" w:usb3="00000000" w:csb0="00040000" w:csb1="00000000"/>
  </w:font>
  <w:font w:name="MathJax_Vector">
    <w:panose1 w:val="02000603000000000000"/>
    <w:charset w:val="00"/>
    <w:family w:val="auto"/>
    <w:pitch w:val="default"/>
    <w:sig w:usb0="00000001" w:usb1="00000020" w:usb2="00000000" w:usb3="00000000" w:csb0="00000001" w:csb1="00000000"/>
  </w:font>
  <w:font w:name="Arial">
    <w:altName w:val="DejaVu Sans"/>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WAAAAZHJzL1BLAQIUABQAAAAIAIdO4kCzSVju0AAAAAUBAAAPAAAAAAAAAAEAIAAAADgAAABk&#10;cnMvZG93bnJldi54bWxQSwECFAAUAAAACACHTuJAa4X5+zECAABhBAAADgAAAAAAAAABACAAAAA1&#10;AQAAZHJzL2Uyb0RvYy54bWxQSwUGAAAAAAYABgBZAQAA2AUAAAAA&#10;">
              <v:fill on="f" focussize="0,0"/>
              <v:stroke on="f" weight="0.5pt"/>
              <v:imagedata o:title=""/>
              <o:lock v:ext="edit" aspectratio="f"/>
              <v:textbox inset="0mm,0mm,0mm,0mm" style="mso-fit-shape-to-text:t;">
                <w:txbxContent>
                  <w:p>
                    <w:pPr>
                      <w:pStyle w:val="2"/>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displayBackgroundShape w:val="1"/>
  <w:embedSystemFonts/>
  <w:bordersDoNotSurroundHeader w:val="1"/>
  <w:bordersDoNotSurroundFooter w:val="1"/>
  <w:revisionView w:markup="0"/>
  <w:trackRevisions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A1947CF"/>
    <w:rsid w:val="4A1947CF"/>
    <w:rsid w:val="577DE65D"/>
    <w:rsid w:val="785F3626"/>
    <w:rsid w:val="7B3FB883"/>
    <w:rsid w:val="7EFFC566"/>
    <w:rsid w:val="B0FF03EE"/>
    <w:rsid w:val="BFF4C1F5"/>
    <w:rsid w:val="CF9A6189"/>
    <w:rsid w:val="E9AF0276"/>
    <w:rsid w:val="F2DE9DB9"/>
    <w:rsid w:val="FCEB3FC4"/>
    <w:rsid w:val="FE5F8D4F"/>
    <w:rsid w:val="FFFE9E1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19</TotalTime>
  <ScaleCrop>false</ScaleCrop>
  <LinksUpToDate>false</LinksUpToDate>
  <CharactersWithSpaces>0</CharactersWithSpaces>
  <Application>WPS Office_11.8.2.12313_F1E327BC-269C-435d-A152-05C5408002CA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2018-07-12T15:11:00Z</dcterms:created>
  <dc:creator>d</dc:creator>
  <cp:lastModifiedBy>COMPASSION</cp:lastModifiedBy>
  <dcterms:modified xsi:type="dcterms:W3CDTF">2026-09-16T16:44:50Z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2052-11.8.2.12313</vt:lpwstr>
  </property>
  <property fmtid="{D5CDD505-2E9C-101B-9397-08002B2CF9AE}" pid="3" name="ICV">
    <vt:lpwstr>B0D353118D64295BA3B9A36AC0F203C8</vt:lpwstr>
  </property>
</Properties>
</file>