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4E272">
      <w:pPr>
        <w:pageBreakBefore w:val="0"/>
        <w:widowControl w:val="0"/>
        <w:wordWrap/>
        <w:topLinePunct w:val="0"/>
        <w:autoSpaceDE w:val="0"/>
        <w:autoSpaceDN w:val="0"/>
        <w:bidi w:val="0"/>
        <w:adjustRightInd w:val="0"/>
        <w:snapToGrid w:val="0"/>
        <w:spacing w:line="288" w:lineRule="auto"/>
        <w:ind w:firstLine="0" w:firstLineChars="0"/>
        <w:jc w:val="center"/>
        <w:outlineLvl w:val="0"/>
        <w:rPr>
          <w:rFonts w:hint="eastAsia" w:ascii="书宋-简" w:hAnsi="书宋-简" w:eastAsia="书宋-简" w:cs="书宋-简"/>
          <w:b/>
          <w:sz w:val="52"/>
          <w:szCs w:val="52"/>
        </w:rPr>
      </w:pPr>
      <w:bookmarkStart w:id="0" w:name="_Toc31497"/>
      <w:bookmarkStart w:id="1" w:name="_Toc9893"/>
      <w:bookmarkStart w:id="2" w:name="_Toc21910"/>
      <w:bookmarkStart w:id="3" w:name="_Toc407023750"/>
      <w:bookmarkStart w:id="4" w:name="_Toc23739"/>
      <w:bookmarkStart w:id="5" w:name="_Toc29085"/>
      <w:r>
        <w:rPr>
          <w:rFonts w:hint="eastAsia" w:ascii="书宋-简" w:hAnsi="书宋-简" w:eastAsia="书宋-简" w:cs="书宋-简"/>
          <w:b/>
          <w:sz w:val="52"/>
          <w:szCs w:val="52"/>
        </w:rPr>
        <w:t>项目需求</w:t>
      </w:r>
      <w:bookmarkEnd w:id="0"/>
      <w:bookmarkEnd w:id="1"/>
      <w:bookmarkEnd w:id="2"/>
      <w:r>
        <w:rPr>
          <w:rFonts w:hint="eastAsia" w:ascii="书宋-简" w:hAnsi="书宋-简" w:eastAsia="书宋-简" w:cs="书宋-简"/>
          <w:b/>
          <w:sz w:val="52"/>
          <w:szCs w:val="52"/>
        </w:rPr>
        <w:t>书</w:t>
      </w:r>
    </w:p>
    <w:p w14:paraId="3329148F">
      <w:pPr>
        <w:pageBreakBefore w:val="0"/>
        <w:widowControl w:val="0"/>
        <w:wordWrap/>
        <w:topLinePunct w:val="0"/>
        <w:autoSpaceDN w:val="0"/>
        <w:bidi w:val="0"/>
        <w:adjustRightInd w:val="0"/>
        <w:snapToGrid w:val="0"/>
        <w:spacing w:line="288" w:lineRule="auto"/>
        <w:ind w:firstLine="0" w:firstLineChars="0"/>
        <w:jc w:val="center"/>
        <w:outlineLvl w:val="1"/>
        <w:rPr>
          <w:rFonts w:hint="eastAsia" w:ascii="书宋-简" w:hAnsi="书宋-简" w:eastAsia="书宋-简" w:cs="书宋-简"/>
          <w:b/>
          <w:sz w:val="32"/>
        </w:rPr>
      </w:pPr>
      <w:bookmarkStart w:id="6" w:name="_Toc32160"/>
      <w:bookmarkStart w:id="7" w:name="_Toc8746"/>
      <w:r>
        <w:rPr>
          <w:rFonts w:hint="eastAsia" w:ascii="书宋-简" w:hAnsi="书宋-简" w:eastAsia="书宋-简" w:cs="书宋-简"/>
          <w:b/>
          <w:sz w:val="32"/>
        </w:rPr>
        <w:t>第一节 项目需求</w:t>
      </w:r>
      <w:bookmarkEnd w:id="6"/>
      <w:bookmarkEnd w:id="7"/>
    </w:p>
    <w:p w14:paraId="2493BF16">
      <w:pPr>
        <w:pageBreakBefore w:val="0"/>
        <w:widowControl w:val="0"/>
        <w:numPr>
          <w:ilvl w:val="0"/>
          <w:numId w:val="1"/>
        </w:numPr>
        <w:wordWrap/>
        <w:topLinePunct w:val="0"/>
        <w:autoSpaceDE w:val="0"/>
        <w:autoSpaceDN w:val="0"/>
        <w:bidi w:val="0"/>
        <w:adjustRightInd w:val="0"/>
        <w:snapToGrid w:val="0"/>
        <w:spacing w:line="288" w:lineRule="auto"/>
        <w:ind w:left="357" w:hanging="357" w:firstLineChars="0"/>
        <w:jc w:val="left"/>
        <w:outlineLvl w:val="2"/>
        <w:rPr>
          <w:rFonts w:hint="eastAsia" w:ascii="书宋-简" w:hAnsi="书宋-简" w:eastAsia="书宋-简" w:cs="书宋-简"/>
          <w:b/>
          <w:bCs/>
          <w:szCs w:val="21"/>
        </w:rPr>
      </w:pPr>
      <w:bookmarkStart w:id="8" w:name="_Toc406669471"/>
      <w:r>
        <w:rPr>
          <w:rFonts w:hint="eastAsia" w:ascii="书宋-简" w:hAnsi="书宋-简" w:eastAsia="书宋-简" w:cs="书宋-简"/>
          <w:b/>
          <w:bCs/>
          <w:szCs w:val="21"/>
        </w:rPr>
        <w:t>项目服务内容</w:t>
      </w:r>
      <w:bookmarkEnd w:id="8"/>
    </w:p>
    <w:p w14:paraId="4374A637">
      <w:pPr>
        <w:pageBreakBefore w:val="0"/>
        <w:widowControl w:val="0"/>
        <w:wordWrap/>
        <w:topLinePunct w:val="0"/>
        <w:autoSpaceDE w:val="0"/>
        <w:autoSpaceDN w:val="0"/>
        <w:bidi w:val="0"/>
        <w:adjustRightInd w:val="0"/>
        <w:snapToGrid w:val="0"/>
        <w:spacing w:line="288" w:lineRule="auto"/>
        <w:ind w:firstLine="420" w:firstLineChars="0"/>
        <w:rPr>
          <w:rFonts w:hint="eastAsia" w:ascii="书宋-简" w:hAnsi="书宋-简" w:eastAsia="书宋-简" w:cs="书宋-简"/>
        </w:rPr>
      </w:pPr>
      <w:bookmarkStart w:id="9" w:name="OLE_LINK3"/>
      <w:r>
        <w:rPr>
          <w:rFonts w:hint="eastAsia" w:ascii="书宋-简" w:hAnsi="书宋-简" w:eastAsia="书宋-简" w:cs="书宋-简"/>
        </w:rPr>
        <w:t>为贯彻落实《深圳市龙岗区创建人工智能全域全时应用示范区的行动方案（2024年-2025年）》、《深圳市龙岗区加快创建“AI龙岗”三年行动计划（2025‑2027年）》及《2026年深圳市龙岗区“All in AI”白皮书》战略部署, 龙岗区全力打造全球算力产业高地与全国昇腾生态样板，全面实现“算力、框架、算子、应用”全栈国产化，加速建设人工智能全域全</w:t>
      </w:r>
      <w:r>
        <w:rPr>
          <w:rFonts w:hint="eastAsia" w:ascii="书宋-简" w:hAnsi="书宋-简" w:eastAsia="书宋-简" w:cs="书宋-简"/>
          <w:highlight w:val="none"/>
        </w:rPr>
        <w:t>时应用示范区。结合区内各委办局及重点企业的实际算力需求，本项目拟采购不少于</w:t>
      </w:r>
      <w:r>
        <w:rPr>
          <w:rFonts w:hint="eastAsia" w:ascii="书宋-简" w:hAnsi="书宋-简" w:eastAsia="书宋-简" w:cs="书宋-简"/>
          <w:highlight w:val="none"/>
          <w:lang w:val="en-US" w:eastAsia="zh-CN"/>
        </w:rPr>
        <w:t>2646</w:t>
      </w:r>
      <w:r>
        <w:rPr>
          <w:rFonts w:hint="eastAsia" w:ascii="书宋-简" w:hAnsi="书宋-简" w:eastAsia="书宋-简" w:cs="书宋-简"/>
          <w:highlight w:val="none"/>
        </w:rPr>
        <w:t>P</w:t>
      </w:r>
      <w:r>
        <w:rPr>
          <w:rFonts w:hint="eastAsia" w:ascii="书宋-简" w:hAnsi="书宋-简" w:eastAsia="书宋-简" w:cs="书宋-简"/>
        </w:rPr>
        <w:t>@FP8的智能算力服务及软件、网络等相关配套设施服务</w:t>
      </w:r>
      <w:bookmarkEnd w:id="9"/>
      <w:r>
        <w:rPr>
          <w:rFonts w:hint="eastAsia" w:ascii="书宋-简" w:hAnsi="书宋-简" w:eastAsia="书宋-简" w:cs="书宋-简"/>
        </w:rPr>
        <w:t>。</w:t>
      </w:r>
    </w:p>
    <w:p w14:paraId="4DA50F5B">
      <w:pPr>
        <w:pageBreakBefore w:val="0"/>
        <w:widowControl w:val="0"/>
        <w:wordWrap/>
        <w:topLinePunct w:val="0"/>
        <w:autoSpaceDE w:val="0"/>
        <w:autoSpaceDN w:val="0"/>
        <w:bidi w:val="0"/>
        <w:adjustRightInd w:val="0"/>
        <w:snapToGrid w:val="0"/>
        <w:spacing w:line="288" w:lineRule="auto"/>
        <w:ind w:firstLine="420" w:firstLineChars="0"/>
        <w:rPr>
          <w:rFonts w:hint="eastAsia" w:ascii="书宋-简" w:hAnsi="书宋-简" w:eastAsia="书宋-简" w:cs="书宋-简"/>
        </w:rPr>
      </w:pPr>
      <w:r>
        <w:rPr>
          <w:rFonts w:hint="eastAsia" w:ascii="书宋-简" w:hAnsi="书宋-简" w:eastAsia="书宋-简" w:cs="书宋-简"/>
        </w:rPr>
        <w:t>具体包括以下内容：</w:t>
      </w:r>
    </w:p>
    <w:p w14:paraId="0A1D555A">
      <w:pPr>
        <w:pageBreakBefore w:val="0"/>
        <w:widowControl w:val="0"/>
        <w:wordWrap/>
        <w:topLinePunct w:val="0"/>
        <w:autoSpaceDE w:val="0"/>
        <w:autoSpaceDN w:val="0"/>
        <w:bidi w:val="0"/>
        <w:adjustRightInd w:val="0"/>
        <w:snapToGrid w:val="0"/>
        <w:spacing w:line="288" w:lineRule="auto"/>
        <w:ind w:left="360" w:firstLine="0" w:firstLineChars="0"/>
        <w:jc w:val="left"/>
        <w:rPr>
          <w:rFonts w:hint="eastAsia" w:ascii="书宋-简" w:hAnsi="书宋-简" w:eastAsia="书宋-简" w:cs="书宋-简"/>
          <w:b/>
          <w:bCs/>
          <w:color w:val="C00000"/>
          <w:szCs w:val="21"/>
        </w:rPr>
      </w:pPr>
      <w:bookmarkStart w:id="10" w:name="_Toc406669472"/>
      <w:bookmarkStart w:id="11" w:name="_Toc404195400"/>
      <w:r>
        <w:rPr>
          <w:rFonts w:hint="eastAsia" w:ascii="书宋-简" w:hAnsi="书宋-简" w:eastAsia="书宋-简" w:cs="书宋-简"/>
          <w:b/>
          <w:bCs/>
          <w:szCs w:val="21"/>
        </w:rPr>
        <w:t>1、</w:t>
      </w:r>
      <w:r>
        <w:rPr>
          <w:rFonts w:hint="eastAsia" w:ascii="书宋-简" w:hAnsi="书宋-简" w:eastAsia="书宋-简" w:cs="书宋-简"/>
          <w:b/>
          <w:bCs/>
        </w:rPr>
        <w:t>硬件设备和软件的采购服务</w:t>
      </w:r>
    </w:p>
    <w:p w14:paraId="7338B021">
      <w:pPr>
        <w:pageBreakBefore w:val="0"/>
        <w:wordWrap/>
        <w:topLinePunct w:val="0"/>
        <w:bidi w:val="0"/>
        <w:spacing w:line="288" w:lineRule="auto"/>
        <w:ind w:firstLine="420"/>
        <w:rPr>
          <w:rFonts w:hint="eastAsia" w:ascii="书宋-简" w:hAnsi="书宋-简" w:eastAsia="书宋-简" w:cs="书宋-简"/>
          <w:szCs w:val="21"/>
        </w:rPr>
      </w:pPr>
      <w:r>
        <w:rPr>
          <w:rFonts w:hint="eastAsia" w:ascii="书宋-简" w:hAnsi="书宋-简" w:eastAsia="书宋-简" w:cs="书宋-简"/>
        </w:rPr>
        <w:t>人工智能计算服务所有设备和软件的采购，包括智算服务器、集群管理及算力调度平台服务器和软件、</w:t>
      </w:r>
      <w:r>
        <w:rPr>
          <w:rFonts w:hint="eastAsia" w:ascii="书宋-简" w:hAnsi="书宋-简" w:eastAsia="书宋-简" w:cs="书宋-简"/>
          <w:color w:val="000000"/>
          <w:szCs w:val="21"/>
        </w:rPr>
        <w:t>MPO线缆、</w:t>
      </w:r>
      <w:r>
        <w:rPr>
          <w:rFonts w:hint="eastAsia" w:ascii="书宋-简" w:hAnsi="书宋-简" w:eastAsia="书宋-简" w:cs="书宋-简"/>
        </w:rPr>
        <w:t>网络设备等相关设备。</w:t>
      </w:r>
    </w:p>
    <w:p w14:paraId="4C9DD8F2">
      <w:pPr>
        <w:pageBreakBefore w:val="0"/>
        <w:wordWrap/>
        <w:topLinePunct w:val="0"/>
        <w:bidi w:val="0"/>
        <w:spacing w:line="288" w:lineRule="auto"/>
        <w:ind w:firstLine="422"/>
        <w:rPr>
          <w:rFonts w:hint="eastAsia" w:ascii="书宋-简" w:hAnsi="书宋-简" w:eastAsia="书宋-简" w:cs="书宋-简"/>
        </w:rPr>
      </w:pPr>
      <w:r>
        <w:rPr>
          <w:rFonts w:hint="eastAsia" w:ascii="书宋-简" w:hAnsi="书宋-简" w:eastAsia="书宋-简" w:cs="书宋-简"/>
          <w:b/>
          <w:bCs/>
        </w:rPr>
        <w:t>2、</w:t>
      </w:r>
      <w:r>
        <w:rPr>
          <w:rFonts w:hint="eastAsia" w:ascii="书宋-简" w:hAnsi="书宋-简" w:eastAsia="书宋-简" w:cs="书宋-简"/>
          <w:b/>
          <w:bCs/>
          <w:lang w:eastAsia="zh-CN" w:bidi="ar"/>
        </w:rPr>
        <w:t>设计与集成</w:t>
      </w:r>
      <w:r>
        <w:rPr>
          <w:rFonts w:hint="eastAsia" w:ascii="书宋-简" w:hAnsi="书宋-简" w:eastAsia="书宋-简" w:cs="书宋-简"/>
          <w:b/>
          <w:bCs/>
          <w:lang w:bidi="ar"/>
        </w:rPr>
        <w:t>服务</w:t>
      </w:r>
    </w:p>
    <w:p w14:paraId="636D962E">
      <w:pPr>
        <w:pageBreakBefore w:val="0"/>
        <w:wordWrap/>
        <w:topLinePunct w:val="0"/>
        <w:bidi w:val="0"/>
        <w:spacing w:line="288" w:lineRule="auto"/>
        <w:ind w:firstLine="420" w:firstLineChars="0"/>
        <w:rPr>
          <w:rFonts w:hint="eastAsia" w:ascii="书宋-简" w:hAnsi="书宋-简" w:eastAsia="书宋-简" w:cs="书宋-简"/>
        </w:rPr>
      </w:pPr>
      <w:r>
        <w:rPr>
          <w:rFonts w:hint="eastAsia" w:ascii="书宋-简" w:hAnsi="书宋-简" w:eastAsia="书宋-简" w:cs="书宋-简"/>
          <w:lang w:bidi="ar"/>
        </w:rPr>
        <w:t>包括AI计算规划设计与实施服务</w:t>
      </w:r>
      <w:r>
        <w:rPr>
          <w:rFonts w:hint="eastAsia" w:ascii="书宋-简" w:hAnsi="书宋-简" w:eastAsia="书宋-简" w:cs="书宋-简"/>
          <w:lang w:eastAsia="zh-CN" w:bidi="ar"/>
        </w:rPr>
        <w:t>、AI计算集成服务以及数据中心集成服务。</w:t>
      </w:r>
    </w:p>
    <w:p w14:paraId="0427F2B7">
      <w:pPr>
        <w:pageBreakBefore w:val="0"/>
        <w:numPr>
          <w:ilvl w:val="0"/>
          <w:numId w:val="2"/>
        </w:numPr>
        <w:wordWrap/>
        <w:topLinePunct w:val="0"/>
        <w:bidi w:val="0"/>
        <w:spacing w:line="288" w:lineRule="auto"/>
        <w:ind w:firstLine="420" w:firstLineChars="0"/>
        <w:rPr>
          <w:rFonts w:hint="eastAsia" w:ascii="书宋-简" w:hAnsi="书宋-简" w:eastAsia="书宋-简" w:cs="书宋-简"/>
          <w:b/>
          <w:bCs/>
          <w:lang w:val="en-US" w:eastAsia="zh-CN"/>
        </w:rPr>
      </w:pPr>
      <w:r>
        <w:rPr>
          <w:rFonts w:hint="eastAsia" w:ascii="书宋-简" w:hAnsi="书宋-简" w:eastAsia="书宋-简" w:cs="书宋-简"/>
          <w:b/>
          <w:bCs/>
          <w:lang w:val="en-US" w:eastAsia="zh-CN"/>
        </w:rPr>
        <w:t>专业服务</w:t>
      </w:r>
    </w:p>
    <w:p w14:paraId="05B65253">
      <w:pPr>
        <w:pageBreakBefore w:val="0"/>
        <w:numPr>
          <w:ilvl w:val="0"/>
          <w:numId w:val="0"/>
        </w:numPr>
        <w:wordWrap/>
        <w:topLinePunct w:val="0"/>
        <w:bidi w:val="0"/>
        <w:spacing w:line="288" w:lineRule="auto"/>
        <w:ind w:firstLine="420"/>
        <w:rPr>
          <w:rFonts w:hint="eastAsia" w:ascii="书宋-简" w:hAnsi="书宋-简" w:eastAsia="书宋-简" w:cs="书宋-简"/>
          <w:lang w:val="en-US" w:eastAsia="zh-CN"/>
        </w:rPr>
      </w:pPr>
      <w:r>
        <w:rPr>
          <w:rFonts w:hint="eastAsia" w:ascii="书宋-简" w:hAnsi="书宋-简" w:eastAsia="书宋-简" w:cs="书宋-简"/>
          <w:lang w:val="en-US" w:eastAsia="zh-CN"/>
        </w:rPr>
        <w:t>包括AI计算使能服务、AI算网运维服务、AI培训服务以及延保服务。</w:t>
      </w:r>
    </w:p>
    <w:p w14:paraId="2D4458BF">
      <w:pPr>
        <w:pageBreakBefore w:val="0"/>
        <w:numPr>
          <w:ilvl w:val="0"/>
          <w:numId w:val="0"/>
        </w:numPr>
        <w:wordWrap/>
        <w:topLinePunct w:val="0"/>
        <w:bidi w:val="0"/>
        <w:spacing w:line="288" w:lineRule="auto"/>
        <w:ind w:firstLine="420"/>
        <w:rPr>
          <w:rFonts w:hint="eastAsia" w:ascii="书宋-简" w:hAnsi="书宋-简" w:eastAsia="书宋-简" w:cs="书宋-简"/>
          <w:lang w:val="en-US" w:eastAsia="zh-CN"/>
        </w:rPr>
      </w:pPr>
      <w:r>
        <w:rPr>
          <w:rFonts w:hint="eastAsia" w:ascii="书宋-简" w:hAnsi="书宋-简" w:eastAsia="书宋-简" w:cs="书宋-简"/>
          <w:lang w:val="en-US" w:eastAsia="zh-CN"/>
        </w:rPr>
        <w:t>服务时间：服务期限最长不超过5年。</w:t>
      </w:r>
    </w:p>
    <w:p w14:paraId="635F28BB">
      <w:pPr>
        <w:pageBreakBefore w:val="0"/>
        <w:numPr>
          <w:ilvl w:val="0"/>
          <w:numId w:val="0"/>
        </w:numPr>
        <w:wordWrap/>
        <w:topLinePunct w:val="0"/>
        <w:bidi w:val="0"/>
        <w:spacing w:line="288" w:lineRule="auto"/>
        <w:ind w:firstLine="420"/>
        <w:rPr>
          <w:rFonts w:hint="default" w:ascii="书宋-简" w:hAnsi="书宋-简" w:eastAsia="书宋-简" w:cs="书宋-简"/>
          <w:lang w:val="en-US" w:eastAsia="zh-CN"/>
        </w:rPr>
      </w:pPr>
      <w:r>
        <w:rPr>
          <w:rFonts w:hint="eastAsia" w:ascii="书宋-简" w:hAnsi="书宋-简" w:eastAsia="书宋-简" w:cs="书宋-简"/>
          <w:lang w:val="en-US" w:eastAsia="zh-CN"/>
        </w:rPr>
        <w:t>服务地点：深圳市、</w:t>
      </w:r>
      <w:bookmarkStart w:id="13" w:name="_GoBack"/>
      <w:bookmarkEnd w:id="13"/>
      <w:r>
        <w:rPr>
          <w:rFonts w:hint="eastAsia" w:ascii="书宋-简" w:hAnsi="书宋-简" w:eastAsia="书宋-简" w:cs="书宋-简"/>
          <w:lang w:val="en-US" w:eastAsia="zh-CN"/>
        </w:rPr>
        <w:t>贵安新区。</w:t>
      </w:r>
    </w:p>
    <w:p w14:paraId="5B625947">
      <w:pPr>
        <w:pageBreakBefore w:val="0"/>
        <w:widowControl w:val="0"/>
        <w:numPr>
          <w:ilvl w:val="0"/>
          <w:numId w:val="1"/>
        </w:numPr>
        <w:wordWrap/>
        <w:topLinePunct w:val="0"/>
        <w:autoSpaceDE w:val="0"/>
        <w:autoSpaceDN w:val="0"/>
        <w:bidi w:val="0"/>
        <w:adjustRightInd w:val="0"/>
        <w:snapToGrid w:val="0"/>
        <w:spacing w:line="288" w:lineRule="auto"/>
        <w:ind w:left="357" w:hanging="357" w:firstLineChars="0"/>
        <w:jc w:val="left"/>
        <w:outlineLvl w:val="2"/>
        <w:rPr>
          <w:rFonts w:hint="eastAsia" w:ascii="书宋-简" w:hAnsi="书宋-简" w:eastAsia="书宋-简" w:cs="书宋-简"/>
          <w:b/>
          <w:bCs/>
          <w:szCs w:val="21"/>
        </w:rPr>
      </w:pPr>
      <w:r>
        <w:rPr>
          <w:rFonts w:hint="eastAsia" w:ascii="书宋-简" w:hAnsi="书宋-简" w:eastAsia="书宋-简" w:cs="书宋-简"/>
          <w:b/>
          <w:bCs/>
          <w:szCs w:val="21"/>
        </w:rPr>
        <w:t>项目服务要求</w:t>
      </w:r>
      <w:bookmarkEnd w:id="10"/>
      <w:bookmarkEnd w:id="11"/>
    </w:p>
    <w:p w14:paraId="4DBC320F">
      <w:pPr>
        <w:pageBreakBefore w:val="0"/>
        <w:wordWrap/>
        <w:topLinePunct w:val="0"/>
        <w:bidi w:val="0"/>
        <w:spacing w:line="288" w:lineRule="auto"/>
        <w:ind w:firstLine="420"/>
        <w:rPr>
          <w:rFonts w:hint="eastAsia" w:ascii="书宋-简" w:hAnsi="书宋-简" w:eastAsia="书宋-简" w:cs="书宋-简"/>
        </w:rPr>
      </w:pPr>
      <w:r>
        <w:rPr>
          <w:rFonts w:hint="eastAsia" w:ascii="书宋-简" w:hAnsi="书宋-简" w:eastAsia="书宋-简" w:cs="书宋-简"/>
          <w:szCs w:val="21"/>
        </w:rPr>
        <w:t>本项目拟采购设备</w:t>
      </w:r>
      <w:r>
        <w:rPr>
          <w:rFonts w:hint="eastAsia" w:ascii="书宋-简" w:hAnsi="书宋-简" w:eastAsia="书宋-简" w:cs="书宋-简"/>
        </w:rPr>
        <w:t>、软件及服务清单详见下表《硬件设备、软件和</w:t>
      </w:r>
      <w:r>
        <w:rPr>
          <w:rFonts w:hint="eastAsia" w:ascii="书宋-简" w:hAnsi="书宋-简" w:eastAsia="书宋-简" w:cs="书宋-简"/>
          <w:lang w:eastAsia="zh-CN"/>
        </w:rPr>
        <w:t>配套</w:t>
      </w:r>
      <w:r>
        <w:rPr>
          <w:rFonts w:hint="eastAsia" w:ascii="书宋-简" w:hAnsi="书宋-简" w:eastAsia="书宋-简" w:cs="书宋-简"/>
        </w:rPr>
        <w:t>服务采购需求表》</w:t>
      </w:r>
      <w:r>
        <w:rPr>
          <w:rFonts w:hint="eastAsia" w:ascii="书宋-简" w:hAnsi="书宋-简" w:eastAsia="书宋-简" w:cs="书宋-简"/>
          <w:szCs w:val="21"/>
        </w:rPr>
        <w:t>，</w:t>
      </w:r>
      <w:r>
        <w:rPr>
          <w:rFonts w:hint="eastAsia" w:ascii="书宋-简" w:hAnsi="书宋-简" w:eastAsia="书宋-简" w:cs="书宋-简"/>
          <w:szCs w:val="21"/>
          <w:lang w:eastAsia="zh-CN"/>
        </w:rPr>
        <w:t>《专业服务采购需求表》</w:t>
      </w:r>
      <w:r>
        <w:rPr>
          <w:rFonts w:hint="eastAsia" w:ascii="书宋-简" w:hAnsi="书宋-简" w:eastAsia="书宋-简" w:cs="书宋-简"/>
        </w:rPr>
        <w:t>具体交付设备以合同签订后正式下发的采购订单为准</w:t>
      </w:r>
      <w:r>
        <w:rPr>
          <w:rFonts w:hint="eastAsia" w:ascii="书宋-简" w:hAnsi="书宋-简" w:eastAsia="书宋-简" w:cs="书宋-简"/>
          <w:szCs w:val="21"/>
        </w:rPr>
        <w:t>。</w:t>
      </w:r>
    </w:p>
    <w:p w14:paraId="6DECD14F">
      <w:pPr>
        <w:pageBreakBefore w:val="0"/>
        <w:wordWrap/>
        <w:topLinePunct w:val="0"/>
        <w:bidi w:val="0"/>
        <w:spacing w:line="288" w:lineRule="auto"/>
        <w:ind w:firstLine="422"/>
        <w:jc w:val="center"/>
        <w:rPr>
          <w:rFonts w:hint="eastAsia" w:ascii="书宋-简" w:hAnsi="书宋-简" w:eastAsia="书宋-简" w:cs="书宋-简"/>
          <w:b/>
          <w:bCs/>
        </w:rPr>
      </w:pPr>
      <w:r>
        <w:rPr>
          <w:rFonts w:hint="eastAsia" w:ascii="书宋-简" w:hAnsi="书宋-简" w:eastAsia="书宋-简" w:cs="书宋-简"/>
          <w:b/>
          <w:bCs/>
        </w:rPr>
        <w:t>硬件设备、软件和</w:t>
      </w:r>
      <w:r>
        <w:rPr>
          <w:rFonts w:hint="eastAsia" w:ascii="书宋-简" w:hAnsi="书宋-简" w:eastAsia="书宋-简" w:cs="书宋-简"/>
          <w:b/>
          <w:bCs/>
          <w:lang w:eastAsia="zh-CN"/>
        </w:rPr>
        <w:t>配套</w:t>
      </w:r>
      <w:r>
        <w:rPr>
          <w:rFonts w:hint="eastAsia" w:ascii="书宋-简" w:hAnsi="书宋-简" w:eastAsia="书宋-简" w:cs="书宋-简"/>
          <w:b/>
          <w:bCs/>
        </w:rPr>
        <w:t>服务采购需求表</w:t>
      </w:r>
    </w:p>
    <w:tbl>
      <w:tblPr>
        <w:tblStyle w:val="4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7"/>
        <w:gridCol w:w="2471"/>
        <w:gridCol w:w="1055"/>
        <w:gridCol w:w="864"/>
        <w:gridCol w:w="2055"/>
        <w:gridCol w:w="1225"/>
      </w:tblGrid>
      <w:tr w14:paraId="5BE9C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0" w:hRule="atLeast"/>
        </w:trPr>
        <w:tc>
          <w:tcPr>
            <w:tcW w:w="49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E12F81F">
            <w:pPr>
              <w:keepNext w:val="0"/>
              <w:keepLines w:val="0"/>
              <w:pageBreakBefore w:val="0"/>
              <w:widowControl/>
              <w:kinsoku/>
              <w:wordWrap/>
              <w:overflowPunct/>
              <w:topLinePunct w:val="0"/>
              <w:autoSpaceDE/>
              <w:autoSpaceDN/>
              <w:bidi w:val="0"/>
              <w:adjustRightInd/>
              <w:snapToGrid/>
              <w:spacing w:after="0" w:line="288" w:lineRule="auto"/>
              <w:ind w:left="0" w:leftChars="0" w:firstLine="0" w:firstLineChars="0"/>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sz w:val="20"/>
                <w:szCs w:val="20"/>
              </w:rPr>
              <w:br w:type="page"/>
            </w:r>
            <w:r>
              <w:rPr>
                <w:rFonts w:hint="eastAsia" w:ascii="书宋-简" w:hAnsi="书宋-简" w:eastAsia="书宋-简" w:cs="书宋-简"/>
                <w:b/>
                <w:bCs/>
                <w:i w:val="0"/>
                <w:iCs w:val="0"/>
                <w:color w:val="auto"/>
                <w:kern w:val="0"/>
                <w:sz w:val="20"/>
                <w:szCs w:val="20"/>
                <w:u w:val="none"/>
                <w:lang w:val="en-US" w:eastAsia="zh-CN" w:bidi="ar"/>
              </w:rPr>
              <w:t>序号</w:t>
            </w:r>
          </w:p>
        </w:tc>
        <w:tc>
          <w:tcPr>
            <w:tcW w:w="14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E3E154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名称</w:t>
            </w:r>
          </w:p>
        </w:tc>
        <w:tc>
          <w:tcPr>
            <w:tcW w:w="6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E69E02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数量</w:t>
            </w:r>
          </w:p>
        </w:tc>
        <w:tc>
          <w:tcPr>
            <w:tcW w:w="50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38786A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单位</w:t>
            </w:r>
          </w:p>
        </w:tc>
        <w:tc>
          <w:tcPr>
            <w:tcW w:w="120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95C006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技术要求</w:t>
            </w:r>
          </w:p>
        </w:tc>
        <w:tc>
          <w:tcPr>
            <w:tcW w:w="7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F6C26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备注</w:t>
            </w:r>
          </w:p>
        </w:tc>
      </w:tr>
      <w:tr w14:paraId="74373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34547FD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一</w:t>
            </w:r>
          </w:p>
        </w:tc>
        <w:tc>
          <w:tcPr>
            <w:tcW w:w="1450" w:type="pct"/>
            <w:tcBorders>
              <w:top w:val="nil"/>
              <w:left w:val="nil"/>
              <w:bottom w:val="single" w:color="000000" w:sz="8" w:space="0"/>
              <w:right w:val="single" w:color="000000" w:sz="8" w:space="0"/>
            </w:tcBorders>
            <w:shd w:val="clear" w:color="auto" w:fill="auto"/>
            <w:vAlign w:val="center"/>
          </w:tcPr>
          <w:p w14:paraId="1307997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关键设备</w:t>
            </w:r>
          </w:p>
        </w:tc>
        <w:tc>
          <w:tcPr>
            <w:tcW w:w="619" w:type="pct"/>
            <w:tcBorders>
              <w:top w:val="nil"/>
              <w:left w:val="nil"/>
              <w:bottom w:val="single" w:color="000000" w:sz="8" w:space="0"/>
              <w:right w:val="single" w:color="000000" w:sz="8" w:space="0"/>
            </w:tcBorders>
            <w:shd w:val="clear" w:color="auto" w:fill="auto"/>
            <w:vAlign w:val="center"/>
          </w:tcPr>
          <w:p w14:paraId="70FAA7AC">
            <w:pPr>
              <w:keepNext w:val="0"/>
              <w:keepLines w:val="0"/>
              <w:pageBreakBefore w:val="0"/>
              <w:widowControl/>
              <w:kinsoku/>
              <w:wordWrap/>
              <w:overflowPunct/>
              <w:topLinePunct w:val="0"/>
              <w:autoSpaceDE/>
              <w:autoSpaceDN/>
              <w:bidi w:val="0"/>
              <w:adjustRightInd/>
              <w:snapToGrid/>
              <w:spacing w:after="0" w:line="288" w:lineRule="auto"/>
              <w:ind w:firstLine="0" w:firstLineChars="0"/>
              <w:jc w:val="left"/>
              <w:rPr>
                <w:rFonts w:hint="eastAsia" w:ascii="书宋-简" w:hAnsi="书宋-简" w:eastAsia="书宋-简" w:cs="书宋-简"/>
                <w:b/>
                <w:bCs/>
                <w:i w:val="0"/>
                <w:iCs w:val="0"/>
                <w:color w:val="auto"/>
                <w:sz w:val="20"/>
                <w:szCs w:val="20"/>
                <w:u w:val="none"/>
              </w:rPr>
            </w:pPr>
          </w:p>
        </w:tc>
        <w:tc>
          <w:tcPr>
            <w:tcW w:w="507" w:type="pct"/>
            <w:tcBorders>
              <w:top w:val="nil"/>
              <w:left w:val="nil"/>
              <w:bottom w:val="single" w:color="000000" w:sz="8" w:space="0"/>
              <w:right w:val="single" w:color="000000" w:sz="8" w:space="0"/>
            </w:tcBorders>
            <w:shd w:val="clear" w:color="auto" w:fill="auto"/>
            <w:vAlign w:val="center"/>
          </w:tcPr>
          <w:p w14:paraId="44D93FFC">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b/>
                <w:bCs/>
                <w:i w:val="0"/>
                <w:iCs w:val="0"/>
                <w:color w:val="auto"/>
                <w:sz w:val="20"/>
                <w:szCs w:val="20"/>
                <w:u w:val="none"/>
              </w:rPr>
            </w:pPr>
          </w:p>
        </w:tc>
        <w:tc>
          <w:tcPr>
            <w:tcW w:w="1206" w:type="pct"/>
            <w:tcBorders>
              <w:top w:val="nil"/>
              <w:left w:val="nil"/>
              <w:bottom w:val="single" w:color="000000" w:sz="8" w:space="0"/>
              <w:right w:val="single" w:color="000000" w:sz="8" w:space="0"/>
            </w:tcBorders>
            <w:shd w:val="clear" w:color="auto" w:fill="auto"/>
            <w:vAlign w:val="center"/>
          </w:tcPr>
          <w:p w14:paraId="57AA7D2A">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b/>
                <w:bCs/>
                <w:i w:val="0"/>
                <w:iCs w:val="0"/>
                <w:color w:val="auto"/>
                <w:sz w:val="20"/>
                <w:szCs w:val="20"/>
                <w:u w:val="none"/>
              </w:rPr>
            </w:pPr>
          </w:p>
        </w:tc>
        <w:tc>
          <w:tcPr>
            <w:tcW w:w="719" w:type="pct"/>
            <w:tcBorders>
              <w:top w:val="nil"/>
              <w:left w:val="nil"/>
              <w:bottom w:val="single" w:color="000000" w:sz="8" w:space="0"/>
              <w:right w:val="single" w:color="000000" w:sz="8" w:space="0"/>
            </w:tcBorders>
            <w:shd w:val="clear" w:color="auto" w:fill="auto"/>
            <w:vAlign w:val="center"/>
          </w:tcPr>
          <w:p w14:paraId="16E7A9A0">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b/>
                <w:bCs/>
                <w:i w:val="0"/>
                <w:iCs w:val="0"/>
                <w:color w:val="auto"/>
                <w:sz w:val="20"/>
                <w:szCs w:val="20"/>
                <w:u w:val="none"/>
              </w:rPr>
            </w:pPr>
          </w:p>
        </w:tc>
      </w:tr>
      <w:tr w14:paraId="1D28F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3DAB910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w:t>
            </w:r>
          </w:p>
        </w:tc>
        <w:tc>
          <w:tcPr>
            <w:tcW w:w="1450" w:type="pct"/>
            <w:tcBorders>
              <w:top w:val="nil"/>
              <w:left w:val="nil"/>
              <w:bottom w:val="single" w:color="000000" w:sz="8" w:space="0"/>
              <w:right w:val="single" w:color="000000" w:sz="8" w:space="0"/>
            </w:tcBorders>
            <w:shd w:val="clear" w:color="auto" w:fill="auto"/>
            <w:vAlign w:val="center"/>
          </w:tcPr>
          <w:p w14:paraId="23EADB5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液冷智算服务器</w:t>
            </w:r>
          </w:p>
        </w:tc>
        <w:tc>
          <w:tcPr>
            <w:tcW w:w="619" w:type="pct"/>
            <w:tcBorders>
              <w:top w:val="nil"/>
              <w:left w:val="nil"/>
              <w:bottom w:val="single" w:color="000000" w:sz="8" w:space="0"/>
              <w:right w:val="single" w:color="000000" w:sz="8" w:space="0"/>
            </w:tcBorders>
            <w:shd w:val="clear" w:color="auto" w:fill="auto"/>
            <w:vAlign w:val="center"/>
          </w:tcPr>
          <w:p w14:paraId="2DC6E47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w:t>
            </w:r>
          </w:p>
        </w:tc>
        <w:tc>
          <w:tcPr>
            <w:tcW w:w="507" w:type="pct"/>
            <w:tcBorders>
              <w:top w:val="nil"/>
              <w:left w:val="nil"/>
              <w:bottom w:val="single" w:color="000000" w:sz="8" w:space="0"/>
              <w:right w:val="single" w:color="000000" w:sz="8" w:space="0"/>
            </w:tcBorders>
            <w:shd w:val="clear" w:color="auto" w:fill="auto"/>
            <w:vAlign w:val="center"/>
          </w:tcPr>
          <w:p w14:paraId="37B0D86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套</w:t>
            </w:r>
          </w:p>
        </w:tc>
        <w:tc>
          <w:tcPr>
            <w:tcW w:w="1206" w:type="pct"/>
            <w:tcBorders>
              <w:top w:val="nil"/>
              <w:left w:val="nil"/>
              <w:bottom w:val="single" w:color="000000" w:sz="8" w:space="0"/>
              <w:right w:val="single" w:color="000000" w:sz="8" w:space="0"/>
            </w:tcBorders>
            <w:shd w:val="clear" w:color="auto" w:fill="auto"/>
            <w:vAlign w:val="center"/>
          </w:tcPr>
          <w:p w14:paraId="1798418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4C94DFFD">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03F4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4231B1B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w:t>
            </w:r>
          </w:p>
        </w:tc>
        <w:tc>
          <w:tcPr>
            <w:tcW w:w="1450" w:type="pct"/>
            <w:tcBorders>
              <w:top w:val="nil"/>
              <w:left w:val="nil"/>
              <w:bottom w:val="single" w:color="000000" w:sz="8" w:space="0"/>
              <w:right w:val="single" w:color="000000" w:sz="8" w:space="0"/>
            </w:tcBorders>
            <w:shd w:val="clear" w:color="auto" w:fill="auto"/>
            <w:vAlign w:val="center"/>
          </w:tcPr>
          <w:p w14:paraId="39AC3F4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风冷智算服务器1</w:t>
            </w:r>
          </w:p>
        </w:tc>
        <w:tc>
          <w:tcPr>
            <w:tcW w:w="619" w:type="pct"/>
            <w:tcBorders>
              <w:top w:val="nil"/>
              <w:left w:val="nil"/>
              <w:bottom w:val="single" w:color="000000" w:sz="8" w:space="0"/>
              <w:right w:val="single" w:color="000000" w:sz="8" w:space="0"/>
            </w:tcBorders>
            <w:shd w:val="clear" w:color="auto" w:fill="auto"/>
            <w:vAlign w:val="center"/>
          </w:tcPr>
          <w:p w14:paraId="704869A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192</w:t>
            </w:r>
          </w:p>
        </w:tc>
        <w:tc>
          <w:tcPr>
            <w:tcW w:w="507" w:type="pct"/>
            <w:tcBorders>
              <w:top w:val="nil"/>
              <w:left w:val="nil"/>
              <w:bottom w:val="single" w:color="000000" w:sz="8" w:space="0"/>
              <w:right w:val="single" w:color="000000" w:sz="8" w:space="0"/>
            </w:tcBorders>
            <w:shd w:val="clear" w:color="auto" w:fill="auto"/>
            <w:vAlign w:val="center"/>
          </w:tcPr>
          <w:p w14:paraId="6B4C269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34F267F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18B9408C">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31AB5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3A8CE67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3</w:t>
            </w:r>
          </w:p>
        </w:tc>
        <w:tc>
          <w:tcPr>
            <w:tcW w:w="1450" w:type="pct"/>
            <w:tcBorders>
              <w:top w:val="nil"/>
              <w:left w:val="nil"/>
              <w:bottom w:val="single" w:color="000000" w:sz="8" w:space="0"/>
              <w:right w:val="single" w:color="000000" w:sz="8" w:space="0"/>
            </w:tcBorders>
            <w:shd w:val="clear" w:color="auto" w:fill="auto"/>
            <w:vAlign w:val="center"/>
          </w:tcPr>
          <w:p w14:paraId="6427F95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风冷智算服务器2</w:t>
            </w:r>
          </w:p>
        </w:tc>
        <w:tc>
          <w:tcPr>
            <w:tcW w:w="619" w:type="pct"/>
            <w:tcBorders>
              <w:top w:val="nil"/>
              <w:left w:val="nil"/>
              <w:bottom w:val="single" w:color="000000" w:sz="8" w:space="0"/>
              <w:right w:val="single" w:color="000000" w:sz="8" w:space="0"/>
            </w:tcBorders>
            <w:shd w:val="clear" w:color="auto" w:fill="auto"/>
            <w:vAlign w:val="center"/>
          </w:tcPr>
          <w:p w14:paraId="072A1F9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64</w:t>
            </w:r>
          </w:p>
        </w:tc>
        <w:tc>
          <w:tcPr>
            <w:tcW w:w="507" w:type="pct"/>
            <w:tcBorders>
              <w:top w:val="nil"/>
              <w:left w:val="nil"/>
              <w:bottom w:val="single" w:color="000000" w:sz="8" w:space="0"/>
              <w:right w:val="single" w:color="000000" w:sz="8" w:space="0"/>
            </w:tcBorders>
            <w:shd w:val="clear" w:color="auto" w:fill="auto"/>
            <w:vAlign w:val="center"/>
          </w:tcPr>
          <w:p w14:paraId="3EE3CB4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1F54C38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75EBE381">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617EE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78F4F4D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w:t>
            </w:r>
          </w:p>
        </w:tc>
        <w:tc>
          <w:tcPr>
            <w:tcW w:w="1450" w:type="pct"/>
            <w:tcBorders>
              <w:top w:val="nil"/>
              <w:left w:val="nil"/>
              <w:bottom w:val="single" w:color="000000" w:sz="8" w:space="0"/>
              <w:right w:val="single" w:color="000000" w:sz="8" w:space="0"/>
            </w:tcBorders>
            <w:shd w:val="clear" w:color="auto" w:fill="auto"/>
            <w:vAlign w:val="center"/>
          </w:tcPr>
          <w:p w14:paraId="02C53A6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算力调度服务器</w:t>
            </w:r>
          </w:p>
        </w:tc>
        <w:tc>
          <w:tcPr>
            <w:tcW w:w="619" w:type="pct"/>
            <w:tcBorders>
              <w:top w:val="nil"/>
              <w:left w:val="nil"/>
              <w:bottom w:val="single" w:color="000000" w:sz="8" w:space="0"/>
              <w:right w:val="single" w:color="000000" w:sz="8" w:space="0"/>
            </w:tcBorders>
            <w:shd w:val="clear" w:color="auto" w:fill="auto"/>
            <w:vAlign w:val="center"/>
          </w:tcPr>
          <w:p w14:paraId="18D28C1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18</w:t>
            </w:r>
          </w:p>
        </w:tc>
        <w:tc>
          <w:tcPr>
            <w:tcW w:w="507" w:type="pct"/>
            <w:tcBorders>
              <w:top w:val="nil"/>
              <w:left w:val="nil"/>
              <w:bottom w:val="single" w:color="000000" w:sz="8" w:space="0"/>
              <w:right w:val="single" w:color="000000" w:sz="8" w:space="0"/>
            </w:tcBorders>
            <w:shd w:val="clear" w:color="auto" w:fill="auto"/>
            <w:vAlign w:val="center"/>
          </w:tcPr>
          <w:p w14:paraId="6E4A0F4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0F94B90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19AFAC63">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12661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02D48D7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5</w:t>
            </w:r>
          </w:p>
        </w:tc>
        <w:tc>
          <w:tcPr>
            <w:tcW w:w="1450" w:type="pct"/>
            <w:tcBorders>
              <w:top w:val="nil"/>
              <w:left w:val="nil"/>
              <w:bottom w:val="single" w:color="000000" w:sz="8" w:space="0"/>
              <w:right w:val="single" w:color="000000" w:sz="8" w:space="0"/>
            </w:tcBorders>
            <w:shd w:val="clear" w:color="auto" w:fill="auto"/>
            <w:vAlign w:val="center"/>
          </w:tcPr>
          <w:p w14:paraId="0A4232F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集群运维管理服务器1</w:t>
            </w:r>
          </w:p>
        </w:tc>
        <w:tc>
          <w:tcPr>
            <w:tcW w:w="619" w:type="pct"/>
            <w:tcBorders>
              <w:top w:val="nil"/>
              <w:left w:val="nil"/>
              <w:bottom w:val="single" w:color="000000" w:sz="8" w:space="0"/>
              <w:right w:val="single" w:color="000000" w:sz="8" w:space="0"/>
            </w:tcBorders>
            <w:shd w:val="clear" w:color="auto" w:fill="auto"/>
            <w:vAlign w:val="center"/>
          </w:tcPr>
          <w:p w14:paraId="5E3EA08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9</w:t>
            </w:r>
          </w:p>
        </w:tc>
        <w:tc>
          <w:tcPr>
            <w:tcW w:w="507" w:type="pct"/>
            <w:tcBorders>
              <w:top w:val="nil"/>
              <w:left w:val="nil"/>
              <w:bottom w:val="single" w:color="000000" w:sz="8" w:space="0"/>
              <w:right w:val="single" w:color="000000" w:sz="8" w:space="0"/>
            </w:tcBorders>
            <w:shd w:val="clear" w:color="auto" w:fill="auto"/>
            <w:vAlign w:val="center"/>
          </w:tcPr>
          <w:p w14:paraId="6DF11E4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727B804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3F342D4B">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0EF26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1C6C6D6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6</w:t>
            </w:r>
          </w:p>
        </w:tc>
        <w:tc>
          <w:tcPr>
            <w:tcW w:w="1450" w:type="pct"/>
            <w:tcBorders>
              <w:top w:val="nil"/>
              <w:left w:val="nil"/>
              <w:bottom w:val="single" w:color="000000" w:sz="8" w:space="0"/>
              <w:right w:val="single" w:color="000000" w:sz="8" w:space="0"/>
            </w:tcBorders>
            <w:shd w:val="clear" w:color="auto" w:fill="auto"/>
            <w:vAlign w:val="center"/>
          </w:tcPr>
          <w:p w14:paraId="41E7DC1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集群运维管理服务器2</w:t>
            </w:r>
          </w:p>
        </w:tc>
        <w:tc>
          <w:tcPr>
            <w:tcW w:w="619" w:type="pct"/>
            <w:tcBorders>
              <w:top w:val="nil"/>
              <w:left w:val="nil"/>
              <w:bottom w:val="single" w:color="000000" w:sz="8" w:space="0"/>
              <w:right w:val="single" w:color="000000" w:sz="8" w:space="0"/>
            </w:tcBorders>
            <w:shd w:val="clear" w:color="auto" w:fill="auto"/>
            <w:vAlign w:val="center"/>
          </w:tcPr>
          <w:p w14:paraId="442997E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8</w:t>
            </w:r>
          </w:p>
        </w:tc>
        <w:tc>
          <w:tcPr>
            <w:tcW w:w="507" w:type="pct"/>
            <w:tcBorders>
              <w:top w:val="nil"/>
              <w:left w:val="nil"/>
              <w:bottom w:val="single" w:color="000000" w:sz="8" w:space="0"/>
              <w:right w:val="single" w:color="000000" w:sz="8" w:space="0"/>
            </w:tcBorders>
            <w:shd w:val="clear" w:color="auto" w:fill="auto"/>
            <w:vAlign w:val="center"/>
          </w:tcPr>
          <w:p w14:paraId="49D7296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659574D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0C2D5DCF">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6401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299B7AB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7</w:t>
            </w:r>
          </w:p>
        </w:tc>
        <w:tc>
          <w:tcPr>
            <w:tcW w:w="1450" w:type="pct"/>
            <w:tcBorders>
              <w:top w:val="nil"/>
              <w:left w:val="nil"/>
              <w:bottom w:val="single" w:color="000000" w:sz="8" w:space="0"/>
              <w:right w:val="single" w:color="000000" w:sz="8" w:space="0"/>
            </w:tcBorders>
            <w:shd w:val="clear" w:color="auto" w:fill="auto"/>
            <w:vAlign w:val="center"/>
          </w:tcPr>
          <w:p w14:paraId="2415BC1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集群运维管理服务器3</w:t>
            </w:r>
          </w:p>
        </w:tc>
        <w:tc>
          <w:tcPr>
            <w:tcW w:w="619" w:type="pct"/>
            <w:tcBorders>
              <w:top w:val="nil"/>
              <w:left w:val="nil"/>
              <w:bottom w:val="single" w:color="000000" w:sz="8" w:space="0"/>
              <w:right w:val="single" w:color="000000" w:sz="8" w:space="0"/>
            </w:tcBorders>
            <w:shd w:val="clear" w:color="auto" w:fill="auto"/>
            <w:vAlign w:val="center"/>
          </w:tcPr>
          <w:p w14:paraId="6B1B595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6</w:t>
            </w:r>
          </w:p>
        </w:tc>
        <w:tc>
          <w:tcPr>
            <w:tcW w:w="507" w:type="pct"/>
            <w:tcBorders>
              <w:top w:val="nil"/>
              <w:left w:val="nil"/>
              <w:bottom w:val="single" w:color="000000" w:sz="8" w:space="0"/>
              <w:right w:val="single" w:color="000000" w:sz="8" w:space="0"/>
            </w:tcBorders>
            <w:shd w:val="clear" w:color="auto" w:fill="auto"/>
            <w:vAlign w:val="center"/>
          </w:tcPr>
          <w:p w14:paraId="5C62B41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16C1C42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2D88C7E6">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3AD8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147490B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8</w:t>
            </w:r>
          </w:p>
        </w:tc>
        <w:tc>
          <w:tcPr>
            <w:tcW w:w="1450" w:type="pct"/>
            <w:tcBorders>
              <w:top w:val="nil"/>
              <w:left w:val="nil"/>
              <w:bottom w:val="single" w:color="000000" w:sz="8" w:space="0"/>
              <w:right w:val="single" w:color="000000" w:sz="8" w:space="0"/>
            </w:tcBorders>
            <w:shd w:val="clear" w:color="auto" w:fill="auto"/>
            <w:vAlign w:val="center"/>
          </w:tcPr>
          <w:p w14:paraId="2CB4683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业务面交换机</w:t>
            </w:r>
          </w:p>
        </w:tc>
        <w:tc>
          <w:tcPr>
            <w:tcW w:w="619" w:type="pct"/>
            <w:tcBorders>
              <w:top w:val="nil"/>
              <w:left w:val="nil"/>
              <w:bottom w:val="single" w:color="000000" w:sz="8" w:space="0"/>
              <w:right w:val="single" w:color="000000" w:sz="8" w:space="0"/>
            </w:tcBorders>
            <w:shd w:val="clear" w:color="auto" w:fill="auto"/>
            <w:vAlign w:val="center"/>
          </w:tcPr>
          <w:p w14:paraId="0B3AAB0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20</w:t>
            </w:r>
          </w:p>
        </w:tc>
        <w:tc>
          <w:tcPr>
            <w:tcW w:w="507" w:type="pct"/>
            <w:tcBorders>
              <w:top w:val="nil"/>
              <w:left w:val="nil"/>
              <w:bottom w:val="single" w:color="000000" w:sz="8" w:space="0"/>
              <w:right w:val="single" w:color="000000" w:sz="8" w:space="0"/>
            </w:tcBorders>
            <w:shd w:val="clear" w:color="auto" w:fill="auto"/>
            <w:vAlign w:val="center"/>
          </w:tcPr>
          <w:p w14:paraId="6DC1013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5E06267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74C9AA15">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7F15B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2CF0C47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9</w:t>
            </w:r>
          </w:p>
        </w:tc>
        <w:tc>
          <w:tcPr>
            <w:tcW w:w="1450" w:type="pct"/>
            <w:tcBorders>
              <w:top w:val="nil"/>
              <w:left w:val="nil"/>
              <w:bottom w:val="single" w:color="000000" w:sz="8" w:space="0"/>
              <w:right w:val="single" w:color="000000" w:sz="8" w:space="0"/>
            </w:tcBorders>
            <w:shd w:val="clear" w:color="auto" w:fill="auto"/>
            <w:vAlign w:val="center"/>
          </w:tcPr>
          <w:p w14:paraId="2D6F3E7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带内交换机</w:t>
            </w:r>
          </w:p>
        </w:tc>
        <w:tc>
          <w:tcPr>
            <w:tcW w:w="619" w:type="pct"/>
            <w:tcBorders>
              <w:top w:val="nil"/>
              <w:left w:val="nil"/>
              <w:bottom w:val="single" w:color="000000" w:sz="8" w:space="0"/>
              <w:right w:val="single" w:color="000000" w:sz="8" w:space="0"/>
            </w:tcBorders>
            <w:shd w:val="clear" w:color="auto" w:fill="auto"/>
            <w:vAlign w:val="center"/>
          </w:tcPr>
          <w:p w14:paraId="1B21CAD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w:t>
            </w:r>
          </w:p>
        </w:tc>
        <w:tc>
          <w:tcPr>
            <w:tcW w:w="507" w:type="pct"/>
            <w:tcBorders>
              <w:top w:val="nil"/>
              <w:left w:val="nil"/>
              <w:bottom w:val="single" w:color="000000" w:sz="8" w:space="0"/>
              <w:right w:val="single" w:color="000000" w:sz="8" w:space="0"/>
            </w:tcBorders>
            <w:shd w:val="clear" w:color="auto" w:fill="auto"/>
            <w:vAlign w:val="center"/>
          </w:tcPr>
          <w:p w14:paraId="5044870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69D0881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08E20174">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270BB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77F5C03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w:t>
            </w:r>
          </w:p>
        </w:tc>
        <w:tc>
          <w:tcPr>
            <w:tcW w:w="1450" w:type="pct"/>
            <w:tcBorders>
              <w:top w:val="nil"/>
              <w:left w:val="nil"/>
              <w:bottom w:val="single" w:color="000000" w:sz="8" w:space="0"/>
              <w:right w:val="single" w:color="000000" w:sz="8" w:space="0"/>
            </w:tcBorders>
            <w:shd w:val="clear" w:color="auto" w:fill="auto"/>
            <w:vAlign w:val="center"/>
          </w:tcPr>
          <w:p w14:paraId="6583C7C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骨干路由器</w:t>
            </w:r>
          </w:p>
        </w:tc>
        <w:tc>
          <w:tcPr>
            <w:tcW w:w="619" w:type="pct"/>
            <w:tcBorders>
              <w:top w:val="nil"/>
              <w:left w:val="nil"/>
              <w:bottom w:val="single" w:color="000000" w:sz="8" w:space="0"/>
              <w:right w:val="single" w:color="000000" w:sz="8" w:space="0"/>
            </w:tcBorders>
            <w:shd w:val="clear" w:color="auto" w:fill="auto"/>
            <w:vAlign w:val="center"/>
          </w:tcPr>
          <w:p w14:paraId="062E99D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6</w:t>
            </w:r>
          </w:p>
        </w:tc>
        <w:tc>
          <w:tcPr>
            <w:tcW w:w="507" w:type="pct"/>
            <w:tcBorders>
              <w:top w:val="nil"/>
              <w:left w:val="nil"/>
              <w:bottom w:val="single" w:color="000000" w:sz="8" w:space="0"/>
              <w:right w:val="single" w:color="000000" w:sz="8" w:space="0"/>
            </w:tcBorders>
            <w:shd w:val="clear" w:color="auto" w:fill="auto"/>
            <w:vAlign w:val="center"/>
          </w:tcPr>
          <w:p w14:paraId="64500D0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4998660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4C771326">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2FA53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2EF2F37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11</w:t>
            </w:r>
          </w:p>
        </w:tc>
        <w:tc>
          <w:tcPr>
            <w:tcW w:w="1450" w:type="pct"/>
            <w:tcBorders>
              <w:top w:val="nil"/>
              <w:left w:val="nil"/>
              <w:bottom w:val="single" w:color="000000" w:sz="8" w:space="0"/>
              <w:right w:val="single" w:color="000000" w:sz="8" w:space="0"/>
            </w:tcBorders>
            <w:shd w:val="clear" w:color="auto" w:fill="auto"/>
            <w:vAlign w:val="center"/>
          </w:tcPr>
          <w:p w14:paraId="39295E6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骨干路由器100G板卡</w:t>
            </w:r>
          </w:p>
        </w:tc>
        <w:tc>
          <w:tcPr>
            <w:tcW w:w="619" w:type="pct"/>
            <w:tcBorders>
              <w:top w:val="nil"/>
              <w:left w:val="nil"/>
              <w:bottom w:val="single" w:color="000000" w:sz="8" w:space="0"/>
              <w:right w:val="single" w:color="000000" w:sz="8" w:space="0"/>
            </w:tcBorders>
            <w:shd w:val="clear" w:color="auto" w:fill="auto"/>
            <w:vAlign w:val="center"/>
          </w:tcPr>
          <w:p w14:paraId="31E75F8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12</w:t>
            </w:r>
          </w:p>
        </w:tc>
        <w:tc>
          <w:tcPr>
            <w:tcW w:w="507" w:type="pct"/>
            <w:tcBorders>
              <w:top w:val="nil"/>
              <w:left w:val="nil"/>
              <w:bottom w:val="single" w:color="000000" w:sz="8" w:space="0"/>
              <w:right w:val="single" w:color="000000" w:sz="8" w:space="0"/>
            </w:tcBorders>
            <w:shd w:val="clear" w:color="auto" w:fill="auto"/>
            <w:vAlign w:val="center"/>
          </w:tcPr>
          <w:p w14:paraId="532A2C6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块</w:t>
            </w:r>
          </w:p>
        </w:tc>
        <w:tc>
          <w:tcPr>
            <w:tcW w:w="1206" w:type="pct"/>
            <w:tcBorders>
              <w:top w:val="nil"/>
              <w:left w:val="nil"/>
              <w:bottom w:val="single" w:color="000000" w:sz="8" w:space="0"/>
              <w:right w:val="single" w:color="000000" w:sz="8" w:space="0"/>
            </w:tcBorders>
            <w:shd w:val="clear" w:color="auto" w:fill="auto"/>
            <w:vAlign w:val="center"/>
          </w:tcPr>
          <w:p w14:paraId="19FDD9F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40A35A08">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7CB47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00BA41B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12</w:t>
            </w:r>
          </w:p>
        </w:tc>
        <w:tc>
          <w:tcPr>
            <w:tcW w:w="1450" w:type="pct"/>
            <w:tcBorders>
              <w:top w:val="nil"/>
              <w:left w:val="nil"/>
              <w:bottom w:val="single" w:color="000000" w:sz="8" w:space="0"/>
              <w:right w:val="single" w:color="000000" w:sz="8" w:space="0"/>
            </w:tcBorders>
            <w:shd w:val="clear" w:color="auto" w:fill="auto"/>
            <w:vAlign w:val="center"/>
          </w:tcPr>
          <w:p w14:paraId="3690964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骨干路由器10G板卡</w:t>
            </w:r>
          </w:p>
        </w:tc>
        <w:tc>
          <w:tcPr>
            <w:tcW w:w="619" w:type="pct"/>
            <w:tcBorders>
              <w:top w:val="nil"/>
              <w:left w:val="nil"/>
              <w:bottom w:val="single" w:color="000000" w:sz="8" w:space="0"/>
              <w:right w:val="single" w:color="000000" w:sz="8" w:space="0"/>
            </w:tcBorders>
            <w:shd w:val="clear" w:color="auto" w:fill="auto"/>
            <w:vAlign w:val="center"/>
          </w:tcPr>
          <w:p w14:paraId="149C722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6</w:t>
            </w:r>
          </w:p>
        </w:tc>
        <w:tc>
          <w:tcPr>
            <w:tcW w:w="507" w:type="pct"/>
            <w:tcBorders>
              <w:top w:val="nil"/>
              <w:left w:val="nil"/>
              <w:bottom w:val="single" w:color="000000" w:sz="8" w:space="0"/>
              <w:right w:val="single" w:color="000000" w:sz="8" w:space="0"/>
            </w:tcBorders>
            <w:shd w:val="clear" w:color="auto" w:fill="auto"/>
            <w:vAlign w:val="center"/>
          </w:tcPr>
          <w:p w14:paraId="72DFAF7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块</w:t>
            </w:r>
          </w:p>
        </w:tc>
        <w:tc>
          <w:tcPr>
            <w:tcW w:w="1206" w:type="pct"/>
            <w:tcBorders>
              <w:top w:val="nil"/>
              <w:left w:val="nil"/>
              <w:bottom w:val="single" w:color="000000" w:sz="8" w:space="0"/>
              <w:right w:val="single" w:color="000000" w:sz="8" w:space="0"/>
            </w:tcBorders>
            <w:shd w:val="clear" w:color="auto" w:fill="auto"/>
            <w:vAlign w:val="center"/>
          </w:tcPr>
          <w:p w14:paraId="5AD99BC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059BBC5C">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190F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1E96842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13</w:t>
            </w:r>
          </w:p>
        </w:tc>
        <w:tc>
          <w:tcPr>
            <w:tcW w:w="1450" w:type="pct"/>
            <w:tcBorders>
              <w:top w:val="nil"/>
              <w:left w:val="nil"/>
              <w:bottom w:val="single" w:color="000000" w:sz="8" w:space="0"/>
              <w:right w:val="single" w:color="000000" w:sz="8" w:space="0"/>
            </w:tcBorders>
            <w:shd w:val="clear" w:color="auto" w:fill="auto"/>
            <w:vAlign w:val="center"/>
          </w:tcPr>
          <w:p w14:paraId="44FBBA1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核心交换机1</w:t>
            </w:r>
          </w:p>
        </w:tc>
        <w:tc>
          <w:tcPr>
            <w:tcW w:w="619" w:type="pct"/>
            <w:tcBorders>
              <w:top w:val="nil"/>
              <w:left w:val="nil"/>
              <w:bottom w:val="single" w:color="000000" w:sz="8" w:space="0"/>
              <w:right w:val="single" w:color="000000" w:sz="8" w:space="0"/>
            </w:tcBorders>
            <w:shd w:val="clear" w:color="auto" w:fill="auto"/>
            <w:vAlign w:val="center"/>
          </w:tcPr>
          <w:p w14:paraId="125D932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w:t>
            </w:r>
          </w:p>
        </w:tc>
        <w:tc>
          <w:tcPr>
            <w:tcW w:w="507" w:type="pct"/>
            <w:tcBorders>
              <w:top w:val="nil"/>
              <w:left w:val="nil"/>
              <w:bottom w:val="single" w:color="000000" w:sz="8" w:space="0"/>
              <w:right w:val="single" w:color="000000" w:sz="8" w:space="0"/>
            </w:tcBorders>
            <w:shd w:val="clear" w:color="auto" w:fill="auto"/>
            <w:vAlign w:val="center"/>
          </w:tcPr>
          <w:p w14:paraId="30E0E9C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6B3482B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76361FF4">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74B6A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0D76EEC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14</w:t>
            </w:r>
          </w:p>
        </w:tc>
        <w:tc>
          <w:tcPr>
            <w:tcW w:w="1450" w:type="pct"/>
            <w:tcBorders>
              <w:top w:val="nil"/>
              <w:left w:val="nil"/>
              <w:bottom w:val="single" w:color="000000" w:sz="8" w:space="0"/>
              <w:right w:val="single" w:color="000000" w:sz="8" w:space="0"/>
            </w:tcBorders>
            <w:shd w:val="clear" w:color="auto" w:fill="auto"/>
            <w:vAlign w:val="center"/>
          </w:tcPr>
          <w:p w14:paraId="7B5F8DF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核心交换机2</w:t>
            </w:r>
          </w:p>
        </w:tc>
        <w:tc>
          <w:tcPr>
            <w:tcW w:w="619" w:type="pct"/>
            <w:tcBorders>
              <w:top w:val="nil"/>
              <w:left w:val="nil"/>
              <w:bottom w:val="single" w:color="000000" w:sz="8" w:space="0"/>
              <w:right w:val="single" w:color="000000" w:sz="8" w:space="0"/>
            </w:tcBorders>
            <w:shd w:val="clear" w:color="auto" w:fill="auto"/>
            <w:vAlign w:val="center"/>
          </w:tcPr>
          <w:p w14:paraId="1C96BFF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w:t>
            </w:r>
          </w:p>
        </w:tc>
        <w:tc>
          <w:tcPr>
            <w:tcW w:w="507" w:type="pct"/>
            <w:tcBorders>
              <w:top w:val="nil"/>
              <w:left w:val="nil"/>
              <w:bottom w:val="single" w:color="000000" w:sz="8" w:space="0"/>
              <w:right w:val="single" w:color="000000" w:sz="8" w:space="0"/>
            </w:tcBorders>
            <w:shd w:val="clear" w:color="auto" w:fill="auto"/>
            <w:vAlign w:val="center"/>
          </w:tcPr>
          <w:p w14:paraId="42B7809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145D66B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1108C2AA">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15940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476CEDF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15</w:t>
            </w:r>
          </w:p>
        </w:tc>
        <w:tc>
          <w:tcPr>
            <w:tcW w:w="1450" w:type="pct"/>
            <w:tcBorders>
              <w:top w:val="nil"/>
              <w:left w:val="nil"/>
              <w:bottom w:val="single" w:color="000000" w:sz="8" w:space="0"/>
              <w:right w:val="single" w:color="000000" w:sz="8" w:space="0"/>
            </w:tcBorders>
            <w:shd w:val="clear" w:color="auto" w:fill="auto"/>
            <w:vAlign w:val="center"/>
          </w:tcPr>
          <w:p w14:paraId="76E05C3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带外交换机</w:t>
            </w:r>
          </w:p>
        </w:tc>
        <w:tc>
          <w:tcPr>
            <w:tcW w:w="619" w:type="pct"/>
            <w:tcBorders>
              <w:top w:val="nil"/>
              <w:left w:val="nil"/>
              <w:bottom w:val="single" w:color="000000" w:sz="8" w:space="0"/>
              <w:right w:val="single" w:color="000000" w:sz="8" w:space="0"/>
            </w:tcBorders>
            <w:shd w:val="clear" w:color="auto" w:fill="auto"/>
            <w:vAlign w:val="center"/>
          </w:tcPr>
          <w:p w14:paraId="32A536A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12</w:t>
            </w:r>
          </w:p>
        </w:tc>
        <w:tc>
          <w:tcPr>
            <w:tcW w:w="507" w:type="pct"/>
            <w:tcBorders>
              <w:top w:val="nil"/>
              <w:left w:val="nil"/>
              <w:bottom w:val="single" w:color="000000" w:sz="8" w:space="0"/>
              <w:right w:val="single" w:color="000000" w:sz="8" w:space="0"/>
            </w:tcBorders>
            <w:shd w:val="clear" w:color="auto" w:fill="auto"/>
            <w:vAlign w:val="center"/>
          </w:tcPr>
          <w:p w14:paraId="28C4093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2C0807D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1E1E9B5F">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1F3AA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34FEE8F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16</w:t>
            </w:r>
          </w:p>
        </w:tc>
        <w:tc>
          <w:tcPr>
            <w:tcW w:w="1450" w:type="pct"/>
            <w:tcBorders>
              <w:top w:val="nil"/>
              <w:left w:val="nil"/>
              <w:bottom w:val="single" w:color="000000" w:sz="8" w:space="0"/>
              <w:right w:val="single" w:color="000000" w:sz="8" w:space="0"/>
            </w:tcBorders>
            <w:shd w:val="clear" w:color="auto" w:fill="auto"/>
            <w:vAlign w:val="center"/>
          </w:tcPr>
          <w:p w14:paraId="3E282C2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网管服务器</w:t>
            </w:r>
          </w:p>
        </w:tc>
        <w:tc>
          <w:tcPr>
            <w:tcW w:w="619" w:type="pct"/>
            <w:tcBorders>
              <w:top w:val="nil"/>
              <w:left w:val="nil"/>
              <w:bottom w:val="single" w:color="000000" w:sz="8" w:space="0"/>
              <w:right w:val="single" w:color="000000" w:sz="8" w:space="0"/>
            </w:tcBorders>
            <w:shd w:val="clear" w:color="auto" w:fill="auto"/>
            <w:vAlign w:val="center"/>
          </w:tcPr>
          <w:p w14:paraId="2D506AD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9</w:t>
            </w:r>
          </w:p>
        </w:tc>
        <w:tc>
          <w:tcPr>
            <w:tcW w:w="507" w:type="pct"/>
            <w:tcBorders>
              <w:top w:val="nil"/>
              <w:left w:val="nil"/>
              <w:bottom w:val="single" w:color="000000" w:sz="8" w:space="0"/>
              <w:right w:val="single" w:color="000000" w:sz="8" w:space="0"/>
            </w:tcBorders>
            <w:shd w:val="clear" w:color="auto" w:fill="auto"/>
            <w:vAlign w:val="center"/>
          </w:tcPr>
          <w:p w14:paraId="5FA7AA4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5AE282E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63321F95">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4E41C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77691B7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17</w:t>
            </w:r>
          </w:p>
        </w:tc>
        <w:tc>
          <w:tcPr>
            <w:tcW w:w="1450" w:type="pct"/>
            <w:tcBorders>
              <w:top w:val="nil"/>
              <w:left w:val="nil"/>
              <w:bottom w:val="single" w:color="000000" w:sz="8" w:space="0"/>
              <w:right w:val="single" w:color="000000" w:sz="8" w:space="0"/>
            </w:tcBorders>
            <w:shd w:val="clear" w:color="auto" w:fill="auto"/>
            <w:vAlign w:val="center"/>
          </w:tcPr>
          <w:p w14:paraId="5CA0A75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防火墙1</w:t>
            </w:r>
          </w:p>
        </w:tc>
        <w:tc>
          <w:tcPr>
            <w:tcW w:w="619" w:type="pct"/>
            <w:tcBorders>
              <w:top w:val="nil"/>
              <w:left w:val="nil"/>
              <w:bottom w:val="single" w:color="000000" w:sz="8" w:space="0"/>
              <w:right w:val="single" w:color="000000" w:sz="8" w:space="0"/>
            </w:tcBorders>
            <w:shd w:val="clear" w:color="auto" w:fill="auto"/>
            <w:vAlign w:val="center"/>
          </w:tcPr>
          <w:p w14:paraId="7A719F6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w:t>
            </w:r>
          </w:p>
        </w:tc>
        <w:tc>
          <w:tcPr>
            <w:tcW w:w="507" w:type="pct"/>
            <w:tcBorders>
              <w:top w:val="nil"/>
              <w:left w:val="nil"/>
              <w:bottom w:val="single" w:color="000000" w:sz="8" w:space="0"/>
              <w:right w:val="single" w:color="000000" w:sz="8" w:space="0"/>
            </w:tcBorders>
            <w:shd w:val="clear" w:color="auto" w:fill="auto"/>
            <w:vAlign w:val="center"/>
          </w:tcPr>
          <w:p w14:paraId="0821BC7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3731A92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66A3B14E">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44F5E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51022A2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18</w:t>
            </w:r>
          </w:p>
        </w:tc>
        <w:tc>
          <w:tcPr>
            <w:tcW w:w="1450" w:type="pct"/>
            <w:tcBorders>
              <w:top w:val="nil"/>
              <w:left w:val="nil"/>
              <w:bottom w:val="single" w:color="000000" w:sz="8" w:space="0"/>
              <w:right w:val="single" w:color="000000" w:sz="8" w:space="0"/>
            </w:tcBorders>
            <w:shd w:val="clear" w:color="auto" w:fill="auto"/>
            <w:vAlign w:val="center"/>
          </w:tcPr>
          <w:p w14:paraId="63735E7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防火墙2</w:t>
            </w:r>
          </w:p>
        </w:tc>
        <w:tc>
          <w:tcPr>
            <w:tcW w:w="619" w:type="pct"/>
            <w:tcBorders>
              <w:top w:val="nil"/>
              <w:left w:val="nil"/>
              <w:bottom w:val="single" w:color="000000" w:sz="8" w:space="0"/>
              <w:right w:val="single" w:color="000000" w:sz="8" w:space="0"/>
            </w:tcBorders>
            <w:shd w:val="clear" w:color="auto" w:fill="auto"/>
            <w:vAlign w:val="center"/>
          </w:tcPr>
          <w:p w14:paraId="04EAD58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w:t>
            </w:r>
          </w:p>
        </w:tc>
        <w:tc>
          <w:tcPr>
            <w:tcW w:w="507" w:type="pct"/>
            <w:tcBorders>
              <w:top w:val="nil"/>
              <w:left w:val="nil"/>
              <w:bottom w:val="single" w:color="000000" w:sz="8" w:space="0"/>
              <w:right w:val="single" w:color="000000" w:sz="8" w:space="0"/>
            </w:tcBorders>
            <w:shd w:val="clear" w:color="auto" w:fill="auto"/>
            <w:vAlign w:val="center"/>
          </w:tcPr>
          <w:p w14:paraId="0D3F568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6B682E9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0B3FFBAE">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14F6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6F5B374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19</w:t>
            </w:r>
          </w:p>
        </w:tc>
        <w:tc>
          <w:tcPr>
            <w:tcW w:w="1450" w:type="pct"/>
            <w:tcBorders>
              <w:top w:val="nil"/>
              <w:left w:val="nil"/>
              <w:bottom w:val="single" w:color="000000" w:sz="8" w:space="0"/>
              <w:right w:val="single" w:color="000000" w:sz="8" w:space="0"/>
            </w:tcBorders>
            <w:shd w:val="clear" w:color="auto" w:fill="auto"/>
            <w:vAlign w:val="center"/>
          </w:tcPr>
          <w:p w14:paraId="332A416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堡垒机</w:t>
            </w:r>
          </w:p>
        </w:tc>
        <w:tc>
          <w:tcPr>
            <w:tcW w:w="619" w:type="pct"/>
            <w:tcBorders>
              <w:top w:val="nil"/>
              <w:left w:val="nil"/>
              <w:bottom w:val="single" w:color="000000" w:sz="8" w:space="0"/>
              <w:right w:val="single" w:color="000000" w:sz="8" w:space="0"/>
            </w:tcBorders>
            <w:shd w:val="clear" w:color="auto" w:fill="auto"/>
            <w:vAlign w:val="center"/>
          </w:tcPr>
          <w:p w14:paraId="7FDBA5E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3</w:t>
            </w:r>
          </w:p>
        </w:tc>
        <w:tc>
          <w:tcPr>
            <w:tcW w:w="507" w:type="pct"/>
            <w:tcBorders>
              <w:top w:val="nil"/>
              <w:left w:val="nil"/>
              <w:bottom w:val="single" w:color="000000" w:sz="8" w:space="0"/>
              <w:right w:val="single" w:color="000000" w:sz="8" w:space="0"/>
            </w:tcBorders>
            <w:shd w:val="clear" w:color="auto" w:fill="auto"/>
            <w:vAlign w:val="center"/>
          </w:tcPr>
          <w:p w14:paraId="5B2B457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651E1EB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2B62EDE0">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6081E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58EAA0C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20</w:t>
            </w:r>
          </w:p>
        </w:tc>
        <w:tc>
          <w:tcPr>
            <w:tcW w:w="1450" w:type="pct"/>
            <w:tcBorders>
              <w:top w:val="nil"/>
              <w:left w:val="nil"/>
              <w:bottom w:val="single" w:color="000000" w:sz="8" w:space="0"/>
              <w:right w:val="single" w:color="000000" w:sz="8" w:space="0"/>
            </w:tcBorders>
            <w:shd w:val="clear" w:color="auto" w:fill="auto"/>
            <w:vAlign w:val="center"/>
          </w:tcPr>
          <w:p w14:paraId="1B0D4E0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安全组网交换机</w:t>
            </w:r>
          </w:p>
        </w:tc>
        <w:tc>
          <w:tcPr>
            <w:tcW w:w="619" w:type="pct"/>
            <w:tcBorders>
              <w:top w:val="nil"/>
              <w:left w:val="nil"/>
              <w:bottom w:val="single" w:color="000000" w:sz="8" w:space="0"/>
              <w:right w:val="single" w:color="000000" w:sz="8" w:space="0"/>
            </w:tcBorders>
            <w:shd w:val="clear" w:color="auto" w:fill="auto"/>
            <w:vAlign w:val="center"/>
          </w:tcPr>
          <w:p w14:paraId="006C94E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14</w:t>
            </w:r>
          </w:p>
        </w:tc>
        <w:tc>
          <w:tcPr>
            <w:tcW w:w="507" w:type="pct"/>
            <w:tcBorders>
              <w:top w:val="nil"/>
              <w:left w:val="nil"/>
              <w:bottom w:val="single" w:color="000000" w:sz="8" w:space="0"/>
              <w:right w:val="single" w:color="000000" w:sz="8" w:space="0"/>
            </w:tcBorders>
            <w:shd w:val="clear" w:color="auto" w:fill="auto"/>
            <w:vAlign w:val="center"/>
          </w:tcPr>
          <w:p w14:paraId="553C4EC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6A09803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005C4AFE">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5BE8A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0D89880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21</w:t>
            </w:r>
          </w:p>
        </w:tc>
        <w:tc>
          <w:tcPr>
            <w:tcW w:w="1450" w:type="pct"/>
            <w:tcBorders>
              <w:top w:val="nil"/>
              <w:left w:val="nil"/>
              <w:bottom w:val="single" w:color="000000" w:sz="8" w:space="0"/>
              <w:right w:val="single" w:color="000000" w:sz="8" w:space="0"/>
            </w:tcBorders>
            <w:shd w:val="clear" w:color="auto" w:fill="auto"/>
            <w:vAlign w:val="center"/>
          </w:tcPr>
          <w:p w14:paraId="009A3E4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DDoS防御系统</w:t>
            </w:r>
          </w:p>
        </w:tc>
        <w:tc>
          <w:tcPr>
            <w:tcW w:w="619" w:type="pct"/>
            <w:tcBorders>
              <w:top w:val="nil"/>
              <w:left w:val="nil"/>
              <w:bottom w:val="single" w:color="000000" w:sz="8" w:space="0"/>
              <w:right w:val="single" w:color="000000" w:sz="8" w:space="0"/>
            </w:tcBorders>
            <w:shd w:val="clear" w:color="auto" w:fill="auto"/>
            <w:vAlign w:val="center"/>
          </w:tcPr>
          <w:p w14:paraId="70D4BFC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w:t>
            </w:r>
          </w:p>
        </w:tc>
        <w:tc>
          <w:tcPr>
            <w:tcW w:w="507" w:type="pct"/>
            <w:tcBorders>
              <w:top w:val="nil"/>
              <w:left w:val="nil"/>
              <w:bottom w:val="single" w:color="000000" w:sz="8" w:space="0"/>
              <w:right w:val="single" w:color="000000" w:sz="8" w:space="0"/>
            </w:tcBorders>
            <w:shd w:val="clear" w:color="auto" w:fill="auto"/>
            <w:vAlign w:val="center"/>
          </w:tcPr>
          <w:p w14:paraId="1D14503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套</w:t>
            </w:r>
          </w:p>
        </w:tc>
        <w:tc>
          <w:tcPr>
            <w:tcW w:w="1206" w:type="pct"/>
            <w:tcBorders>
              <w:top w:val="nil"/>
              <w:left w:val="nil"/>
              <w:bottom w:val="single" w:color="000000" w:sz="8" w:space="0"/>
              <w:right w:val="single" w:color="000000" w:sz="8" w:space="0"/>
            </w:tcBorders>
            <w:shd w:val="clear" w:color="auto" w:fill="auto"/>
            <w:vAlign w:val="center"/>
          </w:tcPr>
          <w:p w14:paraId="6DAC752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3A7165DE">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5D4B7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130F148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22</w:t>
            </w:r>
          </w:p>
        </w:tc>
        <w:tc>
          <w:tcPr>
            <w:tcW w:w="1450" w:type="pct"/>
            <w:tcBorders>
              <w:top w:val="nil"/>
              <w:left w:val="nil"/>
              <w:bottom w:val="single" w:color="000000" w:sz="8" w:space="0"/>
              <w:right w:val="single" w:color="000000" w:sz="8" w:space="0"/>
            </w:tcBorders>
            <w:shd w:val="clear" w:color="auto" w:fill="auto"/>
            <w:vAlign w:val="center"/>
          </w:tcPr>
          <w:p w14:paraId="68603FA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安全管理服务器</w:t>
            </w:r>
          </w:p>
        </w:tc>
        <w:tc>
          <w:tcPr>
            <w:tcW w:w="619" w:type="pct"/>
            <w:tcBorders>
              <w:top w:val="nil"/>
              <w:left w:val="nil"/>
              <w:bottom w:val="single" w:color="000000" w:sz="8" w:space="0"/>
              <w:right w:val="single" w:color="000000" w:sz="8" w:space="0"/>
            </w:tcBorders>
            <w:shd w:val="clear" w:color="auto" w:fill="auto"/>
            <w:vAlign w:val="center"/>
          </w:tcPr>
          <w:p w14:paraId="269201C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w:t>
            </w:r>
          </w:p>
        </w:tc>
        <w:tc>
          <w:tcPr>
            <w:tcW w:w="507" w:type="pct"/>
            <w:tcBorders>
              <w:top w:val="nil"/>
              <w:left w:val="nil"/>
              <w:bottom w:val="single" w:color="000000" w:sz="8" w:space="0"/>
              <w:right w:val="single" w:color="000000" w:sz="8" w:space="0"/>
            </w:tcBorders>
            <w:shd w:val="clear" w:color="auto" w:fill="auto"/>
            <w:vAlign w:val="center"/>
          </w:tcPr>
          <w:p w14:paraId="4FFB76B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套</w:t>
            </w:r>
          </w:p>
        </w:tc>
        <w:tc>
          <w:tcPr>
            <w:tcW w:w="1206" w:type="pct"/>
            <w:tcBorders>
              <w:top w:val="nil"/>
              <w:left w:val="nil"/>
              <w:bottom w:val="single" w:color="000000" w:sz="8" w:space="0"/>
              <w:right w:val="single" w:color="000000" w:sz="8" w:space="0"/>
            </w:tcBorders>
            <w:shd w:val="clear" w:color="auto" w:fill="auto"/>
            <w:vAlign w:val="center"/>
          </w:tcPr>
          <w:p w14:paraId="21C7A85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1D97A9B4">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5F43A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4680353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23</w:t>
            </w:r>
          </w:p>
        </w:tc>
        <w:tc>
          <w:tcPr>
            <w:tcW w:w="1450" w:type="pct"/>
            <w:tcBorders>
              <w:top w:val="nil"/>
              <w:left w:val="nil"/>
              <w:bottom w:val="single" w:color="000000" w:sz="8" w:space="0"/>
              <w:right w:val="single" w:color="000000" w:sz="8" w:space="0"/>
            </w:tcBorders>
            <w:shd w:val="clear" w:color="auto" w:fill="auto"/>
            <w:vAlign w:val="center"/>
          </w:tcPr>
          <w:p w14:paraId="70924A6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管理区防火墙</w:t>
            </w:r>
          </w:p>
        </w:tc>
        <w:tc>
          <w:tcPr>
            <w:tcW w:w="619" w:type="pct"/>
            <w:tcBorders>
              <w:top w:val="nil"/>
              <w:left w:val="nil"/>
              <w:bottom w:val="single" w:color="000000" w:sz="8" w:space="0"/>
              <w:right w:val="single" w:color="000000" w:sz="8" w:space="0"/>
            </w:tcBorders>
            <w:shd w:val="clear" w:color="auto" w:fill="auto"/>
            <w:vAlign w:val="center"/>
          </w:tcPr>
          <w:p w14:paraId="364AFB0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3</w:t>
            </w:r>
          </w:p>
        </w:tc>
        <w:tc>
          <w:tcPr>
            <w:tcW w:w="507" w:type="pct"/>
            <w:tcBorders>
              <w:top w:val="nil"/>
              <w:left w:val="nil"/>
              <w:bottom w:val="single" w:color="000000" w:sz="8" w:space="0"/>
              <w:right w:val="single" w:color="000000" w:sz="8" w:space="0"/>
            </w:tcBorders>
            <w:shd w:val="clear" w:color="auto" w:fill="auto"/>
            <w:vAlign w:val="center"/>
          </w:tcPr>
          <w:p w14:paraId="70EC39F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2BE5A65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236AEC5A">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539CA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41E0904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24</w:t>
            </w:r>
          </w:p>
        </w:tc>
        <w:tc>
          <w:tcPr>
            <w:tcW w:w="1450" w:type="pct"/>
            <w:tcBorders>
              <w:top w:val="nil"/>
              <w:left w:val="nil"/>
              <w:bottom w:val="single" w:color="000000" w:sz="8" w:space="0"/>
              <w:right w:val="single" w:color="000000" w:sz="8" w:space="0"/>
            </w:tcBorders>
            <w:shd w:val="clear" w:color="auto" w:fill="auto"/>
            <w:vAlign w:val="center"/>
          </w:tcPr>
          <w:p w14:paraId="2CF9B25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主机防病毒软件</w:t>
            </w:r>
          </w:p>
        </w:tc>
        <w:tc>
          <w:tcPr>
            <w:tcW w:w="619" w:type="pct"/>
            <w:tcBorders>
              <w:top w:val="nil"/>
              <w:left w:val="nil"/>
              <w:bottom w:val="single" w:color="000000" w:sz="8" w:space="0"/>
              <w:right w:val="single" w:color="000000" w:sz="8" w:space="0"/>
            </w:tcBorders>
            <w:shd w:val="clear" w:color="auto" w:fill="auto"/>
            <w:vAlign w:val="center"/>
          </w:tcPr>
          <w:p w14:paraId="493F04A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3</w:t>
            </w:r>
          </w:p>
        </w:tc>
        <w:tc>
          <w:tcPr>
            <w:tcW w:w="507" w:type="pct"/>
            <w:tcBorders>
              <w:top w:val="nil"/>
              <w:left w:val="nil"/>
              <w:bottom w:val="single" w:color="000000" w:sz="8" w:space="0"/>
              <w:right w:val="single" w:color="000000" w:sz="8" w:space="0"/>
            </w:tcBorders>
            <w:shd w:val="clear" w:color="auto" w:fill="auto"/>
            <w:vAlign w:val="center"/>
          </w:tcPr>
          <w:p w14:paraId="00C93E1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套</w:t>
            </w:r>
          </w:p>
        </w:tc>
        <w:tc>
          <w:tcPr>
            <w:tcW w:w="1206" w:type="pct"/>
            <w:tcBorders>
              <w:top w:val="nil"/>
              <w:left w:val="nil"/>
              <w:bottom w:val="single" w:color="000000" w:sz="8" w:space="0"/>
              <w:right w:val="single" w:color="000000" w:sz="8" w:space="0"/>
            </w:tcBorders>
            <w:shd w:val="clear" w:color="auto" w:fill="auto"/>
            <w:vAlign w:val="center"/>
          </w:tcPr>
          <w:p w14:paraId="61A53CE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61C087DE">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27BB5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124A60A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25</w:t>
            </w:r>
          </w:p>
        </w:tc>
        <w:tc>
          <w:tcPr>
            <w:tcW w:w="1450" w:type="pct"/>
            <w:tcBorders>
              <w:top w:val="nil"/>
              <w:left w:val="nil"/>
              <w:bottom w:val="single" w:color="000000" w:sz="8" w:space="0"/>
              <w:right w:val="single" w:color="000000" w:sz="8" w:space="0"/>
            </w:tcBorders>
            <w:shd w:val="clear" w:color="auto" w:fill="auto"/>
            <w:vAlign w:val="center"/>
          </w:tcPr>
          <w:p w14:paraId="19BD66D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主机防病毒服务器</w:t>
            </w:r>
          </w:p>
        </w:tc>
        <w:tc>
          <w:tcPr>
            <w:tcW w:w="619" w:type="pct"/>
            <w:tcBorders>
              <w:top w:val="nil"/>
              <w:left w:val="nil"/>
              <w:bottom w:val="single" w:color="000000" w:sz="8" w:space="0"/>
              <w:right w:val="single" w:color="000000" w:sz="8" w:space="0"/>
            </w:tcBorders>
            <w:shd w:val="clear" w:color="auto" w:fill="auto"/>
            <w:vAlign w:val="center"/>
          </w:tcPr>
          <w:p w14:paraId="17E3757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9</w:t>
            </w:r>
          </w:p>
        </w:tc>
        <w:tc>
          <w:tcPr>
            <w:tcW w:w="507" w:type="pct"/>
            <w:tcBorders>
              <w:top w:val="nil"/>
              <w:left w:val="nil"/>
              <w:bottom w:val="single" w:color="000000" w:sz="8" w:space="0"/>
              <w:right w:val="single" w:color="000000" w:sz="8" w:space="0"/>
            </w:tcBorders>
            <w:shd w:val="clear" w:color="auto" w:fill="auto"/>
            <w:vAlign w:val="center"/>
          </w:tcPr>
          <w:p w14:paraId="46F61DD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27FCCED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3A84CF86">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19490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602A77F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26</w:t>
            </w:r>
          </w:p>
        </w:tc>
        <w:tc>
          <w:tcPr>
            <w:tcW w:w="1450" w:type="pct"/>
            <w:tcBorders>
              <w:top w:val="nil"/>
              <w:left w:val="nil"/>
              <w:bottom w:val="single" w:color="000000" w:sz="8" w:space="0"/>
              <w:right w:val="single" w:color="000000" w:sz="8" w:space="0"/>
            </w:tcBorders>
            <w:shd w:val="clear" w:color="auto" w:fill="auto"/>
            <w:vAlign w:val="center"/>
          </w:tcPr>
          <w:p w14:paraId="59EDA84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日志审计</w:t>
            </w:r>
          </w:p>
        </w:tc>
        <w:tc>
          <w:tcPr>
            <w:tcW w:w="619" w:type="pct"/>
            <w:tcBorders>
              <w:top w:val="nil"/>
              <w:left w:val="nil"/>
              <w:bottom w:val="single" w:color="000000" w:sz="8" w:space="0"/>
              <w:right w:val="single" w:color="000000" w:sz="8" w:space="0"/>
            </w:tcBorders>
            <w:shd w:val="clear" w:color="auto" w:fill="auto"/>
            <w:vAlign w:val="center"/>
          </w:tcPr>
          <w:p w14:paraId="3DBADCD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3</w:t>
            </w:r>
          </w:p>
        </w:tc>
        <w:tc>
          <w:tcPr>
            <w:tcW w:w="507" w:type="pct"/>
            <w:tcBorders>
              <w:top w:val="nil"/>
              <w:left w:val="nil"/>
              <w:bottom w:val="single" w:color="000000" w:sz="8" w:space="0"/>
              <w:right w:val="single" w:color="000000" w:sz="8" w:space="0"/>
            </w:tcBorders>
            <w:shd w:val="clear" w:color="auto" w:fill="auto"/>
            <w:vAlign w:val="center"/>
          </w:tcPr>
          <w:p w14:paraId="54BADCA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5FA1439F">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c>
          <w:tcPr>
            <w:tcW w:w="719" w:type="pct"/>
            <w:tcBorders>
              <w:top w:val="nil"/>
              <w:left w:val="nil"/>
              <w:bottom w:val="single" w:color="000000" w:sz="8" w:space="0"/>
              <w:right w:val="single" w:color="000000" w:sz="8" w:space="0"/>
            </w:tcBorders>
            <w:shd w:val="clear" w:color="auto" w:fill="auto"/>
            <w:vAlign w:val="center"/>
          </w:tcPr>
          <w:p w14:paraId="0598E32B">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b/>
                <w:bCs/>
                <w:i w:val="0"/>
                <w:iCs w:val="0"/>
                <w:color w:val="auto"/>
                <w:sz w:val="20"/>
                <w:szCs w:val="20"/>
                <w:u w:val="none"/>
              </w:rPr>
            </w:pPr>
          </w:p>
        </w:tc>
      </w:tr>
      <w:tr w14:paraId="16131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2414953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二</w:t>
            </w:r>
          </w:p>
        </w:tc>
        <w:tc>
          <w:tcPr>
            <w:tcW w:w="1450" w:type="pct"/>
            <w:tcBorders>
              <w:top w:val="nil"/>
              <w:left w:val="nil"/>
              <w:bottom w:val="single" w:color="000000" w:sz="8" w:space="0"/>
              <w:right w:val="single" w:color="000000" w:sz="8" w:space="0"/>
            </w:tcBorders>
            <w:shd w:val="clear" w:color="auto" w:fill="auto"/>
            <w:vAlign w:val="center"/>
          </w:tcPr>
          <w:p w14:paraId="333C3C2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其他设备和软件</w:t>
            </w:r>
          </w:p>
        </w:tc>
        <w:tc>
          <w:tcPr>
            <w:tcW w:w="619" w:type="pct"/>
            <w:tcBorders>
              <w:top w:val="nil"/>
              <w:left w:val="nil"/>
              <w:bottom w:val="single" w:color="000000" w:sz="8" w:space="0"/>
              <w:right w:val="single" w:color="000000" w:sz="8" w:space="0"/>
            </w:tcBorders>
            <w:shd w:val="clear" w:color="auto" w:fill="auto"/>
            <w:vAlign w:val="center"/>
          </w:tcPr>
          <w:p w14:paraId="0BC4466B">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c>
          <w:tcPr>
            <w:tcW w:w="507" w:type="pct"/>
            <w:tcBorders>
              <w:top w:val="nil"/>
              <w:left w:val="nil"/>
              <w:bottom w:val="single" w:color="000000" w:sz="8" w:space="0"/>
              <w:right w:val="single" w:color="000000" w:sz="8" w:space="0"/>
            </w:tcBorders>
            <w:shd w:val="clear" w:color="auto" w:fill="auto"/>
            <w:vAlign w:val="center"/>
          </w:tcPr>
          <w:p w14:paraId="0B568DDA">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c>
          <w:tcPr>
            <w:tcW w:w="1206" w:type="pct"/>
            <w:tcBorders>
              <w:top w:val="nil"/>
              <w:left w:val="nil"/>
              <w:bottom w:val="single" w:color="000000" w:sz="8" w:space="0"/>
              <w:right w:val="single" w:color="000000" w:sz="8" w:space="0"/>
            </w:tcBorders>
            <w:shd w:val="clear" w:color="auto" w:fill="auto"/>
            <w:vAlign w:val="center"/>
          </w:tcPr>
          <w:p w14:paraId="2050AAD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1380CE91">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63FF7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294BF71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w:t>
            </w:r>
          </w:p>
        </w:tc>
        <w:tc>
          <w:tcPr>
            <w:tcW w:w="1450" w:type="pct"/>
            <w:tcBorders>
              <w:top w:val="nil"/>
              <w:left w:val="nil"/>
              <w:bottom w:val="single" w:color="000000" w:sz="8" w:space="0"/>
              <w:right w:val="single" w:color="000000" w:sz="8" w:space="0"/>
            </w:tcBorders>
            <w:shd w:val="clear" w:color="auto" w:fill="auto"/>
            <w:vAlign w:val="center"/>
          </w:tcPr>
          <w:p w14:paraId="30F8E17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集群运维管理软件</w:t>
            </w:r>
          </w:p>
        </w:tc>
        <w:tc>
          <w:tcPr>
            <w:tcW w:w="619" w:type="pct"/>
            <w:tcBorders>
              <w:top w:val="nil"/>
              <w:left w:val="nil"/>
              <w:bottom w:val="single" w:color="000000" w:sz="8" w:space="0"/>
              <w:right w:val="single" w:color="000000" w:sz="8" w:space="0"/>
            </w:tcBorders>
            <w:shd w:val="clear" w:color="auto" w:fill="auto"/>
            <w:vAlign w:val="center"/>
          </w:tcPr>
          <w:p w14:paraId="18C81B8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3</w:t>
            </w:r>
          </w:p>
        </w:tc>
        <w:tc>
          <w:tcPr>
            <w:tcW w:w="507" w:type="pct"/>
            <w:tcBorders>
              <w:top w:val="nil"/>
              <w:left w:val="nil"/>
              <w:bottom w:val="single" w:color="000000" w:sz="8" w:space="0"/>
              <w:right w:val="single" w:color="000000" w:sz="8" w:space="0"/>
            </w:tcBorders>
            <w:shd w:val="clear" w:color="auto" w:fill="auto"/>
            <w:vAlign w:val="center"/>
          </w:tcPr>
          <w:p w14:paraId="32F006E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套</w:t>
            </w:r>
          </w:p>
        </w:tc>
        <w:tc>
          <w:tcPr>
            <w:tcW w:w="1206" w:type="pct"/>
            <w:tcBorders>
              <w:top w:val="nil"/>
              <w:left w:val="nil"/>
              <w:bottom w:val="single" w:color="000000" w:sz="8" w:space="0"/>
              <w:right w:val="single" w:color="000000" w:sz="8" w:space="0"/>
            </w:tcBorders>
            <w:shd w:val="clear" w:color="auto" w:fill="auto"/>
            <w:vAlign w:val="center"/>
          </w:tcPr>
          <w:p w14:paraId="7043900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310C9EF0">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6ABA3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34B45EE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w:t>
            </w:r>
          </w:p>
        </w:tc>
        <w:tc>
          <w:tcPr>
            <w:tcW w:w="1450" w:type="pct"/>
            <w:tcBorders>
              <w:top w:val="nil"/>
              <w:left w:val="nil"/>
              <w:bottom w:val="single" w:color="000000" w:sz="8" w:space="0"/>
              <w:right w:val="single" w:color="000000" w:sz="8" w:space="0"/>
            </w:tcBorders>
            <w:shd w:val="clear" w:color="auto" w:fill="auto"/>
            <w:vAlign w:val="center"/>
          </w:tcPr>
          <w:p w14:paraId="4102755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集群运维管理软件扩容许可</w:t>
            </w:r>
          </w:p>
        </w:tc>
        <w:tc>
          <w:tcPr>
            <w:tcW w:w="619" w:type="pct"/>
            <w:tcBorders>
              <w:top w:val="nil"/>
              <w:left w:val="nil"/>
              <w:bottom w:val="single" w:color="000000" w:sz="8" w:space="0"/>
              <w:right w:val="single" w:color="000000" w:sz="8" w:space="0"/>
            </w:tcBorders>
            <w:shd w:val="clear" w:color="auto" w:fill="auto"/>
            <w:vAlign w:val="center"/>
          </w:tcPr>
          <w:p w14:paraId="40947B9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288</w:t>
            </w:r>
          </w:p>
        </w:tc>
        <w:tc>
          <w:tcPr>
            <w:tcW w:w="507" w:type="pct"/>
            <w:tcBorders>
              <w:top w:val="nil"/>
              <w:left w:val="nil"/>
              <w:bottom w:val="single" w:color="000000" w:sz="8" w:space="0"/>
              <w:right w:val="single" w:color="000000" w:sz="8" w:space="0"/>
            </w:tcBorders>
            <w:shd w:val="clear" w:color="auto" w:fill="auto"/>
            <w:vAlign w:val="center"/>
          </w:tcPr>
          <w:p w14:paraId="00A40FC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5A9B404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5ACFFA6D">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4DDD0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7901014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3</w:t>
            </w:r>
          </w:p>
        </w:tc>
        <w:tc>
          <w:tcPr>
            <w:tcW w:w="1450" w:type="pct"/>
            <w:tcBorders>
              <w:top w:val="nil"/>
              <w:left w:val="nil"/>
              <w:bottom w:val="single" w:color="000000" w:sz="8" w:space="0"/>
              <w:right w:val="single" w:color="000000" w:sz="8" w:space="0"/>
            </w:tcBorders>
            <w:shd w:val="clear" w:color="auto" w:fill="auto"/>
            <w:vAlign w:val="center"/>
          </w:tcPr>
          <w:p w14:paraId="2AECE9A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算力调度平台</w:t>
            </w:r>
          </w:p>
        </w:tc>
        <w:tc>
          <w:tcPr>
            <w:tcW w:w="619" w:type="pct"/>
            <w:tcBorders>
              <w:top w:val="nil"/>
              <w:left w:val="nil"/>
              <w:bottom w:val="single" w:color="000000" w:sz="8" w:space="0"/>
              <w:right w:val="single" w:color="000000" w:sz="8" w:space="0"/>
            </w:tcBorders>
            <w:shd w:val="clear" w:color="auto" w:fill="auto"/>
            <w:vAlign w:val="center"/>
          </w:tcPr>
          <w:p w14:paraId="3AE42D6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3</w:t>
            </w:r>
          </w:p>
        </w:tc>
        <w:tc>
          <w:tcPr>
            <w:tcW w:w="507" w:type="pct"/>
            <w:tcBorders>
              <w:top w:val="nil"/>
              <w:left w:val="nil"/>
              <w:bottom w:val="single" w:color="000000" w:sz="8" w:space="0"/>
              <w:right w:val="single" w:color="000000" w:sz="8" w:space="0"/>
            </w:tcBorders>
            <w:shd w:val="clear" w:color="auto" w:fill="auto"/>
            <w:vAlign w:val="center"/>
          </w:tcPr>
          <w:p w14:paraId="3B56DC4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套</w:t>
            </w:r>
          </w:p>
        </w:tc>
        <w:tc>
          <w:tcPr>
            <w:tcW w:w="1206" w:type="pct"/>
            <w:tcBorders>
              <w:top w:val="nil"/>
              <w:left w:val="nil"/>
              <w:bottom w:val="single" w:color="000000" w:sz="8" w:space="0"/>
              <w:right w:val="single" w:color="000000" w:sz="8" w:space="0"/>
            </w:tcBorders>
            <w:shd w:val="clear" w:color="auto" w:fill="auto"/>
            <w:vAlign w:val="center"/>
          </w:tcPr>
          <w:p w14:paraId="42C36F6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533EF0A5">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57735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11712C1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w:t>
            </w:r>
          </w:p>
        </w:tc>
        <w:tc>
          <w:tcPr>
            <w:tcW w:w="1450" w:type="pct"/>
            <w:tcBorders>
              <w:top w:val="nil"/>
              <w:left w:val="nil"/>
              <w:bottom w:val="single" w:color="000000" w:sz="8" w:space="0"/>
              <w:right w:val="single" w:color="000000" w:sz="8" w:space="0"/>
            </w:tcBorders>
            <w:shd w:val="clear" w:color="auto" w:fill="auto"/>
            <w:vAlign w:val="center"/>
          </w:tcPr>
          <w:p w14:paraId="4AE477F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 (16芯 5米）</w:t>
            </w:r>
          </w:p>
        </w:tc>
        <w:tc>
          <w:tcPr>
            <w:tcW w:w="619" w:type="pct"/>
            <w:tcBorders>
              <w:top w:val="nil"/>
              <w:left w:val="nil"/>
              <w:bottom w:val="single" w:color="000000" w:sz="8" w:space="0"/>
              <w:right w:val="single" w:color="000000" w:sz="8" w:space="0"/>
            </w:tcBorders>
            <w:shd w:val="clear" w:color="auto" w:fill="auto"/>
            <w:vAlign w:val="center"/>
          </w:tcPr>
          <w:p w14:paraId="3F6B8A1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1262</w:t>
            </w:r>
          </w:p>
        </w:tc>
        <w:tc>
          <w:tcPr>
            <w:tcW w:w="507" w:type="pct"/>
            <w:tcBorders>
              <w:top w:val="nil"/>
              <w:left w:val="nil"/>
              <w:bottom w:val="single" w:color="000000" w:sz="8" w:space="0"/>
              <w:right w:val="single" w:color="000000" w:sz="8" w:space="0"/>
            </w:tcBorders>
            <w:shd w:val="clear" w:color="auto" w:fill="auto"/>
            <w:vAlign w:val="center"/>
          </w:tcPr>
          <w:p w14:paraId="5313934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根</w:t>
            </w:r>
          </w:p>
        </w:tc>
        <w:tc>
          <w:tcPr>
            <w:tcW w:w="1206" w:type="pct"/>
            <w:tcBorders>
              <w:top w:val="nil"/>
              <w:left w:val="nil"/>
              <w:bottom w:val="single" w:color="000000" w:sz="8" w:space="0"/>
              <w:right w:val="single" w:color="000000" w:sz="8" w:space="0"/>
            </w:tcBorders>
            <w:shd w:val="clear" w:color="auto" w:fill="auto"/>
            <w:vAlign w:val="center"/>
          </w:tcPr>
          <w:p w14:paraId="2E5677F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08096863">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0034A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750C94C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5</w:t>
            </w:r>
          </w:p>
        </w:tc>
        <w:tc>
          <w:tcPr>
            <w:tcW w:w="1450" w:type="pct"/>
            <w:tcBorders>
              <w:top w:val="nil"/>
              <w:left w:val="nil"/>
              <w:bottom w:val="single" w:color="000000" w:sz="8" w:space="0"/>
              <w:right w:val="single" w:color="000000" w:sz="8" w:space="0"/>
            </w:tcBorders>
            <w:shd w:val="clear" w:color="auto" w:fill="auto"/>
            <w:vAlign w:val="center"/>
          </w:tcPr>
          <w:p w14:paraId="7496024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MPO-MPO光纤（16芯 10米）</w:t>
            </w:r>
          </w:p>
        </w:tc>
        <w:tc>
          <w:tcPr>
            <w:tcW w:w="619" w:type="pct"/>
            <w:tcBorders>
              <w:top w:val="nil"/>
              <w:left w:val="nil"/>
              <w:bottom w:val="single" w:color="000000" w:sz="8" w:space="0"/>
              <w:right w:val="single" w:color="000000" w:sz="8" w:space="0"/>
            </w:tcBorders>
            <w:shd w:val="clear" w:color="auto" w:fill="auto"/>
            <w:vAlign w:val="center"/>
          </w:tcPr>
          <w:p w14:paraId="2CBABD7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1024</w:t>
            </w:r>
          </w:p>
        </w:tc>
        <w:tc>
          <w:tcPr>
            <w:tcW w:w="507" w:type="pct"/>
            <w:tcBorders>
              <w:top w:val="nil"/>
              <w:left w:val="nil"/>
              <w:bottom w:val="single" w:color="000000" w:sz="8" w:space="0"/>
              <w:right w:val="single" w:color="000000" w:sz="8" w:space="0"/>
            </w:tcBorders>
            <w:shd w:val="clear" w:color="auto" w:fill="auto"/>
            <w:vAlign w:val="center"/>
          </w:tcPr>
          <w:p w14:paraId="198B9B6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根</w:t>
            </w:r>
          </w:p>
        </w:tc>
        <w:tc>
          <w:tcPr>
            <w:tcW w:w="1206" w:type="pct"/>
            <w:tcBorders>
              <w:top w:val="nil"/>
              <w:left w:val="nil"/>
              <w:bottom w:val="single" w:color="000000" w:sz="8" w:space="0"/>
              <w:right w:val="single" w:color="000000" w:sz="8" w:space="0"/>
            </w:tcBorders>
            <w:shd w:val="clear" w:color="auto" w:fill="auto"/>
            <w:vAlign w:val="center"/>
          </w:tcPr>
          <w:p w14:paraId="5645F30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1CEC6771">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69073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0904D3D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6</w:t>
            </w:r>
          </w:p>
        </w:tc>
        <w:tc>
          <w:tcPr>
            <w:tcW w:w="1450" w:type="pct"/>
            <w:tcBorders>
              <w:top w:val="nil"/>
              <w:left w:val="nil"/>
              <w:bottom w:val="single" w:color="000000" w:sz="8" w:space="0"/>
              <w:right w:val="single" w:color="000000" w:sz="8" w:space="0"/>
            </w:tcBorders>
            <w:shd w:val="clear" w:color="auto" w:fill="auto"/>
            <w:vAlign w:val="center"/>
          </w:tcPr>
          <w:p w14:paraId="223826A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MPO-DLC光纤（8芯 15米）</w:t>
            </w:r>
          </w:p>
        </w:tc>
        <w:tc>
          <w:tcPr>
            <w:tcW w:w="619" w:type="pct"/>
            <w:tcBorders>
              <w:top w:val="nil"/>
              <w:left w:val="nil"/>
              <w:bottom w:val="single" w:color="000000" w:sz="8" w:space="0"/>
              <w:right w:val="single" w:color="000000" w:sz="8" w:space="0"/>
            </w:tcBorders>
            <w:shd w:val="clear" w:color="auto" w:fill="auto"/>
            <w:vAlign w:val="center"/>
          </w:tcPr>
          <w:p w14:paraId="6AAC105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12</w:t>
            </w:r>
          </w:p>
        </w:tc>
        <w:tc>
          <w:tcPr>
            <w:tcW w:w="507" w:type="pct"/>
            <w:tcBorders>
              <w:top w:val="nil"/>
              <w:left w:val="nil"/>
              <w:bottom w:val="single" w:color="000000" w:sz="8" w:space="0"/>
              <w:right w:val="single" w:color="000000" w:sz="8" w:space="0"/>
            </w:tcBorders>
            <w:shd w:val="clear" w:color="auto" w:fill="auto"/>
            <w:vAlign w:val="center"/>
          </w:tcPr>
          <w:p w14:paraId="75B5C4B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根</w:t>
            </w:r>
          </w:p>
        </w:tc>
        <w:tc>
          <w:tcPr>
            <w:tcW w:w="1206" w:type="pct"/>
            <w:tcBorders>
              <w:top w:val="nil"/>
              <w:left w:val="nil"/>
              <w:bottom w:val="single" w:color="000000" w:sz="8" w:space="0"/>
              <w:right w:val="single" w:color="000000" w:sz="8" w:space="0"/>
            </w:tcBorders>
            <w:shd w:val="clear" w:color="auto" w:fill="auto"/>
            <w:vAlign w:val="center"/>
          </w:tcPr>
          <w:p w14:paraId="2571554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1E961E74">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3F4BB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2E5B1DC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7</w:t>
            </w:r>
          </w:p>
        </w:tc>
        <w:tc>
          <w:tcPr>
            <w:tcW w:w="1450" w:type="pct"/>
            <w:tcBorders>
              <w:top w:val="nil"/>
              <w:left w:val="nil"/>
              <w:bottom w:val="single" w:color="000000" w:sz="8" w:space="0"/>
              <w:right w:val="single" w:color="000000" w:sz="8" w:space="0"/>
            </w:tcBorders>
            <w:shd w:val="clear" w:color="auto" w:fill="auto"/>
            <w:vAlign w:val="center"/>
          </w:tcPr>
          <w:p w14:paraId="5917ECB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 (8芯 30米）</w:t>
            </w:r>
          </w:p>
        </w:tc>
        <w:tc>
          <w:tcPr>
            <w:tcW w:w="619" w:type="pct"/>
            <w:tcBorders>
              <w:top w:val="nil"/>
              <w:left w:val="nil"/>
              <w:bottom w:val="single" w:color="000000" w:sz="8" w:space="0"/>
              <w:right w:val="single" w:color="000000" w:sz="8" w:space="0"/>
            </w:tcBorders>
            <w:shd w:val="clear" w:color="auto" w:fill="auto"/>
            <w:vAlign w:val="center"/>
          </w:tcPr>
          <w:p w14:paraId="3F57E98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816</w:t>
            </w:r>
          </w:p>
        </w:tc>
        <w:tc>
          <w:tcPr>
            <w:tcW w:w="507" w:type="pct"/>
            <w:tcBorders>
              <w:top w:val="nil"/>
              <w:left w:val="nil"/>
              <w:bottom w:val="single" w:color="000000" w:sz="8" w:space="0"/>
              <w:right w:val="single" w:color="000000" w:sz="8" w:space="0"/>
            </w:tcBorders>
            <w:shd w:val="clear" w:color="auto" w:fill="auto"/>
            <w:vAlign w:val="center"/>
          </w:tcPr>
          <w:p w14:paraId="3E7647B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根</w:t>
            </w:r>
          </w:p>
        </w:tc>
        <w:tc>
          <w:tcPr>
            <w:tcW w:w="1206" w:type="pct"/>
            <w:tcBorders>
              <w:top w:val="nil"/>
              <w:left w:val="nil"/>
              <w:bottom w:val="single" w:color="000000" w:sz="8" w:space="0"/>
              <w:right w:val="single" w:color="000000" w:sz="8" w:space="0"/>
            </w:tcBorders>
            <w:shd w:val="clear" w:color="auto" w:fill="auto"/>
            <w:vAlign w:val="center"/>
          </w:tcPr>
          <w:p w14:paraId="21BE3E1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7327D6BC">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1B451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2471B66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8</w:t>
            </w:r>
          </w:p>
        </w:tc>
        <w:tc>
          <w:tcPr>
            <w:tcW w:w="1450" w:type="pct"/>
            <w:tcBorders>
              <w:top w:val="nil"/>
              <w:left w:val="nil"/>
              <w:bottom w:val="single" w:color="000000" w:sz="8" w:space="0"/>
              <w:right w:val="single" w:color="000000" w:sz="8" w:space="0"/>
            </w:tcBorders>
            <w:shd w:val="clear" w:color="auto" w:fill="auto"/>
            <w:vAlign w:val="center"/>
          </w:tcPr>
          <w:p w14:paraId="21BEB61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 (16芯 20米）</w:t>
            </w:r>
          </w:p>
        </w:tc>
        <w:tc>
          <w:tcPr>
            <w:tcW w:w="619" w:type="pct"/>
            <w:tcBorders>
              <w:top w:val="nil"/>
              <w:left w:val="nil"/>
              <w:bottom w:val="single" w:color="000000" w:sz="8" w:space="0"/>
              <w:right w:val="single" w:color="000000" w:sz="8" w:space="0"/>
            </w:tcBorders>
            <w:shd w:val="clear" w:color="auto" w:fill="auto"/>
            <w:vAlign w:val="center"/>
          </w:tcPr>
          <w:p w14:paraId="7686AC8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8192</w:t>
            </w:r>
          </w:p>
        </w:tc>
        <w:tc>
          <w:tcPr>
            <w:tcW w:w="507" w:type="pct"/>
            <w:tcBorders>
              <w:top w:val="nil"/>
              <w:left w:val="nil"/>
              <w:bottom w:val="single" w:color="000000" w:sz="8" w:space="0"/>
              <w:right w:val="single" w:color="000000" w:sz="8" w:space="0"/>
            </w:tcBorders>
            <w:shd w:val="clear" w:color="auto" w:fill="auto"/>
            <w:vAlign w:val="center"/>
          </w:tcPr>
          <w:p w14:paraId="46D87B2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根</w:t>
            </w:r>
          </w:p>
        </w:tc>
        <w:tc>
          <w:tcPr>
            <w:tcW w:w="1206" w:type="pct"/>
            <w:tcBorders>
              <w:top w:val="nil"/>
              <w:left w:val="nil"/>
              <w:bottom w:val="single" w:color="000000" w:sz="8" w:space="0"/>
              <w:right w:val="single" w:color="000000" w:sz="8" w:space="0"/>
            </w:tcBorders>
            <w:shd w:val="clear" w:color="auto" w:fill="auto"/>
            <w:vAlign w:val="center"/>
          </w:tcPr>
          <w:p w14:paraId="0E04BA4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36EA9438">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733E4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704EA53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9</w:t>
            </w:r>
          </w:p>
        </w:tc>
        <w:tc>
          <w:tcPr>
            <w:tcW w:w="1450" w:type="pct"/>
            <w:tcBorders>
              <w:top w:val="nil"/>
              <w:left w:val="nil"/>
              <w:bottom w:val="single" w:color="000000" w:sz="8" w:space="0"/>
              <w:right w:val="single" w:color="000000" w:sz="8" w:space="0"/>
            </w:tcBorders>
            <w:shd w:val="clear" w:color="auto" w:fill="auto"/>
            <w:vAlign w:val="center"/>
          </w:tcPr>
          <w:p w14:paraId="18539B0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 (16芯 30米）</w:t>
            </w:r>
          </w:p>
        </w:tc>
        <w:tc>
          <w:tcPr>
            <w:tcW w:w="619" w:type="pct"/>
            <w:tcBorders>
              <w:top w:val="nil"/>
              <w:left w:val="nil"/>
              <w:bottom w:val="single" w:color="000000" w:sz="8" w:space="0"/>
              <w:right w:val="single" w:color="000000" w:sz="8" w:space="0"/>
            </w:tcBorders>
            <w:shd w:val="clear" w:color="auto" w:fill="auto"/>
            <w:vAlign w:val="center"/>
          </w:tcPr>
          <w:p w14:paraId="4807A64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1548</w:t>
            </w:r>
          </w:p>
        </w:tc>
        <w:tc>
          <w:tcPr>
            <w:tcW w:w="507" w:type="pct"/>
            <w:tcBorders>
              <w:top w:val="nil"/>
              <w:left w:val="nil"/>
              <w:bottom w:val="single" w:color="000000" w:sz="8" w:space="0"/>
              <w:right w:val="single" w:color="000000" w:sz="8" w:space="0"/>
            </w:tcBorders>
            <w:shd w:val="clear" w:color="auto" w:fill="auto"/>
            <w:vAlign w:val="center"/>
          </w:tcPr>
          <w:p w14:paraId="5AFB574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根</w:t>
            </w:r>
          </w:p>
        </w:tc>
        <w:tc>
          <w:tcPr>
            <w:tcW w:w="1206" w:type="pct"/>
            <w:tcBorders>
              <w:top w:val="nil"/>
              <w:left w:val="nil"/>
              <w:bottom w:val="single" w:color="000000" w:sz="8" w:space="0"/>
              <w:right w:val="single" w:color="000000" w:sz="8" w:space="0"/>
            </w:tcBorders>
            <w:shd w:val="clear" w:color="auto" w:fill="auto"/>
            <w:vAlign w:val="center"/>
          </w:tcPr>
          <w:p w14:paraId="0F5897B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0A045A79">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55323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19BD923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w:t>
            </w:r>
          </w:p>
        </w:tc>
        <w:tc>
          <w:tcPr>
            <w:tcW w:w="1450" w:type="pct"/>
            <w:tcBorders>
              <w:top w:val="nil"/>
              <w:left w:val="nil"/>
              <w:bottom w:val="single" w:color="000000" w:sz="8" w:space="0"/>
              <w:right w:val="single" w:color="000000" w:sz="8" w:space="0"/>
            </w:tcBorders>
            <w:shd w:val="clear" w:color="auto" w:fill="auto"/>
            <w:vAlign w:val="center"/>
          </w:tcPr>
          <w:p w14:paraId="65DA408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 (16芯 50米）</w:t>
            </w:r>
          </w:p>
        </w:tc>
        <w:tc>
          <w:tcPr>
            <w:tcW w:w="619" w:type="pct"/>
            <w:tcBorders>
              <w:top w:val="nil"/>
              <w:left w:val="nil"/>
              <w:bottom w:val="single" w:color="000000" w:sz="8" w:space="0"/>
              <w:right w:val="single" w:color="000000" w:sz="8" w:space="0"/>
            </w:tcBorders>
            <w:shd w:val="clear" w:color="auto" w:fill="auto"/>
            <w:vAlign w:val="center"/>
          </w:tcPr>
          <w:p w14:paraId="61CCCDD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500</w:t>
            </w:r>
          </w:p>
        </w:tc>
        <w:tc>
          <w:tcPr>
            <w:tcW w:w="507" w:type="pct"/>
            <w:tcBorders>
              <w:top w:val="nil"/>
              <w:left w:val="nil"/>
              <w:bottom w:val="single" w:color="000000" w:sz="8" w:space="0"/>
              <w:right w:val="single" w:color="000000" w:sz="8" w:space="0"/>
            </w:tcBorders>
            <w:shd w:val="clear" w:color="auto" w:fill="auto"/>
            <w:vAlign w:val="center"/>
          </w:tcPr>
          <w:p w14:paraId="41347DA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根</w:t>
            </w:r>
          </w:p>
        </w:tc>
        <w:tc>
          <w:tcPr>
            <w:tcW w:w="1206" w:type="pct"/>
            <w:tcBorders>
              <w:top w:val="nil"/>
              <w:left w:val="nil"/>
              <w:bottom w:val="single" w:color="000000" w:sz="8" w:space="0"/>
              <w:right w:val="single" w:color="000000" w:sz="8" w:space="0"/>
            </w:tcBorders>
            <w:shd w:val="clear" w:color="auto" w:fill="auto"/>
            <w:vAlign w:val="center"/>
          </w:tcPr>
          <w:p w14:paraId="1F7582B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6BC7A4B4">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47E0F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3C089ED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11</w:t>
            </w:r>
          </w:p>
        </w:tc>
        <w:tc>
          <w:tcPr>
            <w:tcW w:w="1450" w:type="pct"/>
            <w:tcBorders>
              <w:top w:val="nil"/>
              <w:left w:val="nil"/>
              <w:bottom w:val="single" w:color="000000" w:sz="8" w:space="0"/>
              <w:right w:val="single" w:color="000000" w:sz="8" w:space="0"/>
            </w:tcBorders>
            <w:shd w:val="clear" w:color="auto" w:fill="auto"/>
            <w:vAlign w:val="center"/>
          </w:tcPr>
          <w:p w14:paraId="75CC7A3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100G单模光模块</w:t>
            </w:r>
          </w:p>
        </w:tc>
        <w:tc>
          <w:tcPr>
            <w:tcW w:w="619" w:type="pct"/>
            <w:tcBorders>
              <w:top w:val="nil"/>
              <w:left w:val="nil"/>
              <w:bottom w:val="single" w:color="000000" w:sz="8" w:space="0"/>
              <w:right w:val="single" w:color="000000" w:sz="8" w:space="0"/>
            </w:tcBorders>
            <w:shd w:val="clear" w:color="auto" w:fill="auto"/>
            <w:vAlign w:val="center"/>
          </w:tcPr>
          <w:p w14:paraId="1B4F2E7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12</w:t>
            </w:r>
          </w:p>
        </w:tc>
        <w:tc>
          <w:tcPr>
            <w:tcW w:w="507" w:type="pct"/>
            <w:tcBorders>
              <w:top w:val="nil"/>
              <w:left w:val="nil"/>
              <w:bottom w:val="single" w:color="000000" w:sz="8" w:space="0"/>
              <w:right w:val="single" w:color="000000" w:sz="8" w:space="0"/>
            </w:tcBorders>
            <w:shd w:val="clear" w:color="auto" w:fill="auto"/>
            <w:vAlign w:val="center"/>
          </w:tcPr>
          <w:p w14:paraId="2296CB4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个</w:t>
            </w:r>
          </w:p>
        </w:tc>
        <w:tc>
          <w:tcPr>
            <w:tcW w:w="1206" w:type="pct"/>
            <w:tcBorders>
              <w:top w:val="nil"/>
              <w:left w:val="nil"/>
              <w:bottom w:val="single" w:color="000000" w:sz="8" w:space="0"/>
              <w:right w:val="single" w:color="000000" w:sz="8" w:space="0"/>
            </w:tcBorders>
            <w:shd w:val="clear" w:color="auto" w:fill="auto"/>
            <w:vAlign w:val="center"/>
          </w:tcPr>
          <w:p w14:paraId="413AD89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6A3D61C7">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60965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4B8F4FA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12</w:t>
            </w:r>
          </w:p>
        </w:tc>
        <w:tc>
          <w:tcPr>
            <w:tcW w:w="1450" w:type="pct"/>
            <w:tcBorders>
              <w:top w:val="nil"/>
              <w:left w:val="nil"/>
              <w:bottom w:val="single" w:color="000000" w:sz="8" w:space="0"/>
              <w:right w:val="single" w:color="000000" w:sz="8" w:space="0"/>
            </w:tcBorders>
            <w:shd w:val="clear" w:color="auto" w:fill="auto"/>
            <w:vAlign w:val="center"/>
          </w:tcPr>
          <w:p w14:paraId="0DC27A8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100G多模光模块</w:t>
            </w:r>
          </w:p>
        </w:tc>
        <w:tc>
          <w:tcPr>
            <w:tcW w:w="619" w:type="pct"/>
            <w:tcBorders>
              <w:top w:val="nil"/>
              <w:left w:val="nil"/>
              <w:bottom w:val="single" w:color="000000" w:sz="8" w:space="0"/>
              <w:right w:val="single" w:color="000000" w:sz="8" w:space="0"/>
            </w:tcBorders>
            <w:shd w:val="clear" w:color="auto" w:fill="auto"/>
            <w:vAlign w:val="center"/>
          </w:tcPr>
          <w:p w14:paraId="3A69A05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24</w:t>
            </w:r>
          </w:p>
        </w:tc>
        <w:tc>
          <w:tcPr>
            <w:tcW w:w="507" w:type="pct"/>
            <w:tcBorders>
              <w:top w:val="nil"/>
              <w:left w:val="nil"/>
              <w:bottom w:val="single" w:color="000000" w:sz="8" w:space="0"/>
              <w:right w:val="single" w:color="000000" w:sz="8" w:space="0"/>
            </w:tcBorders>
            <w:shd w:val="clear" w:color="auto" w:fill="auto"/>
            <w:vAlign w:val="center"/>
          </w:tcPr>
          <w:p w14:paraId="3A7B187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个</w:t>
            </w:r>
          </w:p>
        </w:tc>
        <w:tc>
          <w:tcPr>
            <w:tcW w:w="1206" w:type="pct"/>
            <w:tcBorders>
              <w:top w:val="nil"/>
              <w:left w:val="nil"/>
              <w:bottom w:val="single" w:color="000000" w:sz="8" w:space="0"/>
              <w:right w:val="single" w:color="000000" w:sz="8" w:space="0"/>
            </w:tcBorders>
            <w:shd w:val="clear" w:color="auto" w:fill="auto"/>
            <w:vAlign w:val="center"/>
          </w:tcPr>
          <w:p w14:paraId="7C8C427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617B38D3">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1B55B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348C96E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13</w:t>
            </w:r>
          </w:p>
        </w:tc>
        <w:tc>
          <w:tcPr>
            <w:tcW w:w="1450" w:type="pct"/>
            <w:tcBorders>
              <w:top w:val="nil"/>
              <w:left w:val="nil"/>
              <w:bottom w:val="single" w:color="000000" w:sz="8" w:space="0"/>
              <w:right w:val="single" w:color="000000" w:sz="8" w:space="0"/>
            </w:tcBorders>
            <w:shd w:val="clear" w:color="auto" w:fill="auto"/>
            <w:vAlign w:val="center"/>
          </w:tcPr>
          <w:p w14:paraId="6A832A8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400G 单模光模块</w:t>
            </w:r>
          </w:p>
        </w:tc>
        <w:tc>
          <w:tcPr>
            <w:tcW w:w="619" w:type="pct"/>
            <w:tcBorders>
              <w:top w:val="nil"/>
              <w:left w:val="nil"/>
              <w:bottom w:val="single" w:color="000000" w:sz="8" w:space="0"/>
              <w:right w:val="single" w:color="000000" w:sz="8" w:space="0"/>
            </w:tcBorders>
            <w:shd w:val="clear" w:color="auto" w:fill="auto"/>
            <w:vAlign w:val="center"/>
          </w:tcPr>
          <w:p w14:paraId="00907BF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16</w:t>
            </w:r>
          </w:p>
        </w:tc>
        <w:tc>
          <w:tcPr>
            <w:tcW w:w="507" w:type="pct"/>
            <w:tcBorders>
              <w:top w:val="nil"/>
              <w:left w:val="nil"/>
              <w:bottom w:val="single" w:color="000000" w:sz="8" w:space="0"/>
              <w:right w:val="single" w:color="000000" w:sz="8" w:space="0"/>
            </w:tcBorders>
            <w:shd w:val="clear" w:color="auto" w:fill="auto"/>
            <w:vAlign w:val="center"/>
          </w:tcPr>
          <w:p w14:paraId="605706A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个</w:t>
            </w:r>
          </w:p>
        </w:tc>
        <w:tc>
          <w:tcPr>
            <w:tcW w:w="1206" w:type="pct"/>
            <w:tcBorders>
              <w:top w:val="nil"/>
              <w:left w:val="nil"/>
              <w:bottom w:val="single" w:color="000000" w:sz="8" w:space="0"/>
              <w:right w:val="single" w:color="000000" w:sz="8" w:space="0"/>
            </w:tcBorders>
            <w:shd w:val="clear" w:color="auto" w:fill="auto"/>
            <w:vAlign w:val="center"/>
          </w:tcPr>
          <w:p w14:paraId="4E0791E8">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c>
          <w:tcPr>
            <w:tcW w:w="719" w:type="pct"/>
            <w:tcBorders>
              <w:top w:val="nil"/>
              <w:left w:val="nil"/>
              <w:bottom w:val="single" w:color="000000" w:sz="8" w:space="0"/>
              <w:right w:val="single" w:color="000000" w:sz="8" w:space="0"/>
            </w:tcBorders>
            <w:shd w:val="clear" w:color="auto" w:fill="auto"/>
            <w:vAlign w:val="center"/>
          </w:tcPr>
          <w:p w14:paraId="10FBBCE9">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sz w:val="20"/>
                <w:szCs w:val="20"/>
                <w:u w:val="none"/>
              </w:rPr>
            </w:pPr>
          </w:p>
        </w:tc>
      </w:tr>
      <w:tr w14:paraId="6723F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32BE105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三</w:t>
            </w:r>
          </w:p>
        </w:tc>
        <w:tc>
          <w:tcPr>
            <w:tcW w:w="1450" w:type="pct"/>
            <w:tcBorders>
              <w:top w:val="nil"/>
              <w:left w:val="nil"/>
              <w:bottom w:val="single" w:color="000000" w:sz="8" w:space="0"/>
              <w:right w:val="single" w:color="000000" w:sz="8" w:space="0"/>
            </w:tcBorders>
            <w:shd w:val="clear" w:color="auto" w:fill="auto"/>
            <w:vAlign w:val="center"/>
          </w:tcPr>
          <w:p w14:paraId="740E4DF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b/>
                <w:bCs/>
                <w:i w:val="0"/>
                <w:iCs w:val="0"/>
                <w:color w:val="auto"/>
                <w:kern w:val="0"/>
                <w:sz w:val="20"/>
                <w:szCs w:val="20"/>
                <w:u w:val="none"/>
                <w:lang w:val="en-US" w:eastAsia="zh-CN" w:bidi="ar"/>
              </w:rPr>
              <w:t>设计与集成服务</w:t>
            </w:r>
          </w:p>
        </w:tc>
        <w:tc>
          <w:tcPr>
            <w:tcW w:w="619" w:type="pct"/>
            <w:tcBorders>
              <w:top w:val="nil"/>
              <w:left w:val="nil"/>
              <w:bottom w:val="single" w:color="000000" w:sz="8" w:space="0"/>
              <w:right w:val="single" w:color="000000" w:sz="8" w:space="0"/>
            </w:tcBorders>
            <w:shd w:val="clear" w:color="auto" w:fill="auto"/>
            <w:vAlign w:val="center"/>
          </w:tcPr>
          <w:p w14:paraId="513A10CE">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kern w:val="0"/>
                <w:sz w:val="20"/>
                <w:szCs w:val="20"/>
                <w:u w:val="none"/>
                <w:lang w:val="en-US" w:eastAsia="zh-CN" w:bidi="ar"/>
              </w:rPr>
            </w:pPr>
          </w:p>
        </w:tc>
        <w:tc>
          <w:tcPr>
            <w:tcW w:w="507" w:type="pct"/>
            <w:tcBorders>
              <w:top w:val="nil"/>
              <w:left w:val="nil"/>
              <w:bottom w:val="single" w:color="000000" w:sz="8" w:space="0"/>
              <w:right w:val="single" w:color="000000" w:sz="8" w:space="0"/>
            </w:tcBorders>
            <w:shd w:val="clear" w:color="auto" w:fill="auto"/>
            <w:vAlign w:val="center"/>
          </w:tcPr>
          <w:p w14:paraId="0B5D6AFC">
            <w:pPr>
              <w:keepNext w:val="0"/>
              <w:keepLines w:val="0"/>
              <w:pageBreakBefore w:val="0"/>
              <w:widowControl/>
              <w:kinsoku/>
              <w:wordWrap/>
              <w:overflowPunct/>
              <w:topLinePunct w:val="0"/>
              <w:autoSpaceDE/>
              <w:autoSpaceDN/>
              <w:bidi w:val="0"/>
              <w:adjustRightInd/>
              <w:snapToGrid/>
              <w:spacing w:after="0" w:line="288" w:lineRule="auto"/>
              <w:ind w:firstLine="0" w:firstLineChars="0"/>
              <w:jc w:val="center"/>
              <w:rPr>
                <w:rFonts w:hint="eastAsia" w:ascii="书宋-简" w:hAnsi="书宋-简" w:eastAsia="书宋-简" w:cs="书宋-简"/>
                <w:i w:val="0"/>
                <w:iCs w:val="0"/>
                <w:color w:val="auto"/>
                <w:kern w:val="0"/>
                <w:sz w:val="20"/>
                <w:szCs w:val="20"/>
                <w:u w:val="none"/>
                <w:lang w:val="en-US" w:eastAsia="zh-CN" w:bidi="ar"/>
              </w:rPr>
            </w:pPr>
          </w:p>
        </w:tc>
        <w:tc>
          <w:tcPr>
            <w:tcW w:w="1206" w:type="pct"/>
            <w:tcBorders>
              <w:top w:val="nil"/>
              <w:left w:val="nil"/>
              <w:bottom w:val="single" w:color="000000" w:sz="8" w:space="0"/>
              <w:right w:val="single" w:color="000000" w:sz="8" w:space="0"/>
            </w:tcBorders>
            <w:shd w:val="clear" w:color="auto" w:fill="auto"/>
            <w:vAlign w:val="center"/>
          </w:tcPr>
          <w:p w14:paraId="0974BBC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43523863">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35A6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1CA7949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w:t>
            </w:r>
          </w:p>
        </w:tc>
        <w:tc>
          <w:tcPr>
            <w:tcW w:w="1450" w:type="pct"/>
            <w:tcBorders>
              <w:top w:val="nil"/>
              <w:left w:val="nil"/>
              <w:bottom w:val="single" w:color="000000" w:sz="8" w:space="0"/>
              <w:right w:val="single" w:color="000000" w:sz="8" w:space="0"/>
            </w:tcBorders>
            <w:shd w:val="clear" w:color="auto" w:fill="auto"/>
            <w:vAlign w:val="center"/>
          </w:tcPr>
          <w:p w14:paraId="38C7C31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AI计算规划设计与实施服务（风冷智算服务器）</w:t>
            </w:r>
          </w:p>
        </w:tc>
        <w:tc>
          <w:tcPr>
            <w:tcW w:w="619" w:type="pct"/>
            <w:tcBorders>
              <w:top w:val="nil"/>
              <w:left w:val="nil"/>
              <w:bottom w:val="single" w:color="000000" w:sz="8" w:space="0"/>
              <w:right w:val="single" w:color="000000" w:sz="8" w:space="0"/>
            </w:tcBorders>
            <w:shd w:val="clear" w:color="auto" w:fill="auto"/>
            <w:vAlign w:val="center"/>
          </w:tcPr>
          <w:p w14:paraId="6C7375A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256</w:t>
            </w:r>
          </w:p>
        </w:tc>
        <w:tc>
          <w:tcPr>
            <w:tcW w:w="507" w:type="pct"/>
            <w:tcBorders>
              <w:top w:val="nil"/>
              <w:left w:val="nil"/>
              <w:bottom w:val="single" w:color="000000" w:sz="8" w:space="0"/>
              <w:right w:val="single" w:color="000000" w:sz="8" w:space="0"/>
            </w:tcBorders>
            <w:shd w:val="clear" w:color="auto" w:fill="auto"/>
            <w:vAlign w:val="center"/>
          </w:tcPr>
          <w:p w14:paraId="519B376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07C0A60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56D930D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4A710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5D191BC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2</w:t>
            </w:r>
          </w:p>
        </w:tc>
        <w:tc>
          <w:tcPr>
            <w:tcW w:w="1450" w:type="pct"/>
            <w:tcBorders>
              <w:top w:val="nil"/>
              <w:left w:val="nil"/>
              <w:bottom w:val="single" w:color="000000" w:sz="8" w:space="0"/>
              <w:right w:val="single" w:color="000000" w:sz="8" w:space="0"/>
            </w:tcBorders>
            <w:shd w:val="clear" w:color="auto" w:fill="auto"/>
            <w:vAlign w:val="center"/>
          </w:tcPr>
          <w:p w14:paraId="640A8E0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AI计算规划设计与实施服务（液冷智算服务器）</w:t>
            </w:r>
          </w:p>
        </w:tc>
        <w:tc>
          <w:tcPr>
            <w:tcW w:w="619" w:type="pct"/>
            <w:tcBorders>
              <w:top w:val="nil"/>
              <w:left w:val="nil"/>
              <w:bottom w:val="single" w:color="000000" w:sz="8" w:space="0"/>
              <w:right w:val="single" w:color="000000" w:sz="8" w:space="0"/>
            </w:tcBorders>
            <w:shd w:val="clear" w:color="auto" w:fill="auto"/>
            <w:vAlign w:val="center"/>
          </w:tcPr>
          <w:p w14:paraId="05AD9FE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w:t>
            </w:r>
          </w:p>
        </w:tc>
        <w:tc>
          <w:tcPr>
            <w:tcW w:w="507" w:type="pct"/>
            <w:tcBorders>
              <w:top w:val="nil"/>
              <w:left w:val="nil"/>
              <w:bottom w:val="single" w:color="000000" w:sz="8" w:space="0"/>
              <w:right w:val="single" w:color="000000" w:sz="8" w:space="0"/>
            </w:tcBorders>
            <w:shd w:val="clear" w:color="auto" w:fill="auto"/>
            <w:vAlign w:val="center"/>
          </w:tcPr>
          <w:p w14:paraId="7CB1A27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套</w:t>
            </w:r>
          </w:p>
        </w:tc>
        <w:tc>
          <w:tcPr>
            <w:tcW w:w="1206" w:type="pct"/>
            <w:tcBorders>
              <w:top w:val="nil"/>
              <w:left w:val="nil"/>
              <w:bottom w:val="single" w:color="000000" w:sz="8" w:space="0"/>
              <w:right w:val="single" w:color="000000" w:sz="8" w:space="0"/>
            </w:tcBorders>
            <w:shd w:val="clear" w:color="auto" w:fill="auto"/>
            <w:vAlign w:val="center"/>
          </w:tcPr>
          <w:p w14:paraId="7FD2818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1651E2B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691A5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696511A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3</w:t>
            </w:r>
          </w:p>
        </w:tc>
        <w:tc>
          <w:tcPr>
            <w:tcW w:w="1450" w:type="pct"/>
            <w:tcBorders>
              <w:top w:val="nil"/>
              <w:left w:val="nil"/>
              <w:bottom w:val="single" w:color="000000" w:sz="8" w:space="0"/>
              <w:right w:val="single" w:color="000000" w:sz="8" w:space="0"/>
            </w:tcBorders>
            <w:shd w:val="clear" w:color="auto" w:fill="auto"/>
            <w:vAlign w:val="center"/>
          </w:tcPr>
          <w:p w14:paraId="1390218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AI计算集成服务（风冷智算服务器1）</w:t>
            </w:r>
          </w:p>
        </w:tc>
        <w:tc>
          <w:tcPr>
            <w:tcW w:w="619" w:type="pct"/>
            <w:tcBorders>
              <w:top w:val="nil"/>
              <w:left w:val="nil"/>
              <w:bottom w:val="single" w:color="000000" w:sz="8" w:space="0"/>
              <w:right w:val="single" w:color="000000" w:sz="8" w:space="0"/>
            </w:tcBorders>
            <w:shd w:val="clear" w:color="auto" w:fill="auto"/>
            <w:vAlign w:val="center"/>
          </w:tcPr>
          <w:p w14:paraId="565A4C7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192</w:t>
            </w:r>
          </w:p>
        </w:tc>
        <w:tc>
          <w:tcPr>
            <w:tcW w:w="507" w:type="pct"/>
            <w:tcBorders>
              <w:top w:val="nil"/>
              <w:left w:val="nil"/>
              <w:bottom w:val="single" w:color="000000" w:sz="8" w:space="0"/>
              <w:right w:val="single" w:color="000000" w:sz="8" w:space="0"/>
            </w:tcBorders>
            <w:shd w:val="clear" w:color="auto" w:fill="auto"/>
            <w:vAlign w:val="center"/>
          </w:tcPr>
          <w:p w14:paraId="1E8B99B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台</w:t>
            </w:r>
          </w:p>
        </w:tc>
        <w:tc>
          <w:tcPr>
            <w:tcW w:w="1206" w:type="pct"/>
            <w:tcBorders>
              <w:top w:val="nil"/>
              <w:left w:val="nil"/>
              <w:bottom w:val="single" w:color="000000" w:sz="8" w:space="0"/>
              <w:right w:val="single" w:color="000000" w:sz="8" w:space="0"/>
            </w:tcBorders>
            <w:shd w:val="clear" w:color="auto" w:fill="auto"/>
            <w:vAlign w:val="center"/>
          </w:tcPr>
          <w:p w14:paraId="53C3FEA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22D1434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6812B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6A0306F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4</w:t>
            </w:r>
          </w:p>
        </w:tc>
        <w:tc>
          <w:tcPr>
            <w:tcW w:w="1450" w:type="pct"/>
            <w:tcBorders>
              <w:top w:val="nil"/>
              <w:left w:val="nil"/>
              <w:bottom w:val="single" w:color="000000" w:sz="8" w:space="0"/>
              <w:right w:val="single" w:color="000000" w:sz="8" w:space="0"/>
            </w:tcBorders>
            <w:shd w:val="clear" w:color="auto" w:fill="auto"/>
            <w:vAlign w:val="center"/>
          </w:tcPr>
          <w:p w14:paraId="00D5B12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AI计算集成服务（液冷智算服务器）</w:t>
            </w:r>
          </w:p>
        </w:tc>
        <w:tc>
          <w:tcPr>
            <w:tcW w:w="619" w:type="pct"/>
            <w:tcBorders>
              <w:top w:val="nil"/>
              <w:left w:val="nil"/>
              <w:bottom w:val="single" w:color="000000" w:sz="8" w:space="0"/>
              <w:right w:val="single" w:color="000000" w:sz="8" w:space="0"/>
            </w:tcBorders>
            <w:shd w:val="clear" w:color="auto" w:fill="auto"/>
            <w:vAlign w:val="center"/>
          </w:tcPr>
          <w:p w14:paraId="558B7C7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w:t>
            </w:r>
          </w:p>
        </w:tc>
        <w:tc>
          <w:tcPr>
            <w:tcW w:w="507" w:type="pct"/>
            <w:tcBorders>
              <w:top w:val="nil"/>
              <w:left w:val="nil"/>
              <w:bottom w:val="single" w:color="000000" w:sz="8" w:space="0"/>
              <w:right w:val="single" w:color="000000" w:sz="8" w:space="0"/>
            </w:tcBorders>
            <w:shd w:val="clear" w:color="auto" w:fill="auto"/>
            <w:vAlign w:val="center"/>
          </w:tcPr>
          <w:p w14:paraId="295FAD5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套</w:t>
            </w:r>
          </w:p>
        </w:tc>
        <w:tc>
          <w:tcPr>
            <w:tcW w:w="1206" w:type="pct"/>
            <w:tcBorders>
              <w:top w:val="nil"/>
              <w:left w:val="nil"/>
              <w:bottom w:val="single" w:color="000000" w:sz="8" w:space="0"/>
              <w:right w:val="single" w:color="000000" w:sz="8" w:space="0"/>
            </w:tcBorders>
            <w:shd w:val="clear" w:color="auto" w:fill="auto"/>
            <w:vAlign w:val="center"/>
          </w:tcPr>
          <w:p w14:paraId="593A58F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3BAB565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765D3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0" w:hRule="atLeast"/>
        </w:trPr>
        <w:tc>
          <w:tcPr>
            <w:tcW w:w="497" w:type="pct"/>
            <w:tcBorders>
              <w:top w:val="nil"/>
              <w:left w:val="single" w:color="000000" w:sz="8" w:space="0"/>
              <w:bottom w:val="nil"/>
              <w:right w:val="single" w:color="000000" w:sz="8" w:space="0"/>
            </w:tcBorders>
            <w:shd w:val="clear" w:color="auto" w:fill="auto"/>
            <w:vAlign w:val="center"/>
          </w:tcPr>
          <w:p w14:paraId="118AF73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5</w:t>
            </w:r>
          </w:p>
        </w:tc>
        <w:tc>
          <w:tcPr>
            <w:tcW w:w="1450" w:type="pct"/>
            <w:tcBorders>
              <w:top w:val="nil"/>
              <w:left w:val="nil"/>
              <w:bottom w:val="nil"/>
              <w:right w:val="single" w:color="000000" w:sz="8" w:space="0"/>
            </w:tcBorders>
            <w:shd w:val="clear" w:color="auto" w:fill="auto"/>
            <w:vAlign w:val="center"/>
          </w:tcPr>
          <w:p w14:paraId="636CC50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数据中心机房改造集成服务（风冷智算服务器）</w:t>
            </w:r>
          </w:p>
        </w:tc>
        <w:tc>
          <w:tcPr>
            <w:tcW w:w="619" w:type="pct"/>
            <w:tcBorders>
              <w:top w:val="nil"/>
              <w:left w:val="nil"/>
              <w:bottom w:val="nil"/>
              <w:right w:val="single" w:color="000000" w:sz="8" w:space="0"/>
            </w:tcBorders>
            <w:shd w:val="clear" w:color="auto" w:fill="auto"/>
            <w:vAlign w:val="center"/>
          </w:tcPr>
          <w:p w14:paraId="70C0B02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w:t>
            </w:r>
          </w:p>
        </w:tc>
        <w:tc>
          <w:tcPr>
            <w:tcW w:w="507" w:type="pct"/>
            <w:tcBorders>
              <w:top w:val="nil"/>
              <w:left w:val="nil"/>
              <w:bottom w:val="nil"/>
              <w:right w:val="single" w:color="000000" w:sz="8" w:space="0"/>
            </w:tcBorders>
            <w:shd w:val="clear" w:color="auto" w:fill="auto"/>
            <w:vAlign w:val="center"/>
          </w:tcPr>
          <w:p w14:paraId="29AD6F1A">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套</w:t>
            </w:r>
          </w:p>
        </w:tc>
        <w:tc>
          <w:tcPr>
            <w:tcW w:w="1206" w:type="pct"/>
            <w:tcBorders>
              <w:top w:val="nil"/>
              <w:left w:val="nil"/>
              <w:bottom w:val="nil"/>
              <w:right w:val="single" w:color="000000" w:sz="8" w:space="0"/>
            </w:tcBorders>
            <w:shd w:val="clear" w:color="auto" w:fill="auto"/>
            <w:vAlign w:val="center"/>
          </w:tcPr>
          <w:p w14:paraId="61D6AC6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nil"/>
              <w:right w:val="single" w:color="000000" w:sz="8" w:space="0"/>
            </w:tcBorders>
            <w:shd w:val="clear" w:color="auto" w:fill="auto"/>
            <w:vAlign w:val="center"/>
          </w:tcPr>
          <w:p w14:paraId="6562737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642C9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97" w:type="pct"/>
            <w:tcBorders>
              <w:top w:val="nil"/>
              <w:left w:val="single" w:color="000000" w:sz="8" w:space="0"/>
              <w:bottom w:val="single" w:color="000000" w:sz="8" w:space="0"/>
              <w:right w:val="single" w:color="000000" w:sz="8" w:space="0"/>
            </w:tcBorders>
            <w:shd w:val="clear" w:color="auto" w:fill="auto"/>
            <w:vAlign w:val="center"/>
          </w:tcPr>
          <w:p w14:paraId="0D66414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6</w:t>
            </w:r>
          </w:p>
        </w:tc>
        <w:tc>
          <w:tcPr>
            <w:tcW w:w="1450" w:type="pct"/>
            <w:tcBorders>
              <w:top w:val="nil"/>
              <w:left w:val="nil"/>
              <w:bottom w:val="single" w:color="000000" w:sz="8" w:space="0"/>
              <w:right w:val="single" w:color="000000" w:sz="8" w:space="0"/>
            </w:tcBorders>
            <w:shd w:val="clear" w:color="auto" w:fill="auto"/>
            <w:vAlign w:val="center"/>
          </w:tcPr>
          <w:p w14:paraId="6B6D0FA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AI培训服务</w:t>
            </w:r>
          </w:p>
        </w:tc>
        <w:tc>
          <w:tcPr>
            <w:tcW w:w="619" w:type="pct"/>
            <w:tcBorders>
              <w:top w:val="nil"/>
              <w:left w:val="nil"/>
              <w:bottom w:val="single" w:color="000000" w:sz="8" w:space="0"/>
              <w:right w:val="single" w:color="000000" w:sz="8" w:space="0"/>
            </w:tcBorders>
            <w:shd w:val="clear" w:color="auto" w:fill="auto"/>
            <w:vAlign w:val="center"/>
          </w:tcPr>
          <w:p w14:paraId="4621368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w:t>
            </w:r>
          </w:p>
        </w:tc>
        <w:tc>
          <w:tcPr>
            <w:tcW w:w="864" w:type="dxa"/>
            <w:tcBorders>
              <w:top w:val="nil"/>
              <w:left w:val="nil"/>
              <w:bottom w:val="single" w:color="000000" w:sz="8" w:space="0"/>
              <w:right w:val="single" w:color="000000" w:sz="8" w:space="0"/>
            </w:tcBorders>
            <w:shd w:val="clear" w:color="auto" w:fill="auto"/>
            <w:vAlign w:val="center"/>
          </w:tcPr>
          <w:p w14:paraId="42A5C55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套</w:t>
            </w:r>
          </w:p>
        </w:tc>
        <w:tc>
          <w:tcPr>
            <w:tcW w:w="2055" w:type="dxa"/>
            <w:tcBorders>
              <w:top w:val="nil"/>
              <w:left w:val="nil"/>
              <w:bottom w:val="single" w:color="000000" w:sz="8" w:space="0"/>
              <w:right w:val="single" w:color="000000" w:sz="8" w:space="0"/>
            </w:tcBorders>
            <w:shd w:val="clear" w:color="auto" w:fill="auto"/>
            <w:vAlign w:val="center"/>
          </w:tcPr>
          <w:p w14:paraId="3768B6B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719" w:type="pct"/>
            <w:tcBorders>
              <w:top w:val="nil"/>
              <w:left w:val="nil"/>
              <w:bottom w:val="single" w:color="000000" w:sz="8" w:space="0"/>
              <w:right w:val="single" w:color="000000" w:sz="8" w:space="0"/>
            </w:tcBorders>
            <w:shd w:val="clear" w:color="auto" w:fill="auto"/>
            <w:vAlign w:val="center"/>
          </w:tcPr>
          <w:p w14:paraId="3104135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bl>
    <w:p w14:paraId="0648622F">
      <w:pPr>
        <w:pageBreakBefore w:val="0"/>
        <w:wordWrap/>
        <w:topLinePunct w:val="0"/>
        <w:bidi w:val="0"/>
        <w:spacing w:line="288" w:lineRule="auto"/>
        <w:rPr>
          <w:rFonts w:hint="eastAsia" w:ascii="书宋-简" w:hAnsi="书宋-简" w:eastAsia="书宋-简" w:cs="书宋-简"/>
        </w:rPr>
      </w:pPr>
      <w:r>
        <w:rPr>
          <w:rFonts w:hint="eastAsia" w:ascii="书宋-简" w:hAnsi="书宋-简" w:eastAsia="书宋-简" w:cs="书宋-简"/>
        </w:rPr>
        <w:br w:type="page"/>
      </w:r>
    </w:p>
    <w:p w14:paraId="05E04AE0">
      <w:pPr>
        <w:pageBreakBefore w:val="0"/>
        <w:wordWrap/>
        <w:topLinePunct w:val="0"/>
        <w:bidi w:val="0"/>
        <w:spacing w:line="288" w:lineRule="auto"/>
        <w:rPr>
          <w:rFonts w:hint="eastAsia" w:ascii="书宋-简" w:hAnsi="书宋-简" w:eastAsia="书宋-简" w:cs="书宋-简"/>
        </w:rPr>
      </w:pPr>
    </w:p>
    <w:p w14:paraId="2C5FD795">
      <w:pPr>
        <w:pageBreakBefore w:val="0"/>
        <w:wordWrap/>
        <w:topLinePunct w:val="0"/>
        <w:bidi w:val="0"/>
        <w:spacing w:line="288" w:lineRule="auto"/>
        <w:ind w:firstLine="422"/>
        <w:jc w:val="center"/>
        <w:rPr>
          <w:rFonts w:hint="eastAsia" w:ascii="书宋-简" w:hAnsi="书宋-简" w:eastAsia="书宋-简" w:cs="书宋-简"/>
          <w:b/>
          <w:bCs/>
        </w:rPr>
      </w:pPr>
      <w:r>
        <w:rPr>
          <w:rFonts w:hint="eastAsia" w:ascii="书宋-简" w:hAnsi="书宋-简" w:eastAsia="书宋-简" w:cs="书宋-简"/>
          <w:b/>
          <w:bCs/>
          <w:lang w:eastAsia="zh-CN"/>
        </w:rPr>
        <w:t>专业服务</w:t>
      </w:r>
      <w:r>
        <w:rPr>
          <w:rFonts w:hint="eastAsia" w:ascii="书宋-简" w:hAnsi="书宋-简" w:eastAsia="书宋-简" w:cs="书宋-简"/>
          <w:b/>
          <w:bCs/>
        </w:rPr>
        <w:t>采购需求表</w:t>
      </w:r>
    </w:p>
    <w:tbl>
      <w:tblPr>
        <w:tblStyle w:val="4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1"/>
        <w:gridCol w:w="2230"/>
        <w:gridCol w:w="954"/>
        <w:gridCol w:w="819"/>
        <w:gridCol w:w="781"/>
        <w:gridCol w:w="1855"/>
        <w:gridCol w:w="1107"/>
      </w:tblGrid>
      <w:tr w14:paraId="1B31D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774" w:type="dxa"/>
            <w:tcBorders>
              <w:top w:val="single" w:color="auto" w:sz="8" w:space="0"/>
              <w:left w:val="single" w:color="auto" w:sz="8" w:space="0"/>
              <w:bottom w:val="single" w:color="auto" w:sz="8" w:space="0"/>
              <w:right w:val="single" w:color="auto" w:sz="8" w:space="0"/>
            </w:tcBorders>
            <w:shd w:val="clear" w:color="auto" w:fill="auto"/>
            <w:vAlign w:val="center"/>
          </w:tcPr>
          <w:p w14:paraId="1F165558">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b/>
                <w:bCs/>
                <w:i w:val="0"/>
                <w:iCs w:val="0"/>
                <w:color w:val="auto"/>
                <w:kern w:val="0"/>
                <w:sz w:val="20"/>
                <w:szCs w:val="20"/>
                <w:u w:val="none"/>
                <w:lang w:val="en-US" w:eastAsia="zh-CN" w:bidi="ar"/>
              </w:rPr>
              <w:t>序号</w:t>
            </w:r>
          </w:p>
        </w:tc>
        <w:tc>
          <w:tcPr>
            <w:tcW w:w="2242" w:type="dxa"/>
            <w:tcBorders>
              <w:top w:val="single" w:color="auto" w:sz="8" w:space="0"/>
              <w:left w:val="single" w:color="auto" w:sz="8" w:space="0"/>
              <w:bottom w:val="single" w:color="auto" w:sz="8" w:space="0"/>
              <w:right w:val="single" w:color="auto" w:sz="8" w:space="0"/>
            </w:tcBorders>
            <w:shd w:val="clear" w:color="auto" w:fill="auto"/>
            <w:vAlign w:val="center"/>
          </w:tcPr>
          <w:p w14:paraId="585F19D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b/>
                <w:bCs/>
                <w:i w:val="0"/>
                <w:iCs w:val="0"/>
                <w:color w:val="auto"/>
                <w:kern w:val="0"/>
                <w:sz w:val="20"/>
                <w:szCs w:val="20"/>
                <w:u w:val="none"/>
                <w:lang w:val="en-US" w:eastAsia="zh-CN" w:bidi="ar"/>
              </w:rPr>
              <w:t>名称</w:t>
            </w:r>
          </w:p>
        </w:tc>
        <w:tc>
          <w:tcPr>
            <w:tcW w:w="957" w:type="dxa"/>
            <w:tcBorders>
              <w:top w:val="single" w:color="auto" w:sz="8" w:space="0"/>
              <w:left w:val="single" w:color="auto" w:sz="8" w:space="0"/>
              <w:bottom w:val="single" w:color="auto" w:sz="8" w:space="0"/>
              <w:right w:val="single" w:color="auto" w:sz="8" w:space="0"/>
            </w:tcBorders>
            <w:shd w:val="clear" w:color="auto" w:fill="auto"/>
            <w:vAlign w:val="center"/>
          </w:tcPr>
          <w:p w14:paraId="5F2F489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b/>
                <w:bCs/>
                <w:i w:val="0"/>
                <w:iCs w:val="0"/>
                <w:color w:val="auto"/>
                <w:kern w:val="0"/>
                <w:sz w:val="20"/>
                <w:szCs w:val="20"/>
                <w:u w:val="none"/>
                <w:lang w:val="en-US" w:eastAsia="zh-CN" w:bidi="ar"/>
              </w:rPr>
              <w:t>数量</w:t>
            </w:r>
          </w:p>
        </w:tc>
        <w:tc>
          <w:tcPr>
            <w:tcW w:w="784" w:type="dxa"/>
            <w:tcBorders>
              <w:top w:val="single" w:color="auto" w:sz="8" w:space="0"/>
              <w:left w:val="single" w:color="auto" w:sz="8" w:space="0"/>
              <w:bottom w:val="single" w:color="auto" w:sz="8" w:space="0"/>
              <w:right w:val="single" w:color="auto" w:sz="8" w:space="0"/>
            </w:tcBorders>
            <w:shd w:val="clear" w:color="auto" w:fill="auto"/>
            <w:vAlign w:val="center"/>
          </w:tcPr>
          <w:p w14:paraId="23D8D84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kern w:val="0"/>
                <w:sz w:val="20"/>
                <w:szCs w:val="20"/>
                <w:u w:val="none"/>
                <w:lang w:val="en-US" w:eastAsia="zh-CN" w:bidi="ar"/>
              </w:rPr>
            </w:pPr>
            <w:r>
              <w:rPr>
                <w:rFonts w:hint="eastAsia" w:ascii="书宋-简" w:hAnsi="书宋-简" w:eastAsia="书宋-简" w:cs="书宋-简"/>
                <w:b/>
                <w:bCs/>
                <w:i w:val="0"/>
                <w:iCs w:val="0"/>
                <w:color w:val="000000"/>
                <w:kern w:val="0"/>
                <w:sz w:val="20"/>
                <w:szCs w:val="20"/>
                <w:u w:val="none"/>
                <w:lang w:val="en-US" w:eastAsia="zh-CN" w:bidi="ar"/>
              </w:rPr>
              <w:t>时长（年）</w:t>
            </w:r>
          </w:p>
        </w:tc>
        <w:tc>
          <w:tcPr>
            <w:tcW w:w="784" w:type="dxa"/>
            <w:tcBorders>
              <w:top w:val="single" w:color="auto" w:sz="8" w:space="0"/>
              <w:left w:val="single" w:color="auto" w:sz="8" w:space="0"/>
              <w:bottom w:val="single" w:color="auto" w:sz="8" w:space="0"/>
              <w:right w:val="single" w:color="auto" w:sz="8" w:space="0"/>
            </w:tcBorders>
            <w:shd w:val="clear" w:color="auto" w:fill="auto"/>
            <w:vAlign w:val="center"/>
          </w:tcPr>
          <w:p w14:paraId="5344EE9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b/>
                <w:bCs/>
                <w:i w:val="0"/>
                <w:iCs w:val="0"/>
                <w:color w:val="auto"/>
                <w:kern w:val="0"/>
                <w:sz w:val="20"/>
                <w:szCs w:val="20"/>
                <w:u w:val="none"/>
                <w:lang w:val="en-US" w:eastAsia="zh-CN" w:bidi="ar"/>
              </w:rPr>
              <w:t>单位</w:t>
            </w:r>
          </w:p>
        </w:tc>
        <w:tc>
          <w:tcPr>
            <w:tcW w:w="1865" w:type="dxa"/>
            <w:tcBorders>
              <w:top w:val="single" w:color="auto" w:sz="8" w:space="0"/>
              <w:left w:val="single" w:color="auto" w:sz="8" w:space="0"/>
              <w:bottom w:val="single" w:color="auto" w:sz="8" w:space="0"/>
              <w:right w:val="single" w:color="auto" w:sz="8" w:space="0"/>
            </w:tcBorders>
            <w:shd w:val="clear" w:color="auto" w:fill="auto"/>
            <w:vAlign w:val="center"/>
          </w:tcPr>
          <w:p w14:paraId="6FCC851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b/>
                <w:bCs/>
                <w:i w:val="0"/>
                <w:iCs w:val="0"/>
                <w:color w:val="auto"/>
                <w:kern w:val="0"/>
                <w:sz w:val="20"/>
                <w:szCs w:val="20"/>
                <w:u w:val="none"/>
                <w:lang w:val="en-US" w:eastAsia="zh-CN" w:bidi="ar"/>
              </w:rPr>
              <w:t>技术要求</w:t>
            </w:r>
          </w:p>
        </w:tc>
        <w:tc>
          <w:tcPr>
            <w:tcW w:w="1111" w:type="dxa"/>
            <w:tcBorders>
              <w:top w:val="single" w:color="auto" w:sz="8" w:space="0"/>
              <w:left w:val="single" w:color="auto" w:sz="8" w:space="0"/>
              <w:bottom w:val="single" w:color="auto" w:sz="8" w:space="0"/>
              <w:right w:val="single" w:color="auto" w:sz="8" w:space="0"/>
            </w:tcBorders>
            <w:shd w:val="clear" w:color="auto" w:fill="auto"/>
            <w:vAlign w:val="center"/>
          </w:tcPr>
          <w:p w14:paraId="3FBE8CE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b/>
                <w:bCs/>
                <w:i w:val="0"/>
                <w:iCs w:val="0"/>
                <w:color w:val="auto"/>
                <w:kern w:val="0"/>
                <w:sz w:val="20"/>
                <w:szCs w:val="20"/>
                <w:u w:val="none"/>
                <w:lang w:val="en-US" w:eastAsia="zh-CN" w:bidi="ar"/>
              </w:rPr>
              <w:t>备注</w:t>
            </w:r>
          </w:p>
        </w:tc>
      </w:tr>
      <w:tr w14:paraId="616B4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774" w:type="dxa"/>
            <w:tcBorders>
              <w:top w:val="single" w:color="auto" w:sz="8" w:space="0"/>
              <w:left w:val="single" w:color="000000" w:sz="8" w:space="0"/>
              <w:bottom w:val="single" w:color="000000" w:sz="8" w:space="0"/>
              <w:right w:val="single" w:color="000000" w:sz="8" w:space="0"/>
            </w:tcBorders>
            <w:shd w:val="clear" w:color="auto" w:fill="auto"/>
            <w:vAlign w:val="center"/>
          </w:tcPr>
          <w:p w14:paraId="2E89671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1</w:t>
            </w:r>
          </w:p>
        </w:tc>
        <w:tc>
          <w:tcPr>
            <w:tcW w:w="2242" w:type="dxa"/>
            <w:tcBorders>
              <w:top w:val="single" w:color="auto" w:sz="8" w:space="0"/>
              <w:left w:val="nil"/>
              <w:bottom w:val="single" w:color="000000" w:sz="8" w:space="0"/>
              <w:right w:val="single" w:color="000000" w:sz="8" w:space="0"/>
            </w:tcBorders>
            <w:shd w:val="clear" w:color="auto" w:fill="auto"/>
            <w:vAlign w:val="center"/>
          </w:tcPr>
          <w:p w14:paraId="3AC997A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AI计算使能服务（风冷智算服务器）</w:t>
            </w:r>
          </w:p>
        </w:tc>
        <w:tc>
          <w:tcPr>
            <w:tcW w:w="957" w:type="dxa"/>
            <w:tcBorders>
              <w:top w:val="single" w:color="auto" w:sz="8" w:space="0"/>
              <w:left w:val="nil"/>
              <w:bottom w:val="single" w:color="000000" w:sz="8" w:space="0"/>
              <w:right w:val="single" w:color="000000" w:sz="8" w:space="0"/>
            </w:tcBorders>
            <w:shd w:val="clear" w:color="auto" w:fill="auto"/>
            <w:vAlign w:val="center"/>
          </w:tcPr>
          <w:p w14:paraId="171A7069">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256</w:t>
            </w:r>
          </w:p>
        </w:tc>
        <w:tc>
          <w:tcPr>
            <w:tcW w:w="784" w:type="dxa"/>
            <w:tcBorders>
              <w:top w:val="single" w:color="auto" w:sz="8" w:space="0"/>
              <w:left w:val="nil"/>
              <w:bottom w:val="single" w:color="000000" w:sz="8" w:space="0"/>
              <w:right w:val="single" w:color="000000" w:sz="8" w:space="0"/>
            </w:tcBorders>
            <w:shd w:val="clear" w:color="auto" w:fill="auto"/>
            <w:vAlign w:val="center"/>
          </w:tcPr>
          <w:p w14:paraId="2CE5B5A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5</w:t>
            </w:r>
          </w:p>
        </w:tc>
        <w:tc>
          <w:tcPr>
            <w:tcW w:w="784" w:type="dxa"/>
            <w:tcBorders>
              <w:top w:val="single" w:color="auto" w:sz="8" w:space="0"/>
              <w:left w:val="nil"/>
              <w:bottom w:val="single" w:color="000000" w:sz="8" w:space="0"/>
              <w:right w:val="single" w:color="000000" w:sz="8" w:space="0"/>
            </w:tcBorders>
            <w:shd w:val="clear" w:color="auto" w:fill="auto"/>
            <w:vAlign w:val="center"/>
          </w:tcPr>
          <w:p w14:paraId="3837CA81">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台年</w:t>
            </w:r>
          </w:p>
        </w:tc>
        <w:tc>
          <w:tcPr>
            <w:tcW w:w="1865" w:type="dxa"/>
            <w:tcBorders>
              <w:top w:val="single" w:color="auto" w:sz="8" w:space="0"/>
              <w:left w:val="nil"/>
              <w:bottom w:val="single" w:color="000000" w:sz="8" w:space="0"/>
              <w:right w:val="single" w:color="000000" w:sz="8" w:space="0"/>
            </w:tcBorders>
            <w:shd w:val="clear" w:color="auto" w:fill="auto"/>
            <w:vAlign w:val="center"/>
          </w:tcPr>
          <w:p w14:paraId="2B040BB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1111" w:type="dxa"/>
            <w:tcBorders>
              <w:top w:val="single" w:color="auto" w:sz="8" w:space="0"/>
              <w:left w:val="nil"/>
              <w:bottom w:val="single" w:color="000000" w:sz="8" w:space="0"/>
              <w:right w:val="single" w:color="000000" w:sz="8" w:space="0"/>
            </w:tcBorders>
            <w:shd w:val="clear" w:color="auto" w:fill="auto"/>
            <w:vAlign w:val="center"/>
          </w:tcPr>
          <w:p w14:paraId="2A8AE68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29581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774" w:type="dxa"/>
            <w:tcBorders>
              <w:top w:val="nil"/>
              <w:left w:val="single" w:color="000000" w:sz="8" w:space="0"/>
              <w:bottom w:val="single" w:color="000000" w:sz="8" w:space="0"/>
              <w:right w:val="single" w:color="000000" w:sz="8" w:space="0"/>
            </w:tcBorders>
            <w:shd w:val="clear" w:color="auto" w:fill="auto"/>
            <w:vAlign w:val="center"/>
          </w:tcPr>
          <w:p w14:paraId="38E3389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2</w:t>
            </w:r>
          </w:p>
        </w:tc>
        <w:tc>
          <w:tcPr>
            <w:tcW w:w="2242" w:type="dxa"/>
            <w:tcBorders>
              <w:top w:val="nil"/>
              <w:left w:val="nil"/>
              <w:bottom w:val="single" w:color="000000" w:sz="8" w:space="0"/>
              <w:right w:val="single" w:color="000000" w:sz="8" w:space="0"/>
            </w:tcBorders>
            <w:shd w:val="clear" w:color="auto" w:fill="auto"/>
            <w:vAlign w:val="center"/>
          </w:tcPr>
          <w:p w14:paraId="07D4D26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AI计算使能服务（液冷智算服务器）</w:t>
            </w:r>
          </w:p>
        </w:tc>
        <w:tc>
          <w:tcPr>
            <w:tcW w:w="957" w:type="dxa"/>
            <w:tcBorders>
              <w:top w:val="nil"/>
              <w:left w:val="nil"/>
              <w:bottom w:val="single" w:color="000000" w:sz="8" w:space="0"/>
              <w:right w:val="single" w:color="000000" w:sz="8" w:space="0"/>
            </w:tcBorders>
            <w:shd w:val="clear" w:color="auto" w:fill="auto"/>
            <w:vAlign w:val="center"/>
          </w:tcPr>
          <w:p w14:paraId="6481046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w:t>
            </w:r>
          </w:p>
        </w:tc>
        <w:tc>
          <w:tcPr>
            <w:tcW w:w="784" w:type="dxa"/>
            <w:tcBorders>
              <w:top w:val="nil"/>
              <w:left w:val="nil"/>
              <w:bottom w:val="single" w:color="000000" w:sz="8" w:space="0"/>
              <w:right w:val="single" w:color="000000" w:sz="8" w:space="0"/>
            </w:tcBorders>
            <w:shd w:val="clear" w:color="auto" w:fill="auto"/>
            <w:vAlign w:val="center"/>
          </w:tcPr>
          <w:p w14:paraId="692EC6D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5</w:t>
            </w:r>
          </w:p>
        </w:tc>
        <w:tc>
          <w:tcPr>
            <w:tcW w:w="784" w:type="dxa"/>
            <w:tcBorders>
              <w:top w:val="nil"/>
              <w:left w:val="nil"/>
              <w:bottom w:val="single" w:color="000000" w:sz="8" w:space="0"/>
              <w:right w:val="single" w:color="000000" w:sz="8" w:space="0"/>
            </w:tcBorders>
            <w:shd w:val="clear" w:color="auto" w:fill="auto"/>
            <w:vAlign w:val="center"/>
          </w:tcPr>
          <w:p w14:paraId="33AD253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套年</w:t>
            </w:r>
          </w:p>
        </w:tc>
        <w:tc>
          <w:tcPr>
            <w:tcW w:w="1865" w:type="dxa"/>
            <w:tcBorders>
              <w:top w:val="nil"/>
              <w:left w:val="nil"/>
              <w:bottom w:val="single" w:color="000000" w:sz="8" w:space="0"/>
              <w:right w:val="single" w:color="000000" w:sz="8" w:space="0"/>
            </w:tcBorders>
            <w:shd w:val="clear" w:color="auto" w:fill="auto"/>
            <w:vAlign w:val="center"/>
          </w:tcPr>
          <w:p w14:paraId="7671EF7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1111" w:type="dxa"/>
            <w:tcBorders>
              <w:top w:val="nil"/>
              <w:left w:val="nil"/>
              <w:bottom w:val="single" w:color="000000" w:sz="8" w:space="0"/>
              <w:right w:val="single" w:color="000000" w:sz="8" w:space="0"/>
            </w:tcBorders>
            <w:shd w:val="clear" w:color="auto" w:fill="auto"/>
            <w:vAlign w:val="center"/>
          </w:tcPr>
          <w:p w14:paraId="66BB8C5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0E883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0" w:hRule="atLeast"/>
        </w:trPr>
        <w:tc>
          <w:tcPr>
            <w:tcW w:w="774" w:type="dxa"/>
            <w:tcBorders>
              <w:top w:val="nil"/>
              <w:left w:val="single" w:color="000000" w:sz="8" w:space="0"/>
              <w:bottom w:val="single" w:color="000000" w:sz="8" w:space="0"/>
              <w:right w:val="single" w:color="000000" w:sz="8" w:space="0"/>
            </w:tcBorders>
            <w:shd w:val="clear" w:color="auto" w:fill="auto"/>
            <w:vAlign w:val="center"/>
          </w:tcPr>
          <w:p w14:paraId="747492E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3</w:t>
            </w:r>
          </w:p>
        </w:tc>
        <w:tc>
          <w:tcPr>
            <w:tcW w:w="2242" w:type="dxa"/>
            <w:tcBorders>
              <w:top w:val="nil"/>
              <w:left w:val="nil"/>
              <w:bottom w:val="single" w:color="000000" w:sz="8" w:space="0"/>
              <w:right w:val="single" w:color="000000" w:sz="8" w:space="0"/>
            </w:tcBorders>
            <w:shd w:val="clear" w:color="auto" w:fill="auto"/>
            <w:vAlign w:val="center"/>
          </w:tcPr>
          <w:p w14:paraId="0E23FF1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AI算网运维服务（风冷智算服务器）</w:t>
            </w:r>
          </w:p>
        </w:tc>
        <w:tc>
          <w:tcPr>
            <w:tcW w:w="957" w:type="dxa"/>
            <w:tcBorders>
              <w:top w:val="nil"/>
              <w:left w:val="nil"/>
              <w:bottom w:val="single" w:color="000000" w:sz="8" w:space="0"/>
              <w:right w:val="single" w:color="000000" w:sz="8" w:space="0"/>
            </w:tcBorders>
            <w:shd w:val="clear" w:color="auto" w:fill="auto"/>
            <w:vAlign w:val="center"/>
          </w:tcPr>
          <w:p w14:paraId="4DC8D84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256</w:t>
            </w:r>
          </w:p>
        </w:tc>
        <w:tc>
          <w:tcPr>
            <w:tcW w:w="784" w:type="dxa"/>
            <w:tcBorders>
              <w:top w:val="nil"/>
              <w:left w:val="nil"/>
              <w:bottom w:val="single" w:color="000000" w:sz="8" w:space="0"/>
              <w:right w:val="single" w:color="000000" w:sz="8" w:space="0"/>
            </w:tcBorders>
            <w:shd w:val="clear" w:color="auto" w:fill="auto"/>
            <w:vAlign w:val="center"/>
          </w:tcPr>
          <w:p w14:paraId="21ACC71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5</w:t>
            </w:r>
          </w:p>
        </w:tc>
        <w:tc>
          <w:tcPr>
            <w:tcW w:w="784" w:type="dxa"/>
            <w:tcBorders>
              <w:top w:val="nil"/>
              <w:left w:val="nil"/>
              <w:bottom w:val="single" w:color="000000" w:sz="8" w:space="0"/>
              <w:right w:val="single" w:color="000000" w:sz="8" w:space="0"/>
            </w:tcBorders>
            <w:shd w:val="clear" w:color="auto" w:fill="auto"/>
            <w:vAlign w:val="center"/>
          </w:tcPr>
          <w:p w14:paraId="7E2AC63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台年</w:t>
            </w:r>
          </w:p>
        </w:tc>
        <w:tc>
          <w:tcPr>
            <w:tcW w:w="1865" w:type="dxa"/>
            <w:tcBorders>
              <w:top w:val="nil"/>
              <w:left w:val="nil"/>
              <w:bottom w:val="single" w:color="000000" w:sz="8" w:space="0"/>
              <w:right w:val="single" w:color="000000" w:sz="8" w:space="0"/>
            </w:tcBorders>
            <w:shd w:val="clear" w:color="auto" w:fill="auto"/>
            <w:vAlign w:val="center"/>
          </w:tcPr>
          <w:p w14:paraId="2368D1D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1111" w:type="dxa"/>
            <w:tcBorders>
              <w:top w:val="nil"/>
              <w:left w:val="nil"/>
              <w:bottom w:val="single" w:color="000000" w:sz="8" w:space="0"/>
              <w:right w:val="single" w:color="000000" w:sz="8" w:space="0"/>
            </w:tcBorders>
            <w:shd w:val="clear" w:color="auto" w:fill="auto"/>
            <w:vAlign w:val="center"/>
          </w:tcPr>
          <w:p w14:paraId="1CD86D71">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647B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774" w:type="dxa"/>
            <w:tcBorders>
              <w:top w:val="nil"/>
              <w:left w:val="single" w:color="000000" w:sz="8" w:space="0"/>
              <w:bottom w:val="single" w:color="000000" w:sz="8" w:space="0"/>
              <w:right w:val="single" w:color="000000" w:sz="8" w:space="0"/>
            </w:tcBorders>
            <w:shd w:val="clear" w:color="auto" w:fill="auto"/>
            <w:vAlign w:val="center"/>
          </w:tcPr>
          <w:p w14:paraId="2F0F7848">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4</w:t>
            </w:r>
          </w:p>
        </w:tc>
        <w:tc>
          <w:tcPr>
            <w:tcW w:w="2242" w:type="dxa"/>
            <w:tcBorders>
              <w:top w:val="nil"/>
              <w:left w:val="nil"/>
              <w:bottom w:val="single" w:color="000000" w:sz="8" w:space="0"/>
              <w:right w:val="single" w:color="000000" w:sz="8" w:space="0"/>
            </w:tcBorders>
            <w:shd w:val="clear" w:color="auto" w:fill="auto"/>
            <w:vAlign w:val="center"/>
          </w:tcPr>
          <w:p w14:paraId="3E75805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AI算网运维服务（液冷智算服务器）</w:t>
            </w:r>
          </w:p>
        </w:tc>
        <w:tc>
          <w:tcPr>
            <w:tcW w:w="957" w:type="dxa"/>
            <w:tcBorders>
              <w:top w:val="nil"/>
              <w:left w:val="nil"/>
              <w:bottom w:val="single" w:color="000000" w:sz="8" w:space="0"/>
              <w:right w:val="single" w:color="000000" w:sz="8" w:space="0"/>
            </w:tcBorders>
            <w:shd w:val="clear" w:color="auto" w:fill="auto"/>
            <w:vAlign w:val="center"/>
          </w:tcPr>
          <w:p w14:paraId="24C1E2A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w:t>
            </w:r>
          </w:p>
        </w:tc>
        <w:tc>
          <w:tcPr>
            <w:tcW w:w="784" w:type="dxa"/>
            <w:tcBorders>
              <w:top w:val="nil"/>
              <w:left w:val="nil"/>
              <w:bottom w:val="single" w:color="000000" w:sz="8" w:space="0"/>
              <w:right w:val="single" w:color="000000" w:sz="8" w:space="0"/>
            </w:tcBorders>
            <w:shd w:val="clear" w:color="auto" w:fill="auto"/>
            <w:vAlign w:val="center"/>
          </w:tcPr>
          <w:p w14:paraId="4D4CFE39">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5</w:t>
            </w:r>
          </w:p>
        </w:tc>
        <w:tc>
          <w:tcPr>
            <w:tcW w:w="784" w:type="dxa"/>
            <w:tcBorders>
              <w:top w:val="nil"/>
              <w:left w:val="nil"/>
              <w:bottom w:val="single" w:color="000000" w:sz="8" w:space="0"/>
              <w:right w:val="single" w:color="000000" w:sz="8" w:space="0"/>
            </w:tcBorders>
            <w:shd w:val="clear" w:color="auto" w:fill="auto"/>
            <w:vAlign w:val="center"/>
          </w:tcPr>
          <w:p w14:paraId="3BD8614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套年</w:t>
            </w:r>
          </w:p>
        </w:tc>
        <w:tc>
          <w:tcPr>
            <w:tcW w:w="1865" w:type="dxa"/>
            <w:tcBorders>
              <w:top w:val="nil"/>
              <w:left w:val="nil"/>
              <w:bottom w:val="single" w:color="000000" w:sz="8" w:space="0"/>
              <w:right w:val="single" w:color="000000" w:sz="8" w:space="0"/>
            </w:tcBorders>
            <w:shd w:val="clear" w:color="auto" w:fill="auto"/>
            <w:vAlign w:val="center"/>
          </w:tcPr>
          <w:p w14:paraId="7ED7A7B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1111" w:type="dxa"/>
            <w:tcBorders>
              <w:top w:val="nil"/>
              <w:left w:val="nil"/>
              <w:bottom w:val="single" w:color="000000" w:sz="8" w:space="0"/>
              <w:right w:val="single" w:color="000000" w:sz="8" w:space="0"/>
            </w:tcBorders>
            <w:shd w:val="clear" w:color="auto" w:fill="auto"/>
            <w:vAlign w:val="center"/>
          </w:tcPr>
          <w:p w14:paraId="28BC542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60EC3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774" w:type="dxa"/>
            <w:tcBorders>
              <w:top w:val="nil"/>
              <w:left w:val="single" w:color="000000" w:sz="8" w:space="0"/>
              <w:bottom w:val="single" w:color="000000" w:sz="8" w:space="0"/>
              <w:right w:val="single" w:color="000000" w:sz="8" w:space="0"/>
            </w:tcBorders>
            <w:shd w:val="clear" w:color="auto" w:fill="auto"/>
            <w:vAlign w:val="center"/>
          </w:tcPr>
          <w:p w14:paraId="790ECDF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5</w:t>
            </w:r>
          </w:p>
        </w:tc>
        <w:tc>
          <w:tcPr>
            <w:tcW w:w="2242" w:type="dxa"/>
            <w:tcBorders>
              <w:top w:val="nil"/>
              <w:left w:val="nil"/>
              <w:bottom w:val="single" w:color="000000" w:sz="8" w:space="0"/>
              <w:right w:val="single" w:color="000000" w:sz="8" w:space="0"/>
            </w:tcBorders>
            <w:shd w:val="clear" w:color="auto" w:fill="auto"/>
            <w:vAlign w:val="center"/>
          </w:tcPr>
          <w:p w14:paraId="5D9914C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延保服务(液冷智算服务器)</w:t>
            </w:r>
          </w:p>
        </w:tc>
        <w:tc>
          <w:tcPr>
            <w:tcW w:w="957" w:type="dxa"/>
            <w:tcBorders>
              <w:top w:val="nil"/>
              <w:left w:val="nil"/>
              <w:bottom w:val="single" w:color="000000" w:sz="8" w:space="0"/>
              <w:right w:val="single" w:color="000000" w:sz="8" w:space="0"/>
            </w:tcBorders>
            <w:shd w:val="clear" w:color="auto" w:fill="auto"/>
            <w:vAlign w:val="center"/>
          </w:tcPr>
          <w:p w14:paraId="4D16A06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w:t>
            </w:r>
          </w:p>
        </w:tc>
        <w:tc>
          <w:tcPr>
            <w:tcW w:w="784" w:type="dxa"/>
            <w:tcBorders>
              <w:top w:val="nil"/>
              <w:left w:val="nil"/>
              <w:bottom w:val="single" w:color="000000" w:sz="8" w:space="0"/>
              <w:right w:val="single" w:color="000000" w:sz="8" w:space="0"/>
            </w:tcBorders>
            <w:shd w:val="clear" w:color="auto" w:fill="auto"/>
            <w:vAlign w:val="center"/>
          </w:tcPr>
          <w:p w14:paraId="097ECDE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2</w:t>
            </w:r>
          </w:p>
        </w:tc>
        <w:tc>
          <w:tcPr>
            <w:tcW w:w="784" w:type="dxa"/>
            <w:tcBorders>
              <w:top w:val="nil"/>
              <w:left w:val="nil"/>
              <w:bottom w:val="single" w:color="000000" w:sz="8" w:space="0"/>
              <w:right w:val="single" w:color="000000" w:sz="8" w:space="0"/>
            </w:tcBorders>
            <w:shd w:val="clear" w:color="auto" w:fill="auto"/>
            <w:vAlign w:val="center"/>
          </w:tcPr>
          <w:p w14:paraId="721AE1E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套年</w:t>
            </w:r>
          </w:p>
        </w:tc>
        <w:tc>
          <w:tcPr>
            <w:tcW w:w="1865" w:type="dxa"/>
            <w:tcBorders>
              <w:top w:val="nil"/>
              <w:left w:val="nil"/>
              <w:bottom w:val="single" w:color="000000" w:sz="8" w:space="0"/>
              <w:right w:val="single" w:color="000000" w:sz="8" w:space="0"/>
            </w:tcBorders>
            <w:shd w:val="clear" w:color="auto" w:fill="auto"/>
            <w:vAlign w:val="center"/>
          </w:tcPr>
          <w:p w14:paraId="0D97025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1111" w:type="dxa"/>
            <w:tcBorders>
              <w:top w:val="nil"/>
              <w:left w:val="nil"/>
              <w:bottom w:val="single" w:color="000000" w:sz="8" w:space="0"/>
              <w:right w:val="single" w:color="000000" w:sz="8" w:space="0"/>
            </w:tcBorders>
            <w:shd w:val="clear" w:color="auto" w:fill="auto"/>
            <w:vAlign w:val="center"/>
          </w:tcPr>
          <w:p w14:paraId="64237E5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55F10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0" w:hRule="atLeast"/>
        </w:trPr>
        <w:tc>
          <w:tcPr>
            <w:tcW w:w="774" w:type="dxa"/>
            <w:tcBorders>
              <w:top w:val="nil"/>
              <w:left w:val="single" w:color="000000" w:sz="8" w:space="0"/>
              <w:bottom w:val="single" w:color="000000" w:sz="8" w:space="0"/>
              <w:right w:val="single" w:color="000000" w:sz="8" w:space="0"/>
            </w:tcBorders>
            <w:shd w:val="clear" w:color="auto" w:fill="auto"/>
            <w:vAlign w:val="center"/>
          </w:tcPr>
          <w:p w14:paraId="0F6CCA3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6</w:t>
            </w:r>
          </w:p>
        </w:tc>
        <w:tc>
          <w:tcPr>
            <w:tcW w:w="2242" w:type="dxa"/>
            <w:tcBorders>
              <w:top w:val="nil"/>
              <w:left w:val="nil"/>
              <w:bottom w:val="single" w:color="000000" w:sz="8" w:space="0"/>
              <w:right w:val="single" w:color="000000" w:sz="8" w:space="0"/>
            </w:tcBorders>
            <w:shd w:val="clear" w:color="auto" w:fill="auto"/>
            <w:vAlign w:val="center"/>
          </w:tcPr>
          <w:p w14:paraId="1AB4FD2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延保服务(风冷智算服务器1)</w:t>
            </w:r>
          </w:p>
        </w:tc>
        <w:tc>
          <w:tcPr>
            <w:tcW w:w="957" w:type="dxa"/>
            <w:tcBorders>
              <w:top w:val="nil"/>
              <w:left w:val="nil"/>
              <w:bottom w:val="single" w:color="000000" w:sz="8" w:space="0"/>
              <w:right w:val="single" w:color="000000" w:sz="8" w:space="0"/>
            </w:tcBorders>
            <w:shd w:val="clear" w:color="auto" w:fill="auto"/>
            <w:vAlign w:val="center"/>
          </w:tcPr>
          <w:p w14:paraId="1354DE5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192</w:t>
            </w:r>
          </w:p>
        </w:tc>
        <w:tc>
          <w:tcPr>
            <w:tcW w:w="784" w:type="dxa"/>
            <w:tcBorders>
              <w:top w:val="nil"/>
              <w:left w:val="nil"/>
              <w:bottom w:val="single" w:color="000000" w:sz="8" w:space="0"/>
              <w:right w:val="single" w:color="000000" w:sz="8" w:space="0"/>
            </w:tcBorders>
            <w:shd w:val="clear" w:color="auto" w:fill="auto"/>
            <w:vAlign w:val="center"/>
          </w:tcPr>
          <w:p w14:paraId="4252152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2</w:t>
            </w:r>
          </w:p>
        </w:tc>
        <w:tc>
          <w:tcPr>
            <w:tcW w:w="784" w:type="dxa"/>
            <w:tcBorders>
              <w:top w:val="nil"/>
              <w:left w:val="nil"/>
              <w:bottom w:val="single" w:color="000000" w:sz="8" w:space="0"/>
              <w:right w:val="single" w:color="000000" w:sz="8" w:space="0"/>
            </w:tcBorders>
            <w:shd w:val="clear" w:color="auto" w:fill="auto"/>
            <w:vAlign w:val="center"/>
          </w:tcPr>
          <w:p w14:paraId="0A7AB77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台年</w:t>
            </w:r>
          </w:p>
        </w:tc>
        <w:tc>
          <w:tcPr>
            <w:tcW w:w="1865" w:type="dxa"/>
            <w:tcBorders>
              <w:top w:val="nil"/>
              <w:left w:val="nil"/>
              <w:bottom w:val="single" w:color="000000" w:sz="8" w:space="0"/>
              <w:right w:val="single" w:color="000000" w:sz="8" w:space="0"/>
            </w:tcBorders>
            <w:shd w:val="clear" w:color="auto" w:fill="auto"/>
            <w:vAlign w:val="center"/>
          </w:tcPr>
          <w:p w14:paraId="6E3F97F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1111" w:type="dxa"/>
            <w:tcBorders>
              <w:top w:val="nil"/>
              <w:left w:val="nil"/>
              <w:bottom w:val="single" w:color="000000" w:sz="8" w:space="0"/>
              <w:right w:val="single" w:color="000000" w:sz="8" w:space="0"/>
            </w:tcBorders>
            <w:shd w:val="clear" w:color="auto" w:fill="auto"/>
            <w:vAlign w:val="center"/>
          </w:tcPr>
          <w:p w14:paraId="5880E6E2">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r w14:paraId="35CCE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774" w:type="dxa"/>
            <w:tcBorders>
              <w:top w:val="nil"/>
              <w:left w:val="single" w:color="000000" w:sz="8" w:space="0"/>
              <w:bottom w:val="single" w:color="000000" w:sz="8" w:space="0"/>
              <w:right w:val="single" w:color="000000" w:sz="8" w:space="0"/>
            </w:tcBorders>
            <w:shd w:val="clear" w:color="auto" w:fill="auto"/>
            <w:vAlign w:val="center"/>
          </w:tcPr>
          <w:p w14:paraId="7C19787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7</w:t>
            </w:r>
          </w:p>
        </w:tc>
        <w:tc>
          <w:tcPr>
            <w:tcW w:w="2242" w:type="dxa"/>
            <w:tcBorders>
              <w:top w:val="nil"/>
              <w:left w:val="nil"/>
              <w:bottom w:val="single" w:color="000000" w:sz="8" w:space="0"/>
              <w:right w:val="single" w:color="000000" w:sz="8" w:space="0"/>
            </w:tcBorders>
            <w:shd w:val="clear" w:color="auto" w:fill="auto"/>
            <w:vAlign w:val="center"/>
          </w:tcPr>
          <w:p w14:paraId="028D2984">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延保服务(风冷智算服务器2)</w:t>
            </w:r>
          </w:p>
        </w:tc>
        <w:tc>
          <w:tcPr>
            <w:tcW w:w="957" w:type="dxa"/>
            <w:tcBorders>
              <w:top w:val="nil"/>
              <w:left w:val="nil"/>
              <w:bottom w:val="single" w:color="000000" w:sz="8" w:space="0"/>
              <w:right w:val="single" w:color="000000" w:sz="8" w:space="0"/>
            </w:tcBorders>
            <w:shd w:val="clear" w:color="auto" w:fill="auto"/>
            <w:vAlign w:val="center"/>
          </w:tcPr>
          <w:p w14:paraId="7E14E81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64</w:t>
            </w:r>
          </w:p>
        </w:tc>
        <w:tc>
          <w:tcPr>
            <w:tcW w:w="784" w:type="dxa"/>
            <w:tcBorders>
              <w:top w:val="nil"/>
              <w:left w:val="nil"/>
              <w:bottom w:val="single" w:color="000000" w:sz="8" w:space="0"/>
              <w:right w:val="single" w:color="000000" w:sz="8" w:space="0"/>
            </w:tcBorders>
            <w:shd w:val="clear" w:color="auto" w:fill="auto"/>
            <w:vAlign w:val="center"/>
          </w:tcPr>
          <w:p w14:paraId="2C563B5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2</w:t>
            </w:r>
          </w:p>
        </w:tc>
        <w:tc>
          <w:tcPr>
            <w:tcW w:w="784" w:type="dxa"/>
            <w:tcBorders>
              <w:top w:val="nil"/>
              <w:left w:val="nil"/>
              <w:bottom w:val="single" w:color="000000" w:sz="8" w:space="0"/>
              <w:right w:val="single" w:color="000000" w:sz="8" w:space="0"/>
            </w:tcBorders>
            <w:shd w:val="clear" w:color="auto" w:fill="auto"/>
            <w:vAlign w:val="center"/>
          </w:tcPr>
          <w:p w14:paraId="0020801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台年</w:t>
            </w:r>
          </w:p>
        </w:tc>
        <w:tc>
          <w:tcPr>
            <w:tcW w:w="1865" w:type="dxa"/>
            <w:tcBorders>
              <w:top w:val="nil"/>
              <w:left w:val="nil"/>
              <w:bottom w:val="single" w:color="000000" w:sz="8" w:space="0"/>
              <w:right w:val="single" w:color="000000" w:sz="8" w:space="0"/>
            </w:tcBorders>
            <w:shd w:val="clear" w:color="auto" w:fill="auto"/>
            <w:vAlign w:val="center"/>
          </w:tcPr>
          <w:p w14:paraId="0B2DAD2D">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详见技术要求表</w:t>
            </w:r>
          </w:p>
        </w:tc>
        <w:tc>
          <w:tcPr>
            <w:tcW w:w="1111" w:type="dxa"/>
            <w:tcBorders>
              <w:top w:val="nil"/>
              <w:left w:val="nil"/>
              <w:bottom w:val="single" w:color="000000" w:sz="8" w:space="0"/>
              <w:right w:val="single" w:color="000000" w:sz="8" w:space="0"/>
            </w:tcBorders>
            <w:shd w:val="clear" w:color="auto" w:fill="auto"/>
            <w:vAlign w:val="center"/>
          </w:tcPr>
          <w:p w14:paraId="33EED54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p>
        </w:tc>
      </w:tr>
    </w:tbl>
    <w:p w14:paraId="43B2351A">
      <w:pPr>
        <w:pageBreakBefore w:val="0"/>
        <w:wordWrap/>
        <w:topLinePunct w:val="0"/>
        <w:bidi w:val="0"/>
        <w:spacing w:line="288" w:lineRule="auto"/>
        <w:ind w:firstLine="422"/>
        <w:jc w:val="center"/>
        <w:rPr>
          <w:rFonts w:hint="eastAsia" w:ascii="书宋-简" w:hAnsi="书宋-简" w:eastAsia="书宋-简" w:cs="书宋-简"/>
          <w:b/>
          <w:bCs/>
        </w:rPr>
      </w:pPr>
    </w:p>
    <w:p w14:paraId="35B72E50">
      <w:pPr>
        <w:pageBreakBefore w:val="0"/>
        <w:wordWrap/>
        <w:topLinePunct w:val="0"/>
        <w:bidi w:val="0"/>
        <w:spacing w:line="288" w:lineRule="auto"/>
        <w:ind w:left="0" w:leftChars="0" w:firstLine="0" w:firstLineChars="0"/>
        <w:rPr>
          <w:rFonts w:hint="eastAsia" w:ascii="书宋-简" w:hAnsi="书宋-简" w:eastAsia="书宋-简" w:cs="书宋-简"/>
        </w:rPr>
      </w:pPr>
    </w:p>
    <w:p w14:paraId="21D02376">
      <w:pPr>
        <w:pageBreakBefore w:val="0"/>
        <w:wordWrap/>
        <w:topLinePunct w:val="0"/>
        <w:bidi w:val="0"/>
        <w:spacing w:line="288" w:lineRule="auto"/>
        <w:ind w:firstLine="482"/>
        <w:jc w:val="left"/>
        <w:outlineLvl w:val="2"/>
        <w:rPr>
          <w:rFonts w:hint="eastAsia" w:ascii="书宋-简" w:hAnsi="书宋-简" w:eastAsia="书宋-简" w:cs="书宋-简"/>
          <w:b/>
          <w:sz w:val="24"/>
        </w:rPr>
      </w:pPr>
      <w:r>
        <w:rPr>
          <w:rFonts w:hint="eastAsia" w:ascii="书宋-简" w:hAnsi="书宋-简" w:eastAsia="书宋-简" w:cs="书宋-简"/>
          <w:b/>
          <w:sz w:val="24"/>
          <w:lang w:eastAsia="zh-CN"/>
        </w:rPr>
        <w:t>三</w:t>
      </w:r>
      <w:r>
        <w:rPr>
          <w:rFonts w:hint="eastAsia" w:ascii="书宋-简" w:hAnsi="书宋-简" w:eastAsia="书宋-简" w:cs="书宋-简"/>
          <w:b/>
          <w:sz w:val="24"/>
        </w:rPr>
        <w:t>、质保服务要求</w:t>
      </w:r>
    </w:p>
    <w:p w14:paraId="4B5659AE">
      <w:pPr>
        <w:pStyle w:val="13"/>
        <w:pageBreakBefore w:val="0"/>
        <w:wordWrap/>
        <w:topLinePunct w:val="0"/>
        <w:bidi w:val="0"/>
        <w:spacing w:line="288" w:lineRule="auto"/>
        <w:ind w:firstLine="0" w:firstLineChars="0"/>
        <w:jc w:val="center"/>
        <w:rPr>
          <w:rFonts w:hint="eastAsia" w:ascii="书宋-简" w:hAnsi="书宋-简" w:eastAsia="书宋-简" w:cs="书宋-简"/>
          <w:b/>
          <w:bCs/>
        </w:rPr>
      </w:pPr>
      <w:r>
        <w:rPr>
          <w:rFonts w:hint="eastAsia" w:ascii="书宋-简" w:hAnsi="书宋-简" w:eastAsia="书宋-简" w:cs="书宋-简"/>
          <w:b/>
          <w:bCs/>
        </w:rPr>
        <w:t>质保服务要求</w:t>
      </w:r>
    </w:p>
    <w:tbl>
      <w:tblPr>
        <w:tblStyle w:val="49"/>
        <w:tblW w:w="8294"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45"/>
        <w:gridCol w:w="1405"/>
        <w:gridCol w:w="6244"/>
      </w:tblGrid>
      <w:tr w14:paraId="6D1460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91" w:hRule="atLeast"/>
        </w:trPr>
        <w:tc>
          <w:tcPr>
            <w:tcW w:w="645" w:type="dxa"/>
            <w:vAlign w:val="center"/>
          </w:tcPr>
          <w:p w14:paraId="4F6C72A7">
            <w:pPr>
              <w:pageBreakBefore w:val="0"/>
              <w:widowControl w:val="0"/>
              <w:wordWrap/>
              <w:topLinePunct w:val="0"/>
              <w:bidi w:val="0"/>
              <w:adjustRightInd w:val="0"/>
              <w:snapToGrid w:val="0"/>
              <w:spacing w:after="0" w:line="288" w:lineRule="auto"/>
              <w:ind w:firstLine="0" w:firstLineChars="0"/>
              <w:rPr>
                <w:rFonts w:hint="eastAsia" w:ascii="书宋-简" w:hAnsi="书宋-简" w:eastAsia="书宋-简" w:cs="书宋-简"/>
                <w:b/>
                <w:bCs/>
                <w:sz w:val="20"/>
                <w:szCs w:val="20"/>
              </w:rPr>
            </w:pPr>
            <w:r>
              <w:rPr>
                <w:rFonts w:hint="eastAsia" w:ascii="书宋-简" w:hAnsi="书宋-简" w:eastAsia="书宋-简" w:cs="书宋-简"/>
                <w:b/>
                <w:bCs/>
                <w:sz w:val="20"/>
                <w:szCs w:val="20"/>
                <w:lang w:bidi="ar"/>
              </w:rPr>
              <w:t>序号</w:t>
            </w:r>
          </w:p>
        </w:tc>
        <w:tc>
          <w:tcPr>
            <w:tcW w:w="1405" w:type="dxa"/>
            <w:vAlign w:val="center"/>
          </w:tcPr>
          <w:p w14:paraId="6B040D9A">
            <w:pPr>
              <w:pageBreakBefore w:val="0"/>
              <w:widowControl w:val="0"/>
              <w:wordWrap/>
              <w:topLinePunct w:val="0"/>
              <w:bidi w:val="0"/>
              <w:adjustRightInd w:val="0"/>
              <w:snapToGrid w:val="0"/>
              <w:spacing w:after="0" w:line="288" w:lineRule="auto"/>
              <w:ind w:firstLine="0" w:firstLineChars="0"/>
              <w:jc w:val="center"/>
              <w:rPr>
                <w:rFonts w:hint="eastAsia" w:ascii="书宋-简" w:hAnsi="书宋-简" w:eastAsia="书宋-简" w:cs="书宋-简"/>
                <w:b/>
                <w:bCs/>
                <w:sz w:val="20"/>
                <w:szCs w:val="20"/>
              </w:rPr>
            </w:pPr>
            <w:r>
              <w:rPr>
                <w:rFonts w:hint="eastAsia" w:ascii="书宋-简" w:hAnsi="书宋-简" w:eastAsia="书宋-简" w:cs="书宋-简"/>
                <w:b/>
                <w:bCs/>
                <w:sz w:val="20"/>
                <w:szCs w:val="20"/>
                <w:lang w:bidi="ar"/>
              </w:rPr>
              <w:t>指标项</w:t>
            </w:r>
          </w:p>
        </w:tc>
        <w:tc>
          <w:tcPr>
            <w:tcW w:w="6244" w:type="dxa"/>
            <w:vAlign w:val="center"/>
          </w:tcPr>
          <w:p w14:paraId="16947C36">
            <w:pPr>
              <w:pageBreakBefore w:val="0"/>
              <w:widowControl w:val="0"/>
              <w:wordWrap/>
              <w:topLinePunct w:val="0"/>
              <w:bidi w:val="0"/>
              <w:adjustRightInd w:val="0"/>
              <w:snapToGrid w:val="0"/>
              <w:spacing w:after="0" w:line="288" w:lineRule="auto"/>
              <w:ind w:firstLine="0" w:firstLineChars="0"/>
              <w:jc w:val="center"/>
              <w:rPr>
                <w:rFonts w:hint="eastAsia" w:ascii="书宋-简" w:hAnsi="书宋-简" w:eastAsia="书宋-简" w:cs="书宋-简"/>
                <w:b/>
                <w:bCs/>
                <w:sz w:val="20"/>
                <w:szCs w:val="20"/>
              </w:rPr>
            </w:pPr>
            <w:r>
              <w:rPr>
                <w:rFonts w:hint="eastAsia" w:ascii="书宋-简" w:hAnsi="书宋-简" w:eastAsia="书宋-简" w:cs="书宋-简"/>
                <w:b/>
                <w:bCs/>
                <w:sz w:val="20"/>
                <w:szCs w:val="20"/>
                <w:lang w:bidi="ar"/>
              </w:rPr>
              <w:t>指标要求</w:t>
            </w:r>
          </w:p>
        </w:tc>
      </w:tr>
      <w:tr w14:paraId="735630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91" w:hRule="atLeast"/>
        </w:trPr>
        <w:tc>
          <w:tcPr>
            <w:tcW w:w="645" w:type="dxa"/>
            <w:vAlign w:val="center"/>
          </w:tcPr>
          <w:p w14:paraId="13B5A587">
            <w:pPr>
              <w:pageBreakBefore w:val="0"/>
              <w:wordWrap/>
              <w:topLinePunct w:val="0"/>
              <w:bidi w:val="0"/>
              <w:adjustRightInd w:val="0"/>
              <w:snapToGrid w:val="0"/>
              <w:spacing w:after="0" w:line="288" w:lineRule="auto"/>
              <w:ind w:firstLine="0" w:firstLineChars="0"/>
              <w:jc w:val="center"/>
              <w:rPr>
                <w:rFonts w:hint="eastAsia" w:ascii="书宋-简" w:hAnsi="书宋-简" w:eastAsia="书宋-简" w:cs="书宋-简"/>
                <w:sz w:val="20"/>
                <w:szCs w:val="20"/>
                <w:lang w:bidi="ar"/>
              </w:rPr>
            </w:pPr>
            <w:r>
              <w:rPr>
                <w:rFonts w:hint="eastAsia" w:ascii="书宋-简" w:hAnsi="书宋-简" w:eastAsia="书宋-简" w:cs="书宋-简"/>
                <w:color w:val="000000"/>
                <w:sz w:val="20"/>
                <w:szCs w:val="20"/>
              </w:rPr>
              <w:t>1</w:t>
            </w:r>
          </w:p>
        </w:tc>
        <w:tc>
          <w:tcPr>
            <w:tcW w:w="1405" w:type="dxa"/>
            <w:vAlign w:val="center"/>
          </w:tcPr>
          <w:p w14:paraId="0469BFCB">
            <w:pPr>
              <w:pageBreakBefore w:val="0"/>
              <w:wordWrap/>
              <w:topLinePunct w:val="0"/>
              <w:bidi w:val="0"/>
              <w:adjustRightInd w:val="0"/>
              <w:snapToGrid w:val="0"/>
              <w:spacing w:after="0" w:line="288" w:lineRule="auto"/>
              <w:ind w:firstLine="0" w:firstLineChars="0"/>
              <w:rPr>
                <w:rFonts w:hint="eastAsia" w:ascii="书宋-简" w:hAnsi="书宋-简" w:eastAsia="书宋-简" w:cs="书宋-简"/>
                <w:sz w:val="20"/>
                <w:szCs w:val="20"/>
                <w:lang w:bidi="ar"/>
              </w:rPr>
            </w:pPr>
            <w:r>
              <w:rPr>
                <w:rFonts w:hint="eastAsia" w:ascii="书宋-简" w:hAnsi="书宋-简" w:eastAsia="书宋-简" w:cs="书宋-简"/>
                <w:color w:val="000000"/>
                <w:sz w:val="20"/>
                <w:szCs w:val="20"/>
              </w:rPr>
              <w:t>质量保修期限</w:t>
            </w:r>
          </w:p>
        </w:tc>
        <w:tc>
          <w:tcPr>
            <w:tcW w:w="6244" w:type="dxa"/>
            <w:vAlign w:val="center"/>
          </w:tcPr>
          <w:p w14:paraId="1598E9B5">
            <w:pPr>
              <w:pStyle w:val="13"/>
              <w:pageBreakBefore w:val="0"/>
              <w:wordWrap/>
              <w:topLinePunct w:val="0"/>
              <w:bidi w:val="0"/>
              <w:adjustRightInd w:val="0"/>
              <w:snapToGrid w:val="0"/>
              <w:spacing w:after="0" w:line="288" w:lineRule="auto"/>
              <w:ind w:firstLine="0" w:firstLineChars="0"/>
              <w:rPr>
                <w:rFonts w:hint="eastAsia" w:ascii="书宋-简" w:hAnsi="书宋-简" w:eastAsia="书宋-简" w:cs="书宋-简"/>
                <w:sz w:val="20"/>
                <w:szCs w:val="20"/>
                <w:lang w:bidi="ar"/>
              </w:rPr>
            </w:pPr>
            <w:r>
              <w:rPr>
                <w:rFonts w:hint="eastAsia" w:ascii="书宋-简" w:hAnsi="书宋-简" w:eastAsia="书宋-简" w:cs="书宋-简"/>
                <w:color w:val="000000"/>
                <w:sz w:val="20"/>
                <w:szCs w:val="20"/>
                <w:lang w:val="en-US" w:eastAsia="zh-CN"/>
              </w:rPr>
              <w:t>智算服务器自带3年，延保2年，其他关键设备自带5</w:t>
            </w:r>
            <w:r>
              <w:rPr>
                <w:rFonts w:hint="eastAsia" w:ascii="书宋-简" w:hAnsi="书宋-简" w:eastAsia="书宋-简" w:cs="书宋-简"/>
                <w:color w:val="000000"/>
                <w:sz w:val="20"/>
                <w:szCs w:val="20"/>
              </w:rPr>
              <w:t>年（从验收</w:t>
            </w:r>
            <w:r>
              <w:rPr>
                <w:rFonts w:hint="eastAsia" w:ascii="书宋-简" w:hAnsi="书宋-简" w:eastAsia="书宋-简" w:cs="书宋-简"/>
                <w:color w:val="000000"/>
                <w:sz w:val="20"/>
                <w:szCs w:val="20"/>
                <w:lang w:eastAsia="zh-CN"/>
              </w:rPr>
              <w:t>通过</w:t>
            </w:r>
            <w:r>
              <w:rPr>
                <w:rFonts w:hint="eastAsia" w:ascii="书宋-简" w:hAnsi="书宋-简" w:eastAsia="书宋-简" w:cs="书宋-简"/>
                <w:color w:val="000000"/>
                <w:sz w:val="20"/>
                <w:szCs w:val="20"/>
              </w:rPr>
              <w:t>之日起算</w:t>
            </w:r>
            <w:r>
              <w:rPr>
                <w:rFonts w:hint="eastAsia" w:ascii="书宋-简" w:hAnsi="书宋-简" w:eastAsia="书宋-简" w:cs="书宋-简"/>
                <w:color w:val="000000"/>
                <w:sz w:val="20"/>
                <w:szCs w:val="20"/>
                <w:lang w:eastAsia="zh-CN"/>
              </w:rPr>
              <w:t>；如分批交付，则起算时间从分批验收通过之日起算</w:t>
            </w:r>
            <w:r>
              <w:rPr>
                <w:rFonts w:hint="eastAsia" w:ascii="书宋-简" w:hAnsi="书宋-简" w:eastAsia="书宋-简" w:cs="书宋-简"/>
                <w:color w:val="000000"/>
                <w:sz w:val="20"/>
                <w:szCs w:val="20"/>
              </w:rPr>
              <w:t>）</w:t>
            </w:r>
          </w:p>
        </w:tc>
      </w:tr>
      <w:tr w14:paraId="4A71D3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91" w:hRule="atLeast"/>
        </w:trPr>
        <w:tc>
          <w:tcPr>
            <w:tcW w:w="645" w:type="dxa"/>
            <w:vAlign w:val="center"/>
          </w:tcPr>
          <w:p w14:paraId="21D7484F">
            <w:pPr>
              <w:pageBreakBefore w:val="0"/>
              <w:wordWrap/>
              <w:topLinePunct w:val="0"/>
              <w:bidi w:val="0"/>
              <w:adjustRightInd w:val="0"/>
              <w:snapToGrid w:val="0"/>
              <w:spacing w:after="0" w:line="288" w:lineRule="auto"/>
              <w:ind w:firstLine="0" w:firstLineChars="0"/>
              <w:jc w:val="center"/>
              <w:rPr>
                <w:rFonts w:hint="eastAsia" w:ascii="书宋-简" w:hAnsi="书宋-简" w:eastAsia="书宋-简" w:cs="书宋-简"/>
                <w:sz w:val="20"/>
                <w:szCs w:val="20"/>
                <w:lang w:bidi="ar"/>
              </w:rPr>
            </w:pPr>
            <w:r>
              <w:rPr>
                <w:rFonts w:hint="eastAsia" w:ascii="书宋-简" w:hAnsi="书宋-简" w:eastAsia="书宋-简" w:cs="书宋-简"/>
                <w:color w:val="000000"/>
                <w:sz w:val="20"/>
                <w:szCs w:val="20"/>
              </w:rPr>
              <w:t>2</w:t>
            </w:r>
          </w:p>
        </w:tc>
        <w:tc>
          <w:tcPr>
            <w:tcW w:w="1405" w:type="dxa"/>
            <w:vAlign w:val="center"/>
          </w:tcPr>
          <w:p w14:paraId="2F753479">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sz w:val="20"/>
                <w:szCs w:val="20"/>
                <w:lang w:bidi="ar"/>
              </w:rPr>
            </w:pPr>
            <w:r>
              <w:rPr>
                <w:rFonts w:hint="eastAsia" w:ascii="书宋-简" w:hAnsi="书宋-简" w:eastAsia="书宋-简" w:cs="书宋-简"/>
                <w:color w:val="000000"/>
                <w:sz w:val="20"/>
                <w:szCs w:val="20"/>
              </w:rPr>
              <w:t>质量保修范围</w:t>
            </w:r>
          </w:p>
        </w:tc>
        <w:tc>
          <w:tcPr>
            <w:tcW w:w="6244" w:type="dxa"/>
            <w:vAlign w:val="center"/>
          </w:tcPr>
          <w:p w14:paraId="244FF247">
            <w:pPr>
              <w:pageBreakBefore w:val="0"/>
              <w:wordWrap/>
              <w:topLinePunct w:val="0"/>
              <w:bidi w:val="0"/>
              <w:adjustRightInd w:val="0"/>
              <w:snapToGrid w:val="0"/>
              <w:spacing w:after="0" w:line="288" w:lineRule="auto"/>
              <w:ind w:firstLine="0" w:firstLineChars="0"/>
              <w:jc w:val="left"/>
              <w:textAlignment w:val="center"/>
              <w:rPr>
                <w:rFonts w:hint="eastAsia" w:ascii="书宋-简" w:hAnsi="书宋-简" w:eastAsia="书宋-简" w:cs="书宋-简"/>
                <w:sz w:val="20"/>
                <w:szCs w:val="20"/>
                <w:lang w:bidi="ar"/>
              </w:rPr>
            </w:pPr>
            <w:r>
              <w:rPr>
                <w:rFonts w:hint="eastAsia" w:ascii="书宋-简" w:hAnsi="书宋-简" w:eastAsia="书宋-简" w:cs="书宋-简"/>
                <w:sz w:val="20"/>
                <w:szCs w:val="20"/>
              </w:rPr>
              <w:t>货物质量缺陷或质量问题引起的维修事件</w:t>
            </w:r>
          </w:p>
        </w:tc>
      </w:tr>
      <w:tr w14:paraId="4598AF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91" w:hRule="atLeast"/>
        </w:trPr>
        <w:tc>
          <w:tcPr>
            <w:tcW w:w="645" w:type="dxa"/>
            <w:vAlign w:val="center"/>
          </w:tcPr>
          <w:p w14:paraId="6F85E4D5">
            <w:pPr>
              <w:pageBreakBefore w:val="0"/>
              <w:wordWrap/>
              <w:topLinePunct w:val="0"/>
              <w:bidi w:val="0"/>
              <w:adjustRightInd w:val="0"/>
              <w:snapToGrid w:val="0"/>
              <w:spacing w:after="0" w:line="288" w:lineRule="auto"/>
              <w:ind w:firstLine="0" w:firstLineChars="0"/>
              <w:jc w:val="center"/>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3</w:t>
            </w:r>
          </w:p>
        </w:tc>
        <w:tc>
          <w:tcPr>
            <w:tcW w:w="1405" w:type="dxa"/>
            <w:vAlign w:val="center"/>
          </w:tcPr>
          <w:p w14:paraId="23077643">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远程支持服务</w:t>
            </w:r>
          </w:p>
        </w:tc>
        <w:tc>
          <w:tcPr>
            <w:tcW w:w="6244" w:type="dxa"/>
            <w:vAlign w:val="center"/>
          </w:tcPr>
          <w:p w14:paraId="6AE75BDA">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提供24小时问题统一受理平台。提供7*24远程问题处理服务,就有关设备或网络的技术咨询及问题，进行远程技术支持和处理，并提供问题解决方案。提供网站自助平台，客户以授权用户的身份访问厂商技术网站。可访问技术论坛、下载相关软件补丁、还可获取产品技术手册、技术案例、维护经验等。</w:t>
            </w:r>
          </w:p>
        </w:tc>
      </w:tr>
      <w:tr w14:paraId="4296E0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20" w:hRule="atLeast"/>
        </w:trPr>
        <w:tc>
          <w:tcPr>
            <w:tcW w:w="645" w:type="dxa"/>
            <w:vAlign w:val="center"/>
          </w:tcPr>
          <w:p w14:paraId="0221629D">
            <w:pPr>
              <w:pageBreakBefore w:val="0"/>
              <w:wordWrap/>
              <w:topLinePunct w:val="0"/>
              <w:bidi w:val="0"/>
              <w:adjustRightInd w:val="0"/>
              <w:snapToGrid w:val="0"/>
              <w:spacing w:after="0" w:line="288" w:lineRule="auto"/>
              <w:ind w:firstLine="0" w:firstLineChars="0"/>
              <w:jc w:val="center"/>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4</w:t>
            </w:r>
          </w:p>
        </w:tc>
        <w:tc>
          <w:tcPr>
            <w:tcW w:w="1405" w:type="dxa"/>
            <w:vAlign w:val="center"/>
          </w:tcPr>
          <w:p w14:paraId="66E70FD2">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软件更新服务</w:t>
            </w:r>
          </w:p>
        </w:tc>
        <w:tc>
          <w:tcPr>
            <w:tcW w:w="6244" w:type="dxa"/>
            <w:vAlign w:val="center"/>
          </w:tcPr>
          <w:p w14:paraId="46992E7F">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为解决软件版本的BUG、功能改进或增强提供软件补丁（外购件除外）。</w:t>
            </w:r>
          </w:p>
        </w:tc>
      </w:tr>
      <w:tr w14:paraId="49D8B5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20" w:hRule="atLeast"/>
        </w:trPr>
        <w:tc>
          <w:tcPr>
            <w:tcW w:w="645" w:type="dxa"/>
            <w:vAlign w:val="center"/>
          </w:tcPr>
          <w:p w14:paraId="699949F5">
            <w:pPr>
              <w:pageBreakBefore w:val="0"/>
              <w:wordWrap/>
              <w:topLinePunct w:val="0"/>
              <w:bidi w:val="0"/>
              <w:adjustRightInd w:val="0"/>
              <w:snapToGrid w:val="0"/>
              <w:spacing w:after="0" w:line="288" w:lineRule="auto"/>
              <w:ind w:firstLine="0" w:firstLineChars="0"/>
              <w:jc w:val="center"/>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5</w:t>
            </w:r>
          </w:p>
        </w:tc>
        <w:tc>
          <w:tcPr>
            <w:tcW w:w="1405" w:type="dxa"/>
            <w:vAlign w:val="center"/>
          </w:tcPr>
          <w:p w14:paraId="16F939AA">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硬件支持服务</w:t>
            </w:r>
          </w:p>
        </w:tc>
        <w:tc>
          <w:tcPr>
            <w:tcW w:w="6244" w:type="dxa"/>
            <w:vAlign w:val="center"/>
          </w:tcPr>
          <w:p w14:paraId="0807955D">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确定为硬件故障后，可提供7*24*NextDay硬件预更换服务（外购件除外）。</w:t>
            </w:r>
          </w:p>
        </w:tc>
      </w:tr>
      <w:tr w14:paraId="0A8411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20" w:hRule="atLeast"/>
        </w:trPr>
        <w:tc>
          <w:tcPr>
            <w:tcW w:w="645" w:type="dxa"/>
            <w:vAlign w:val="center"/>
          </w:tcPr>
          <w:p w14:paraId="693E71FC">
            <w:pPr>
              <w:pageBreakBefore w:val="0"/>
              <w:wordWrap/>
              <w:topLinePunct w:val="0"/>
              <w:bidi w:val="0"/>
              <w:adjustRightInd w:val="0"/>
              <w:snapToGrid w:val="0"/>
              <w:spacing w:after="0" w:line="288" w:lineRule="auto"/>
              <w:ind w:firstLine="0" w:firstLineChars="0"/>
              <w:jc w:val="center"/>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6</w:t>
            </w:r>
          </w:p>
        </w:tc>
        <w:tc>
          <w:tcPr>
            <w:tcW w:w="1405" w:type="dxa"/>
            <w:vAlign w:val="center"/>
          </w:tcPr>
          <w:p w14:paraId="0339CBDA">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现场硬件更换服务</w:t>
            </w:r>
          </w:p>
        </w:tc>
        <w:tc>
          <w:tcPr>
            <w:tcW w:w="6244" w:type="dxa"/>
            <w:vAlign w:val="center"/>
          </w:tcPr>
          <w:p w14:paraId="13B9B040">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如果确定硬件故障不能通过远程方式解决，厂家工程师将到达故障现场，进行现场硬件更换。</w:t>
            </w:r>
          </w:p>
        </w:tc>
      </w:tr>
      <w:tr w14:paraId="7B3F93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20" w:hRule="atLeast"/>
        </w:trPr>
        <w:tc>
          <w:tcPr>
            <w:tcW w:w="645" w:type="dxa"/>
            <w:vAlign w:val="center"/>
          </w:tcPr>
          <w:p w14:paraId="4413C325">
            <w:pPr>
              <w:pageBreakBefore w:val="0"/>
              <w:wordWrap/>
              <w:topLinePunct w:val="0"/>
              <w:bidi w:val="0"/>
              <w:adjustRightInd w:val="0"/>
              <w:snapToGrid w:val="0"/>
              <w:spacing w:after="0" w:line="288" w:lineRule="auto"/>
              <w:ind w:firstLine="0" w:firstLineChars="0"/>
              <w:jc w:val="center"/>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7</w:t>
            </w:r>
          </w:p>
        </w:tc>
        <w:tc>
          <w:tcPr>
            <w:tcW w:w="1405" w:type="dxa"/>
            <w:vAlign w:val="center"/>
          </w:tcPr>
          <w:p w14:paraId="4E144292">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现场问题处理服务</w:t>
            </w:r>
          </w:p>
        </w:tc>
        <w:tc>
          <w:tcPr>
            <w:tcW w:w="6244" w:type="dxa"/>
            <w:vAlign w:val="center"/>
          </w:tcPr>
          <w:p w14:paraId="60EF9CC1">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如果厂家确定设备问题不能通过远程方式解决，将派工程师于7*24*NextDay到客户现场进行问题处理，包括信息收集、问题分析、故障诊断、方案实施、紧急问题恢复等。</w:t>
            </w:r>
          </w:p>
        </w:tc>
      </w:tr>
      <w:tr w14:paraId="4523B8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20" w:hRule="atLeast"/>
        </w:trPr>
        <w:tc>
          <w:tcPr>
            <w:tcW w:w="645" w:type="dxa"/>
            <w:vAlign w:val="center"/>
          </w:tcPr>
          <w:p w14:paraId="05F9194E">
            <w:pPr>
              <w:pageBreakBefore w:val="0"/>
              <w:wordWrap/>
              <w:topLinePunct w:val="0"/>
              <w:bidi w:val="0"/>
              <w:adjustRightInd w:val="0"/>
              <w:snapToGrid w:val="0"/>
              <w:spacing w:after="0" w:line="288" w:lineRule="auto"/>
              <w:ind w:firstLine="0" w:firstLineChars="0"/>
              <w:jc w:val="center"/>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8</w:t>
            </w:r>
          </w:p>
        </w:tc>
        <w:tc>
          <w:tcPr>
            <w:tcW w:w="1405" w:type="dxa"/>
            <w:vAlign w:val="center"/>
          </w:tcPr>
          <w:p w14:paraId="00867B92">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r>
              <w:rPr>
                <w:rFonts w:hint="eastAsia" w:ascii="书宋-简" w:hAnsi="书宋-简" w:eastAsia="书宋-简" w:cs="书宋-简"/>
                <w:color w:val="000000"/>
                <w:sz w:val="20"/>
                <w:szCs w:val="20"/>
              </w:rPr>
              <w:t>免责说明</w:t>
            </w:r>
          </w:p>
        </w:tc>
        <w:tc>
          <w:tcPr>
            <w:tcW w:w="6244" w:type="dxa"/>
            <w:vAlign w:val="center"/>
          </w:tcPr>
          <w:p w14:paraId="6555C2BD">
            <w:pPr>
              <w:pageBreakBefore w:val="0"/>
              <w:wordWrap/>
              <w:topLinePunct w:val="0"/>
              <w:bidi w:val="0"/>
              <w:adjustRightInd w:val="0"/>
              <w:snapToGrid w:val="0"/>
              <w:spacing w:after="0" w:line="288" w:lineRule="auto"/>
              <w:ind w:firstLine="0" w:firstLineChars="0"/>
              <w:jc w:val="left"/>
              <w:textAlignment w:val="center"/>
              <w:rPr>
                <w:rFonts w:hint="eastAsia" w:ascii="书宋-简" w:hAnsi="书宋-简" w:eastAsia="书宋-简" w:cs="书宋-简"/>
                <w:sz w:val="20"/>
                <w:szCs w:val="20"/>
              </w:rPr>
            </w:pPr>
            <w:r>
              <w:rPr>
                <w:rFonts w:hint="eastAsia" w:ascii="书宋-简" w:hAnsi="书宋-简" w:eastAsia="书宋-简" w:cs="书宋-简"/>
                <w:sz w:val="20"/>
                <w:szCs w:val="20"/>
                <w:lang w:bidi="ar"/>
              </w:rPr>
              <w:t>1、下列情况不在质保服务范围之内：</w:t>
            </w:r>
          </w:p>
          <w:p w14:paraId="3C67FB9F">
            <w:pPr>
              <w:pageBreakBefore w:val="0"/>
              <w:wordWrap/>
              <w:topLinePunct w:val="0"/>
              <w:bidi w:val="0"/>
              <w:adjustRightInd w:val="0"/>
              <w:snapToGrid w:val="0"/>
              <w:spacing w:after="0" w:line="288" w:lineRule="auto"/>
              <w:ind w:firstLine="0" w:firstLineChars="0"/>
              <w:rPr>
                <w:rFonts w:hint="eastAsia" w:ascii="书宋-简" w:hAnsi="书宋-简" w:eastAsia="书宋-简" w:cs="书宋-简"/>
                <w:sz w:val="20"/>
                <w:szCs w:val="20"/>
              </w:rPr>
            </w:pPr>
            <w:r>
              <w:rPr>
                <w:rFonts w:hint="eastAsia" w:ascii="书宋-简" w:hAnsi="书宋-简" w:eastAsia="书宋-简" w:cs="书宋-简"/>
                <w:sz w:val="20"/>
                <w:szCs w:val="20"/>
                <w:lang w:bidi="ar"/>
              </w:rPr>
              <w:t>（1）由于不可抗力事件（自然灾害、火灾、战争等）对设备造成损坏。</w:t>
            </w:r>
          </w:p>
          <w:p w14:paraId="6A6E0362">
            <w:pPr>
              <w:pageBreakBefore w:val="0"/>
              <w:wordWrap/>
              <w:topLinePunct w:val="0"/>
              <w:bidi w:val="0"/>
              <w:adjustRightInd w:val="0"/>
              <w:snapToGrid w:val="0"/>
              <w:spacing w:after="0" w:line="288" w:lineRule="auto"/>
              <w:ind w:firstLine="0" w:firstLineChars="0"/>
              <w:rPr>
                <w:rFonts w:hint="eastAsia" w:ascii="书宋-简" w:hAnsi="书宋-简" w:eastAsia="书宋-简" w:cs="书宋-简"/>
                <w:sz w:val="20"/>
                <w:szCs w:val="20"/>
              </w:rPr>
            </w:pPr>
            <w:r>
              <w:rPr>
                <w:rFonts w:hint="eastAsia" w:ascii="书宋-简" w:hAnsi="书宋-简" w:eastAsia="书宋-简" w:cs="书宋-简"/>
                <w:sz w:val="20"/>
                <w:szCs w:val="20"/>
                <w:lang w:bidi="ar"/>
              </w:rPr>
              <w:t>（2）自然损耗或磨损造成设备损坏。</w:t>
            </w:r>
          </w:p>
          <w:p w14:paraId="1FB4F84F">
            <w:pPr>
              <w:pageBreakBefore w:val="0"/>
              <w:wordWrap/>
              <w:topLinePunct w:val="0"/>
              <w:bidi w:val="0"/>
              <w:adjustRightInd w:val="0"/>
              <w:snapToGrid w:val="0"/>
              <w:spacing w:after="0" w:line="288" w:lineRule="auto"/>
              <w:ind w:firstLine="0" w:firstLineChars="0"/>
              <w:rPr>
                <w:rFonts w:hint="eastAsia" w:ascii="书宋-简" w:hAnsi="书宋-简" w:eastAsia="书宋-简" w:cs="书宋-简"/>
                <w:sz w:val="20"/>
                <w:szCs w:val="20"/>
              </w:rPr>
            </w:pPr>
            <w:r>
              <w:rPr>
                <w:rFonts w:hint="eastAsia" w:ascii="书宋-简" w:hAnsi="书宋-简" w:eastAsia="书宋-简" w:cs="书宋-简"/>
                <w:sz w:val="20"/>
                <w:szCs w:val="20"/>
                <w:lang w:bidi="ar"/>
              </w:rPr>
              <w:t>（3）因现场设备运行环境(比如配电、温湿度、承重等) 或外部因素（比如外部电磁干扰、内部互联设备的故障等）不能满足设备正常运行的环境要求和通用行业标准所造成的直接损坏。</w:t>
            </w:r>
          </w:p>
          <w:p w14:paraId="172641D8">
            <w:pPr>
              <w:pageBreakBefore w:val="0"/>
              <w:wordWrap/>
              <w:topLinePunct w:val="0"/>
              <w:bidi w:val="0"/>
              <w:adjustRightInd w:val="0"/>
              <w:snapToGrid w:val="0"/>
              <w:spacing w:after="0" w:line="288" w:lineRule="auto"/>
              <w:ind w:firstLine="0" w:firstLineChars="0"/>
              <w:rPr>
                <w:rFonts w:hint="eastAsia" w:ascii="书宋-简" w:hAnsi="书宋-简" w:eastAsia="书宋-简" w:cs="书宋-简"/>
                <w:sz w:val="20"/>
                <w:szCs w:val="20"/>
              </w:rPr>
            </w:pPr>
            <w:r>
              <w:rPr>
                <w:rFonts w:hint="eastAsia" w:ascii="书宋-简" w:hAnsi="书宋-简" w:eastAsia="书宋-简" w:cs="书宋-简"/>
                <w:sz w:val="20"/>
                <w:szCs w:val="20"/>
                <w:lang w:bidi="ar"/>
              </w:rPr>
              <w:t>（4）由于故意或疏忽、使用不当、外力或蓄意破坏行为对设备造成大规模的硬件或数据损坏。</w:t>
            </w:r>
          </w:p>
          <w:p w14:paraId="52D6D01B">
            <w:pPr>
              <w:pageBreakBefore w:val="0"/>
              <w:wordWrap/>
              <w:topLinePunct w:val="0"/>
              <w:bidi w:val="0"/>
              <w:adjustRightInd w:val="0"/>
              <w:snapToGrid w:val="0"/>
              <w:spacing w:after="0" w:line="288" w:lineRule="auto"/>
              <w:ind w:firstLine="0" w:firstLineChars="0"/>
              <w:rPr>
                <w:rFonts w:hint="eastAsia" w:ascii="书宋-简" w:hAnsi="书宋-简" w:eastAsia="书宋-简" w:cs="书宋-简"/>
                <w:sz w:val="20"/>
                <w:szCs w:val="20"/>
              </w:rPr>
            </w:pPr>
            <w:r>
              <w:rPr>
                <w:rFonts w:hint="eastAsia" w:ascii="书宋-简" w:hAnsi="书宋-简" w:eastAsia="书宋-简" w:cs="书宋-简"/>
                <w:sz w:val="20"/>
                <w:szCs w:val="20"/>
                <w:lang w:bidi="ar"/>
              </w:rPr>
              <w:t>（5）已达到最大读写次数的SSD卡/盘，SD卡，M.2等部件。</w:t>
            </w:r>
          </w:p>
          <w:p w14:paraId="5BD5226C">
            <w:pPr>
              <w:pageBreakBefore w:val="0"/>
              <w:wordWrap/>
              <w:topLinePunct w:val="0"/>
              <w:bidi w:val="0"/>
              <w:adjustRightInd w:val="0"/>
              <w:snapToGrid w:val="0"/>
              <w:spacing w:after="0" w:line="288" w:lineRule="auto"/>
              <w:ind w:firstLine="0" w:firstLineChars="0"/>
              <w:rPr>
                <w:rFonts w:hint="eastAsia" w:ascii="书宋-简" w:hAnsi="书宋-简" w:eastAsia="书宋-简" w:cs="书宋-简"/>
                <w:sz w:val="20"/>
                <w:szCs w:val="20"/>
              </w:rPr>
            </w:pPr>
            <w:r>
              <w:rPr>
                <w:rFonts w:hint="eastAsia" w:ascii="书宋-简" w:hAnsi="书宋-简" w:eastAsia="书宋-简" w:cs="书宋-简"/>
                <w:sz w:val="20"/>
                <w:szCs w:val="20"/>
                <w:lang w:bidi="ar"/>
              </w:rPr>
              <w:t>（6）设备表面物理损伤、涂改的。</w:t>
            </w:r>
          </w:p>
          <w:p w14:paraId="22939C05">
            <w:pPr>
              <w:pageBreakBefore w:val="0"/>
              <w:wordWrap/>
              <w:topLinePunct w:val="0"/>
              <w:bidi w:val="0"/>
              <w:adjustRightInd w:val="0"/>
              <w:snapToGrid w:val="0"/>
              <w:spacing w:after="0" w:line="288" w:lineRule="auto"/>
              <w:ind w:firstLine="0" w:firstLineChars="0"/>
              <w:jc w:val="left"/>
              <w:textAlignment w:val="center"/>
              <w:rPr>
                <w:rFonts w:hint="eastAsia" w:ascii="书宋-简" w:hAnsi="书宋-简" w:eastAsia="书宋-简" w:cs="书宋-简"/>
                <w:sz w:val="20"/>
                <w:szCs w:val="20"/>
              </w:rPr>
            </w:pPr>
            <w:r>
              <w:rPr>
                <w:rFonts w:hint="eastAsia" w:ascii="书宋-简" w:hAnsi="书宋-简" w:eastAsia="书宋-简" w:cs="书宋-简"/>
                <w:sz w:val="20"/>
                <w:szCs w:val="20"/>
                <w:lang w:bidi="ar"/>
              </w:rPr>
              <w:t>2、下列情况可能导致投标人不能按要求履行质保服务的，由双甲乙双方根据实际情况协商解决：</w:t>
            </w:r>
          </w:p>
          <w:p w14:paraId="3709C46C">
            <w:pPr>
              <w:pageBreakBefore w:val="0"/>
              <w:wordWrap/>
              <w:topLinePunct w:val="0"/>
              <w:bidi w:val="0"/>
              <w:adjustRightInd w:val="0"/>
              <w:snapToGrid w:val="0"/>
              <w:spacing w:after="0" w:line="288" w:lineRule="auto"/>
              <w:ind w:firstLine="0" w:firstLineChars="0"/>
              <w:rPr>
                <w:rFonts w:hint="eastAsia" w:ascii="书宋-简" w:hAnsi="书宋-简" w:eastAsia="书宋-简" w:cs="书宋-简"/>
                <w:sz w:val="20"/>
                <w:szCs w:val="20"/>
              </w:rPr>
            </w:pPr>
            <w:r>
              <w:rPr>
                <w:rFonts w:hint="eastAsia" w:ascii="书宋-简" w:hAnsi="书宋-简" w:eastAsia="书宋-简" w:cs="书宋-简"/>
                <w:sz w:val="20"/>
                <w:szCs w:val="20"/>
                <w:lang w:bidi="ar"/>
              </w:rPr>
              <w:t>（1）不可抗力（如：火灾、水灾、地震、雷击等）引起的意外情况致使投标人不能按要求履行质保服务。</w:t>
            </w:r>
          </w:p>
          <w:p w14:paraId="5C2375FB">
            <w:pPr>
              <w:pageBreakBefore w:val="0"/>
              <w:wordWrap/>
              <w:topLinePunct w:val="0"/>
              <w:bidi w:val="0"/>
              <w:adjustRightInd w:val="0"/>
              <w:snapToGrid w:val="0"/>
              <w:spacing w:after="0" w:line="288" w:lineRule="auto"/>
              <w:ind w:firstLine="0" w:firstLineChars="0"/>
              <w:rPr>
                <w:rFonts w:hint="eastAsia" w:ascii="书宋-简" w:hAnsi="书宋-简" w:eastAsia="书宋-简" w:cs="书宋-简"/>
                <w:sz w:val="20"/>
                <w:szCs w:val="20"/>
              </w:rPr>
            </w:pPr>
            <w:r>
              <w:rPr>
                <w:rFonts w:hint="eastAsia" w:ascii="书宋-简" w:hAnsi="书宋-简" w:eastAsia="书宋-简" w:cs="书宋-简"/>
                <w:sz w:val="20"/>
                <w:szCs w:val="20"/>
                <w:lang w:bidi="ar"/>
              </w:rPr>
              <w:t>（2）社会性问题（如：动乱、战争、罢工、政府管制等）引起的服务条件恶化，致使投标人不能按要求履行质保服务。</w:t>
            </w:r>
          </w:p>
          <w:p w14:paraId="6E58B8ED">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sz w:val="20"/>
                <w:szCs w:val="20"/>
              </w:rPr>
            </w:pPr>
            <w:r>
              <w:rPr>
                <w:rFonts w:hint="eastAsia" w:ascii="书宋-简" w:hAnsi="书宋-简" w:eastAsia="书宋-简" w:cs="书宋-简"/>
                <w:sz w:val="20"/>
                <w:szCs w:val="20"/>
                <w:lang w:bidi="ar"/>
              </w:rPr>
              <w:t xml:space="preserve">（3）因国际贸易争端或进出口管制政策，投标人客观上无法获得可替换、维修的部件或设备，致使投标人不能按要求履行质保服务。 </w:t>
            </w:r>
          </w:p>
          <w:p w14:paraId="536223E2">
            <w:pPr>
              <w:pageBreakBefore w:val="0"/>
              <w:wordWrap/>
              <w:topLinePunct w:val="0"/>
              <w:bidi w:val="0"/>
              <w:adjustRightInd w:val="0"/>
              <w:snapToGrid w:val="0"/>
              <w:spacing w:after="0" w:line="288" w:lineRule="auto"/>
              <w:ind w:firstLine="0" w:firstLineChars="0"/>
              <w:jc w:val="left"/>
              <w:rPr>
                <w:rFonts w:hint="eastAsia" w:ascii="书宋-简" w:hAnsi="书宋-简" w:eastAsia="书宋-简" w:cs="书宋-简"/>
                <w:color w:val="000000"/>
                <w:sz w:val="20"/>
                <w:szCs w:val="20"/>
              </w:rPr>
            </w:pPr>
          </w:p>
        </w:tc>
      </w:tr>
    </w:tbl>
    <w:p w14:paraId="6F3E1ACC">
      <w:pPr>
        <w:pStyle w:val="13"/>
        <w:pageBreakBefore w:val="0"/>
        <w:wordWrap/>
        <w:topLinePunct w:val="0"/>
        <w:bidi w:val="0"/>
        <w:spacing w:line="288" w:lineRule="auto"/>
        <w:ind w:firstLine="0" w:firstLineChars="0"/>
        <w:jc w:val="center"/>
        <w:rPr>
          <w:rFonts w:hint="eastAsia" w:ascii="书宋-简" w:hAnsi="书宋-简" w:eastAsia="书宋-简" w:cs="书宋-简"/>
          <w:b/>
          <w:bCs/>
        </w:rPr>
      </w:pPr>
    </w:p>
    <w:p w14:paraId="6A715DB6">
      <w:pPr>
        <w:pStyle w:val="4"/>
        <w:pageBreakBefore w:val="0"/>
        <w:numPr>
          <w:ilvl w:val="0"/>
          <w:numId w:val="3"/>
        </w:numPr>
        <w:wordWrap/>
        <w:topLinePunct w:val="0"/>
        <w:bidi w:val="0"/>
        <w:spacing w:line="288" w:lineRule="auto"/>
        <w:ind w:firstLine="0" w:firstLineChars="0"/>
        <w:jc w:val="left"/>
        <w:rPr>
          <w:rFonts w:hint="eastAsia" w:ascii="书宋-简" w:hAnsi="书宋-简" w:eastAsia="书宋-简" w:cs="书宋-简"/>
          <w:woUserID w:val="1"/>
        </w:rPr>
      </w:pPr>
      <w:r>
        <w:rPr>
          <w:rFonts w:hint="eastAsia" w:ascii="书宋-简" w:hAnsi="书宋-简" w:eastAsia="书宋-简" w:cs="书宋-简"/>
          <w:woUserID w:val="1"/>
        </w:rPr>
        <w:t>运维服务要求</w:t>
      </w:r>
    </w:p>
    <w:tbl>
      <w:tblPr>
        <w:tblStyle w:val="4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7"/>
        <w:gridCol w:w="1518"/>
        <w:gridCol w:w="6394"/>
      </w:tblGrid>
      <w:tr w14:paraId="118F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356" w:type="pct"/>
            <w:tcBorders>
              <w:top w:val="single" w:color="auto" w:sz="8" w:space="0"/>
              <w:left w:val="single" w:color="auto" w:sz="8" w:space="0"/>
              <w:bottom w:val="single" w:color="auto" w:sz="8" w:space="0"/>
              <w:right w:val="single" w:color="auto" w:sz="8" w:space="0"/>
            </w:tcBorders>
            <w:shd w:val="clear" w:color="auto" w:fill="auto"/>
            <w:vAlign w:val="center"/>
          </w:tcPr>
          <w:p w14:paraId="32139312">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b/>
                <w:bCs/>
                <w:i w:val="0"/>
                <w:iCs w:val="0"/>
                <w:color w:val="000000"/>
                <w:sz w:val="20"/>
                <w:szCs w:val="20"/>
                <w:u w:val="none"/>
                <w:woUserID w:val="1"/>
              </w:rPr>
            </w:pPr>
            <w:r>
              <w:rPr>
                <w:rFonts w:hint="eastAsia" w:ascii="书宋-简" w:hAnsi="书宋-简" w:eastAsia="书宋-简" w:cs="书宋-简"/>
                <w:b/>
                <w:bCs/>
                <w:i w:val="0"/>
                <w:iCs w:val="0"/>
                <w:color w:val="000000"/>
                <w:kern w:val="0"/>
                <w:sz w:val="20"/>
                <w:szCs w:val="20"/>
                <w:u w:val="none"/>
                <w:lang w:val="en-US" w:eastAsia="zh-CN" w:bidi="ar"/>
                <w:woUserID w:val="1"/>
              </w:rPr>
              <w:t>序号</w:t>
            </w:r>
          </w:p>
        </w:tc>
        <w:tc>
          <w:tcPr>
            <w:tcW w:w="890" w:type="pct"/>
            <w:tcBorders>
              <w:top w:val="single" w:color="auto" w:sz="8" w:space="0"/>
              <w:left w:val="nil"/>
              <w:bottom w:val="single" w:color="auto" w:sz="8" w:space="0"/>
              <w:right w:val="single" w:color="auto" w:sz="8" w:space="0"/>
            </w:tcBorders>
            <w:shd w:val="clear" w:color="auto" w:fill="auto"/>
            <w:vAlign w:val="center"/>
          </w:tcPr>
          <w:p w14:paraId="390EFB20">
            <w:pPr>
              <w:keepNext w:val="0"/>
              <w:keepLines w:val="0"/>
              <w:pageBreakBefore w:val="0"/>
              <w:widowControl/>
              <w:suppressLineNumbers w:val="0"/>
              <w:wordWrap/>
              <w:topLinePunct w:val="0"/>
              <w:bidi w:val="0"/>
              <w:spacing w:line="288" w:lineRule="auto"/>
              <w:jc w:val="left"/>
              <w:textAlignment w:val="center"/>
              <w:rPr>
                <w:rFonts w:hint="eastAsia" w:ascii="书宋-简" w:hAnsi="书宋-简" w:eastAsia="书宋-简" w:cs="书宋-简"/>
                <w:b/>
                <w:bCs/>
                <w:i w:val="0"/>
                <w:iCs w:val="0"/>
                <w:color w:val="000000"/>
                <w:sz w:val="20"/>
                <w:szCs w:val="20"/>
                <w:u w:val="none"/>
                <w:woUserID w:val="1"/>
              </w:rPr>
            </w:pPr>
            <w:r>
              <w:rPr>
                <w:rFonts w:hint="eastAsia" w:ascii="书宋-简" w:hAnsi="书宋-简" w:eastAsia="书宋-简" w:cs="书宋-简"/>
                <w:b/>
                <w:bCs/>
                <w:i w:val="0"/>
                <w:iCs w:val="0"/>
                <w:color w:val="000000"/>
                <w:kern w:val="0"/>
                <w:sz w:val="20"/>
                <w:szCs w:val="20"/>
                <w:u w:val="none"/>
                <w:lang w:val="en-US" w:eastAsia="zh-CN" w:bidi="ar"/>
                <w:woUserID w:val="1"/>
              </w:rPr>
              <w:t>指标项</w:t>
            </w:r>
          </w:p>
        </w:tc>
        <w:tc>
          <w:tcPr>
            <w:tcW w:w="3752" w:type="pct"/>
            <w:tcBorders>
              <w:top w:val="single" w:color="auto" w:sz="8" w:space="0"/>
              <w:left w:val="nil"/>
              <w:bottom w:val="single" w:color="auto" w:sz="8" w:space="0"/>
              <w:right w:val="single" w:color="auto" w:sz="8" w:space="0"/>
            </w:tcBorders>
            <w:shd w:val="clear" w:color="auto" w:fill="auto"/>
            <w:vAlign w:val="center"/>
          </w:tcPr>
          <w:p w14:paraId="7C35372A">
            <w:pPr>
              <w:keepNext w:val="0"/>
              <w:keepLines w:val="0"/>
              <w:pageBreakBefore w:val="0"/>
              <w:widowControl/>
              <w:suppressLineNumbers w:val="0"/>
              <w:wordWrap/>
              <w:topLinePunct w:val="0"/>
              <w:bidi w:val="0"/>
              <w:spacing w:line="288" w:lineRule="auto"/>
              <w:jc w:val="left"/>
              <w:textAlignment w:val="center"/>
              <w:rPr>
                <w:rFonts w:hint="eastAsia" w:ascii="书宋-简" w:hAnsi="书宋-简" w:eastAsia="书宋-简" w:cs="书宋-简"/>
                <w:b/>
                <w:bCs/>
                <w:i w:val="0"/>
                <w:iCs w:val="0"/>
                <w:color w:val="000000"/>
                <w:sz w:val="20"/>
                <w:szCs w:val="20"/>
                <w:u w:val="none"/>
                <w:woUserID w:val="1"/>
              </w:rPr>
            </w:pPr>
            <w:r>
              <w:rPr>
                <w:rFonts w:hint="eastAsia" w:ascii="书宋-简" w:hAnsi="书宋-简" w:eastAsia="书宋-简" w:cs="书宋-简"/>
                <w:b/>
                <w:bCs/>
                <w:i w:val="0"/>
                <w:iCs w:val="0"/>
                <w:color w:val="000000"/>
                <w:kern w:val="0"/>
                <w:sz w:val="20"/>
                <w:szCs w:val="20"/>
                <w:u w:val="none"/>
                <w:lang w:val="en-US" w:eastAsia="zh-CN" w:bidi="ar"/>
                <w:woUserID w:val="1"/>
              </w:rPr>
              <w:t>指标要求</w:t>
            </w:r>
          </w:p>
        </w:tc>
      </w:tr>
      <w:tr w14:paraId="60572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356" w:type="pct"/>
            <w:tcBorders>
              <w:top w:val="nil"/>
              <w:left w:val="single" w:color="auto" w:sz="8" w:space="0"/>
              <w:bottom w:val="single" w:color="auto" w:sz="8" w:space="0"/>
              <w:right w:val="single" w:color="auto" w:sz="8" w:space="0"/>
            </w:tcBorders>
            <w:shd w:val="clear" w:color="auto" w:fill="auto"/>
            <w:vAlign w:val="center"/>
          </w:tcPr>
          <w:p w14:paraId="6D289AE6">
            <w:pPr>
              <w:keepNext w:val="0"/>
              <w:keepLines w:val="0"/>
              <w:pageBreakBefore w:val="0"/>
              <w:widowControl/>
              <w:suppressLineNumbers w:val="0"/>
              <w:wordWrap/>
              <w:topLinePunct w:val="0"/>
              <w:bidi w:val="0"/>
              <w:spacing w:line="288" w:lineRule="auto"/>
              <w:ind w:left="0" w:leftChars="0" w:firstLine="0" w:firstLineChars="0"/>
              <w:jc w:val="center"/>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1</w:t>
            </w:r>
          </w:p>
        </w:tc>
        <w:tc>
          <w:tcPr>
            <w:tcW w:w="890" w:type="pct"/>
            <w:tcBorders>
              <w:top w:val="nil"/>
              <w:left w:val="nil"/>
              <w:bottom w:val="single" w:color="auto" w:sz="8" w:space="0"/>
              <w:right w:val="single" w:color="auto" w:sz="8" w:space="0"/>
            </w:tcBorders>
            <w:shd w:val="clear" w:color="auto" w:fill="auto"/>
            <w:vAlign w:val="center"/>
          </w:tcPr>
          <w:p w14:paraId="12D249A8">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运维服务期限</w:t>
            </w:r>
          </w:p>
        </w:tc>
        <w:tc>
          <w:tcPr>
            <w:tcW w:w="3752" w:type="pct"/>
            <w:tcBorders>
              <w:top w:val="nil"/>
              <w:left w:val="nil"/>
              <w:bottom w:val="single" w:color="auto" w:sz="8" w:space="0"/>
              <w:right w:val="single" w:color="auto" w:sz="8" w:space="0"/>
            </w:tcBorders>
            <w:shd w:val="clear" w:color="auto" w:fill="auto"/>
            <w:vAlign w:val="center"/>
          </w:tcPr>
          <w:p w14:paraId="53C8B47A">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default" w:ascii="书宋-简" w:hAnsi="书宋-简" w:eastAsia="书宋-简" w:cs="书宋-简"/>
                <w:i w:val="0"/>
                <w:iCs w:val="0"/>
                <w:color w:val="000000"/>
                <w:sz w:val="20"/>
                <w:szCs w:val="20"/>
                <w:u w:val="none"/>
                <w:lang w:val="en-US"/>
                <w:woUserID w:val="1"/>
              </w:rPr>
            </w:pPr>
            <w:r>
              <w:rPr>
                <w:rFonts w:hint="eastAsia" w:ascii="书宋-简" w:hAnsi="书宋-简" w:eastAsia="书宋-简" w:cs="书宋-简"/>
                <w:i w:val="0"/>
                <w:iCs w:val="0"/>
                <w:color w:val="000000"/>
                <w:kern w:val="0"/>
                <w:sz w:val="20"/>
                <w:szCs w:val="20"/>
                <w:u w:val="none"/>
                <w:lang w:val="en-US" w:eastAsia="zh-CN" w:bidi="ar"/>
                <w:woUserID w:val="1"/>
              </w:rPr>
              <w:t>3年（从验收之日起算），按照技术指标要求可选延续2年</w:t>
            </w:r>
          </w:p>
        </w:tc>
      </w:tr>
      <w:tr w14:paraId="40E5C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356" w:type="pct"/>
            <w:tcBorders>
              <w:top w:val="nil"/>
              <w:left w:val="single" w:color="auto" w:sz="8" w:space="0"/>
              <w:bottom w:val="single" w:color="auto" w:sz="8" w:space="0"/>
              <w:right w:val="single" w:color="auto" w:sz="8" w:space="0"/>
            </w:tcBorders>
            <w:shd w:val="clear" w:color="auto" w:fill="auto"/>
            <w:vAlign w:val="center"/>
          </w:tcPr>
          <w:p w14:paraId="5EABB885">
            <w:pPr>
              <w:keepNext w:val="0"/>
              <w:keepLines w:val="0"/>
              <w:pageBreakBefore w:val="0"/>
              <w:widowControl/>
              <w:suppressLineNumbers w:val="0"/>
              <w:wordWrap/>
              <w:topLinePunct w:val="0"/>
              <w:bidi w:val="0"/>
              <w:spacing w:line="288" w:lineRule="auto"/>
              <w:ind w:left="0" w:leftChars="0" w:firstLine="0" w:firstLineChars="0"/>
              <w:jc w:val="center"/>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2</w:t>
            </w:r>
          </w:p>
        </w:tc>
        <w:tc>
          <w:tcPr>
            <w:tcW w:w="890" w:type="pct"/>
            <w:tcBorders>
              <w:top w:val="nil"/>
              <w:left w:val="nil"/>
              <w:bottom w:val="single" w:color="auto" w:sz="8" w:space="0"/>
              <w:right w:val="single" w:color="auto" w:sz="8" w:space="0"/>
            </w:tcBorders>
            <w:shd w:val="clear" w:color="auto" w:fill="auto"/>
            <w:vAlign w:val="center"/>
          </w:tcPr>
          <w:p w14:paraId="230C3BEB">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运维服务范围</w:t>
            </w:r>
          </w:p>
        </w:tc>
        <w:tc>
          <w:tcPr>
            <w:tcW w:w="3752" w:type="pct"/>
            <w:tcBorders>
              <w:top w:val="nil"/>
              <w:left w:val="nil"/>
              <w:bottom w:val="single" w:color="auto" w:sz="8" w:space="0"/>
              <w:right w:val="single" w:color="auto" w:sz="8" w:space="0"/>
            </w:tcBorders>
            <w:shd w:val="clear" w:color="auto" w:fill="auto"/>
            <w:vAlign w:val="center"/>
          </w:tcPr>
          <w:p w14:paraId="617EE8B5">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本项目采购的算网设备及其部件</w:t>
            </w:r>
          </w:p>
        </w:tc>
      </w:tr>
      <w:tr w14:paraId="6F770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50" w:hRule="atLeast"/>
        </w:trPr>
        <w:tc>
          <w:tcPr>
            <w:tcW w:w="356" w:type="pct"/>
            <w:tcBorders>
              <w:top w:val="nil"/>
              <w:left w:val="single" w:color="auto" w:sz="8" w:space="0"/>
              <w:bottom w:val="single" w:color="auto" w:sz="8" w:space="0"/>
              <w:right w:val="single" w:color="auto" w:sz="8" w:space="0"/>
            </w:tcBorders>
            <w:shd w:val="clear" w:color="auto" w:fill="auto"/>
            <w:vAlign w:val="center"/>
          </w:tcPr>
          <w:p w14:paraId="392E18CD">
            <w:pPr>
              <w:keepNext w:val="0"/>
              <w:keepLines w:val="0"/>
              <w:pageBreakBefore w:val="0"/>
              <w:widowControl/>
              <w:suppressLineNumbers w:val="0"/>
              <w:wordWrap/>
              <w:topLinePunct w:val="0"/>
              <w:bidi w:val="0"/>
              <w:spacing w:line="288" w:lineRule="auto"/>
              <w:ind w:left="0" w:leftChars="0" w:firstLine="0" w:firstLineChars="0"/>
              <w:jc w:val="center"/>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3</w:t>
            </w:r>
          </w:p>
        </w:tc>
        <w:tc>
          <w:tcPr>
            <w:tcW w:w="890" w:type="pct"/>
            <w:tcBorders>
              <w:top w:val="nil"/>
              <w:left w:val="nil"/>
              <w:bottom w:val="single" w:color="auto" w:sz="8" w:space="0"/>
              <w:right w:val="single" w:color="auto" w:sz="8" w:space="0"/>
            </w:tcBorders>
            <w:shd w:val="clear" w:color="auto" w:fill="auto"/>
            <w:vAlign w:val="center"/>
          </w:tcPr>
          <w:p w14:paraId="6BABA076">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运维团队</w:t>
            </w:r>
          </w:p>
        </w:tc>
        <w:tc>
          <w:tcPr>
            <w:tcW w:w="3752" w:type="pct"/>
            <w:tcBorders>
              <w:top w:val="nil"/>
              <w:left w:val="nil"/>
              <w:bottom w:val="single" w:color="auto" w:sz="8" w:space="0"/>
              <w:right w:val="single" w:color="auto" w:sz="8" w:space="0"/>
            </w:tcBorders>
            <w:shd w:val="clear" w:color="auto" w:fill="auto"/>
            <w:vAlign w:val="center"/>
          </w:tcPr>
          <w:p w14:paraId="3A7BD029">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本项目建成后，需要组建专业的现场运维团队，要求提供至少1人的专业运维服务管理，以及组建每千卡不少于3人的现场专业运维团队，其中包含计算运维工程师不少于2人，网络运维工程师不少于1人。</w:t>
            </w:r>
          </w:p>
        </w:tc>
      </w:tr>
      <w:tr w14:paraId="1ADA2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740" w:hRule="atLeast"/>
        </w:trPr>
        <w:tc>
          <w:tcPr>
            <w:tcW w:w="356" w:type="pct"/>
            <w:tcBorders>
              <w:top w:val="nil"/>
              <w:left w:val="single" w:color="auto" w:sz="8" w:space="0"/>
              <w:bottom w:val="single" w:color="auto" w:sz="8" w:space="0"/>
              <w:right w:val="single" w:color="auto" w:sz="8" w:space="0"/>
            </w:tcBorders>
            <w:shd w:val="clear" w:color="auto" w:fill="auto"/>
            <w:vAlign w:val="center"/>
          </w:tcPr>
          <w:p w14:paraId="57829893">
            <w:pPr>
              <w:keepNext w:val="0"/>
              <w:keepLines w:val="0"/>
              <w:pageBreakBefore w:val="0"/>
              <w:widowControl/>
              <w:suppressLineNumbers w:val="0"/>
              <w:wordWrap/>
              <w:topLinePunct w:val="0"/>
              <w:bidi w:val="0"/>
              <w:spacing w:line="288" w:lineRule="auto"/>
              <w:ind w:left="0" w:leftChars="0" w:firstLine="0" w:firstLineChars="0"/>
              <w:jc w:val="center"/>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4</w:t>
            </w:r>
          </w:p>
        </w:tc>
        <w:tc>
          <w:tcPr>
            <w:tcW w:w="890" w:type="pct"/>
            <w:tcBorders>
              <w:top w:val="nil"/>
              <w:left w:val="nil"/>
              <w:bottom w:val="single" w:color="auto" w:sz="8" w:space="0"/>
              <w:right w:val="single" w:color="auto" w:sz="8" w:space="0"/>
            </w:tcBorders>
            <w:shd w:val="clear" w:color="auto" w:fill="auto"/>
            <w:vAlign w:val="center"/>
          </w:tcPr>
          <w:p w14:paraId="57254657">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故障排除时限要求</w:t>
            </w:r>
          </w:p>
        </w:tc>
        <w:tc>
          <w:tcPr>
            <w:tcW w:w="3752" w:type="pct"/>
            <w:tcBorders>
              <w:top w:val="nil"/>
              <w:left w:val="nil"/>
              <w:bottom w:val="single" w:color="auto" w:sz="8" w:space="0"/>
              <w:right w:val="single" w:color="auto" w:sz="8" w:space="0"/>
            </w:tcBorders>
            <w:shd w:val="clear" w:color="auto" w:fill="auto"/>
            <w:vAlign w:val="center"/>
          </w:tcPr>
          <w:p w14:paraId="249D77E6">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根据故障对业务的影响程度对故障问题分级定位，</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1.对严重故障响应时长不长于5min，定位定界时长不长于2h，业务恢复时间不长于4h；</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2.对主要故障响应时长不长于15min，定位定界时长不长于4h，业务恢复时间不长于8h；</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3.对不影响业务或对业务影响较小的非紧急故障，应保证及时尽快处理，故障恢复时长不长于72h。</w:t>
            </w:r>
          </w:p>
        </w:tc>
      </w:tr>
      <w:tr w14:paraId="617BB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73" w:hRule="atLeast"/>
        </w:trPr>
        <w:tc>
          <w:tcPr>
            <w:tcW w:w="356" w:type="pct"/>
            <w:tcBorders>
              <w:top w:val="nil"/>
              <w:left w:val="single" w:color="auto" w:sz="8" w:space="0"/>
              <w:bottom w:val="single" w:color="auto" w:sz="8" w:space="0"/>
              <w:right w:val="single" w:color="auto" w:sz="8" w:space="0"/>
            </w:tcBorders>
            <w:shd w:val="clear" w:color="auto" w:fill="auto"/>
            <w:vAlign w:val="center"/>
          </w:tcPr>
          <w:p w14:paraId="38268CE8">
            <w:pPr>
              <w:keepNext w:val="0"/>
              <w:keepLines w:val="0"/>
              <w:pageBreakBefore w:val="0"/>
              <w:widowControl/>
              <w:suppressLineNumbers w:val="0"/>
              <w:wordWrap/>
              <w:topLinePunct w:val="0"/>
              <w:bidi w:val="0"/>
              <w:spacing w:line="288" w:lineRule="auto"/>
              <w:ind w:left="0" w:leftChars="0" w:firstLine="0" w:firstLineChars="0"/>
              <w:jc w:val="center"/>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5</w:t>
            </w:r>
          </w:p>
        </w:tc>
        <w:tc>
          <w:tcPr>
            <w:tcW w:w="890" w:type="pct"/>
            <w:tcBorders>
              <w:top w:val="nil"/>
              <w:left w:val="nil"/>
              <w:bottom w:val="single" w:color="auto" w:sz="8" w:space="0"/>
              <w:right w:val="single" w:color="auto" w:sz="8" w:space="0"/>
            </w:tcBorders>
            <w:shd w:val="clear" w:color="auto" w:fill="auto"/>
            <w:vAlign w:val="center"/>
          </w:tcPr>
          <w:p w14:paraId="707B1EE8">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基础运维要求</w:t>
            </w:r>
          </w:p>
        </w:tc>
        <w:tc>
          <w:tcPr>
            <w:tcW w:w="3752" w:type="pct"/>
            <w:tcBorders>
              <w:top w:val="nil"/>
              <w:left w:val="nil"/>
              <w:bottom w:val="single" w:color="auto" w:sz="8" w:space="0"/>
              <w:right w:val="single" w:color="auto" w:sz="8" w:space="0"/>
            </w:tcBorders>
            <w:shd w:val="clear" w:color="auto" w:fill="auto"/>
            <w:vAlign w:val="center"/>
          </w:tcPr>
          <w:p w14:paraId="51FF74C1">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1.日常巡检：投标方必须按每周、每月、每半年为频率进行日常巡检（必要时进行每日巡检）并提供对应的巡检报告，每半年提供一次总体服务报告（含优化方案），并根据每一次重大故障和故障原因、解决方法、完成情况等形成专报，报送用户单位。报告包括但不限于以下几方面：</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（1）日常维护报告</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（2）故障分析处理记录</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（3）故障整改方案和建议</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（4）重大故障记录报告</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（5）硬件设备巡检报告</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2.变更处置：对智算中心现网进行计划性运行维护类的产品配置修改、网络调整、故障处置操作，要求在变更前做好变更准备，并制定相对应的《变更方案》，经评审后严格按照方案进行变更操作，并在变更结束后提供《变更实施报告》。此外要求变更申请受理及时率 &gt; 90%（常规变更4小时内、紧急变更1小时内完成受理）</w:t>
            </w:r>
          </w:p>
        </w:tc>
      </w:tr>
      <w:tr w14:paraId="422DF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73" w:hRule="atLeast"/>
        </w:trPr>
        <w:tc>
          <w:tcPr>
            <w:tcW w:w="356" w:type="pct"/>
            <w:tcBorders>
              <w:top w:val="nil"/>
              <w:left w:val="single" w:color="auto" w:sz="8" w:space="0"/>
              <w:bottom w:val="single" w:color="auto" w:sz="8" w:space="0"/>
              <w:right w:val="single" w:color="auto" w:sz="8" w:space="0"/>
            </w:tcBorders>
            <w:shd w:val="clear" w:color="auto" w:fill="auto"/>
            <w:vAlign w:val="center"/>
          </w:tcPr>
          <w:p w14:paraId="05D49633">
            <w:pPr>
              <w:keepNext w:val="0"/>
              <w:keepLines w:val="0"/>
              <w:pageBreakBefore w:val="0"/>
              <w:widowControl/>
              <w:suppressLineNumbers w:val="0"/>
              <w:wordWrap/>
              <w:topLinePunct w:val="0"/>
              <w:bidi w:val="0"/>
              <w:spacing w:line="288" w:lineRule="auto"/>
              <w:ind w:left="0" w:leftChars="0" w:firstLine="0" w:firstLineChars="0"/>
              <w:jc w:val="center"/>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6</w:t>
            </w:r>
          </w:p>
        </w:tc>
        <w:tc>
          <w:tcPr>
            <w:tcW w:w="890" w:type="pct"/>
            <w:tcBorders>
              <w:top w:val="nil"/>
              <w:left w:val="nil"/>
              <w:bottom w:val="single" w:color="auto" w:sz="8" w:space="0"/>
              <w:right w:val="single" w:color="auto" w:sz="8" w:space="0"/>
            </w:tcBorders>
            <w:shd w:val="clear" w:color="auto" w:fill="auto"/>
            <w:vAlign w:val="center"/>
          </w:tcPr>
          <w:p w14:paraId="2E1D7C5D">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运维管理要求</w:t>
            </w:r>
          </w:p>
        </w:tc>
        <w:tc>
          <w:tcPr>
            <w:tcW w:w="3752" w:type="pct"/>
            <w:tcBorders>
              <w:top w:val="nil"/>
              <w:left w:val="nil"/>
              <w:bottom w:val="single" w:color="auto" w:sz="8" w:space="0"/>
              <w:right w:val="single" w:color="auto" w:sz="8" w:space="0"/>
            </w:tcBorders>
            <w:shd w:val="clear" w:color="auto" w:fill="auto"/>
            <w:vAlign w:val="center"/>
          </w:tcPr>
          <w:p w14:paraId="40C59AC8">
            <w:pPr>
              <w:keepNext w:val="0"/>
              <w:keepLines w:val="0"/>
              <w:pageBreakBefore w:val="0"/>
              <w:widowControl/>
              <w:suppressLineNumbers w:val="0"/>
              <w:wordWrap/>
              <w:topLinePunct w:val="0"/>
              <w:bidi w:val="0"/>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lang w:val="en-US"/>
                <w:woUserID w:val="1"/>
              </w:rPr>
            </w:pPr>
            <w:r>
              <w:rPr>
                <w:rFonts w:hint="eastAsia" w:ascii="书宋-简" w:hAnsi="书宋-简" w:eastAsia="书宋-简" w:cs="书宋-简"/>
                <w:i w:val="0"/>
                <w:iCs w:val="0"/>
                <w:color w:val="000000"/>
                <w:kern w:val="0"/>
                <w:sz w:val="20"/>
                <w:szCs w:val="20"/>
                <w:u w:val="none"/>
                <w:lang w:val="en-US" w:eastAsia="zh-CN" w:bidi="ar"/>
                <w:woUserID w:val="1"/>
              </w:rPr>
              <w:t>1.对各项运维流程进行评估、审核、修订、发布、归档等规范化操作，推动运维流程的规范化实施落地，并将规范化的操作总结为流程体系，建立《服务请求管理流程》《事故处理流程》等专业化流程。</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2.针对AI集群运行过程中服务意外中断或服务质量降低、客户投诉处理进行管理。根据商定的分类确定事件的优先级，以确保首先解决业务影响最大的事件。明确各团队职责、技术要求、处理时限，达到缩短故障和投诉处理历时、提高处理及时率、快速恢复业务、保障系统正常运行的目的。要求运维小组定期提供《智算运维服务报告》、《运维质量改进方案实施报告》。</w:t>
            </w:r>
            <w:r>
              <w:rPr>
                <w:rFonts w:hint="eastAsia" w:ascii="书宋-简" w:hAnsi="书宋-简" w:eastAsia="书宋-简" w:cs="书宋-简"/>
                <w:i w:val="0"/>
                <w:iCs w:val="0"/>
                <w:color w:val="000000"/>
                <w:kern w:val="0"/>
                <w:sz w:val="20"/>
                <w:szCs w:val="20"/>
                <w:u w:val="none"/>
                <w:lang w:val="en-US" w:eastAsia="zh-CN" w:bidi="ar"/>
                <w:woUserID w:val="1"/>
              </w:rPr>
              <w:br w:type="textWrapping"/>
            </w:r>
            <w:r>
              <w:rPr>
                <w:rFonts w:hint="eastAsia" w:ascii="书宋-简" w:hAnsi="书宋-简" w:eastAsia="书宋-简" w:cs="书宋-简"/>
                <w:i w:val="0"/>
                <w:iCs w:val="0"/>
                <w:color w:val="000000"/>
                <w:kern w:val="0"/>
                <w:sz w:val="20"/>
                <w:szCs w:val="20"/>
                <w:u w:val="none"/>
                <w:lang w:val="en-US" w:eastAsia="zh-CN" w:bidi="ar"/>
                <w:woUserID w:val="1"/>
              </w:rPr>
              <w:t>3.针对已经发生的严重或重要故障，在处理完成后应及时将其总结反思，并将其归纳进知识库，保障相同故障不重复发生影响业务。</w:t>
            </w:r>
          </w:p>
        </w:tc>
      </w:tr>
    </w:tbl>
    <w:p w14:paraId="323E6DE2">
      <w:pPr>
        <w:pageBreakBefore w:val="0"/>
        <w:wordWrap/>
        <w:topLinePunct w:val="0"/>
        <w:bidi w:val="0"/>
        <w:spacing w:line="288" w:lineRule="auto"/>
        <w:rPr>
          <w:rFonts w:hint="eastAsia" w:ascii="书宋-简" w:hAnsi="书宋-简" w:eastAsia="书宋-简" w:cs="书宋-简"/>
        </w:rPr>
      </w:pPr>
    </w:p>
    <w:p w14:paraId="0BFA0569">
      <w:pPr>
        <w:pStyle w:val="4"/>
        <w:pageBreakBefore w:val="0"/>
        <w:numPr>
          <w:ilvl w:val="0"/>
          <w:numId w:val="3"/>
        </w:numPr>
        <w:wordWrap/>
        <w:topLinePunct w:val="0"/>
        <w:bidi w:val="0"/>
        <w:spacing w:line="288" w:lineRule="auto"/>
        <w:ind w:firstLine="0" w:firstLineChars="0"/>
        <w:jc w:val="left"/>
        <w:rPr>
          <w:rFonts w:hint="eastAsia" w:ascii="书宋-简" w:hAnsi="书宋-简" w:eastAsia="书宋-简" w:cs="书宋-简"/>
          <w:woUserID w:val="1"/>
        </w:rPr>
      </w:pPr>
      <w:r>
        <w:rPr>
          <w:rFonts w:hint="eastAsia" w:ascii="书宋-简" w:hAnsi="书宋-简" w:eastAsia="书宋-简" w:cs="书宋-简"/>
          <w:woUserID w:val="1"/>
        </w:rPr>
        <w:t>AI使能服务要求</w:t>
      </w:r>
    </w:p>
    <w:tbl>
      <w:tblPr>
        <w:tblStyle w:val="4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5"/>
        <w:gridCol w:w="1411"/>
        <w:gridCol w:w="6473"/>
      </w:tblGrid>
      <w:tr w14:paraId="6138B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373" w:type="pct"/>
            <w:tcBorders>
              <w:top w:val="single" w:color="auto" w:sz="8" w:space="0"/>
              <w:left w:val="single" w:color="auto" w:sz="8" w:space="0"/>
              <w:bottom w:val="single" w:color="auto" w:sz="8" w:space="0"/>
              <w:right w:val="single" w:color="auto" w:sz="8" w:space="0"/>
            </w:tcBorders>
            <w:shd w:val="clear" w:color="auto" w:fill="auto"/>
            <w:vAlign w:val="center"/>
          </w:tcPr>
          <w:p w14:paraId="76848C91">
            <w:pPr>
              <w:keepNext w:val="0"/>
              <w:keepLines w:val="0"/>
              <w:pageBreakBefore w:val="0"/>
              <w:widowControl/>
              <w:suppressLineNumbers w:val="0"/>
              <w:kinsoku/>
              <w:wordWrap/>
              <w:overflowPunct/>
              <w:topLinePunct w:val="0"/>
              <w:autoSpaceDE/>
              <w:autoSpaceDN/>
              <w:bidi w:val="0"/>
              <w:adjustRightInd/>
              <w:snapToGrid/>
              <w:spacing w:line="288" w:lineRule="auto"/>
              <w:ind w:left="0" w:leftChars="0" w:firstLine="0" w:firstLineChars="0"/>
              <w:jc w:val="both"/>
              <w:textAlignment w:val="center"/>
              <w:rPr>
                <w:rFonts w:hint="eastAsia" w:ascii="书宋-简" w:hAnsi="书宋-简" w:eastAsia="书宋-简" w:cs="书宋-简"/>
                <w:b/>
                <w:bCs/>
                <w:i w:val="0"/>
                <w:iCs w:val="0"/>
                <w:color w:val="000000"/>
                <w:sz w:val="20"/>
                <w:szCs w:val="20"/>
                <w:u w:val="none"/>
                <w:woUserID w:val="1"/>
              </w:rPr>
            </w:pPr>
            <w:r>
              <w:rPr>
                <w:rFonts w:hint="eastAsia" w:ascii="书宋-简" w:hAnsi="书宋-简" w:eastAsia="书宋-简" w:cs="书宋-简"/>
                <w:b/>
                <w:bCs/>
                <w:i w:val="0"/>
                <w:iCs w:val="0"/>
                <w:color w:val="000000"/>
                <w:kern w:val="0"/>
                <w:sz w:val="20"/>
                <w:szCs w:val="20"/>
                <w:u w:val="none"/>
                <w:lang w:val="en-US" w:eastAsia="zh-CN" w:bidi="ar"/>
                <w:woUserID w:val="1"/>
              </w:rPr>
              <w:t>序号</w:t>
            </w:r>
          </w:p>
        </w:tc>
        <w:tc>
          <w:tcPr>
            <w:tcW w:w="828" w:type="pct"/>
            <w:tcBorders>
              <w:top w:val="single" w:color="auto" w:sz="8" w:space="0"/>
              <w:left w:val="nil"/>
              <w:bottom w:val="single" w:color="auto" w:sz="8" w:space="0"/>
              <w:right w:val="single" w:color="auto" w:sz="8" w:space="0"/>
            </w:tcBorders>
            <w:shd w:val="clear" w:color="auto" w:fill="auto"/>
            <w:vAlign w:val="center"/>
          </w:tcPr>
          <w:p w14:paraId="6C908653">
            <w:pPr>
              <w:keepNext w:val="0"/>
              <w:keepLines w:val="0"/>
              <w:pageBreakBefore w:val="0"/>
              <w:widowControl/>
              <w:suppressLineNumbers w:val="0"/>
              <w:kinsoku/>
              <w:wordWrap/>
              <w:overflowPunct/>
              <w:topLinePunct w:val="0"/>
              <w:autoSpaceDE/>
              <w:autoSpaceDN/>
              <w:bidi w:val="0"/>
              <w:adjustRightInd/>
              <w:snapToGrid/>
              <w:spacing w:line="288" w:lineRule="auto"/>
              <w:ind w:left="0" w:leftChars="0" w:firstLine="0" w:firstLineChars="0"/>
              <w:jc w:val="center"/>
              <w:textAlignment w:val="center"/>
              <w:rPr>
                <w:rFonts w:hint="eastAsia" w:ascii="书宋-简" w:hAnsi="书宋-简" w:eastAsia="书宋-简" w:cs="书宋-简"/>
                <w:b/>
                <w:bCs/>
                <w:i w:val="0"/>
                <w:iCs w:val="0"/>
                <w:color w:val="000000"/>
                <w:sz w:val="20"/>
                <w:szCs w:val="20"/>
                <w:u w:val="none"/>
                <w:woUserID w:val="1"/>
              </w:rPr>
            </w:pPr>
            <w:r>
              <w:rPr>
                <w:rFonts w:hint="eastAsia" w:ascii="书宋-简" w:hAnsi="书宋-简" w:eastAsia="书宋-简" w:cs="书宋-简"/>
                <w:b/>
                <w:bCs/>
                <w:i w:val="0"/>
                <w:iCs w:val="0"/>
                <w:color w:val="000000"/>
                <w:kern w:val="0"/>
                <w:sz w:val="20"/>
                <w:szCs w:val="20"/>
                <w:u w:val="none"/>
                <w:lang w:val="en-US" w:eastAsia="zh-CN" w:bidi="ar"/>
                <w:woUserID w:val="1"/>
              </w:rPr>
              <w:t>指标项</w:t>
            </w:r>
          </w:p>
        </w:tc>
        <w:tc>
          <w:tcPr>
            <w:tcW w:w="3798" w:type="pct"/>
            <w:tcBorders>
              <w:top w:val="single" w:color="auto" w:sz="8" w:space="0"/>
              <w:left w:val="nil"/>
              <w:bottom w:val="single" w:color="auto" w:sz="8" w:space="0"/>
              <w:right w:val="single" w:color="auto" w:sz="8" w:space="0"/>
            </w:tcBorders>
            <w:shd w:val="clear" w:color="auto" w:fill="auto"/>
            <w:vAlign w:val="center"/>
          </w:tcPr>
          <w:p w14:paraId="26A3D0F8">
            <w:pPr>
              <w:keepNext w:val="0"/>
              <w:keepLines w:val="0"/>
              <w:pageBreakBefore w:val="0"/>
              <w:widowControl/>
              <w:suppressLineNumbers w:val="0"/>
              <w:kinsoku/>
              <w:wordWrap/>
              <w:overflowPunct/>
              <w:topLinePunct w:val="0"/>
              <w:autoSpaceDE/>
              <w:autoSpaceDN/>
              <w:bidi w:val="0"/>
              <w:adjustRightInd/>
              <w:snapToGrid/>
              <w:spacing w:line="288" w:lineRule="auto"/>
              <w:ind w:left="0" w:leftChars="0" w:firstLine="0" w:firstLineChars="0"/>
              <w:jc w:val="center"/>
              <w:textAlignment w:val="center"/>
              <w:rPr>
                <w:rFonts w:hint="eastAsia" w:ascii="书宋-简" w:hAnsi="书宋-简" w:eastAsia="书宋-简" w:cs="书宋-简"/>
                <w:b/>
                <w:bCs/>
                <w:i w:val="0"/>
                <w:iCs w:val="0"/>
                <w:color w:val="000000"/>
                <w:sz w:val="20"/>
                <w:szCs w:val="20"/>
                <w:u w:val="none"/>
                <w:woUserID w:val="1"/>
              </w:rPr>
            </w:pPr>
            <w:r>
              <w:rPr>
                <w:rFonts w:hint="eastAsia" w:ascii="书宋-简" w:hAnsi="书宋-简" w:eastAsia="书宋-简" w:cs="书宋-简"/>
                <w:b/>
                <w:bCs/>
                <w:i w:val="0"/>
                <w:iCs w:val="0"/>
                <w:color w:val="000000"/>
                <w:kern w:val="0"/>
                <w:sz w:val="20"/>
                <w:szCs w:val="20"/>
                <w:u w:val="none"/>
                <w:lang w:val="en-US" w:eastAsia="zh-CN" w:bidi="ar"/>
                <w:woUserID w:val="1"/>
              </w:rPr>
              <w:t>指标要求</w:t>
            </w:r>
          </w:p>
        </w:tc>
      </w:tr>
      <w:tr w14:paraId="29BD7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373" w:type="pct"/>
            <w:tcBorders>
              <w:top w:val="nil"/>
              <w:left w:val="single" w:color="auto" w:sz="8" w:space="0"/>
              <w:bottom w:val="single" w:color="auto" w:sz="8" w:space="0"/>
              <w:right w:val="single" w:color="auto" w:sz="8" w:space="0"/>
            </w:tcBorders>
            <w:shd w:val="clear" w:color="auto" w:fill="auto"/>
            <w:vAlign w:val="center"/>
          </w:tcPr>
          <w:p w14:paraId="42B4BFA2">
            <w:pPr>
              <w:keepNext w:val="0"/>
              <w:keepLines w:val="0"/>
              <w:pageBreakBefore w:val="0"/>
              <w:widowControl/>
              <w:suppressLineNumbers w:val="0"/>
              <w:kinsoku/>
              <w:wordWrap/>
              <w:overflowPunct/>
              <w:topLinePunct w:val="0"/>
              <w:autoSpaceDE/>
              <w:autoSpaceDN/>
              <w:bidi w:val="0"/>
              <w:adjustRightInd/>
              <w:snapToGrid/>
              <w:spacing w:line="288" w:lineRule="auto"/>
              <w:ind w:left="0" w:leftChars="0" w:firstLine="0" w:firstLineChars="0"/>
              <w:jc w:val="center"/>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1</w:t>
            </w:r>
          </w:p>
        </w:tc>
        <w:tc>
          <w:tcPr>
            <w:tcW w:w="828" w:type="pct"/>
            <w:tcBorders>
              <w:top w:val="nil"/>
              <w:left w:val="nil"/>
              <w:bottom w:val="single" w:color="auto" w:sz="8" w:space="0"/>
              <w:right w:val="single" w:color="auto" w:sz="8" w:space="0"/>
            </w:tcBorders>
            <w:shd w:val="clear" w:color="auto" w:fill="auto"/>
            <w:vAlign w:val="center"/>
          </w:tcPr>
          <w:p w14:paraId="485091D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服务期限</w:t>
            </w:r>
          </w:p>
        </w:tc>
        <w:tc>
          <w:tcPr>
            <w:tcW w:w="3798" w:type="pct"/>
            <w:tcBorders>
              <w:top w:val="nil"/>
              <w:left w:val="nil"/>
              <w:bottom w:val="single" w:color="auto" w:sz="8" w:space="0"/>
              <w:right w:val="single" w:color="auto" w:sz="8" w:space="0"/>
            </w:tcBorders>
            <w:shd w:val="clear" w:color="auto" w:fill="auto"/>
            <w:vAlign w:val="center"/>
          </w:tcPr>
          <w:p w14:paraId="5C691021">
            <w:pPr>
              <w:keepNext w:val="0"/>
              <w:keepLines w:val="0"/>
              <w:pageBreakBefore w:val="0"/>
              <w:widowControl/>
              <w:suppressLineNumbers w:val="0"/>
              <w:kinsoku/>
              <w:wordWrap/>
              <w:overflowPunct/>
              <w:topLinePunct w:val="0"/>
              <w:autoSpaceDE/>
              <w:autoSpaceDN/>
              <w:bidi w:val="0"/>
              <w:adjustRightInd/>
              <w:snapToGrid/>
              <w:spacing w:line="288" w:lineRule="auto"/>
              <w:ind w:left="0" w:leftChars="0"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3年（从验收之日起算），按照技术指标要求可选延续2年</w:t>
            </w:r>
          </w:p>
        </w:tc>
      </w:tr>
      <w:tr w14:paraId="65F1D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740" w:hRule="atLeast"/>
        </w:trPr>
        <w:tc>
          <w:tcPr>
            <w:tcW w:w="373" w:type="pct"/>
            <w:tcBorders>
              <w:top w:val="nil"/>
              <w:left w:val="single" w:color="auto" w:sz="8" w:space="0"/>
              <w:bottom w:val="single" w:color="auto" w:sz="8" w:space="0"/>
              <w:right w:val="single" w:color="auto" w:sz="8" w:space="0"/>
            </w:tcBorders>
            <w:shd w:val="clear" w:color="auto" w:fill="auto"/>
            <w:vAlign w:val="center"/>
          </w:tcPr>
          <w:p w14:paraId="526704F5">
            <w:pPr>
              <w:keepNext w:val="0"/>
              <w:keepLines w:val="0"/>
              <w:pageBreakBefore w:val="0"/>
              <w:widowControl/>
              <w:suppressLineNumbers w:val="0"/>
              <w:kinsoku/>
              <w:wordWrap/>
              <w:overflowPunct/>
              <w:topLinePunct w:val="0"/>
              <w:autoSpaceDE/>
              <w:autoSpaceDN/>
              <w:bidi w:val="0"/>
              <w:adjustRightInd/>
              <w:snapToGrid/>
              <w:spacing w:line="288" w:lineRule="auto"/>
              <w:ind w:left="0" w:leftChars="0" w:firstLine="0" w:firstLineChars="0"/>
              <w:jc w:val="center"/>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2</w:t>
            </w:r>
          </w:p>
        </w:tc>
        <w:tc>
          <w:tcPr>
            <w:tcW w:w="828" w:type="pct"/>
            <w:tcBorders>
              <w:top w:val="nil"/>
              <w:left w:val="nil"/>
              <w:bottom w:val="single" w:color="auto" w:sz="8" w:space="0"/>
              <w:right w:val="single" w:color="auto" w:sz="8" w:space="0"/>
            </w:tcBorders>
            <w:shd w:val="clear" w:color="auto" w:fill="auto"/>
            <w:vAlign w:val="center"/>
          </w:tcPr>
          <w:p w14:paraId="410B1C9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服务内容</w:t>
            </w:r>
          </w:p>
        </w:tc>
        <w:tc>
          <w:tcPr>
            <w:tcW w:w="3798" w:type="pct"/>
            <w:tcBorders>
              <w:top w:val="nil"/>
              <w:left w:val="nil"/>
              <w:bottom w:val="single" w:color="auto" w:sz="8" w:space="0"/>
              <w:right w:val="single" w:color="auto" w:sz="8" w:space="0"/>
            </w:tcBorders>
            <w:shd w:val="clear" w:color="auto" w:fill="auto"/>
            <w:vAlign w:val="center"/>
          </w:tcPr>
          <w:p w14:paraId="3D23CF78">
            <w:pPr>
              <w:keepNext w:val="0"/>
              <w:keepLines w:val="0"/>
              <w:pageBreakBefore w:val="0"/>
              <w:widowControl/>
              <w:numPr>
                <w:ilvl w:val="0"/>
                <w:numId w:val="0"/>
              </w:numPr>
              <w:suppressLineNumbers w:val="0"/>
              <w:kinsoku/>
              <w:wordWrap/>
              <w:overflowPunct/>
              <w:topLinePunct w:val="0"/>
              <w:autoSpaceDE/>
              <w:autoSpaceDN/>
              <w:bidi w:val="0"/>
              <w:adjustRightInd/>
              <w:snapToGrid/>
              <w:spacing w:line="288" w:lineRule="auto"/>
              <w:ind w:leftChars="0"/>
              <w:jc w:val="left"/>
              <w:textAlignment w:val="center"/>
              <w:rPr>
                <w:rFonts w:hint="eastAsia" w:ascii="书宋-简" w:hAnsi="书宋-简" w:eastAsia="书宋-简" w:cs="书宋-简"/>
                <w:sz w:val="22"/>
                <w:szCs w:val="28"/>
              </w:rPr>
            </w:pPr>
            <w:r>
              <w:rPr>
                <w:rFonts w:hint="eastAsia" w:ascii="书宋-简" w:hAnsi="书宋-简" w:eastAsia="书宋-简" w:cs="书宋-简"/>
                <w:i w:val="0"/>
                <w:iCs w:val="0"/>
                <w:color w:val="000000"/>
                <w:kern w:val="0"/>
                <w:sz w:val="20"/>
                <w:szCs w:val="20"/>
                <w:u w:val="none"/>
                <w:lang w:eastAsia="zh-CN" w:bidi="ar"/>
                <w:woUserID w:val="1"/>
              </w:rPr>
              <w:t>基于本项目建设的软硬件计算平台，针对对应的算力设备已适配的模型，支持建设方完成模型运行环境的构建和模型部署。提供智算硬件兼容的软件栈的使用咨询建议与API使用指导，提供建设方使用智算硬件兼容的组件进行开发和调试过程中的技术支持。针对客户需求和项目诉求。针对算力设备未适配的模型，支持建设方进行模型的迁移可行性分析与迁移方案制定，支持算力使用方通过迁移工具+手动迁移，将其他人工智能平台的模型脚本迁移至本次项目建设的算力设备。</w:t>
            </w:r>
          </w:p>
        </w:tc>
      </w:tr>
      <w:tr w14:paraId="3C447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235" w:hRule="atLeast"/>
        </w:trPr>
        <w:tc>
          <w:tcPr>
            <w:tcW w:w="373" w:type="pct"/>
            <w:tcBorders>
              <w:top w:val="nil"/>
              <w:left w:val="single" w:color="auto" w:sz="8" w:space="0"/>
              <w:bottom w:val="single" w:color="auto" w:sz="8" w:space="0"/>
              <w:right w:val="single" w:color="auto" w:sz="8" w:space="0"/>
            </w:tcBorders>
            <w:shd w:val="clear" w:color="auto" w:fill="auto"/>
            <w:vAlign w:val="center"/>
          </w:tcPr>
          <w:p w14:paraId="31F329A8">
            <w:pPr>
              <w:keepNext w:val="0"/>
              <w:keepLines w:val="0"/>
              <w:pageBreakBefore w:val="0"/>
              <w:widowControl/>
              <w:suppressLineNumbers w:val="0"/>
              <w:kinsoku/>
              <w:wordWrap/>
              <w:overflowPunct/>
              <w:topLinePunct w:val="0"/>
              <w:autoSpaceDE/>
              <w:autoSpaceDN/>
              <w:bidi w:val="0"/>
              <w:adjustRightInd/>
              <w:snapToGrid/>
              <w:spacing w:line="288" w:lineRule="auto"/>
              <w:ind w:left="0" w:leftChars="0" w:firstLine="0" w:firstLineChars="0"/>
              <w:jc w:val="center"/>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3</w:t>
            </w:r>
          </w:p>
        </w:tc>
        <w:tc>
          <w:tcPr>
            <w:tcW w:w="828" w:type="pct"/>
            <w:tcBorders>
              <w:top w:val="nil"/>
              <w:left w:val="nil"/>
              <w:bottom w:val="single" w:color="auto" w:sz="8" w:space="0"/>
              <w:right w:val="single" w:color="auto" w:sz="8" w:space="0"/>
            </w:tcBorders>
            <w:shd w:val="clear" w:color="auto" w:fill="auto"/>
            <w:vAlign w:val="center"/>
          </w:tcPr>
          <w:p w14:paraId="665C563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woUserID w:val="1"/>
              </w:rPr>
            </w:pPr>
            <w:r>
              <w:rPr>
                <w:rFonts w:hint="eastAsia" w:ascii="书宋-简" w:hAnsi="书宋-简" w:eastAsia="书宋-简" w:cs="书宋-简"/>
                <w:i w:val="0"/>
                <w:iCs w:val="0"/>
                <w:color w:val="000000"/>
                <w:kern w:val="0"/>
                <w:sz w:val="20"/>
                <w:szCs w:val="20"/>
                <w:u w:val="none"/>
                <w:lang w:val="en-US" w:eastAsia="zh-CN" w:bidi="ar"/>
                <w:woUserID w:val="1"/>
              </w:rPr>
              <w:t>服务要求</w:t>
            </w:r>
          </w:p>
        </w:tc>
        <w:tc>
          <w:tcPr>
            <w:tcW w:w="3798" w:type="pct"/>
            <w:tcBorders>
              <w:top w:val="nil"/>
              <w:left w:val="nil"/>
              <w:bottom w:val="single" w:color="auto" w:sz="8" w:space="0"/>
              <w:right w:val="single" w:color="auto" w:sz="8" w:space="0"/>
            </w:tcBorders>
            <w:shd w:val="clear" w:color="auto" w:fill="auto"/>
            <w:vAlign w:val="center"/>
          </w:tcPr>
          <w:p w14:paraId="3D2A28FC">
            <w:pPr>
              <w:keepNext w:val="0"/>
              <w:keepLines w:val="0"/>
              <w:pageBreakBefore w:val="0"/>
              <w:widowControl/>
              <w:numPr>
                <w:ilvl w:val="0"/>
                <w:numId w:val="0"/>
              </w:numPr>
              <w:suppressLineNumbers w:val="0"/>
              <w:kinsoku/>
              <w:wordWrap/>
              <w:overflowPunct/>
              <w:topLinePunct w:val="0"/>
              <w:autoSpaceDE/>
              <w:autoSpaceDN/>
              <w:bidi w:val="0"/>
              <w:adjustRightInd/>
              <w:snapToGrid/>
              <w:spacing w:line="288" w:lineRule="auto"/>
              <w:ind w:leftChars="0"/>
              <w:jc w:val="left"/>
              <w:textAlignment w:val="center"/>
              <w:rPr>
                <w:rFonts w:hint="eastAsia" w:ascii="书宋-简" w:hAnsi="书宋-简" w:eastAsia="书宋-简" w:cs="书宋-简"/>
                <w:i w:val="0"/>
                <w:iCs w:val="0"/>
                <w:color w:val="000000"/>
                <w:kern w:val="0"/>
                <w:sz w:val="20"/>
                <w:szCs w:val="20"/>
                <w:u w:val="none"/>
                <w:lang w:eastAsia="zh-CN" w:bidi="ar"/>
                <w:woUserID w:val="1"/>
              </w:rPr>
            </w:pPr>
            <w:r>
              <w:rPr>
                <w:rFonts w:hint="eastAsia" w:ascii="书宋-简" w:hAnsi="书宋-简" w:eastAsia="书宋-简" w:cs="书宋-简"/>
                <w:i w:val="0"/>
                <w:iCs w:val="0"/>
                <w:color w:val="000000"/>
                <w:kern w:val="0"/>
                <w:sz w:val="20"/>
                <w:szCs w:val="20"/>
                <w:u w:val="none"/>
                <w:lang w:eastAsia="zh-CN" w:bidi="ar"/>
                <w:woUserID w:val="1"/>
              </w:rPr>
              <w:t>根据产品形态和算力使用方需求，选择配套的芯片厂商开发工具链与AI框架，支持算力使用方搭建模型/应用的运行环境；支持算力使用方使用IDE连接AI硬件资源，搭建代码开发、调试环境。</w:t>
            </w:r>
          </w:p>
          <w:p w14:paraId="3513602D">
            <w:pPr>
              <w:keepNext w:val="0"/>
              <w:keepLines w:val="0"/>
              <w:pageBreakBefore w:val="0"/>
              <w:widowControl/>
              <w:numPr>
                <w:ilvl w:val="0"/>
                <w:numId w:val="0"/>
              </w:numPr>
              <w:suppressLineNumbers w:val="0"/>
              <w:kinsoku/>
              <w:wordWrap/>
              <w:overflowPunct/>
              <w:topLinePunct w:val="0"/>
              <w:autoSpaceDE/>
              <w:autoSpaceDN/>
              <w:bidi w:val="0"/>
              <w:adjustRightInd/>
              <w:snapToGrid/>
              <w:spacing w:line="288" w:lineRule="auto"/>
              <w:ind w:leftChars="0"/>
              <w:jc w:val="left"/>
              <w:textAlignment w:val="center"/>
              <w:rPr>
                <w:rFonts w:hint="eastAsia" w:ascii="书宋-简" w:hAnsi="书宋-简" w:eastAsia="书宋-简" w:cs="书宋-简"/>
                <w:i w:val="0"/>
                <w:iCs w:val="0"/>
                <w:color w:val="000000"/>
                <w:kern w:val="0"/>
                <w:sz w:val="20"/>
                <w:szCs w:val="20"/>
                <w:u w:val="none"/>
                <w:lang w:eastAsia="zh-CN" w:bidi="ar"/>
                <w:woUserID w:val="1"/>
              </w:rPr>
            </w:pPr>
            <w:r>
              <w:rPr>
                <w:rFonts w:hint="eastAsia" w:ascii="书宋-简" w:hAnsi="书宋-简" w:eastAsia="书宋-简" w:cs="书宋-简"/>
                <w:i w:val="0"/>
                <w:iCs w:val="0"/>
                <w:color w:val="000000"/>
                <w:kern w:val="0"/>
                <w:sz w:val="20"/>
                <w:szCs w:val="20"/>
                <w:u w:val="none"/>
                <w:lang w:eastAsia="zh-CN" w:bidi="ar"/>
                <w:woUserID w:val="1"/>
              </w:rPr>
              <w:t>模型推理环境部署支持，基于模型推理需求，推荐配套的计算架构、推理加速引擎、推理SDK，输出AI推理环境安装方案，制作容器镜像，提供容器镜像启动命令。</w:t>
            </w:r>
          </w:p>
          <w:p w14:paraId="7F5A0A98">
            <w:pPr>
              <w:keepNext w:val="0"/>
              <w:keepLines w:val="0"/>
              <w:pageBreakBefore w:val="0"/>
              <w:widowControl/>
              <w:numPr>
                <w:ilvl w:val="0"/>
                <w:numId w:val="0"/>
              </w:numPr>
              <w:suppressLineNumbers w:val="0"/>
              <w:kinsoku/>
              <w:wordWrap/>
              <w:overflowPunct/>
              <w:topLinePunct w:val="0"/>
              <w:autoSpaceDE/>
              <w:autoSpaceDN/>
              <w:bidi w:val="0"/>
              <w:adjustRightInd/>
              <w:snapToGrid/>
              <w:spacing w:line="288" w:lineRule="auto"/>
              <w:ind w:leftChars="0"/>
              <w:jc w:val="left"/>
              <w:textAlignment w:val="center"/>
              <w:rPr>
                <w:rFonts w:hint="eastAsia" w:ascii="书宋-简" w:hAnsi="书宋-简" w:eastAsia="书宋-简" w:cs="书宋-简"/>
                <w:i w:val="0"/>
                <w:iCs w:val="0"/>
                <w:color w:val="000000"/>
                <w:kern w:val="0"/>
                <w:sz w:val="20"/>
                <w:szCs w:val="20"/>
                <w:u w:val="none"/>
                <w:lang w:eastAsia="zh-CN" w:bidi="ar"/>
                <w:woUserID w:val="1"/>
              </w:rPr>
            </w:pPr>
            <w:r>
              <w:rPr>
                <w:rFonts w:hint="eastAsia" w:ascii="书宋-简" w:hAnsi="书宋-简" w:eastAsia="书宋-简" w:cs="书宋-简"/>
                <w:i w:val="0"/>
                <w:iCs w:val="0"/>
                <w:color w:val="000000"/>
                <w:kern w:val="0"/>
                <w:sz w:val="20"/>
                <w:szCs w:val="20"/>
                <w:u w:val="none"/>
                <w:lang w:eastAsia="zh-CN" w:bidi="ar"/>
                <w:woUserID w:val="1"/>
              </w:rPr>
              <w:t>支持第三方模型迁移，同时支持后续的软硬件协同，支持调研模型算子清单与模型特性、分析模型迁移可行性、支持设计迁移方案、支持模型迁移环境部署与训练脚本改造以及相关技术问题处理。</w:t>
            </w:r>
          </w:p>
          <w:p w14:paraId="058841D9">
            <w:pPr>
              <w:keepNext w:val="0"/>
              <w:keepLines w:val="0"/>
              <w:pageBreakBefore w:val="0"/>
              <w:widowControl/>
              <w:numPr>
                <w:ilvl w:val="0"/>
                <w:numId w:val="4"/>
              </w:numPr>
              <w:suppressLineNumbers w:val="0"/>
              <w:kinsoku/>
              <w:wordWrap/>
              <w:overflowPunct/>
              <w:topLinePunct w:val="0"/>
              <w:autoSpaceDE/>
              <w:autoSpaceDN/>
              <w:bidi w:val="0"/>
              <w:adjustRightInd/>
              <w:snapToGrid/>
              <w:spacing w:line="288" w:lineRule="auto"/>
              <w:ind w:left="0" w:leftChars="0" w:firstLine="0" w:firstLineChars="0"/>
              <w:jc w:val="left"/>
              <w:textAlignment w:val="center"/>
              <w:rPr>
                <w:rFonts w:hint="eastAsia" w:ascii="书宋-简" w:hAnsi="书宋-简" w:eastAsia="书宋-简" w:cs="书宋-简"/>
                <w:i w:val="0"/>
                <w:iCs w:val="0"/>
                <w:color w:val="000000"/>
                <w:kern w:val="0"/>
                <w:sz w:val="20"/>
                <w:szCs w:val="20"/>
                <w:u w:val="none"/>
                <w:lang w:eastAsia="zh-CN" w:bidi="ar"/>
                <w:woUserID w:val="1"/>
              </w:rPr>
            </w:pPr>
            <w:r>
              <w:rPr>
                <w:rFonts w:hint="eastAsia" w:ascii="书宋-简" w:hAnsi="书宋-简" w:eastAsia="书宋-简" w:cs="书宋-简"/>
                <w:i w:val="0"/>
                <w:iCs w:val="0"/>
                <w:color w:val="000000"/>
                <w:kern w:val="0"/>
                <w:sz w:val="20"/>
                <w:szCs w:val="20"/>
                <w:u w:val="none"/>
                <w:lang w:eastAsia="zh-CN" w:bidi="ar"/>
                <w:woUserID w:val="1"/>
              </w:rPr>
              <w:t>在服务时间内，工作日（5*8）期间提供</w:t>
            </w:r>
            <w:r>
              <w:rPr>
                <w:rFonts w:hint="eastAsia" w:ascii="书宋-简" w:hAnsi="书宋-简" w:eastAsia="书宋-简" w:cs="书宋-简"/>
                <w:i w:val="0"/>
                <w:iCs w:val="0"/>
                <w:color w:val="000000"/>
                <w:kern w:val="0"/>
                <w:sz w:val="20"/>
                <w:szCs w:val="20"/>
                <w:u w:val="none"/>
                <w:lang w:val="en-US" w:eastAsia="zh-CN" w:bidi="ar"/>
                <w:woUserID w:val="1"/>
              </w:rPr>
              <w:t>AI技术支持</w:t>
            </w:r>
            <w:r>
              <w:rPr>
                <w:rFonts w:hint="eastAsia" w:ascii="书宋-简" w:hAnsi="书宋-简" w:eastAsia="书宋-简" w:cs="书宋-简"/>
                <w:i w:val="0"/>
                <w:iCs w:val="0"/>
                <w:color w:val="000000"/>
                <w:kern w:val="0"/>
                <w:sz w:val="20"/>
                <w:szCs w:val="20"/>
                <w:u w:val="none"/>
                <w:lang w:eastAsia="zh-CN" w:bidi="ar"/>
                <w:woUserID w:val="1"/>
              </w:rPr>
              <w:t>，30分钟内响应诉求</w:t>
            </w:r>
          </w:p>
          <w:p w14:paraId="4FD7D61B">
            <w:pPr>
              <w:keepNext w:val="0"/>
              <w:keepLines w:val="0"/>
              <w:pageBreakBefore w:val="0"/>
              <w:widowControl/>
              <w:numPr>
                <w:ilvl w:val="0"/>
                <w:numId w:val="4"/>
              </w:numPr>
              <w:suppressLineNumbers w:val="0"/>
              <w:kinsoku/>
              <w:wordWrap/>
              <w:overflowPunct/>
              <w:topLinePunct w:val="0"/>
              <w:autoSpaceDE/>
              <w:autoSpaceDN/>
              <w:bidi w:val="0"/>
              <w:adjustRightInd/>
              <w:snapToGrid/>
              <w:spacing w:line="288" w:lineRule="auto"/>
              <w:ind w:left="0" w:leftChars="0" w:firstLine="0" w:firstLineChars="0"/>
              <w:jc w:val="left"/>
              <w:textAlignment w:val="center"/>
              <w:rPr>
                <w:rFonts w:hint="eastAsia" w:ascii="书宋-简" w:hAnsi="书宋-简" w:eastAsia="书宋-简" w:cs="书宋-简"/>
                <w:sz w:val="22"/>
                <w:szCs w:val="28"/>
              </w:rPr>
            </w:pPr>
            <w:r>
              <w:rPr>
                <w:rFonts w:hint="eastAsia" w:ascii="书宋-简" w:hAnsi="书宋-简" w:eastAsia="书宋-简" w:cs="书宋-简"/>
                <w:i w:val="0"/>
                <w:iCs w:val="0"/>
                <w:color w:val="000000"/>
                <w:kern w:val="0"/>
                <w:sz w:val="20"/>
                <w:szCs w:val="20"/>
                <w:u w:val="none"/>
                <w:lang w:eastAsia="zh-CN" w:bidi="ar"/>
                <w:woUserID w:val="1"/>
              </w:rPr>
              <w:t>针对上层算力所部署的模型及配套技术栈在使用中遇到的问题提出解决方案，承诺问题闭环率90%、闭环及时率90%（3周内解决）</w:t>
            </w:r>
          </w:p>
        </w:tc>
      </w:tr>
    </w:tbl>
    <w:p w14:paraId="6F318B16">
      <w:pPr>
        <w:pageBreakBefore w:val="0"/>
        <w:numPr>
          <w:ilvl w:val="0"/>
          <w:numId w:val="0"/>
        </w:numPr>
        <w:wordWrap/>
        <w:topLinePunct w:val="0"/>
        <w:bidi w:val="0"/>
        <w:spacing w:line="288" w:lineRule="auto"/>
        <w:ind w:leftChars="0"/>
        <w:rPr>
          <w:rFonts w:hint="eastAsia" w:ascii="书宋-简" w:hAnsi="书宋-简" w:eastAsia="书宋-简" w:cs="书宋-简"/>
        </w:rPr>
      </w:pPr>
    </w:p>
    <w:p w14:paraId="75062CF7">
      <w:pPr>
        <w:pageBreakBefore w:val="0"/>
        <w:widowControl w:val="0"/>
        <w:numPr>
          <w:ilvl w:val="0"/>
          <w:numId w:val="0"/>
        </w:numPr>
        <w:wordWrap/>
        <w:topLinePunct w:val="0"/>
        <w:autoSpaceDN w:val="0"/>
        <w:bidi w:val="0"/>
        <w:adjustRightInd w:val="0"/>
        <w:snapToGrid w:val="0"/>
        <w:spacing w:line="288" w:lineRule="auto"/>
        <w:ind w:firstLine="3213" w:firstLineChars="1000"/>
        <w:jc w:val="both"/>
        <w:outlineLvl w:val="1"/>
        <w:rPr>
          <w:rFonts w:hint="eastAsia" w:ascii="书宋-简" w:hAnsi="书宋-简" w:eastAsia="书宋-简" w:cs="书宋-简"/>
          <w:b/>
          <w:sz w:val="32"/>
        </w:rPr>
      </w:pPr>
      <w:r>
        <w:rPr>
          <w:rFonts w:hint="eastAsia" w:ascii="书宋-简" w:hAnsi="书宋-简" w:eastAsia="书宋-简" w:cs="书宋-简"/>
          <w:b/>
          <w:sz w:val="32"/>
          <w:lang w:eastAsia="zh-CN"/>
        </w:rPr>
        <w:t>第二节</w:t>
      </w:r>
      <w:r>
        <w:rPr>
          <w:rFonts w:hint="eastAsia" w:ascii="书宋-简" w:hAnsi="书宋-简" w:eastAsia="书宋-简" w:cs="书宋-简"/>
          <w:b/>
          <w:sz w:val="32"/>
        </w:rPr>
        <w:t>技术要求</w:t>
      </w:r>
      <w:bookmarkEnd w:id="3"/>
      <w:bookmarkEnd w:id="4"/>
      <w:bookmarkEnd w:id="5"/>
    </w:p>
    <w:p w14:paraId="29406BC1">
      <w:pPr>
        <w:keepNext w:val="0"/>
        <w:keepLines w:val="0"/>
        <w:pageBreakBefore w:val="0"/>
        <w:widowControl/>
        <w:kinsoku/>
        <w:wordWrap/>
        <w:overflowPunct/>
        <w:topLinePunct w:val="0"/>
        <w:autoSpaceDE/>
        <w:autoSpaceDN/>
        <w:bidi w:val="0"/>
        <w:adjustRightInd w:val="0"/>
        <w:snapToGrid w:val="0"/>
        <w:spacing w:after="0" w:line="288" w:lineRule="auto"/>
        <w:ind w:firstLine="0" w:firstLineChars="0"/>
        <w:jc w:val="center"/>
        <w:textAlignment w:val="auto"/>
        <w:rPr>
          <w:rFonts w:hint="eastAsia" w:ascii="书宋-简" w:hAnsi="书宋-简" w:eastAsia="书宋-简" w:cs="书宋-简"/>
          <w:b/>
          <w:bCs/>
          <w:color w:val="000000"/>
          <w:kern w:val="0"/>
          <w:sz w:val="20"/>
          <w:szCs w:val="20"/>
          <w:lang w:eastAsia="zh-CN" w:bidi="ar"/>
        </w:rPr>
      </w:pPr>
      <w:r>
        <w:rPr>
          <w:rFonts w:hint="eastAsia" w:ascii="书宋-简" w:hAnsi="书宋-简" w:eastAsia="书宋-简" w:cs="书宋-简"/>
          <w:b/>
          <w:bCs/>
          <w:color w:val="000000"/>
          <w:kern w:val="0"/>
          <w:sz w:val="20"/>
          <w:szCs w:val="20"/>
          <w:lang w:bidi="ar"/>
        </w:rPr>
        <w:t>技术参数要求表</w:t>
      </w:r>
      <w:r>
        <w:rPr>
          <w:rFonts w:hint="eastAsia" w:ascii="书宋-简" w:hAnsi="书宋-简" w:eastAsia="书宋-简" w:cs="书宋-简"/>
          <w:b/>
          <w:bCs/>
          <w:color w:val="000000"/>
          <w:kern w:val="0"/>
          <w:sz w:val="20"/>
          <w:szCs w:val="20"/>
          <w:lang w:eastAsia="zh-CN" w:bidi="ar"/>
        </w:rPr>
        <w:t>——</w:t>
      </w:r>
      <w:r>
        <w:rPr>
          <w:rFonts w:hint="eastAsia" w:ascii="书宋-简" w:hAnsi="书宋-简" w:eastAsia="书宋-简" w:cs="书宋-简"/>
          <w:b/>
          <w:bCs/>
          <w:color w:val="000000"/>
          <w:kern w:val="0"/>
          <w:sz w:val="20"/>
          <w:szCs w:val="20"/>
          <w:lang w:bidi="ar"/>
        </w:rPr>
        <w:t>硬件设备、软件和配套服务</w:t>
      </w:r>
    </w:p>
    <w:p w14:paraId="5A109FF8">
      <w:pPr>
        <w:keepNext w:val="0"/>
        <w:keepLines w:val="0"/>
        <w:pageBreakBefore w:val="0"/>
        <w:widowControl/>
        <w:kinsoku/>
        <w:wordWrap/>
        <w:overflowPunct/>
        <w:topLinePunct w:val="0"/>
        <w:autoSpaceDE/>
        <w:autoSpaceDN/>
        <w:bidi w:val="0"/>
        <w:adjustRightInd w:val="0"/>
        <w:snapToGrid w:val="0"/>
        <w:spacing w:after="0" w:line="288" w:lineRule="auto"/>
        <w:ind w:firstLine="0" w:firstLineChars="0"/>
        <w:jc w:val="center"/>
        <w:textAlignment w:val="auto"/>
        <w:rPr>
          <w:rFonts w:hint="eastAsia" w:ascii="书宋-简" w:hAnsi="书宋-简" w:eastAsia="书宋-简" w:cs="书宋-简"/>
          <w:b/>
          <w:bCs/>
          <w:color w:val="000000"/>
          <w:kern w:val="0"/>
          <w:sz w:val="20"/>
          <w:szCs w:val="20"/>
          <w:lang w:bidi="ar"/>
        </w:rPr>
      </w:pPr>
    </w:p>
    <w:tbl>
      <w:tblPr>
        <w:tblStyle w:val="4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6"/>
        <w:gridCol w:w="1826"/>
        <w:gridCol w:w="5977"/>
      </w:tblGrid>
      <w:tr w14:paraId="33D7C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D867409">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bookmarkStart w:id="12" w:name="_Hlk72585069"/>
            <w:r>
              <w:rPr>
                <w:rFonts w:hint="eastAsia" w:ascii="书宋-简" w:hAnsi="书宋-简" w:eastAsia="书宋-简" w:cs="书宋-简"/>
                <w:b/>
                <w:bCs/>
                <w:i w:val="0"/>
                <w:iCs w:val="0"/>
                <w:color w:val="auto"/>
                <w:kern w:val="0"/>
                <w:sz w:val="20"/>
                <w:szCs w:val="20"/>
                <w:u w:val="none"/>
                <w:lang w:val="en-US" w:eastAsia="zh-CN" w:bidi="ar"/>
              </w:rPr>
              <w:t>序号</w:t>
            </w:r>
          </w:p>
        </w:tc>
        <w:tc>
          <w:tcPr>
            <w:tcW w:w="1071" w:type="pct"/>
            <w:tcBorders>
              <w:top w:val="single" w:color="000000" w:sz="8" w:space="0"/>
              <w:left w:val="nil"/>
              <w:bottom w:val="single" w:color="000000" w:sz="8" w:space="0"/>
              <w:right w:val="single" w:color="000000" w:sz="8" w:space="0"/>
            </w:tcBorders>
            <w:shd w:val="clear" w:color="auto" w:fill="auto"/>
            <w:vAlign w:val="center"/>
          </w:tcPr>
          <w:p w14:paraId="13FB344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名称</w:t>
            </w:r>
          </w:p>
        </w:tc>
        <w:tc>
          <w:tcPr>
            <w:tcW w:w="3508" w:type="pct"/>
            <w:tcBorders>
              <w:top w:val="single" w:color="000000" w:sz="8" w:space="0"/>
              <w:left w:val="nil"/>
              <w:bottom w:val="single" w:color="000000" w:sz="8" w:space="0"/>
              <w:right w:val="single" w:color="000000" w:sz="8" w:space="0"/>
            </w:tcBorders>
            <w:shd w:val="clear" w:color="auto" w:fill="auto"/>
            <w:vAlign w:val="center"/>
          </w:tcPr>
          <w:p w14:paraId="486D49A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lang w:eastAsia="zh-CN"/>
              </w:rPr>
            </w:pPr>
            <w:r>
              <w:rPr>
                <w:rFonts w:hint="eastAsia" w:ascii="书宋-简" w:hAnsi="书宋-简" w:eastAsia="书宋-简" w:cs="书宋-简"/>
                <w:b/>
                <w:bCs/>
                <w:i w:val="0"/>
                <w:iCs w:val="0"/>
                <w:color w:val="auto"/>
                <w:sz w:val="20"/>
                <w:szCs w:val="20"/>
                <w:u w:val="none"/>
                <w:lang w:eastAsia="zh-CN"/>
              </w:rPr>
              <w:t>技术参数</w:t>
            </w:r>
          </w:p>
        </w:tc>
      </w:tr>
      <w:tr w14:paraId="596B3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07CF0E60">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一</w:t>
            </w:r>
          </w:p>
        </w:tc>
        <w:tc>
          <w:tcPr>
            <w:tcW w:w="1071" w:type="pct"/>
            <w:tcBorders>
              <w:top w:val="nil"/>
              <w:left w:val="nil"/>
              <w:bottom w:val="single" w:color="000000" w:sz="8" w:space="0"/>
              <w:right w:val="single" w:color="000000" w:sz="8" w:space="0"/>
            </w:tcBorders>
            <w:shd w:val="clear" w:color="auto" w:fill="auto"/>
            <w:vAlign w:val="center"/>
          </w:tcPr>
          <w:p w14:paraId="37C43F9E">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关键设备</w:t>
            </w:r>
          </w:p>
        </w:tc>
        <w:tc>
          <w:tcPr>
            <w:tcW w:w="3508" w:type="pct"/>
            <w:tcBorders>
              <w:top w:val="nil"/>
              <w:left w:val="nil"/>
              <w:bottom w:val="single" w:color="000000" w:sz="8" w:space="0"/>
              <w:right w:val="single" w:color="000000" w:sz="8" w:space="0"/>
            </w:tcBorders>
            <w:shd w:val="clear" w:color="auto" w:fill="auto"/>
            <w:vAlign w:val="center"/>
          </w:tcPr>
          <w:p w14:paraId="4B2D098B">
            <w:pPr>
              <w:keepNext w:val="0"/>
              <w:keepLines w:val="0"/>
              <w:pageBreakBefore w:val="0"/>
              <w:widowControl/>
              <w:kinsoku/>
              <w:wordWrap/>
              <w:overflowPunct/>
              <w:topLinePunct w:val="0"/>
              <w:autoSpaceDE/>
              <w:autoSpaceDN/>
              <w:bidi w:val="0"/>
              <w:adjustRightInd/>
              <w:snapToGrid/>
              <w:spacing w:after="0" w:line="288" w:lineRule="auto"/>
              <w:ind w:firstLine="0" w:firstLineChars="0"/>
              <w:jc w:val="left"/>
              <w:rPr>
                <w:rFonts w:hint="eastAsia" w:ascii="书宋-简" w:hAnsi="书宋-简" w:eastAsia="书宋-简" w:cs="书宋-简"/>
                <w:i w:val="0"/>
                <w:iCs w:val="0"/>
                <w:color w:val="auto"/>
                <w:sz w:val="20"/>
                <w:szCs w:val="20"/>
                <w:u w:val="none"/>
              </w:rPr>
            </w:pPr>
          </w:p>
        </w:tc>
      </w:tr>
      <w:tr w14:paraId="51A19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5FA05CD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w:t>
            </w:r>
          </w:p>
        </w:tc>
        <w:tc>
          <w:tcPr>
            <w:tcW w:w="1071" w:type="pct"/>
            <w:tcBorders>
              <w:top w:val="nil"/>
              <w:left w:val="nil"/>
              <w:bottom w:val="single" w:color="000000" w:sz="8" w:space="0"/>
              <w:right w:val="single" w:color="000000" w:sz="8" w:space="0"/>
            </w:tcBorders>
            <w:shd w:val="clear" w:color="auto" w:fill="auto"/>
            <w:vAlign w:val="center"/>
          </w:tcPr>
          <w:p w14:paraId="23D2D5A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液冷智算服务器</w:t>
            </w:r>
          </w:p>
        </w:tc>
        <w:tc>
          <w:tcPr>
            <w:tcW w:w="5977" w:type="dxa"/>
            <w:tcBorders>
              <w:top w:val="nil"/>
              <w:left w:val="nil"/>
              <w:bottom w:val="single" w:color="000000" w:sz="8" w:space="0"/>
              <w:right w:val="single" w:color="000000" w:sz="8" w:space="0"/>
            </w:tcBorders>
            <w:shd w:val="clear" w:color="auto" w:fill="auto"/>
            <w:vAlign w:val="center"/>
          </w:tcPr>
          <w:p w14:paraId="0A564F8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1、一套液冷智算服务器包含≥16个计算柜及参数面互联设备，能够组成超节点架构，支持高速总线互联的AI算力卡个数≥1000个</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2、单个计算柜配备≥16个国产CPU处理器，主频≥2.3GHz，单CPU核数≥96核</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3、单个计算柜配置≥64颗AI算力卡，单卡显存≥96GB HBM，显存带宽≥4TB/s；单卡支持FP8精度算力≥800TFLOPS，支持mxFP4精度算力≥1500TFLOPS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4、单个计算柜配置≥18TB DDR5内存</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5、单个计算柜配置≥16*480GB SATA SSD磁盘，16*6.4TB NVMe SSD</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6、单个计算柜配置≥32*100GE光口（含光模块）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7、超节点内的CPU和AI处理器支持基于总线的内存统一编址</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8、维保：含3年维保</w:t>
            </w:r>
          </w:p>
        </w:tc>
      </w:tr>
      <w:tr w14:paraId="46355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7C4B3FF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2</w:t>
            </w:r>
          </w:p>
        </w:tc>
        <w:tc>
          <w:tcPr>
            <w:tcW w:w="1071" w:type="pct"/>
            <w:tcBorders>
              <w:top w:val="nil"/>
              <w:left w:val="nil"/>
              <w:bottom w:val="single" w:color="000000" w:sz="8" w:space="0"/>
              <w:right w:val="single" w:color="000000" w:sz="8" w:space="0"/>
            </w:tcBorders>
            <w:shd w:val="clear" w:color="auto" w:fill="auto"/>
            <w:vAlign w:val="center"/>
          </w:tcPr>
          <w:p w14:paraId="4B2F6F8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风冷智算服务器1</w:t>
            </w:r>
          </w:p>
        </w:tc>
        <w:tc>
          <w:tcPr>
            <w:tcW w:w="5977" w:type="dxa"/>
            <w:tcBorders>
              <w:top w:val="nil"/>
              <w:left w:val="nil"/>
              <w:bottom w:val="single" w:color="000000" w:sz="8" w:space="0"/>
              <w:right w:val="single" w:color="000000" w:sz="8" w:space="0"/>
            </w:tcBorders>
            <w:shd w:val="clear" w:color="auto" w:fill="auto"/>
            <w:vAlign w:val="center"/>
          </w:tcPr>
          <w:p w14:paraId="405C041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1、CPU：配置≥2颗国产化CPU处理器，主频≥2.3GHz，单CPU核数≥96核</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2、AI算力卡：配置≥8颗AI算力卡，单卡显存≥96GB HBM，显存带宽≥4TB/s；单卡支持FP8精度算力≥900TFLOPS，支持mxFP4精度算力≥1700TFLOPS；单卡支持≥4*800Gbps（含光模块）+1*400Gbps卡间高速互联光口</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3、内存规格：配置≥1.5TB DDR5内存</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4、配套存储：配置≥2*480GB SATA SSD磁盘，支持热插拔，≥4*3.84TB NVMe SSD</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5、RAID：配置≥1张RAID卡，支持0/1/10/5/50/6/60</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6、功耗：单台AI服务器最大输入功率≤16kW</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7、网络接口：单台AI服务器配置≥2*100GE光口、≥2*25GE光口（含光模块）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8、电源：满配≥5+1冗余热插拔电源</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9、超节点能力：部署多台AI服务器支持组成超节点架构，超节点服务器之间任意两个AI处理器支持高速总线互联，超节点内的CPU和AI处理器支持基于总线的内存统一编址；组成超节点架构时需提供参数面互联设备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10、维保：含3年维保</w:t>
            </w:r>
          </w:p>
        </w:tc>
      </w:tr>
      <w:tr w14:paraId="370E5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335D823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3</w:t>
            </w:r>
          </w:p>
        </w:tc>
        <w:tc>
          <w:tcPr>
            <w:tcW w:w="1071" w:type="pct"/>
            <w:tcBorders>
              <w:top w:val="nil"/>
              <w:left w:val="nil"/>
              <w:bottom w:val="single" w:color="000000" w:sz="8" w:space="0"/>
              <w:right w:val="single" w:color="000000" w:sz="8" w:space="0"/>
            </w:tcBorders>
            <w:shd w:val="clear" w:color="auto" w:fill="auto"/>
            <w:vAlign w:val="center"/>
          </w:tcPr>
          <w:p w14:paraId="7B7C22C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风冷智算服务器2</w:t>
            </w:r>
          </w:p>
        </w:tc>
        <w:tc>
          <w:tcPr>
            <w:tcW w:w="5977" w:type="dxa"/>
            <w:tcBorders>
              <w:top w:val="nil"/>
              <w:left w:val="nil"/>
              <w:bottom w:val="single" w:color="000000" w:sz="8" w:space="0"/>
              <w:right w:val="single" w:color="000000" w:sz="8" w:space="0"/>
            </w:tcBorders>
            <w:shd w:val="clear" w:color="auto" w:fill="auto"/>
            <w:vAlign w:val="center"/>
          </w:tcPr>
          <w:p w14:paraId="0B130E5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1、CPU：配置≥2颗国产化CPU处理器，主频≥2.3GHz，单CPU核数≥96核</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2、AI算力卡：配置≥8颗AI算力卡，单卡显存≥96GB HBM，显存带宽≥4TB/s；单卡支持FP8精度算力≥800TFLOPS，支持mxFP4精度算力≥1500TFLOPS；单卡支持≥1*400Gbps卡间高速互联光口</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3、内存规格：配置≥1.5TB DDR5内存</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4、配套存储：配置≥2*480GB SATA SSD磁盘，支持热插拔，≥4*3.84TB NVMe SSD</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5、RAID：配置≥1张RAID卡，支持0/1/10/5/50/6/60</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6、功耗：单台AI服务器最大输入功率≤15kW</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7、网络接口：单台AI服务器配置≥2*100GE光口、≥2*25GE光口（含光模块）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8、电源：满配≥5+1冗余热插拔电源</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9、维保：含3年维保</w:t>
            </w:r>
          </w:p>
        </w:tc>
      </w:tr>
      <w:tr w14:paraId="681C8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3A88FA2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w:t>
            </w:r>
          </w:p>
        </w:tc>
        <w:tc>
          <w:tcPr>
            <w:tcW w:w="1071" w:type="pct"/>
            <w:tcBorders>
              <w:top w:val="nil"/>
              <w:left w:val="nil"/>
              <w:bottom w:val="single" w:color="000000" w:sz="8" w:space="0"/>
              <w:right w:val="single" w:color="000000" w:sz="8" w:space="0"/>
            </w:tcBorders>
            <w:shd w:val="clear" w:color="auto" w:fill="auto"/>
            <w:vAlign w:val="center"/>
          </w:tcPr>
          <w:p w14:paraId="58AC131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算力调度服务器</w:t>
            </w:r>
          </w:p>
        </w:tc>
        <w:tc>
          <w:tcPr>
            <w:tcW w:w="5977" w:type="dxa"/>
            <w:tcBorders>
              <w:top w:val="nil"/>
              <w:left w:val="nil"/>
              <w:bottom w:val="single" w:color="000000" w:sz="8" w:space="0"/>
              <w:right w:val="single" w:color="000000" w:sz="8" w:space="0"/>
            </w:tcBorders>
            <w:shd w:val="clear" w:color="auto" w:fill="auto"/>
            <w:vAlign w:val="center"/>
          </w:tcPr>
          <w:p w14:paraId="703A486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1、CPU：配置≥2颗国产化CPU，主频≥2.6GHz，单颗CPU核数≥32核</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2、内存：配置≥128GB DDR4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3、硬盘：配置≥2*480GB SATA，≥2*3.84TB SSD</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4、RAID：配置≥1张RAID卡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5、网卡：配置≥4*GE电口，≥4*10GE光口（含光模块）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6、电源：配置≥1+1冗余热插拔电源</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7、维保：含5年维保</w:t>
            </w:r>
          </w:p>
        </w:tc>
      </w:tr>
      <w:tr w14:paraId="77CD9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7A01CDD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5</w:t>
            </w:r>
          </w:p>
        </w:tc>
        <w:tc>
          <w:tcPr>
            <w:tcW w:w="1071" w:type="pct"/>
            <w:tcBorders>
              <w:top w:val="nil"/>
              <w:left w:val="nil"/>
              <w:bottom w:val="single" w:color="000000" w:sz="8" w:space="0"/>
              <w:right w:val="single" w:color="000000" w:sz="8" w:space="0"/>
            </w:tcBorders>
            <w:shd w:val="clear" w:color="auto" w:fill="auto"/>
            <w:vAlign w:val="center"/>
          </w:tcPr>
          <w:p w14:paraId="50200F6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集群运维管理服务器1</w:t>
            </w:r>
          </w:p>
        </w:tc>
        <w:tc>
          <w:tcPr>
            <w:tcW w:w="5977" w:type="dxa"/>
            <w:tcBorders>
              <w:top w:val="nil"/>
              <w:left w:val="nil"/>
              <w:bottom w:val="single" w:color="000000" w:sz="8" w:space="0"/>
              <w:right w:val="single" w:color="000000" w:sz="8" w:space="0"/>
            </w:tcBorders>
            <w:shd w:val="clear" w:color="auto" w:fill="auto"/>
            <w:vAlign w:val="center"/>
          </w:tcPr>
          <w:p w14:paraId="3F37ED61">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1、CPU：配置≥2颗国产化CPU，主频≥2.6GHz，单颗CPU核数≥64核</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2、内存：配置≥256GB DDR4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3、硬盘：配置≥23040GB总容量的SSD</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4、RAID：配置≥1张RAID卡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5、网卡：配置≥4*GE电口，≥6*10GE光口（含光模块）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6、电源：配置≥1+1冗余热插拔电源</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7、维保：含5年维保</w:t>
            </w:r>
          </w:p>
        </w:tc>
      </w:tr>
      <w:tr w14:paraId="41AE4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6FC55C4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6</w:t>
            </w:r>
          </w:p>
        </w:tc>
        <w:tc>
          <w:tcPr>
            <w:tcW w:w="1071" w:type="pct"/>
            <w:tcBorders>
              <w:top w:val="nil"/>
              <w:left w:val="nil"/>
              <w:bottom w:val="single" w:color="000000" w:sz="8" w:space="0"/>
              <w:right w:val="single" w:color="000000" w:sz="8" w:space="0"/>
            </w:tcBorders>
            <w:shd w:val="clear" w:color="auto" w:fill="auto"/>
            <w:vAlign w:val="center"/>
          </w:tcPr>
          <w:p w14:paraId="43B0645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集群运维管理服务器2</w:t>
            </w:r>
          </w:p>
        </w:tc>
        <w:tc>
          <w:tcPr>
            <w:tcW w:w="5977" w:type="dxa"/>
            <w:tcBorders>
              <w:top w:val="nil"/>
              <w:left w:val="nil"/>
              <w:bottom w:val="single" w:color="000000" w:sz="8" w:space="0"/>
              <w:right w:val="single" w:color="000000" w:sz="8" w:space="0"/>
            </w:tcBorders>
            <w:shd w:val="clear" w:color="auto" w:fill="auto"/>
            <w:vAlign w:val="center"/>
          </w:tcPr>
          <w:p w14:paraId="441BA3D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1、CPU：配置≥2颗国产化CPU，主频≥2.6GHz，单颗CPU核数≥64核</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2、内存：配置≥256GB DDR4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3、硬盘：配置≥7680</w:t>
            </w:r>
            <w:r>
              <w:rPr>
                <w:rStyle w:val="405"/>
                <w:rFonts w:hint="eastAsia" w:ascii="书宋-简" w:hAnsi="书宋-简" w:eastAsia="书宋-简" w:cs="书宋-简"/>
                <w:color w:val="auto"/>
                <w:sz w:val="20"/>
                <w:szCs w:val="20"/>
                <w:lang w:val="en-US" w:eastAsia="zh-CN" w:bidi="ar"/>
              </w:rPr>
              <w:t>GB总容量的SSD</w:t>
            </w:r>
            <w:r>
              <w:rPr>
                <w:rStyle w:val="405"/>
                <w:rFonts w:hint="eastAsia" w:ascii="书宋-简" w:hAnsi="书宋-简" w:eastAsia="书宋-简" w:cs="书宋-简"/>
                <w:color w:val="auto"/>
                <w:sz w:val="20"/>
                <w:szCs w:val="20"/>
                <w:lang w:val="en-US" w:eastAsia="zh-CN" w:bidi="ar"/>
              </w:rPr>
              <w:br w:type="textWrapping"/>
            </w:r>
            <w:r>
              <w:rPr>
                <w:rStyle w:val="405"/>
                <w:rFonts w:hint="eastAsia" w:ascii="书宋-简" w:hAnsi="书宋-简" w:eastAsia="书宋-简" w:cs="书宋-简"/>
                <w:color w:val="auto"/>
                <w:sz w:val="20"/>
                <w:szCs w:val="20"/>
                <w:lang w:val="en-US" w:eastAsia="zh-CN" w:bidi="ar"/>
              </w:rPr>
              <w:t>4、RAID：配置≥1张RAID卡</w:t>
            </w:r>
            <w:r>
              <w:rPr>
                <w:rStyle w:val="405"/>
                <w:rFonts w:hint="eastAsia" w:ascii="书宋-简" w:hAnsi="书宋-简" w:eastAsia="书宋-简" w:cs="书宋-简"/>
                <w:color w:val="auto"/>
                <w:sz w:val="20"/>
                <w:szCs w:val="20"/>
                <w:lang w:val="en-US" w:eastAsia="zh-CN" w:bidi="ar"/>
              </w:rPr>
              <w:br w:type="textWrapping"/>
            </w:r>
            <w:r>
              <w:rPr>
                <w:rStyle w:val="405"/>
                <w:rFonts w:hint="eastAsia" w:ascii="书宋-简" w:hAnsi="书宋-简" w:eastAsia="书宋-简" w:cs="书宋-简"/>
                <w:color w:val="auto"/>
                <w:sz w:val="20"/>
                <w:szCs w:val="20"/>
                <w:lang w:val="en-US" w:eastAsia="zh-CN" w:bidi="ar"/>
              </w:rPr>
              <w:t>5、网卡：配置≥4*GE电口，≥</w:t>
            </w:r>
            <w:r>
              <w:rPr>
                <w:rFonts w:hint="eastAsia" w:ascii="书宋-简" w:hAnsi="书宋-简" w:eastAsia="书宋-简" w:cs="书宋-简"/>
                <w:i w:val="0"/>
                <w:iCs w:val="0"/>
                <w:color w:val="auto"/>
                <w:kern w:val="0"/>
                <w:sz w:val="20"/>
                <w:szCs w:val="20"/>
                <w:u w:val="none"/>
                <w:lang w:val="en-US" w:eastAsia="zh-CN" w:bidi="ar"/>
              </w:rPr>
              <w:t>6</w:t>
            </w:r>
            <w:r>
              <w:rPr>
                <w:rStyle w:val="405"/>
                <w:rFonts w:hint="eastAsia" w:ascii="书宋-简" w:hAnsi="书宋-简" w:eastAsia="书宋-简" w:cs="书宋-简"/>
                <w:color w:val="auto"/>
                <w:sz w:val="20"/>
                <w:szCs w:val="20"/>
                <w:lang w:val="en-US" w:eastAsia="zh-CN" w:bidi="ar"/>
              </w:rPr>
              <w:t>*10GE光口（含光模块）</w:t>
            </w:r>
            <w:r>
              <w:rPr>
                <w:rStyle w:val="405"/>
                <w:rFonts w:hint="eastAsia" w:ascii="书宋-简" w:hAnsi="书宋-简" w:eastAsia="书宋-简" w:cs="书宋-简"/>
                <w:color w:val="auto"/>
                <w:sz w:val="20"/>
                <w:szCs w:val="20"/>
                <w:lang w:val="en-US" w:eastAsia="zh-CN" w:bidi="ar"/>
              </w:rPr>
              <w:br w:type="textWrapping"/>
            </w:r>
            <w:r>
              <w:rPr>
                <w:rStyle w:val="405"/>
                <w:rFonts w:hint="eastAsia" w:ascii="书宋-简" w:hAnsi="书宋-简" w:eastAsia="书宋-简" w:cs="书宋-简"/>
                <w:color w:val="auto"/>
                <w:sz w:val="20"/>
                <w:szCs w:val="20"/>
                <w:lang w:val="en-US" w:eastAsia="zh-CN" w:bidi="ar"/>
              </w:rPr>
              <w:t>6、电源：配置≥1+1冗余热插拔电源</w:t>
            </w:r>
            <w:r>
              <w:rPr>
                <w:rStyle w:val="405"/>
                <w:rFonts w:hint="eastAsia" w:ascii="书宋-简" w:hAnsi="书宋-简" w:eastAsia="书宋-简" w:cs="书宋-简"/>
                <w:color w:val="auto"/>
                <w:sz w:val="20"/>
                <w:szCs w:val="20"/>
                <w:lang w:val="en-US" w:eastAsia="zh-CN" w:bidi="ar"/>
              </w:rPr>
              <w:br w:type="textWrapping"/>
            </w:r>
            <w:r>
              <w:rPr>
                <w:rStyle w:val="405"/>
                <w:rFonts w:hint="eastAsia" w:ascii="书宋-简" w:hAnsi="书宋-简" w:eastAsia="书宋-简" w:cs="书宋-简"/>
                <w:color w:val="auto"/>
                <w:sz w:val="20"/>
                <w:szCs w:val="20"/>
                <w:lang w:val="en-US" w:eastAsia="zh-CN" w:bidi="ar"/>
              </w:rPr>
              <w:t>7、维保：含5年维保</w:t>
            </w:r>
          </w:p>
        </w:tc>
      </w:tr>
      <w:tr w14:paraId="25FC9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74610F8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7</w:t>
            </w:r>
          </w:p>
        </w:tc>
        <w:tc>
          <w:tcPr>
            <w:tcW w:w="1071" w:type="pct"/>
            <w:tcBorders>
              <w:top w:val="nil"/>
              <w:left w:val="nil"/>
              <w:bottom w:val="single" w:color="000000" w:sz="8" w:space="0"/>
              <w:right w:val="single" w:color="000000" w:sz="8" w:space="0"/>
            </w:tcBorders>
            <w:shd w:val="clear" w:color="auto" w:fill="auto"/>
            <w:vAlign w:val="center"/>
          </w:tcPr>
          <w:p w14:paraId="24DE3C7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集群运维管理服务器3</w:t>
            </w:r>
          </w:p>
        </w:tc>
        <w:tc>
          <w:tcPr>
            <w:tcW w:w="5977" w:type="dxa"/>
            <w:tcBorders>
              <w:top w:val="nil"/>
              <w:left w:val="nil"/>
              <w:bottom w:val="single" w:color="000000" w:sz="8" w:space="0"/>
              <w:right w:val="single" w:color="000000" w:sz="8" w:space="0"/>
            </w:tcBorders>
            <w:shd w:val="clear" w:color="auto" w:fill="auto"/>
            <w:vAlign w:val="center"/>
          </w:tcPr>
          <w:p w14:paraId="7F51BF3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1、CPU：配置≥2颗国产化CPU，主频≥2.6GHz，单颗CPU核数≥64核</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2、内存：配置≥512GB DDR4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3、硬盘：配置≥11520GB总容量的SSD</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4、RAID：配置≥1张RAID卡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5、网卡：配置≥4*GE电口，≥4*10GE光口（含光模块）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6、电源：配置≥1+1冗余热插拔电源</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7、维保：含5年维保</w:t>
            </w:r>
          </w:p>
        </w:tc>
      </w:tr>
      <w:tr w14:paraId="32CE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4D312CC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8</w:t>
            </w:r>
          </w:p>
        </w:tc>
        <w:tc>
          <w:tcPr>
            <w:tcW w:w="1071" w:type="pct"/>
            <w:tcBorders>
              <w:top w:val="nil"/>
              <w:left w:val="nil"/>
              <w:bottom w:val="single" w:color="000000" w:sz="8" w:space="0"/>
              <w:right w:val="single" w:color="000000" w:sz="8" w:space="0"/>
            </w:tcBorders>
            <w:shd w:val="clear" w:color="auto" w:fill="auto"/>
            <w:vAlign w:val="center"/>
          </w:tcPr>
          <w:p w14:paraId="30EAEE2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业务面交换机</w:t>
            </w:r>
          </w:p>
        </w:tc>
        <w:tc>
          <w:tcPr>
            <w:tcW w:w="5977" w:type="dxa"/>
            <w:tcBorders>
              <w:top w:val="nil"/>
              <w:left w:val="nil"/>
              <w:bottom w:val="single" w:color="000000" w:sz="8" w:space="0"/>
              <w:right w:val="single" w:color="000000" w:sz="8" w:space="0"/>
            </w:tcBorders>
            <w:shd w:val="clear" w:color="auto" w:fill="auto"/>
            <w:vAlign w:val="center"/>
          </w:tcPr>
          <w:p w14:paraId="35435F4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1、交换容量≥16Tbps，包转发率≥2400Mpps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2、≥48*100GE光口，≥8*400GE光口,</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4、设备支持完备国密算法SM2/SM3/SM4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5、实配：网络管理授权，智能运维管理授权，≥48个100GE多模光模块,≥8个400GE多模光模块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6、维保：含5年维保。</w:t>
            </w:r>
          </w:p>
        </w:tc>
      </w:tr>
      <w:tr w14:paraId="433DE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3944A199">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9</w:t>
            </w:r>
          </w:p>
        </w:tc>
        <w:tc>
          <w:tcPr>
            <w:tcW w:w="1071" w:type="pct"/>
            <w:tcBorders>
              <w:top w:val="nil"/>
              <w:left w:val="nil"/>
              <w:bottom w:val="single" w:color="000000" w:sz="8" w:space="0"/>
              <w:right w:val="single" w:color="000000" w:sz="8" w:space="0"/>
            </w:tcBorders>
            <w:shd w:val="clear" w:color="auto" w:fill="auto"/>
            <w:vAlign w:val="center"/>
          </w:tcPr>
          <w:p w14:paraId="19DA783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带内交换机</w:t>
            </w:r>
          </w:p>
        </w:tc>
        <w:tc>
          <w:tcPr>
            <w:tcW w:w="5977" w:type="dxa"/>
            <w:tcBorders>
              <w:top w:val="nil"/>
              <w:left w:val="nil"/>
              <w:bottom w:val="single" w:color="000000" w:sz="8" w:space="0"/>
              <w:right w:val="single" w:color="000000" w:sz="8" w:space="0"/>
            </w:tcBorders>
            <w:shd w:val="clear" w:color="auto" w:fill="auto"/>
            <w:vAlign w:val="center"/>
          </w:tcPr>
          <w:p w14:paraId="25D2B129">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1、交换容量≥8Tbps，包转发率≥2400Mpps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2、支持10/25GE光口≥48个，40/100GE光口≥8个</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3、可插拔风扇模块≥5个，支持可插拔电源模块≥2个</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5、支持Vxlan，且支持BGP-EVPN</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6、设备支持完备国密算法SM2/SM3/SM4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7、实配：网络管理授权，智能运维管理授权，双电源，≥48个10G/25G多模光模块，≥4个100GE光模块，≥2根100GE高速线缆</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8、维保：含5年维保。</w:t>
            </w:r>
          </w:p>
        </w:tc>
      </w:tr>
      <w:tr w14:paraId="51792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4ECCC51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w:t>
            </w:r>
          </w:p>
        </w:tc>
        <w:tc>
          <w:tcPr>
            <w:tcW w:w="1071" w:type="pct"/>
            <w:tcBorders>
              <w:top w:val="nil"/>
              <w:left w:val="nil"/>
              <w:bottom w:val="single" w:color="000000" w:sz="8" w:space="0"/>
              <w:right w:val="single" w:color="000000" w:sz="8" w:space="0"/>
            </w:tcBorders>
            <w:shd w:val="clear" w:color="auto" w:fill="auto"/>
            <w:vAlign w:val="center"/>
          </w:tcPr>
          <w:p w14:paraId="20891F3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骨干路由器</w:t>
            </w:r>
          </w:p>
        </w:tc>
        <w:tc>
          <w:tcPr>
            <w:tcW w:w="5977" w:type="dxa"/>
            <w:tcBorders>
              <w:top w:val="nil"/>
              <w:left w:val="nil"/>
              <w:bottom w:val="single" w:color="000000" w:sz="8" w:space="0"/>
              <w:right w:val="single" w:color="000000" w:sz="8" w:space="0"/>
            </w:tcBorders>
            <w:shd w:val="clear" w:color="auto" w:fill="auto"/>
            <w:vAlign w:val="center"/>
          </w:tcPr>
          <w:p w14:paraId="4BE165A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1、交换容量≥440 Tbps，包转发率100000 Mpps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3、业务槽位≥12，设备支持400GE、100GE、50GE、40GE、10GE、GE接口类型，整机高度≤5U</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4、能够基于SQ队列实现广域网络精准流控功能,将大象流、老鼠流重新组合，均衡传送</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实配：电源≥4。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5、维保：含5年维保</w:t>
            </w:r>
          </w:p>
        </w:tc>
      </w:tr>
      <w:tr w14:paraId="3E69B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7AB4D1C1">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11</w:t>
            </w:r>
          </w:p>
        </w:tc>
        <w:tc>
          <w:tcPr>
            <w:tcW w:w="1071" w:type="pct"/>
            <w:tcBorders>
              <w:top w:val="nil"/>
              <w:left w:val="nil"/>
              <w:bottom w:val="single" w:color="000000" w:sz="8" w:space="0"/>
              <w:right w:val="single" w:color="000000" w:sz="8" w:space="0"/>
            </w:tcBorders>
            <w:shd w:val="clear" w:color="auto" w:fill="auto"/>
            <w:vAlign w:val="center"/>
          </w:tcPr>
          <w:p w14:paraId="655BDDD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骨干路由器100G板卡</w:t>
            </w:r>
          </w:p>
        </w:tc>
        <w:tc>
          <w:tcPr>
            <w:tcW w:w="5977" w:type="dxa"/>
            <w:tcBorders>
              <w:top w:val="nil"/>
              <w:left w:val="nil"/>
              <w:bottom w:val="single" w:color="000000" w:sz="8" w:space="0"/>
              <w:right w:val="single" w:color="000000" w:sz="8" w:space="0"/>
            </w:tcBorders>
            <w:shd w:val="clear" w:color="auto" w:fill="auto"/>
            <w:vAlign w:val="center"/>
          </w:tcPr>
          <w:p w14:paraId="562D61F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≥4*100GE光口板卡</w:t>
            </w:r>
          </w:p>
        </w:tc>
      </w:tr>
      <w:tr w14:paraId="0EEBC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702779E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12</w:t>
            </w:r>
          </w:p>
        </w:tc>
        <w:tc>
          <w:tcPr>
            <w:tcW w:w="1071" w:type="pct"/>
            <w:tcBorders>
              <w:top w:val="nil"/>
              <w:left w:val="nil"/>
              <w:bottom w:val="single" w:color="000000" w:sz="8" w:space="0"/>
              <w:right w:val="single" w:color="000000" w:sz="8" w:space="0"/>
            </w:tcBorders>
            <w:shd w:val="clear" w:color="auto" w:fill="auto"/>
            <w:vAlign w:val="center"/>
          </w:tcPr>
          <w:p w14:paraId="5725219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骨干路由器10G板卡</w:t>
            </w:r>
          </w:p>
        </w:tc>
        <w:tc>
          <w:tcPr>
            <w:tcW w:w="5977" w:type="dxa"/>
            <w:tcBorders>
              <w:top w:val="nil"/>
              <w:left w:val="nil"/>
              <w:bottom w:val="single" w:color="000000" w:sz="8" w:space="0"/>
              <w:right w:val="single" w:color="000000" w:sz="8" w:space="0"/>
            </w:tcBorders>
            <w:shd w:val="clear" w:color="auto" w:fill="auto"/>
            <w:vAlign w:val="center"/>
          </w:tcPr>
          <w:p w14:paraId="1A2CBC9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≥10*10GE 光口板卡</w:t>
            </w:r>
          </w:p>
        </w:tc>
      </w:tr>
      <w:tr w14:paraId="7500C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31573D9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13</w:t>
            </w:r>
          </w:p>
        </w:tc>
        <w:tc>
          <w:tcPr>
            <w:tcW w:w="1071" w:type="pct"/>
            <w:tcBorders>
              <w:top w:val="nil"/>
              <w:left w:val="nil"/>
              <w:bottom w:val="single" w:color="000000" w:sz="8" w:space="0"/>
              <w:right w:val="single" w:color="000000" w:sz="8" w:space="0"/>
            </w:tcBorders>
            <w:shd w:val="clear" w:color="auto" w:fill="auto"/>
            <w:vAlign w:val="center"/>
          </w:tcPr>
          <w:p w14:paraId="48AD682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核心交换机1</w:t>
            </w:r>
          </w:p>
        </w:tc>
        <w:tc>
          <w:tcPr>
            <w:tcW w:w="5977" w:type="dxa"/>
            <w:tcBorders>
              <w:top w:val="nil"/>
              <w:left w:val="nil"/>
              <w:bottom w:val="single" w:color="000000" w:sz="8" w:space="0"/>
              <w:right w:val="single" w:color="000000" w:sz="8" w:space="0"/>
            </w:tcBorders>
            <w:shd w:val="clear" w:color="auto" w:fill="auto"/>
            <w:vAlign w:val="center"/>
          </w:tcPr>
          <w:p w14:paraId="419F5B09">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1、交换容量≥51Tbps，包转发率≥ 19200Mpps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 支持≥64 x 400GE + 2 x 10GE</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3、可插拔风扇模块≥5个，支持可插拔电源模块≥4个</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5、设备支持完备国密算法SM2/SM3/SM4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6、实配：≥62个400G多模光模块，≥2个400G单模光模块，电源≥4。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7、维保：含5年维保</w:t>
            </w:r>
          </w:p>
        </w:tc>
      </w:tr>
      <w:tr w14:paraId="34857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2487E8F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14</w:t>
            </w:r>
          </w:p>
        </w:tc>
        <w:tc>
          <w:tcPr>
            <w:tcW w:w="1071" w:type="pct"/>
            <w:tcBorders>
              <w:top w:val="nil"/>
              <w:left w:val="nil"/>
              <w:bottom w:val="single" w:color="000000" w:sz="8" w:space="0"/>
              <w:right w:val="single" w:color="000000" w:sz="8" w:space="0"/>
            </w:tcBorders>
            <w:shd w:val="clear" w:color="auto" w:fill="auto"/>
            <w:vAlign w:val="center"/>
          </w:tcPr>
          <w:p w14:paraId="2CAEFE4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核心交换机2</w:t>
            </w:r>
          </w:p>
        </w:tc>
        <w:tc>
          <w:tcPr>
            <w:tcW w:w="5977" w:type="dxa"/>
            <w:tcBorders>
              <w:top w:val="nil"/>
              <w:left w:val="nil"/>
              <w:bottom w:val="single" w:color="000000" w:sz="8" w:space="0"/>
              <w:right w:val="single" w:color="000000" w:sz="8" w:space="0"/>
            </w:tcBorders>
            <w:shd w:val="clear" w:color="auto" w:fill="auto"/>
            <w:vAlign w:val="center"/>
          </w:tcPr>
          <w:p w14:paraId="3B9CB74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1、交换容量≥25Tbps，包转发率≥ 19200Mpps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2、支持≥32 x 400GE + 2 x 10GE</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4、设备支持完备国密算法SM2/SM3/SM4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5、实配：≥32个400G多模光模块。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6、维保：含5年维保。</w:t>
            </w:r>
          </w:p>
        </w:tc>
      </w:tr>
      <w:tr w14:paraId="4A885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1488072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15</w:t>
            </w:r>
          </w:p>
        </w:tc>
        <w:tc>
          <w:tcPr>
            <w:tcW w:w="1071" w:type="pct"/>
            <w:tcBorders>
              <w:top w:val="nil"/>
              <w:left w:val="nil"/>
              <w:bottom w:val="single" w:color="000000" w:sz="8" w:space="0"/>
              <w:right w:val="single" w:color="000000" w:sz="8" w:space="0"/>
            </w:tcBorders>
            <w:shd w:val="clear" w:color="auto" w:fill="auto"/>
            <w:vAlign w:val="center"/>
          </w:tcPr>
          <w:p w14:paraId="53F1B19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带外交换机</w:t>
            </w:r>
          </w:p>
        </w:tc>
        <w:tc>
          <w:tcPr>
            <w:tcW w:w="5977" w:type="dxa"/>
            <w:tcBorders>
              <w:top w:val="nil"/>
              <w:left w:val="nil"/>
              <w:bottom w:val="single" w:color="000000" w:sz="8" w:space="0"/>
              <w:right w:val="single" w:color="000000" w:sz="8" w:space="0"/>
            </w:tcBorders>
            <w:shd w:val="clear" w:color="auto" w:fill="auto"/>
            <w:vAlign w:val="center"/>
          </w:tcPr>
          <w:p w14:paraId="152D43E8">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1、交换容量≥670Gbps，包转发率≥200Mpps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2、端口支持≥48千兆电，≥4个万兆光</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4、实配：≥2个万兆多模光模块；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5、维保：含5年维保</w:t>
            </w:r>
          </w:p>
        </w:tc>
      </w:tr>
      <w:tr w14:paraId="5BE4A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5AE9372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16</w:t>
            </w:r>
          </w:p>
        </w:tc>
        <w:tc>
          <w:tcPr>
            <w:tcW w:w="1071" w:type="pct"/>
            <w:tcBorders>
              <w:top w:val="nil"/>
              <w:left w:val="nil"/>
              <w:bottom w:val="single" w:color="000000" w:sz="8" w:space="0"/>
              <w:right w:val="single" w:color="000000" w:sz="8" w:space="0"/>
            </w:tcBorders>
            <w:shd w:val="clear" w:color="auto" w:fill="auto"/>
            <w:vAlign w:val="center"/>
          </w:tcPr>
          <w:p w14:paraId="3B62F7F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网管服务器</w:t>
            </w:r>
          </w:p>
        </w:tc>
        <w:tc>
          <w:tcPr>
            <w:tcW w:w="5977" w:type="dxa"/>
            <w:tcBorders>
              <w:top w:val="nil"/>
              <w:left w:val="nil"/>
              <w:bottom w:val="single" w:color="000000" w:sz="8" w:space="0"/>
              <w:right w:val="single" w:color="000000" w:sz="8" w:space="0"/>
            </w:tcBorders>
            <w:shd w:val="clear" w:color="auto" w:fill="auto"/>
            <w:vAlign w:val="center"/>
          </w:tcPr>
          <w:p w14:paraId="6750AFD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1、CPU：配置≥2*48Core@2.6GHz CPU</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2、内存：配置≥8*32GB内存</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3、硬盘：配置≥6*1920GB SSD</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4、网卡：配置≥2*4 GE电口,≥3*2 10GE/25GE光口</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5、电源：配置1+1冗余电源热插拔</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6、维保：含5年维保</w:t>
            </w:r>
          </w:p>
        </w:tc>
      </w:tr>
      <w:tr w14:paraId="1A63F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06F3A8B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17</w:t>
            </w:r>
          </w:p>
        </w:tc>
        <w:tc>
          <w:tcPr>
            <w:tcW w:w="1071" w:type="pct"/>
            <w:tcBorders>
              <w:top w:val="nil"/>
              <w:left w:val="nil"/>
              <w:bottom w:val="single" w:color="000000" w:sz="8" w:space="0"/>
              <w:right w:val="single" w:color="000000" w:sz="8" w:space="0"/>
            </w:tcBorders>
            <w:shd w:val="clear" w:color="auto" w:fill="auto"/>
            <w:vAlign w:val="center"/>
          </w:tcPr>
          <w:p w14:paraId="510BA44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防火墙1</w:t>
            </w:r>
          </w:p>
        </w:tc>
        <w:tc>
          <w:tcPr>
            <w:tcW w:w="5977" w:type="dxa"/>
            <w:tcBorders>
              <w:top w:val="nil"/>
              <w:left w:val="nil"/>
              <w:bottom w:val="single" w:color="000000" w:sz="8" w:space="0"/>
              <w:right w:val="single" w:color="000000" w:sz="8" w:space="0"/>
            </w:tcBorders>
            <w:shd w:val="clear" w:color="auto" w:fill="auto"/>
            <w:vAlign w:val="center"/>
          </w:tcPr>
          <w:p w14:paraId="488CCE41">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柜式数据中心防火墙</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1、IPS吞吐≥40Gbps，防火墙吞吐量≥100Gbps;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2、新建连接数：300万/s,并发连接数：1.2亿</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3、插槽≥6，支持IPS吞吐量和防火墙吞吐量性能扩展；</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5、实配：5年IPS\AV\URL升级包,≥8*100GE端口+24个万兆端口</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6、维保：含5年维保。</w:t>
            </w:r>
          </w:p>
        </w:tc>
      </w:tr>
      <w:tr w14:paraId="596A8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2950118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18</w:t>
            </w:r>
          </w:p>
        </w:tc>
        <w:tc>
          <w:tcPr>
            <w:tcW w:w="1071" w:type="pct"/>
            <w:tcBorders>
              <w:top w:val="nil"/>
              <w:left w:val="nil"/>
              <w:bottom w:val="single" w:color="000000" w:sz="8" w:space="0"/>
              <w:right w:val="single" w:color="000000" w:sz="8" w:space="0"/>
            </w:tcBorders>
            <w:shd w:val="clear" w:color="auto" w:fill="auto"/>
            <w:vAlign w:val="center"/>
          </w:tcPr>
          <w:p w14:paraId="6F770109">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防火墙2</w:t>
            </w:r>
          </w:p>
        </w:tc>
        <w:tc>
          <w:tcPr>
            <w:tcW w:w="5977" w:type="dxa"/>
            <w:tcBorders>
              <w:top w:val="nil"/>
              <w:left w:val="nil"/>
              <w:bottom w:val="single" w:color="000000" w:sz="8" w:space="0"/>
              <w:right w:val="single" w:color="000000" w:sz="8" w:space="0"/>
            </w:tcBorders>
            <w:shd w:val="clear" w:color="auto" w:fill="auto"/>
            <w:vAlign w:val="center"/>
          </w:tcPr>
          <w:p w14:paraId="7A1B0FD8">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1、防火墙吞吐量≥100Gbp，IPS吞吐≥40Gbps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2、最大并发连接数≥5000万，每秒新建连接数≥150万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4、端口：≥4*100GE+ 8*10GE ，≥含4个多模光模块；5年IPS, URL, AV升级包</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5、维保：含5年维保。</w:t>
            </w:r>
          </w:p>
        </w:tc>
      </w:tr>
      <w:tr w14:paraId="22EB5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3C5C547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19</w:t>
            </w:r>
          </w:p>
        </w:tc>
        <w:tc>
          <w:tcPr>
            <w:tcW w:w="1071" w:type="pct"/>
            <w:tcBorders>
              <w:top w:val="nil"/>
              <w:left w:val="nil"/>
              <w:bottom w:val="single" w:color="000000" w:sz="8" w:space="0"/>
              <w:right w:val="single" w:color="000000" w:sz="8" w:space="0"/>
            </w:tcBorders>
            <w:shd w:val="clear" w:color="auto" w:fill="auto"/>
            <w:vAlign w:val="center"/>
          </w:tcPr>
          <w:p w14:paraId="71AFD6BC">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堡垒机</w:t>
            </w:r>
          </w:p>
        </w:tc>
        <w:tc>
          <w:tcPr>
            <w:tcW w:w="5977" w:type="dxa"/>
            <w:tcBorders>
              <w:top w:val="nil"/>
              <w:left w:val="nil"/>
              <w:bottom w:val="single" w:color="000000" w:sz="8" w:space="0"/>
              <w:right w:val="single" w:color="000000" w:sz="8" w:space="0"/>
            </w:tcBorders>
            <w:shd w:val="clear" w:color="auto" w:fill="auto"/>
            <w:vAlign w:val="center"/>
          </w:tcPr>
          <w:p w14:paraId="2153D94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1、图形并发连接数 ≥ 1000</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2、国产化CPU</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3、支持自定义角色，可根据管理需要灵活配置角色权限。</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4、实配：≥4*GE电口，≥2*10GE光口，≥400个管理设备授权数量，含光模块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5、维保：含5年维保。</w:t>
            </w:r>
          </w:p>
        </w:tc>
      </w:tr>
      <w:tr w14:paraId="31E7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1377B30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20</w:t>
            </w:r>
          </w:p>
        </w:tc>
        <w:tc>
          <w:tcPr>
            <w:tcW w:w="1071" w:type="pct"/>
            <w:tcBorders>
              <w:top w:val="nil"/>
              <w:left w:val="nil"/>
              <w:bottom w:val="single" w:color="000000" w:sz="8" w:space="0"/>
              <w:right w:val="single" w:color="000000" w:sz="8" w:space="0"/>
            </w:tcBorders>
            <w:shd w:val="clear" w:color="auto" w:fill="auto"/>
            <w:vAlign w:val="center"/>
          </w:tcPr>
          <w:p w14:paraId="1335634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安全组网交换机</w:t>
            </w:r>
          </w:p>
        </w:tc>
        <w:tc>
          <w:tcPr>
            <w:tcW w:w="5977" w:type="dxa"/>
            <w:tcBorders>
              <w:top w:val="nil"/>
              <w:left w:val="nil"/>
              <w:bottom w:val="single" w:color="000000" w:sz="8" w:space="0"/>
              <w:right w:val="single" w:color="000000" w:sz="8" w:space="0"/>
            </w:tcBorders>
            <w:shd w:val="clear" w:color="auto" w:fill="auto"/>
            <w:vAlign w:val="center"/>
          </w:tcPr>
          <w:p w14:paraId="14BF508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1、交换容量≥4.8Tbps,包转发率≥2000Mpps;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2、端口支持≥48个万兆光口，≥6个40GE/100GE光口；</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4、设备支持完备国密算法SM2/SM3/SM4</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5、实配≥48个万兆多模光模块，≥2个100GE光模块，≥1根高速线缆</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6、维保：含5年维保。</w:t>
            </w:r>
          </w:p>
        </w:tc>
      </w:tr>
      <w:tr w14:paraId="6B502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6110F24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21</w:t>
            </w:r>
          </w:p>
        </w:tc>
        <w:tc>
          <w:tcPr>
            <w:tcW w:w="1071" w:type="pct"/>
            <w:tcBorders>
              <w:top w:val="nil"/>
              <w:left w:val="nil"/>
              <w:bottom w:val="single" w:color="000000" w:sz="8" w:space="0"/>
              <w:right w:val="single" w:color="000000" w:sz="8" w:space="0"/>
            </w:tcBorders>
            <w:shd w:val="clear" w:color="auto" w:fill="auto"/>
            <w:vAlign w:val="center"/>
          </w:tcPr>
          <w:p w14:paraId="2A1BC0F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DDoS防御系统</w:t>
            </w:r>
          </w:p>
        </w:tc>
        <w:tc>
          <w:tcPr>
            <w:tcW w:w="5977" w:type="dxa"/>
            <w:tcBorders>
              <w:top w:val="nil"/>
              <w:left w:val="nil"/>
              <w:bottom w:val="single" w:color="000000" w:sz="8" w:space="0"/>
              <w:right w:val="single" w:color="000000" w:sz="8" w:space="0"/>
            </w:tcBorders>
            <w:shd w:val="clear" w:color="auto" w:fill="auto"/>
            <w:vAlign w:val="center"/>
          </w:tcPr>
          <w:p w14:paraId="330BDA5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1、处理能力：≥100G清洗能力，≥100G检测能力</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3、槽位≥6个，支持性能扩展；</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4、支持会话层攻击防御、UDP反射攻击防御、TCP反射攻击防御、HTTP应用层攻击防御。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5、实配：≥8*100GE端口+24个万兆端口</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6、维保：含5年维保。</w:t>
            </w:r>
          </w:p>
        </w:tc>
      </w:tr>
      <w:tr w14:paraId="13A5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1A90098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22</w:t>
            </w:r>
          </w:p>
        </w:tc>
        <w:tc>
          <w:tcPr>
            <w:tcW w:w="1071" w:type="pct"/>
            <w:tcBorders>
              <w:top w:val="nil"/>
              <w:left w:val="nil"/>
              <w:bottom w:val="single" w:color="000000" w:sz="8" w:space="0"/>
              <w:right w:val="single" w:color="000000" w:sz="8" w:space="0"/>
            </w:tcBorders>
            <w:shd w:val="clear" w:color="auto" w:fill="auto"/>
            <w:vAlign w:val="center"/>
          </w:tcPr>
          <w:p w14:paraId="4DED684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安全管理服务器</w:t>
            </w:r>
          </w:p>
        </w:tc>
        <w:tc>
          <w:tcPr>
            <w:tcW w:w="5977" w:type="dxa"/>
            <w:tcBorders>
              <w:top w:val="nil"/>
              <w:left w:val="nil"/>
              <w:bottom w:val="single" w:color="000000" w:sz="8" w:space="0"/>
              <w:right w:val="single" w:color="000000" w:sz="8" w:space="0"/>
            </w:tcBorders>
            <w:shd w:val="clear" w:color="auto" w:fill="auto"/>
            <w:vAlign w:val="center"/>
          </w:tcPr>
          <w:p w14:paraId="61FBF33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1、CPU：配置≥2*48Core@2.6GHz 国产化CPU</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2、内存：配置≥192G内存</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3、硬盘：配置≥2*1200GB SAS+4*6000GB SATA</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4、网卡：配置≥8*GE电口+4*10G光口</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5、电源：配置1+1冗余电源热插拔</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6、维保：含5年维保。</w:t>
            </w:r>
          </w:p>
        </w:tc>
      </w:tr>
      <w:tr w14:paraId="03C2A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5CA643F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23</w:t>
            </w:r>
          </w:p>
        </w:tc>
        <w:tc>
          <w:tcPr>
            <w:tcW w:w="1071" w:type="pct"/>
            <w:tcBorders>
              <w:top w:val="nil"/>
              <w:left w:val="nil"/>
              <w:bottom w:val="single" w:color="000000" w:sz="8" w:space="0"/>
              <w:right w:val="single" w:color="000000" w:sz="8" w:space="0"/>
            </w:tcBorders>
            <w:shd w:val="clear" w:color="auto" w:fill="auto"/>
            <w:vAlign w:val="center"/>
          </w:tcPr>
          <w:p w14:paraId="54AE552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管理区防火墙</w:t>
            </w:r>
          </w:p>
        </w:tc>
        <w:tc>
          <w:tcPr>
            <w:tcW w:w="5977" w:type="dxa"/>
            <w:tcBorders>
              <w:top w:val="nil"/>
              <w:left w:val="nil"/>
              <w:bottom w:val="single" w:color="000000" w:sz="8" w:space="0"/>
              <w:right w:val="single" w:color="000000" w:sz="8" w:space="0"/>
            </w:tcBorders>
            <w:shd w:val="clear" w:color="auto" w:fill="auto"/>
            <w:vAlign w:val="center"/>
          </w:tcPr>
          <w:p w14:paraId="787DD99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1、防火墙吞吐量≥9Gbps，最大并发连接数≥400万，每秒新建连接数≥8万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2、设备关键芯片（CPU芯片）采用国产自研芯片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3、实配：≥2*GE RJ45 + 8*GE COMBO + 2*10GE SFP+</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4、维保：含5年维保。</w:t>
            </w:r>
          </w:p>
        </w:tc>
      </w:tr>
      <w:tr w14:paraId="785E2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4DC752FC">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24</w:t>
            </w:r>
          </w:p>
        </w:tc>
        <w:tc>
          <w:tcPr>
            <w:tcW w:w="1071" w:type="pct"/>
            <w:tcBorders>
              <w:top w:val="nil"/>
              <w:left w:val="nil"/>
              <w:bottom w:val="single" w:color="000000" w:sz="8" w:space="0"/>
              <w:right w:val="single" w:color="000000" w:sz="8" w:space="0"/>
            </w:tcBorders>
            <w:shd w:val="clear" w:color="auto" w:fill="auto"/>
            <w:vAlign w:val="center"/>
          </w:tcPr>
          <w:p w14:paraId="139E1EB9">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主机防病毒软件</w:t>
            </w:r>
          </w:p>
        </w:tc>
        <w:tc>
          <w:tcPr>
            <w:tcW w:w="5977" w:type="dxa"/>
            <w:tcBorders>
              <w:top w:val="nil"/>
              <w:left w:val="nil"/>
              <w:bottom w:val="single" w:color="000000" w:sz="8" w:space="0"/>
              <w:right w:val="single" w:color="000000" w:sz="8" w:space="0"/>
            </w:tcBorders>
            <w:shd w:val="clear" w:color="auto" w:fill="auto"/>
            <w:vAlign w:val="center"/>
          </w:tcPr>
          <w:p w14:paraId="70DA8D3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1、支持终端自动识别，提供自动化终端资产清点能力，安装EDR Agent后，该终端即被自动识别。</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2、支持入侵检测，基于行为检测引擎，提供终端行为检测能力，检测暴力破解、异常登录、权限提升等恶意行为。</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3、支持更新病毒特征库，实时更新紧急病毒，提供高质量病毒文件检测能力</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4、≥500个资产管理授权，≥5年威胁库升级服务</w:t>
            </w:r>
          </w:p>
        </w:tc>
      </w:tr>
      <w:tr w14:paraId="369B5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3C6DE7B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25</w:t>
            </w:r>
          </w:p>
        </w:tc>
        <w:tc>
          <w:tcPr>
            <w:tcW w:w="1071" w:type="pct"/>
            <w:tcBorders>
              <w:top w:val="nil"/>
              <w:left w:val="nil"/>
              <w:bottom w:val="single" w:color="000000" w:sz="8" w:space="0"/>
              <w:right w:val="single" w:color="000000" w:sz="8" w:space="0"/>
            </w:tcBorders>
            <w:shd w:val="clear" w:color="auto" w:fill="auto"/>
            <w:vAlign w:val="center"/>
          </w:tcPr>
          <w:p w14:paraId="2AE1BE3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主机防病毒服务器</w:t>
            </w:r>
          </w:p>
        </w:tc>
        <w:tc>
          <w:tcPr>
            <w:tcW w:w="5977" w:type="dxa"/>
            <w:tcBorders>
              <w:top w:val="nil"/>
              <w:left w:val="nil"/>
              <w:bottom w:val="single" w:color="000000" w:sz="8" w:space="0"/>
              <w:right w:val="single" w:color="000000" w:sz="8" w:space="0"/>
            </w:tcBorders>
            <w:shd w:val="clear" w:color="auto" w:fill="auto"/>
            <w:vAlign w:val="center"/>
          </w:tcPr>
          <w:p w14:paraId="487BC94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1、CPU:   配置 32Core@2.6GHz 国产化CPU</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2、内存：配置≥128G内存</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3、硬盘：配置≥8*1920GB SSD</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4、网卡：配置≥2*4 GE电口+2*2 10G/25GE光口</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5、电源：配置1+1冗余电源热插拔</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6、维保：含5年维保。</w:t>
            </w:r>
          </w:p>
        </w:tc>
      </w:tr>
      <w:tr w14:paraId="4639D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2B1D59A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26</w:t>
            </w:r>
          </w:p>
        </w:tc>
        <w:tc>
          <w:tcPr>
            <w:tcW w:w="1071" w:type="pct"/>
            <w:tcBorders>
              <w:top w:val="nil"/>
              <w:left w:val="nil"/>
              <w:bottom w:val="single" w:color="000000" w:sz="8" w:space="0"/>
              <w:right w:val="single" w:color="000000" w:sz="8" w:space="0"/>
            </w:tcBorders>
            <w:shd w:val="clear" w:color="auto" w:fill="auto"/>
            <w:vAlign w:val="center"/>
          </w:tcPr>
          <w:p w14:paraId="4AAF66E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日志审计</w:t>
            </w:r>
          </w:p>
        </w:tc>
        <w:tc>
          <w:tcPr>
            <w:tcW w:w="5977" w:type="dxa"/>
            <w:tcBorders>
              <w:top w:val="nil"/>
              <w:left w:val="nil"/>
              <w:bottom w:val="single" w:color="000000" w:sz="8" w:space="0"/>
              <w:right w:val="single" w:color="000000" w:sz="8" w:space="0"/>
            </w:tcBorders>
            <w:shd w:val="clear" w:color="auto" w:fill="auto"/>
            <w:vAlign w:val="center"/>
          </w:tcPr>
          <w:p w14:paraId="6F3BC38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1、日志处理性能 ≥ 40000 EPS</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2、采用国产化CPU</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3、支持目前主流的网络安全设备、交换设备、路由设备、操作系统、应用系统等</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4、实配：≥8*GE电口，≥4*10GE光口，≥1000管理资产授权，含光模块</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5、维保：含5年维保。</w:t>
            </w:r>
          </w:p>
        </w:tc>
      </w:tr>
      <w:tr w14:paraId="05490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01A2CF6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二</w:t>
            </w:r>
          </w:p>
        </w:tc>
        <w:tc>
          <w:tcPr>
            <w:tcW w:w="1071" w:type="pct"/>
            <w:tcBorders>
              <w:top w:val="nil"/>
              <w:left w:val="nil"/>
              <w:bottom w:val="single" w:color="000000" w:sz="8" w:space="0"/>
              <w:right w:val="single" w:color="000000" w:sz="8" w:space="0"/>
            </w:tcBorders>
            <w:shd w:val="clear" w:color="auto" w:fill="auto"/>
            <w:vAlign w:val="center"/>
          </w:tcPr>
          <w:p w14:paraId="53D55FA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其他设备和软件</w:t>
            </w:r>
          </w:p>
        </w:tc>
        <w:tc>
          <w:tcPr>
            <w:tcW w:w="3508" w:type="pct"/>
            <w:tcBorders>
              <w:top w:val="nil"/>
              <w:left w:val="nil"/>
              <w:bottom w:val="single" w:color="000000" w:sz="8" w:space="0"/>
              <w:right w:val="single" w:color="000000" w:sz="8" w:space="0"/>
            </w:tcBorders>
            <w:shd w:val="clear" w:color="auto" w:fill="auto"/>
            <w:vAlign w:val="center"/>
          </w:tcPr>
          <w:p w14:paraId="3A9D71C6">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auto"/>
                <w:sz w:val="20"/>
                <w:szCs w:val="20"/>
                <w:u w:val="none"/>
              </w:rPr>
            </w:pPr>
          </w:p>
        </w:tc>
      </w:tr>
      <w:tr w14:paraId="3C1B1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20D721B8">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w:t>
            </w:r>
          </w:p>
        </w:tc>
        <w:tc>
          <w:tcPr>
            <w:tcW w:w="1071" w:type="pct"/>
            <w:tcBorders>
              <w:top w:val="nil"/>
              <w:left w:val="nil"/>
              <w:bottom w:val="single" w:color="000000" w:sz="8" w:space="0"/>
              <w:right w:val="single" w:color="000000" w:sz="8" w:space="0"/>
            </w:tcBorders>
            <w:shd w:val="clear" w:color="auto" w:fill="auto"/>
            <w:vAlign w:val="center"/>
          </w:tcPr>
          <w:p w14:paraId="341D775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集群运维管理软件</w:t>
            </w:r>
          </w:p>
        </w:tc>
        <w:tc>
          <w:tcPr>
            <w:tcW w:w="5977" w:type="dxa"/>
            <w:tcBorders>
              <w:top w:val="nil"/>
              <w:left w:val="nil"/>
              <w:bottom w:val="single" w:color="000000" w:sz="8" w:space="0"/>
              <w:right w:val="single" w:color="000000" w:sz="8" w:space="0"/>
            </w:tcBorders>
            <w:shd w:val="clear" w:color="auto" w:fill="auto"/>
            <w:vAlign w:val="center"/>
          </w:tcPr>
          <w:p w14:paraId="7F0CFFF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1、支持对服务器、总线网络设备、存储设备进行统一管理。</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2、服务器批量配置：具备服务器配置管理功能，支持对服务器的批量配置、OS部署和固件升级能力。</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3、资源管理：具备资源管理功能，支持对服务器、总线网络设备的管理能力，提供对服务器、总线网络各域内资源的查询、过滤等操作。</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4、监控分析：具备监控分析功能，支持告警管理、日志分析能力、性能指标监控，辅助运维工程师快速发现问题、定位问题。</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5、集群健康检查：具备AI算力集群的健康检查功能，支持对集群各域内软硬件资源版本、资源状态、AI算力卡性能等参数和状态自动检查并生成报告，给出处理建议。</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6、北向接口开放：可提供北向管理接口，对接其它运维管理系统，允许其它三方运维系统通过北向接口进行数据查询和订阅。</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7、最大管理智算服务器数量≥600台。包含32台智算服务器对应的软件许可、5年软件订阅及维保服务、软件实施部署服务。</w:t>
            </w:r>
          </w:p>
        </w:tc>
      </w:tr>
      <w:tr w14:paraId="55CC1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57D7C29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w:t>
            </w:r>
          </w:p>
        </w:tc>
        <w:tc>
          <w:tcPr>
            <w:tcW w:w="1071" w:type="pct"/>
            <w:tcBorders>
              <w:top w:val="nil"/>
              <w:left w:val="nil"/>
              <w:bottom w:val="single" w:color="000000" w:sz="8" w:space="0"/>
              <w:right w:val="single" w:color="000000" w:sz="8" w:space="0"/>
            </w:tcBorders>
            <w:shd w:val="clear" w:color="auto" w:fill="auto"/>
            <w:vAlign w:val="center"/>
          </w:tcPr>
          <w:p w14:paraId="67D15DA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集群运维管理软件扩容许可</w:t>
            </w:r>
          </w:p>
        </w:tc>
        <w:tc>
          <w:tcPr>
            <w:tcW w:w="5977" w:type="dxa"/>
            <w:tcBorders>
              <w:top w:val="nil"/>
              <w:left w:val="nil"/>
              <w:bottom w:val="single" w:color="000000" w:sz="8" w:space="0"/>
              <w:right w:val="single" w:color="000000" w:sz="8" w:space="0"/>
            </w:tcBorders>
            <w:shd w:val="clear" w:color="auto" w:fill="auto"/>
            <w:vAlign w:val="center"/>
          </w:tcPr>
          <w:p w14:paraId="470D30F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每台智算服务器对应的集群运维管理软件扩容许可、5年软件订阅及维保服务、软件实施部署服务。</w:t>
            </w:r>
          </w:p>
        </w:tc>
      </w:tr>
      <w:tr w14:paraId="461E9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3422629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3</w:t>
            </w:r>
          </w:p>
        </w:tc>
        <w:tc>
          <w:tcPr>
            <w:tcW w:w="1071" w:type="pct"/>
            <w:tcBorders>
              <w:top w:val="nil"/>
              <w:left w:val="nil"/>
              <w:bottom w:val="single" w:color="000000" w:sz="8" w:space="0"/>
              <w:right w:val="single" w:color="000000" w:sz="8" w:space="0"/>
            </w:tcBorders>
            <w:shd w:val="clear" w:color="auto" w:fill="auto"/>
            <w:vAlign w:val="center"/>
          </w:tcPr>
          <w:p w14:paraId="6B993C6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算力调度平台</w:t>
            </w:r>
          </w:p>
        </w:tc>
        <w:tc>
          <w:tcPr>
            <w:tcW w:w="5977" w:type="dxa"/>
            <w:tcBorders>
              <w:top w:val="nil"/>
              <w:left w:val="nil"/>
              <w:bottom w:val="single" w:color="000000" w:sz="8" w:space="0"/>
              <w:right w:val="single" w:color="000000" w:sz="8" w:space="0"/>
            </w:tcBorders>
            <w:shd w:val="clear" w:color="auto" w:fill="auto"/>
            <w:vAlign w:val="center"/>
          </w:tcPr>
          <w:p w14:paraId="08118F8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本项目需要提供AI算力调度平台管理智算设备数量不小于500台每局点，支持多租的AI算力资源调度管理，基于多维度调度策略，实现多用户对算力资源的高效集约化使用。AI算力调度平台工具应具有以下能力：资源池管理、数据集管理、模型管理、镜像管理、租户管理、运营监控、推理部署、模型网关支持、推理监控等。</w:t>
            </w:r>
          </w:p>
        </w:tc>
      </w:tr>
      <w:tr w14:paraId="1BB93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364B1871">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w:t>
            </w:r>
          </w:p>
        </w:tc>
        <w:tc>
          <w:tcPr>
            <w:tcW w:w="1071" w:type="pct"/>
            <w:tcBorders>
              <w:top w:val="nil"/>
              <w:left w:val="nil"/>
              <w:bottom w:val="single" w:color="000000" w:sz="8" w:space="0"/>
              <w:right w:val="single" w:color="000000" w:sz="8" w:space="0"/>
            </w:tcBorders>
            <w:shd w:val="clear" w:color="auto" w:fill="auto"/>
            <w:vAlign w:val="center"/>
          </w:tcPr>
          <w:p w14:paraId="3C96575C">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 (16芯 5米）</w:t>
            </w:r>
          </w:p>
        </w:tc>
        <w:tc>
          <w:tcPr>
            <w:tcW w:w="5977" w:type="dxa"/>
            <w:tcBorders>
              <w:top w:val="nil"/>
              <w:left w:val="nil"/>
              <w:bottom w:val="single" w:color="000000" w:sz="8" w:space="0"/>
              <w:right w:val="single" w:color="000000" w:sz="8" w:space="0"/>
            </w:tcBorders>
            <w:shd w:val="clear" w:color="auto" w:fill="auto"/>
            <w:vAlign w:val="center"/>
          </w:tcPr>
          <w:p w14:paraId="629932E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MPO/APC-MPO/APC-多模-5m-16芯OM3</w:t>
            </w:r>
          </w:p>
        </w:tc>
      </w:tr>
      <w:tr w14:paraId="570E6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2E02713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5</w:t>
            </w:r>
          </w:p>
        </w:tc>
        <w:tc>
          <w:tcPr>
            <w:tcW w:w="1071" w:type="pct"/>
            <w:tcBorders>
              <w:top w:val="nil"/>
              <w:left w:val="nil"/>
              <w:bottom w:val="single" w:color="000000" w:sz="8" w:space="0"/>
              <w:right w:val="single" w:color="000000" w:sz="8" w:space="0"/>
            </w:tcBorders>
            <w:shd w:val="clear" w:color="auto" w:fill="auto"/>
            <w:vAlign w:val="center"/>
          </w:tcPr>
          <w:p w14:paraId="70B4FCF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MPO-MPO光纤（16芯 10米）</w:t>
            </w:r>
          </w:p>
        </w:tc>
        <w:tc>
          <w:tcPr>
            <w:tcW w:w="5977" w:type="dxa"/>
            <w:tcBorders>
              <w:top w:val="nil"/>
              <w:left w:val="nil"/>
              <w:bottom w:val="single" w:color="000000" w:sz="8" w:space="0"/>
              <w:right w:val="single" w:color="000000" w:sz="8" w:space="0"/>
            </w:tcBorders>
            <w:shd w:val="clear" w:color="auto" w:fill="auto"/>
            <w:vAlign w:val="center"/>
          </w:tcPr>
          <w:p w14:paraId="216F0D2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MPO/APC-MPO/APC-多模-10m-16芯OM3</w:t>
            </w:r>
          </w:p>
        </w:tc>
      </w:tr>
      <w:tr w14:paraId="0AA17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61D7677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6</w:t>
            </w:r>
          </w:p>
        </w:tc>
        <w:tc>
          <w:tcPr>
            <w:tcW w:w="1071" w:type="pct"/>
            <w:tcBorders>
              <w:top w:val="nil"/>
              <w:left w:val="nil"/>
              <w:bottom w:val="single" w:color="000000" w:sz="8" w:space="0"/>
              <w:right w:val="single" w:color="000000" w:sz="8" w:space="0"/>
            </w:tcBorders>
            <w:shd w:val="clear" w:color="auto" w:fill="auto"/>
            <w:vAlign w:val="center"/>
          </w:tcPr>
          <w:p w14:paraId="4B8A9AA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MPO-DLC光纤（8芯 15米）</w:t>
            </w:r>
          </w:p>
        </w:tc>
        <w:tc>
          <w:tcPr>
            <w:tcW w:w="5977" w:type="dxa"/>
            <w:tcBorders>
              <w:top w:val="nil"/>
              <w:left w:val="nil"/>
              <w:bottom w:val="single" w:color="000000" w:sz="8" w:space="0"/>
              <w:right w:val="single" w:color="000000" w:sz="8" w:space="0"/>
            </w:tcBorders>
            <w:shd w:val="clear" w:color="auto" w:fill="auto"/>
            <w:vAlign w:val="center"/>
          </w:tcPr>
          <w:p w14:paraId="2A3D3ED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MPO12-4DLC-SM-15m-单模-8芯</w:t>
            </w:r>
          </w:p>
        </w:tc>
      </w:tr>
      <w:tr w14:paraId="10637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2CBBDA5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7</w:t>
            </w:r>
          </w:p>
        </w:tc>
        <w:tc>
          <w:tcPr>
            <w:tcW w:w="1071" w:type="pct"/>
            <w:tcBorders>
              <w:top w:val="nil"/>
              <w:left w:val="nil"/>
              <w:bottom w:val="single" w:color="000000" w:sz="8" w:space="0"/>
              <w:right w:val="single" w:color="000000" w:sz="8" w:space="0"/>
            </w:tcBorders>
            <w:shd w:val="clear" w:color="auto" w:fill="auto"/>
            <w:vAlign w:val="center"/>
          </w:tcPr>
          <w:p w14:paraId="59DB936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 (8芯 30米）</w:t>
            </w:r>
          </w:p>
        </w:tc>
        <w:tc>
          <w:tcPr>
            <w:tcW w:w="5977" w:type="dxa"/>
            <w:tcBorders>
              <w:top w:val="nil"/>
              <w:left w:val="nil"/>
              <w:bottom w:val="single" w:color="000000" w:sz="8" w:space="0"/>
              <w:right w:val="single" w:color="000000" w:sz="8" w:space="0"/>
            </w:tcBorders>
            <w:shd w:val="clear" w:color="auto" w:fill="auto"/>
            <w:vAlign w:val="center"/>
          </w:tcPr>
          <w:p w14:paraId="0CB8958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MPO/PC-MPO/PC-多模-30m-8芯(OM3)</w:t>
            </w:r>
          </w:p>
        </w:tc>
      </w:tr>
      <w:tr w14:paraId="4DF7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4B4860D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8</w:t>
            </w:r>
          </w:p>
        </w:tc>
        <w:tc>
          <w:tcPr>
            <w:tcW w:w="1071" w:type="pct"/>
            <w:tcBorders>
              <w:top w:val="nil"/>
              <w:left w:val="nil"/>
              <w:bottom w:val="single" w:color="000000" w:sz="8" w:space="0"/>
              <w:right w:val="single" w:color="000000" w:sz="8" w:space="0"/>
            </w:tcBorders>
            <w:shd w:val="clear" w:color="auto" w:fill="auto"/>
            <w:vAlign w:val="center"/>
          </w:tcPr>
          <w:p w14:paraId="1A87A2B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 (16芯 20米）</w:t>
            </w:r>
          </w:p>
        </w:tc>
        <w:tc>
          <w:tcPr>
            <w:tcW w:w="5977" w:type="dxa"/>
            <w:tcBorders>
              <w:top w:val="nil"/>
              <w:left w:val="nil"/>
              <w:bottom w:val="single" w:color="000000" w:sz="8" w:space="0"/>
              <w:right w:val="single" w:color="000000" w:sz="8" w:space="0"/>
            </w:tcBorders>
            <w:shd w:val="clear" w:color="auto" w:fill="auto"/>
            <w:vAlign w:val="center"/>
          </w:tcPr>
          <w:p w14:paraId="3AABD4B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MPO16/APC-MPO16/APC-多模-20m-16芯-(OM4)</w:t>
            </w:r>
          </w:p>
        </w:tc>
      </w:tr>
      <w:tr w14:paraId="5BEEE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047C4B7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9</w:t>
            </w:r>
          </w:p>
        </w:tc>
        <w:tc>
          <w:tcPr>
            <w:tcW w:w="1071" w:type="pct"/>
            <w:tcBorders>
              <w:top w:val="nil"/>
              <w:left w:val="nil"/>
              <w:bottom w:val="single" w:color="000000" w:sz="8" w:space="0"/>
              <w:right w:val="single" w:color="000000" w:sz="8" w:space="0"/>
            </w:tcBorders>
            <w:shd w:val="clear" w:color="auto" w:fill="auto"/>
            <w:vAlign w:val="center"/>
          </w:tcPr>
          <w:p w14:paraId="6A4A67C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 (16芯 30米）</w:t>
            </w:r>
          </w:p>
        </w:tc>
        <w:tc>
          <w:tcPr>
            <w:tcW w:w="5977" w:type="dxa"/>
            <w:tcBorders>
              <w:top w:val="nil"/>
              <w:left w:val="nil"/>
              <w:bottom w:val="single" w:color="000000" w:sz="8" w:space="0"/>
              <w:right w:val="single" w:color="000000" w:sz="8" w:space="0"/>
            </w:tcBorders>
            <w:shd w:val="clear" w:color="auto" w:fill="auto"/>
            <w:vAlign w:val="center"/>
          </w:tcPr>
          <w:p w14:paraId="79AFD5F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MPO16/APC-MPO16/APC-多模-30m-16芯</w:t>
            </w:r>
          </w:p>
        </w:tc>
      </w:tr>
      <w:tr w14:paraId="48C9F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3DAE14C1">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w:t>
            </w:r>
          </w:p>
        </w:tc>
        <w:tc>
          <w:tcPr>
            <w:tcW w:w="1071" w:type="pct"/>
            <w:tcBorders>
              <w:top w:val="nil"/>
              <w:left w:val="nil"/>
              <w:bottom w:val="single" w:color="000000" w:sz="8" w:space="0"/>
              <w:right w:val="single" w:color="000000" w:sz="8" w:space="0"/>
            </w:tcBorders>
            <w:shd w:val="clear" w:color="auto" w:fill="auto"/>
            <w:vAlign w:val="center"/>
          </w:tcPr>
          <w:p w14:paraId="3750627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MPO-MPO光纤 (16芯 50米）</w:t>
            </w:r>
          </w:p>
        </w:tc>
        <w:tc>
          <w:tcPr>
            <w:tcW w:w="5977" w:type="dxa"/>
            <w:tcBorders>
              <w:top w:val="nil"/>
              <w:left w:val="nil"/>
              <w:bottom w:val="single" w:color="000000" w:sz="8" w:space="0"/>
              <w:right w:val="single" w:color="000000" w:sz="8" w:space="0"/>
            </w:tcBorders>
            <w:shd w:val="clear" w:color="auto" w:fill="auto"/>
            <w:vAlign w:val="center"/>
          </w:tcPr>
          <w:p w14:paraId="689C6D1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MPO16/APC-MPO16/APC-多模-50m-16芯</w:t>
            </w:r>
          </w:p>
        </w:tc>
      </w:tr>
      <w:tr w14:paraId="23771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25963D4C">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11</w:t>
            </w:r>
          </w:p>
        </w:tc>
        <w:tc>
          <w:tcPr>
            <w:tcW w:w="1071" w:type="pct"/>
            <w:tcBorders>
              <w:top w:val="nil"/>
              <w:left w:val="nil"/>
              <w:bottom w:val="single" w:color="000000" w:sz="8" w:space="0"/>
              <w:right w:val="single" w:color="000000" w:sz="8" w:space="0"/>
            </w:tcBorders>
            <w:shd w:val="clear" w:color="auto" w:fill="auto"/>
            <w:vAlign w:val="center"/>
          </w:tcPr>
          <w:p w14:paraId="3DABFEF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100G单模光模块</w:t>
            </w:r>
          </w:p>
        </w:tc>
        <w:tc>
          <w:tcPr>
            <w:tcW w:w="5977" w:type="dxa"/>
            <w:tcBorders>
              <w:top w:val="nil"/>
              <w:left w:val="nil"/>
              <w:bottom w:val="single" w:color="000000" w:sz="8" w:space="0"/>
              <w:right w:val="single" w:color="000000" w:sz="8" w:space="0"/>
            </w:tcBorders>
            <w:shd w:val="clear" w:color="auto" w:fill="auto"/>
            <w:vAlign w:val="center"/>
          </w:tcPr>
          <w:p w14:paraId="588A101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100GE单模2km短距光模块</w:t>
            </w:r>
          </w:p>
        </w:tc>
      </w:tr>
      <w:tr w14:paraId="7DD0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07FC47B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12</w:t>
            </w:r>
          </w:p>
        </w:tc>
        <w:tc>
          <w:tcPr>
            <w:tcW w:w="1071" w:type="pct"/>
            <w:tcBorders>
              <w:top w:val="nil"/>
              <w:left w:val="nil"/>
              <w:bottom w:val="single" w:color="000000" w:sz="8" w:space="0"/>
              <w:right w:val="single" w:color="000000" w:sz="8" w:space="0"/>
            </w:tcBorders>
            <w:shd w:val="clear" w:color="auto" w:fill="auto"/>
            <w:vAlign w:val="center"/>
          </w:tcPr>
          <w:p w14:paraId="75BA4A88">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100G多模光模块</w:t>
            </w:r>
          </w:p>
        </w:tc>
        <w:tc>
          <w:tcPr>
            <w:tcW w:w="5977" w:type="dxa"/>
            <w:tcBorders>
              <w:top w:val="nil"/>
              <w:left w:val="nil"/>
              <w:bottom w:val="single" w:color="000000" w:sz="8" w:space="0"/>
              <w:right w:val="single" w:color="000000" w:sz="8" w:space="0"/>
            </w:tcBorders>
            <w:shd w:val="clear" w:color="auto" w:fill="auto"/>
            <w:vAlign w:val="center"/>
          </w:tcPr>
          <w:p w14:paraId="6C88F87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100GE多模0.1km短距光模块</w:t>
            </w:r>
          </w:p>
        </w:tc>
      </w:tr>
      <w:tr w14:paraId="4896F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41B3631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13</w:t>
            </w:r>
          </w:p>
        </w:tc>
        <w:tc>
          <w:tcPr>
            <w:tcW w:w="1071" w:type="pct"/>
            <w:tcBorders>
              <w:top w:val="nil"/>
              <w:left w:val="nil"/>
              <w:bottom w:val="single" w:color="000000" w:sz="8" w:space="0"/>
              <w:right w:val="single" w:color="000000" w:sz="8" w:space="0"/>
            </w:tcBorders>
            <w:shd w:val="clear" w:color="auto" w:fill="auto"/>
            <w:vAlign w:val="center"/>
          </w:tcPr>
          <w:p w14:paraId="5DDAE77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b/>
                <w:bCs/>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400G 单模光模块</w:t>
            </w:r>
          </w:p>
        </w:tc>
        <w:tc>
          <w:tcPr>
            <w:tcW w:w="5977" w:type="dxa"/>
            <w:tcBorders>
              <w:top w:val="nil"/>
              <w:left w:val="nil"/>
              <w:bottom w:val="single" w:color="000000" w:sz="8" w:space="0"/>
              <w:right w:val="single" w:color="000000" w:sz="8" w:space="0"/>
            </w:tcBorders>
            <w:shd w:val="clear" w:color="auto" w:fill="auto"/>
            <w:vAlign w:val="center"/>
          </w:tcPr>
          <w:p w14:paraId="7E3B3069">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400GBase-FR4光模块-QSFP-DD-400G-单模模块(1310nm,2km,LC)</w:t>
            </w:r>
          </w:p>
        </w:tc>
      </w:tr>
      <w:tr w14:paraId="779EA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57E6C099">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三</w:t>
            </w:r>
          </w:p>
        </w:tc>
        <w:tc>
          <w:tcPr>
            <w:tcW w:w="1071" w:type="pct"/>
            <w:tcBorders>
              <w:top w:val="nil"/>
              <w:left w:val="nil"/>
              <w:bottom w:val="single" w:color="000000" w:sz="8" w:space="0"/>
              <w:right w:val="single" w:color="000000" w:sz="8" w:space="0"/>
            </w:tcBorders>
            <w:shd w:val="clear" w:color="auto" w:fill="auto"/>
            <w:vAlign w:val="center"/>
          </w:tcPr>
          <w:p w14:paraId="7A669AD9">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b/>
                <w:bCs/>
                <w:i w:val="0"/>
                <w:iCs w:val="0"/>
                <w:color w:val="auto"/>
                <w:kern w:val="0"/>
                <w:sz w:val="20"/>
                <w:szCs w:val="20"/>
                <w:u w:val="none"/>
                <w:lang w:val="en-US" w:eastAsia="zh-CN" w:bidi="ar"/>
              </w:rPr>
              <w:t>设计与集成服务</w:t>
            </w:r>
          </w:p>
        </w:tc>
        <w:tc>
          <w:tcPr>
            <w:tcW w:w="3508" w:type="pct"/>
            <w:tcBorders>
              <w:top w:val="nil"/>
              <w:left w:val="nil"/>
              <w:bottom w:val="single" w:color="000000" w:sz="8" w:space="0"/>
              <w:right w:val="single" w:color="000000" w:sz="8" w:space="0"/>
            </w:tcBorders>
            <w:shd w:val="clear" w:color="auto" w:fill="auto"/>
            <w:vAlign w:val="center"/>
          </w:tcPr>
          <w:p w14:paraId="3ED71FE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p>
        </w:tc>
      </w:tr>
      <w:tr w14:paraId="7B436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41C0DC9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1</w:t>
            </w:r>
          </w:p>
        </w:tc>
        <w:tc>
          <w:tcPr>
            <w:tcW w:w="1071" w:type="pct"/>
            <w:tcBorders>
              <w:top w:val="nil"/>
              <w:left w:val="nil"/>
              <w:bottom w:val="single" w:color="000000" w:sz="8" w:space="0"/>
              <w:right w:val="single" w:color="000000" w:sz="8" w:space="0"/>
            </w:tcBorders>
            <w:shd w:val="clear" w:color="auto" w:fill="auto"/>
            <w:vAlign w:val="center"/>
          </w:tcPr>
          <w:p w14:paraId="62526EC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AI计算规划设计与实施服务（风冷智算服务器）</w:t>
            </w:r>
          </w:p>
        </w:tc>
        <w:tc>
          <w:tcPr>
            <w:tcW w:w="5977" w:type="dxa"/>
            <w:tcBorders>
              <w:top w:val="nil"/>
              <w:left w:val="nil"/>
              <w:bottom w:val="single" w:color="000000" w:sz="8" w:space="0"/>
              <w:right w:val="single" w:color="000000" w:sz="8" w:space="0"/>
            </w:tcBorders>
            <w:shd w:val="clear" w:color="auto" w:fill="auto"/>
            <w:vAlign w:val="center"/>
          </w:tcPr>
          <w:p w14:paraId="16A6CD0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AI计算规划设计与实施服务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本项目需要对所涉及的智算服务器进行专业的规划设计与实施服务，覆盖计算处理子系统内规划设计到项目中期硬件压测、计算处理子系统内综合布线、计算处理子系统软件部署实施，及计算处理子系统验收测试，确保项目交付高效达成既定目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1、AI计算产品规划设计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针对各个组成系统进行深化设计，输出详细设计以及对应的安装部署实施方案设计及评审、验收方案设计及评审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2、AI计算产品工程安装</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包含工程勘测、开箱验货、计算柜安装、总线柜安装、计算处理子系统内综合布线、设备上电、计算&amp;总线设备初始化、计算柜&amp;总线柜设备验收。</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3、AI计算产品部署实施</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根据设计对计算柜内节点进行软件部署，确保智算服务器的正确部署，并且对柜内节点进行单机综合测试和节点集合通信测试、单机模型测试等</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4、AI计算产品验收测试</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在计算柜和网络柜安装部署调试完成后，完成计算处理子系统内拓扑连线检查、光链路质量检测、计算处理子系统健康检查和异常信息处理，双方协商验收用例集和验收方案、根据已确定的验收方案进行验收计划制定，根据已确定的验收用例集和方案执行测试及测试验收和签署验收报告</w:t>
            </w:r>
          </w:p>
        </w:tc>
      </w:tr>
      <w:tr w14:paraId="6AE95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311D7FA1">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2</w:t>
            </w:r>
          </w:p>
        </w:tc>
        <w:tc>
          <w:tcPr>
            <w:tcW w:w="1071" w:type="pct"/>
            <w:tcBorders>
              <w:top w:val="nil"/>
              <w:left w:val="nil"/>
              <w:bottom w:val="single" w:color="000000" w:sz="8" w:space="0"/>
              <w:right w:val="single" w:color="000000" w:sz="8" w:space="0"/>
            </w:tcBorders>
            <w:shd w:val="clear" w:color="auto" w:fill="auto"/>
            <w:vAlign w:val="center"/>
          </w:tcPr>
          <w:p w14:paraId="65B3D43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AI计算规划设计与实施服务（液冷智算服务器）</w:t>
            </w:r>
          </w:p>
        </w:tc>
        <w:tc>
          <w:tcPr>
            <w:tcW w:w="5977" w:type="dxa"/>
            <w:tcBorders>
              <w:top w:val="nil"/>
              <w:left w:val="nil"/>
              <w:bottom w:val="single" w:color="000000" w:sz="8" w:space="0"/>
              <w:right w:val="single" w:color="000000" w:sz="8" w:space="0"/>
            </w:tcBorders>
            <w:shd w:val="clear" w:color="auto" w:fill="auto"/>
            <w:vAlign w:val="center"/>
          </w:tcPr>
          <w:p w14:paraId="77C35AF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AI计算规划设计与实施服务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本项目需要对所涉及的智算服务器进行专业的规划设计与实施服务，覆盖计算处理子系统内规划设计到项目中期硬件压测、计算处理子系统内综合布线、计算处理子系统软件部署实施，及计算处理子系统验收测试，确保项目交付高效达成既定目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1、AI计算产品规划设计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针对各个组成系统进行深化设计，输出详细设计以及对应的安装部署实施方案设计及评审、验收方案设计及评审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2、AI计算产品工程安装</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包含工程勘测、开箱验货、计算柜安装、总线柜安装、计算处理子系统内综合布线、设备上电、计算&amp;总线设备初始化、计算柜&amp;总线柜设备验收。</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3、AI计算产品部署实施</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根据设计对计算柜内节点进行软件部署，确保智算服务器的正确部署，并且对柜内节点进行单机综合测试和节点集合通信测试、单机模型测试等</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4、AI计算产品验收测试</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在计算柜和网络柜安装部署调试完成后，完成计算处理子系统内拓扑连线检查、光链路质量检测、计算处理子系统健康检查和异常信息处理，双方协商验收用例集和验收方案、根据已确定的验收方案进行验收计划制定，根据已确定的验收用例集和方案执行测试及测试验收和签署验收报告</w:t>
            </w:r>
          </w:p>
        </w:tc>
      </w:tr>
      <w:tr w14:paraId="107A5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000000" w:sz="8" w:space="0"/>
              <w:right w:val="single" w:color="000000" w:sz="8" w:space="0"/>
            </w:tcBorders>
            <w:shd w:val="clear" w:color="auto" w:fill="auto"/>
            <w:vAlign w:val="center"/>
          </w:tcPr>
          <w:p w14:paraId="190D005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3</w:t>
            </w:r>
          </w:p>
        </w:tc>
        <w:tc>
          <w:tcPr>
            <w:tcW w:w="1071" w:type="pct"/>
            <w:tcBorders>
              <w:top w:val="nil"/>
              <w:left w:val="nil"/>
              <w:bottom w:val="single" w:color="000000" w:sz="8" w:space="0"/>
              <w:right w:val="single" w:color="000000" w:sz="8" w:space="0"/>
            </w:tcBorders>
            <w:shd w:val="clear" w:color="auto" w:fill="auto"/>
            <w:vAlign w:val="center"/>
          </w:tcPr>
          <w:p w14:paraId="292A02A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AI计算集成服务（风冷智算服务器1）</w:t>
            </w:r>
          </w:p>
        </w:tc>
        <w:tc>
          <w:tcPr>
            <w:tcW w:w="5977" w:type="dxa"/>
            <w:tcBorders>
              <w:top w:val="nil"/>
              <w:left w:val="nil"/>
              <w:bottom w:val="single" w:color="000000" w:sz="8" w:space="0"/>
              <w:right w:val="single" w:color="000000" w:sz="8" w:space="0"/>
            </w:tcBorders>
            <w:shd w:val="clear" w:color="auto" w:fill="auto"/>
            <w:vAlign w:val="center"/>
          </w:tcPr>
          <w:p w14:paraId="1D920EAA">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AI计算集成服务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本项目需要对AI服务器进行集成规划设计实施，包含AI算力系统算管集成、AI算力系统算网集成、大规模专家并行组件部署调测、AI算力系统集成验证、AI算力系统集成验收。</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1、AI系统算管集成</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AI系统算管集成，服务内容包含算管协同规划设计、算管对接联调。</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1)算管协同规划设计包含资源纳管与调度规划设计，模型任务资源占用规划设计，提升资源利用率。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2)算管对接联调包含配合项目涉及的算力调度平台及运维平台的对接联调</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2、AI系统算网集成</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AI系统算网集成，服务内容包含算网协同规划设计、算网对接联调</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1)算网协同规划设计：参数面/业务面/管理面的组网设计，IP地址规划；对网络进行详细设计，对算网对接设计、带宽和时延与丢包率规划设计。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算网对接联调：核心为涵盖设备状态、链路连通性、网络性能及拥塞控制四大维度。重点验证算网各平面的设备健康度、业务路由转发与负载分担能力，并测试确保网络高可用，确保计算设备的算力调度、数据交互、分布式任务执行不受网络瓶颈或配置限制影响，为后续业务测试提供基础。</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3、大规模专家并行组件部署调测</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大规模专家并行组件部署调测，服务内容包含大规模专家并行方案设计，大规模专家并行组件部署、大规模专家并行功能测试包含PD分离功能验证、大规模专家并行模型性能测试与优化、大规模专家并行高可用测试及大规模专家并行业务割接</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4、AI系统集成验证</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AI系统集成验证，服务内容包含测试实施方案设计、健康检查、集合通信测试、模型测试、可靠性测试、稳定性测试、验收等内容，保证系统的持续稳定运行。</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5、AI系统集成验收</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AI系统集成验收，具体是指在整体算力系统已经部署、对接联调并完成系统测试后，在业务上线前，设备提供方与本次建设方根据合同验收内容，联合进行验收测试，以便本次建设方确认建设内容满足合同规定的需求，并且完成验收签字，服务内容包括验收计划制定、验收测试实施、验收确认及系统移交。</w:t>
            </w:r>
          </w:p>
        </w:tc>
      </w:tr>
      <w:tr w14:paraId="305B7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nil"/>
              <w:left w:val="single" w:color="000000" w:sz="8" w:space="0"/>
              <w:bottom w:val="single" w:color="auto" w:sz="8" w:space="0"/>
              <w:right w:val="single" w:color="000000" w:sz="8" w:space="0"/>
            </w:tcBorders>
            <w:shd w:val="clear" w:color="auto" w:fill="auto"/>
            <w:vAlign w:val="center"/>
          </w:tcPr>
          <w:p w14:paraId="15D4566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4</w:t>
            </w:r>
          </w:p>
        </w:tc>
        <w:tc>
          <w:tcPr>
            <w:tcW w:w="1071" w:type="pct"/>
            <w:tcBorders>
              <w:top w:val="nil"/>
              <w:left w:val="nil"/>
              <w:bottom w:val="single" w:color="auto" w:sz="8" w:space="0"/>
              <w:right w:val="single" w:color="000000" w:sz="8" w:space="0"/>
            </w:tcBorders>
            <w:shd w:val="clear" w:color="auto" w:fill="auto"/>
            <w:vAlign w:val="center"/>
          </w:tcPr>
          <w:p w14:paraId="5F5C904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AI计算集成服务（液冷智算服务器）</w:t>
            </w:r>
          </w:p>
        </w:tc>
        <w:tc>
          <w:tcPr>
            <w:tcW w:w="5977" w:type="dxa"/>
            <w:tcBorders>
              <w:top w:val="nil"/>
              <w:left w:val="nil"/>
              <w:bottom w:val="single" w:color="auto" w:sz="8" w:space="0"/>
              <w:right w:val="single" w:color="000000" w:sz="8" w:space="0"/>
            </w:tcBorders>
            <w:shd w:val="clear" w:color="auto" w:fill="auto"/>
            <w:vAlign w:val="center"/>
          </w:tcPr>
          <w:p w14:paraId="6D1E6A3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AI计算集成服务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本项目需要对AI服务器进行集成规划设计实施，包含AI算力系统算管集成、AI算力系统算网集成、大规模专家并行组件部署调测、AI算力系统集成验证、AI算力系统集成验收。</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1、AI系统算管集成</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AI系统算管集成，服务内容包含算管协同规划设计、算管对接联调。</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1)算管协同规划设计包含资源纳管与调度规划设计，模型任务资源占用规划设计，提升资源利用率。</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2)算管对接联调包含配合项目涉及的算力调度平台及运维平台的对接联调</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2、AI系统算网集成</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AI系统算网集成，服务内容包含算网协同规划设计、算网对接联调</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1)算网协同规划设计：参数面/业务面/管理面的组网设计，IP地址规划；对网络进行详细设计，对算网对接设计、带宽和时延与丢包率规划设计。</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2)算网对接联调：核心为涵盖设备状态、链路连通性、网络性能及拥塞控制四大维度。重点验证算网各平面的设备健康度、业务路由转发与负载分担能力，并测试确保网络高可用，确保计算设备的算力调度、数据交互、分布式任务执行不受网络瓶颈或配置限制影响，为后续业务测试提供基础。</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3、大规模专家并行组件部署调测</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大规模专家并行组件部署调测，服务内容包含大规模专家并行方案设计，大规模专家并行组件部署、大规模专家并行功能测试包含PD分离功能验证、大规模专家并行模型性能测试与优化、大规模专家并行高可用测试及大规模专家并行业务割接</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4、AI系统集成验证</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AI系统集成验证，服务内容包含测试实施方案设计、健康检查、集合通信测试、模型测试、可靠性测试、稳定性测试、验收等内容，保证系统的持续稳定运行。</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5、AI系统集成验收</w:t>
            </w:r>
            <w:r>
              <w:rPr>
                <w:rFonts w:hint="eastAsia" w:ascii="书宋-简" w:hAnsi="书宋-简" w:eastAsia="书宋-简" w:cs="书宋-简"/>
                <w:i w:val="0"/>
                <w:iCs w:val="0"/>
                <w:color w:val="auto"/>
                <w:kern w:val="0"/>
                <w:sz w:val="20"/>
                <w:szCs w:val="20"/>
                <w:u w:val="none"/>
                <w:lang w:val="en-US" w:eastAsia="zh-CN" w:bidi="ar"/>
              </w:rPr>
              <w:br w:type="textWrapping"/>
            </w:r>
            <w:r>
              <w:rPr>
                <w:rFonts w:hint="eastAsia" w:ascii="书宋-简" w:hAnsi="书宋-简" w:eastAsia="书宋-简" w:cs="书宋-简"/>
                <w:i w:val="0"/>
                <w:iCs w:val="0"/>
                <w:color w:val="auto"/>
                <w:kern w:val="0"/>
                <w:sz w:val="20"/>
                <w:szCs w:val="20"/>
                <w:u w:val="none"/>
                <w:lang w:val="en-US" w:eastAsia="zh-CN" w:bidi="ar"/>
              </w:rPr>
              <w:t>AI系统集成验收，具体是指在整体算力系统已经部署、对接联调并完成系统测试后，在业务上线前，设备提供方与本次建设方根据合同验收内容，联合进行验收测试，以便本次建设方确认建设内容满足合同规定的需求，并且完成验收签字，服务内容包括验收计划制定、验收测试实施、验收确认及系统移交。</w:t>
            </w:r>
          </w:p>
        </w:tc>
      </w:tr>
      <w:tr w14:paraId="6B12A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420" w:type="pct"/>
            <w:tcBorders>
              <w:top w:val="single" w:color="auto" w:sz="8" w:space="0"/>
              <w:left w:val="single" w:color="auto" w:sz="8" w:space="0"/>
              <w:bottom w:val="single" w:color="auto" w:sz="8" w:space="0"/>
              <w:right w:val="single" w:color="auto" w:sz="8" w:space="0"/>
            </w:tcBorders>
            <w:shd w:val="clear" w:color="auto" w:fill="auto"/>
            <w:vAlign w:val="center"/>
          </w:tcPr>
          <w:p w14:paraId="0921238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5</w:t>
            </w:r>
          </w:p>
        </w:tc>
        <w:tc>
          <w:tcPr>
            <w:tcW w:w="1071" w:type="pct"/>
            <w:tcBorders>
              <w:top w:val="single" w:color="auto" w:sz="8" w:space="0"/>
              <w:left w:val="single" w:color="auto" w:sz="8" w:space="0"/>
              <w:bottom w:val="single" w:color="auto" w:sz="8" w:space="0"/>
              <w:right w:val="single" w:color="auto" w:sz="8" w:space="0"/>
            </w:tcBorders>
            <w:shd w:val="clear" w:color="auto" w:fill="auto"/>
            <w:vAlign w:val="center"/>
          </w:tcPr>
          <w:p w14:paraId="36D1F51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数据中心机房改造集成服务（风冷智算服务器）</w:t>
            </w:r>
          </w:p>
        </w:tc>
        <w:tc>
          <w:tcPr>
            <w:tcW w:w="5977" w:type="dxa"/>
            <w:tcBorders>
              <w:top w:val="single" w:color="auto" w:sz="8" w:space="0"/>
              <w:left w:val="single" w:color="auto" w:sz="8" w:space="0"/>
              <w:bottom w:val="single" w:color="auto" w:sz="8" w:space="0"/>
              <w:right w:val="single" w:color="auto" w:sz="8" w:space="0"/>
            </w:tcBorders>
            <w:shd w:val="clear" w:color="auto" w:fill="auto"/>
            <w:vAlign w:val="center"/>
          </w:tcPr>
          <w:p w14:paraId="62D1C49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sz w:val="20"/>
                <w:szCs w:val="20"/>
                <w:u w:val="none"/>
              </w:rPr>
            </w:pPr>
            <w:r>
              <w:rPr>
                <w:rFonts w:hint="eastAsia" w:ascii="书宋-简" w:hAnsi="书宋-简" w:eastAsia="书宋-简" w:cs="书宋-简"/>
                <w:i w:val="0"/>
                <w:iCs w:val="0"/>
                <w:color w:val="auto"/>
                <w:kern w:val="0"/>
                <w:sz w:val="20"/>
                <w:szCs w:val="20"/>
                <w:u w:val="none"/>
                <w:lang w:val="en-US" w:eastAsia="zh-CN" w:bidi="ar"/>
              </w:rPr>
              <w:t>以不低于《数据中心设计规范》GB50174-2017中A级标准的要求，对所需IT机柜开展机柜前后垂直立柱移位调整，适配设备的上架安装要求；拆除机柜原有PDU单元，敷设RVV3×16阻燃电缆，新增240个半高定制型PDU（63A输入、4×C19输出）、40个半高定制型PDU（63A输入、12×C13输出），满足设备供电需求。</w:t>
            </w:r>
          </w:p>
        </w:tc>
      </w:tr>
      <w:tr w14:paraId="2126D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0" w:hRule="atLeast"/>
        </w:trPr>
        <w:tc>
          <w:tcPr>
            <w:tcW w:w="716" w:type="dxa"/>
            <w:tcBorders>
              <w:top w:val="single" w:color="auto" w:sz="8" w:space="0"/>
              <w:left w:val="single" w:color="auto" w:sz="8" w:space="0"/>
              <w:bottom w:val="single" w:color="auto" w:sz="8" w:space="0"/>
              <w:right w:val="single" w:color="auto" w:sz="8" w:space="0"/>
            </w:tcBorders>
            <w:shd w:val="clear" w:color="auto" w:fill="auto"/>
            <w:vAlign w:val="center"/>
          </w:tcPr>
          <w:p w14:paraId="1366A48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default"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auto"/>
                <w:kern w:val="0"/>
                <w:sz w:val="20"/>
                <w:szCs w:val="20"/>
                <w:u w:val="none"/>
                <w:lang w:val="en-US" w:eastAsia="zh-CN" w:bidi="ar"/>
              </w:rPr>
              <w:t>6</w:t>
            </w:r>
          </w:p>
        </w:tc>
        <w:tc>
          <w:tcPr>
            <w:tcW w:w="1826" w:type="dxa"/>
            <w:tcBorders>
              <w:top w:val="single" w:color="auto" w:sz="8" w:space="0"/>
              <w:left w:val="single" w:color="auto" w:sz="8" w:space="0"/>
              <w:bottom w:val="single" w:color="auto" w:sz="8" w:space="0"/>
              <w:right w:val="single" w:color="auto" w:sz="8" w:space="0"/>
            </w:tcBorders>
            <w:shd w:val="clear" w:color="auto" w:fill="auto"/>
            <w:vAlign w:val="center"/>
          </w:tcPr>
          <w:p w14:paraId="1FB152C0">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AI培训服务</w:t>
            </w:r>
          </w:p>
        </w:tc>
        <w:tc>
          <w:tcPr>
            <w:tcW w:w="5977" w:type="dxa"/>
            <w:tcBorders>
              <w:top w:val="single" w:color="auto" w:sz="8" w:space="0"/>
              <w:left w:val="single" w:color="auto" w:sz="8" w:space="0"/>
              <w:bottom w:val="single" w:color="auto" w:sz="8" w:space="0"/>
              <w:right w:val="single" w:color="auto" w:sz="8" w:space="0"/>
            </w:tcBorders>
            <w:shd w:val="clear" w:color="auto" w:fill="auto"/>
            <w:vAlign w:val="center"/>
          </w:tcPr>
          <w:p w14:paraId="17C4998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auto"/>
                <w:kern w:val="0"/>
                <w:sz w:val="20"/>
                <w:szCs w:val="20"/>
                <w:u w:val="none"/>
                <w:lang w:val="en-US" w:eastAsia="zh-CN" w:bidi="ar"/>
              </w:rPr>
            </w:pPr>
            <w:r>
              <w:rPr>
                <w:rFonts w:hint="eastAsia" w:ascii="书宋-简" w:hAnsi="书宋-简" w:eastAsia="书宋-简" w:cs="书宋-简"/>
                <w:i w:val="0"/>
                <w:iCs w:val="0"/>
                <w:color w:val="000000"/>
                <w:kern w:val="0"/>
                <w:sz w:val="20"/>
                <w:szCs w:val="20"/>
                <w:u w:val="none"/>
                <w:lang w:val="en-US" w:eastAsia="zh-CN" w:bidi="ar"/>
              </w:rPr>
              <w:t>提供AI算力相关的培训服务，如企业数字化相关管理培训或AI计算技术培训等培训内容</w:t>
            </w:r>
          </w:p>
        </w:tc>
      </w:tr>
      <w:bookmarkEnd w:id="12"/>
    </w:tbl>
    <w:p w14:paraId="7C944958">
      <w:pPr>
        <w:keepNext w:val="0"/>
        <w:keepLines w:val="0"/>
        <w:pageBreakBefore w:val="0"/>
        <w:widowControl/>
        <w:kinsoku/>
        <w:wordWrap/>
        <w:overflowPunct/>
        <w:topLinePunct w:val="0"/>
        <w:autoSpaceDE/>
        <w:autoSpaceDN/>
        <w:bidi w:val="0"/>
        <w:adjustRightInd w:val="0"/>
        <w:snapToGrid w:val="0"/>
        <w:spacing w:after="0" w:line="288" w:lineRule="auto"/>
        <w:ind w:firstLine="0" w:firstLineChars="0"/>
        <w:jc w:val="center"/>
        <w:textAlignment w:val="auto"/>
        <w:rPr>
          <w:rFonts w:hint="eastAsia" w:ascii="书宋-简" w:hAnsi="书宋-简" w:eastAsia="书宋-简" w:cs="书宋-简"/>
          <w:b/>
          <w:bCs/>
          <w:color w:val="000000"/>
          <w:kern w:val="0"/>
          <w:sz w:val="20"/>
          <w:szCs w:val="20"/>
          <w:lang w:bidi="ar"/>
        </w:rPr>
      </w:pPr>
    </w:p>
    <w:p w14:paraId="0F61A371">
      <w:pPr>
        <w:keepNext w:val="0"/>
        <w:keepLines w:val="0"/>
        <w:pageBreakBefore w:val="0"/>
        <w:widowControl/>
        <w:kinsoku/>
        <w:wordWrap/>
        <w:overflowPunct/>
        <w:topLinePunct w:val="0"/>
        <w:autoSpaceDE/>
        <w:autoSpaceDN/>
        <w:bidi w:val="0"/>
        <w:adjustRightInd w:val="0"/>
        <w:snapToGrid w:val="0"/>
        <w:spacing w:after="0" w:line="288" w:lineRule="auto"/>
        <w:ind w:firstLine="0" w:firstLineChars="0"/>
        <w:jc w:val="center"/>
        <w:textAlignment w:val="auto"/>
        <w:rPr>
          <w:rFonts w:hint="eastAsia" w:ascii="书宋-简" w:hAnsi="书宋-简" w:eastAsia="书宋-简" w:cs="书宋-简"/>
          <w:b/>
          <w:bCs/>
          <w:color w:val="000000"/>
          <w:kern w:val="0"/>
          <w:sz w:val="20"/>
          <w:szCs w:val="20"/>
          <w:lang w:eastAsia="zh-CN" w:bidi="ar"/>
        </w:rPr>
      </w:pPr>
      <w:r>
        <w:rPr>
          <w:rFonts w:hint="eastAsia" w:ascii="书宋-简" w:hAnsi="书宋-简" w:eastAsia="书宋-简" w:cs="书宋-简"/>
          <w:b/>
          <w:bCs/>
          <w:color w:val="000000"/>
          <w:kern w:val="0"/>
          <w:sz w:val="20"/>
          <w:szCs w:val="20"/>
          <w:lang w:bidi="ar"/>
        </w:rPr>
        <w:t>技术参数要求表</w:t>
      </w:r>
      <w:r>
        <w:rPr>
          <w:rFonts w:hint="eastAsia" w:ascii="书宋-简" w:hAnsi="书宋-简" w:eastAsia="书宋-简" w:cs="书宋-简"/>
          <w:b/>
          <w:bCs/>
          <w:color w:val="000000"/>
          <w:kern w:val="0"/>
          <w:sz w:val="20"/>
          <w:szCs w:val="20"/>
          <w:lang w:eastAsia="zh-CN" w:bidi="ar"/>
        </w:rPr>
        <w:t>——专业</w:t>
      </w:r>
      <w:r>
        <w:rPr>
          <w:rFonts w:hint="eastAsia" w:ascii="书宋-简" w:hAnsi="书宋-简" w:eastAsia="书宋-简" w:cs="书宋-简"/>
          <w:b/>
          <w:bCs/>
          <w:color w:val="000000"/>
          <w:kern w:val="0"/>
          <w:sz w:val="20"/>
          <w:szCs w:val="20"/>
          <w:lang w:bidi="ar"/>
        </w:rPr>
        <w:t>服务</w:t>
      </w:r>
    </w:p>
    <w:tbl>
      <w:tblPr>
        <w:tblStyle w:val="49"/>
        <w:tblW w:w="4998"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fixed"/>
        <w:tblCellMar>
          <w:top w:w="0" w:type="dxa"/>
          <w:left w:w="108" w:type="dxa"/>
          <w:bottom w:w="0" w:type="dxa"/>
          <w:right w:w="108" w:type="dxa"/>
        </w:tblCellMar>
      </w:tblPr>
      <w:tblGrid>
        <w:gridCol w:w="716"/>
        <w:gridCol w:w="1826"/>
        <w:gridCol w:w="5977"/>
      </w:tblGrid>
      <w:tr w14:paraId="01998F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PrEx>
        <w:trPr>
          <w:trHeight w:val="320" w:hRule="atLeast"/>
        </w:trPr>
        <w:tc>
          <w:tcPr>
            <w:tcW w:w="716" w:type="dxa"/>
            <w:shd w:val="clear" w:color="auto" w:fill="auto"/>
            <w:vAlign w:val="center"/>
          </w:tcPr>
          <w:p w14:paraId="5C0ABE45">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b/>
                <w:bCs/>
                <w:i w:val="0"/>
                <w:iCs w:val="0"/>
                <w:color w:val="000000"/>
                <w:kern w:val="0"/>
                <w:sz w:val="20"/>
                <w:szCs w:val="20"/>
                <w:u w:val="none"/>
                <w:lang w:val="en-US" w:eastAsia="zh-CN" w:bidi="ar"/>
              </w:rPr>
              <w:t>序号</w:t>
            </w:r>
          </w:p>
        </w:tc>
        <w:tc>
          <w:tcPr>
            <w:tcW w:w="1826" w:type="dxa"/>
            <w:shd w:val="clear" w:color="auto" w:fill="auto"/>
            <w:vAlign w:val="center"/>
          </w:tcPr>
          <w:p w14:paraId="5C258D6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b/>
                <w:bCs/>
                <w:i w:val="0"/>
                <w:iCs w:val="0"/>
                <w:color w:val="000000"/>
                <w:kern w:val="0"/>
                <w:sz w:val="20"/>
                <w:szCs w:val="20"/>
                <w:u w:val="none"/>
                <w:lang w:val="en-US" w:eastAsia="zh-CN" w:bidi="ar"/>
              </w:rPr>
              <w:t>名称</w:t>
            </w:r>
          </w:p>
        </w:tc>
        <w:tc>
          <w:tcPr>
            <w:tcW w:w="5977" w:type="dxa"/>
            <w:shd w:val="clear" w:color="auto" w:fill="auto"/>
            <w:vAlign w:val="center"/>
          </w:tcPr>
          <w:p w14:paraId="5C41001C">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center"/>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b/>
                <w:bCs/>
                <w:i w:val="0"/>
                <w:iCs w:val="0"/>
                <w:color w:val="000000"/>
                <w:sz w:val="20"/>
                <w:szCs w:val="20"/>
                <w:u w:val="none"/>
                <w:lang w:eastAsia="zh-CN"/>
              </w:rPr>
              <w:t>技术参数</w:t>
            </w:r>
          </w:p>
        </w:tc>
      </w:tr>
      <w:tr w14:paraId="3A2456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20" w:hRule="atLeast"/>
        </w:trPr>
        <w:tc>
          <w:tcPr>
            <w:tcW w:w="716" w:type="dxa"/>
            <w:shd w:val="clear" w:color="auto" w:fill="auto"/>
            <w:vAlign w:val="center"/>
          </w:tcPr>
          <w:p w14:paraId="0D8B31B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1</w:t>
            </w:r>
          </w:p>
        </w:tc>
        <w:tc>
          <w:tcPr>
            <w:tcW w:w="1826" w:type="dxa"/>
            <w:shd w:val="clear" w:color="auto" w:fill="auto"/>
            <w:vAlign w:val="center"/>
          </w:tcPr>
          <w:p w14:paraId="499EE3A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AI计算使能服务（风冷智算服务器）</w:t>
            </w:r>
          </w:p>
        </w:tc>
        <w:tc>
          <w:tcPr>
            <w:tcW w:w="5977" w:type="dxa"/>
            <w:shd w:val="clear" w:color="auto" w:fill="auto"/>
            <w:vAlign w:val="center"/>
          </w:tcPr>
          <w:p w14:paraId="1A65BCA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本项目建成后在业务使用过程中需要提供专业的AI技术支持，在服务时间内，提供专业技术支持（5*8），要求30分钟内响应诉求。</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针对本项目建设完成的算力设备及其上运行模型和对应业务，服务提供商应提供包含以下服务：智算设备对应软件栈问题定位、智算设备对应软件栈开发支持、模型部署与调测支持、模型迁移与适配支持、模型性能与精度分析，旨在提升AI开发效率、降低开发门槛，处理在开发中遇到的技术问题，使能业务价值落地。</w:t>
            </w:r>
          </w:p>
        </w:tc>
      </w:tr>
      <w:tr w14:paraId="309126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PrEx>
        <w:trPr>
          <w:trHeight w:val="320" w:hRule="atLeast"/>
        </w:trPr>
        <w:tc>
          <w:tcPr>
            <w:tcW w:w="716" w:type="dxa"/>
            <w:shd w:val="clear" w:color="auto" w:fill="auto"/>
            <w:vAlign w:val="center"/>
          </w:tcPr>
          <w:p w14:paraId="71DCDE28">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2</w:t>
            </w:r>
          </w:p>
        </w:tc>
        <w:tc>
          <w:tcPr>
            <w:tcW w:w="1826" w:type="dxa"/>
            <w:shd w:val="clear" w:color="auto" w:fill="auto"/>
            <w:vAlign w:val="center"/>
          </w:tcPr>
          <w:p w14:paraId="29C91D47">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AI计算使能服务（液冷智算服务器）</w:t>
            </w:r>
          </w:p>
        </w:tc>
        <w:tc>
          <w:tcPr>
            <w:tcW w:w="5977" w:type="dxa"/>
            <w:shd w:val="clear" w:color="auto" w:fill="auto"/>
            <w:vAlign w:val="center"/>
          </w:tcPr>
          <w:p w14:paraId="04EFBC48">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本项目建成后在业务使用过程中需要提供专业的AI技术支持，在服务时间内，提供专业技术支持（5*8），要求30分钟内响应诉求。</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针对本项目建设完成的算力设备及其上运行模型和对应业务，服务提供商应提供包含以下服务：智算设备对应软件栈问题定位、智算设备对应软件栈开发支持、模型部署与调测支持、模型迁移与适配支持、模型性能与精度分析，旨在提升AI开发效率、降低开发门槛，处理在开发中遇到的技术问题，使能业务价值落地。</w:t>
            </w:r>
          </w:p>
        </w:tc>
      </w:tr>
      <w:tr w14:paraId="4CEC1A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PrEx>
        <w:trPr>
          <w:trHeight w:val="320" w:hRule="atLeast"/>
        </w:trPr>
        <w:tc>
          <w:tcPr>
            <w:tcW w:w="716" w:type="dxa"/>
            <w:shd w:val="clear" w:color="auto" w:fill="auto"/>
            <w:vAlign w:val="center"/>
          </w:tcPr>
          <w:p w14:paraId="12596F75">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3</w:t>
            </w:r>
          </w:p>
        </w:tc>
        <w:tc>
          <w:tcPr>
            <w:tcW w:w="1826" w:type="dxa"/>
            <w:shd w:val="clear" w:color="auto" w:fill="auto"/>
            <w:vAlign w:val="center"/>
          </w:tcPr>
          <w:p w14:paraId="4D926D3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AI算网运维服务（风冷智算服务器）</w:t>
            </w:r>
          </w:p>
        </w:tc>
        <w:tc>
          <w:tcPr>
            <w:tcW w:w="5977" w:type="dxa"/>
            <w:shd w:val="clear" w:color="auto" w:fill="auto"/>
            <w:vAlign w:val="center"/>
          </w:tcPr>
          <w:p w14:paraId="5BFECF1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highlight w:val="none"/>
                <w:u w:val="none"/>
              </w:rPr>
            </w:pPr>
            <w:r>
              <w:rPr>
                <w:rFonts w:hint="eastAsia" w:ascii="书宋-简" w:hAnsi="书宋-简" w:eastAsia="书宋-简" w:cs="书宋-简"/>
                <w:i w:val="0"/>
                <w:iCs w:val="0"/>
                <w:color w:val="000000"/>
                <w:kern w:val="0"/>
                <w:sz w:val="20"/>
                <w:szCs w:val="20"/>
                <w:highlight w:val="none"/>
                <w:u w:val="none"/>
                <w:lang w:val="en-US" w:eastAsia="zh-CN" w:bidi="ar"/>
              </w:rPr>
              <w:t>在本项目建成后，需根据算力规模组建专业的运维团队，针对AI算网系统提供专业的运维服务，确保系统运维稳定。</w:t>
            </w:r>
            <w:r>
              <w:rPr>
                <w:rFonts w:hint="eastAsia" w:ascii="书宋-简" w:hAnsi="书宋-简" w:eastAsia="书宋-简" w:cs="书宋-简"/>
                <w:i w:val="0"/>
                <w:iCs w:val="0"/>
                <w:color w:val="000000"/>
                <w:kern w:val="0"/>
                <w:sz w:val="20"/>
                <w:szCs w:val="20"/>
                <w:highlight w:val="none"/>
                <w:u w:val="none"/>
                <w:lang w:val="en-US" w:eastAsia="zh-CN" w:bidi="ar"/>
              </w:rPr>
              <w:br w:type="textWrapping"/>
            </w:r>
            <w:r>
              <w:rPr>
                <w:rFonts w:hint="eastAsia" w:ascii="书宋-简" w:hAnsi="书宋-简" w:eastAsia="书宋-简" w:cs="书宋-简"/>
                <w:i w:val="0"/>
                <w:iCs w:val="0"/>
                <w:color w:val="000000"/>
                <w:kern w:val="0"/>
                <w:sz w:val="20"/>
                <w:szCs w:val="20"/>
                <w:highlight w:val="none"/>
                <w:u w:val="none"/>
                <w:lang w:val="en-US" w:eastAsia="zh-CN" w:bidi="ar"/>
              </w:rPr>
              <w:t>运维团队：要求每128台设备提供不少于3人的运维人员，并整体提供一名运维管理人员统一管理。</w:t>
            </w:r>
            <w:r>
              <w:rPr>
                <w:rFonts w:hint="eastAsia" w:ascii="书宋-简" w:hAnsi="书宋-简" w:eastAsia="书宋-简" w:cs="书宋-简"/>
                <w:i w:val="0"/>
                <w:iCs w:val="0"/>
                <w:color w:val="000000"/>
                <w:kern w:val="0"/>
                <w:sz w:val="20"/>
                <w:szCs w:val="20"/>
                <w:highlight w:val="none"/>
                <w:u w:val="none"/>
                <w:lang w:val="en-US" w:eastAsia="zh-CN" w:bidi="ar"/>
              </w:rPr>
              <w:br w:type="textWrapping"/>
            </w:r>
            <w:r>
              <w:rPr>
                <w:rFonts w:hint="eastAsia" w:ascii="书宋-简" w:hAnsi="书宋-简" w:eastAsia="书宋-简" w:cs="书宋-简"/>
                <w:i w:val="0"/>
                <w:iCs w:val="0"/>
                <w:color w:val="000000"/>
                <w:kern w:val="0"/>
                <w:sz w:val="20"/>
                <w:szCs w:val="20"/>
                <w:highlight w:val="none"/>
                <w:u w:val="none"/>
                <w:lang w:val="en-US" w:eastAsia="zh-CN" w:bidi="ar"/>
              </w:rPr>
              <w:t>标准的服务内容包括：日常巡检、服务响应、故障恢复、变更协助、系统备份、配置信息维护、资产信息维护、服务报告。</w:t>
            </w:r>
          </w:p>
        </w:tc>
      </w:tr>
      <w:tr w14:paraId="2B4185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PrEx>
        <w:trPr>
          <w:trHeight w:val="320" w:hRule="atLeast"/>
        </w:trPr>
        <w:tc>
          <w:tcPr>
            <w:tcW w:w="716" w:type="dxa"/>
            <w:shd w:val="clear" w:color="auto" w:fill="auto"/>
            <w:vAlign w:val="center"/>
          </w:tcPr>
          <w:p w14:paraId="290C79B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4</w:t>
            </w:r>
          </w:p>
        </w:tc>
        <w:tc>
          <w:tcPr>
            <w:tcW w:w="1826" w:type="dxa"/>
            <w:shd w:val="clear" w:color="auto" w:fill="auto"/>
            <w:vAlign w:val="center"/>
          </w:tcPr>
          <w:p w14:paraId="00AA7812">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AI算网运维服务（液冷智算服务器）</w:t>
            </w:r>
          </w:p>
        </w:tc>
        <w:tc>
          <w:tcPr>
            <w:tcW w:w="5977" w:type="dxa"/>
            <w:shd w:val="clear" w:color="auto" w:fill="auto"/>
            <w:vAlign w:val="center"/>
          </w:tcPr>
          <w:p w14:paraId="331F25AE">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highlight w:val="none"/>
                <w:u w:val="none"/>
              </w:rPr>
            </w:pPr>
            <w:r>
              <w:rPr>
                <w:rFonts w:hint="eastAsia" w:ascii="书宋-简" w:hAnsi="书宋-简" w:eastAsia="书宋-简" w:cs="书宋-简"/>
                <w:i w:val="0"/>
                <w:iCs w:val="0"/>
                <w:color w:val="000000"/>
                <w:kern w:val="0"/>
                <w:sz w:val="20"/>
                <w:szCs w:val="20"/>
                <w:highlight w:val="none"/>
                <w:u w:val="none"/>
                <w:lang w:val="en-US" w:eastAsia="zh-CN" w:bidi="ar"/>
              </w:rPr>
              <w:t>在本项目建成后，需根据算力规模组建专业的运维团队，针对AI算网系统提供专业的运维服务，确保系统运维稳定。</w:t>
            </w:r>
            <w:r>
              <w:rPr>
                <w:rFonts w:hint="eastAsia" w:ascii="书宋-简" w:hAnsi="书宋-简" w:eastAsia="书宋-简" w:cs="书宋-简"/>
                <w:i w:val="0"/>
                <w:iCs w:val="0"/>
                <w:color w:val="000000"/>
                <w:kern w:val="0"/>
                <w:sz w:val="20"/>
                <w:szCs w:val="20"/>
                <w:highlight w:val="none"/>
                <w:u w:val="none"/>
                <w:lang w:val="en-US" w:eastAsia="zh-CN" w:bidi="ar"/>
              </w:rPr>
              <w:br w:type="textWrapping"/>
            </w:r>
            <w:r>
              <w:rPr>
                <w:rFonts w:hint="eastAsia" w:ascii="书宋-简" w:hAnsi="书宋-简" w:eastAsia="书宋-简" w:cs="书宋-简"/>
                <w:i w:val="0"/>
                <w:iCs w:val="0"/>
                <w:color w:val="000000"/>
                <w:kern w:val="0"/>
                <w:sz w:val="20"/>
                <w:szCs w:val="20"/>
                <w:highlight w:val="none"/>
                <w:u w:val="none"/>
                <w:lang w:val="en-US" w:eastAsia="zh-CN" w:bidi="ar"/>
              </w:rPr>
              <w:t>运维团队：要求每套设备提供不少于3人的运维人员，并整体提供一名运维管理人员统一管理。</w:t>
            </w:r>
            <w:r>
              <w:rPr>
                <w:rFonts w:hint="eastAsia" w:ascii="书宋-简" w:hAnsi="书宋-简" w:eastAsia="书宋-简" w:cs="书宋-简"/>
                <w:i w:val="0"/>
                <w:iCs w:val="0"/>
                <w:color w:val="000000"/>
                <w:kern w:val="0"/>
                <w:sz w:val="20"/>
                <w:szCs w:val="20"/>
                <w:highlight w:val="none"/>
                <w:u w:val="none"/>
                <w:lang w:val="en-US" w:eastAsia="zh-CN" w:bidi="ar"/>
              </w:rPr>
              <w:br w:type="textWrapping"/>
            </w:r>
            <w:r>
              <w:rPr>
                <w:rFonts w:hint="eastAsia" w:ascii="书宋-简" w:hAnsi="书宋-简" w:eastAsia="书宋-简" w:cs="书宋-简"/>
                <w:i w:val="0"/>
                <w:iCs w:val="0"/>
                <w:color w:val="000000"/>
                <w:kern w:val="0"/>
                <w:sz w:val="20"/>
                <w:szCs w:val="20"/>
                <w:highlight w:val="none"/>
                <w:u w:val="none"/>
                <w:lang w:val="en-US" w:eastAsia="zh-CN" w:bidi="ar"/>
              </w:rPr>
              <w:t>标准的服务内容包括：日常巡检、服务响应、故障恢复、变更协助、系统备份、配置信息维护、资产信息维护、服务报告。</w:t>
            </w:r>
          </w:p>
        </w:tc>
      </w:tr>
      <w:tr w14:paraId="5F72BC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PrEx>
        <w:trPr>
          <w:trHeight w:val="320" w:hRule="atLeast"/>
        </w:trPr>
        <w:tc>
          <w:tcPr>
            <w:tcW w:w="716" w:type="dxa"/>
            <w:shd w:val="clear" w:color="auto" w:fill="auto"/>
            <w:vAlign w:val="center"/>
          </w:tcPr>
          <w:p w14:paraId="3812B5ED">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000000"/>
                <w:sz w:val="20"/>
                <w:szCs w:val="20"/>
                <w:u w:val="none"/>
                <w:lang w:val="en-US" w:eastAsia="zh-CN"/>
              </w:rPr>
            </w:pPr>
            <w:r>
              <w:rPr>
                <w:rFonts w:hint="eastAsia" w:ascii="书宋-简" w:hAnsi="书宋-简" w:eastAsia="书宋-简" w:cs="书宋-简"/>
                <w:i w:val="0"/>
                <w:iCs w:val="0"/>
                <w:color w:val="000000"/>
                <w:sz w:val="20"/>
                <w:szCs w:val="20"/>
                <w:u w:val="none"/>
                <w:lang w:val="en-US" w:eastAsia="zh-CN"/>
              </w:rPr>
              <w:t>5</w:t>
            </w:r>
          </w:p>
        </w:tc>
        <w:tc>
          <w:tcPr>
            <w:tcW w:w="1826" w:type="dxa"/>
            <w:shd w:val="clear" w:color="auto" w:fill="auto"/>
            <w:vAlign w:val="center"/>
          </w:tcPr>
          <w:p w14:paraId="6A608ABF">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延保服务(液冷智算服务器)</w:t>
            </w:r>
          </w:p>
        </w:tc>
        <w:tc>
          <w:tcPr>
            <w:tcW w:w="5977" w:type="dxa"/>
            <w:shd w:val="clear" w:color="auto" w:fill="auto"/>
            <w:vAlign w:val="center"/>
          </w:tcPr>
          <w:p w14:paraId="77EEA55F">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1 质量保修期限 1年（从上次质保满下一天起算）</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2 质量保修范围 货物质量缺陷或质量问题引起的维修事件</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3 远程支持服务 提供24小时问题统一受理平台。提供7*24远程问题处理服务,就有关设备或网络的技术咨询及问题，进行远程技术支持和处理，并提供问题解决方案。提供网站自助平台，客户以授权用户的身份访问厂商技术网站。可访问技术论坛、下载相关软件补丁、获取产品技术手册、技术案例、维护经验等。</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4 软件更新服务 为解决软件版本的BUG、功能改进或增强提供软件补丁（外购件除外）。</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5 硬件支持服务 确定为硬件故障后，可提供7*24*下一天到达硬件预更换服务（外购件除外）。</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6 现场硬件更换服务 如果确定硬件故障不能通过远程方式解决，厂家工程师将到达故障现场，进行现场硬件更换。</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7 现场问题处理服务 如果厂家确定设备问题不能通过远程方式解决，将派工程师于7*24*下一天到达到现场进行问题处理，包括信息收集、问题分析、故障诊断、方案实施、紧急问题恢复等。</w:t>
            </w:r>
          </w:p>
        </w:tc>
      </w:tr>
      <w:tr w14:paraId="05EE87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PrEx>
        <w:trPr>
          <w:trHeight w:val="320" w:hRule="atLeast"/>
        </w:trPr>
        <w:tc>
          <w:tcPr>
            <w:tcW w:w="716" w:type="dxa"/>
            <w:shd w:val="clear" w:color="auto" w:fill="auto"/>
            <w:vAlign w:val="center"/>
          </w:tcPr>
          <w:p w14:paraId="7A390563">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000000"/>
                <w:kern w:val="2"/>
                <w:sz w:val="20"/>
                <w:szCs w:val="20"/>
                <w:u w:val="none"/>
                <w:lang w:val="en-US" w:eastAsia="zh-CN" w:bidi="ar-SA"/>
              </w:rPr>
            </w:pPr>
            <w:r>
              <w:rPr>
                <w:rFonts w:hint="eastAsia" w:ascii="书宋-简" w:hAnsi="书宋-简" w:eastAsia="书宋-简" w:cs="书宋-简"/>
                <w:i w:val="0"/>
                <w:iCs w:val="0"/>
                <w:color w:val="000000"/>
                <w:kern w:val="0"/>
                <w:sz w:val="20"/>
                <w:szCs w:val="20"/>
                <w:u w:val="none"/>
                <w:lang w:val="en-US" w:eastAsia="zh-CN" w:bidi="ar"/>
              </w:rPr>
              <w:t>6</w:t>
            </w:r>
          </w:p>
        </w:tc>
        <w:tc>
          <w:tcPr>
            <w:tcW w:w="1826" w:type="dxa"/>
            <w:shd w:val="clear" w:color="auto" w:fill="auto"/>
            <w:vAlign w:val="center"/>
          </w:tcPr>
          <w:p w14:paraId="1FE49D47">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延保服务(风冷智算服务器1)</w:t>
            </w:r>
          </w:p>
        </w:tc>
        <w:tc>
          <w:tcPr>
            <w:tcW w:w="5977" w:type="dxa"/>
            <w:shd w:val="clear" w:color="auto" w:fill="auto"/>
            <w:vAlign w:val="center"/>
          </w:tcPr>
          <w:p w14:paraId="108EFAC4">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1 质量保修期限 1年（从上次质保满下一天起算）</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2 质量保修范围 货物质量缺陷或质量问题引起的维修事件</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3 远程支持服务 提供24小时问题统一受理平台。提供7*24远程问题处理服务,就有关设备或网络的技术咨询及问题，进行远程技术支持和处理，并提供问题解决方案。提供网站自助平台，客户以授权用户的身份访问厂商技术网站。可访问技术论坛、下载相关软件补丁、获取产品技术手册、技术案例、维护经验等。</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4 软件更新服务 为解决软件版本的BUG、功能改进或增强提供软件补丁（外购件除外）。</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5 硬件支持服务 确定为硬件故障后，可提供7*24*下一天到达硬件预更换服务（外购件除外）。</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6 现场硬件更换服务 如果确定硬件故障不能通过远程方式解决，厂家工程师将到达故障现场，进行现场硬件更换。</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7 现场问题处理服务 如果厂家确定设备问题不能通过远程方式解决，将派工程师于7*24*下一天到达到现场进行问题处理，包括信息收集、问题分析、故障诊断、方案实施、紧急问题恢复等。</w:t>
            </w:r>
          </w:p>
        </w:tc>
      </w:tr>
      <w:tr w14:paraId="3E635B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20" w:hRule="atLeast"/>
        </w:trPr>
        <w:tc>
          <w:tcPr>
            <w:tcW w:w="716" w:type="dxa"/>
            <w:shd w:val="clear" w:color="auto" w:fill="auto"/>
            <w:vAlign w:val="center"/>
          </w:tcPr>
          <w:p w14:paraId="3F787446">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center"/>
              <w:textAlignment w:val="center"/>
              <w:rPr>
                <w:rFonts w:hint="eastAsia" w:ascii="书宋-简" w:hAnsi="书宋-简" w:eastAsia="书宋-简" w:cs="书宋-简"/>
                <w:i w:val="0"/>
                <w:iCs w:val="0"/>
                <w:color w:val="000000"/>
                <w:kern w:val="2"/>
                <w:sz w:val="20"/>
                <w:szCs w:val="20"/>
                <w:u w:val="none"/>
                <w:lang w:val="en-US" w:eastAsia="zh-CN" w:bidi="ar-SA"/>
              </w:rPr>
            </w:pPr>
            <w:r>
              <w:rPr>
                <w:rFonts w:hint="eastAsia" w:ascii="书宋-简" w:hAnsi="书宋-简" w:eastAsia="书宋-简" w:cs="书宋-简"/>
                <w:i w:val="0"/>
                <w:iCs w:val="0"/>
                <w:color w:val="000000"/>
                <w:kern w:val="0"/>
                <w:sz w:val="20"/>
                <w:szCs w:val="20"/>
                <w:u w:val="none"/>
                <w:lang w:val="en-US" w:eastAsia="zh-CN" w:bidi="ar"/>
              </w:rPr>
              <w:t>7</w:t>
            </w:r>
          </w:p>
        </w:tc>
        <w:tc>
          <w:tcPr>
            <w:tcW w:w="1826" w:type="dxa"/>
            <w:shd w:val="clear" w:color="auto" w:fill="auto"/>
            <w:vAlign w:val="center"/>
          </w:tcPr>
          <w:p w14:paraId="53C9B23B">
            <w:pPr>
              <w:keepNext w:val="0"/>
              <w:keepLines w:val="0"/>
              <w:pageBreakBefore w:val="0"/>
              <w:widowControl/>
              <w:suppressLineNumbers w:val="0"/>
              <w:kinsoku/>
              <w:wordWrap/>
              <w:overflowPunct/>
              <w:topLinePunct w:val="0"/>
              <w:autoSpaceDE/>
              <w:autoSpaceDN/>
              <w:bidi w:val="0"/>
              <w:adjustRightInd/>
              <w:snapToGrid/>
              <w:spacing w:after="0"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延保服务(风冷智算服务器2)</w:t>
            </w:r>
          </w:p>
        </w:tc>
        <w:tc>
          <w:tcPr>
            <w:tcW w:w="5977" w:type="dxa"/>
            <w:shd w:val="clear" w:color="auto" w:fill="auto"/>
            <w:vAlign w:val="center"/>
          </w:tcPr>
          <w:p w14:paraId="2683112B">
            <w:pPr>
              <w:keepNext w:val="0"/>
              <w:keepLines w:val="0"/>
              <w:pageBreakBefore w:val="0"/>
              <w:widowControl/>
              <w:suppressLineNumbers w:val="0"/>
              <w:kinsoku/>
              <w:wordWrap/>
              <w:overflowPunct/>
              <w:topLinePunct w:val="0"/>
              <w:autoSpaceDE/>
              <w:autoSpaceDN/>
              <w:bidi w:val="0"/>
              <w:adjustRightInd/>
              <w:snapToGrid/>
              <w:spacing w:line="288" w:lineRule="auto"/>
              <w:ind w:firstLine="0" w:firstLineChars="0"/>
              <w:jc w:val="left"/>
              <w:textAlignment w:val="center"/>
              <w:rPr>
                <w:rFonts w:hint="eastAsia" w:ascii="书宋-简" w:hAnsi="书宋-简" w:eastAsia="书宋-简" w:cs="书宋-简"/>
                <w:i w:val="0"/>
                <w:iCs w:val="0"/>
                <w:color w:val="000000"/>
                <w:sz w:val="20"/>
                <w:szCs w:val="20"/>
                <w:u w:val="none"/>
              </w:rPr>
            </w:pPr>
            <w:r>
              <w:rPr>
                <w:rFonts w:hint="eastAsia" w:ascii="书宋-简" w:hAnsi="书宋-简" w:eastAsia="书宋-简" w:cs="书宋-简"/>
                <w:i w:val="0"/>
                <w:iCs w:val="0"/>
                <w:color w:val="000000"/>
                <w:kern w:val="0"/>
                <w:sz w:val="20"/>
                <w:szCs w:val="20"/>
                <w:u w:val="none"/>
                <w:lang w:val="en-US" w:eastAsia="zh-CN" w:bidi="ar"/>
              </w:rPr>
              <w:t>1 质量保修期限 1年（从上次质保满下一天起算）</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2 质量保修范围 货物质量缺陷或质量问题引起的维修事件</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3 远程支持服务 提供24小时问题统一受理平台。提供7*24远程问题处理服务,就有关设备或网络的技术咨询及问题，进行远程技术支持和处理，并提供问题解决方案。提供网站自助平台，客户以授权用户的身份访问厂商技术网站。可访问技术论坛、下载相关软件补丁、获取产品技术手册、技术案例、维护经验等。</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4 软件更新服务 为解决软件版本的BUG、功能改进或增强提供软件补丁（外购件除外）。</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5 硬件支持服务 确定为硬件故障后，可提供7*24*下一天到达硬件预更换服务（外购件除外）。</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6 现场硬件更换服务 如果确定硬件故障不能通过远程方式解决，厂家工程师将到达故障现场，进行现场硬件更换。</w:t>
            </w:r>
            <w:r>
              <w:rPr>
                <w:rFonts w:hint="eastAsia" w:ascii="书宋-简" w:hAnsi="书宋-简" w:eastAsia="书宋-简" w:cs="书宋-简"/>
                <w:i w:val="0"/>
                <w:iCs w:val="0"/>
                <w:color w:val="000000"/>
                <w:kern w:val="0"/>
                <w:sz w:val="20"/>
                <w:szCs w:val="20"/>
                <w:u w:val="none"/>
                <w:lang w:val="en-US" w:eastAsia="zh-CN" w:bidi="ar"/>
              </w:rPr>
              <w:br w:type="textWrapping"/>
            </w:r>
            <w:r>
              <w:rPr>
                <w:rFonts w:hint="eastAsia" w:ascii="书宋-简" w:hAnsi="书宋-简" w:eastAsia="书宋-简" w:cs="书宋-简"/>
                <w:i w:val="0"/>
                <w:iCs w:val="0"/>
                <w:color w:val="000000"/>
                <w:kern w:val="0"/>
                <w:sz w:val="20"/>
                <w:szCs w:val="20"/>
                <w:u w:val="none"/>
                <w:lang w:val="en-US" w:eastAsia="zh-CN" w:bidi="ar"/>
              </w:rPr>
              <w:t>7 现场问题处理服务 如果厂家确定设备问题不能通过远程方式解决，将派工程师于7*24*下一天到达到现场进行问题处理，包括信息收集、问题分析、故障诊断、方案实施、紧急问题恢复等。</w:t>
            </w:r>
          </w:p>
        </w:tc>
      </w:tr>
    </w:tbl>
    <w:p w14:paraId="26299B62">
      <w:pPr>
        <w:pageBreakBefore w:val="0"/>
        <w:wordWrap/>
        <w:topLinePunct w:val="0"/>
        <w:bidi w:val="0"/>
        <w:spacing w:line="288" w:lineRule="auto"/>
        <w:ind w:firstLine="420"/>
        <w:rPr>
          <w:rFonts w:hint="eastAsia" w:ascii="书宋-简" w:hAnsi="书宋-简" w:eastAsia="书宋-简" w:cs="书宋-简"/>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书宋-简">
    <w:panose1 w:val="02010600030101010101"/>
    <w:charset w:val="86"/>
    <w:family w:val="auto"/>
    <w:pitch w:val="default"/>
    <w:sig w:usb0="A00002BF" w:usb1="3ACF7CFA" w:usb2="00000016" w:usb3="00000000" w:csb0="00040001" w:csb1="00000000"/>
  </w:font>
  <w:font w:name="Arial">
    <w:altName w:val="FT AeroSans"/>
    <w:panose1 w:val="020B0604020202020204"/>
    <w:charset w:val="00"/>
    <w:family w:val="swiss"/>
    <w:pitch w:val="default"/>
    <w:sig w:usb0="00000000" w:usb1="00000000" w:usb2="00000009" w:usb3="00000000" w:csb0="000001FF" w:csb1="00000000"/>
  </w:font>
  <w:font w:name="FT AeroSans">
    <w:panose1 w:val="020B0504030202020204"/>
    <w:charset w:val="00"/>
    <w:family w:val="auto"/>
    <w:pitch w:val="default"/>
    <w:sig w:usb0="0000028F" w:usb1="00000000" w:usb2="00000000" w:usb3="00000000" w:csb0="0000011F" w:csb1="07030000"/>
  </w:font>
  <w:font w:name="黑体-简">
    <w:panose1 w:val="02010609060101010101"/>
    <w:charset w:val="86"/>
    <w:family w:val="auto"/>
    <w:pitch w:val="default"/>
    <w:sig w:usb0="A00002BF" w:usb1="3ACF7CFA" w:usb2="00000016" w:usb3="00000000" w:csb0="00040001" w:csb1="00000000"/>
  </w:font>
  <w:font w:name="楷体_GB2312">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Dotum">
    <w:altName w:val="Noto Sans CJK HK"/>
    <w:panose1 w:val="020B0600000101010101"/>
    <w:charset w:val="81"/>
    <w:family w:val="modern"/>
    <w:pitch w:val="default"/>
    <w:sig w:usb0="00000000" w:usb1="00000000" w:usb2="00000010" w:usb3="00000000" w:csb0="00080000" w:csb1="00000000"/>
  </w:font>
  <w:font w:name="Noto Sans CJK HK">
    <w:panose1 w:val="020B0500000000000000"/>
    <w:charset w:val="88"/>
    <w:family w:val="auto"/>
    <w:pitch w:val="default"/>
    <w:sig w:usb0="30000083" w:usb1="2BDF3C10" w:usb2="00000016" w:usb3="00000000" w:csb0="603A0107" w:csb1="00000000"/>
  </w:font>
  <w:font w:name="DotumChe">
    <w:altName w:val="Noto Sans CJK HK"/>
    <w:panose1 w:val="00000000000000000000"/>
    <w:charset w:val="81"/>
    <w:family w:val="modern"/>
    <w:pitch w:val="default"/>
    <w:sig w:usb0="00000000" w:usb1="00000000" w:usb2="00000030" w:usb3="00000000" w:csb0="0008009F" w:csb1="00000000"/>
  </w:font>
  <w:font w:name="等线">
    <w:altName w:val="微软雅黑"/>
    <w:panose1 w:val="02010600030101010101"/>
    <w:charset w:val="86"/>
    <w:family w:val="auto"/>
    <w:pitch w:val="default"/>
    <w:sig w:usb0="00000000" w:usb1="00000000" w:usb2="00000016" w:usb3="00000000" w:csb0="0004000F" w:csb1="00000000"/>
  </w:font>
  <w:font w:name="HarmonyOS Sans">
    <w:panose1 w:val="00000500000000000000"/>
    <w:charset w:val="00"/>
    <w:family w:val="auto"/>
    <w:pitch w:val="default"/>
    <w:sig w:usb0="A0000287" w:usb1="00000011" w:usb2="00000000" w:usb3="00000000" w:csb0="00000001" w:csb1="00000000"/>
  </w:font>
  <w:font w:name="仿宋_GB2312">
    <w:altName w:val="微软雅黑"/>
    <w:panose1 w:val="00000000000000000000"/>
    <w:charset w:val="86"/>
    <w:family w:val="modern"/>
    <w:pitch w:val="default"/>
    <w:sig w:usb0="00000000" w:usb1="00000000" w:usb2="00000000" w:usb3="00000000" w:csb0="00040000" w:csb1="00000000"/>
  </w:font>
  <w:font w:name="Courier">
    <w:altName w:val="Noto Sans Mono"/>
    <w:panose1 w:val="02070409020205020404"/>
    <w:charset w:val="00"/>
    <w:family w:val="modern"/>
    <w:pitch w:val="default"/>
    <w:sig w:usb0="00000000" w:usb1="00000000" w:usb2="00000000" w:usb3="00000000" w:csb0="00000001" w:csb1="00000000"/>
  </w:font>
  <w:font w:name="Noto Sans Mono">
    <w:panose1 w:val="020B0509040504020204"/>
    <w:charset w:val="00"/>
    <w:family w:val="auto"/>
    <w:pitch w:val="default"/>
    <w:sig w:usb0="E00002FF" w:usb1="0200FCFF" w:usb2="08000039" w:usb3="00100000" w:csb0="0000019F" w:csb1="DFD70000"/>
  </w:font>
  <w:font w:name="PMingLiU">
    <w:altName w:val="HarmonyOS Sans TC"/>
    <w:panose1 w:val="02010601000101010101"/>
    <w:charset w:val="88"/>
    <w:family w:val="roman"/>
    <w:pitch w:val="default"/>
    <w:sig w:usb0="00000000" w:usb1="00000000" w:usb2="00000016" w:usb3="00000000" w:csb0="00100001" w:csb1="00000000"/>
  </w:font>
  <w:font w:name="HarmonyOS Sans TC">
    <w:panose1 w:val="00020600040101010101"/>
    <w:charset w:val="88"/>
    <w:family w:val="auto"/>
    <w:pitch w:val="default"/>
    <w:sig w:usb0="E00002FF" w:usb1="2ACF7CFB" w:usb2="00000016" w:usb3="00000000" w:csb0="00100001"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T KliphSerif"/>
    <w:panose1 w:val="02040503050406030204"/>
    <w:charset w:val="00"/>
    <w:family w:val="roman"/>
    <w:pitch w:val="default"/>
    <w:sig w:usb0="00000000" w:usb1="00000000" w:usb2="02000000" w:usb3="00000000" w:csb0="0000019F" w:csb1="00000000"/>
  </w:font>
  <w:font w:name="FT KliphSerif">
    <w:panose1 w:val="02040503050406030204"/>
    <w:charset w:val="00"/>
    <w:family w:val="auto"/>
    <w:pitch w:val="default"/>
    <w:sig w:usb0="80000003" w:usb1="40000000" w:usb2="00000000" w:usb3="00000000" w:csb0="00000001" w:csb1="00000000"/>
  </w:font>
  <w:font w:name="华文细黑">
    <w:altName w:val="Noto Serif CJK SC"/>
    <w:panose1 w:val="02010600040101010101"/>
    <w:charset w:val="86"/>
    <w:family w:val="auto"/>
    <w:pitch w:val="default"/>
    <w:sig w:usb0="00000000" w:usb1="00000000" w:usb2="00000000" w:usb3="00000000" w:csb0="0004009F" w:csb1="DFD70000"/>
  </w:font>
  <w:font w:name="Noto Serif CJK SC">
    <w:panose1 w:val="02020400000000000000"/>
    <w:charset w:val="86"/>
    <w:family w:val="auto"/>
    <w:pitch w:val="default"/>
    <w:sig w:usb0="30000083" w:usb1="2BDF3C10" w:usb2="00000016" w:usb3="00000000" w:csb0="602E0107" w:csb1="00000000"/>
  </w:font>
  <w:font w:name="MS Gothic">
    <w:altName w:val="书宋-简"/>
    <w:panose1 w:val="020B0609070205080204"/>
    <w:charset w:val="80"/>
    <w:family w:val="modern"/>
    <w:pitch w:val="default"/>
    <w:sig w:usb0="00000000" w:usb1="00000000" w:usb2="08000012" w:usb3="00000000" w:csb0="0002009F" w:csb1="00000000"/>
  </w:font>
  <w:font w:name="Microsoft JhengHei">
    <w:altName w:val="FT ChariSans"/>
    <w:panose1 w:val="020B0604030504040204"/>
    <w:charset w:val="88"/>
    <w:family w:val="swiss"/>
    <w:pitch w:val="default"/>
    <w:sig w:usb0="00000000" w:usb1="00000000" w:usb2="00000016" w:usb3="00000000" w:csb0="00100009" w:csb1="00000000"/>
  </w:font>
  <w:font w:name="FT ChariSans">
    <w:panose1 w:val="00000000000000000000"/>
    <w:charset w:val="88"/>
    <w:family w:val="auto"/>
    <w:pitch w:val="default"/>
    <w:sig w:usb0="80000003" w:usb1="80000000" w:usb2="00000000" w:usb3="00000000" w:csb0="00100009" w:csb1="00000000"/>
  </w:font>
  <w:font w:name="Verdana">
    <w:altName w:val="Noto Sans Bengali UI Medium"/>
    <w:panose1 w:val="020B0604030504040204"/>
    <w:charset w:val="00"/>
    <w:family w:val="swiss"/>
    <w:pitch w:val="default"/>
    <w:sig w:usb0="00000000" w:usb1="00000000" w:usb2="00000010" w:usb3="00000000" w:csb0="2000019F" w:csb1="00000000"/>
  </w:font>
  <w:font w:name="Noto Sans Bengali UI Medium">
    <w:panose1 w:val="020B0602040504020204"/>
    <w:charset w:val="00"/>
    <w:family w:val="auto"/>
    <w:pitch w:val="default"/>
    <w:sig w:usb0="80018023" w:usb1="00002042" w:usb2="00000000" w:usb3="00000000" w:csb0="00000093" w:csb1="00000000"/>
  </w:font>
  <w:font w:name="Arial Unicode MS">
    <w:altName w:val="FT AeroSans"/>
    <w:panose1 w:val="020B0604020202020204"/>
    <w:charset w:val="86"/>
    <w:family w:val="swiss"/>
    <w:pitch w:val="default"/>
    <w:sig w:usb0="00000000" w:usb1="00000000" w:usb2="0000003F" w:usb3="00000000" w:csb0="603F01FF" w:csb1="FFFF0000"/>
  </w:font>
  <w:font w:name="Tahoma">
    <w:altName w:val="noto sans thai"/>
    <w:panose1 w:val="020B0604030504040204"/>
    <w:charset w:val="00"/>
    <w:family w:val="swiss"/>
    <w:pitch w:val="default"/>
    <w:sig w:usb0="00000000" w:usb1="00000000" w:usb2="00000029" w:usb3="00000000" w:csb0="000101FF" w:csb1="00000000"/>
  </w:font>
  <w:font w:name="noto sans thai">
    <w:panose1 w:val="020B0502040504020204"/>
    <w:charset w:val="00"/>
    <w:family w:val="auto"/>
    <w:pitch w:val="default"/>
    <w:sig w:usb0="81000063" w:usb1="00002000" w:usb2="00000000" w:usb3="00000000" w:csb0="00010093" w:csb1="00000000"/>
  </w:font>
  <w:font w:name="全真中明體">
    <w:altName w:val="鴻蒙黑體"/>
    <w:panose1 w:val="00000000000000000000"/>
    <w:charset w:val="88"/>
    <w:family w:val="auto"/>
    <w:pitch w:val="default"/>
    <w:sig w:usb0="00000000" w:usb1="00000000" w:usb2="00000010" w:usb3="00000000" w:csb0="00100000" w:csb1="00000000"/>
  </w:font>
  <w:font w:name="鴻蒙黑體">
    <w:panose1 w:val="00020600040101010101"/>
    <w:charset w:val="88"/>
    <w:family w:val="auto"/>
    <w:pitch w:val="default"/>
    <w:sig w:usb0="E00002FF" w:usb1="2ACF7CFB" w:usb2="00000016" w:usb3="00000000" w:csb0="00100001" w:csb1="00000000"/>
  </w:font>
  <w:font w:name="幼圆">
    <w:altName w:val="仿宋-简"/>
    <w:panose1 w:val="02010509060101010101"/>
    <w:charset w:val="86"/>
    <w:family w:val="modern"/>
    <w:pitch w:val="default"/>
    <w:sig w:usb0="00000000" w:usb1="00000000" w:usb2="00000010" w:usb3="00000000" w:csb0="00040000" w:csb1="00000000"/>
  </w:font>
  <w:font w:name="仿宋-简">
    <w:panose1 w:val="02010609060101010101"/>
    <w:charset w:val="86"/>
    <w:family w:val="auto"/>
    <w:pitch w:val="default"/>
    <w:sig w:usb0="A00002BF" w:usb1="3ACF7CFA" w:usb2="00000016" w:usb3="00000000" w:csb0="00040001" w:csb1="00000000"/>
  </w:font>
  <w:font w:name="Palatino">
    <w:altName w:val="FT EliraSans"/>
    <w:panose1 w:val="00000000000000000000"/>
    <w:charset w:val="00"/>
    <w:family w:val="modern"/>
    <w:pitch w:val="default"/>
    <w:sig w:usb0="00000000" w:usb1="00000000" w:usb2="00000000" w:usb3="00000000" w:csb0="00000093" w:csb1="00000000"/>
  </w:font>
  <w:font w:name="FT EliraSans">
    <w:panose1 w:val="00000500000000000000"/>
    <w:charset w:val="00"/>
    <w:family w:val="auto"/>
    <w:pitch w:val="default"/>
    <w:sig w:usb0="80000003" w:usb1="00000000" w:usb2="00000000" w:usb3="00000000" w:csb0="00000001" w:csb1="00000000"/>
  </w:font>
  <w:font w:name="隶书">
    <w:altName w:val="微软雅黑"/>
    <w:panose1 w:val="02010509060101010101"/>
    <w:charset w:val="86"/>
    <w:family w:val="modern"/>
    <w:pitch w:val="default"/>
    <w:sig w:usb0="00000000" w:usb1="00000000" w:usb2="00000010" w:usb3="00000000" w:csb0="00040000" w:csb1="00000000"/>
  </w:font>
  <w:font w:name="Calibri Light">
    <w:altName w:val="FT Thymes"/>
    <w:panose1 w:val="020F0302020204030204"/>
    <w:charset w:val="00"/>
    <w:family w:val="swiss"/>
    <w:pitch w:val="default"/>
    <w:sig w:usb0="00000000" w:usb1="00000000" w:usb2="00000009" w:usb3="00000000" w:csb0="000001FF" w:csb1="00000000"/>
  </w:font>
  <w:font w:name="思源黑体 CN Bold">
    <w:panose1 w:val="020B0500000000000000"/>
    <w:charset w:val="86"/>
    <w:family w:val="auto"/>
    <w:pitch w:val="default"/>
    <w:sig w:usb0="20000003" w:usb1="2ADF3C10" w:usb2="00000016" w:usb3="00000000" w:csb0="60060107" w:csb1="00000000"/>
  </w:font>
  <w:font w:name="Kingsoft Sign">
    <w:panose1 w:val="05050102010706020507"/>
    <w:charset w:val="00"/>
    <w:family w:val="auto"/>
    <w:pitch w:val="default"/>
    <w:sig w:usb0="00000000" w:usb1="10000000" w:usb2="00000000" w:usb3="00000000" w:csb0="00000001" w:csb1="00000000"/>
  </w:font>
  <w:font w:name="FTToken">
    <w:panose1 w:val="05000000000000000000"/>
    <w:charset w:val="00"/>
    <w:family w:val="auto"/>
    <w:pitch w:val="default"/>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504B3">
    <w:pPr>
      <w:pStyle w:val="3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B359D">
    <w:pPr>
      <w:pStyle w:val="3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74EC0">
    <w:pPr>
      <w:pStyle w:val="3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20"/>
      </w:pPr>
      <w:r>
        <w:separator/>
      </w:r>
    </w:p>
  </w:footnote>
  <w:footnote w:type="continuationSeparator" w:id="1">
    <w:p>
      <w:pPr>
        <w:spacing w:before="0" w:after="0"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6287C">
    <w:pPr>
      <w:pStyle w:val="3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EB858">
    <w:pPr>
      <w:pStyle w:val="3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DAC1D">
    <w:pPr>
      <w:pStyle w:val="3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2E113"/>
    <w:multiLevelType w:val="singleLevel"/>
    <w:tmpl w:val="ABF2E113"/>
    <w:lvl w:ilvl="0" w:tentative="0">
      <w:start w:val="1"/>
      <w:numFmt w:val="decimal"/>
      <w:lvlText w:val="%1."/>
      <w:lvlJc w:val="left"/>
      <w:pPr>
        <w:tabs>
          <w:tab w:val="left" w:pos="312"/>
        </w:tabs>
      </w:pPr>
    </w:lvl>
  </w:abstractNum>
  <w:abstractNum w:abstractNumId="1">
    <w:nsid w:val="AEB4F622"/>
    <w:multiLevelType w:val="singleLevel"/>
    <w:tmpl w:val="AEB4F622"/>
    <w:lvl w:ilvl="0" w:tentative="0">
      <w:start w:val="3"/>
      <w:numFmt w:val="decimal"/>
      <w:suff w:val="nothing"/>
      <w:lvlText w:val="%1、"/>
      <w:lvlJc w:val="left"/>
    </w:lvl>
  </w:abstractNum>
  <w:abstractNum w:abstractNumId="2">
    <w:nsid w:val="EF78D1FD"/>
    <w:multiLevelType w:val="singleLevel"/>
    <w:tmpl w:val="EF78D1FD"/>
    <w:lvl w:ilvl="0" w:tentative="0">
      <w:start w:val="4"/>
      <w:numFmt w:val="chineseCounting"/>
      <w:suff w:val="nothing"/>
      <w:lvlText w:val="%1、"/>
      <w:lvlJc w:val="left"/>
      <w:rPr>
        <w:rFonts w:hint="eastAsia"/>
      </w:rPr>
    </w:lvl>
  </w:abstractNum>
  <w:abstractNum w:abstractNumId="3">
    <w:nsid w:val="356C3CF8"/>
    <w:multiLevelType w:val="multilevel"/>
    <w:tmpl w:val="356C3CF8"/>
    <w:lvl w:ilvl="0" w:tentative="0">
      <w:start w:val="1"/>
      <w:numFmt w:val="chineseCountingThousand"/>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F66"/>
    <w:rsid w:val="00007A91"/>
    <w:rsid w:val="00007D0E"/>
    <w:rsid w:val="00007D81"/>
    <w:rsid w:val="00010CBF"/>
    <w:rsid w:val="00023232"/>
    <w:rsid w:val="00026E57"/>
    <w:rsid w:val="0002701B"/>
    <w:rsid w:val="00031E43"/>
    <w:rsid w:val="00031F79"/>
    <w:rsid w:val="00032B69"/>
    <w:rsid w:val="00034B4A"/>
    <w:rsid w:val="000364C5"/>
    <w:rsid w:val="00042B63"/>
    <w:rsid w:val="00045224"/>
    <w:rsid w:val="000575E4"/>
    <w:rsid w:val="00061596"/>
    <w:rsid w:val="000722D3"/>
    <w:rsid w:val="0007361F"/>
    <w:rsid w:val="000742D3"/>
    <w:rsid w:val="000875DD"/>
    <w:rsid w:val="00087B3C"/>
    <w:rsid w:val="00093E58"/>
    <w:rsid w:val="00095F3A"/>
    <w:rsid w:val="0009733A"/>
    <w:rsid w:val="000973AF"/>
    <w:rsid w:val="00097E1B"/>
    <w:rsid w:val="000A2162"/>
    <w:rsid w:val="000A6538"/>
    <w:rsid w:val="000B0208"/>
    <w:rsid w:val="000B0782"/>
    <w:rsid w:val="000B1775"/>
    <w:rsid w:val="000B1C57"/>
    <w:rsid w:val="000D0ADA"/>
    <w:rsid w:val="000D46BA"/>
    <w:rsid w:val="000D6B2A"/>
    <w:rsid w:val="000F08CF"/>
    <w:rsid w:val="000F2831"/>
    <w:rsid w:val="000F3BAB"/>
    <w:rsid w:val="000F5CE6"/>
    <w:rsid w:val="00116943"/>
    <w:rsid w:val="00117A78"/>
    <w:rsid w:val="00127F9D"/>
    <w:rsid w:val="00132466"/>
    <w:rsid w:val="00136671"/>
    <w:rsid w:val="00142763"/>
    <w:rsid w:val="001438D4"/>
    <w:rsid w:val="0014454E"/>
    <w:rsid w:val="0014507B"/>
    <w:rsid w:val="00146DE3"/>
    <w:rsid w:val="001520AA"/>
    <w:rsid w:val="0015389F"/>
    <w:rsid w:val="001556F5"/>
    <w:rsid w:val="00157FEF"/>
    <w:rsid w:val="00160500"/>
    <w:rsid w:val="00160BD2"/>
    <w:rsid w:val="00170051"/>
    <w:rsid w:val="00170254"/>
    <w:rsid w:val="001800C2"/>
    <w:rsid w:val="00180C8F"/>
    <w:rsid w:val="0018660D"/>
    <w:rsid w:val="00195C6B"/>
    <w:rsid w:val="001A1136"/>
    <w:rsid w:val="001A557C"/>
    <w:rsid w:val="001A7A67"/>
    <w:rsid w:val="001B0964"/>
    <w:rsid w:val="001B28EE"/>
    <w:rsid w:val="001B3934"/>
    <w:rsid w:val="001B49F4"/>
    <w:rsid w:val="001C22DA"/>
    <w:rsid w:val="001C295E"/>
    <w:rsid w:val="001C4041"/>
    <w:rsid w:val="001D0554"/>
    <w:rsid w:val="001D6A0A"/>
    <w:rsid w:val="001D73DB"/>
    <w:rsid w:val="001D7705"/>
    <w:rsid w:val="001E4768"/>
    <w:rsid w:val="001E67EB"/>
    <w:rsid w:val="001F5B45"/>
    <w:rsid w:val="001F5FA4"/>
    <w:rsid w:val="0020206D"/>
    <w:rsid w:val="00203AA4"/>
    <w:rsid w:val="00213F87"/>
    <w:rsid w:val="00214F1D"/>
    <w:rsid w:val="0021509D"/>
    <w:rsid w:val="00215B5B"/>
    <w:rsid w:val="002244AB"/>
    <w:rsid w:val="00233DC2"/>
    <w:rsid w:val="00234C27"/>
    <w:rsid w:val="00240A2D"/>
    <w:rsid w:val="0024138C"/>
    <w:rsid w:val="00242D44"/>
    <w:rsid w:val="00246E34"/>
    <w:rsid w:val="00250AAE"/>
    <w:rsid w:val="002560FF"/>
    <w:rsid w:val="002623C2"/>
    <w:rsid w:val="00270FEF"/>
    <w:rsid w:val="00275818"/>
    <w:rsid w:val="002818A1"/>
    <w:rsid w:val="00292B54"/>
    <w:rsid w:val="002950BA"/>
    <w:rsid w:val="0029732C"/>
    <w:rsid w:val="002977A9"/>
    <w:rsid w:val="002A2882"/>
    <w:rsid w:val="002A4B7F"/>
    <w:rsid w:val="002A5D06"/>
    <w:rsid w:val="002A61EB"/>
    <w:rsid w:val="002B0BE8"/>
    <w:rsid w:val="002B241C"/>
    <w:rsid w:val="002B2E88"/>
    <w:rsid w:val="002B4E72"/>
    <w:rsid w:val="002C02CA"/>
    <w:rsid w:val="002C77C9"/>
    <w:rsid w:val="002C7FA9"/>
    <w:rsid w:val="002D026F"/>
    <w:rsid w:val="002D6081"/>
    <w:rsid w:val="002D7CA7"/>
    <w:rsid w:val="002E19E4"/>
    <w:rsid w:val="002E1CDF"/>
    <w:rsid w:val="002E360D"/>
    <w:rsid w:val="002E3975"/>
    <w:rsid w:val="002E4336"/>
    <w:rsid w:val="002E6750"/>
    <w:rsid w:val="002E7633"/>
    <w:rsid w:val="002F0242"/>
    <w:rsid w:val="002F30EE"/>
    <w:rsid w:val="002F332D"/>
    <w:rsid w:val="00302003"/>
    <w:rsid w:val="00303D59"/>
    <w:rsid w:val="00304FA0"/>
    <w:rsid w:val="00306C43"/>
    <w:rsid w:val="0031315B"/>
    <w:rsid w:val="003217C0"/>
    <w:rsid w:val="00324D77"/>
    <w:rsid w:val="00326873"/>
    <w:rsid w:val="00330E77"/>
    <w:rsid w:val="00331801"/>
    <w:rsid w:val="0033181B"/>
    <w:rsid w:val="003345CB"/>
    <w:rsid w:val="0033656A"/>
    <w:rsid w:val="00336801"/>
    <w:rsid w:val="00336FBA"/>
    <w:rsid w:val="00340026"/>
    <w:rsid w:val="00346F53"/>
    <w:rsid w:val="0034737F"/>
    <w:rsid w:val="003479B7"/>
    <w:rsid w:val="00350A71"/>
    <w:rsid w:val="00351C9A"/>
    <w:rsid w:val="003529A6"/>
    <w:rsid w:val="003608B0"/>
    <w:rsid w:val="00361380"/>
    <w:rsid w:val="00361442"/>
    <w:rsid w:val="00366A6E"/>
    <w:rsid w:val="00383758"/>
    <w:rsid w:val="00384939"/>
    <w:rsid w:val="00385205"/>
    <w:rsid w:val="003860E1"/>
    <w:rsid w:val="00387744"/>
    <w:rsid w:val="0038793D"/>
    <w:rsid w:val="00390DAF"/>
    <w:rsid w:val="00397546"/>
    <w:rsid w:val="00397555"/>
    <w:rsid w:val="003979D2"/>
    <w:rsid w:val="003A3CA2"/>
    <w:rsid w:val="003A6E7B"/>
    <w:rsid w:val="003B667A"/>
    <w:rsid w:val="003C12EF"/>
    <w:rsid w:val="003C1DFE"/>
    <w:rsid w:val="003C253F"/>
    <w:rsid w:val="003C2AA4"/>
    <w:rsid w:val="003C392F"/>
    <w:rsid w:val="003C3BBE"/>
    <w:rsid w:val="003C4C01"/>
    <w:rsid w:val="003C4CFF"/>
    <w:rsid w:val="003C6560"/>
    <w:rsid w:val="003C74B4"/>
    <w:rsid w:val="003D31E7"/>
    <w:rsid w:val="003D38C2"/>
    <w:rsid w:val="003D3F6F"/>
    <w:rsid w:val="003D55CB"/>
    <w:rsid w:val="003D7030"/>
    <w:rsid w:val="003D720E"/>
    <w:rsid w:val="003E4D66"/>
    <w:rsid w:val="003E59B2"/>
    <w:rsid w:val="003E6A16"/>
    <w:rsid w:val="003F4C1F"/>
    <w:rsid w:val="00401910"/>
    <w:rsid w:val="00403D00"/>
    <w:rsid w:val="00404483"/>
    <w:rsid w:val="0040490E"/>
    <w:rsid w:val="00404A56"/>
    <w:rsid w:val="004109F8"/>
    <w:rsid w:val="004254BE"/>
    <w:rsid w:val="004266C8"/>
    <w:rsid w:val="00431FC9"/>
    <w:rsid w:val="00437B34"/>
    <w:rsid w:val="00437B42"/>
    <w:rsid w:val="00437E19"/>
    <w:rsid w:val="00443D47"/>
    <w:rsid w:val="0044438F"/>
    <w:rsid w:val="00445E33"/>
    <w:rsid w:val="0045426D"/>
    <w:rsid w:val="00457217"/>
    <w:rsid w:val="00461EAC"/>
    <w:rsid w:val="00462E85"/>
    <w:rsid w:val="004632E0"/>
    <w:rsid w:val="00463B9C"/>
    <w:rsid w:val="004642D6"/>
    <w:rsid w:val="004669FE"/>
    <w:rsid w:val="00467BAF"/>
    <w:rsid w:val="004812D3"/>
    <w:rsid w:val="00482FDD"/>
    <w:rsid w:val="00485EF5"/>
    <w:rsid w:val="004865DE"/>
    <w:rsid w:val="00486779"/>
    <w:rsid w:val="004A0DD4"/>
    <w:rsid w:val="004A2E22"/>
    <w:rsid w:val="004B0CD5"/>
    <w:rsid w:val="004B1221"/>
    <w:rsid w:val="004B2C4A"/>
    <w:rsid w:val="004B2CB3"/>
    <w:rsid w:val="004B50E3"/>
    <w:rsid w:val="004B55A5"/>
    <w:rsid w:val="004B7DEC"/>
    <w:rsid w:val="004C2AA8"/>
    <w:rsid w:val="004C2D31"/>
    <w:rsid w:val="004C306F"/>
    <w:rsid w:val="004C6726"/>
    <w:rsid w:val="004D0B66"/>
    <w:rsid w:val="004D2EFD"/>
    <w:rsid w:val="004D4848"/>
    <w:rsid w:val="004D5D15"/>
    <w:rsid w:val="004D5F19"/>
    <w:rsid w:val="004E0506"/>
    <w:rsid w:val="004E2177"/>
    <w:rsid w:val="004E46A3"/>
    <w:rsid w:val="004F0E0D"/>
    <w:rsid w:val="004F1EEE"/>
    <w:rsid w:val="004F211C"/>
    <w:rsid w:val="004F21C9"/>
    <w:rsid w:val="004F5610"/>
    <w:rsid w:val="004F5F73"/>
    <w:rsid w:val="004F6108"/>
    <w:rsid w:val="004F66AC"/>
    <w:rsid w:val="004F7C2D"/>
    <w:rsid w:val="00500C7A"/>
    <w:rsid w:val="00502288"/>
    <w:rsid w:val="00502460"/>
    <w:rsid w:val="005050C8"/>
    <w:rsid w:val="00510BDA"/>
    <w:rsid w:val="0051583D"/>
    <w:rsid w:val="00516709"/>
    <w:rsid w:val="0052262D"/>
    <w:rsid w:val="00524BF4"/>
    <w:rsid w:val="00531443"/>
    <w:rsid w:val="005316D8"/>
    <w:rsid w:val="00532723"/>
    <w:rsid w:val="0053323E"/>
    <w:rsid w:val="00534715"/>
    <w:rsid w:val="00541300"/>
    <w:rsid w:val="00541A4A"/>
    <w:rsid w:val="0054414E"/>
    <w:rsid w:val="0054742D"/>
    <w:rsid w:val="005559D7"/>
    <w:rsid w:val="00560624"/>
    <w:rsid w:val="00562EF6"/>
    <w:rsid w:val="005639FC"/>
    <w:rsid w:val="00565EAF"/>
    <w:rsid w:val="00566797"/>
    <w:rsid w:val="00574161"/>
    <w:rsid w:val="00581263"/>
    <w:rsid w:val="0058130F"/>
    <w:rsid w:val="00584E28"/>
    <w:rsid w:val="005857EC"/>
    <w:rsid w:val="00585E03"/>
    <w:rsid w:val="00594538"/>
    <w:rsid w:val="005B1B37"/>
    <w:rsid w:val="005B1C7D"/>
    <w:rsid w:val="005B3574"/>
    <w:rsid w:val="005B4F03"/>
    <w:rsid w:val="005B794B"/>
    <w:rsid w:val="005C031F"/>
    <w:rsid w:val="005C32D0"/>
    <w:rsid w:val="005C3D74"/>
    <w:rsid w:val="005C580A"/>
    <w:rsid w:val="005D0082"/>
    <w:rsid w:val="005D5644"/>
    <w:rsid w:val="005D7F89"/>
    <w:rsid w:val="005E7172"/>
    <w:rsid w:val="005F0392"/>
    <w:rsid w:val="005F2E45"/>
    <w:rsid w:val="005F37BA"/>
    <w:rsid w:val="005F46AF"/>
    <w:rsid w:val="005F7207"/>
    <w:rsid w:val="005F7EC4"/>
    <w:rsid w:val="00600DD3"/>
    <w:rsid w:val="0060162F"/>
    <w:rsid w:val="00604586"/>
    <w:rsid w:val="00606D34"/>
    <w:rsid w:val="00610458"/>
    <w:rsid w:val="006145EB"/>
    <w:rsid w:val="00617A08"/>
    <w:rsid w:val="00622465"/>
    <w:rsid w:val="00625AB2"/>
    <w:rsid w:val="006417DF"/>
    <w:rsid w:val="00643A62"/>
    <w:rsid w:val="00643D2A"/>
    <w:rsid w:val="00644808"/>
    <w:rsid w:val="006454EC"/>
    <w:rsid w:val="00646597"/>
    <w:rsid w:val="0065327F"/>
    <w:rsid w:val="00653342"/>
    <w:rsid w:val="00657012"/>
    <w:rsid w:val="00665DEE"/>
    <w:rsid w:val="006671F5"/>
    <w:rsid w:val="00672070"/>
    <w:rsid w:val="00674819"/>
    <w:rsid w:val="00680B78"/>
    <w:rsid w:val="00685E59"/>
    <w:rsid w:val="006914F5"/>
    <w:rsid w:val="00692842"/>
    <w:rsid w:val="00692A38"/>
    <w:rsid w:val="00694A07"/>
    <w:rsid w:val="006A0B17"/>
    <w:rsid w:val="006A16D9"/>
    <w:rsid w:val="006A79AD"/>
    <w:rsid w:val="006A79FD"/>
    <w:rsid w:val="006A7F66"/>
    <w:rsid w:val="006B2548"/>
    <w:rsid w:val="006B3561"/>
    <w:rsid w:val="006B5850"/>
    <w:rsid w:val="006C2A23"/>
    <w:rsid w:val="006D403C"/>
    <w:rsid w:val="006D7CE8"/>
    <w:rsid w:val="006E08FA"/>
    <w:rsid w:val="006E0F87"/>
    <w:rsid w:val="006F0A6C"/>
    <w:rsid w:val="006F27FE"/>
    <w:rsid w:val="006F36C0"/>
    <w:rsid w:val="006F3F16"/>
    <w:rsid w:val="006F6830"/>
    <w:rsid w:val="00700916"/>
    <w:rsid w:val="00700FED"/>
    <w:rsid w:val="007011D7"/>
    <w:rsid w:val="007024CE"/>
    <w:rsid w:val="007046A6"/>
    <w:rsid w:val="0070632D"/>
    <w:rsid w:val="00725208"/>
    <w:rsid w:val="0073113C"/>
    <w:rsid w:val="00742E3C"/>
    <w:rsid w:val="007448C2"/>
    <w:rsid w:val="0074543C"/>
    <w:rsid w:val="00754484"/>
    <w:rsid w:val="007559FD"/>
    <w:rsid w:val="00760077"/>
    <w:rsid w:val="007650A3"/>
    <w:rsid w:val="00767AF8"/>
    <w:rsid w:val="007701AF"/>
    <w:rsid w:val="0077397F"/>
    <w:rsid w:val="007754BB"/>
    <w:rsid w:val="007776A9"/>
    <w:rsid w:val="00781716"/>
    <w:rsid w:val="00783129"/>
    <w:rsid w:val="007914E7"/>
    <w:rsid w:val="00793533"/>
    <w:rsid w:val="00793CA2"/>
    <w:rsid w:val="007B2B0A"/>
    <w:rsid w:val="007B5DE3"/>
    <w:rsid w:val="007C09CC"/>
    <w:rsid w:val="007C2219"/>
    <w:rsid w:val="007C6BEC"/>
    <w:rsid w:val="007C7E78"/>
    <w:rsid w:val="007D032C"/>
    <w:rsid w:val="007D1A05"/>
    <w:rsid w:val="007D36BD"/>
    <w:rsid w:val="007D373F"/>
    <w:rsid w:val="007D4A27"/>
    <w:rsid w:val="007F4A1B"/>
    <w:rsid w:val="007F7D52"/>
    <w:rsid w:val="008017E5"/>
    <w:rsid w:val="008105B2"/>
    <w:rsid w:val="0081233B"/>
    <w:rsid w:val="00822AA0"/>
    <w:rsid w:val="00824D4B"/>
    <w:rsid w:val="00824FEF"/>
    <w:rsid w:val="0084158C"/>
    <w:rsid w:val="00841CB4"/>
    <w:rsid w:val="0084340D"/>
    <w:rsid w:val="008437B8"/>
    <w:rsid w:val="00844578"/>
    <w:rsid w:val="008562B7"/>
    <w:rsid w:val="0086101A"/>
    <w:rsid w:val="00866F74"/>
    <w:rsid w:val="008704CF"/>
    <w:rsid w:val="00882891"/>
    <w:rsid w:val="0088309B"/>
    <w:rsid w:val="00883290"/>
    <w:rsid w:val="00887346"/>
    <w:rsid w:val="008A458A"/>
    <w:rsid w:val="008A46EC"/>
    <w:rsid w:val="008A58F4"/>
    <w:rsid w:val="008A6206"/>
    <w:rsid w:val="008A7DC4"/>
    <w:rsid w:val="008B5E1C"/>
    <w:rsid w:val="008B6313"/>
    <w:rsid w:val="008C075D"/>
    <w:rsid w:val="008C1C7D"/>
    <w:rsid w:val="008C70A2"/>
    <w:rsid w:val="008D3854"/>
    <w:rsid w:val="008D5545"/>
    <w:rsid w:val="008D57E9"/>
    <w:rsid w:val="008E1762"/>
    <w:rsid w:val="008E5BC1"/>
    <w:rsid w:val="008E7606"/>
    <w:rsid w:val="008E7E44"/>
    <w:rsid w:val="008F1185"/>
    <w:rsid w:val="008F16C0"/>
    <w:rsid w:val="008F7CD8"/>
    <w:rsid w:val="008F7EB7"/>
    <w:rsid w:val="0090327D"/>
    <w:rsid w:val="00911010"/>
    <w:rsid w:val="009110AE"/>
    <w:rsid w:val="009110C9"/>
    <w:rsid w:val="0091410A"/>
    <w:rsid w:val="009179C1"/>
    <w:rsid w:val="00920147"/>
    <w:rsid w:val="009201BD"/>
    <w:rsid w:val="00923A81"/>
    <w:rsid w:val="00924734"/>
    <w:rsid w:val="00927803"/>
    <w:rsid w:val="00933C6F"/>
    <w:rsid w:val="00937C41"/>
    <w:rsid w:val="0094263D"/>
    <w:rsid w:val="009478AA"/>
    <w:rsid w:val="00960B3C"/>
    <w:rsid w:val="00963A94"/>
    <w:rsid w:val="009661FC"/>
    <w:rsid w:val="009679F3"/>
    <w:rsid w:val="00967D78"/>
    <w:rsid w:val="00970671"/>
    <w:rsid w:val="00977B48"/>
    <w:rsid w:val="009834FC"/>
    <w:rsid w:val="00985831"/>
    <w:rsid w:val="009900A5"/>
    <w:rsid w:val="009916F3"/>
    <w:rsid w:val="00993911"/>
    <w:rsid w:val="00996D31"/>
    <w:rsid w:val="0099714E"/>
    <w:rsid w:val="009A194F"/>
    <w:rsid w:val="009A1E99"/>
    <w:rsid w:val="009A3EF7"/>
    <w:rsid w:val="009B53B8"/>
    <w:rsid w:val="009B5762"/>
    <w:rsid w:val="009B684C"/>
    <w:rsid w:val="009C0DC8"/>
    <w:rsid w:val="009C180E"/>
    <w:rsid w:val="009C1BA4"/>
    <w:rsid w:val="009E2AF2"/>
    <w:rsid w:val="009E3ABF"/>
    <w:rsid w:val="009E720D"/>
    <w:rsid w:val="009F5B85"/>
    <w:rsid w:val="00A11B88"/>
    <w:rsid w:val="00A12671"/>
    <w:rsid w:val="00A12E45"/>
    <w:rsid w:val="00A13069"/>
    <w:rsid w:val="00A178DC"/>
    <w:rsid w:val="00A26D73"/>
    <w:rsid w:val="00A31CAC"/>
    <w:rsid w:val="00A3533F"/>
    <w:rsid w:val="00A35F39"/>
    <w:rsid w:val="00A369B0"/>
    <w:rsid w:val="00A41125"/>
    <w:rsid w:val="00A42A95"/>
    <w:rsid w:val="00A568F8"/>
    <w:rsid w:val="00A569D6"/>
    <w:rsid w:val="00A56EA5"/>
    <w:rsid w:val="00A60013"/>
    <w:rsid w:val="00A62A3E"/>
    <w:rsid w:val="00A638B2"/>
    <w:rsid w:val="00A64F66"/>
    <w:rsid w:val="00A717C1"/>
    <w:rsid w:val="00A830B5"/>
    <w:rsid w:val="00A86509"/>
    <w:rsid w:val="00A93FF3"/>
    <w:rsid w:val="00A97520"/>
    <w:rsid w:val="00A97D79"/>
    <w:rsid w:val="00AA19FE"/>
    <w:rsid w:val="00AB2BFA"/>
    <w:rsid w:val="00AC54A8"/>
    <w:rsid w:val="00AC6B48"/>
    <w:rsid w:val="00AC6B72"/>
    <w:rsid w:val="00AC79E9"/>
    <w:rsid w:val="00AD0C0F"/>
    <w:rsid w:val="00AD24AC"/>
    <w:rsid w:val="00AD4735"/>
    <w:rsid w:val="00AD6ECB"/>
    <w:rsid w:val="00AE0C46"/>
    <w:rsid w:val="00AE284F"/>
    <w:rsid w:val="00AF360B"/>
    <w:rsid w:val="00AF43A8"/>
    <w:rsid w:val="00AF6258"/>
    <w:rsid w:val="00B07873"/>
    <w:rsid w:val="00B126D1"/>
    <w:rsid w:val="00B145AB"/>
    <w:rsid w:val="00B1532C"/>
    <w:rsid w:val="00B159F8"/>
    <w:rsid w:val="00B216CB"/>
    <w:rsid w:val="00B21EDE"/>
    <w:rsid w:val="00B243A3"/>
    <w:rsid w:val="00B26FA5"/>
    <w:rsid w:val="00B37BD0"/>
    <w:rsid w:val="00B52CA5"/>
    <w:rsid w:val="00B53701"/>
    <w:rsid w:val="00B6029F"/>
    <w:rsid w:val="00B61665"/>
    <w:rsid w:val="00B65CCC"/>
    <w:rsid w:val="00B675A4"/>
    <w:rsid w:val="00B72AF7"/>
    <w:rsid w:val="00B74176"/>
    <w:rsid w:val="00B7483E"/>
    <w:rsid w:val="00B766BE"/>
    <w:rsid w:val="00B86D30"/>
    <w:rsid w:val="00B878B9"/>
    <w:rsid w:val="00B96047"/>
    <w:rsid w:val="00B96C89"/>
    <w:rsid w:val="00BA20F9"/>
    <w:rsid w:val="00BB39DD"/>
    <w:rsid w:val="00BB4780"/>
    <w:rsid w:val="00BC3CF5"/>
    <w:rsid w:val="00BC5EF7"/>
    <w:rsid w:val="00BD25C7"/>
    <w:rsid w:val="00BE15BB"/>
    <w:rsid w:val="00BE288C"/>
    <w:rsid w:val="00BE61B0"/>
    <w:rsid w:val="00BF573D"/>
    <w:rsid w:val="00C00A7C"/>
    <w:rsid w:val="00C02E05"/>
    <w:rsid w:val="00C037CA"/>
    <w:rsid w:val="00C043AC"/>
    <w:rsid w:val="00C132A0"/>
    <w:rsid w:val="00C13EE9"/>
    <w:rsid w:val="00C15ED6"/>
    <w:rsid w:val="00C249C0"/>
    <w:rsid w:val="00C27FF3"/>
    <w:rsid w:val="00C30B41"/>
    <w:rsid w:val="00C31C7E"/>
    <w:rsid w:val="00C33D40"/>
    <w:rsid w:val="00C34633"/>
    <w:rsid w:val="00C35BF3"/>
    <w:rsid w:val="00C442F4"/>
    <w:rsid w:val="00C54155"/>
    <w:rsid w:val="00C5573A"/>
    <w:rsid w:val="00C55F9A"/>
    <w:rsid w:val="00C62CA4"/>
    <w:rsid w:val="00C6521B"/>
    <w:rsid w:val="00C66BAC"/>
    <w:rsid w:val="00C71D0B"/>
    <w:rsid w:val="00C75C0E"/>
    <w:rsid w:val="00C81F57"/>
    <w:rsid w:val="00C85E52"/>
    <w:rsid w:val="00C87803"/>
    <w:rsid w:val="00C959EE"/>
    <w:rsid w:val="00C95BA9"/>
    <w:rsid w:val="00CA002B"/>
    <w:rsid w:val="00CA22A5"/>
    <w:rsid w:val="00CA4214"/>
    <w:rsid w:val="00CA6E78"/>
    <w:rsid w:val="00CB5EA0"/>
    <w:rsid w:val="00CB7B74"/>
    <w:rsid w:val="00CC111A"/>
    <w:rsid w:val="00CC6C73"/>
    <w:rsid w:val="00CD2033"/>
    <w:rsid w:val="00CD232C"/>
    <w:rsid w:val="00CD7422"/>
    <w:rsid w:val="00CE3545"/>
    <w:rsid w:val="00CF5764"/>
    <w:rsid w:val="00D03FCF"/>
    <w:rsid w:val="00D07CE2"/>
    <w:rsid w:val="00D12324"/>
    <w:rsid w:val="00D13D3B"/>
    <w:rsid w:val="00D150D9"/>
    <w:rsid w:val="00D15404"/>
    <w:rsid w:val="00D16B51"/>
    <w:rsid w:val="00D174E1"/>
    <w:rsid w:val="00D1768A"/>
    <w:rsid w:val="00D17782"/>
    <w:rsid w:val="00D17E2F"/>
    <w:rsid w:val="00D23C97"/>
    <w:rsid w:val="00D267E0"/>
    <w:rsid w:val="00D26938"/>
    <w:rsid w:val="00D275AF"/>
    <w:rsid w:val="00D30661"/>
    <w:rsid w:val="00D3285F"/>
    <w:rsid w:val="00D417E1"/>
    <w:rsid w:val="00D436D8"/>
    <w:rsid w:val="00D46E8E"/>
    <w:rsid w:val="00D50598"/>
    <w:rsid w:val="00D50B74"/>
    <w:rsid w:val="00D51D09"/>
    <w:rsid w:val="00D5268B"/>
    <w:rsid w:val="00D55264"/>
    <w:rsid w:val="00D607B6"/>
    <w:rsid w:val="00D66D6A"/>
    <w:rsid w:val="00D679BD"/>
    <w:rsid w:val="00D72313"/>
    <w:rsid w:val="00D72D79"/>
    <w:rsid w:val="00D74A44"/>
    <w:rsid w:val="00D80ABA"/>
    <w:rsid w:val="00D8437C"/>
    <w:rsid w:val="00D93E73"/>
    <w:rsid w:val="00DA074B"/>
    <w:rsid w:val="00DA2EB8"/>
    <w:rsid w:val="00DA7554"/>
    <w:rsid w:val="00DB1195"/>
    <w:rsid w:val="00DB1E2E"/>
    <w:rsid w:val="00DB60B6"/>
    <w:rsid w:val="00DB6D6D"/>
    <w:rsid w:val="00DB7357"/>
    <w:rsid w:val="00DC11A7"/>
    <w:rsid w:val="00DC1C26"/>
    <w:rsid w:val="00DC23CC"/>
    <w:rsid w:val="00DC4746"/>
    <w:rsid w:val="00DC5956"/>
    <w:rsid w:val="00DC644A"/>
    <w:rsid w:val="00DD1552"/>
    <w:rsid w:val="00DD7444"/>
    <w:rsid w:val="00DE055A"/>
    <w:rsid w:val="00DE31A3"/>
    <w:rsid w:val="00DE3EAD"/>
    <w:rsid w:val="00DF3A76"/>
    <w:rsid w:val="00E0216E"/>
    <w:rsid w:val="00E05022"/>
    <w:rsid w:val="00E07283"/>
    <w:rsid w:val="00E12808"/>
    <w:rsid w:val="00E1345B"/>
    <w:rsid w:val="00E139E4"/>
    <w:rsid w:val="00E147C0"/>
    <w:rsid w:val="00E14C84"/>
    <w:rsid w:val="00E1671D"/>
    <w:rsid w:val="00E17FE5"/>
    <w:rsid w:val="00E276D3"/>
    <w:rsid w:val="00E27BF6"/>
    <w:rsid w:val="00E314C3"/>
    <w:rsid w:val="00E315AA"/>
    <w:rsid w:val="00E35ECB"/>
    <w:rsid w:val="00E43B94"/>
    <w:rsid w:val="00E608CC"/>
    <w:rsid w:val="00E6665B"/>
    <w:rsid w:val="00E74FEB"/>
    <w:rsid w:val="00E84E78"/>
    <w:rsid w:val="00E84F19"/>
    <w:rsid w:val="00E916E9"/>
    <w:rsid w:val="00E925B2"/>
    <w:rsid w:val="00E9270B"/>
    <w:rsid w:val="00E96E80"/>
    <w:rsid w:val="00E9798B"/>
    <w:rsid w:val="00EA02B6"/>
    <w:rsid w:val="00EA19A3"/>
    <w:rsid w:val="00EA2670"/>
    <w:rsid w:val="00EA393B"/>
    <w:rsid w:val="00EA5319"/>
    <w:rsid w:val="00EA7CE9"/>
    <w:rsid w:val="00EB11AF"/>
    <w:rsid w:val="00EB6DCF"/>
    <w:rsid w:val="00EC614C"/>
    <w:rsid w:val="00ED336D"/>
    <w:rsid w:val="00ED3DAF"/>
    <w:rsid w:val="00ED49C0"/>
    <w:rsid w:val="00ED5315"/>
    <w:rsid w:val="00EE2261"/>
    <w:rsid w:val="00EE3696"/>
    <w:rsid w:val="00EE3DB0"/>
    <w:rsid w:val="00EE5843"/>
    <w:rsid w:val="00EE5AD5"/>
    <w:rsid w:val="00EF1BE3"/>
    <w:rsid w:val="00EF354D"/>
    <w:rsid w:val="00EF7C57"/>
    <w:rsid w:val="00F043D1"/>
    <w:rsid w:val="00F12028"/>
    <w:rsid w:val="00F16558"/>
    <w:rsid w:val="00F165B8"/>
    <w:rsid w:val="00F27A45"/>
    <w:rsid w:val="00F361DB"/>
    <w:rsid w:val="00F4065A"/>
    <w:rsid w:val="00F419CA"/>
    <w:rsid w:val="00F4413F"/>
    <w:rsid w:val="00F455F9"/>
    <w:rsid w:val="00F5126B"/>
    <w:rsid w:val="00F533D9"/>
    <w:rsid w:val="00F56B75"/>
    <w:rsid w:val="00F57D03"/>
    <w:rsid w:val="00F700C6"/>
    <w:rsid w:val="00F711A7"/>
    <w:rsid w:val="00F758F1"/>
    <w:rsid w:val="00F771FA"/>
    <w:rsid w:val="00F81435"/>
    <w:rsid w:val="00F81B2B"/>
    <w:rsid w:val="00F8403E"/>
    <w:rsid w:val="00F875F5"/>
    <w:rsid w:val="00F9119B"/>
    <w:rsid w:val="00F91965"/>
    <w:rsid w:val="00F93DE4"/>
    <w:rsid w:val="00F944CF"/>
    <w:rsid w:val="00F97EC3"/>
    <w:rsid w:val="00FA4379"/>
    <w:rsid w:val="00FA4856"/>
    <w:rsid w:val="00FA5E95"/>
    <w:rsid w:val="00FA5F56"/>
    <w:rsid w:val="00FB1F42"/>
    <w:rsid w:val="00FC30A6"/>
    <w:rsid w:val="00FC47C6"/>
    <w:rsid w:val="00FC5075"/>
    <w:rsid w:val="00FC66F1"/>
    <w:rsid w:val="00FC7B3C"/>
    <w:rsid w:val="00FD0ACF"/>
    <w:rsid w:val="00FD3FD5"/>
    <w:rsid w:val="00FD4615"/>
    <w:rsid w:val="00FD59F0"/>
    <w:rsid w:val="00FD6CCA"/>
    <w:rsid w:val="00FE29AE"/>
    <w:rsid w:val="00FE45D0"/>
    <w:rsid w:val="00FE574D"/>
    <w:rsid w:val="00FE5E73"/>
    <w:rsid w:val="00FE690D"/>
    <w:rsid w:val="00FF073C"/>
    <w:rsid w:val="00FF2F90"/>
    <w:rsid w:val="00FF3089"/>
    <w:rsid w:val="01281B77"/>
    <w:rsid w:val="01B71653"/>
    <w:rsid w:val="01FA0642"/>
    <w:rsid w:val="02930398"/>
    <w:rsid w:val="036F0F48"/>
    <w:rsid w:val="03794412"/>
    <w:rsid w:val="040C414F"/>
    <w:rsid w:val="04970AC7"/>
    <w:rsid w:val="04CD56E6"/>
    <w:rsid w:val="04EC14C8"/>
    <w:rsid w:val="06F8F121"/>
    <w:rsid w:val="07995F18"/>
    <w:rsid w:val="08EE086E"/>
    <w:rsid w:val="0BA56018"/>
    <w:rsid w:val="0BDF4D78"/>
    <w:rsid w:val="0D135946"/>
    <w:rsid w:val="0E071619"/>
    <w:rsid w:val="0EC27A1A"/>
    <w:rsid w:val="0EFD2A33"/>
    <w:rsid w:val="0FD7A461"/>
    <w:rsid w:val="10335CF4"/>
    <w:rsid w:val="11770398"/>
    <w:rsid w:val="122227CE"/>
    <w:rsid w:val="133833D9"/>
    <w:rsid w:val="14170A0A"/>
    <w:rsid w:val="153C5EBA"/>
    <w:rsid w:val="155A6B32"/>
    <w:rsid w:val="15EFEB10"/>
    <w:rsid w:val="15FF3D3A"/>
    <w:rsid w:val="16234CA3"/>
    <w:rsid w:val="16BF9980"/>
    <w:rsid w:val="16C3610A"/>
    <w:rsid w:val="170B19CF"/>
    <w:rsid w:val="17494A75"/>
    <w:rsid w:val="17D706BD"/>
    <w:rsid w:val="18017CDF"/>
    <w:rsid w:val="182A7068"/>
    <w:rsid w:val="187F2676"/>
    <w:rsid w:val="18EFE18A"/>
    <w:rsid w:val="19D81D92"/>
    <w:rsid w:val="1A1B2CF1"/>
    <w:rsid w:val="1A862B26"/>
    <w:rsid w:val="1B0818E3"/>
    <w:rsid w:val="1BF72CA5"/>
    <w:rsid w:val="1BFFFDA9"/>
    <w:rsid w:val="1DA50680"/>
    <w:rsid w:val="1DE91915"/>
    <w:rsid w:val="1E03795D"/>
    <w:rsid w:val="1E1E4F79"/>
    <w:rsid w:val="1E5E7FEE"/>
    <w:rsid w:val="1E5F3AF1"/>
    <w:rsid w:val="1E8E0A96"/>
    <w:rsid w:val="1E9BE42D"/>
    <w:rsid w:val="1ECC00D4"/>
    <w:rsid w:val="1F334A6D"/>
    <w:rsid w:val="1FD55B0C"/>
    <w:rsid w:val="1FDD9862"/>
    <w:rsid w:val="1FF7ACDF"/>
    <w:rsid w:val="20FD6B90"/>
    <w:rsid w:val="21690EB8"/>
    <w:rsid w:val="238B0D56"/>
    <w:rsid w:val="23C05B1A"/>
    <w:rsid w:val="23ED4D48"/>
    <w:rsid w:val="245C4D42"/>
    <w:rsid w:val="25034EC9"/>
    <w:rsid w:val="2520562A"/>
    <w:rsid w:val="25C84A4E"/>
    <w:rsid w:val="26C336C6"/>
    <w:rsid w:val="271D0F11"/>
    <w:rsid w:val="277F850E"/>
    <w:rsid w:val="279549A2"/>
    <w:rsid w:val="28771E56"/>
    <w:rsid w:val="29363ABF"/>
    <w:rsid w:val="29CF5743"/>
    <w:rsid w:val="29FA0F90"/>
    <w:rsid w:val="29FFFC81"/>
    <w:rsid w:val="2A431E04"/>
    <w:rsid w:val="2ADB619F"/>
    <w:rsid w:val="2B18095F"/>
    <w:rsid w:val="2B3E75A9"/>
    <w:rsid w:val="2B6265B5"/>
    <w:rsid w:val="2BD77C44"/>
    <w:rsid w:val="2CFE741B"/>
    <w:rsid w:val="2D5C786C"/>
    <w:rsid w:val="2DCF6BA1"/>
    <w:rsid w:val="2DD9568E"/>
    <w:rsid w:val="2DEB33CE"/>
    <w:rsid w:val="2DFF912D"/>
    <w:rsid w:val="2ED022C0"/>
    <w:rsid w:val="2EFF180D"/>
    <w:rsid w:val="2F3F5CD0"/>
    <w:rsid w:val="31DB7842"/>
    <w:rsid w:val="3367DB15"/>
    <w:rsid w:val="33956C1F"/>
    <w:rsid w:val="34DD7648"/>
    <w:rsid w:val="35B31276"/>
    <w:rsid w:val="35DBEE12"/>
    <w:rsid w:val="35FAAC2C"/>
    <w:rsid w:val="36220010"/>
    <w:rsid w:val="36FF1DE3"/>
    <w:rsid w:val="37900558"/>
    <w:rsid w:val="37F4DEE5"/>
    <w:rsid w:val="3866266B"/>
    <w:rsid w:val="38718CEA"/>
    <w:rsid w:val="38EDE98C"/>
    <w:rsid w:val="38FF398F"/>
    <w:rsid w:val="396FDAC4"/>
    <w:rsid w:val="3A1A29D5"/>
    <w:rsid w:val="3A1F0242"/>
    <w:rsid w:val="3A5B5D7E"/>
    <w:rsid w:val="3A5B6047"/>
    <w:rsid w:val="3AD56782"/>
    <w:rsid w:val="3AEBEB6B"/>
    <w:rsid w:val="3B9F1F6C"/>
    <w:rsid w:val="3C0E4427"/>
    <w:rsid w:val="3CDBB53D"/>
    <w:rsid w:val="3D97355F"/>
    <w:rsid w:val="3D996651"/>
    <w:rsid w:val="3DEF8275"/>
    <w:rsid w:val="3DF7EABC"/>
    <w:rsid w:val="3E695004"/>
    <w:rsid w:val="3E77C398"/>
    <w:rsid w:val="3EA32EAC"/>
    <w:rsid w:val="3EBF7C5B"/>
    <w:rsid w:val="3F670284"/>
    <w:rsid w:val="3F7DC8A1"/>
    <w:rsid w:val="3F7EA989"/>
    <w:rsid w:val="3FBD48E7"/>
    <w:rsid w:val="3FBDF1D3"/>
    <w:rsid w:val="3FCE6002"/>
    <w:rsid w:val="3FDD636C"/>
    <w:rsid w:val="3FDE03B8"/>
    <w:rsid w:val="3FEF65D4"/>
    <w:rsid w:val="40CA3013"/>
    <w:rsid w:val="42C23421"/>
    <w:rsid w:val="441376B7"/>
    <w:rsid w:val="443F9EB9"/>
    <w:rsid w:val="4448249A"/>
    <w:rsid w:val="44654E01"/>
    <w:rsid w:val="45A51959"/>
    <w:rsid w:val="46C97460"/>
    <w:rsid w:val="46FE4A64"/>
    <w:rsid w:val="47DFE584"/>
    <w:rsid w:val="48794402"/>
    <w:rsid w:val="48EFF9D6"/>
    <w:rsid w:val="48FB5D34"/>
    <w:rsid w:val="49C167BA"/>
    <w:rsid w:val="4AD4032A"/>
    <w:rsid w:val="4B0264A8"/>
    <w:rsid w:val="4BBCAD63"/>
    <w:rsid w:val="4CCA5092"/>
    <w:rsid w:val="4DF735E4"/>
    <w:rsid w:val="4E00265A"/>
    <w:rsid w:val="4E3B3216"/>
    <w:rsid w:val="4EBFBD7B"/>
    <w:rsid w:val="4EDE67D2"/>
    <w:rsid w:val="4F9C201E"/>
    <w:rsid w:val="4F9D26A6"/>
    <w:rsid w:val="50D2209F"/>
    <w:rsid w:val="52141DC8"/>
    <w:rsid w:val="527EC54D"/>
    <w:rsid w:val="52CA2764"/>
    <w:rsid w:val="52E02A45"/>
    <w:rsid w:val="5311A2FF"/>
    <w:rsid w:val="537FC570"/>
    <w:rsid w:val="53DE67F8"/>
    <w:rsid w:val="56586573"/>
    <w:rsid w:val="567926E9"/>
    <w:rsid w:val="56DB4B31"/>
    <w:rsid w:val="576126CC"/>
    <w:rsid w:val="576D3B51"/>
    <w:rsid w:val="577E9CE0"/>
    <w:rsid w:val="57D3DF67"/>
    <w:rsid w:val="57EA769F"/>
    <w:rsid w:val="583D1EC5"/>
    <w:rsid w:val="58DF377F"/>
    <w:rsid w:val="5A2E5F82"/>
    <w:rsid w:val="5ACD2218"/>
    <w:rsid w:val="5AF9D86D"/>
    <w:rsid w:val="5AFEDF05"/>
    <w:rsid w:val="5B1430EA"/>
    <w:rsid w:val="5B75C745"/>
    <w:rsid w:val="5BA830B6"/>
    <w:rsid w:val="5BB363A7"/>
    <w:rsid w:val="5BFDA597"/>
    <w:rsid w:val="5CA742BF"/>
    <w:rsid w:val="5CB02DC4"/>
    <w:rsid w:val="5D5B53D2"/>
    <w:rsid w:val="5DFB05D4"/>
    <w:rsid w:val="5DFF3BB2"/>
    <w:rsid w:val="5DFFC3E5"/>
    <w:rsid w:val="5E485012"/>
    <w:rsid w:val="5F0FB9FC"/>
    <w:rsid w:val="5F9EA44B"/>
    <w:rsid w:val="5FB94527"/>
    <w:rsid w:val="5FBFCB0D"/>
    <w:rsid w:val="5FD1B591"/>
    <w:rsid w:val="5FED42BD"/>
    <w:rsid w:val="5FEDFC2B"/>
    <w:rsid w:val="5FEFA84E"/>
    <w:rsid w:val="5FF67E39"/>
    <w:rsid w:val="5FFEADDB"/>
    <w:rsid w:val="5FFF96E3"/>
    <w:rsid w:val="60BDD93B"/>
    <w:rsid w:val="61BF4439"/>
    <w:rsid w:val="62CC4571"/>
    <w:rsid w:val="62EEA887"/>
    <w:rsid w:val="6333E3E8"/>
    <w:rsid w:val="6393D23C"/>
    <w:rsid w:val="63EB0BC2"/>
    <w:rsid w:val="63FC3394"/>
    <w:rsid w:val="63FF44C8"/>
    <w:rsid w:val="662D5327"/>
    <w:rsid w:val="66B42007"/>
    <w:rsid w:val="66DBF393"/>
    <w:rsid w:val="66F674E3"/>
    <w:rsid w:val="67E61C31"/>
    <w:rsid w:val="682F02CE"/>
    <w:rsid w:val="68AA7ABE"/>
    <w:rsid w:val="6920616B"/>
    <w:rsid w:val="69EAE4D1"/>
    <w:rsid w:val="6A0C16F7"/>
    <w:rsid w:val="6A7774B8"/>
    <w:rsid w:val="6A933BC6"/>
    <w:rsid w:val="6AFE5A24"/>
    <w:rsid w:val="6B6C7905"/>
    <w:rsid w:val="6B6FFB2B"/>
    <w:rsid w:val="6B8A6D77"/>
    <w:rsid w:val="6BD79E28"/>
    <w:rsid w:val="6DE71CAA"/>
    <w:rsid w:val="6E7FB83F"/>
    <w:rsid w:val="6EFD0702"/>
    <w:rsid w:val="6EFF89D7"/>
    <w:rsid w:val="6F3FC4D1"/>
    <w:rsid w:val="6F9439CA"/>
    <w:rsid w:val="6F9F86BD"/>
    <w:rsid w:val="6FBA075D"/>
    <w:rsid w:val="6FBD7301"/>
    <w:rsid w:val="6FBD7B1C"/>
    <w:rsid w:val="6FD57B17"/>
    <w:rsid w:val="6FEE78D1"/>
    <w:rsid w:val="6FF71A06"/>
    <w:rsid w:val="6FFEBCBA"/>
    <w:rsid w:val="70194B6E"/>
    <w:rsid w:val="701EAA90"/>
    <w:rsid w:val="70EF2816"/>
    <w:rsid w:val="720D24B0"/>
    <w:rsid w:val="72A44ABA"/>
    <w:rsid w:val="72F7BE77"/>
    <w:rsid w:val="73392D4B"/>
    <w:rsid w:val="738D6592"/>
    <w:rsid w:val="73FBB3DA"/>
    <w:rsid w:val="74BD76C5"/>
    <w:rsid w:val="74BE7A92"/>
    <w:rsid w:val="7571445C"/>
    <w:rsid w:val="757F9E77"/>
    <w:rsid w:val="759F5B15"/>
    <w:rsid w:val="759F9E3A"/>
    <w:rsid w:val="75E6EE3E"/>
    <w:rsid w:val="75FE14B3"/>
    <w:rsid w:val="75FEBA6A"/>
    <w:rsid w:val="767B61EF"/>
    <w:rsid w:val="76F806F0"/>
    <w:rsid w:val="76FEFA1D"/>
    <w:rsid w:val="77075720"/>
    <w:rsid w:val="775E6842"/>
    <w:rsid w:val="77674BFA"/>
    <w:rsid w:val="77754063"/>
    <w:rsid w:val="77BF280A"/>
    <w:rsid w:val="77DF857D"/>
    <w:rsid w:val="77F6BFBC"/>
    <w:rsid w:val="77FC19EA"/>
    <w:rsid w:val="77FF2493"/>
    <w:rsid w:val="77FF3DAA"/>
    <w:rsid w:val="787BBDFE"/>
    <w:rsid w:val="794F96D7"/>
    <w:rsid w:val="799FF701"/>
    <w:rsid w:val="79BD037B"/>
    <w:rsid w:val="79C159B3"/>
    <w:rsid w:val="79D72195"/>
    <w:rsid w:val="79E315F0"/>
    <w:rsid w:val="7A810926"/>
    <w:rsid w:val="7A9EF9DF"/>
    <w:rsid w:val="7AA34B21"/>
    <w:rsid w:val="7B0D0A6A"/>
    <w:rsid w:val="7B245876"/>
    <w:rsid w:val="7B76CF2A"/>
    <w:rsid w:val="7BB55CC0"/>
    <w:rsid w:val="7BBFDDAD"/>
    <w:rsid w:val="7BD934BB"/>
    <w:rsid w:val="7BDC0725"/>
    <w:rsid w:val="7BEFE326"/>
    <w:rsid w:val="7BFBDC60"/>
    <w:rsid w:val="7BFFBB2A"/>
    <w:rsid w:val="7C4E7B53"/>
    <w:rsid w:val="7C6F5979"/>
    <w:rsid w:val="7C73113B"/>
    <w:rsid w:val="7C747F4E"/>
    <w:rsid w:val="7CE575A8"/>
    <w:rsid w:val="7CF8EF61"/>
    <w:rsid w:val="7D3F2001"/>
    <w:rsid w:val="7D4FC156"/>
    <w:rsid w:val="7D6235AD"/>
    <w:rsid w:val="7D773D8E"/>
    <w:rsid w:val="7D9E8DC5"/>
    <w:rsid w:val="7DDE65D4"/>
    <w:rsid w:val="7E358DE6"/>
    <w:rsid w:val="7E6F587C"/>
    <w:rsid w:val="7E78D5B2"/>
    <w:rsid w:val="7E7A0719"/>
    <w:rsid w:val="7E7D62E1"/>
    <w:rsid w:val="7E7F0FD5"/>
    <w:rsid w:val="7E7F45CC"/>
    <w:rsid w:val="7E9DF16B"/>
    <w:rsid w:val="7EDFDE80"/>
    <w:rsid w:val="7EDFE05E"/>
    <w:rsid w:val="7EE98AAF"/>
    <w:rsid w:val="7EF7A5A4"/>
    <w:rsid w:val="7EFD6F02"/>
    <w:rsid w:val="7EFF0B05"/>
    <w:rsid w:val="7EFF6378"/>
    <w:rsid w:val="7EFF9F9C"/>
    <w:rsid w:val="7F296CD5"/>
    <w:rsid w:val="7F67AD90"/>
    <w:rsid w:val="7F7F58BE"/>
    <w:rsid w:val="7F86BCB2"/>
    <w:rsid w:val="7FB56730"/>
    <w:rsid w:val="7FBC34D3"/>
    <w:rsid w:val="7FBD69DA"/>
    <w:rsid w:val="7FBE8F5E"/>
    <w:rsid w:val="7FCBEA34"/>
    <w:rsid w:val="7FD5542C"/>
    <w:rsid w:val="7FDEBE8B"/>
    <w:rsid w:val="7FFC25EF"/>
    <w:rsid w:val="7FFD2CF7"/>
    <w:rsid w:val="7FFD7D27"/>
    <w:rsid w:val="7FFE125F"/>
    <w:rsid w:val="7FFF370A"/>
    <w:rsid w:val="7FFF640C"/>
    <w:rsid w:val="7FFFCFCC"/>
    <w:rsid w:val="83EE34F1"/>
    <w:rsid w:val="87367C11"/>
    <w:rsid w:val="88BBC58F"/>
    <w:rsid w:val="8ABDA2D4"/>
    <w:rsid w:val="93EAB17C"/>
    <w:rsid w:val="99BF7335"/>
    <w:rsid w:val="9A7F48AD"/>
    <w:rsid w:val="9DBE2CFB"/>
    <w:rsid w:val="9DE8A4EB"/>
    <w:rsid w:val="9DEFBCCC"/>
    <w:rsid w:val="9DFB4C48"/>
    <w:rsid w:val="9DFF7E6D"/>
    <w:rsid w:val="9F2D48BC"/>
    <w:rsid w:val="9F662A4B"/>
    <w:rsid w:val="A5BD3A9A"/>
    <w:rsid w:val="A7FFB280"/>
    <w:rsid w:val="A9FEDED0"/>
    <w:rsid w:val="ADDF0588"/>
    <w:rsid w:val="AED31999"/>
    <w:rsid w:val="AFDFBFFD"/>
    <w:rsid w:val="AFFD305F"/>
    <w:rsid w:val="B312F4F0"/>
    <w:rsid w:val="B3F1974D"/>
    <w:rsid w:val="B5CA2FAA"/>
    <w:rsid w:val="B5F78F81"/>
    <w:rsid w:val="B6FC4F08"/>
    <w:rsid w:val="B8BB6B0B"/>
    <w:rsid w:val="BBFFF52C"/>
    <w:rsid w:val="BD36FE91"/>
    <w:rsid w:val="BD7F3F99"/>
    <w:rsid w:val="BDDA6B37"/>
    <w:rsid w:val="BDF9543F"/>
    <w:rsid w:val="BE6EE285"/>
    <w:rsid w:val="BF272253"/>
    <w:rsid w:val="BF3BF0A0"/>
    <w:rsid w:val="BFAF9789"/>
    <w:rsid w:val="BFFBA751"/>
    <w:rsid w:val="BFFD1B7F"/>
    <w:rsid w:val="BFFE765D"/>
    <w:rsid w:val="BFFFFB21"/>
    <w:rsid w:val="C9BF449D"/>
    <w:rsid w:val="CDFF5C57"/>
    <w:rsid w:val="CFBE0682"/>
    <w:rsid w:val="CFFB0D3D"/>
    <w:rsid w:val="CFFD515B"/>
    <w:rsid w:val="CFFEE267"/>
    <w:rsid w:val="D23ECCCA"/>
    <w:rsid w:val="D6D7078E"/>
    <w:rsid w:val="D87A99D9"/>
    <w:rsid w:val="D9EBEDB5"/>
    <w:rsid w:val="D9FF6763"/>
    <w:rsid w:val="DBE679A1"/>
    <w:rsid w:val="DBED0D8A"/>
    <w:rsid w:val="DBF65189"/>
    <w:rsid w:val="DBFEA0FD"/>
    <w:rsid w:val="DBFF39EE"/>
    <w:rsid w:val="DC6D5702"/>
    <w:rsid w:val="DCE3F869"/>
    <w:rsid w:val="DCFF7FA5"/>
    <w:rsid w:val="DDD92150"/>
    <w:rsid w:val="DDDF4CCD"/>
    <w:rsid w:val="DEBF36F9"/>
    <w:rsid w:val="DEFF7674"/>
    <w:rsid w:val="DF41F1A4"/>
    <w:rsid w:val="DF7A8F6F"/>
    <w:rsid w:val="DF7E29AB"/>
    <w:rsid w:val="DF7F2160"/>
    <w:rsid w:val="DF7F532B"/>
    <w:rsid w:val="DFD53238"/>
    <w:rsid w:val="DFDA68DA"/>
    <w:rsid w:val="DFE06E91"/>
    <w:rsid w:val="DFEA8315"/>
    <w:rsid w:val="DFF76272"/>
    <w:rsid w:val="DFFEE890"/>
    <w:rsid w:val="DFFFDC89"/>
    <w:rsid w:val="E2FE4B4F"/>
    <w:rsid w:val="E51F46CA"/>
    <w:rsid w:val="E79F44D8"/>
    <w:rsid w:val="E7D41CAC"/>
    <w:rsid w:val="E7FD810E"/>
    <w:rsid w:val="E7FE0717"/>
    <w:rsid w:val="E87E0465"/>
    <w:rsid w:val="E99FE2F5"/>
    <w:rsid w:val="E9B7081B"/>
    <w:rsid w:val="EAED2A6E"/>
    <w:rsid w:val="EAF1740E"/>
    <w:rsid w:val="EBA9102A"/>
    <w:rsid w:val="EBFD4347"/>
    <w:rsid w:val="EBFDF3EF"/>
    <w:rsid w:val="EBFE148D"/>
    <w:rsid w:val="EC9F6440"/>
    <w:rsid w:val="ECFDD79D"/>
    <w:rsid w:val="ED7840C9"/>
    <w:rsid w:val="EDF98675"/>
    <w:rsid w:val="EE26C5EA"/>
    <w:rsid w:val="EFD9A741"/>
    <w:rsid w:val="EFF9CD2D"/>
    <w:rsid w:val="EFFF0A77"/>
    <w:rsid w:val="EFFF2E6F"/>
    <w:rsid w:val="EFFFD43B"/>
    <w:rsid w:val="F0F7B12C"/>
    <w:rsid w:val="F12759D2"/>
    <w:rsid w:val="F31FA005"/>
    <w:rsid w:val="F37F39A5"/>
    <w:rsid w:val="F5DF7D04"/>
    <w:rsid w:val="F5FFBFC4"/>
    <w:rsid w:val="F6FF72C6"/>
    <w:rsid w:val="F77FBE5B"/>
    <w:rsid w:val="F7BDA5C8"/>
    <w:rsid w:val="F7BF8F5E"/>
    <w:rsid w:val="F7C0FEF8"/>
    <w:rsid w:val="F7DD230A"/>
    <w:rsid w:val="F7FE37B3"/>
    <w:rsid w:val="F7FE3A0D"/>
    <w:rsid w:val="F8E6C6E2"/>
    <w:rsid w:val="F9BF1F06"/>
    <w:rsid w:val="F9BFC453"/>
    <w:rsid w:val="F9BFF84C"/>
    <w:rsid w:val="F9FB2123"/>
    <w:rsid w:val="F9FEA9C3"/>
    <w:rsid w:val="FABF096A"/>
    <w:rsid w:val="FAD53CE0"/>
    <w:rsid w:val="FAD955F3"/>
    <w:rsid w:val="FAEFC0DA"/>
    <w:rsid w:val="FB5BE4CA"/>
    <w:rsid w:val="FB5F9B73"/>
    <w:rsid w:val="FBBAF3FA"/>
    <w:rsid w:val="FBF6AA2B"/>
    <w:rsid w:val="FC3F38A9"/>
    <w:rsid w:val="FCDE472B"/>
    <w:rsid w:val="FD8D27A6"/>
    <w:rsid w:val="FDAF7A72"/>
    <w:rsid w:val="FDBC728C"/>
    <w:rsid w:val="FDEF059C"/>
    <w:rsid w:val="FDF5078D"/>
    <w:rsid w:val="FDF78709"/>
    <w:rsid w:val="FDFCD6F3"/>
    <w:rsid w:val="FDFE29D6"/>
    <w:rsid w:val="FE5735D6"/>
    <w:rsid w:val="FE67790F"/>
    <w:rsid w:val="FE7F5845"/>
    <w:rsid w:val="FE8D9C36"/>
    <w:rsid w:val="FE8DAD8A"/>
    <w:rsid w:val="FEBE7C65"/>
    <w:rsid w:val="FECF134C"/>
    <w:rsid w:val="FEFAB05E"/>
    <w:rsid w:val="FEFED538"/>
    <w:rsid w:val="FF5FC768"/>
    <w:rsid w:val="FF63EFD8"/>
    <w:rsid w:val="FF6B5E00"/>
    <w:rsid w:val="FF7DAB2F"/>
    <w:rsid w:val="FFB6382E"/>
    <w:rsid w:val="FFB82B28"/>
    <w:rsid w:val="FFBC26BF"/>
    <w:rsid w:val="FFCB0FE9"/>
    <w:rsid w:val="FFCF12F6"/>
    <w:rsid w:val="FFD98492"/>
    <w:rsid w:val="FFDEE306"/>
    <w:rsid w:val="FFDF5A20"/>
    <w:rsid w:val="FFE64A1E"/>
    <w:rsid w:val="FFEDAA9D"/>
    <w:rsid w:val="FFEDEE59"/>
    <w:rsid w:val="FFEF24BE"/>
    <w:rsid w:val="FFEF35C3"/>
    <w:rsid w:val="FFEF9ED6"/>
    <w:rsid w:val="FFFB751F"/>
    <w:rsid w:val="FFFD9C64"/>
    <w:rsid w:val="FFFE63E4"/>
    <w:rsid w:val="FFFF1978"/>
    <w:rsid w:val="FFFF6C6A"/>
    <w:rsid w:val="FFFF7C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keepLines/>
      <w:spacing w:before="240" w:after="240"/>
      <w:outlineLvl w:val="1"/>
    </w:pPr>
    <w:rPr>
      <w:rFonts w:ascii="Arial" w:hAnsi="Arial" w:eastAsia="黑体"/>
      <w:b/>
      <w:bCs/>
      <w:sz w:val="32"/>
      <w:szCs w:val="32"/>
    </w:rPr>
  </w:style>
  <w:style w:type="paragraph" w:styleId="4">
    <w:name w:val="heading 3"/>
    <w:basedOn w:val="1"/>
    <w:next w:val="1"/>
    <w:link w:val="71"/>
    <w:qFormat/>
    <w:uiPriority w:val="0"/>
    <w:pPr>
      <w:keepNext/>
      <w:keepLines/>
      <w:spacing w:before="120" w:after="120"/>
      <w:outlineLvl w:val="2"/>
    </w:pPr>
    <w:rPr>
      <w:b/>
      <w:bCs/>
      <w:sz w:val="24"/>
      <w:szCs w:val="32"/>
    </w:rPr>
  </w:style>
  <w:style w:type="paragraph" w:styleId="5">
    <w:name w:val="heading 4"/>
    <w:basedOn w:val="1"/>
    <w:next w:val="1"/>
    <w:link w:val="6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5"/>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7">
    <w:name w:val="heading 6"/>
    <w:basedOn w:val="1"/>
    <w:next w:val="1"/>
    <w:link w:val="66"/>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67"/>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68"/>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69"/>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unhideWhenUsed/>
    <w:qFormat/>
    <w:uiPriority w:val="39"/>
    <w:pPr>
      <w:widowControl w:val="0"/>
      <w:spacing w:line="240" w:lineRule="auto"/>
      <w:ind w:left="2520" w:leftChars="1200" w:firstLine="0" w:firstLineChars="0"/>
    </w:pPr>
    <w:rPr>
      <w:rFonts w:ascii="等线" w:hAnsi="等线" w:eastAsia="等线"/>
      <w:szCs w:val="22"/>
    </w:rPr>
  </w:style>
  <w:style w:type="paragraph" w:styleId="13">
    <w:name w:val="Normal Indent"/>
    <w:basedOn w:val="1"/>
    <w:link w:val="72"/>
    <w:qFormat/>
    <w:uiPriority w:val="0"/>
  </w:style>
  <w:style w:type="paragraph" w:styleId="14">
    <w:name w:val="caption"/>
    <w:basedOn w:val="1"/>
    <w:next w:val="1"/>
    <w:qFormat/>
    <w:uiPriority w:val="0"/>
    <w:rPr>
      <w:rFonts w:ascii="Arial" w:hAnsi="Arial" w:eastAsia="黑体" w:cs="Arial"/>
      <w:sz w:val="20"/>
      <w:szCs w:val="20"/>
    </w:rPr>
  </w:style>
  <w:style w:type="paragraph" w:styleId="15">
    <w:name w:val="Document Map"/>
    <w:basedOn w:val="1"/>
    <w:link w:val="73"/>
    <w:qFormat/>
    <w:uiPriority w:val="99"/>
    <w:rPr>
      <w:rFonts w:ascii="宋体"/>
      <w:sz w:val="18"/>
      <w:szCs w:val="18"/>
    </w:rPr>
  </w:style>
  <w:style w:type="paragraph" w:styleId="16">
    <w:name w:val="toa heading"/>
    <w:basedOn w:val="1"/>
    <w:next w:val="1"/>
    <w:qFormat/>
    <w:uiPriority w:val="0"/>
    <w:pPr>
      <w:spacing w:before="120"/>
    </w:pPr>
    <w:rPr>
      <w:rFonts w:ascii="Arial" w:hAnsi="Arial"/>
      <w:b/>
      <w:bCs/>
    </w:rPr>
  </w:style>
  <w:style w:type="paragraph" w:styleId="17">
    <w:name w:val="annotation text"/>
    <w:basedOn w:val="1"/>
    <w:link w:val="74"/>
    <w:qFormat/>
    <w:uiPriority w:val="99"/>
    <w:pPr>
      <w:jc w:val="left"/>
    </w:pPr>
  </w:style>
  <w:style w:type="paragraph" w:styleId="18">
    <w:name w:val="Body Text 3"/>
    <w:basedOn w:val="1"/>
    <w:link w:val="75"/>
    <w:qFormat/>
    <w:uiPriority w:val="0"/>
    <w:rPr>
      <w:rFonts w:ascii="宋体"/>
      <w:sz w:val="24"/>
      <w:szCs w:val="20"/>
    </w:rPr>
  </w:style>
  <w:style w:type="paragraph" w:styleId="19">
    <w:name w:val="Body Text"/>
    <w:basedOn w:val="1"/>
    <w:link w:val="60"/>
    <w:qFormat/>
    <w:uiPriority w:val="1"/>
    <w:pPr>
      <w:spacing w:after="120"/>
    </w:pPr>
  </w:style>
  <w:style w:type="paragraph" w:styleId="20">
    <w:name w:val="Body Text Indent"/>
    <w:basedOn w:val="1"/>
    <w:link w:val="76"/>
    <w:qFormat/>
    <w:uiPriority w:val="99"/>
    <w:pPr>
      <w:spacing w:after="120"/>
      <w:ind w:left="420" w:leftChars="200"/>
    </w:pPr>
  </w:style>
  <w:style w:type="paragraph" w:styleId="21">
    <w:name w:val="List 2"/>
    <w:basedOn w:val="1"/>
    <w:qFormat/>
    <w:uiPriority w:val="0"/>
    <w:pPr>
      <w:ind w:left="100" w:leftChars="200" w:hanging="200" w:hangingChars="200"/>
    </w:pPr>
  </w:style>
  <w:style w:type="paragraph" w:styleId="22">
    <w:name w:val="List Bullet 2"/>
    <w:basedOn w:val="1"/>
    <w:qFormat/>
    <w:uiPriority w:val="0"/>
    <w:pPr>
      <w:tabs>
        <w:tab w:val="left" w:pos="780"/>
      </w:tabs>
      <w:ind w:left="840" w:hanging="420"/>
    </w:pPr>
  </w:style>
  <w:style w:type="paragraph" w:styleId="23">
    <w:name w:val="toc 5"/>
    <w:basedOn w:val="1"/>
    <w:next w:val="1"/>
    <w:unhideWhenUsed/>
    <w:qFormat/>
    <w:uiPriority w:val="39"/>
    <w:pPr>
      <w:widowControl w:val="0"/>
      <w:spacing w:line="240" w:lineRule="auto"/>
      <w:ind w:left="1680" w:leftChars="800" w:firstLine="0" w:firstLineChars="0"/>
    </w:pPr>
    <w:rPr>
      <w:rFonts w:ascii="等线" w:hAnsi="等线" w:eastAsia="等线"/>
      <w:szCs w:val="22"/>
    </w:rPr>
  </w:style>
  <w:style w:type="paragraph" w:styleId="24">
    <w:name w:val="toc 3"/>
    <w:basedOn w:val="1"/>
    <w:next w:val="1"/>
    <w:qFormat/>
    <w:uiPriority w:val="39"/>
    <w:pPr>
      <w:ind w:left="940"/>
      <w:jc w:val="left"/>
    </w:pPr>
    <w:rPr>
      <w:rFonts w:ascii="宋体" w:hAnsi="宋体"/>
      <w:kern w:val="0"/>
      <w:szCs w:val="21"/>
      <w:lang w:eastAsia="en-US"/>
    </w:rPr>
  </w:style>
  <w:style w:type="paragraph" w:styleId="25">
    <w:name w:val="Plain Text"/>
    <w:basedOn w:val="1"/>
    <w:link w:val="77"/>
    <w:qFormat/>
    <w:uiPriority w:val="0"/>
    <w:rPr>
      <w:rFonts w:ascii="宋体" w:hAnsi="Courier New"/>
      <w:szCs w:val="21"/>
    </w:rPr>
  </w:style>
  <w:style w:type="paragraph" w:styleId="26">
    <w:name w:val="toc 8"/>
    <w:basedOn w:val="1"/>
    <w:next w:val="1"/>
    <w:unhideWhenUsed/>
    <w:qFormat/>
    <w:uiPriority w:val="39"/>
    <w:pPr>
      <w:widowControl w:val="0"/>
      <w:spacing w:line="240" w:lineRule="auto"/>
      <w:ind w:left="2940" w:leftChars="1400" w:firstLine="0" w:firstLineChars="0"/>
    </w:pPr>
    <w:rPr>
      <w:rFonts w:ascii="等线" w:hAnsi="等线" w:eastAsia="等线"/>
      <w:szCs w:val="22"/>
    </w:rPr>
  </w:style>
  <w:style w:type="paragraph" w:styleId="27">
    <w:name w:val="Date"/>
    <w:basedOn w:val="1"/>
    <w:next w:val="1"/>
    <w:link w:val="78"/>
    <w:qFormat/>
    <w:uiPriority w:val="99"/>
    <w:rPr>
      <w:sz w:val="24"/>
      <w:szCs w:val="20"/>
    </w:rPr>
  </w:style>
  <w:style w:type="paragraph" w:styleId="28">
    <w:name w:val="Body Text Indent 2"/>
    <w:basedOn w:val="1"/>
    <w:link w:val="79"/>
    <w:qFormat/>
    <w:uiPriority w:val="0"/>
    <w:pPr>
      <w:ind w:firstLine="640"/>
    </w:pPr>
    <w:rPr>
      <w:rFonts w:eastAsia="仿宋_GB2312"/>
      <w:sz w:val="32"/>
    </w:rPr>
  </w:style>
  <w:style w:type="paragraph" w:styleId="29">
    <w:name w:val="endnote text"/>
    <w:basedOn w:val="1"/>
    <w:link w:val="80"/>
    <w:qFormat/>
    <w:uiPriority w:val="0"/>
    <w:pPr>
      <w:jc w:val="left"/>
    </w:pPr>
    <w:rPr>
      <w:rFonts w:ascii="Courier" w:hAnsi="Courier" w:eastAsia="PMingLiU"/>
      <w:snapToGrid w:val="0"/>
      <w:kern w:val="0"/>
      <w:sz w:val="24"/>
      <w:szCs w:val="20"/>
      <w:lang w:val="en-AU" w:eastAsia="en-US"/>
    </w:rPr>
  </w:style>
  <w:style w:type="paragraph" w:styleId="30">
    <w:name w:val="Balloon Text"/>
    <w:basedOn w:val="1"/>
    <w:link w:val="81"/>
    <w:qFormat/>
    <w:uiPriority w:val="99"/>
    <w:rPr>
      <w:sz w:val="18"/>
      <w:szCs w:val="18"/>
    </w:rPr>
  </w:style>
  <w:style w:type="paragraph" w:styleId="31">
    <w:name w:val="footer"/>
    <w:basedOn w:val="1"/>
    <w:link w:val="59"/>
    <w:unhideWhenUsed/>
    <w:qFormat/>
    <w:uiPriority w:val="99"/>
    <w:pPr>
      <w:tabs>
        <w:tab w:val="center" w:pos="4153"/>
        <w:tab w:val="right" w:pos="8306"/>
      </w:tabs>
      <w:snapToGrid w:val="0"/>
      <w:jc w:val="left"/>
    </w:pPr>
    <w:rPr>
      <w:sz w:val="18"/>
      <w:szCs w:val="18"/>
    </w:rPr>
  </w:style>
  <w:style w:type="paragraph" w:styleId="32">
    <w:name w:val="header"/>
    <w:basedOn w:val="1"/>
    <w:link w:val="58"/>
    <w:unhideWhenUsed/>
    <w:qFormat/>
    <w:uiPriority w:val="99"/>
    <w:pPr>
      <w:tabs>
        <w:tab w:val="center" w:pos="4153"/>
        <w:tab w:val="right" w:pos="8306"/>
      </w:tabs>
      <w:snapToGrid w:val="0"/>
      <w:jc w:val="center"/>
    </w:pPr>
    <w:rPr>
      <w:sz w:val="18"/>
      <w:szCs w:val="18"/>
    </w:rPr>
  </w:style>
  <w:style w:type="paragraph" w:styleId="33">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4">
    <w:name w:val="toc 4"/>
    <w:basedOn w:val="1"/>
    <w:next w:val="1"/>
    <w:unhideWhenUsed/>
    <w:qFormat/>
    <w:uiPriority w:val="39"/>
    <w:pPr>
      <w:widowControl w:val="0"/>
      <w:spacing w:line="240" w:lineRule="auto"/>
      <w:ind w:left="1260" w:leftChars="600" w:firstLine="0" w:firstLineChars="0"/>
    </w:pPr>
    <w:rPr>
      <w:rFonts w:ascii="等线" w:hAnsi="等线" w:eastAsia="等线"/>
      <w:szCs w:val="22"/>
    </w:rPr>
  </w:style>
  <w:style w:type="paragraph" w:styleId="35">
    <w:name w:val="index heading"/>
    <w:basedOn w:val="1"/>
    <w:next w:val="36"/>
    <w:qFormat/>
    <w:uiPriority w:val="0"/>
    <w:pPr>
      <w:spacing w:before="120" w:after="120"/>
      <w:jc w:val="left"/>
    </w:pPr>
    <w:rPr>
      <w:b/>
      <w:bCs/>
      <w:i/>
      <w:iCs/>
      <w:sz w:val="20"/>
      <w:szCs w:val="20"/>
    </w:rPr>
  </w:style>
  <w:style w:type="paragraph" w:styleId="36">
    <w:name w:val="index 1"/>
    <w:basedOn w:val="1"/>
    <w:next w:val="1"/>
    <w:unhideWhenUsed/>
    <w:qFormat/>
    <w:uiPriority w:val="0"/>
    <w:pPr>
      <w:ind w:firstLine="0"/>
    </w:pPr>
  </w:style>
  <w:style w:type="paragraph" w:styleId="37">
    <w:name w:val="List"/>
    <w:basedOn w:val="1"/>
    <w:qFormat/>
    <w:uiPriority w:val="0"/>
    <w:pPr>
      <w:ind w:left="200" w:hanging="200" w:hangingChars="200"/>
    </w:pPr>
  </w:style>
  <w:style w:type="paragraph" w:styleId="38">
    <w:name w:val="footnote text"/>
    <w:basedOn w:val="1"/>
    <w:link w:val="83"/>
    <w:qFormat/>
    <w:uiPriority w:val="0"/>
    <w:pPr>
      <w:jc w:val="left"/>
    </w:pPr>
    <w:rPr>
      <w:rFonts w:ascii="Courier" w:hAnsi="Courier" w:eastAsia="PMingLiU"/>
      <w:snapToGrid w:val="0"/>
      <w:kern w:val="0"/>
      <w:sz w:val="24"/>
      <w:szCs w:val="20"/>
      <w:lang w:val="en-AU" w:eastAsia="en-US"/>
    </w:rPr>
  </w:style>
  <w:style w:type="paragraph" w:styleId="39">
    <w:name w:val="toc 6"/>
    <w:basedOn w:val="1"/>
    <w:next w:val="1"/>
    <w:unhideWhenUsed/>
    <w:qFormat/>
    <w:uiPriority w:val="39"/>
    <w:pPr>
      <w:widowControl w:val="0"/>
      <w:spacing w:line="240" w:lineRule="auto"/>
      <w:ind w:left="2100" w:leftChars="1000" w:firstLine="0" w:firstLineChars="0"/>
    </w:pPr>
    <w:rPr>
      <w:rFonts w:ascii="等线" w:hAnsi="等线" w:eastAsia="等线"/>
      <w:szCs w:val="22"/>
    </w:rPr>
  </w:style>
  <w:style w:type="paragraph" w:styleId="40">
    <w:name w:val="List 5"/>
    <w:basedOn w:val="1"/>
    <w:qFormat/>
    <w:uiPriority w:val="0"/>
    <w:pPr>
      <w:ind w:left="100" w:leftChars="800" w:hanging="200" w:hangingChars="200"/>
    </w:pPr>
  </w:style>
  <w:style w:type="paragraph" w:styleId="41">
    <w:name w:val="Body Text Indent 3"/>
    <w:basedOn w:val="1"/>
    <w:link w:val="84"/>
    <w:qFormat/>
    <w:uiPriority w:val="0"/>
    <w:pPr>
      <w:spacing w:after="120"/>
      <w:ind w:left="420" w:leftChars="200"/>
    </w:pPr>
    <w:rPr>
      <w:sz w:val="16"/>
      <w:szCs w:val="16"/>
    </w:rPr>
  </w:style>
  <w:style w:type="paragraph" w:styleId="42">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3">
    <w:name w:val="toc 9"/>
    <w:basedOn w:val="1"/>
    <w:next w:val="1"/>
    <w:unhideWhenUsed/>
    <w:qFormat/>
    <w:uiPriority w:val="39"/>
    <w:pPr>
      <w:widowControl w:val="0"/>
      <w:spacing w:line="240" w:lineRule="auto"/>
      <w:ind w:left="3360" w:leftChars="1600" w:firstLine="0" w:firstLineChars="0"/>
    </w:pPr>
    <w:rPr>
      <w:rFonts w:ascii="等线" w:hAnsi="等线" w:eastAsia="等线"/>
      <w:szCs w:val="22"/>
    </w:rPr>
  </w:style>
  <w:style w:type="paragraph" w:styleId="44">
    <w:name w:val="Body Text 2"/>
    <w:basedOn w:val="1"/>
    <w:link w:val="85"/>
    <w:qFormat/>
    <w:uiPriority w:val="0"/>
    <w:pPr>
      <w:jc w:val="left"/>
    </w:pPr>
    <w:rPr>
      <w:rFonts w:ascii="楷体_GB2312" w:hAnsi="宋体" w:eastAsia="楷体_GB2312"/>
      <w:color w:val="000000"/>
      <w:kern w:val="0"/>
      <w:szCs w:val="21"/>
    </w:rPr>
  </w:style>
  <w:style w:type="paragraph" w:styleId="45">
    <w:name w:val="List 4"/>
    <w:basedOn w:val="1"/>
    <w:qFormat/>
    <w:uiPriority w:val="0"/>
    <w:pPr>
      <w:ind w:left="100" w:leftChars="600" w:hanging="200" w:hangingChars="200"/>
    </w:pPr>
  </w:style>
  <w:style w:type="paragraph" w:styleId="46">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7">
    <w:name w:val="Title"/>
    <w:basedOn w:val="1"/>
    <w:link w:val="86"/>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8">
    <w:name w:val="annotation subject"/>
    <w:basedOn w:val="17"/>
    <w:next w:val="17"/>
    <w:link w:val="87"/>
    <w:qFormat/>
    <w:uiPriority w:val="99"/>
  </w:style>
  <w:style w:type="table" w:styleId="50">
    <w:name w:val="Table Grid"/>
    <w:basedOn w:val="49"/>
    <w:qFormat/>
    <w:uiPriority w:val="0"/>
    <w:pPr>
      <w:ind w:left="840" w:hanging="420"/>
      <w:jc w:val="both"/>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qFormat/>
    <w:uiPriority w:val="22"/>
    <w:rPr>
      <w:b/>
      <w:bCs/>
    </w:rPr>
  </w:style>
  <w:style w:type="character" w:styleId="53">
    <w:name w:val="page number"/>
    <w:qFormat/>
    <w:uiPriority w:val="0"/>
  </w:style>
  <w:style w:type="character" w:styleId="54">
    <w:name w:val="Emphasis"/>
    <w:qFormat/>
    <w:uiPriority w:val="20"/>
    <w:rPr>
      <w:color w:val="CC0000"/>
    </w:rPr>
  </w:style>
  <w:style w:type="character" w:styleId="55">
    <w:name w:val="Hyperlink"/>
    <w:qFormat/>
    <w:uiPriority w:val="99"/>
    <w:rPr>
      <w:color w:val="0000FF"/>
      <w:u w:val="single"/>
    </w:rPr>
  </w:style>
  <w:style w:type="character" w:styleId="56">
    <w:name w:val="annotation reference"/>
    <w:qFormat/>
    <w:uiPriority w:val="99"/>
    <w:rPr>
      <w:sz w:val="21"/>
      <w:szCs w:val="21"/>
    </w:rPr>
  </w:style>
  <w:style w:type="paragraph" w:styleId="57">
    <w:name w:val="List Paragraph"/>
    <w:basedOn w:val="1"/>
    <w:qFormat/>
    <w:uiPriority w:val="34"/>
    <w:pPr>
      <w:ind w:firstLine="420"/>
    </w:pPr>
  </w:style>
  <w:style w:type="character" w:customStyle="1" w:styleId="58">
    <w:name w:val="页眉 字符"/>
    <w:basedOn w:val="51"/>
    <w:link w:val="32"/>
    <w:qFormat/>
    <w:uiPriority w:val="99"/>
    <w:rPr>
      <w:sz w:val="18"/>
      <w:szCs w:val="18"/>
    </w:rPr>
  </w:style>
  <w:style w:type="character" w:customStyle="1" w:styleId="59">
    <w:name w:val="页脚 字符"/>
    <w:basedOn w:val="51"/>
    <w:link w:val="31"/>
    <w:qFormat/>
    <w:uiPriority w:val="99"/>
    <w:rPr>
      <w:sz w:val="18"/>
      <w:szCs w:val="18"/>
    </w:rPr>
  </w:style>
  <w:style w:type="character" w:customStyle="1" w:styleId="60">
    <w:name w:val="正文文本 字符"/>
    <w:basedOn w:val="51"/>
    <w:link w:val="19"/>
    <w:qFormat/>
    <w:uiPriority w:val="1"/>
    <w:rPr>
      <w:rFonts w:ascii="Times New Roman" w:hAnsi="Times New Roman" w:eastAsia="宋体" w:cs="Times New Roman"/>
      <w:szCs w:val="24"/>
      <w14:ligatures w14:val="none"/>
    </w:rPr>
  </w:style>
  <w:style w:type="character" w:customStyle="1" w:styleId="61">
    <w:name w:val="标题 1 字符"/>
    <w:basedOn w:val="51"/>
    <w:qFormat/>
    <w:uiPriority w:val="0"/>
    <w:rPr>
      <w:rFonts w:ascii="Times New Roman" w:hAnsi="Times New Roman" w:eastAsia="宋体" w:cs="Times New Roman"/>
      <w:b/>
      <w:bCs/>
      <w:kern w:val="44"/>
      <w:sz w:val="44"/>
      <w:szCs w:val="44"/>
      <w14:ligatures w14:val="none"/>
    </w:rPr>
  </w:style>
  <w:style w:type="character" w:customStyle="1" w:styleId="62">
    <w:name w:val="标题 2 字符"/>
    <w:basedOn w:val="51"/>
    <w:link w:val="3"/>
    <w:qFormat/>
    <w:uiPriority w:val="0"/>
    <w:rPr>
      <w:rFonts w:ascii="Arial" w:hAnsi="Arial" w:eastAsia="黑体" w:cs="Times New Roman"/>
      <w:b/>
      <w:bCs/>
      <w:sz w:val="32"/>
      <w:szCs w:val="32"/>
      <w14:ligatures w14:val="none"/>
    </w:rPr>
  </w:style>
  <w:style w:type="character" w:customStyle="1" w:styleId="63">
    <w:name w:val="标题 3 字符"/>
    <w:basedOn w:val="51"/>
    <w:qFormat/>
    <w:uiPriority w:val="0"/>
    <w:rPr>
      <w:rFonts w:ascii="Times New Roman" w:hAnsi="Times New Roman" w:eastAsia="宋体" w:cs="Times New Roman"/>
      <w:b/>
      <w:bCs/>
      <w:sz w:val="32"/>
      <w:szCs w:val="32"/>
      <w14:ligatures w14:val="none"/>
    </w:rPr>
  </w:style>
  <w:style w:type="character" w:customStyle="1" w:styleId="64">
    <w:name w:val="标题 4 字符"/>
    <w:basedOn w:val="51"/>
    <w:link w:val="5"/>
    <w:qFormat/>
    <w:uiPriority w:val="0"/>
    <w:rPr>
      <w:rFonts w:ascii="Arial" w:hAnsi="Arial" w:eastAsia="黑体" w:cs="Times New Roman"/>
      <w:b/>
      <w:bCs/>
      <w:sz w:val="28"/>
      <w:szCs w:val="28"/>
      <w14:ligatures w14:val="none"/>
    </w:rPr>
  </w:style>
  <w:style w:type="character" w:customStyle="1" w:styleId="65">
    <w:name w:val="标题 5 字符"/>
    <w:basedOn w:val="51"/>
    <w:link w:val="6"/>
    <w:qFormat/>
    <w:uiPriority w:val="0"/>
    <w:rPr>
      <w:rFonts w:ascii="Times New Roman" w:hAnsi="Times New Roman" w:eastAsia="宋体" w:cs="Times New Roman"/>
      <w:b/>
      <w:bCs/>
      <w:kern w:val="0"/>
      <w:sz w:val="28"/>
      <w:szCs w:val="28"/>
      <w14:ligatures w14:val="none"/>
    </w:rPr>
  </w:style>
  <w:style w:type="character" w:customStyle="1" w:styleId="66">
    <w:name w:val="标题 6 字符"/>
    <w:basedOn w:val="51"/>
    <w:link w:val="7"/>
    <w:qFormat/>
    <w:uiPriority w:val="0"/>
    <w:rPr>
      <w:rFonts w:ascii="Arial" w:hAnsi="Arial" w:eastAsia="黑体" w:cs="Times New Roman"/>
      <w:b/>
      <w:bCs/>
      <w:kern w:val="0"/>
      <w:sz w:val="24"/>
      <w:szCs w:val="24"/>
      <w14:ligatures w14:val="none"/>
    </w:rPr>
  </w:style>
  <w:style w:type="character" w:customStyle="1" w:styleId="67">
    <w:name w:val="标题 7 字符"/>
    <w:basedOn w:val="51"/>
    <w:link w:val="8"/>
    <w:qFormat/>
    <w:uiPriority w:val="0"/>
    <w:rPr>
      <w:rFonts w:ascii="Times New Roman" w:hAnsi="Times New Roman" w:eastAsia="宋体" w:cs="Times New Roman"/>
      <w:b/>
      <w:bCs/>
      <w:kern w:val="0"/>
      <w:sz w:val="24"/>
      <w:szCs w:val="24"/>
      <w14:ligatures w14:val="none"/>
    </w:rPr>
  </w:style>
  <w:style w:type="character" w:customStyle="1" w:styleId="68">
    <w:name w:val="标题 8 字符"/>
    <w:basedOn w:val="51"/>
    <w:link w:val="9"/>
    <w:qFormat/>
    <w:uiPriority w:val="0"/>
    <w:rPr>
      <w:rFonts w:ascii="Arial" w:hAnsi="Arial" w:eastAsia="黑体" w:cs="Times New Roman"/>
      <w:kern w:val="0"/>
      <w:sz w:val="24"/>
      <w:szCs w:val="24"/>
      <w14:ligatures w14:val="none"/>
    </w:rPr>
  </w:style>
  <w:style w:type="character" w:customStyle="1" w:styleId="69">
    <w:name w:val="标题 9 字符"/>
    <w:basedOn w:val="51"/>
    <w:link w:val="10"/>
    <w:qFormat/>
    <w:uiPriority w:val="0"/>
    <w:rPr>
      <w:rFonts w:ascii="Arial" w:hAnsi="Arial" w:eastAsia="黑体" w:cs="Times New Roman"/>
      <w:kern w:val="0"/>
      <w:szCs w:val="21"/>
      <w14:ligatures w14:val="none"/>
    </w:rPr>
  </w:style>
  <w:style w:type="character" w:customStyle="1" w:styleId="70">
    <w:name w:val="标题 1 字符1"/>
    <w:link w:val="2"/>
    <w:qFormat/>
    <w:uiPriority w:val="0"/>
    <w:rPr>
      <w:rFonts w:ascii="Times New Roman" w:hAnsi="Times New Roman" w:eastAsia="宋体" w:cs="Times New Roman"/>
      <w:b/>
      <w:bCs/>
      <w:kern w:val="44"/>
      <w:sz w:val="44"/>
      <w:szCs w:val="44"/>
      <w14:ligatures w14:val="none"/>
    </w:rPr>
  </w:style>
  <w:style w:type="character" w:customStyle="1" w:styleId="71">
    <w:name w:val="标题 3 字符1"/>
    <w:link w:val="4"/>
    <w:qFormat/>
    <w:uiPriority w:val="0"/>
    <w:rPr>
      <w:rFonts w:ascii="Times New Roman" w:hAnsi="Times New Roman" w:eastAsia="宋体" w:cs="Times New Roman"/>
      <w:b/>
      <w:bCs/>
      <w:sz w:val="24"/>
      <w:szCs w:val="32"/>
      <w14:ligatures w14:val="none"/>
    </w:rPr>
  </w:style>
  <w:style w:type="character" w:customStyle="1" w:styleId="72">
    <w:name w:val="正文缩进 字符"/>
    <w:link w:val="13"/>
    <w:qFormat/>
    <w:uiPriority w:val="0"/>
    <w:rPr>
      <w:rFonts w:ascii="Times New Roman" w:hAnsi="Times New Roman" w:eastAsia="宋体" w:cs="Times New Roman"/>
      <w:szCs w:val="24"/>
      <w14:ligatures w14:val="none"/>
    </w:rPr>
  </w:style>
  <w:style w:type="character" w:customStyle="1" w:styleId="73">
    <w:name w:val="文档结构图 字符"/>
    <w:basedOn w:val="51"/>
    <w:link w:val="15"/>
    <w:qFormat/>
    <w:uiPriority w:val="99"/>
    <w:rPr>
      <w:rFonts w:ascii="宋体" w:hAnsi="Times New Roman" w:eastAsia="宋体" w:cs="Times New Roman"/>
      <w:sz w:val="18"/>
      <w:szCs w:val="18"/>
      <w14:ligatures w14:val="none"/>
    </w:rPr>
  </w:style>
  <w:style w:type="character" w:customStyle="1" w:styleId="74">
    <w:name w:val="批注文字 字符"/>
    <w:basedOn w:val="51"/>
    <w:link w:val="17"/>
    <w:qFormat/>
    <w:uiPriority w:val="99"/>
    <w:rPr>
      <w:rFonts w:ascii="Times New Roman" w:hAnsi="Times New Roman" w:eastAsia="宋体" w:cs="Times New Roman"/>
      <w:szCs w:val="24"/>
      <w14:ligatures w14:val="none"/>
    </w:rPr>
  </w:style>
  <w:style w:type="character" w:customStyle="1" w:styleId="75">
    <w:name w:val="正文文本 3 字符"/>
    <w:basedOn w:val="51"/>
    <w:link w:val="18"/>
    <w:qFormat/>
    <w:uiPriority w:val="0"/>
    <w:rPr>
      <w:rFonts w:ascii="宋体" w:hAnsi="Times New Roman" w:eastAsia="宋体" w:cs="Times New Roman"/>
      <w:sz w:val="24"/>
      <w:szCs w:val="20"/>
      <w14:ligatures w14:val="none"/>
    </w:rPr>
  </w:style>
  <w:style w:type="character" w:customStyle="1" w:styleId="76">
    <w:name w:val="正文文本缩进 字符"/>
    <w:basedOn w:val="51"/>
    <w:link w:val="20"/>
    <w:qFormat/>
    <w:uiPriority w:val="99"/>
    <w:rPr>
      <w:rFonts w:ascii="Times New Roman" w:hAnsi="Times New Roman" w:eastAsia="宋体" w:cs="Times New Roman"/>
      <w:szCs w:val="24"/>
      <w14:ligatures w14:val="none"/>
    </w:rPr>
  </w:style>
  <w:style w:type="character" w:customStyle="1" w:styleId="77">
    <w:name w:val="纯文本 字符"/>
    <w:basedOn w:val="51"/>
    <w:link w:val="25"/>
    <w:qFormat/>
    <w:uiPriority w:val="0"/>
    <w:rPr>
      <w:rFonts w:ascii="宋体" w:hAnsi="Courier New" w:eastAsia="宋体" w:cs="Times New Roman"/>
      <w:szCs w:val="21"/>
      <w14:ligatures w14:val="none"/>
    </w:rPr>
  </w:style>
  <w:style w:type="character" w:customStyle="1" w:styleId="78">
    <w:name w:val="日期 字符"/>
    <w:basedOn w:val="51"/>
    <w:link w:val="27"/>
    <w:qFormat/>
    <w:uiPriority w:val="99"/>
    <w:rPr>
      <w:rFonts w:ascii="Times New Roman" w:hAnsi="Times New Roman" w:eastAsia="宋体" w:cs="Times New Roman"/>
      <w:sz w:val="24"/>
      <w:szCs w:val="20"/>
      <w14:ligatures w14:val="none"/>
    </w:rPr>
  </w:style>
  <w:style w:type="character" w:customStyle="1" w:styleId="79">
    <w:name w:val="正文文本缩进 2 字符"/>
    <w:basedOn w:val="51"/>
    <w:link w:val="28"/>
    <w:qFormat/>
    <w:uiPriority w:val="0"/>
    <w:rPr>
      <w:rFonts w:ascii="Times New Roman" w:hAnsi="Times New Roman" w:eastAsia="仿宋_GB2312" w:cs="Times New Roman"/>
      <w:sz w:val="32"/>
      <w:szCs w:val="24"/>
      <w14:ligatures w14:val="none"/>
    </w:rPr>
  </w:style>
  <w:style w:type="character" w:customStyle="1" w:styleId="80">
    <w:name w:val="尾注文本 字符"/>
    <w:basedOn w:val="51"/>
    <w:link w:val="29"/>
    <w:qFormat/>
    <w:uiPriority w:val="0"/>
    <w:rPr>
      <w:rFonts w:ascii="Courier" w:hAnsi="Courier" w:eastAsia="PMingLiU" w:cs="Times New Roman"/>
      <w:snapToGrid w:val="0"/>
      <w:kern w:val="0"/>
      <w:sz w:val="24"/>
      <w:szCs w:val="20"/>
      <w:lang w:val="en-AU" w:eastAsia="en-US"/>
      <w14:ligatures w14:val="none"/>
    </w:rPr>
  </w:style>
  <w:style w:type="character" w:customStyle="1" w:styleId="81">
    <w:name w:val="批注框文本 字符"/>
    <w:basedOn w:val="51"/>
    <w:link w:val="30"/>
    <w:qFormat/>
    <w:uiPriority w:val="99"/>
    <w:rPr>
      <w:rFonts w:ascii="Times New Roman" w:hAnsi="Times New Roman" w:eastAsia="宋体" w:cs="Times New Roman"/>
      <w:sz w:val="18"/>
      <w:szCs w:val="18"/>
      <w14:ligatures w14:val="none"/>
    </w:rPr>
  </w:style>
  <w:style w:type="character" w:customStyle="1" w:styleId="82">
    <w:name w:val="页脚 字符1"/>
    <w:qFormat/>
    <w:uiPriority w:val="99"/>
    <w:rPr>
      <w:kern w:val="2"/>
      <w:sz w:val="18"/>
      <w:szCs w:val="18"/>
    </w:rPr>
  </w:style>
  <w:style w:type="character" w:customStyle="1" w:styleId="83">
    <w:name w:val="脚注文本 字符"/>
    <w:basedOn w:val="51"/>
    <w:link w:val="38"/>
    <w:qFormat/>
    <w:uiPriority w:val="0"/>
    <w:rPr>
      <w:rFonts w:ascii="Courier" w:hAnsi="Courier" w:eastAsia="PMingLiU" w:cs="Times New Roman"/>
      <w:snapToGrid w:val="0"/>
      <w:kern w:val="0"/>
      <w:sz w:val="24"/>
      <w:szCs w:val="20"/>
      <w:lang w:val="en-AU" w:eastAsia="en-US"/>
      <w14:ligatures w14:val="none"/>
    </w:rPr>
  </w:style>
  <w:style w:type="character" w:customStyle="1" w:styleId="84">
    <w:name w:val="正文文本缩进 3 字符"/>
    <w:basedOn w:val="51"/>
    <w:link w:val="41"/>
    <w:qFormat/>
    <w:uiPriority w:val="0"/>
    <w:rPr>
      <w:rFonts w:ascii="Times New Roman" w:hAnsi="Times New Roman" w:eastAsia="宋体" w:cs="Times New Roman"/>
      <w:sz w:val="16"/>
      <w:szCs w:val="16"/>
      <w14:ligatures w14:val="none"/>
    </w:rPr>
  </w:style>
  <w:style w:type="character" w:customStyle="1" w:styleId="85">
    <w:name w:val="正文文本 2 字符"/>
    <w:basedOn w:val="51"/>
    <w:link w:val="44"/>
    <w:qFormat/>
    <w:uiPriority w:val="0"/>
    <w:rPr>
      <w:rFonts w:ascii="楷体_GB2312" w:hAnsi="宋体" w:eastAsia="楷体_GB2312" w:cs="Times New Roman"/>
      <w:color w:val="000000"/>
      <w:kern w:val="0"/>
      <w:szCs w:val="21"/>
      <w14:ligatures w14:val="none"/>
    </w:rPr>
  </w:style>
  <w:style w:type="character" w:customStyle="1" w:styleId="86">
    <w:name w:val="标题 字符"/>
    <w:basedOn w:val="51"/>
    <w:link w:val="47"/>
    <w:qFormat/>
    <w:uiPriority w:val="0"/>
    <w:rPr>
      <w:rFonts w:ascii="Arial" w:hAnsi="Arial" w:eastAsia="宋体" w:cs="Times New Roman"/>
      <w:b/>
      <w:kern w:val="0"/>
      <w:sz w:val="32"/>
      <w:szCs w:val="20"/>
      <w14:ligatures w14:val="none"/>
    </w:rPr>
  </w:style>
  <w:style w:type="character" w:customStyle="1" w:styleId="87">
    <w:name w:val="批注主题 字符"/>
    <w:basedOn w:val="74"/>
    <w:link w:val="48"/>
    <w:qFormat/>
    <w:uiPriority w:val="99"/>
    <w:rPr>
      <w:rFonts w:ascii="Times New Roman" w:hAnsi="Times New Roman" w:eastAsia="宋体" w:cs="Times New Roman"/>
      <w:szCs w:val="24"/>
      <w14:ligatures w14:val="none"/>
    </w:rPr>
  </w:style>
  <w:style w:type="character" w:customStyle="1" w:styleId="88">
    <w:name w:val="Char Char17"/>
    <w:qFormat/>
    <w:uiPriority w:val="0"/>
    <w:rPr>
      <w:rFonts w:ascii="Arial" w:hAnsi="Arial" w:eastAsia="黑体"/>
      <w:b/>
      <w:bCs/>
      <w:sz w:val="28"/>
      <w:szCs w:val="28"/>
      <w:lang w:val="en-US" w:eastAsia="zh-CN" w:bidi="ar-SA"/>
    </w:rPr>
  </w:style>
  <w:style w:type="character" w:customStyle="1" w:styleId="89">
    <w:name w:val="正文缩进 Char1"/>
    <w:qFormat/>
    <w:uiPriority w:val="0"/>
    <w:rPr>
      <w:kern w:val="2"/>
      <w:sz w:val="21"/>
    </w:rPr>
  </w:style>
  <w:style w:type="character" w:customStyle="1" w:styleId="90">
    <w:name w:val="正文首行缩进 2 Char1"/>
    <w:semiHidden/>
    <w:qFormat/>
    <w:uiPriority w:val="99"/>
    <w:rPr>
      <w:kern w:val="2"/>
      <w:sz w:val="21"/>
      <w:szCs w:val="24"/>
    </w:rPr>
  </w:style>
  <w:style w:type="character" w:customStyle="1" w:styleId="91">
    <w:name w:val="应答文本 Char Char"/>
    <w:link w:val="92"/>
    <w:qFormat/>
    <w:uiPriority w:val="0"/>
    <w:rPr>
      <w:szCs w:val="21"/>
    </w:rPr>
  </w:style>
  <w:style w:type="paragraph" w:customStyle="1" w:styleId="92">
    <w:name w:val="应答文本"/>
    <w:basedOn w:val="1"/>
    <w:link w:val="91"/>
    <w:qFormat/>
    <w:uiPriority w:val="0"/>
    <w:pPr>
      <w:adjustRightInd w:val="0"/>
      <w:snapToGrid w:val="0"/>
      <w:spacing w:afterLines="50"/>
      <w:ind w:left="200" w:leftChars="200"/>
    </w:pPr>
    <w:rPr>
      <w:rFonts w:asciiTheme="minorHAnsi" w:hAnsiTheme="minorHAnsi" w:eastAsiaTheme="minorEastAsia" w:cstheme="minorBidi"/>
      <w:szCs w:val="21"/>
      <w14:ligatures w14:val="standardContextual"/>
    </w:rPr>
  </w:style>
  <w:style w:type="character" w:customStyle="1" w:styleId="93">
    <w:name w:val="Char Char1"/>
    <w:qFormat/>
    <w:uiPriority w:val="0"/>
    <w:rPr>
      <w:rFonts w:eastAsia="宋体"/>
      <w:szCs w:val="24"/>
      <w:lang w:bidi="ar-SA"/>
    </w:rPr>
  </w:style>
  <w:style w:type="character" w:customStyle="1" w:styleId="94">
    <w:name w:val="批注文字 Char1"/>
    <w:semiHidden/>
    <w:qFormat/>
    <w:locked/>
    <w:uiPriority w:val="0"/>
    <w:rPr>
      <w:kern w:val="2"/>
      <w:sz w:val="21"/>
      <w:szCs w:val="24"/>
    </w:rPr>
  </w:style>
  <w:style w:type="character" w:customStyle="1" w:styleId="95">
    <w:name w:val="未处理的提及1"/>
    <w:unhideWhenUsed/>
    <w:qFormat/>
    <w:uiPriority w:val="99"/>
    <w:rPr>
      <w:color w:val="605E5C"/>
      <w:shd w:val="clear" w:color="auto" w:fill="E1DFDD"/>
    </w:rPr>
  </w:style>
  <w:style w:type="character" w:customStyle="1" w:styleId="96">
    <w:name w:val="明显参考1"/>
    <w:qFormat/>
    <w:uiPriority w:val="32"/>
    <w:rPr>
      <w:b/>
      <w:bCs/>
      <w:smallCaps/>
      <w:color w:val="C0504D"/>
      <w:spacing w:val="5"/>
      <w:u w:val="single"/>
    </w:rPr>
  </w:style>
  <w:style w:type="character" w:customStyle="1" w:styleId="97">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98">
    <w:name w:val="标题 Char1"/>
    <w:qFormat/>
    <w:uiPriority w:val="10"/>
    <w:rPr>
      <w:rFonts w:ascii="Cambria" w:hAnsi="Cambria" w:eastAsia="宋体" w:cs="Times New Roman"/>
      <w:b/>
      <w:bCs/>
      <w:kern w:val="0"/>
      <w:sz w:val="32"/>
      <w:szCs w:val="32"/>
    </w:rPr>
  </w:style>
  <w:style w:type="character" w:customStyle="1" w:styleId="99">
    <w:name w:val="正文文字 Char"/>
    <w:qFormat/>
    <w:uiPriority w:val="0"/>
    <w:rPr>
      <w:rFonts w:ascii="宋体" w:eastAsia="宋体"/>
      <w:snapToGrid w:val="0"/>
      <w:color w:val="000000"/>
      <w:sz w:val="28"/>
      <w:lang w:val="en-US" w:eastAsia="zh-CN" w:bidi="ar-SA"/>
    </w:rPr>
  </w:style>
  <w:style w:type="character" w:customStyle="1" w:styleId="100">
    <w:name w:val="表格 Char Char"/>
    <w:link w:val="101"/>
    <w:qFormat/>
    <w:uiPriority w:val="0"/>
    <w:rPr>
      <w:rFonts w:ascii="宋体" w:hAnsi="宋体"/>
      <w:szCs w:val="28"/>
    </w:rPr>
  </w:style>
  <w:style w:type="paragraph" w:customStyle="1" w:styleId="101">
    <w:name w:val="表格 Char"/>
    <w:basedOn w:val="1"/>
    <w:link w:val="100"/>
    <w:qFormat/>
    <w:uiPriority w:val="0"/>
    <w:pPr>
      <w:spacing w:before="100" w:beforeAutospacing="1" w:after="100" w:afterAutospacing="1"/>
      <w:jc w:val="center"/>
    </w:pPr>
    <w:rPr>
      <w:rFonts w:ascii="宋体" w:hAnsi="宋体" w:eastAsiaTheme="minorEastAsia" w:cstheme="minorBidi"/>
      <w:szCs w:val="28"/>
      <w14:ligatures w14:val="standardContextual"/>
    </w:rPr>
  </w:style>
  <w:style w:type="character" w:customStyle="1" w:styleId="102">
    <w:name w:val="正文文本 3 Char1"/>
    <w:semiHidden/>
    <w:qFormat/>
    <w:uiPriority w:val="99"/>
    <w:rPr>
      <w:rFonts w:ascii="Times New Roman" w:hAnsi="Times New Roman" w:eastAsia="宋体" w:cs="Times New Roman"/>
      <w:kern w:val="0"/>
      <w:sz w:val="16"/>
      <w:szCs w:val="16"/>
    </w:rPr>
  </w:style>
  <w:style w:type="character" w:customStyle="1" w:styleId="103">
    <w:name w:val="Report Text Char"/>
    <w:link w:val="104"/>
    <w:qFormat/>
    <w:uiPriority w:val="0"/>
    <w:rPr>
      <w:rFonts w:ascii="Arial" w:hAnsi="Arial"/>
      <w:kern w:val="28"/>
      <w:sz w:val="22"/>
    </w:rPr>
  </w:style>
  <w:style w:type="paragraph" w:customStyle="1" w:styleId="104">
    <w:name w:val="Report Text"/>
    <w:basedOn w:val="1"/>
    <w:link w:val="103"/>
    <w:qFormat/>
    <w:uiPriority w:val="0"/>
    <w:pPr>
      <w:spacing w:before="240" w:after="120"/>
      <w:ind w:left="1080"/>
    </w:pPr>
    <w:rPr>
      <w:rFonts w:ascii="Arial" w:hAnsi="Arial" w:eastAsiaTheme="minorEastAsia" w:cstheme="minorBidi"/>
      <w:kern w:val="28"/>
      <w:sz w:val="22"/>
      <w:szCs w:val="22"/>
      <w14:ligatures w14:val="standardContextual"/>
    </w:rPr>
  </w:style>
  <w:style w:type="character" w:customStyle="1" w:styleId="105">
    <w:name w:val="正文文本 2 Char1"/>
    <w:semiHidden/>
    <w:qFormat/>
    <w:uiPriority w:val="99"/>
    <w:rPr>
      <w:rFonts w:ascii="Times New Roman" w:hAnsi="Times New Roman" w:eastAsia="宋体" w:cs="Times New Roman"/>
      <w:kern w:val="0"/>
      <w:szCs w:val="20"/>
    </w:rPr>
  </w:style>
  <w:style w:type="character" w:customStyle="1" w:styleId="106">
    <w:name w:val="Char Char19"/>
    <w:qFormat/>
    <w:uiPriority w:val="0"/>
    <w:rPr>
      <w:rFonts w:ascii="华文细黑" w:hAnsi="Arial" w:eastAsia="华文细黑"/>
      <w:b/>
      <w:bCs/>
      <w:sz w:val="44"/>
      <w:szCs w:val="32"/>
      <w:lang w:val="en-US" w:eastAsia="zh-CN" w:bidi="ar-SA"/>
    </w:rPr>
  </w:style>
  <w:style w:type="character" w:customStyle="1" w:styleId="107">
    <w:name w:val="列表框2 Char"/>
    <w:link w:val="108"/>
    <w:qFormat/>
    <w:uiPriority w:val="0"/>
    <w:rPr>
      <w:rFonts w:ascii="宋体" w:hAnsi="宋体"/>
      <w:szCs w:val="24"/>
    </w:rPr>
  </w:style>
  <w:style w:type="paragraph" w:customStyle="1" w:styleId="108">
    <w:name w:val="列表框2"/>
    <w:basedOn w:val="109"/>
    <w:link w:val="107"/>
    <w:qFormat/>
    <w:uiPriority w:val="0"/>
    <w:pPr>
      <w:tabs>
        <w:tab w:val="left" w:pos="1682"/>
        <w:tab w:val="left" w:pos="2084"/>
      </w:tabs>
      <w:ind w:left="2118" w:leftChars="808" w:hanging="420"/>
    </w:pPr>
    <w:rPr>
      <w:rFonts w:eastAsiaTheme="minorEastAsia" w:cstheme="minorBidi"/>
      <w:kern w:val="2"/>
      <w:szCs w:val="24"/>
      <w14:ligatures w14:val="standardContextual"/>
    </w:rPr>
  </w:style>
  <w:style w:type="paragraph" w:customStyle="1" w:styleId="109">
    <w:name w:val="列表框1"/>
    <w:basedOn w:val="1"/>
    <w:link w:val="110"/>
    <w:qFormat/>
    <w:uiPriority w:val="0"/>
    <w:pPr>
      <w:tabs>
        <w:tab w:val="left" w:pos="1682"/>
      </w:tabs>
      <w:adjustRightInd w:val="0"/>
      <w:snapToGrid w:val="0"/>
      <w:ind w:left="1748" w:hanging="434"/>
    </w:pPr>
    <w:rPr>
      <w:rFonts w:ascii="宋体" w:hAnsi="宋体"/>
      <w:kern w:val="0"/>
      <w:szCs w:val="21"/>
    </w:rPr>
  </w:style>
  <w:style w:type="character" w:customStyle="1" w:styleId="110">
    <w:name w:val="列表框1 Char Char"/>
    <w:link w:val="109"/>
    <w:qFormat/>
    <w:uiPriority w:val="0"/>
    <w:rPr>
      <w:rFonts w:ascii="宋体" w:hAnsi="宋体" w:eastAsia="宋体" w:cs="Times New Roman"/>
      <w:kern w:val="0"/>
      <w:szCs w:val="21"/>
      <w14:ligatures w14:val="none"/>
    </w:rPr>
  </w:style>
  <w:style w:type="character" w:customStyle="1" w:styleId="111">
    <w:name w:val="Char Char7"/>
    <w:qFormat/>
    <w:uiPriority w:val="0"/>
    <w:rPr>
      <w:rFonts w:eastAsia="宋体"/>
      <w:kern w:val="2"/>
      <w:sz w:val="18"/>
      <w:szCs w:val="18"/>
      <w:lang w:val="en-US" w:eastAsia="zh-CN" w:bidi="ar-SA"/>
    </w:rPr>
  </w:style>
  <w:style w:type="character" w:customStyle="1" w:styleId="112">
    <w:name w:val="样式 标题 3 + 黑色 Char"/>
    <w:link w:val="113"/>
    <w:qFormat/>
    <w:uiPriority w:val="0"/>
    <w:rPr>
      <w:color w:val="FF0000"/>
      <w:sz w:val="24"/>
    </w:rPr>
  </w:style>
  <w:style w:type="paragraph" w:customStyle="1" w:styleId="113">
    <w:name w:val="样式 标题 3 + 黑色"/>
    <w:basedOn w:val="4"/>
    <w:link w:val="112"/>
    <w:qFormat/>
    <w:uiPriority w:val="0"/>
    <w:pPr>
      <w:keepNext w:val="0"/>
      <w:keepLines w:val="0"/>
      <w:tabs>
        <w:tab w:val="left" w:pos="1200"/>
        <w:tab w:val="left" w:pos="1260"/>
      </w:tabs>
      <w:spacing w:before="0" w:after="0"/>
      <w:ind w:left="1200" w:hanging="1200" w:hangingChars="500"/>
    </w:pPr>
    <w:rPr>
      <w:rFonts w:asciiTheme="minorHAnsi" w:hAnsiTheme="minorHAnsi" w:eastAsiaTheme="minorEastAsia" w:cstheme="minorBidi"/>
      <w:b w:val="0"/>
      <w:bCs w:val="0"/>
      <w:color w:val="FF0000"/>
      <w:szCs w:val="22"/>
      <w14:ligatures w14:val="standardContextual"/>
    </w:rPr>
  </w:style>
  <w:style w:type="character" w:customStyle="1" w:styleId="114">
    <w:name w:val="已访问的超链接1"/>
    <w:qFormat/>
    <w:uiPriority w:val="99"/>
    <w:rPr>
      <w:color w:val="800080"/>
      <w:u w:val="single"/>
    </w:rPr>
  </w:style>
  <w:style w:type="character" w:customStyle="1" w:styleId="115">
    <w:name w:val="普通文字 Char Char"/>
    <w:qFormat/>
    <w:uiPriority w:val="0"/>
    <w:rPr>
      <w:rFonts w:ascii="宋体" w:hAnsi="Courier New" w:eastAsia="宋体" w:cs="Courier New"/>
      <w:kern w:val="2"/>
      <w:sz w:val="21"/>
      <w:szCs w:val="21"/>
      <w:lang w:val="en-US" w:eastAsia="zh-CN" w:bidi="ar-SA"/>
    </w:rPr>
  </w:style>
  <w:style w:type="character" w:customStyle="1" w:styleId="116">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17">
    <w:name w:val="批注框文本 Char1"/>
    <w:semiHidden/>
    <w:qFormat/>
    <w:uiPriority w:val="99"/>
    <w:rPr>
      <w:rFonts w:ascii="Times New Roman" w:hAnsi="Times New Roman" w:eastAsia="宋体" w:cs="Times New Roman"/>
      <w:kern w:val="0"/>
      <w:sz w:val="18"/>
      <w:szCs w:val="18"/>
    </w:rPr>
  </w:style>
  <w:style w:type="character" w:customStyle="1" w:styleId="118">
    <w:name w:val="文档结构图 Char1"/>
    <w:semiHidden/>
    <w:qFormat/>
    <w:uiPriority w:val="99"/>
    <w:rPr>
      <w:rFonts w:ascii="宋体" w:hAnsi="Times New Roman" w:eastAsia="宋体" w:cs="Times New Roman"/>
      <w:kern w:val="0"/>
      <w:sz w:val="18"/>
      <w:szCs w:val="18"/>
    </w:rPr>
  </w:style>
  <w:style w:type="character" w:customStyle="1" w:styleId="119">
    <w:name w:val="未处理的提及111"/>
    <w:unhideWhenUsed/>
    <w:qFormat/>
    <w:uiPriority w:val="99"/>
    <w:rPr>
      <w:color w:val="605E5C"/>
      <w:shd w:val="clear" w:color="auto" w:fill="E1DFDD"/>
    </w:rPr>
  </w:style>
  <w:style w:type="character" w:customStyle="1" w:styleId="120">
    <w:name w:val="无编号正文 Char"/>
    <w:link w:val="121"/>
    <w:qFormat/>
    <w:uiPriority w:val="0"/>
    <w:rPr>
      <w:rFonts w:ascii="宋体" w:hAnsi="宋体"/>
      <w:sz w:val="24"/>
      <w:szCs w:val="24"/>
    </w:rPr>
  </w:style>
  <w:style w:type="paragraph" w:customStyle="1" w:styleId="121">
    <w:name w:val="无编号正文"/>
    <w:basedOn w:val="19"/>
    <w:next w:val="1"/>
    <w:link w:val="120"/>
    <w:qFormat/>
    <w:uiPriority w:val="0"/>
    <w:pPr>
      <w:spacing w:after="0"/>
      <w:ind w:left="200" w:leftChars="200"/>
    </w:pPr>
    <w:rPr>
      <w:rFonts w:ascii="宋体" w:hAnsi="宋体" w:eastAsiaTheme="minorEastAsia" w:cstheme="minorBidi"/>
      <w:sz w:val="24"/>
      <w14:ligatures w14:val="standardContextual"/>
    </w:rPr>
  </w:style>
  <w:style w:type="character" w:customStyle="1" w:styleId="122">
    <w:name w:val="日期 Char1"/>
    <w:semiHidden/>
    <w:qFormat/>
    <w:uiPriority w:val="99"/>
    <w:rPr>
      <w:rFonts w:ascii="Times New Roman" w:hAnsi="Times New Roman" w:eastAsia="宋体" w:cs="Times New Roman"/>
      <w:kern w:val="0"/>
      <w:szCs w:val="20"/>
    </w:rPr>
  </w:style>
  <w:style w:type="character" w:customStyle="1" w:styleId="123">
    <w:name w:val="正文文本缩进 Char2"/>
    <w:semiHidden/>
    <w:qFormat/>
    <w:uiPriority w:val="99"/>
    <w:rPr>
      <w:rFonts w:ascii="Times New Roman" w:hAnsi="Times New Roman" w:eastAsia="宋体" w:cs="Times New Roman"/>
      <w:szCs w:val="24"/>
    </w:rPr>
  </w:style>
  <w:style w:type="character" w:customStyle="1" w:styleId="124">
    <w:name w:val="text"/>
    <w:qFormat/>
    <w:uiPriority w:val="0"/>
    <w:rPr>
      <w:rFonts w:ascii="仿宋_GB2312" w:eastAsia="仿宋_GB2312"/>
      <w:b/>
      <w:kern w:val="2"/>
      <w:sz w:val="32"/>
      <w:szCs w:val="32"/>
      <w:lang w:val="en-US" w:eastAsia="zh-CN" w:bidi="ar-SA"/>
    </w:rPr>
  </w:style>
  <w:style w:type="character" w:customStyle="1" w:styleId="125">
    <w:name w:val="脚注文本 Char1"/>
    <w:semiHidden/>
    <w:qFormat/>
    <w:uiPriority w:val="99"/>
    <w:rPr>
      <w:kern w:val="2"/>
      <w:sz w:val="18"/>
      <w:szCs w:val="18"/>
    </w:rPr>
  </w:style>
  <w:style w:type="character" w:customStyle="1" w:styleId="126">
    <w:name w:val="批注主题 Char1"/>
    <w:semiHidden/>
    <w:qFormat/>
    <w:uiPriority w:val="99"/>
    <w:rPr>
      <w:rFonts w:ascii="Times New Roman" w:hAnsi="Times New Roman" w:eastAsia="宋体" w:cs="Times New Roman"/>
      <w:b/>
      <w:bCs/>
      <w:kern w:val="0"/>
      <w:sz w:val="21"/>
      <w:szCs w:val="20"/>
    </w:rPr>
  </w:style>
  <w:style w:type="character" w:customStyle="1" w:styleId="127">
    <w:name w:val="Char Char15"/>
    <w:qFormat/>
    <w:uiPriority w:val="0"/>
    <w:rPr>
      <w:rFonts w:ascii="Arial" w:hAnsi="Arial" w:eastAsia="黑体"/>
      <w:b/>
      <w:bCs/>
      <w:sz w:val="24"/>
      <w:szCs w:val="24"/>
      <w:lang w:val="en-US" w:eastAsia="zh-CN" w:bidi="ar-SA"/>
    </w:rPr>
  </w:style>
  <w:style w:type="character" w:customStyle="1" w:styleId="128">
    <w:name w:val="三级标题康"/>
    <w:qFormat/>
    <w:uiPriority w:val="0"/>
    <w:rPr>
      <w:rFonts w:ascii="Arial" w:hAnsi="Arial" w:eastAsia="宋体" w:cs="Times New Roman"/>
      <w:b/>
      <w:bCs/>
      <w:sz w:val="21"/>
      <w:szCs w:val="32"/>
    </w:rPr>
  </w:style>
  <w:style w:type="character" w:customStyle="1" w:styleId="129">
    <w:name w:val="样式 表内文字"/>
    <w:qFormat/>
    <w:uiPriority w:val="0"/>
    <w:rPr>
      <w:rFonts w:eastAsia="宋体"/>
      <w:snapToGrid/>
      <w:color w:val="000000"/>
      <w:spacing w:val="0"/>
      <w:kern w:val="0"/>
      <w:position w:val="0"/>
      <w:sz w:val="20"/>
      <w:szCs w:val="20"/>
      <w:u w:val="none"/>
    </w:rPr>
  </w:style>
  <w:style w:type="character" w:customStyle="1" w:styleId="130">
    <w:name w:val="Char Char13"/>
    <w:qFormat/>
    <w:uiPriority w:val="0"/>
    <w:rPr>
      <w:rFonts w:ascii="Arial" w:hAnsi="Arial" w:eastAsia="黑体"/>
      <w:sz w:val="24"/>
      <w:szCs w:val="24"/>
      <w:lang w:val="en-US" w:eastAsia="zh-CN" w:bidi="ar-SA"/>
    </w:rPr>
  </w:style>
  <w:style w:type="character" w:customStyle="1" w:styleId="131">
    <w:name w:val="Char Char11"/>
    <w:qFormat/>
    <w:uiPriority w:val="0"/>
    <w:rPr>
      <w:rFonts w:eastAsia="宋体"/>
      <w:b/>
      <w:bCs/>
      <w:kern w:val="2"/>
      <w:sz w:val="21"/>
      <w:szCs w:val="24"/>
      <w:lang w:val="en-US" w:eastAsia="zh-CN" w:bidi="ar-SA"/>
    </w:rPr>
  </w:style>
  <w:style w:type="character" w:customStyle="1" w:styleId="132">
    <w:name w:val="标题 3 Char1"/>
    <w:qFormat/>
    <w:uiPriority w:val="0"/>
    <w:rPr>
      <w:b/>
      <w:bCs/>
      <w:sz w:val="32"/>
      <w:szCs w:val="32"/>
    </w:rPr>
  </w:style>
  <w:style w:type="character" w:customStyle="1" w:styleId="133">
    <w:name w:val="图形布置 Char"/>
    <w:link w:val="134"/>
    <w:qFormat/>
    <w:uiPriority w:val="0"/>
    <w:rPr>
      <w:rFonts w:ascii="Arial" w:hAnsi="Arial" w:cs="Arial"/>
    </w:rPr>
  </w:style>
  <w:style w:type="paragraph" w:customStyle="1" w:styleId="134">
    <w:name w:val="图形布置"/>
    <w:basedOn w:val="135"/>
    <w:link w:val="133"/>
    <w:qFormat/>
    <w:uiPriority w:val="0"/>
    <w:rPr>
      <w:rFonts w:cs="Arial" w:eastAsiaTheme="minorEastAsia"/>
      <w:kern w:val="2"/>
      <w:szCs w:val="22"/>
      <w14:ligatures w14:val="standardContextual"/>
    </w:rPr>
  </w:style>
  <w:style w:type="paragraph" w:customStyle="1" w:styleId="135">
    <w:name w:val="图形题注"/>
    <w:basedOn w:val="14"/>
    <w:link w:val="136"/>
    <w:qFormat/>
    <w:uiPriority w:val="0"/>
    <w:pPr>
      <w:adjustRightInd w:val="0"/>
      <w:snapToGrid w:val="0"/>
      <w:spacing w:afterLines="50"/>
      <w:jc w:val="center"/>
    </w:pPr>
    <w:rPr>
      <w:rFonts w:eastAsia="宋体" w:cs="Times New Roman"/>
      <w:kern w:val="0"/>
      <w:sz w:val="21"/>
    </w:rPr>
  </w:style>
  <w:style w:type="character" w:customStyle="1" w:styleId="136">
    <w:name w:val="图形题注 Char"/>
    <w:link w:val="135"/>
    <w:qFormat/>
    <w:uiPriority w:val="0"/>
    <w:rPr>
      <w:rFonts w:ascii="Arial" w:hAnsi="Arial" w:eastAsia="宋体" w:cs="Times New Roman"/>
      <w:kern w:val="0"/>
      <w:szCs w:val="20"/>
      <w14:ligatures w14:val="none"/>
    </w:rPr>
  </w:style>
  <w:style w:type="character" w:customStyle="1" w:styleId="137">
    <w:name w:val="Char Char12"/>
    <w:qFormat/>
    <w:uiPriority w:val="0"/>
    <w:rPr>
      <w:rFonts w:ascii="Arial" w:hAnsi="Arial" w:eastAsia="黑体"/>
      <w:sz w:val="21"/>
      <w:szCs w:val="21"/>
      <w:lang w:val="en-US" w:eastAsia="zh-CN" w:bidi="ar-SA"/>
    </w:rPr>
  </w:style>
  <w:style w:type="character" w:customStyle="1" w:styleId="138">
    <w:name w:val="正文文本缩进 2 Char1"/>
    <w:semiHidden/>
    <w:qFormat/>
    <w:uiPriority w:val="99"/>
    <w:rPr>
      <w:rFonts w:ascii="Times New Roman" w:hAnsi="Times New Roman" w:eastAsia="宋体" w:cs="Times New Roman"/>
      <w:kern w:val="0"/>
      <w:szCs w:val="20"/>
    </w:rPr>
  </w:style>
  <w:style w:type="character" w:customStyle="1" w:styleId="139">
    <w:name w:val="正文文本缩进 Char1"/>
    <w:semiHidden/>
    <w:qFormat/>
    <w:uiPriority w:val="99"/>
    <w:rPr>
      <w:rFonts w:ascii="Times New Roman" w:hAnsi="Times New Roman" w:eastAsia="宋体" w:cs="Times New Roman"/>
      <w:kern w:val="0"/>
      <w:szCs w:val="20"/>
    </w:rPr>
  </w:style>
  <w:style w:type="character" w:customStyle="1" w:styleId="140">
    <w:name w:val="正文首行缩进 Char"/>
    <w:link w:val="141"/>
    <w:qFormat/>
    <w:uiPriority w:val="0"/>
    <w:rPr>
      <w:szCs w:val="24"/>
    </w:rPr>
  </w:style>
  <w:style w:type="paragraph" w:customStyle="1" w:styleId="141">
    <w:name w:val="正文首行缩进1"/>
    <w:basedOn w:val="19"/>
    <w:link w:val="140"/>
    <w:qFormat/>
    <w:uiPriority w:val="0"/>
    <w:pPr>
      <w:ind w:firstLine="100" w:firstLineChars="100"/>
    </w:pPr>
    <w:rPr>
      <w:rFonts w:asciiTheme="minorHAnsi" w:hAnsiTheme="minorHAnsi" w:eastAsiaTheme="minorEastAsia" w:cstheme="minorBidi"/>
      <w14:ligatures w14:val="standardContextual"/>
    </w:rPr>
  </w:style>
  <w:style w:type="character" w:customStyle="1" w:styleId="142">
    <w:name w:val="页脚 Char1"/>
    <w:semiHidden/>
    <w:qFormat/>
    <w:uiPriority w:val="99"/>
    <w:rPr>
      <w:rFonts w:ascii="Times New Roman" w:hAnsi="Times New Roman" w:eastAsia="宋体" w:cs="Times New Roman"/>
      <w:kern w:val="0"/>
      <w:sz w:val="18"/>
      <w:szCs w:val="18"/>
    </w:rPr>
  </w:style>
  <w:style w:type="character" w:customStyle="1" w:styleId="143">
    <w:name w:val="Char Char10"/>
    <w:qFormat/>
    <w:uiPriority w:val="0"/>
    <w:rPr>
      <w:rFonts w:eastAsia="仿宋_GB2312"/>
      <w:kern w:val="2"/>
      <w:sz w:val="32"/>
      <w:szCs w:val="24"/>
      <w:lang w:val="en-US" w:eastAsia="zh-CN" w:bidi="ar-SA"/>
    </w:rPr>
  </w:style>
  <w:style w:type="character" w:customStyle="1" w:styleId="144">
    <w:name w:val="纯文本 Char1"/>
    <w:qFormat/>
    <w:uiPriority w:val="99"/>
    <w:rPr>
      <w:rFonts w:ascii="宋体" w:hAnsi="Courier New" w:eastAsia="宋体" w:cs="Times New Roman"/>
      <w:szCs w:val="20"/>
    </w:rPr>
  </w:style>
  <w:style w:type="character" w:customStyle="1" w:styleId="145">
    <w:name w:val="正文文本缩进 3 Char1"/>
    <w:semiHidden/>
    <w:qFormat/>
    <w:uiPriority w:val="99"/>
    <w:rPr>
      <w:rFonts w:ascii="Times New Roman" w:hAnsi="Times New Roman" w:eastAsia="宋体" w:cs="Times New Roman"/>
      <w:kern w:val="0"/>
      <w:sz w:val="16"/>
      <w:szCs w:val="16"/>
    </w:rPr>
  </w:style>
  <w:style w:type="character" w:customStyle="1" w:styleId="146">
    <w:name w:val="正文首行缩进 2 Char"/>
    <w:link w:val="147"/>
    <w:qFormat/>
    <w:uiPriority w:val="0"/>
    <w:rPr>
      <w:szCs w:val="24"/>
    </w:rPr>
  </w:style>
  <w:style w:type="paragraph" w:customStyle="1" w:styleId="147">
    <w:name w:val="正文首行缩进 21"/>
    <w:basedOn w:val="20"/>
    <w:link w:val="146"/>
    <w:qFormat/>
    <w:uiPriority w:val="0"/>
    <w:pPr>
      <w:adjustRightInd w:val="0"/>
      <w:spacing w:line="312" w:lineRule="atLeast"/>
      <w:textAlignment w:val="baseline"/>
    </w:pPr>
    <w:rPr>
      <w:rFonts w:asciiTheme="minorHAnsi" w:hAnsiTheme="minorHAnsi" w:eastAsiaTheme="minorEastAsia" w:cstheme="minorBidi"/>
      <w14:ligatures w14:val="standardContextual"/>
    </w:rPr>
  </w:style>
  <w:style w:type="character" w:customStyle="1" w:styleId="148">
    <w:name w:val="样式4 Char"/>
    <w:link w:val="149"/>
    <w:qFormat/>
    <w:uiPriority w:val="0"/>
    <w:rPr>
      <w:rFonts w:ascii="宋体"/>
      <w:sz w:val="18"/>
      <w:szCs w:val="18"/>
    </w:rPr>
  </w:style>
  <w:style w:type="paragraph" w:customStyle="1" w:styleId="149">
    <w:name w:val="样式4"/>
    <w:basedOn w:val="32"/>
    <w:link w:val="148"/>
    <w:qFormat/>
    <w:uiPriority w:val="0"/>
    <w:pPr>
      <w:autoSpaceDE w:val="0"/>
      <w:autoSpaceDN w:val="0"/>
      <w:adjustRightInd w:val="0"/>
      <w:snapToGrid/>
      <w:textAlignment w:val="baseline"/>
    </w:pPr>
    <w:rPr>
      <w:rFonts w:ascii="宋体" w:hAnsiTheme="minorHAnsi" w:eastAsiaTheme="minorEastAsia" w:cstheme="minorBidi"/>
      <w14:ligatures w14:val="standardContextual"/>
    </w:rPr>
  </w:style>
  <w:style w:type="character" w:customStyle="1" w:styleId="150">
    <w:name w:val="Char Char Char Char1"/>
    <w:link w:val="151"/>
    <w:qFormat/>
    <w:uiPriority w:val="0"/>
    <w:rPr>
      <w:rFonts w:ascii="仿宋_GB2312" w:eastAsia="仿宋_GB2312"/>
      <w:b/>
      <w:sz w:val="32"/>
      <w:szCs w:val="32"/>
    </w:rPr>
  </w:style>
  <w:style w:type="paragraph" w:customStyle="1" w:styleId="151">
    <w:name w:val="Char Char Char1"/>
    <w:basedOn w:val="1"/>
    <w:link w:val="150"/>
    <w:qFormat/>
    <w:uiPriority w:val="0"/>
    <w:rPr>
      <w:rFonts w:ascii="仿宋_GB2312" w:eastAsia="仿宋_GB2312" w:hAnsiTheme="minorHAnsi" w:cstheme="minorBidi"/>
      <w:b/>
      <w:sz w:val="32"/>
      <w:szCs w:val="32"/>
      <w14:ligatures w14:val="standardContextual"/>
    </w:rPr>
  </w:style>
  <w:style w:type="character" w:customStyle="1" w:styleId="152">
    <w:name w:val="Char Char16"/>
    <w:qFormat/>
    <w:uiPriority w:val="0"/>
    <w:rPr>
      <w:rFonts w:eastAsia="宋体"/>
      <w:b/>
      <w:bCs/>
      <w:sz w:val="28"/>
      <w:szCs w:val="28"/>
      <w:lang w:val="en-US" w:eastAsia="zh-CN" w:bidi="ar-SA"/>
    </w:rPr>
  </w:style>
  <w:style w:type="character" w:customStyle="1" w:styleId="153">
    <w:name w:val="页眉 Char1"/>
    <w:semiHidden/>
    <w:qFormat/>
    <w:uiPriority w:val="99"/>
    <w:rPr>
      <w:rFonts w:ascii="Times New Roman" w:hAnsi="Times New Roman" w:eastAsia="宋体" w:cs="Times New Roman"/>
      <w:kern w:val="0"/>
      <w:sz w:val="18"/>
      <w:szCs w:val="18"/>
    </w:rPr>
  </w:style>
  <w:style w:type="character" w:customStyle="1" w:styleId="154">
    <w:name w:val="列出段落 Char"/>
    <w:link w:val="155"/>
    <w:qFormat/>
    <w:uiPriority w:val="0"/>
    <w:rPr>
      <w:rFonts w:ascii="Calibri" w:hAnsi="Calibri"/>
    </w:rPr>
  </w:style>
  <w:style w:type="paragraph" w:customStyle="1" w:styleId="155">
    <w:name w:val="列出段落2"/>
    <w:basedOn w:val="1"/>
    <w:link w:val="154"/>
    <w:qFormat/>
    <w:uiPriority w:val="0"/>
    <w:rPr>
      <w:rFonts w:ascii="Calibri" w:hAnsi="Calibri" w:eastAsiaTheme="minorEastAsia" w:cstheme="minorBidi"/>
      <w:szCs w:val="22"/>
      <w14:ligatures w14:val="standardContextual"/>
    </w:rPr>
  </w:style>
  <w:style w:type="character" w:customStyle="1" w:styleId="156">
    <w:name w:val="纯文本 Char2"/>
    <w:qFormat/>
    <w:uiPriority w:val="0"/>
    <w:rPr>
      <w:rFonts w:ascii="宋体" w:hAnsi="Courier New" w:eastAsia="宋体"/>
      <w:kern w:val="2"/>
      <w:sz w:val="21"/>
      <w:lang w:val="en-US" w:eastAsia="zh-CN"/>
    </w:rPr>
  </w:style>
  <w:style w:type="character" w:customStyle="1" w:styleId="157">
    <w:name w:val="font161"/>
    <w:qFormat/>
    <w:uiPriority w:val="0"/>
    <w:rPr>
      <w:b/>
      <w:bCs/>
      <w:sz w:val="32"/>
      <w:szCs w:val="32"/>
    </w:rPr>
  </w:style>
  <w:style w:type="character" w:customStyle="1" w:styleId="158">
    <w:name w:val="Char Char8"/>
    <w:qFormat/>
    <w:uiPriority w:val="0"/>
    <w:rPr>
      <w:rFonts w:ascii="宋体" w:hAnsi="宋体" w:eastAsia="宋体"/>
      <w:kern w:val="2"/>
      <w:sz w:val="21"/>
      <w:szCs w:val="24"/>
      <w:lang w:val="en-US" w:eastAsia="zh-CN" w:bidi="ar-SA"/>
    </w:rPr>
  </w:style>
  <w:style w:type="character" w:customStyle="1" w:styleId="159">
    <w:name w:val="样式 超链接 + 仿宋_GB2312 小四 加粗"/>
    <w:qFormat/>
    <w:uiPriority w:val="0"/>
    <w:rPr>
      <w:rFonts w:ascii="仿宋_GB2312" w:hAnsi="仿宋_GB2312" w:eastAsia="黑体"/>
      <w:b/>
      <w:bCs/>
      <w:color w:val="auto"/>
      <w:sz w:val="24"/>
      <w:u w:val="none"/>
    </w:rPr>
  </w:style>
  <w:style w:type="character" w:customStyle="1" w:styleId="160">
    <w:name w:val="批注文字 Char2"/>
    <w:qFormat/>
    <w:uiPriority w:val="0"/>
    <w:rPr>
      <w:kern w:val="2"/>
      <w:sz w:val="21"/>
      <w:szCs w:val="24"/>
    </w:rPr>
  </w:style>
  <w:style w:type="character" w:customStyle="1" w:styleId="161">
    <w:name w:val="Char Char18"/>
    <w:qFormat/>
    <w:uiPriority w:val="0"/>
    <w:rPr>
      <w:rFonts w:eastAsia="华文细黑"/>
      <w:bCs/>
      <w:sz w:val="36"/>
      <w:szCs w:val="32"/>
      <w:lang w:val="en-US" w:eastAsia="zh-CN" w:bidi="ar-SA"/>
    </w:rPr>
  </w:style>
  <w:style w:type="character" w:customStyle="1" w:styleId="162">
    <w:name w:val="正文文本 Char1"/>
    <w:semiHidden/>
    <w:qFormat/>
    <w:uiPriority w:val="99"/>
    <w:rPr>
      <w:rFonts w:ascii="Times New Roman" w:hAnsi="Times New Roman" w:eastAsia="宋体" w:cs="Times New Roman"/>
      <w:kern w:val="0"/>
      <w:szCs w:val="20"/>
    </w:rPr>
  </w:style>
  <w:style w:type="character" w:customStyle="1" w:styleId="163">
    <w:name w:val="Char Char14"/>
    <w:qFormat/>
    <w:uiPriority w:val="0"/>
    <w:rPr>
      <w:rFonts w:eastAsia="宋体"/>
      <w:b/>
      <w:bCs/>
      <w:sz w:val="24"/>
      <w:szCs w:val="24"/>
      <w:lang w:val="en-US" w:eastAsia="zh-CN" w:bidi="ar-SA"/>
    </w:rPr>
  </w:style>
  <w:style w:type="character" w:customStyle="1" w:styleId="164">
    <w:name w:val="Char Char6"/>
    <w:qFormat/>
    <w:uiPriority w:val="0"/>
    <w:rPr>
      <w:rFonts w:eastAsia="宋体"/>
      <w:sz w:val="18"/>
      <w:szCs w:val="18"/>
      <w:lang w:bidi="ar-SA"/>
    </w:rPr>
  </w:style>
  <w:style w:type="character" w:customStyle="1" w:styleId="165">
    <w:name w:val="正文首行缩进 Char1"/>
    <w:semiHidden/>
    <w:qFormat/>
    <w:uiPriority w:val="99"/>
    <w:rPr>
      <w:rFonts w:ascii="Times New Roman" w:hAnsi="Times New Roman" w:eastAsia="宋体" w:cs="Times New Roman"/>
      <w:kern w:val="0"/>
      <w:szCs w:val="20"/>
    </w:rPr>
  </w:style>
  <w:style w:type="character" w:customStyle="1" w:styleId="166">
    <w:name w:val="Char Char20"/>
    <w:qFormat/>
    <w:uiPriority w:val="0"/>
    <w:rPr>
      <w:rFonts w:ascii="华文细黑" w:eastAsia="华文细黑"/>
      <w:b/>
      <w:bCs/>
      <w:snapToGrid w:val="0"/>
      <w:sz w:val="52"/>
      <w:szCs w:val="44"/>
      <w:lang w:val="en-US" w:eastAsia="zh-CN" w:bidi="ar-SA"/>
    </w:rPr>
  </w:style>
  <w:style w:type="character" w:customStyle="1" w:styleId="167">
    <w:name w:val="Char Char2"/>
    <w:qFormat/>
    <w:uiPriority w:val="0"/>
    <w:rPr>
      <w:rFonts w:ascii="楷体_GB2312" w:hAnsi="宋体" w:eastAsia="楷体_GB2312"/>
      <w:color w:val="000000"/>
      <w:sz w:val="21"/>
      <w:szCs w:val="21"/>
      <w:lang w:val="en-US" w:eastAsia="zh-CN" w:bidi="ar-SA"/>
    </w:rPr>
  </w:style>
  <w:style w:type="character" w:customStyle="1" w:styleId="168">
    <w:name w:val="Char Char9"/>
    <w:qFormat/>
    <w:uiPriority w:val="0"/>
    <w:rPr>
      <w:rFonts w:ascii="宋体" w:hAnsi="宋体" w:eastAsia="宋体"/>
      <w:kern w:val="2"/>
      <w:sz w:val="24"/>
      <w:lang w:val="en-US" w:eastAsia="zh-CN" w:bidi="ar-SA"/>
    </w:rPr>
  </w:style>
  <w:style w:type="character" w:customStyle="1" w:styleId="169">
    <w:name w:val="尾注文本 Char1"/>
    <w:semiHidden/>
    <w:qFormat/>
    <w:uiPriority w:val="99"/>
    <w:rPr>
      <w:kern w:val="2"/>
      <w:sz w:val="21"/>
      <w:szCs w:val="24"/>
    </w:rPr>
  </w:style>
  <w:style w:type="paragraph" w:customStyle="1" w:styleId="170">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71">
    <w:name w:val="No Spacing"/>
    <w:qFormat/>
    <w:uiPriority w:val="1"/>
    <w:pPr>
      <w:widowControl w:val="0"/>
      <w:spacing w:after="160" w:line="360" w:lineRule="auto"/>
      <w:ind w:firstLine="420"/>
      <w:jc w:val="both"/>
    </w:pPr>
    <w:rPr>
      <w:rFonts w:ascii="Calibri" w:hAnsi="Calibri" w:eastAsia="宋体" w:cs="Times New Roman"/>
      <w:kern w:val="2"/>
      <w:sz w:val="21"/>
      <w:szCs w:val="22"/>
      <w:lang w:val="en-US" w:eastAsia="zh-CN" w:bidi="ar-SA"/>
    </w:rPr>
  </w:style>
  <w:style w:type="paragraph" w:customStyle="1" w:styleId="172">
    <w:name w:val="USE 5"/>
    <w:basedOn w:val="1"/>
    <w:qFormat/>
    <w:uiPriority w:val="0"/>
    <w:pPr>
      <w:ind w:left="217" w:hanging="340"/>
      <w:jc w:val="left"/>
    </w:pPr>
    <w:rPr>
      <w:rFonts w:ascii="宋体" w:hAnsi="宋体"/>
      <w:sz w:val="24"/>
    </w:rPr>
  </w:style>
  <w:style w:type="paragraph" w:customStyle="1" w:styleId="17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74">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5">
    <w:name w:val="cucd-4"/>
    <w:next w:val="1"/>
    <w:qFormat/>
    <w:uiPriority w:val="0"/>
    <w:pPr>
      <w:spacing w:after="160"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76">
    <w:name w:val="p0"/>
    <w:basedOn w:val="1"/>
    <w:qFormat/>
    <w:uiPriority w:val="0"/>
    <w:rPr>
      <w:kern w:val="0"/>
      <w:szCs w:val="21"/>
    </w:rPr>
  </w:style>
  <w:style w:type="paragraph" w:customStyle="1" w:styleId="177">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78">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179">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0">
    <w:name w:val="附件"/>
    <w:basedOn w:val="1"/>
    <w:qFormat/>
    <w:uiPriority w:val="0"/>
    <w:pPr>
      <w:spacing w:line="480" w:lineRule="auto"/>
    </w:pPr>
    <w:rPr>
      <w:rFonts w:ascii="黑体" w:eastAsia="黑体"/>
      <w:b/>
      <w:sz w:val="36"/>
      <w:szCs w:val="20"/>
    </w:rPr>
  </w:style>
  <w:style w:type="paragraph" w:customStyle="1" w:styleId="181">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82">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3">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4">
    <w:name w:val="Char Char Char Char Char Char Char Char Char Char Char Char Char Char Char Char Char Char Char Char Char Char Char Char2 Char"/>
    <w:basedOn w:val="1"/>
    <w:qFormat/>
    <w:uiPriority w:val="0"/>
    <w:pPr>
      <w:spacing w:line="240" w:lineRule="exact"/>
      <w:jc w:val="center"/>
    </w:pPr>
    <w:rPr>
      <w:rFonts w:ascii="黑体" w:hAnsi="Verdana" w:eastAsia="黑体"/>
      <w:kern w:val="0"/>
      <w:sz w:val="32"/>
      <w:szCs w:val="32"/>
      <w:lang w:eastAsia="en-US"/>
    </w:rPr>
  </w:style>
  <w:style w:type="paragraph" w:customStyle="1" w:styleId="18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86">
    <w:name w:val="纯文本2"/>
    <w:basedOn w:val="1"/>
    <w:qFormat/>
    <w:uiPriority w:val="0"/>
    <w:rPr>
      <w:rFonts w:ascii="宋体" w:hAnsi="Courier New" w:cs="Courier New"/>
      <w:szCs w:val="21"/>
    </w:rPr>
  </w:style>
  <w:style w:type="paragraph" w:customStyle="1" w:styleId="187">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188">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89">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190">
    <w:name w:val="Char Char Char Char Char Char Char"/>
    <w:basedOn w:val="1"/>
    <w:qFormat/>
    <w:uiPriority w:val="0"/>
    <w:rPr>
      <w:rFonts w:ascii="仿宋_GB2312" w:eastAsia="仿宋_GB2312"/>
      <w:b/>
      <w:sz w:val="32"/>
      <w:szCs w:val="32"/>
    </w:rPr>
  </w:style>
  <w:style w:type="paragraph" w:customStyle="1" w:styleId="191">
    <w:name w:val="p8"/>
    <w:basedOn w:val="1"/>
    <w:qFormat/>
    <w:uiPriority w:val="0"/>
    <w:pPr>
      <w:spacing w:line="30" w:lineRule="atLeast"/>
      <w:jc w:val="left"/>
    </w:pPr>
    <w:rPr>
      <w:rFonts w:hint="eastAsia" w:ascii="宋体" w:hAnsi="宋体" w:cs="宋体"/>
      <w:kern w:val="0"/>
      <w:szCs w:val="21"/>
    </w:rPr>
  </w:style>
  <w:style w:type="paragraph" w:customStyle="1" w:styleId="192">
    <w:name w:val="我的目录"/>
    <w:basedOn w:val="193"/>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93">
    <w:name w:val="目录 11"/>
    <w:basedOn w:val="1"/>
    <w:next w:val="1"/>
    <w:qFormat/>
    <w:uiPriority w:val="39"/>
    <w:pPr>
      <w:tabs>
        <w:tab w:val="right" w:leader="dot" w:pos="8296"/>
      </w:tabs>
      <w:ind w:left="850" w:leftChars="1" w:hanging="848" w:hangingChars="404"/>
      <w:jc w:val="center"/>
    </w:pPr>
  </w:style>
  <w:style w:type="paragraph" w:customStyle="1" w:styleId="194">
    <w:name w:val="目录 51"/>
    <w:basedOn w:val="1"/>
    <w:next w:val="1"/>
    <w:qFormat/>
    <w:uiPriority w:val="39"/>
    <w:pPr>
      <w:ind w:left="1680" w:leftChars="800"/>
    </w:pPr>
    <w:rPr>
      <w:rFonts w:ascii="Calibri" w:hAnsi="Calibri"/>
      <w:szCs w:val="22"/>
    </w:rPr>
  </w:style>
  <w:style w:type="paragraph" w:customStyle="1" w:styleId="195">
    <w:name w:val="CM255"/>
    <w:basedOn w:val="196"/>
    <w:next w:val="196"/>
    <w:qFormat/>
    <w:uiPriority w:val="0"/>
    <w:pPr>
      <w:spacing w:after="1728"/>
    </w:pPr>
    <w:rPr>
      <w:rFonts w:ascii="宋体" w:cs="宋体"/>
      <w:color w:val="auto"/>
    </w:rPr>
  </w:style>
  <w:style w:type="paragraph" w:customStyle="1" w:styleId="196">
    <w:name w:val="Default"/>
    <w:qFormat/>
    <w:uiPriority w:val="0"/>
    <w:pPr>
      <w:widowControl w:val="0"/>
      <w:autoSpaceDE w:val="0"/>
      <w:autoSpaceDN w:val="0"/>
      <w:adjustRightInd w:val="0"/>
      <w:spacing w:after="160"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197">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98">
    <w:name w:val="标题 31"/>
    <w:basedOn w:val="1"/>
    <w:qFormat/>
    <w:uiPriority w:val="1"/>
    <w:pPr>
      <w:ind w:left="237"/>
      <w:jc w:val="left"/>
      <w:outlineLvl w:val="3"/>
    </w:pPr>
    <w:rPr>
      <w:rFonts w:ascii="宋体" w:hAnsi="宋体"/>
      <w:kern w:val="0"/>
      <w:sz w:val="28"/>
      <w:szCs w:val="28"/>
      <w:lang w:eastAsia="en-US"/>
    </w:rPr>
  </w:style>
  <w:style w:type="paragraph" w:customStyle="1" w:styleId="199">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00">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201">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2">
    <w:name w:val="小标题"/>
    <w:basedOn w:val="1"/>
    <w:qFormat/>
    <w:uiPriority w:val="0"/>
    <w:pPr>
      <w:spacing w:line="440" w:lineRule="exact"/>
      <w:ind w:left="420" w:hanging="420"/>
    </w:pPr>
    <w:rPr>
      <w:sz w:val="24"/>
    </w:rPr>
  </w:style>
  <w:style w:type="paragraph" w:customStyle="1" w:styleId="203">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04">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205">
    <w:name w:val="USE 1"/>
    <w:basedOn w:val="1"/>
    <w:qFormat/>
    <w:uiPriority w:val="0"/>
    <w:pPr>
      <w:spacing w:line="200" w:lineRule="atLeast"/>
      <w:jc w:val="left"/>
    </w:pPr>
    <w:rPr>
      <w:rFonts w:ascii="宋体" w:hAnsi="宋体"/>
      <w:b/>
      <w:sz w:val="24"/>
      <w:szCs w:val="28"/>
    </w:rPr>
  </w:style>
  <w:style w:type="paragraph" w:customStyle="1" w:styleId="206">
    <w:name w:val="备注"/>
    <w:basedOn w:val="1"/>
    <w:qFormat/>
    <w:uiPriority w:val="0"/>
    <w:pPr>
      <w:tabs>
        <w:tab w:val="left" w:pos="547"/>
        <w:tab w:val="left" w:pos="990"/>
        <w:tab w:val="left" w:pos="1350"/>
      </w:tabs>
      <w:spacing w:line="400" w:lineRule="atLeast"/>
    </w:pPr>
    <w:rPr>
      <w:szCs w:val="21"/>
    </w:rPr>
  </w:style>
  <w:style w:type="paragraph" w:customStyle="1" w:styleId="207">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08">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09">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0">
    <w:name w:val="USE 3"/>
    <w:basedOn w:val="1"/>
    <w:qFormat/>
    <w:uiPriority w:val="0"/>
    <w:pPr>
      <w:ind w:left="710" w:hanging="170"/>
      <w:jc w:val="left"/>
    </w:pPr>
    <w:rPr>
      <w:rFonts w:ascii="宋体" w:hAnsi="宋体"/>
      <w:sz w:val="24"/>
      <w:szCs w:val="20"/>
    </w:rPr>
  </w:style>
  <w:style w:type="paragraph" w:customStyle="1" w:styleId="211">
    <w:name w:val="批注框文本 Char Char"/>
    <w:basedOn w:val="1"/>
    <w:qFormat/>
    <w:uiPriority w:val="0"/>
    <w:rPr>
      <w:sz w:val="18"/>
      <w:szCs w:val="20"/>
    </w:rPr>
  </w:style>
  <w:style w:type="paragraph" w:customStyle="1" w:styleId="212">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13">
    <w:name w:val="表格"/>
    <w:basedOn w:val="1"/>
    <w:qFormat/>
    <w:uiPriority w:val="0"/>
    <w:pPr>
      <w:jc w:val="center"/>
      <w:textAlignment w:val="center"/>
    </w:pPr>
    <w:rPr>
      <w:rFonts w:ascii="华文细黑" w:hAnsi="华文细黑"/>
      <w:kern w:val="0"/>
      <w:szCs w:val="20"/>
    </w:rPr>
  </w:style>
  <w:style w:type="paragraph" w:customStyle="1" w:styleId="214">
    <w:name w:val="列出段落1"/>
    <w:basedOn w:val="1"/>
    <w:qFormat/>
    <w:uiPriority w:val="0"/>
    <w:pPr>
      <w:spacing w:beforeLines="50" w:after="156" w:line="240" w:lineRule="atLeast"/>
      <w:ind w:left="425"/>
    </w:pPr>
    <w:rPr>
      <w:rFonts w:eastAsia="仿宋_GB2312"/>
      <w:sz w:val="24"/>
    </w:rPr>
  </w:style>
  <w:style w:type="paragraph" w:customStyle="1" w:styleId="215">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16">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7">
    <w:name w:val="retrait3"/>
    <w:basedOn w:val="1"/>
    <w:qFormat/>
    <w:uiPriority w:val="0"/>
    <w:pPr>
      <w:spacing w:before="20" w:after="20"/>
      <w:ind w:left="851"/>
      <w:jc w:val="left"/>
    </w:pPr>
    <w:rPr>
      <w:rFonts w:ascii="Arial" w:hAnsi="Arial"/>
      <w:kern w:val="0"/>
      <w:sz w:val="24"/>
      <w:szCs w:val="20"/>
      <w:lang w:val="en-GB"/>
    </w:rPr>
  </w:style>
  <w:style w:type="paragraph" w:customStyle="1" w:styleId="218">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219">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1">
    <w:name w:val="Table Paragraph"/>
    <w:basedOn w:val="1"/>
    <w:qFormat/>
    <w:uiPriority w:val="1"/>
    <w:pPr>
      <w:jc w:val="left"/>
    </w:pPr>
    <w:rPr>
      <w:rFonts w:ascii="Calibri" w:hAnsi="Calibri"/>
      <w:kern w:val="0"/>
      <w:sz w:val="22"/>
      <w:szCs w:val="22"/>
      <w:lang w:eastAsia="en-US"/>
    </w:rPr>
  </w:style>
  <w:style w:type="paragraph" w:customStyle="1" w:styleId="222">
    <w:name w:val="标题333"/>
    <w:basedOn w:val="1"/>
    <w:qFormat/>
    <w:uiPriority w:val="0"/>
    <w:rPr>
      <w:rFonts w:ascii="宋体" w:hAnsi="宋体" w:cs="宋体"/>
      <w:b/>
      <w:bCs/>
      <w:sz w:val="24"/>
      <w:szCs w:val="20"/>
    </w:rPr>
  </w:style>
  <w:style w:type="paragraph" w:customStyle="1" w:styleId="223">
    <w:name w:val="表格文字图表文字"/>
    <w:basedOn w:val="1"/>
    <w:qFormat/>
    <w:uiPriority w:val="0"/>
    <w:pPr>
      <w:snapToGrid w:val="0"/>
      <w:jc w:val="center"/>
    </w:pPr>
    <w:rPr>
      <w:rFonts w:cs="宋体"/>
      <w:szCs w:val="20"/>
    </w:rPr>
  </w:style>
  <w:style w:type="paragraph" w:customStyle="1" w:styleId="224">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5">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26">
    <w:name w:val="样式 宋体 小四 黑色 左 行距: 1.5 倍行距1"/>
    <w:basedOn w:val="1"/>
    <w:qFormat/>
    <w:uiPriority w:val="0"/>
    <w:pPr>
      <w:jc w:val="left"/>
    </w:pPr>
    <w:rPr>
      <w:rFonts w:ascii="宋体" w:hAnsi="宋体" w:cs="宋体"/>
      <w:color w:val="000000"/>
      <w:sz w:val="24"/>
      <w:szCs w:val="20"/>
    </w:rPr>
  </w:style>
  <w:style w:type="paragraph" w:customStyle="1" w:styleId="227">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28">
    <w:name w:val="USE 4"/>
    <w:basedOn w:val="1"/>
    <w:qFormat/>
    <w:uiPriority w:val="0"/>
    <w:pPr>
      <w:ind w:left="104" w:hanging="227"/>
      <w:jc w:val="left"/>
    </w:pPr>
    <w:rPr>
      <w:rFonts w:ascii="宋体" w:hAnsi="宋体"/>
      <w:sz w:val="24"/>
      <w:szCs w:val="20"/>
    </w:rPr>
  </w:style>
  <w:style w:type="paragraph" w:customStyle="1" w:styleId="229">
    <w:name w:val="Char Char Char Char Char Char Char Char Char Char Char Char1 Char"/>
    <w:basedOn w:val="15"/>
    <w:qFormat/>
    <w:uiPriority w:val="0"/>
    <w:pPr>
      <w:shd w:val="clear" w:color="auto" w:fill="000080"/>
    </w:pPr>
    <w:rPr>
      <w:rFonts w:ascii="Times New Roman"/>
      <w:sz w:val="21"/>
      <w:szCs w:val="20"/>
    </w:rPr>
  </w:style>
  <w:style w:type="paragraph" w:customStyle="1" w:styleId="230">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31">
    <w:name w:val="目录 91"/>
    <w:basedOn w:val="1"/>
    <w:next w:val="1"/>
    <w:qFormat/>
    <w:uiPriority w:val="39"/>
    <w:pPr>
      <w:ind w:left="3360" w:leftChars="1600"/>
    </w:pPr>
    <w:rPr>
      <w:rFonts w:ascii="Calibri" w:hAnsi="Calibri"/>
      <w:szCs w:val="22"/>
    </w:rPr>
  </w:style>
  <w:style w:type="paragraph" w:customStyle="1" w:styleId="232">
    <w:name w:val="retrait1"/>
    <w:basedOn w:val="1"/>
    <w:qFormat/>
    <w:uiPriority w:val="0"/>
    <w:pPr>
      <w:spacing w:before="20" w:after="20"/>
      <w:ind w:left="284"/>
      <w:jc w:val="left"/>
    </w:pPr>
    <w:rPr>
      <w:rFonts w:ascii="Arial" w:hAnsi="Arial"/>
      <w:kern w:val="0"/>
      <w:sz w:val="24"/>
      <w:szCs w:val="20"/>
      <w:lang w:val="en-GB"/>
    </w:rPr>
  </w:style>
  <w:style w:type="paragraph" w:customStyle="1" w:styleId="233">
    <w:name w:val="样式2"/>
    <w:basedOn w:val="32"/>
    <w:qFormat/>
    <w:uiPriority w:val="0"/>
    <w:pPr>
      <w:autoSpaceDE w:val="0"/>
      <w:autoSpaceDN w:val="0"/>
      <w:adjustRightInd w:val="0"/>
      <w:snapToGrid/>
      <w:textAlignment w:val="baseline"/>
    </w:pPr>
    <w:rPr>
      <w:rFonts w:ascii="宋体"/>
      <w:kern w:val="0"/>
      <w:szCs w:val="20"/>
    </w:rPr>
  </w:style>
  <w:style w:type="paragraph" w:customStyle="1" w:styleId="234">
    <w:name w:val="条文 4"/>
    <w:next w:val="1"/>
    <w:qFormat/>
    <w:uiPriority w:val="0"/>
    <w:pPr>
      <w:spacing w:after="160" w:line="310" w:lineRule="exact"/>
      <w:ind w:left="2520" w:hanging="420"/>
      <w:jc w:val="both"/>
    </w:pPr>
    <w:rPr>
      <w:rFonts w:ascii="Times New Roman" w:hAnsi="Times New Roman" w:eastAsia="黑体" w:cs="Times New Roman"/>
      <w:sz w:val="21"/>
      <w:lang w:val="en-US" w:eastAsia="zh-CN" w:bidi="ar-SA"/>
    </w:rPr>
  </w:style>
  <w:style w:type="paragraph" w:customStyle="1" w:styleId="235">
    <w:name w:val="Char2 Char Char Char"/>
    <w:basedOn w:val="1"/>
    <w:qFormat/>
    <w:uiPriority w:val="0"/>
    <w:pPr>
      <w:spacing w:line="240" w:lineRule="exact"/>
      <w:jc w:val="left"/>
    </w:pPr>
    <w:rPr>
      <w:rFonts w:ascii="Verdana" w:hAnsi="Verdana" w:eastAsia="仿宋_GB2312"/>
      <w:kern w:val="0"/>
      <w:sz w:val="24"/>
      <w:szCs w:val="20"/>
      <w:lang w:eastAsia="en-US"/>
    </w:rPr>
  </w:style>
  <w:style w:type="paragraph" w:customStyle="1" w:styleId="236">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37">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38">
    <w:name w:val="Report Level 1"/>
    <w:basedOn w:val="1"/>
    <w:next w:val="104"/>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39">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40">
    <w:name w:val="_Style 67"/>
    <w:basedOn w:val="1"/>
    <w:qFormat/>
    <w:uiPriority w:val="0"/>
    <w:pPr>
      <w:spacing w:line="240" w:lineRule="exact"/>
      <w:jc w:val="left"/>
    </w:pPr>
    <w:rPr>
      <w:rFonts w:ascii="楷体_GB2312" w:hAnsi="楷体_GB2312" w:eastAsia="仿宋_GB2312" w:cs="楷体_GB2312"/>
      <w:szCs w:val="20"/>
    </w:rPr>
  </w:style>
  <w:style w:type="paragraph" w:customStyle="1" w:styleId="241">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42">
    <w:name w:val="列表段落1"/>
    <w:basedOn w:val="1"/>
    <w:qFormat/>
    <w:uiPriority w:val="0"/>
  </w:style>
  <w:style w:type="paragraph" w:customStyle="1" w:styleId="243">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44">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45">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6">
    <w:name w:val="font7"/>
    <w:basedOn w:val="1"/>
    <w:qFormat/>
    <w:uiPriority w:val="0"/>
    <w:pPr>
      <w:spacing w:before="100" w:beforeAutospacing="1" w:after="100" w:afterAutospacing="1"/>
      <w:jc w:val="left"/>
    </w:pPr>
    <w:rPr>
      <w:kern w:val="0"/>
      <w:sz w:val="20"/>
      <w:szCs w:val="20"/>
    </w:rPr>
  </w:style>
  <w:style w:type="paragraph" w:customStyle="1" w:styleId="247">
    <w:name w:val="二级标题"/>
    <w:basedOn w:val="1"/>
    <w:qFormat/>
    <w:uiPriority w:val="0"/>
    <w:pPr>
      <w:tabs>
        <w:tab w:val="left" w:pos="-1341"/>
      </w:tabs>
      <w:ind w:left="2686" w:hanging="420"/>
      <w:outlineLvl w:val="1"/>
    </w:pPr>
    <w:rPr>
      <w:rFonts w:ascii="宋体" w:hAnsi="宋体"/>
      <w:sz w:val="24"/>
      <w:szCs w:val="20"/>
    </w:rPr>
  </w:style>
  <w:style w:type="paragraph" w:customStyle="1" w:styleId="248">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49">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0">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51">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52">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3">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54">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55">
    <w:name w:val="标题2"/>
    <w:basedOn w:val="2"/>
    <w:qFormat/>
    <w:uiPriority w:val="0"/>
    <w:pPr>
      <w:spacing w:before="0" w:after="0" w:line="312" w:lineRule="auto"/>
      <w:jc w:val="center"/>
    </w:pPr>
    <w:rPr>
      <w:rFonts w:ascii="宋体"/>
      <w:bCs w:val="0"/>
      <w:sz w:val="30"/>
      <w:szCs w:val="20"/>
    </w:rPr>
  </w:style>
  <w:style w:type="paragraph" w:customStyle="1" w:styleId="256">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57">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58">
    <w:name w:val="条文 5"/>
    <w:next w:val="1"/>
    <w:qFormat/>
    <w:uiPriority w:val="0"/>
    <w:pPr>
      <w:spacing w:after="160" w:line="310" w:lineRule="exact"/>
      <w:ind w:left="2940" w:hanging="420"/>
      <w:jc w:val="both"/>
    </w:pPr>
    <w:rPr>
      <w:rFonts w:ascii="Times New Roman" w:hAnsi="Times New Roman" w:eastAsia="黑体" w:cs="Times New Roman"/>
      <w:sz w:val="21"/>
      <w:lang w:val="en-US" w:eastAsia="zh-CN" w:bidi="ar-SA"/>
    </w:rPr>
  </w:style>
  <w:style w:type="paragraph" w:customStyle="1" w:styleId="259">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60">
    <w:name w:val="条文 1"/>
    <w:next w:val="1"/>
    <w:qFormat/>
    <w:uiPriority w:val="0"/>
    <w:pPr>
      <w:spacing w:after="160" w:line="310" w:lineRule="exact"/>
      <w:ind w:left="840" w:hanging="420"/>
      <w:jc w:val="both"/>
    </w:pPr>
    <w:rPr>
      <w:rFonts w:ascii="Times New Roman" w:hAnsi="Times New Roman" w:eastAsia="黑体" w:cs="Times New Roman"/>
      <w:sz w:val="21"/>
      <w:lang w:val="en-US" w:eastAsia="zh-CN" w:bidi="ar-SA"/>
    </w:rPr>
  </w:style>
  <w:style w:type="paragraph" w:customStyle="1" w:styleId="261">
    <w:name w:val="需求书2"/>
    <w:basedOn w:val="1"/>
    <w:qFormat/>
    <w:uiPriority w:val="0"/>
    <w:pPr>
      <w:spacing w:line="500" w:lineRule="exact"/>
      <w:ind w:left="735" w:hanging="735"/>
    </w:pPr>
    <w:rPr>
      <w:rFonts w:ascii="黑体" w:eastAsia="黑体"/>
      <w:szCs w:val="20"/>
    </w:rPr>
  </w:style>
  <w:style w:type="paragraph" w:customStyle="1" w:styleId="262">
    <w:name w:val="wuff32"/>
    <w:basedOn w:val="25"/>
    <w:qFormat/>
    <w:uiPriority w:val="0"/>
    <w:pPr>
      <w:jc w:val="center"/>
    </w:pPr>
    <w:rPr>
      <w:rFonts w:ascii="黑体" w:eastAsia="黑体"/>
      <w:sz w:val="24"/>
      <w:szCs w:val="20"/>
    </w:rPr>
  </w:style>
  <w:style w:type="paragraph" w:customStyle="1" w:styleId="263">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264">
    <w:name w:val="Char Char Char"/>
    <w:basedOn w:val="1"/>
    <w:qFormat/>
    <w:uiPriority w:val="0"/>
    <w:rPr>
      <w:rFonts w:ascii="仿宋_GB2312" w:eastAsia="仿宋_GB2312"/>
      <w:b/>
      <w:sz w:val="32"/>
      <w:szCs w:val="32"/>
    </w:rPr>
  </w:style>
  <w:style w:type="paragraph" w:customStyle="1" w:styleId="265">
    <w:name w:val="目录 31"/>
    <w:basedOn w:val="1"/>
    <w:next w:val="1"/>
    <w:qFormat/>
    <w:uiPriority w:val="39"/>
    <w:pPr>
      <w:ind w:left="840" w:leftChars="400"/>
    </w:pPr>
  </w:style>
  <w:style w:type="paragraph" w:customStyle="1" w:styleId="266">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7">
    <w:name w:val="样式 标题 2 + (西文) Times New Roman (中文) 仿宋_GB2312 居中 段前: 6 磅 段后:..."/>
    <w:basedOn w:val="3"/>
    <w:qFormat/>
    <w:uiPriority w:val="0"/>
    <w:pPr>
      <w:spacing w:before="120" w:after="120"/>
      <w:jc w:val="left"/>
    </w:pPr>
    <w:rPr>
      <w:rFonts w:ascii="Times New Roman" w:hAnsi="Times New Roman" w:eastAsia="仿宋_GB2312" w:cs="宋体"/>
      <w:szCs w:val="20"/>
    </w:rPr>
  </w:style>
  <w:style w:type="paragraph" w:customStyle="1" w:styleId="268">
    <w:name w:val="标题222"/>
    <w:basedOn w:val="1"/>
    <w:qFormat/>
    <w:uiPriority w:val="0"/>
    <w:rPr>
      <w:rFonts w:cs="宋体"/>
      <w:b/>
      <w:bCs/>
      <w:sz w:val="30"/>
      <w:szCs w:val="20"/>
    </w:rPr>
  </w:style>
  <w:style w:type="paragraph" w:customStyle="1" w:styleId="269">
    <w:name w:val="Char"/>
    <w:basedOn w:val="1"/>
    <w:qFormat/>
    <w:uiPriority w:val="0"/>
    <w:pPr>
      <w:tabs>
        <w:tab w:val="left" w:pos="360"/>
      </w:tabs>
    </w:pPr>
    <w:rPr>
      <w:sz w:val="24"/>
    </w:rPr>
  </w:style>
  <w:style w:type="paragraph" w:customStyle="1" w:styleId="270">
    <w:name w:val="一、"/>
    <w:next w:val="141"/>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271">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2">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73">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274">
    <w:name w:val="USE 2"/>
    <w:basedOn w:val="1"/>
    <w:qFormat/>
    <w:uiPriority w:val="0"/>
    <w:pPr>
      <w:ind w:left="4556" w:hanging="3836"/>
      <w:jc w:val="left"/>
    </w:pPr>
    <w:rPr>
      <w:rFonts w:ascii="宋体" w:hAnsi="宋体"/>
      <w:sz w:val="24"/>
      <w:szCs w:val="20"/>
    </w:rPr>
  </w:style>
  <w:style w:type="paragraph" w:customStyle="1" w:styleId="275">
    <w:name w:val="表格文字"/>
    <w:basedOn w:val="1"/>
    <w:qFormat/>
    <w:uiPriority w:val="0"/>
    <w:pPr>
      <w:adjustRightInd w:val="0"/>
      <w:spacing w:line="420" w:lineRule="atLeast"/>
      <w:jc w:val="left"/>
      <w:textAlignment w:val="baseline"/>
    </w:pPr>
    <w:rPr>
      <w:kern w:val="0"/>
      <w:szCs w:val="20"/>
    </w:rPr>
  </w:style>
  <w:style w:type="paragraph" w:customStyle="1" w:styleId="276">
    <w:name w:val="1."/>
    <w:basedOn w:val="1"/>
    <w:qFormat/>
    <w:uiPriority w:val="0"/>
    <w:pPr>
      <w:tabs>
        <w:tab w:val="left" w:pos="425"/>
      </w:tabs>
      <w:ind w:firstLine="482"/>
    </w:pPr>
    <w:rPr>
      <w:sz w:val="28"/>
      <w:szCs w:val="20"/>
    </w:rPr>
  </w:style>
  <w:style w:type="paragraph" w:customStyle="1" w:styleId="277">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27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279">
    <w:name w:val="Body text 1"/>
    <w:basedOn w:val="280"/>
    <w:qFormat/>
    <w:uiPriority w:val="0"/>
    <w:pPr>
      <w:tabs>
        <w:tab w:val="left" w:pos="1134"/>
      </w:tabs>
      <w:ind w:hanging="1134"/>
    </w:pPr>
  </w:style>
  <w:style w:type="paragraph" w:customStyle="1" w:styleId="280">
    <w:name w:val="正文文本1"/>
    <w:qFormat/>
    <w:uiPriority w:val="0"/>
    <w:pPr>
      <w:widowControl w:val="0"/>
      <w:autoSpaceDE w:val="0"/>
      <w:autoSpaceDN w:val="0"/>
      <w:adjustRightInd w:val="0"/>
      <w:spacing w:before="170" w:after="16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81">
    <w:name w:val="_Style 10"/>
    <w:basedOn w:val="1"/>
    <w:next w:val="1"/>
    <w:qFormat/>
    <w:uiPriority w:val="0"/>
  </w:style>
  <w:style w:type="paragraph" w:customStyle="1" w:styleId="282">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83">
    <w:name w:val="Char Char Char Char Char Char Char1"/>
    <w:basedOn w:val="1"/>
    <w:qFormat/>
    <w:uiPriority w:val="0"/>
    <w:pPr>
      <w:spacing w:line="240" w:lineRule="exact"/>
      <w:jc w:val="left"/>
    </w:pPr>
    <w:rPr>
      <w:rFonts w:ascii="Arial" w:hAnsi="Arial" w:eastAsia="Times New Roman" w:cs="Verdana"/>
      <w:b/>
      <w:kern w:val="0"/>
      <w:sz w:val="24"/>
      <w:lang w:eastAsia="en-US"/>
    </w:rPr>
  </w:style>
  <w:style w:type="paragraph" w:customStyle="1" w:styleId="284">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285">
    <w:name w:val="Char Char Char Char"/>
    <w:basedOn w:val="1"/>
    <w:qFormat/>
    <w:uiPriority w:val="0"/>
    <w:pPr>
      <w:tabs>
        <w:tab w:val="left" w:pos="360"/>
      </w:tabs>
    </w:pPr>
    <w:rPr>
      <w:sz w:val="24"/>
    </w:rPr>
  </w:style>
  <w:style w:type="paragraph" w:customStyle="1" w:styleId="286">
    <w:name w:val="标题3"/>
    <w:basedOn w:val="2"/>
    <w:qFormat/>
    <w:uiPriority w:val="0"/>
    <w:pPr>
      <w:spacing w:beforeLines="50" w:after="0" w:line="312" w:lineRule="auto"/>
      <w:jc w:val="center"/>
    </w:pPr>
    <w:rPr>
      <w:rFonts w:ascii="宋体"/>
      <w:bCs w:val="0"/>
      <w:sz w:val="24"/>
      <w:szCs w:val="20"/>
    </w:rPr>
  </w:style>
  <w:style w:type="paragraph" w:customStyle="1" w:styleId="287">
    <w:name w:val="cucd-TB"/>
    <w:qFormat/>
    <w:uiPriority w:val="0"/>
    <w:pPr>
      <w:spacing w:after="160"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88">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89">
    <w:name w:val="Char1"/>
    <w:basedOn w:val="1"/>
    <w:qFormat/>
    <w:uiPriority w:val="0"/>
    <w:rPr>
      <w:rFonts w:ascii="仿宋_GB2312" w:eastAsia="仿宋_GB2312"/>
      <w:b/>
      <w:sz w:val="32"/>
      <w:szCs w:val="32"/>
    </w:rPr>
  </w:style>
  <w:style w:type="paragraph" w:customStyle="1" w:styleId="290">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1">
    <w:name w:val="样式 纯文本 + 居中 行距: 最小值 9 磅"/>
    <w:basedOn w:val="25"/>
    <w:qFormat/>
    <w:uiPriority w:val="0"/>
    <w:pPr>
      <w:spacing w:line="180" w:lineRule="atLeast"/>
      <w:jc w:val="left"/>
    </w:pPr>
    <w:rPr>
      <w:rFonts w:cs="宋体"/>
      <w:sz w:val="24"/>
      <w:szCs w:val="20"/>
    </w:rPr>
  </w:style>
  <w:style w:type="paragraph" w:customStyle="1" w:styleId="292">
    <w:name w:val="Char Char Char Char Char Char Char Char Char Char Char Char Char"/>
    <w:basedOn w:val="1"/>
    <w:qFormat/>
    <w:uiPriority w:val="0"/>
    <w:rPr>
      <w:rFonts w:ascii="仿宋_GB2312" w:eastAsia="仿宋_GB2312"/>
      <w:b/>
      <w:sz w:val="32"/>
      <w:szCs w:val="32"/>
    </w:rPr>
  </w:style>
  <w:style w:type="paragraph" w:customStyle="1" w:styleId="293">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4">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5">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296">
    <w:name w:val="tableau"/>
    <w:basedOn w:val="1"/>
    <w:qFormat/>
    <w:uiPriority w:val="0"/>
    <w:pPr>
      <w:spacing w:before="20" w:after="20"/>
      <w:jc w:val="center"/>
    </w:pPr>
    <w:rPr>
      <w:rFonts w:ascii="Arial" w:hAnsi="Arial"/>
      <w:kern w:val="0"/>
      <w:sz w:val="16"/>
      <w:szCs w:val="20"/>
      <w:lang w:val="en-GB"/>
    </w:rPr>
  </w:style>
  <w:style w:type="paragraph" w:customStyle="1" w:styleId="297">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98">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299">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00">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01">
    <w:name w:val="样式 宋体 小四 黑色 左 行距: 1.5 倍行距"/>
    <w:basedOn w:val="1"/>
    <w:qFormat/>
    <w:uiPriority w:val="0"/>
    <w:pPr>
      <w:jc w:val="left"/>
    </w:pPr>
    <w:rPr>
      <w:rFonts w:ascii="宋体" w:hAnsi="宋体" w:cs="宋体"/>
      <w:color w:val="000000"/>
      <w:sz w:val="24"/>
      <w:szCs w:val="20"/>
    </w:rPr>
  </w:style>
  <w:style w:type="paragraph" w:customStyle="1" w:styleId="302">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3">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304">
    <w:name w:val="Tétière"/>
    <w:basedOn w:val="1"/>
    <w:qFormat/>
    <w:uiPriority w:val="0"/>
    <w:pPr>
      <w:spacing w:before="60" w:after="60"/>
      <w:jc w:val="center"/>
    </w:pPr>
    <w:rPr>
      <w:rFonts w:ascii="Arial" w:hAnsi="Arial"/>
      <w:b/>
      <w:kern w:val="0"/>
      <w:sz w:val="16"/>
      <w:szCs w:val="20"/>
      <w:lang w:val="en-GB"/>
    </w:rPr>
  </w:style>
  <w:style w:type="paragraph" w:customStyle="1" w:styleId="305">
    <w:name w:val="目录 81"/>
    <w:basedOn w:val="1"/>
    <w:next w:val="1"/>
    <w:qFormat/>
    <w:uiPriority w:val="39"/>
    <w:pPr>
      <w:ind w:left="2940" w:leftChars="1400"/>
    </w:pPr>
    <w:rPr>
      <w:rFonts w:ascii="Calibri" w:hAnsi="Calibri"/>
      <w:szCs w:val="22"/>
    </w:rPr>
  </w:style>
  <w:style w:type="paragraph" w:customStyle="1" w:styleId="306">
    <w:name w:val="样式1"/>
    <w:basedOn w:val="32"/>
    <w:qFormat/>
    <w:uiPriority w:val="0"/>
    <w:pPr>
      <w:autoSpaceDE w:val="0"/>
      <w:autoSpaceDN w:val="0"/>
      <w:adjustRightInd w:val="0"/>
      <w:snapToGrid/>
      <w:textAlignment w:val="baseline"/>
    </w:pPr>
    <w:rPr>
      <w:rFonts w:ascii="宋体"/>
      <w:kern w:val="0"/>
      <w:szCs w:val="20"/>
    </w:rPr>
  </w:style>
  <w:style w:type="paragraph" w:customStyle="1" w:styleId="307">
    <w:name w:val="Char Char Char Char Char Char Char Char Char Char"/>
    <w:basedOn w:val="1"/>
    <w:qFormat/>
    <w:uiPriority w:val="0"/>
    <w:rPr>
      <w:rFonts w:ascii="Tahoma" w:hAnsi="Tahoma" w:cs="仿宋_GB2312"/>
      <w:sz w:val="24"/>
      <w:szCs w:val="20"/>
    </w:rPr>
  </w:style>
  <w:style w:type="paragraph" w:customStyle="1" w:styleId="308">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09">
    <w:name w:val="Char4"/>
    <w:basedOn w:val="1"/>
    <w:qFormat/>
    <w:uiPriority w:val="0"/>
  </w:style>
  <w:style w:type="paragraph" w:customStyle="1" w:styleId="310">
    <w:name w:val="目录 41"/>
    <w:basedOn w:val="1"/>
    <w:next w:val="1"/>
    <w:qFormat/>
    <w:uiPriority w:val="39"/>
    <w:pPr>
      <w:ind w:left="1260" w:leftChars="600"/>
    </w:pPr>
    <w:rPr>
      <w:rFonts w:ascii="Calibri" w:hAnsi="Calibri"/>
      <w:szCs w:val="22"/>
    </w:rPr>
  </w:style>
  <w:style w:type="paragraph" w:customStyle="1" w:styleId="311">
    <w:name w:val="cucd-0"/>
    <w:qFormat/>
    <w:uiPriority w:val="0"/>
    <w:pPr>
      <w:spacing w:after="160"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312">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13">
    <w:name w:val="1.1"/>
    <w:basedOn w:val="3"/>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314">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15">
    <w:name w:val="文件正文"/>
    <w:basedOn w:val="1"/>
    <w:qFormat/>
    <w:uiPriority w:val="0"/>
    <w:pPr>
      <w:ind w:firstLine="480"/>
    </w:pPr>
    <w:rPr>
      <w:rFonts w:eastAsia="仿宋_GB2312"/>
      <w:sz w:val="24"/>
      <w:szCs w:val="20"/>
    </w:rPr>
  </w:style>
  <w:style w:type="paragraph" w:customStyle="1" w:styleId="316">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317">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18">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19">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20">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1">
    <w:name w:val="通用专用"/>
    <w:basedOn w:val="1"/>
    <w:qFormat/>
    <w:uiPriority w:val="0"/>
    <w:pPr>
      <w:jc w:val="center"/>
    </w:pPr>
    <w:rPr>
      <w:rFonts w:ascii="宋体"/>
      <w:b/>
      <w:sz w:val="36"/>
      <w:szCs w:val="20"/>
    </w:rPr>
  </w:style>
  <w:style w:type="paragraph" w:customStyle="1" w:styleId="322">
    <w:name w:val="Char Char Char Char Char Char Char Char Char Char Char Char Char1"/>
    <w:basedOn w:val="1"/>
    <w:qFormat/>
    <w:uiPriority w:val="0"/>
    <w:rPr>
      <w:rFonts w:ascii="仿宋_GB2312" w:eastAsia="仿宋_GB2312"/>
      <w:b/>
      <w:sz w:val="32"/>
      <w:szCs w:val="32"/>
    </w:rPr>
  </w:style>
  <w:style w:type="paragraph" w:customStyle="1" w:styleId="323">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324">
    <w:name w:val="TOC 标题1"/>
    <w:basedOn w:val="2"/>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325">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326">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27">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328">
    <w:name w:val="目录 61"/>
    <w:basedOn w:val="1"/>
    <w:next w:val="1"/>
    <w:qFormat/>
    <w:uiPriority w:val="39"/>
    <w:pPr>
      <w:ind w:left="2100" w:leftChars="1000"/>
    </w:pPr>
    <w:rPr>
      <w:rFonts w:ascii="Calibri" w:hAnsi="Calibri"/>
      <w:szCs w:val="22"/>
    </w:rPr>
  </w:style>
  <w:style w:type="paragraph" w:customStyle="1" w:styleId="329">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30">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1">
    <w:name w:val="样式 样式 标题 3 + 仿宋_GB2312 小四 段前: 0 磅 段后: 0 磅 + 段前: 0.5 行"/>
    <w:basedOn w:val="332"/>
    <w:qFormat/>
    <w:uiPriority w:val="0"/>
    <w:pPr>
      <w:spacing w:afterLines="50"/>
      <w:jc w:val="both"/>
    </w:pPr>
    <w:rPr>
      <w:rFonts w:ascii="宋体" w:eastAsia="宋体"/>
      <w:b w:val="0"/>
    </w:rPr>
  </w:style>
  <w:style w:type="paragraph" w:customStyle="1" w:styleId="332">
    <w:name w:val="样式 标题 3 + 仿宋_GB2312 小四 段前: 0 磅 段后: 0 磅"/>
    <w:basedOn w:val="4"/>
    <w:qFormat/>
    <w:uiPriority w:val="0"/>
    <w:pPr>
      <w:spacing w:beforeLines="50" w:after="0" w:line="413" w:lineRule="auto"/>
      <w:jc w:val="center"/>
    </w:pPr>
    <w:rPr>
      <w:rFonts w:ascii="仿宋_GB2312" w:eastAsia="仿宋_GB2312" w:cs="宋体"/>
      <w:kern w:val="0"/>
      <w:szCs w:val="20"/>
    </w:rPr>
  </w:style>
  <w:style w:type="paragraph" w:customStyle="1" w:styleId="333">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34">
    <w:name w:val="青岛正文"/>
    <w:basedOn w:val="1"/>
    <w:qFormat/>
    <w:uiPriority w:val="0"/>
    <w:rPr>
      <w:sz w:val="28"/>
    </w:rPr>
  </w:style>
  <w:style w:type="paragraph" w:customStyle="1" w:styleId="335">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36">
    <w:name w:val="样式 标题 3 + (中文) 黑体 小四 非加粗 段前: 7.8 磅 段后: 0 磅 行距: 固定值 20 磅"/>
    <w:basedOn w:val="4"/>
    <w:qFormat/>
    <w:uiPriority w:val="0"/>
    <w:pPr>
      <w:spacing w:before="0" w:after="0" w:line="400" w:lineRule="exact"/>
    </w:pPr>
    <w:rPr>
      <w:rFonts w:eastAsia="黑体" w:cs="宋体"/>
      <w:b w:val="0"/>
      <w:bCs w:val="0"/>
      <w:szCs w:val="20"/>
    </w:rPr>
  </w:style>
  <w:style w:type="paragraph" w:customStyle="1" w:styleId="337">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38">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339">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0">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1">
    <w:name w:val="Report Level 2"/>
    <w:basedOn w:val="238"/>
    <w:next w:val="104"/>
    <w:qFormat/>
    <w:uiPriority w:val="0"/>
    <w:pPr>
      <w:ind w:left="0" w:firstLine="0"/>
      <w:outlineLvl w:val="1"/>
    </w:pPr>
    <w:rPr>
      <w:caps w:val="0"/>
    </w:rPr>
  </w:style>
  <w:style w:type="paragraph" w:customStyle="1" w:styleId="342">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43">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4">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5">
    <w:name w:val="样式 宋体 小四 首行缩进:  0.93 厘米 段前: 11.15 磅 段后: 11.15 磅1"/>
    <w:basedOn w:val="196"/>
    <w:next w:val="196"/>
    <w:qFormat/>
    <w:uiPriority w:val="99"/>
    <w:rPr>
      <w:rFonts w:ascii="宋体"/>
      <w:color w:val="auto"/>
    </w:rPr>
  </w:style>
  <w:style w:type="paragraph" w:customStyle="1" w:styleId="346">
    <w:name w:val="纯文本1"/>
    <w:basedOn w:val="1"/>
    <w:qFormat/>
    <w:uiPriority w:val="0"/>
    <w:rPr>
      <w:rFonts w:ascii="宋体" w:hAnsi="Courier New" w:cs="Courier New"/>
      <w:szCs w:val="21"/>
    </w:rPr>
  </w:style>
  <w:style w:type="paragraph" w:customStyle="1" w:styleId="347">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48">
    <w:name w:val="目录 21"/>
    <w:basedOn w:val="1"/>
    <w:next w:val="1"/>
    <w:qFormat/>
    <w:uiPriority w:val="39"/>
    <w:pPr>
      <w:tabs>
        <w:tab w:val="right" w:leader="dot" w:pos="8295"/>
      </w:tabs>
      <w:ind w:left="205" w:leftChars="205"/>
    </w:pPr>
  </w:style>
  <w:style w:type="paragraph" w:customStyle="1" w:styleId="349">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350">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1">
    <w:name w:val="青岛标题4"/>
    <w:basedOn w:val="5"/>
    <w:qFormat/>
    <w:uiPriority w:val="0"/>
    <w:pPr>
      <w:spacing w:line="500" w:lineRule="atLeast"/>
      <w:jc w:val="left"/>
      <w:outlineLvl w:val="2"/>
    </w:pPr>
    <w:rPr>
      <w:rFonts w:eastAsia="宋体"/>
      <w:sz w:val="30"/>
    </w:rPr>
  </w:style>
  <w:style w:type="paragraph" w:customStyle="1" w:styleId="352">
    <w:name w:val="样式3"/>
    <w:basedOn w:val="32"/>
    <w:qFormat/>
    <w:uiPriority w:val="0"/>
    <w:pPr>
      <w:autoSpaceDE w:val="0"/>
      <w:autoSpaceDN w:val="0"/>
      <w:adjustRightInd w:val="0"/>
      <w:snapToGrid/>
      <w:textAlignment w:val="baseline"/>
    </w:pPr>
    <w:rPr>
      <w:rFonts w:ascii="宋体"/>
      <w:kern w:val="0"/>
      <w:szCs w:val="20"/>
    </w:rPr>
  </w:style>
  <w:style w:type="paragraph" w:customStyle="1" w:styleId="353">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54">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55">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6">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57">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58">
    <w:name w:val="样式 (西文) 宋体 行距: 1.5 倍行距"/>
    <w:basedOn w:val="1"/>
    <w:qFormat/>
    <w:uiPriority w:val="0"/>
    <w:rPr>
      <w:rFonts w:ascii="宋体" w:hAnsi="宋体" w:cs="宋体"/>
      <w:szCs w:val="20"/>
    </w:rPr>
  </w:style>
  <w:style w:type="paragraph" w:customStyle="1" w:styleId="359">
    <w:name w:val="Retrait 1"/>
    <w:basedOn w:val="13"/>
    <w:qFormat/>
    <w:uiPriority w:val="0"/>
    <w:pPr>
      <w:spacing w:after="240"/>
      <w:ind w:left="1134" w:firstLine="0" w:firstLineChars="0"/>
      <w:jc w:val="left"/>
    </w:pPr>
    <w:rPr>
      <w:rFonts w:ascii="Palatino" w:hAnsi="Palatino"/>
      <w:kern w:val="0"/>
      <w:sz w:val="24"/>
      <w:szCs w:val="20"/>
      <w:lang w:val="en-GB"/>
    </w:rPr>
  </w:style>
  <w:style w:type="paragraph" w:customStyle="1" w:styleId="360">
    <w:name w:val="Report Level 3"/>
    <w:basedOn w:val="238"/>
    <w:next w:val="104"/>
    <w:qFormat/>
    <w:uiPriority w:val="0"/>
    <w:pPr>
      <w:tabs>
        <w:tab w:val="clear" w:pos="1080"/>
      </w:tabs>
      <w:ind w:left="0" w:firstLine="0"/>
      <w:jc w:val="both"/>
      <w:outlineLvl w:val="2"/>
    </w:pPr>
    <w:rPr>
      <w:b w:val="0"/>
      <w:caps w:val="0"/>
      <w:sz w:val="22"/>
    </w:rPr>
  </w:style>
  <w:style w:type="paragraph" w:customStyle="1" w:styleId="361">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62">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63">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364">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5">
    <w:name w:val="Char Char Char Char Char Char Char Char Char Char Char Char"/>
    <w:basedOn w:val="1"/>
    <w:qFormat/>
    <w:uiPriority w:val="0"/>
    <w:rPr>
      <w:rFonts w:ascii="Tahoma" w:hAnsi="Tahoma"/>
      <w:sz w:val="24"/>
      <w:szCs w:val="20"/>
    </w:rPr>
  </w:style>
  <w:style w:type="paragraph" w:customStyle="1" w:styleId="366">
    <w:name w:val="标题 41"/>
    <w:basedOn w:val="1"/>
    <w:qFormat/>
    <w:uiPriority w:val="1"/>
    <w:pPr>
      <w:ind w:left="522"/>
      <w:jc w:val="left"/>
      <w:outlineLvl w:val="4"/>
    </w:pPr>
    <w:rPr>
      <w:rFonts w:eastAsia="Times New Roman"/>
      <w:b/>
      <w:bCs/>
      <w:kern w:val="0"/>
      <w:szCs w:val="21"/>
      <w:lang w:eastAsia="en-US"/>
    </w:rPr>
  </w:style>
  <w:style w:type="paragraph" w:customStyle="1" w:styleId="367">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68">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69">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70">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71">
    <w:name w:val="合同书"/>
    <w:basedOn w:val="1"/>
    <w:qFormat/>
    <w:uiPriority w:val="0"/>
    <w:pPr>
      <w:jc w:val="center"/>
    </w:pPr>
    <w:rPr>
      <w:b/>
      <w:sz w:val="36"/>
      <w:szCs w:val="20"/>
    </w:rPr>
  </w:style>
  <w:style w:type="paragraph" w:customStyle="1" w:styleId="372">
    <w:name w:val="修订1"/>
    <w:qFormat/>
    <w:uiPriority w:val="99"/>
    <w:pPr>
      <w:spacing w:after="160"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73">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374">
    <w:name w:val="条文 3"/>
    <w:next w:val="1"/>
    <w:qFormat/>
    <w:uiPriority w:val="0"/>
    <w:pPr>
      <w:spacing w:after="160" w:line="310" w:lineRule="exact"/>
      <w:ind w:left="1680" w:hanging="420"/>
      <w:jc w:val="both"/>
    </w:pPr>
    <w:rPr>
      <w:rFonts w:ascii="Times New Roman" w:hAnsi="Times New Roman" w:eastAsia="黑体" w:cs="Times New Roman"/>
      <w:sz w:val="21"/>
      <w:lang w:val="en-US" w:eastAsia="zh-CN" w:bidi="ar-SA"/>
    </w:rPr>
  </w:style>
  <w:style w:type="paragraph" w:customStyle="1" w:styleId="375">
    <w:name w:val="Char Char Char Char Char1 Char"/>
    <w:basedOn w:val="1"/>
    <w:qFormat/>
    <w:uiPriority w:val="0"/>
    <w:pPr>
      <w:adjustRightInd w:val="0"/>
    </w:pPr>
    <w:rPr>
      <w:rFonts w:eastAsia="黑体"/>
      <w:spacing w:val="20"/>
      <w:sz w:val="32"/>
      <w:szCs w:val="32"/>
    </w:rPr>
  </w:style>
  <w:style w:type="paragraph" w:customStyle="1" w:styleId="376">
    <w:name w:val="批注主题 Char Char"/>
    <w:basedOn w:val="17"/>
    <w:next w:val="17"/>
    <w:qFormat/>
    <w:uiPriority w:val="0"/>
    <w:rPr>
      <w:b/>
      <w:szCs w:val="20"/>
    </w:rPr>
  </w:style>
  <w:style w:type="paragraph" w:customStyle="1" w:styleId="377">
    <w:name w:val="正文段"/>
    <w:basedOn w:val="1"/>
    <w:qFormat/>
    <w:uiPriority w:val="0"/>
    <w:pPr>
      <w:snapToGrid w:val="0"/>
      <w:spacing w:afterLines="50"/>
    </w:pPr>
    <w:rPr>
      <w:kern w:val="0"/>
      <w:sz w:val="24"/>
      <w:szCs w:val="20"/>
    </w:rPr>
  </w:style>
  <w:style w:type="paragraph" w:customStyle="1" w:styleId="378">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79">
    <w:name w:val="条文 表"/>
    <w:next w:val="1"/>
    <w:qFormat/>
    <w:uiPriority w:val="0"/>
    <w:pPr>
      <w:spacing w:after="160" w:line="360" w:lineRule="auto"/>
      <w:ind w:left="3360" w:hanging="420"/>
      <w:jc w:val="center"/>
    </w:pPr>
    <w:rPr>
      <w:rFonts w:ascii="Times New Roman" w:hAnsi="Times New Roman" w:eastAsia="黑体" w:cs="Times New Roman"/>
      <w:sz w:val="21"/>
      <w:lang w:val="en-US" w:eastAsia="zh-CN" w:bidi="ar-SA"/>
    </w:rPr>
  </w:style>
  <w:style w:type="paragraph" w:customStyle="1" w:styleId="380">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1">
    <w:name w:val="目录 71"/>
    <w:basedOn w:val="1"/>
    <w:next w:val="1"/>
    <w:qFormat/>
    <w:uiPriority w:val="39"/>
    <w:pPr>
      <w:ind w:left="2520" w:leftChars="1200"/>
    </w:pPr>
    <w:rPr>
      <w:rFonts w:ascii="Calibri" w:hAnsi="Calibri"/>
      <w:szCs w:val="22"/>
    </w:rPr>
  </w:style>
  <w:style w:type="paragraph" w:customStyle="1" w:styleId="382">
    <w:name w:val="TOC 标题2"/>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83">
    <w:name w:val="青岛标题3"/>
    <w:basedOn w:val="4"/>
    <w:qFormat/>
    <w:uiPriority w:val="0"/>
    <w:pPr>
      <w:spacing w:line="500" w:lineRule="exact"/>
      <w:jc w:val="left"/>
      <w:outlineLvl w:val="1"/>
    </w:pPr>
  </w:style>
  <w:style w:type="paragraph" w:customStyle="1" w:styleId="384">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85">
    <w:name w:val="样式5"/>
    <w:basedOn w:val="1"/>
    <w:qFormat/>
    <w:uiPriority w:val="0"/>
    <w:pPr>
      <w:tabs>
        <w:tab w:val="left" w:pos="547"/>
        <w:tab w:val="left" w:pos="1080"/>
      </w:tabs>
      <w:spacing w:line="480" w:lineRule="atLeast"/>
      <w:jc w:val="center"/>
    </w:pPr>
    <w:rPr>
      <w:b/>
      <w:sz w:val="24"/>
    </w:rPr>
  </w:style>
  <w:style w:type="paragraph" w:customStyle="1" w:styleId="386">
    <w:name w:val="字元 字元 Char Char Char Char Char Char Char"/>
    <w:basedOn w:val="1"/>
    <w:qFormat/>
    <w:uiPriority w:val="0"/>
    <w:rPr>
      <w:rFonts w:ascii="Tahoma" w:hAnsi="Tahoma" w:cs="仿宋_GB2312"/>
      <w:sz w:val="24"/>
      <w:szCs w:val="20"/>
    </w:rPr>
  </w:style>
  <w:style w:type="paragraph" w:customStyle="1" w:styleId="387">
    <w:name w:val="样式 表格 + 加粗"/>
    <w:basedOn w:val="101"/>
    <w:qFormat/>
    <w:uiPriority w:val="0"/>
    <w:rPr>
      <w:b/>
      <w:bCs/>
    </w:rPr>
  </w:style>
  <w:style w:type="paragraph" w:customStyle="1" w:styleId="388">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table" w:customStyle="1" w:styleId="389">
    <w:name w:val="Table Normal"/>
    <w:unhideWhenUsed/>
    <w:qFormat/>
    <w:uiPriority w:val="2"/>
    <w:pPr>
      <w:widowControl w:val="0"/>
      <w:spacing w:line="360" w:lineRule="auto"/>
      <w:ind w:firstLine="420"/>
      <w:jc w:val="both"/>
    </w:pPr>
    <w:rPr>
      <w:rFonts w:ascii="Calibri" w:hAnsi="Calibri"/>
      <w:sz w:val="22"/>
      <w:lang w:eastAsia="en-US"/>
    </w:rPr>
    <w:tblPr>
      <w:tblCellMar>
        <w:top w:w="0" w:type="dxa"/>
        <w:left w:w="0" w:type="dxa"/>
        <w:bottom w:w="0" w:type="dxa"/>
        <w:right w:w="0" w:type="dxa"/>
      </w:tblCellMar>
    </w:tblPr>
  </w:style>
  <w:style w:type="paragraph" w:customStyle="1" w:styleId="390">
    <w:name w:val="WPSOffice手动目录 1"/>
    <w:qFormat/>
    <w:uiPriority w:val="0"/>
    <w:pPr>
      <w:spacing w:after="160" w:line="278" w:lineRule="auto"/>
    </w:pPr>
    <w:rPr>
      <w:rFonts w:ascii="Times New Roman" w:hAnsi="Times New Roman" w:eastAsia="宋体" w:cs="Times New Roman"/>
      <w:lang w:val="en-US" w:eastAsia="zh-CN" w:bidi="ar-SA"/>
    </w:rPr>
  </w:style>
  <w:style w:type="paragraph" w:customStyle="1" w:styleId="391">
    <w:name w:val="WPSOffice手动目录 2"/>
    <w:qFormat/>
    <w:uiPriority w:val="0"/>
    <w:pPr>
      <w:spacing w:after="160" w:line="278" w:lineRule="auto"/>
      <w:ind w:left="200" w:leftChars="200"/>
    </w:pPr>
    <w:rPr>
      <w:rFonts w:ascii="Times New Roman" w:hAnsi="Times New Roman" w:eastAsia="宋体" w:cs="Times New Roman"/>
      <w:lang w:val="en-US" w:eastAsia="zh-CN" w:bidi="ar-SA"/>
    </w:rPr>
  </w:style>
  <w:style w:type="character" w:customStyle="1" w:styleId="392">
    <w:name w:val="font51"/>
    <w:qFormat/>
    <w:uiPriority w:val="0"/>
    <w:rPr>
      <w:rFonts w:hint="default" w:ascii="Calibri" w:hAnsi="Calibri" w:cs="Calibri"/>
      <w:color w:val="000000"/>
      <w:sz w:val="21"/>
      <w:szCs w:val="21"/>
      <w:u w:val="none"/>
    </w:rPr>
  </w:style>
  <w:style w:type="character" w:customStyle="1" w:styleId="393">
    <w:name w:val="font21"/>
    <w:basedOn w:val="51"/>
    <w:qFormat/>
    <w:uiPriority w:val="0"/>
    <w:rPr>
      <w:rFonts w:hint="eastAsia" w:ascii="宋体" w:hAnsi="宋体" w:eastAsia="宋体"/>
      <w:color w:val="000000"/>
      <w:sz w:val="22"/>
      <w:szCs w:val="22"/>
      <w:u w:val="none"/>
    </w:rPr>
  </w:style>
  <w:style w:type="character" w:customStyle="1" w:styleId="394">
    <w:name w:val="font41"/>
    <w:basedOn w:val="51"/>
    <w:qFormat/>
    <w:uiPriority w:val="0"/>
    <w:rPr>
      <w:rFonts w:hint="eastAsia" w:ascii="等线" w:hAnsi="等线" w:eastAsia="等线"/>
      <w:color w:val="FF0000"/>
      <w:sz w:val="20"/>
      <w:szCs w:val="20"/>
      <w:u w:val="none"/>
    </w:rPr>
  </w:style>
  <w:style w:type="paragraph" w:customStyle="1" w:styleId="395">
    <w:name w:val="修订2"/>
    <w:hidden/>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396">
    <w:name w:val="未处理的提及11"/>
    <w:unhideWhenUsed/>
    <w:qFormat/>
    <w:uiPriority w:val="99"/>
    <w:rPr>
      <w:color w:val="605E5C"/>
      <w:shd w:val="clear" w:color="auto" w:fill="E1DFDD"/>
    </w:rPr>
  </w:style>
  <w:style w:type="paragraph" w:customStyle="1" w:styleId="397">
    <w:name w:val="TOC 标题21"/>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98">
    <w:name w:val="修订21"/>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399">
    <w:name w:val="font31"/>
    <w:basedOn w:val="51"/>
    <w:qFormat/>
    <w:uiPriority w:val="0"/>
    <w:rPr>
      <w:rFonts w:hint="eastAsia" w:ascii="宋体" w:hAnsi="宋体" w:eastAsia="宋体" w:cs="宋体"/>
      <w:color w:val="000000"/>
      <w:sz w:val="20"/>
      <w:szCs w:val="20"/>
      <w:u w:val="none"/>
    </w:rPr>
  </w:style>
  <w:style w:type="paragraph" w:customStyle="1" w:styleId="400">
    <w:name w:val="修订3"/>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401">
    <w:name w:val="修订4"/>
    <w:hidden/>
    <w:semiHidden/>
    <w:qFormat/>
    <w:uiPriority w:val="99"/>
    <w:rPr>
      <w:rFonts w:ascii="Times New Roman" w:hAnsi="Times New Roman" w:eastAsia="宋体" w:cs="Times New Roman"/>
      <w:kern w:val="2"/>
      <w:sz w:val="21"/>
      <w:szCs w:val="24"/>
      <w:lang w:val="en-US" w:eastAsia="zh-CN" w:bidi="ar-SA"/>
    </w:rPr>
  </w:style>
  <w:style w:type="character" w:customStyle="1" w:styleId="402">
    <w:name w:val="标题 4 字符1"/>
    <w:basedOn w:val="51"/>
    <w:qFormat/>
    <w:uiPriority w:val="0"/>
    <w:rPr>
      <w:rFonts w:hint="default" w:ascii="Times New Roman" w:hAnsi="Times New Roman" w:eastAsia="黑体" w:cs="Times New Roman"/>
      <w:sz w:val="24"/>
      <w:szCs w:val="24"/>
    </w:rPr>
  </w:style>
  <w:style w:type="character" w:customStyle="1" w:styleId="403">
    <w:name w:val="font61"/>
    <w:basedOn w:val="51"/>
    <w:qFormat/>
    <w:uiPriority w:val="0"/>
    <w:rPr>
      <w:rFonts w:ascii="等线" w:hAnsi="等线" w:eastAsia="等线" w:cs="等线"/>
      <w:color w:val="1D1D1A"/>
      <w:sz w:val="20"/>
      <w:szCs w:val="20"/>
      <w:u w:val="none"/>
    </w:rPr>
  </w:style>
  <w:style w:type="character" w:customStyle="1" w:styleId="404">
    <w:name w:val="font71"/>
    <w:basedOn w:val="51"/>
    <w:qFormat/>
    <w:uiPriority w:val="0"/>
    <w:rPr>
      <w:rFonts w:hint="eastAsia" w:ascii="宋体" w:hAnsi="宋体" w:eastAsia="宋体" w:cs="宋体"/>
      <w:color w:val="1D1D1A"/>
      <w:sz w:val="20"/>
      <w:szCs w:val="20"/>
      <w:u w:val="none"/>
    </w:rPr>
  </w:style>
  <w:style w:type="character" w:customStyle="1" w:styleId="405">
    <w:name w:val="font01"/>
    <w:basedOn w:val="51"/>
    <w:qFormat/>
    <w:uiPriority w:val="0"/>
    <w:rPr>
      <w:rFonts w:hint="default"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20A9C8E7-641A-4CE7-BAA3-32355BEF5F42}">
  <ds:schemaRefs/>
</ds:datastoreItem>
</file>

<file path=docProps/app.xml><?xml version="1.0" encoding="utf-8"?>
<Properties xmlns="http://schemas.openxmlformats.org/officeDocument/2006/extended-properties" xmlns:vt="http://schemas.openxmlformats.org/officeDocument/2006/docPropsVTypes">
  <Pages>20</Pages>
  <Words>1841</Words>
  <Characters>10500</Characters>
  <Lines>87</Lines>
  <Paragraphs>24</Paragraphs>
  <TotalTime>5</TotalTime>
  <ScaleCrop>false</ScaleCrop>
  <LinksUpToDate>false</LinksUpToDate>
  <CharactersWithSpaces>12317</CharactersWithSpaces>
  <Application>WPS Office_12.1.3.28048_F1E327BC-269C-435d-A152-05C5408002CA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2026-09-05T19:02:00Z</dcterms:created>
  <dc:creator>徐泽荣</dc:creator>
  <cp:lastModifiedBy>w00865652</cp:lastModifiedBy>
  <dcterms:modified xsi:type="dcterms:W3CDTF">2026-09-15T16:28:32Z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eyJoZGlkIjoiOGI4NjI5OTBmMDM1ODFlMDkzNDFlZTFiMWNhZWU5ZTMiLCJ1c2VySWQiOiI3NTYyNzUwMTcifQ==</vt:lpwstr>
  </property>
  <property fmtid="{D5CDD505-2E9C-101B-9397-08002B2CF9AE}" pid="3" name="KSOProductBuildVer">
    <vt:lpwstr>2052-12.1.3.28048</vt:lpwstr>
  </property>
  <property fmtid="{D5CDD505-2E9C-101B-9397-08002B2CF9AE}" pid="4" name="ICV">
    <vt:lpwstr>9F7864D68E2472869CD1A26A713EF375_43</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1760872925</vt:lpwstr>
  </property>
  <property fmtid="{D5CDD505-2E9C-101B-9397-08002B2CF9AE}" pid="9" name="woTemplateTypoMode" linkTarget="0">
    <vt:lpwstr>web</vt:lpwstr>
  </property>
  <property fmtid="{D5CDD505-2E9C-101B-9397-08002B2CF9AE}" pid="10" name="woTemplate" linkTarget="0">
    <vt:i4>1</vt:i4>
  </property>
</Properties>
</file>