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3"/>
        <w:tblW w:w="8901" w:type="dxa"/>
        <w:jc w:val="center"/>
        <w:tblLayout w:type="fixed"/>
        <w:tblCellMar>
          <w:top w:w="0" w:type="dxa"/>
          <w:left w:w="108" w:type="dxa"/>
          <w:bottom w:w="0" w:type="dxa"/>
          <w:right w:w="108" w:type="dxa"/>
        </w:tblCellMar>
      </w:tblPr>
      <w:tblGrid>
        <w:gridCol w:w="4076"/>
        <w:gridCol w:w="2098"/>
        <w:gridCol w:w="246"/>
        <w:gridCol w:w="2481"/>
      </w:tblGrid>
      <w:tr>
        <w:tblPrEx>
          <w:tblCellMar>
            <w:top w:w="0" w:type="dxa"/>
            <w:left w:w="108" w:type="dxa"/>
            <w:bottom w:w="0" w:type="dxa"/>
            <w:right w:w="108" w:type="dxa"/>
          </w:tblCellMar>
        </w:tblPrEx>
        <w:trPr>
          <w:trHeight w:val="524" w:hRule="atLeast"/>
          <w:jc w:val="center"/>
        </w:trPr>
        <w:tc>
          <w:tcPr>
            <w:tcW w:w="4076" w:type="dxa"/>
            <w:vAlign w:val="bottom"/>
          </w:tcPr>
          <w:p>
            <w:pPr>
              <w:spacing w:line="240" w:lineRule="atLeast"/>
            </w:pPr>
            <w:bookmarkStart w:id="0" w:name="_Toc509669699"/>
            <w:r>
              <w:t xml:space="preserve">               </w:t>
            </w:r>
          </w:p>
          <w:p>
            <w:pPr>
              <w:spacing w:line="240" w:lineRule="atLeast"/>
              <w:rPr>
                <w:rFonts w:ascii="宋体"/>
                <w:szCs w:val="21"/>
              </w:rPr>
            </w:pPr>
          </w:p>
        </w:tc>
        <w:tc>
          <w:tcPr>
            <w:tcW w:w="2098" w:type="dxa"/>
            <w:vAlign w:val="bottom"/>
          </w:tcPr>
          <w:p>
            <w:pPr>
              <w:spacing w:line="240" w:lineRule="atLeast"/>
              <w:jc w:val="center"/>
              <w:rPr>
                <w:rFonts w:ascii="宋体"/>
                <w:szCs w:val="21"/>
              </w:rPr>
            </w:pPr>
            <w:r>
              <w:rPr>
                <w:rFonts w:hint="eastAsia" w:ascii="宋体" w:hAnsi="宋体"/>
                <w:sz w:val="24"/>
              </w:rPr>
              <w:t xml:space="preserve">      合同编号</w:t>
            </w:r>
          </w:p>
        </w:tc>
        <w:tc>
          <w:tcPr>
            <w:tcW w:w="246" w:type="dxa"/>
            <w:vAlign w:val="bottom"/>
          </w:tcPr>
          <w:p>
            <w:pPr>
              <w:spacing w:line="240" w:lineRule="atLeast"/>
              <w:ind w:left="-105" w:leftChars="-50" w:right="-105" w:rightChars="-50"/>
              <w:jc w:val="center"/>
              <w:rPr>
                <w:rFonts w:ascii="宋体"/>
                <w:szCs w:val="21"/>
              </w:rPr>
            </w:pPr>
            <w:r>
              <w:rPr>
                <w:rFonts w:hint="eastAsia" w:ascii="宋体" w:hAnsi="宋体"/>
                <w:sz w:val="24"/>
              </w:rPr>
              <w:t>：</w:t>
            </w:r>
          </w:p>
        </w:tc>
        <w:tc>
          <w:tcPr>
            <w:tcW w:w="2481" w:type="dxa"/>
            <w:tcBorders>
              <w:bottom w:val="single" w:color="auto" w:sz="4" w:space="0"/>
            </w:tcBorders>
            <w:vAlign w:val="bottom"/>
          </w:tcPr>
          <w:p>
            <w:pPr>
              <w:spacing w:line="240" w:lineRule="atLeast"/>
              <w:jc w:val="center"/>
              <w:rPr>
                <w:rFonts w:ascii="宋体"/>
                <w:szCs w:val="21"/>
                <w:u w:val="single"/>
              </w:rPr>
            </w:pPr>
          </w:p>
        </w:tc>
      </w:tr>
    </w:tbl>
    <w:p>
      <w:pPr>
        <w:jc w:val="center"/>
        <w:rPr>
          <w:rFonts w:ascii="黑体" w:hAnsi="宋体" w:eastAsia="黑体"/>
          <w:szCs w:val="21"/>
        </w:rPr>
      </w:pPr>
    </w:p>
    <w:p>
      <w:pPr>
        <w:jc w:val="center"/>
        <w:rPr>
          <w:rFonts w:ascii="黑体" w:hAnsi="宋体" w:eastAsia="黑体"/>
          <w:sz w:val="68"/>
          <w:szCs w:val="68"/>
        </w:rPr>
      </w:pPr>
    </w:p>
    <w:p>
      <w:pPr>
        <w:jc w:val="center"/>
        <w:rPr>
          <w:rFonts w:ascii="黑体" w:hAnsi="黑体" w:eastAsia="黑体" w:cs="黑体"/>
          <w:sz w:val="52"/>
          <w:szCs w:val="52"/>
        </w:rPr>
      </w:pPr>
      <w:r>
        <w:rPr>
          <w:rFonts w:hint="eastAsia" w:ascii="黑体" w:hAnsi="黑体" w:eastAsia="黑体" w:cs="黑体"/>
          <w:sz w:val="52"/>
          <w:szCs w:val="52"/>
        </w:rPr>
        <w:t>建设工程造价咨询合同</w:t>
      </w:r>
    </w:p>
    <w:p>
      <w:pPr>
        <w:jc w:val="left"/>
        <w:rPr>
          <w:rFonts w:ascii="宋体" w:hAnsi="宋体" w:cs="宋体"/>
          <w:b/>
          <w:bCs/>
          <w:sz w:val="44"/>
          <w:szCs w:val="44"/>
        </w:rPr>
      </w:pPr>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pStyle w:val="70"/>
        <w:rPr>
          <w:rFonts w:ascii="宋体" w:hAnsi="宋体" w:cs="宋体"/>
          <w:b/>
          <w:bCs/>
        </w:rPr>
      </w:pPr>
    </w:p>
    <w:p>
      <w:pPr>
        <w:rPr>
          <w:rFonts w:ascii="宋体" w:hAnsi="宋体" w:cs="宋体"/>
          <w:b/>
          <w:bCs/>
        </w:rPr>
      </w:pPr>
    </w:p>
    <w:p>
      <w:pPr>
        <w:rPr>
          <w:rFonts w:ascii="宋体" w:hAnsi="宋体" w:cs="宋体"/>
          <w:b/>
          <w:bCs/>
        </w:rPr>
      </w:pPr>
    </w:p>
    <w:p>
      <w:pPr>
        <w:pStyle w:val="70"/>
        <w:rPr>
          <w:rFonts w:ascii="宋体" w:hAnsi="宋体" w:cs="宋体"/>
          <w:b/>
          <w:bCs/>
        </w:rPr>
      </w:pPr>
    </w:p>
    <w:p>
      <w:pPr>
        <w:rPr>
          <w:rFonts w:ascii="宋体" w:hAnsi="宋体" w:cs="宋体"/>
          <w:b/>
          <w:bCs/>
        </w:rPr>
      </w:pPr>
    </w:p>
    <w:p>
      <w:pPr>
        <w:pStyle w:val="70"/>
        <w:rPr>
          <w:rFonts w:ascii="宋体" w:hAnsi="宋体" w:cs="宋体"/>
          <w:b/>
          <w:bCs/>
        </w:rPr>
      </w:pPr>
    </w:p>
    <w:p>
      <w:pPr>
        <w:rPr>
          <w:rFonts w:ascii="宋体" w:hAnsi="宋体" w:cs="宋体"/>
          <w:b/>
          <w:bCs/>
        </w:rPr>
      </w:pPr>
    </w:p>
    <w:p>
      <w:pPr>
        <w:pStyle w:val="70"/>
      </w:pPr>
    </w:p>
    <w:p>
      <w:pPr>
        <w:rPr>
          <w:rFonts w:ascii="宋体" w:hAnsi="宋体" w:cs="宋体"/>
          <w:b/>
          <w:bCs/>
        </w:rPr>
      </w:pPr>
    </w:p>
    <w:p>
      <w:pPr>
        <w:spacing w:line="720" w:lineRule="exact"/>
        <w:ind w:firstLine="1004" w:firstLineChars="400"/>
        <w:rPr>
          <w:rFonts w:ascii="宋体" w:hAnsi="宋体" w:cs="宋体"/>
          <w:b/>
          <w:bCs/>
          <w:sz w:val="24"/>
        </w:rPr>
      </w:pPr>
      <w:r>
        <w:rPr>
          <w:rFonts w:hint="eastAsia" w:ascii="宋体" w:hAnsi="宋体" w:cs="宋体"/>
          <w:b/>
          <w:bCs/>
          <w:sz w:val="25"/>
          <w:szCs w:val="25"/>
        </w:rPr>
        <w:t xml:space="preserve">      </w:t>
      </w:r>
      <w:r>
        <w:rPr>
          <w:rFonts w:hint="eastAsia" w:ascii="宋体" w:hAnsi="宋体" w:cs="宋体"/>
          <w:b/>
          <w:bCs/>
          <w:sz w:val="24"/>
        </w:rPr>
        <w:t xml:space="preserve"> </w:t>
      </w:r>
    </w:p>
    <w:p>
      <w:pPr>
        <w:adjustRightInd w:val="0"/>
        <w:snapToGrid w:val="0"/>
        <w:spacing w:line="600" w:lineRule="exact"/>
        <w:ind w:left="2165" w:leftChars="266" w:hanging="1606" w:hangingChars="500"/>
        <w:jc w:val="left"/>
        <w:rPr>
          <w:rFonts w:ascii="宋体" w:hAnsi="宋体" w:cs="宋体"/>
          <w:b/>
          <w:bCs/>
          <w:sz w:val="32"/>
          <w:szCs w:val="32"/>
        </w:rPr>
      </w:pPr>
      <w:r>
        <w:rPr>
          <w:rFonts w:hint="eastAsia" w:ascii="宋体" w:hAnsi="宋体" w:cs="宋体"/>
          <w:b/>
          <w:bCs/>
          <w:sz w:val="32"/>
          <w:szCs w:val="32"/>
        </w:rPr>
        <w:t>工程名称</w:t>
      </w:r>
      <w:r>
        <w:rPr>
          <w:rFonts w:hint="eastAsia" w:ascii="宋体" w:hAnsi="宋体" w:cs="宋体"/>
          <w:b/>
          <w:bCs/>
          <w:sz w:val="32"/>
          <w:szCs w:val="32"/>
          <w:lang w:eastAsia="zh-CN"/>
        </w:rPr>
        <w:t>：</w:t>
      </w:r>
      <w:r>
        <w:rPr>
          <w:rFonts w:hint="eastAsia" w:ascii="宋体" w:hAnsi="宋体" w:cs="宋体"/>
          <w:b/>
          <w:bCs/>
          <w:sz w:val="32"/>
          <w:szCs w:val="32"/>
          <w:u w:val="single"/>
          <w:lang w:val="en-US" w:eastAsia="zh-CN"/>
        </w:rPr>
        <w:t>南门苑、南门雅苑综合整治提升项目</w:t>
      </w:r>
    </w:p>
    <w:p>
      <w:pPr>
        <w:adjustRightInd w:val="0"/>
        <w:snapToGrid w:val="0"/>
        <w:spacing w:line="600" w:lineRule="exact"/>
        <w:ind w:left="2165" w:leftChars="266" w:hanging="1606" w:hangingChars="500"/>
        <w:jc w:val="left"/>
        <w:rPr>
          <w:rFonts w:ascii="宋体" w:hAnsi="宋体" w:cs="宋体"/>
          <w:b/>
          <w:bCs/>
          <w:sz w:val="32"/>
          <w:szCs w:val="32"/>
          <w:u w:val="single"/>
        </w:rPr>
      </w:pPr>
      <w:r>
        <w:rPr>
          <w:rFonts w:hint="eastAsia" w:ascii="宋体" w:hAnsi="宋体" w:cs="宋体"/>
          <w:b/>
          <w:bCs/>
          <w:sz w:val="32"/>
          <w:szCs w:val="32"/>
        </w:rPr>
        <w:t>工程地址</w:t>
      </w:r>
      <w:r>
        <w:rPr>
          <w:rFonts w:hint="eastAsia" w:ascii="宋体" w:hAnsi="宋体" w:cs="宋体"/>
          <w:b/>
          <w:bCs/>
          <w:sz w:val="32"/>
          <w:szCs w:val="32"/>
          <w:lang w:eastAsia="zh-CN"/>
        </w:rPr>
        <w:t>：</w:t>
      </w:r>
      <w:r>
        <w:rPr>
          <w:rFonts w:hint="eastAsia" w:ascii="宋体" w:hAnsi="宋体" w:cs="宋体"/>
          <w:b/>
          <w:bCs/>
          <w:sz w:val="32"/>
          <w:szCs w:val="32"/>
          <w:u w:val="single"/>
          <w:lang w:eastAsia="zh-CN"/>
        </w:rPr>
        <w:t>深圳市龙岗区布吉街道南三社区</w:t>
      </w:r>
    </w:p>
    <w:p>
      <w:pPr>
        <w:adjustRightInd w:val="0"/>
        <w:snapToGrid w:val="0"/>
        <w:spacing w:line="600" w:lineRule="exact"/>
        <w:ind w:firstLine="643" w:firstLineChars="200"/>
        <w:jc w:val="left"/>
        <w:rPr>
          <w:rFonts w:hint="default" w:ascii="宋体" w:hAnsi="宋体" w:eastAsia="宋体" w:cs="宋体"/>
          <w:b/>
          <w:bCs/>
          <w:sz w:val="32"/>
          <w:szCs w:val="32"/>
          <w:u w:val="single"/>
          <w:lang w:val="en-US" w:eastAsia="zh-CN"/>
        </w:rPr>
      </w:pPr>
      <w:r>
        <w:rPr>
          <w:rFonts w:hint="eastAsia" w:ascii="宋体" w:hAnsi="宋体" w:cs="宋体"/>
          <w:b/>
          <w:bCs/>
          <w:sz w:val="32"/>
          <w:szCs w:val="32"/>
        </w:rPr>
        <w:t>委 托 人：</w:t>
      </w:r>
      <w:r>
        <w:rPr>
          <w:rFonts w:hint="eastAsia" w:ascii="宋体" w:hAnsi="宋体" w:cs="宋体"/>
          <w:b/>
          <w:bCs/>
          <w:sz w:val="32"/>
          <w:szCs w:val="32"/>
          <w:u w:val="single"/>
          <w:lang w:eastAsia="zh-CN"/>
        </w:rPr>
        <w:t xml:space="preserve">深圳市龙岗区城投置地开发有限公司 </w:t>
      </w:r>
    </w:p>
    <w:p>
      <w:pPr>
        <w:adjustRightInd w:val="0"/>
        <w:snapToGrid w:val="0"/>
        <w:spacing w:line="600" w:lineRule="exact"/>
        <w:ind w:firstLine="643" w:firstLineChars="200"/>
        <w:rPr>
          <w:rFonts w:hint="eastAsia" w:ascii="宋体" w:hAnsi="宋体" w:cs="宋体"/>
          <w:b/>
          <w:bCs/>
          <w:sz w:val="32"/>
          <w:szCs w:val="32"/>
          <w:u w:val="single"/>
          <w:lang w:val="en-US" w:eastAsia="zh-CN"/>
        </w:rPr>
      </w:pPr>
      <w:r>
        <w:rPr>
          <w:rFonts w:hint="eastAsia" w:ascii="宋体" w:hAnsi="宋体" w:cs="宋体"/>
          <w:b/>
          <w:bCs/>
          <w:sz w:val="32"/>
          <w:szCs w:val="32"/>
        </w:rPr>
        <w:t>咨 询 人：</w:t>
      </w:r>
      <w:r>
        <w:rPr>
          <w:rFonts w:hint="eastAsia" w:ascii="宋体" w:hAnsi="宋体" w:cs="宋体"/>
          <w:b/>
          <w:bCs/>
          <w:sz w:val="32"/>
          <w:szCs w:val="32"/>
          <w:u w:val="single"/>
          <w:lang w:val="en-US" w:eastAsia="zh-CN"/>
        </w:rPr>
        <w:t xml:space="preserve">                                </w:t>
      </w:r>
    </w:p>
    <w:p>
      <w:pPr>
        <w:pStyle w:val="70"/>
        <w:rPr>
          <w:rFonts w:hint="eastAsia" w:ascii="宋体" w:hAnsi="宋体" w:cs="宋体"/>
          <w:b/>
          <w:bCs/>
          <w:sz w:val="32"/>
          <w:szCs w:val="32"/>
          <w:u w:val="single"/>
          <w:lang w:val="en-US" w:eastAsia="zh-CN"/>
        </w:rPr>
      </w:pPr>
    </w:p>
    <w:p/>
    <w:p>
      <w:pPr>
        <w:keepNext w:val="0"/>
        <w:keepLines w:val="0"/>
        <w:pageBreakBefore w:val="0"/>
        <w:kinsoku/>
        <w:wordWrap/>
        <w:overflowPunct/>
        <w:topLinePunct w:val="0"/>
        <w:autoSpaceDE/>
        <w:autoSpaceDN/>
        <w:bidi w:val="0"/>
        <w:spacing w:line="560" w:lineRule="exact"/>
        <w:jc w:val="center"/>
        <w:textAlignment w:val="auto"/>
        <w:rPr>
          <w:rFonts w:ascii="宋体" w:hAnsi="宋体" w:cs="宋体"/>
          <w:b/>
          <w:sz w:val="36"/>
          <w:szCs w:val="36"/>
        </w:rPr>
      </w:pPr>
      <w:r>
        <w:rPr>
          <w:rFonts w:hint="eastAsia" w:ascii="宋体" w:hAnsi="宋体" w:cs="宋体"/>
          <w:b/>
          <w:sz w:val="36"/>
          <w:szCs w:val="36"/>
        </w:rPr>
        <w:t>第一部分 协议书</w:t>
      </w:r>
    </w:p>
    <w:p>
      <w:pPr>
        <w:keepNext w:val="0"/>
        <w:keepLines w:val="0"/>
        <w:pageBreakBefore w:val="0"/>
        <w:kinsoku/>
        <w:wordWrap/>
        <w:overflowPunct/>
        <w:topLinePunct w:val="0"/>
        <w:autoSpaceDE/>
        <w:autoSpaceDN/>
        <w:bidi w:val="0"/>
        <w:spacing w:line="560" w:lineRule="exact"/>
        <w:ind w:firstLine="480" w:firstLineChars="200"/>
        <w:textAlignment w:val="auto"/>
        <w:rPr>
          <w:rFonts w:ascii="宋体" w:hAnsi="宋体" w:cs="宋体"/>
          <w:spacing w:val="12"/>
          <w:sz w:val="24"/>
          <w:szCs w:val="24"/>
        </w:rPr>
      </w:pPr>
      <w:r>
        <w:rPr>
          <w:rFonts w:hint="eastAsia" w:ascii="宋体" w:hAnsi="宋体" w:cs="宋体"/>
          <w:sz w:val="24"/>
          <w:szCs w:val="24"/>
          <w:u w:val="single"/>
          <w:lang w:eastAsia="zh-CN"/>
        </w:rPr>
        <w:t>深圳市龙岗区城投置地开发有限公司</w:t>
      </w:r>
      <w:r>
        <w:rPr>
          <w:rFonts w:hint="eastAsia" w:ascii="宋体" w:hAnsi="宋体" w:cs="宋体"/>
          <w:spacing w:val="12"/>
          <w:sz w:val="24"/>
          <w:szCs w:val="24"/>
        </w:rPr>
        <w:t>（以下简称委托人）与</w:t>
      </w:r>
      <w:r>
        <w:rPr>
          <w:rFonts w:hint="eastAsia" w:ascii="宋体" w:hAnsi="宋体" w:cs="宋体"/>
          <w:sz w:val="24"/>
          <w:szCs w:val="24"/>
          <w:u w:val="single"/>
          <w:lang w:val="en-US" w:eastAsia="zh-CN"/>
        </w:rPr>
        <w:t xml:space="preserve">              </w:t>
      </w:r>
      <w:r>
        <w:rPr>
          <w:rFonts w:hint="eastAsia" w:ascii="宋体" w:hAnsi="宋体" w:cs="宋体"/>
          <w:spacing w:val="12"/>
          <w:sz w:val="24"/>
          <w:szCs w:val="24"/>
        </w:rPr>
        <w:t>（以下简称咨询人）经过协商一致，签订本合同</w:t>
      </w:r>
      <w:r>
        <w:rPr>
          <w:rFonts w:hint="eastAsia" w:ascii="宋体" w:hAnsi="宋体" w:cs="宋体"/>
          <w:spacing w:val="12"/>
          <w:sz w:val="24"/>
          <w:szCs w:val="24"/>
          <w:lang w:eastAsia="zh-CN"/>
        </w:rPr>
        <w:t>，</w:t>
      </w:r>
      <w:r>
        <w:rPr>
          <w:rFonts w:hint="eastAsia" w:ascii="宋体" w:hAnsi="宋体" w:cs="宋体"/>
          <w:spacing w:val="12"/>
          <w:sz w:val="24"/>
          <w:szCs w:val="24"/>
        </w:rPr>
        <w:t>达成协议如下：</w:t>
      </w:r>
    </w:p>
    <w:p>
      <w:pPr>
        <w:keepNext w:val="0"/>
        <w:keepLines w:val="0"/>
        <w:pageBreakBefore w:val="0"/>
        <w:numPr>
          <w:ilvl w:val="0"/>
          <w:numId w:val="3"/>
        </w:numPr>
        <w:kinsoku/>
        <w:wordWrap/>
        <w:overflowPunct/>
        <w:topLinePunct w:val="0"/>
        <w:autoSpaceDE/>
        <w:autoSpaceDN/>
        <w:bidi w:val="0"/>
        <w:spacing w:line="560" w:lineRule="exact"/>
        <w:ind w:firstLine="512" w:firstLineChars="200"/>
        <w:textAlignment w:val="auto"/>
        <w:rPr>
          <w:rFonts w:ascii="宋体" w:hAnsi="宋体" w:cs="宋体"/>
          <w:spacing w:val="8"/>
          <w:sz w:val="24"/>
          <w:szCs w:val="24"/>
        </w:rPr>
      </w:pPr>
      <w:r>
        <w:rPr>
          <w:rFonts w:hint="eastAsia" w:ascii="宋体" w:hAnsi="宋体" w:cs="宋体"/>
          <w:spacing w:val="8"/>
          <w:sz w:val="24"/>
          <w:szCs w:val="24"/>
        </w:rPr>
        <w:t>委托人委托咨询人为以下工程提供建设工程造价咨询服务：</w:t>
      </w:r>
    </w:p>
    <w:p>
      <w:pPr>
        <w:keepNext w:val="0"/>
        <w:keepLines w:val="0"/>
        <w:pageBreakBefore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u w:val="single"/>
          <w:lang w:eastAsia="zh-CN"/>
        </w:rPr>
      </w:pPr>
      <w:r>
        <w:rPr>
          <w:rFonts w:hint="eastAsia" w:ascii="宋体" w:hAnsi="宋体" w:cs="宋体"/>
          <w:sz w:val="24"/>
          <w:szCs w:val="24"/>
        </w:rPr>
        <w:t>工程名称：</w:t>
      </w:r>
      <w:r>
        <w:rPr>
          <w:rFonts w:hint="eastAsia" w:ascii="宋体" w:hAnsi="宋体" w:cs="宋体"/>
          <w:sz w:val="24"/>
          <w:szCs w:val="24"/>
          <w:u w:val="single"/>
          <w:lang w:val="en-US" w:eastAsia="zh-CN"/>
        </w:rPr>
        <w:t>南门苑、南门雅苑综合整治提升项目</w:t>
      </w:r>
    </w:p>
    <w:p>
      <w:pPr>
        <w:keepNext w:val="0"/>
        <w:keepLines w:val="0"/>
        <w:pageBreakBefore w:val="0"/>
        <w:kinsoku/>
        <w:wordWrap/>
        <w:overflowPunct/>
        <w:topLinePunct w:val="0"/>
        <w:autoSpaceDE/>
        <w:autoSpaceDN/>
        <w:bidi w:val="0"/>
        <w:adjustRightInd w:val="0"/>
        <w:snapToGrid w:val="0"/>
        <w:spacing w:line="560" w:lineRule="exact"/>
        <w:ind w:firstLine="480" w:firstLineChars="200"/>
        <w:textAlignment w:val="auto"/>
        <w:rPr>
          <w:rFonts w:hint="default" w:ascii="宋体" w:hAnsi="宋体" w:eastAsia="宋体" w:cs="宋体"/>
          <w:sz w:val="24"/>
          <w:szCs w:val="24"/>
          <w:lang w:val="en-US" w:eastAsia="zh-CN"/>
        </w:rPr>
      </w:pPr>
      <w:r>
        <w:rPr>
          <w:rFonts w:hint="eastAsia" w:ascii="宋体" w:hAnsi="宋体" w:cs="宋体"/>
          <w:sz w:val="24"/>
          <w:szCs w:val="24"/>
        </w:rPr>
        <w:t>工程</w:t>
      </w:r>
      <w:r>
        <w:rPr>
          <w:rFonts w:hint="eastAsia" w:ascii="宋体" w:hAnsi="宋体" w:cs="宋体"/>
          <w:kern w:val="18"/>
          <w:sz w:val="24"/>
          <w:szCs w:val="24"/>
        </w:rPr>
        <w:t>地点</w:t>
      </w:r>
      <w:r>
        <w:rPr>
          <w:rFonts w:hint="eastAsia" w:ascii="宋体" w:hAnsi="宋体" w:cs="宋体"/>
          <w:sz w:val="24"/>
          <w:szCs w:val="24"/>
        </w:rPr>
        <w:t>：</w:t>
      </w:r>
      <w:r>
        <w:rPr>
          <w:rFonts w:hint="eastAsia" w:ascii="宋体" w:hAnsi="宋体" w:cs="宋体"/>
          <w:sz w:val="24"/>
          <w:szCs w:val="24"/>
          <w:u w:val="single"/>
          <w:lang w:eastAsia="zh-CN"/>
        </w:rPr>
        <w:t>深圳市龙岗区布吉街道南三社区</w:t>
      </w:r>
    </w:p>
    <w:p>
      <w:pPr>
        <w:keepNext w:val="0"/>
        <w:keepLines w:val="0"/>
        <w:pageBreakBefore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sz w:val="24"/>
          <w:szCs w:val="24"/>
          <w:highlight w:val="yellow"/>
          <w:u w:val="single"/>
          <w:lang w:val="en-US" w:eastAsia="zh-CN"/>
        </w:rPr>
      </w:pPr>
      <w:r>
        <w:rPr>
          <w:rFonts w:hint="eastAsia" w:ascii="宋体" w:hAnsi="宋体" w:cs="宋体"/>
          <w:sz w:val="24"/>
          <w:szCs w:val="24"/>
        </w:rPr>
        <w:t>工作范围：</w:t>
      </w:r>
      <w:r>
        <w:rPr>
          <w:rFonts w:hint="eastAsia" w:ascii="宋体" w:hAnsi="宋体" w:cs="宋体"/>
          <w:sz w:val="24"/>
          <w:szCs w:val="24"/>
          <w:highlight w:val="none"/>
          <w:u w:val="single"/>
          <w:lang w:val="en-US" w:eastAsia="zh-CN"/>
        </w:rPr>
        <w:t>设计阶段造价控制建议、工程概算编制或审核、工程招标控制价编制、工程结算审核以及实施阶段造价咨询等服务。</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 xml:space="preserve">二、咨询服务类别： </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A类：建设项目可行性研究投资估算：</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 xml:space="preserve">□编制    </w:t>
      </w:r>
      <w:r>
        <w:rPr>
          <w:rFonts w:hint="eastAsia" w:ascii="宋体" w:hAnsi="宋体" w:cs="宋体"/>
          <w:spacing w:val="4"/>
          <w:sz w:val="24"/>
          <w:szCs w:val="24"/>
        </w:rPr>
        <w:sym w:font="Wingdings 2" w:char="00A3"/>
      </w:r>
      <w:r>
        <w:rPr>
          <w:rFonts w:hint="eastAsia" w:ascii="宋体" w:hAnsi="宋体" w:cs="宋体"/>
          <w:spacing w:val="4"/>
          <w:sz w:val="24"/>
          <w:szCs w:val="24"/>
        </w:rPr>
        <w:t>审核    □项目经济评价</w:t>
      </w:r>
    </w:p>
    <w:p>
      <w:pPr>
        <w:keepNext w:val="0"/>
        <w:keepLines w:val="0"/>
        <w:pageBreakBefore w:val="0"/>
        <w:tabs>
          <w:tab w:val="left" w:pos="709"/>
        </w:tabs>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B类：</w:t>
      </w:r>
      <w:bookmarkStart w:id="1" w:name="OLE_LINK1"/>
      <w:r>
        <w:rPr>
          <w:rFonts w:hint="eastAsia" w:ascii="宋体" w:hAnsi="宋体" w:cs="宋体"/>
          <w:spacing w:val="4"/>
          <w:sz w:val="24"/>
          <w:szCs w:val="24"/>
        </w:rPr>
        <w:t>□</w:t>
      </w:r>
      <w:bookmarkEnd w:id="1"/>
      <w:r>
        <w:rPr>
          <w:rFonts w:hint="eastAsia" w:ascii="宋体" w:hAnsi="宋体" w:cs="宋体"/>
          <w:spacing w:val="4"/>
          <w:sz w:val="24"/>
          <w:szCs w:val="24"/>
        </w:rPr>
        <w:t>建设工程概算编制（审核）</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□建设工程预算编制（审核）</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□建设工程结算编制（审核）</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C类：</w:t>
      </w:r>
      <w:r>
        <w:rPr>
          <w:rFonts w:hint="eastAsia" w:ascii="宋体" w:hAnsi="宋体" w:cs="宋体"/>
          <w:spacing w:val="4"/>
          <w:sz w:val="24"/>
          <w:szCs w:val="24"/>
          <w:lang w:eastAsia="zh-CN"/>
        </w:rPr>
        <w:t>□</w:t>
      </w:r>
      <w:r>
        <w:rPr>
          <w:rFonts w:hint="eastAsia" w:ascii="宋体" w:hAnsi="宋体" w:cs="宋体"/>
          <w:spacing w:val="4"/>
          <w:sz w:val="24"/>
          <w:szCs w:val="24"/>
        </w:rPr>
        <w:t>建设工程招标工程量清单编制</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□建设工程招标标底编制</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sym w:font="Wingdings 2" w:char="00A3"/>
      </w:r>
      <w:r>
        <w:rPr>
          <w:rFonts w:hint="eastAsia" w:ascii="宋体" w:hAnsi="宋体" w:cs="宋体"/>
          <w:spacing w:val="4"/>
          <w:sz w:val="24"/>
          <w:szCs w:val="24"/>
        </w:rPr>
        <w:t>投标报价的编制（审核）</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D类：工程洽商、变更及合同争议的鉴定与索赔；</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E类：编制工程造价计价依据及对工程造价进行监控和提供有关工程造价信息资料等；</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sym w:font="Wingdings 2" w:char="0052"/>
      </w:r>
      <w:r>
        <w:rPr>
          <w:rFonts w:hint="eastAsia" w:ascii="宋体" w:hAnsi="宋体" w:cs="宋体"/>
          <w:spacing w:val="4"/>
          <w:sz w:val="24"/>
          <w:szCs w:val="24"/>
        </w:rPr>
        <w:t>其他：设计阶段造价控制建议、</w:t>
      </w:r>
      <w:r>
        <w:rPr>
          <w:rFonts w:hint="eastAsia" w:ascii="宋体" w:hAnsi="宋体" w:cs="宋体"/>
          <w:spacing w:val="4"/>
          <w:sz w:val="24"/>
          <w:szCs w:val="24"/>
          <w:lang w:val="en-US" w:eastAsia="zh-CN"/>
        </w:rPr>
        <w:t>工程概算编制或审核、</w:t>
      </w:r>
      <w:r>
        <w:rPr>
          <w:rFonts w:hint="eastAsia" w:ascii="宋体" w:hAnsi="宋体" w:cs="宋体"/>
          <w:spacing w:val="4"/>
          <w:sz w:val="24"/>
          <w:szCs w:val="24"/>
        </w:rPr>
        <w:t>工程招标控制价编制、工程结算审核以及实施阶段造价咨询等服务。</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三、咨询费用：</w:t>
      </w:r>
    </w:p>
    <w:p>
      <w:pPr>
        <w:keepNext w:val="0"/>
        <w:keepLines w:val="0"/>
        <w:pageBreakBefore w:val="0"/>
        <w:kinsoku/>
        <w:wordWrap/>
        <w:overflowPunct/>
        <w:topLinePunct w:val="0"/>
        <w:autoSpaceDE/>
        <w:autoSpaceDN/>
        <w:bidi w:val="0"/>
        <w:spacing w:line="560" w:lineRule="exact"/>
        <w:ind w:firstLine="496" w:firstLineChars="200"/>
        <w:textAlignment w:val="auto"/>
        <w:rPr>
          <w:rFonts w:hint="eastAsia" w:ascii="宋体" w:hAnsi="宋体" w:cs="宋体"/>
          <w:spacing w:val="4"/>
          <w:sz w:val="24"/>
          <w:szCs w:val="24"/>
        </w:rPr>
      </w:pPr>
      <w:r>
        <w:rPr>
          <w:rFonts w:hint="eastAsia" w:ascii="宋体" w:hAnsi="宋体" w:cs="宋体"/>
          <w:spacing w:val="4"/>
          <w:sz w:val="24"/>
          <w:szCs w:val="24"/>
        </w:rPr>
        <w:t>含</w:t>
      </w:r>
      <w:r>
        <w:rPr>
          <w:rFonts w:hint="eastAsia" w:ascii="宋体" w:hAnsi="宋体" w:cs="宋体"/>
          <w:spacing w:val="4"/>
          <w:sz w:val="24"/>
          <w:szCs w:val="24"/>
          <w:u w:val="single"/>
        </w:rPr>
        <w:t>税金</w:t>
      </w:r>
      <w:r>
        <w:rPr>
          <w:rFonts w:hint="eastAsia" w:ascii="宋体" w:hAnsi="宋体" w:cs="宋体"/>
          <w:spacing w:val="4"/>
          <w:sz w:val="24"/>
          <w:szCs w:val="24"/>
        </w:rPr>
        <w:t>费用，本项咨询费为人民币（大写）：</w:t>
      </w:r>
      <w:r>
        <w:rPr>
          <w:rFonts w:hint="eastAsia" w:ascii="宋体" w:hAnsi="宋体" w:cs="宋体"/>
          <w:spacing w:val="4"/>
          <w:sz w:val="24"/>
          <w:szCs w:val="24"/>
          <w:u w:val="single"/>
          <w:lang w:val="en-US" w:eastAsia="zh-CN"/>
        </w:rPr>
        <w:t xml:space="preserve">                         </w:t>
      </w:r>
      <w:r>
        <w:rPr>
          <w:rFonts w:hint="eastAsia" w:ascii="宋体" w:hAnsi="宋体" w:cs="宋体"/>
          <w:spacing w:val="4"/>
          <w:sz w:val="24"/>
          <w:szCs w:val="24"/>
        </w:rPr>
        <w:t>，</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u w:val="single"/>
        </w:rPr>
      </w:pPr>
      <w:r>
        <w:rPr>
          <w:rFonts w:hint="eastAsia" w:ascii="宋体" w:hAnsi="宋体" w:cs="宋体"/>
          <w:spacing w:val="4"/>
          <w:sz w:val="24"/>
          <w:szCs w:val="24"/>
          <w:lang w:eastAsia="zh-CN"/>
        </w:rPr>
        <w:t>（小写）</w:t>
      </w:r>
      <w:r>
        <w:rPr>
          <w:rFonts w:hint="eastAsia" w:ascii="宋体" w:hAnsi="宋体" w:cs="宋体"/>
          <w:spacing w:val="4"/>
          <w:sz w:val="24"/>
          <w:szCs w:val="24"/>
        </w:rPr>
        <w:t>¥</w:t>
      </w:r>
      <w:r>
        <w:rPr>
          <w:rFonts w:hint="eastAsia" w:ascii="宋体" w:hAnsi="宋体" w:cs="宋体"/>
          <w:spacing w:val="4"/>
          <w:sz w:val="24"/>
          <w:szCs w:val="24"/>
          <w:u w:val="single"/>
          <w:lang w:val="en-US" w:eastAsia="zh-CN"/>
        </w:rPr>
        <w:t xml:space="preserve">                        </w:t>
      </w:r>
      <w:r>
        <w:rPr>
          <w:rFonts w:hint="eastAsia" w:ascii="宋体" w:hAnsi="宋体" w:cs="宋体"/>
          <w:spacing w:val="4"/>
          <w:sz w:val="24"/>
          <w:szCs w:val="24"/>
        </w:rPr>
        <w:t>元。</w:t>
      </w:r>
    </w:p>
    <w:p>
      <w:pPr>
        <w:keepNext w:val="0"/>
        <w:keepLines w:val="0"/>
        <w:pageBreakBefore w:val="0"/>
        <w:kinsoku/>
        <w:wordWrap/>
        <w:overflowPunct/>
        <w:topLinePunct w:val="0"/>
        <w:autoSpaceDE/>
        <w:autoSpaceDN/>
        <w:bidi w:val="0"/>
        <w:adjustRightInd w:val="0"/>
        <w:snapToGrid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（一）咨询费用按下列方式计算：</w:t>
      </w:r>
    </w:p>
    <w:p>
      <w:pPr>
        <w:keepNext w:val="0"/>
        <w:keepLines w:val="0"/>
        <w:pageBreakBefore w:val="0"/>
        <w:kinsoku/>
        <w:wordWrap/>
        <w:overflowPunct/>
        <w:topLinePunct w:val="0"/>
        <w:autoSpaceDE/>
        <w:autoSpaceDN/>
        <w:bidi w:val="0"/>
        <w:adjustRightInd w:val="0"/>
        <w:snapToGrid w:val="0"/>
        <w:spacing w:line="560" w:lineRule="exact"/>
        <w:ind w:left="1" w:firstLine="496" w:firstLineChars="200"/>
        <w:textAlignment w:val="auto"/>
        <w:rPr>
          <w:rFonts w:hint="default" w:ascii="宋体" w:hAnsi="宋体" w:cs="宋体"/>
          <w:sz w:val="24"/>
          <w:szCs w:val="24"/>
          <w:lang w:val="en-US"/>
        </w:rPr>
      </w:pPr>
      <w:r>
        <w:rPr>
          <w:rFonts w:hint="eastAsia" w:ascii="宋体" w:hAnsi="宋体" w:cs="宋体"/>
          <w:spacing w:val="4"/>
          <w:sz w:val="24"/>
          <w:szCs w:val="24"/>
        </w:rPr>
        <w:sym w:font="Wingdings 2" w:char="0052"/>
      </w:r>
      <w:r>
        <w:rPr>
          <w:rFonts w:hint="eastAsia" w:ascii="宋体" w:hAnsi="宋体" w:cs="宋体"/>
          <w:spacing w:val="4"/>
          <w:sz w:val="24"/>
          <w:szCs w:val="24"/>
        </w:rPr>
        <w:t xml:space="preserve"> 1、</w:t>
      </w:r>
      <w:r>
        <w:rPr>
          <w:rFonts w:hint="eastAsia" w:ascii="宋体" w:hAnsi="宋体" w:cs="宋体"/>
          <w:sz w:val="24"/>
          <w:szCs w:val="24"/>
        </w:rPr>
        <w:t>以</w:t>
      </w:r>
      <w:bookmarkStart w:id="2" w:name="OLE_LINK3"/>
      <w:r>
        <w:rPr>
          <w:rFonts w:hint="eastAsia" w:ascii="宋体" w:hAnsi="宋体" w:cs="宋体"/>
          <w:sz w:val="24"/>
          <w:szCs w:val="24"/>
          <w:lang w:val="en-US" w:eastAsia="zh-CN"/>
        </w:rPr>
        <w:t>南门苑、南门雅苑综合整治提升项目</w:t>
      </w:r>
      <w:bookmarkEnd w:id="2"/>
      <w:r>
        <w:rPr>
          <w:rFonts w:hint="eastAsia" w:ascii="宋体" w:hAnsi="宋体" w:cs="宋体"/>
          <w:sz w:val="24"/>
          <w:szCs w:val="24"/>
          <w:lang w:val="en-US" w:eastAsia="zh-CN"/>
        </w:rPr>
        <w:t>最终结算的建安工程费</w:t>
      </w:r>
      <w:r>
        <w:rPr>
          <w:rFonts w:hint="eastAsia" w:ascii="宋体" w:hAnsi="宋体" w:cs="宋体"/>
          <w:sz w:val="24"/>
          <w:szCs w:val="24"/>
          <w:highlight w:val="none"/>
          <w:lang w:eastAsia="zh-CN"/>
        </w:rPr>
        <w:t>（含下浮率）</w:t>
      </w:r>
      <w:r>
        <w:rPr>
          <w:rFonts w:hint="eastAsia" w:ascii="宋体" w:hAnsi="宋体" w:cs="宋体"/>
          <w:spacing w:val="4"/>
          <w:sz w:val="24"/>
          <w:szCs w:val="24"/>
        </w:rPr>
        <w:t>为取费基数，</w:t>
      </w:r>
      <w:r>
        <w:rPr>
          <w:rFonts w:hint="eastAsia" w:ascii="宋体" w:hAnsi="宋体" w:cs="宋体"/>
          <w:spacing w:val="4"/>
          <w:sz w:val="24"/>
          <w:szCs w:val="24"/>
          <w:lang w:val="en-US" w:eastAsia="zh-CN"/>
        </w:rPr>
        <w:t>若最终结算金额大于4400万元，取费基数仍按4400万元计取，</w:t>
      </w:r>
      <w:r>
        <w:rPr>
          <w:rFonts w:hint="eastAsia" w:ascii="宋体" w:hAnsi="宋体" w:cs="宋体"/>
          <w:sz w:val="24"/>
          <w:szCs w:val="24"/>
        </w:rPr>
        <w:t>依据《</w:t>
      </w:r>
      <w:r>
        <w:rPr>
          <w:rFonts w:hint="eastAsia" w:ascii="宋体" w:hAnsi="宋体" w:cs="宋体"/>
          <w:sz w:val="24"/>
        </w:rPr>
        <w:t>深圳市建设工程造价咨询业收费市场参考价格</w:t>
      </w:r>
      <w:r>
        <w:rPr>
          <w:rFonts w:hint="eastAsia" w:ascii="宋体" w:hAnsi="宋体" w:cs="宋体"/>
          <w:sz w:val="24"/>
          <w:szCs w:val="24"/>
        </w:rPr>
        <w:t>》（深价协</w:t>
      </w:r>
      <w:r>
        <w:rPr>
          <w:rFonts w:hint="eastAsia" w:ascii="宋体" w:hAnsi="宋体" w:cs="宋体"/>
          <w:sz w:val="24"/>
          <w:szCs w:val="24"/>
          <w:lang w:eastAsia="zh-CN"/>
        </w:rPr>
        <w:t>〔2019〕13号</w:t>
      </w:r>
      <w:r>
        <w:rPr>
          <w:rFonts w:hint="eastAsia" w:ascii="宋体" w:hAnsi="宋体" w:cs="宋体"/>
          <w:sz w:val="24"/>
          <w:szCs w:val="24"/>
        </w:rPr>
        <w:t>）的全过程造价咨询服务收费标准</w:t>
      </w:r>
      <w:r>
        <w:rPr>
          <w:rFonts w:hint="eastAsia" w:ascii="宋体" w:hAnsi="宋体" w:cs="宋体"/>
          <w:sz w:val="24"/>
          <w:szCs w:val="24"/>
          <w:lang w:val="en-US" w:eastAsia="zh-CN"/>
        </w:rPr>
        <w:t>扣减投资估算的编制或审核、工程竣工决算编制或审核这两项服务费</w:t>
      </w:r>
      <w:r>
        <w:rPr>
          <w:rFonts w:hint="eastAsia" w:ascii="宋体" w:hAnsi="宋体" w:cs="宋体"/>
          <w:sz w:val="24"/>
          <w:szCs w:val="24"/>
        </w:rPr>
        <w:t>及</w:t>
      </w:r>
      <w:r>
        <w:rPr>
          <w:rFonts w:hint="eastAsia" w:ascii="宋体" w:hAnsi="宋体" w:cs="宋体"/>
          <w:sz w:val="24"/>
          <w:szCs w:val="24"/>
          <w:lang w:val="en-US" w:eastAsia="zh-CN"/>
        </w:rPr>
        <w:t>中标</w:t>
      </w:r>
      <w:r>
        <w:rPr>
          <w:rFonts w:hint="eastAsia" w:ascii="宋体" w:hAnsi="宋体" w:cs="宋体"/>
          <w:sz w:val="24"/>
          <w:szCs w:val="24"/>
        </w:rPr>
        <w:t>下浮率</w:t>
      </w:r>
      <w:r>
        <w:rPr>
          <w:rFonts w:hint="eastAsia" w:ascii="宋体" w:hAnsi="宋体" w:cs="宋体"/>
          <w:sz w:val="24"/>
          <w:szCs w:val="24"/>
          <w:u w:val="single"/>
          <w:lang w:val="en-US" w:eastAsia="zh-CN"/>
        </w:rPr>
        <w:t xml:space="preserve">        </w:t>
      </w:r>
      <w:r>
        <w:rPr>
          <w:rFonts w:hint="eastAsia" w:ascii="宋体" w:hAnsi="宋体" w:cs="宋体"/>
          <w:sz w:val="24"/>
          <w:szCs w:val="24"/>
        </w:rPr>
        <w:t>%计算。签订合同时取费基数暂定为</w:t>
      </w:r>
      <w:r>
        <w:rPr>
          <w:rFonts w:hint="eastAsia" w:ascii="宋体" w:hAnsi="宋体" w:cs="宋体"/>
          <w:sz w:val="24"/>
          <w:szCs w:val="24"/>
          <w:u w:val="single"/>
          <w:lang w:val="en-US" w:eastAsia="zh-CN"/>
        </w:rPr>
        <w:t xml:space="preserve">  4400.00  </w:t>
      </w:r>
      <w:r>
        <w:rPr>
          <w:rFonts w:hint="eastAsia" w:ascii="宋体" w:hAnsi="宋体" w:cs="宋体"/>
          <w:sz w:val="24"/>
          <w:szCs w:val="24"/>
        </w:rPr>
        <w:t>万元，则本项目咨询费暂定为</w:t>
      </w:r>
      <w:r>
        <w:rPr>
          <w:rFonts w:hint="eastAsia" w:ascii="宋体" w:hAnsi="宋体" w:cs="宋体"/>
          <w:sz w:val="24"/>
          <w:szCs w:val="24"/>
          <w:u w:val="single"/>
          <w:lang w:val="en-US" w:eastAsia="zh-CN"/>
        </w:rPr>
        <w:t xml:space="preserve">        </w:t>
      </w:r>
      <w:r>
        <w:rPr>
          <w:rFonts w:hint="eastAsia" w:ascii="宋体" w:hAnsi="宋体" w:cs="宋体"/>
          <w:sz w:val="24"/>
          <w:szCs w:val="24"/>
        </w:rPr>
        <w:t>万元，计算公式如下：</w:t>
      </w:r>
      <w:r>
        <w:rPr>
          <w:rFonts w:hint="eastAsia" w:ascii="宋体" w:hAnsi="宋体" w:cs="宋体"/>
          <w:sz w:val="24"/>
          <w:szCs w:val="24"/>
          <w:lang w:eastAsia="zh-CN"/>
        </w:rPr>
        <w:t>（（（</w:t>
      </w:r>
      <w:r>
        <w:rPr>
          <w:rFonts w:hint="eastAsia" w:ascii="仿宋" w:hAnsi="仿宋" w:eastAsia="仿宋" w:cs="仿宋"/>
          <w:sz w:val="24"/>
          <w:szCs w:val="24"/>
          <w:lang w:val="en-US" w:eastAsia="zh-CN"/>
        </w:rPr>
        <w:t>4400-1000）×1.6%+(1000-500)×1.8%+(500-0)×1.96%）【全过程造价控制基本收费】-（（4400-1000）×0.1%+(1000-500)×0.12%+(500-0)×0.15%）【投资估算的编制或审核】-（（4400-1000）×0.13%+(1000-500)×0.15%+(500-0)×0.19%）【工程竣工决算编制或审核】）×（1－下浮率）</w:t>
      </w:r>
    </w:p>
    <w:p>
      <w:pPr>
        <w:keepNext w:val="0"/>
        <w:keepLines w:val="0"/>
        <w:pageBreakBefore w:val="0"/>
        <w:kinsoku/>
        <w:wordWrap/>
        <w:overflowPunct/>
        <w:topLinePunct w:val="0"/>
        <w:autoSpaceDE/>
        <w:autoSpaceDN/>
        <w:bidi w:val="0"/>
        <w:adjustRightInd w:val="0"/>
        <w:snapToGrid w:val="0"/>
        <w:spacing w:line="560" w:lineRule="exact"/>
        <w:ind w:left="1" w:firstLine="496" w:firstLineChars="200"/>
        <w:textAlignment w:val="auto"/>
        <w:rPr>
          <w:rFonts w:ascii="宋体" w:hAnsi="宋体" w:cs="宋体"/>
          <w:spacing w:val="4"/>
          <w:sz w:val="24"/>
          <w:szCs w:val="24"/>
        </w:rPr>
      </w:pPr>
      <w:r>
        <w:rPr>
          <w:rFonts w:hint="eastAsia" w:ascii="宋体" w:hAnsi="宋体" w:cs="宋体"/>
          <w:spacing w:val="4"/>
          <w:sz w:val="24"/>
          <w:szCs w:val="24"/>
        </w:rPr>
        <w:t>□2、以工程造价核减额为基数，费率为</w:t>
      </w:r>
      <w:r>
        <w:rPr>
          <w:rFonts w:hint="eastAsia" w:ascii="宋体" w:hAnsi="宋体" w:cs="宋体"/>
          <w:spacing w:val="4"/>
          <w:sz w:val="24"/>
          <w:szCs w:val="24"/>
          <w:u w:val="single"/>
        </w:rPr>
        <w:t xml:space="preserve">  /    </w:t>
      </w:r>
      <w:r>
        <w:rPr>
          <w:rFonts w:hint="eastAsia" w:ascii="宋体" w:hAnsi="宋体" w:cs="宋体"/>
          <w:spacing w:val="4"/>
          <w:sz w:val="24"/>
          <w:szCs w:val="24"/>
        </w:rPr>
        <w:t>；</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□3、以钢筋抽量吨数为基数，费用为</w:t>
      </w:r>
      <w:r>
        <w:rPr>
          <w:rFonts w:hint="eastAsia" w:ascii="宋体" w:hAnsi="宋体" w:cs="宋体"/>
          <w:spacing w:val="4"/>
          <w:sz w:val="24"/>
          <w:szCs w:val="24"/>
          <w:u w:val="single"/>
        </w:rPr>
        <w:t xml:space="preserve">    /    </w:t>
      </w:r>
      <w:r>
        <w:rPr>
          <w:rFonts w:hint="eastAsia" w:ascii="宋体" w:hAnsi="宋体" w:cs="宋体"/>
          <w:spacing w:val="4"/>
          <w:sz w:val="24"/>
          <w:szCs w:val="24"/>
        </w:rPr>
        <w:t>元/吨；</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sym w:font="Wingdings 2" w:char="00A3"/>
      </w:r>
      <w:r>
        <w:rPr>
          <w:rFonts w:hint="eastAsia" w:ascii="宋体" w:hAnsi="宋体" w:cs="宋体"/>
          <w:spacing w:val="4"/>
          <w:sz w:val="24"/>
          <w:szCs w:val="24"/>
        </w:rPr>
        <w:t>4、固定费用</w:t>
      </w:r>
      <w:r>
        <w:rPr>
          <w:rFonts w:hint="eastAsia" w:ascii="宋体" w:hAnsi="宋体" w:cs="宋体"/>
          <w:spacing w:val="4"/>
          <w:sz w:val="24"/>
          <w:szCs w:val="24"/>
          <w:lang w:eastAsia="zh-CN"/>
        </w:rPr>
        <w:t>（</w:t>
      </w:r>
      <w:r>
        <w:rPr>
          <w:rFonts w:hint="eastAsia" w:ascii="宋体" w:hAnsi="宋体" w:cs="宋体"/>
          <w:spacing w:val="4"/>
          <w:sz w:val="24"/>
          <w:szCs w:val="24"/>
        </w:rPr>
        <w:t>总价包干，不作调整</w:t>
      </w:r>
      <w:r>
        <w:rPr>
          <w:rFonts w:hint="eastAsia" w:ascii="宋体" w:hAnsi="宋体" w:cs="宋体"/>
          <w:spacing w:val="4"/>
          <w:sz w:val="24"/>
          <w:szCs w:val="24"/>
          <w:lang w:eastAsia="zh-CN"/>
        </w:rPr>
        <w:t>）</w:t>
      </w:r>
      <w:r>
        <w:rPr>
          <w:rFonts w:hint="eastAsia" w:ascii="宋体" w:hAnsi="宋体" w:cs="宋体"/>
          <w:spacing w:val="4"/>
          <w:sz w:val="24"/>
          <w:szCs w:val="24"/>
        </w:rPr>
        <w:t>；</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□5、其他：</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 xml:space="preserve">（二）可调合同费用的调整方式： </w:t>
      </w:r>
      <w:r>
        <w:rPr>
          <w:rFonts w:hint="eastAsia" w:ascii="宋体" w:hAnsi="宋体" w:cs="宋体"/>
          <w:spacing w:val="4"/>
          <w:sz w:val="24"/>
          <w:szCs w:val="24"/>
          <w:u w:val="single"/>
        </w:rPr>
        <w:t xml:space="preserve">/ </w:t>
      </w:r>
      <w:r>
        <w:rPr>
          <w:rFonts w:hint="eastAsia" w:ascii="宋体" w:hAnsi="宋体" w:cs="宋体"/>
          <w:spacing w:val="4"/>
          <w:sz w:val="24"/>
          <w:szCs w:val="24"/>
        </w:rPr>
        <w:t>。</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四、本合同的咨询业务自</w:t>
      </w:r>
      <w:r>
        <w:rPr>
          <w:rFonts w:hint="eastAsia" w:ascii="宋体" w:hAnsi="宋体" w:cs="宋体"/>
          <w:spacing w:val="4"/>
          <w:sz w:val="24"/>
          <w:szCs w:val="24"/>
          <w:u w:val="single"/>
        </w:rPr>
        <w:t xml:space="preserve">    </w:t>
      </w:r>
      <w:r>
        <w:rPr>
          <w:rFonts w:hint="eastAsia" w:ascii="宋体" w:hAnsi="宋体" w:cs="宋体"/>
          <w:spacing w:val="4"/>
          <w:sz w:val="24"/>
          <w:szCs w:val="24"/>
        </w:rPr>
        <w:t>年</w:t>
      </w:r>
      <w:r>
        <w:rPr>
          <w:rFonts w:hint="eastAsia" w:ascii="宋体" w:hAnsi="宋体" w:cs="宋体"/>
          <w:spacing w:val="4"/>
          <w:sz w:val="24"/>
          <w:szCs w:val="24"/>
          <w:u w:val="single"/>
        </w:rPr>
        <w:t xml:space="preserve">   </w:t>
      </w:r>
      <w:r>
        <w:rPr>
          <w:rFonts w:hint="eastAsia" w:ascii="宋体" w:hAnsi="宋体" w:cs="宋体"/>
          <w:spacing w:val="4"/>
          <w:sz w:val="24"/>
          <w:szCs w:val="24"/>
        </w:rPr>
        <w:t>月</w:t>
      </w:r>
      <w:r>
        <w:rPr>
          <w:rFonts w:hint="eastAsia" w:ascii="宋体" w:hAnsi="宋体" w:cs="宋体"/>
          <w:spacing w:val="4"/>
          <w:sz w:val="24"/>
          <w:szCs w:val="24"/>
          <w:u w:val="single"/>
        </w:rPr>
        <w:t xml:space="preserve">   </w:t>
      </w:r>
      <w:r>
        <w:rPr>
          <w:rFonts w:hint="eastAsia" w:ascii="宋体" w:hAnsi="宋体" w:cs="宋体"/>
          <w:spacing w:val="4"/>
          <w:sz w:val="24"/>
          <w:szCs w:val="24"/>
        </w:rPr>
        <w:t>日开始实施，至项目咨询业务完成后终结。</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五、质量要求：</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咨询人提供的成果应符合委托人要求，且预算与结算阶段造价与政府审计部门、造价部门或委托人审定的造价上下浮动不能超过±5%。</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六、本合同由以下文件组成，以下文件存在不一致的，以下列排序在前的文件为准</w:t>
      </w:r>
      <w:r>
        <w:rPr>
          <w:rFonts w:hint="eastAsia" w:ascii="宋体" w:hAnsi="宋体" w:cs="宋体"/>
          <w:sz w:val="24"/>
          <w:szCs w:val="24"/>
        </w:rPr>
        <w:t>。</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1、协议书；</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2、委托文件；</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3、专用条件；</w:t>
      </w:r>
    </w:p>
    <w:p>
      <w:pPr>
        <w:keepNext w:val="0"/>
        <w:keepLines w:val="0"/>
        <w:pageBreakBefore w:val="0"/>
        <w:kinsoku/>
        <w:wordWrap/>
        <w:overflowPunct/>
        <w:topLinePunct w:val="0"/>
        <w:autoSpaceDE/>
        <w:autoSpaceDN/>
        <w:bidi w:val="0"/>
        <w:spacing w:line="560" w:lineRule="exact"/>
        <w:ind w:firstLine="496" w:firstLineChars="200"/>
        <w:textAlignment w:val="auto"/>
        <w:rPr>
          <w:rFonts w:hint="eastAsia" w:ascii="宋体" w:hAnsi="宋体" w:cs="宋体"/>
          <w:spacing w:val="4"/>
          <w:sz w:val="24"/>
          <w:szCs w:val="24"/>
        </w:rPr>
      </w:pPr>
      <w:r>
        <w:rPr>
          <w:rFonts w:hint="eastAsia" w:ascii="宋体" w:hAnsi="宋体" w:cs="宋体"/>
          <w:spacing w:val="4"/>
          <w:sz w:val="24"/>
          <w:szCs w:val="24"/>
        </w:rPr>
        <w:t>4、通用条件。</w:t>
      </w:r>
    </w:p>
    <w:p>
      <w:pPr>
        <w:keepNext w:val="0"/>
        <w:keepLines w:val="0"/>
        <w:pageBreakBefore w:val="0"/>
        <w:widowControl/>
        <w:kinsoku/>
        <w:wordWrap/>
        <w:overflowPunct/>
        <w:topLinePunct w:val="0"/>
        <w:autoSpaceDE/>
        <w:autoSpaceDN/>
        <w:bidi w:val="0"/>
        <w:snapToGrid w:val="0"/>
        <w:spacing w:line="560" w:lineRule="exact"/>
        <w:ind w:firstLine="496" w:firstLineChars="200"/>
        <w:jc w:val="left"/>
        <w:textAlignment w:val="auto"/>
        <w:rPr>
          <w:rFonts w:ascii="宋体" w:hAnsi="宋体" w:cs="宋体"/>
          <w:kern w:val="0"/>
          <w:sz w:val="24"/>
          <w:szCs w:val="24"/>
          <w:highlight w:val="none"/>
        </w:rPr>
      </w:pPr>
      <w:r>
        <w:rPr>
          <w:rFonts w:hint="eastAsia" w:ascii="宋体" w:hAnsi="宋体" w:cs="宋体"/>
          <w:spacing w:val="4"/>
          <w:sz w:val="24"/>
          <w:szCs w:val="24"/>
          <w:highlight w:val="none"/>
        </w:rPr>
        <w:t>本合同未尽事宜，双方可签订补充协议。</w:t>
      </w:r>
      <w:r>
        <w:rPr>
          <w:rFonts w:hint="eastAsia" w:ascii="宋体" w:hAnsi="宋体" w:cs="宋体"/>
          <w:spacing w:val="4"/>
          <w:sz w:val="24"/>
          <w:szCs w:val="24"/>
          <w:highlight w:val="none"/>
          <w:lang w:eastAsia="zh-CN"/>
        </w:rPr>
        <w:t>咨询</w:t>
      </w:r>
      <w:r>
        <w:rPr>
          <w:rFonts w:hint="eastAsia" w:ascii="宋体" w:hAnsi="宋体" w:cs="宋体"/>
          <w:spacing w:val="4"/>
          <w:sz w:val="24"/>
          <w:szCs w:val="24"/>
          <w:highlight w:val="none"/>
        </w:rPr>
        <w:t>人提交的投标文件和在本合同履行过程中，所有经双方签署确认的文件（包括会议纪要、补充协议、往来信函、合同附件等）均为本合同的有效组成部分，与本合同具有同等法律效力。</w:t>
      </w:r>
    </w:p>
    <w:p>
      <w:pPr>
        <w:keepNext w:val="0"/>
        <w:keepLines w:val="0"/>
        <w:pageBreakBefore w:val="0"/>
        <w:widowControl/>
        <w:kinsoku/>
        <w:wordWrap/>
        <w:overflowPunct/>
        <w:topLinePunct w:val="0"/>
        <w:autoSpaceDE/>
        <w:autoSpaceDN/>
        <w:bidi w:val="0"/>
        <w:snapToGrid w:val="0"/>
        <w:spacing w:line="560" w:lineRule="exact"/>
        <w:ind w:firstLine="496" w:firstLineChars="200"/>
        <w:jc w:val="left"/>
        <w:textAlignment w:val="auto"/>
        <w:rPr>
          <w:rFonts w:hint="eastAsia" w:ascii="宋体" w:hAnsi="宋体" w:cs="宋体"/>
          <w:spacing w:val="4"/>
          <w:sz w:val="24"/>
          <w:szCs w:val="24"/>
        </w:rPr>
      </w:pPr>
      <w:r>
        <w:rPr>
          <w:rFonts w:hint="eastAsia" w:ascii="宋体" w:hAnsi="宋体" w:cs="宋体"/>
          <w:spacing w:val="4"/>
          <w:sz w:val="24"/>
          <w:szCs w:val="24"/>
        </w:rPr>
        <w:t>本合同签订后，双方签订的补充协议与本合同发生矛盾或歧义时，应以最新签署的为准。</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七、咨询人同意按照本合同的规定，承担本合同议定范围内的建设工程造价咨询业务。</w:t>
      </w:r>
    </w:p>
    <w:p>
      <w:pPr>
        <w:keepNext w:val="0"/>
        <w:keepLines w:val="0"/>
        <w:pageBreakBefore w:val="0"/>
        <w:kinsoku/>
        <w:wordWrap/>
        <w:overflowPunct/>
        <w:topLinePunct w:val="0"/>
        <w:autoSpaceDE/>
        <w:autoSpaceDN/>
        <w:bidi w:val="0"/>
        <w:spacing w:line="560" w:lineRule="exact"/>
        <w:ind w:firstLine="496" w:firstLineChars="200"/>
        <w:textAlignment w:val="auto"/>
        <w:rPr>
          <w:rFonts w:hint="eastAsia" w:ascii="宋体" w:hAnsi="宋体" w:cs="宋体"/>
          <w:spacing w:val="4"/>
          <w:sz w:val="24"/>
          <w:szCs w:val="24"/>
        </w:rPr>
      </w:pPr>
      <w:r>
        <w:rPr>
          <w:rFonts w:hint="eastAsia" w:ascii="宋体" w:hAnsi="宋体" w:cs="宋体"/>
          <w:spacing w:val="4"/>
          <w:sz w:val="24"/>
          <w:szCs w:val="24"/>
        </w:rPr>
        <w:t>八、委托人同意按照本合同规定的期限、方式、币种、额度向咨询人支付费用。</w:t>
      </w:r>
    </w:p>
    <w:p>
      <w:pPr>
        <w:keepNext w:val="0"/>
        <w:keepLines w:val="0"/>
        <w:pageBreakBefore w:val="0"/>
        <w:kinsoku/>
        <w:wordWrap/>
        <w:overflowPunct/>
        <w:topLinePunct w:val="0"/>
        <w:autoSpaceDE/>
        <w:autoSpaceDN/>
        <w:bidi w:val="0"/>
        <w:spacing w:line="560" w:lineRule="exact"/>
        <w:ind w:firstLine="496" w:firstLineChars="200"/>
        <w:textAlignment w:val="auto"/>
        <w:rPr>
          <w:rFonts w:hint="eastAsia" w:ascii="宋体" w:hAnsi="宋体" w:cs="宋体"/>
          <w:spacing w:val="4"/>
          <w:sz w:val="24"/>
          <w:szCs w:val="24"/>
          <w:highlight w:val="none"/>
        </w:rPr>
      </w:pPr>
      <w:r>
        <w:rPr>
          <w:rFonts w:hint="eastAsia" w:ascii="宋体" w:hAnsi="宋体" w:cs="宋体"/>
          <w:spacing w:val="4"/>
          <w:sz w:val="24"/>
          <w:szCs w:val="24"/>
          <w:lang w:eastAsia="zh-CN"/>
        </w:rPr>
        <w:t>咨询</w:t>
      </w:r>
      <w:r>
        <w:rPr>
          <w:rFonts w:hint="eastAsia" w:ascii="宋体" w:hAnsi="宋体" w:cs="宋体"/>
          <w:spacing w:val="4"/>
          <w:sz w:val="24"/>
          <w:szCs w:val="24"/>
          <w:highlight w:val="none"/>
          <w:lang w:eastAsia="zh-CN"/>
        </w:rPr>
        <w:t>人</w:t>
      </w:r>
      <w:r>
        <w:rPr>
          <w:rFonts w:hint="eastAsia" w:ascii="宋体" w:hAnsi="宋体" w:cs="宋体"/>
          <w:spacing w:val="4"/>
          <w:sz w:val="24"/>
          <w:szCs w:val="24"/>
          <w:highlight w:val="none"/>
        </w:rPr>
        <w:t>指定</w:t>
      </w:r>
      <w:r>
        <w:rPr>
          <w:rFonts w:hint="eastAsia" w:ascii="宋体" w:hAnsi="宋体" w:cs="宋体"/>
          <w:spacing w:val="4"/>
          <w:sz w:val="24"/>
          <w:szCs w:val="24"/>
          <w:highlight w:val="none"/>
          <w:lang w:eastAsia="zh-CN"/>
        </w:rPr>
        <w:t>的咨询费用</w:t>
      </w:r>
      <w:r>
        <w:rPr>
          <w:rFonts w:hint="eastAsia" w:ascii="宋体" w:hAnsi="宋体" w:cs="宋体"/>
          <w:spacing w:val="4"/>
          <w:sz w:val="24"/>
          <w:szCs w:val="24"/>
          <w:highlight w:val="none"/>
        </w:rPr>
        <w:t>收款账户如下：</w:t>
      </w:r>
    </w:p>
    <w:p>
      <w:pPr>
        <w:keepNext w:val="0"/>
        <w:keepLines w:val="0"/>
        <w:pageBreakBefore w:val="0"/>
        <w:kinsoku/>
        <w:wordWrap/>
        <w:overflowPunct/>
        <w:topLinePunct w:val="0"/>
        <w:autoSpaceDE/>
        <w:autoSpaceDN/>
        <w:bidi w:val="0"/>
        <w:spacing w:line="560" w:lineRule="exact"/>
        <w:ind w:firstLine="496" w:firstLineChars="200"/>
        <w:textAlignment w:val="auto"/>
        <w:rPr>
          <w:rFonts w:hint="eastAsia" w:ascii="宋体" w:hAnsi="宋体" w:cs="宋体"/>
          <w:spacing w:val="4"/>
          <w:sz w:val="24"/>
          <w:szCs w:val="24"/>
          <w:highlight w:val="none"/>
          <w:u w:val="single"/>
          <w:lang w:val="en-US" w:eastAsia="zh-CN"/>
        </w:rPr>
      </w:pPr>
      <w:r>
        <w:rPr>
          <w:rFonts w:hint="eastAsia" w:ascii="宋体" w:hAnsi="宋体" w:cs="宋体"/>
          <w:spacing w:val="4"/>
          <w:sz w:val="24"/>
          <w:szCs w:val="24"/>
          <w:highlight w:val="none"/>
        </w:rPr>
        <w:t>账号名：</w:t>
      </w:r>
      <w:r>
        <w:rPr>
          <w:rFonts w:hint="eastAsia" w:ascii="宋体" w:hAnsi="宋体" w:cs="宋体"/>
          <w:spacing w:val="4"/>
          <w:sz w:val="24"/>
          <w:szCs w:val="24"/>
          <w:highlight w:val="none"/>
          <w:u w:val="single"/>
          <w:lang w:val="en-US" w:eastAsia="zh-CN"/>
        </w:rPr>
        <w:t xml:space="preserve">                        </w:t>
      </w:r>
    </w:p>
    <w:p>
      <w:pPr>
        <w:keepNext w:val="0"/>
        <w:keepLines w:val="0"/>
        <w:pageBreakBefore w:val="0"/>
        <w:kinsoku/>
        <w:wordWrap/>
        <w:overflowPunct/>
        <w:topLinePunct w:val="0"/>
        <w:autoSpaceDE/>
        <w:autoSpaceDN/>
        <w:bidi w:val="0"/>
        <w:spacing w:line="560" w:lineRule="exact"/>
        <w:ind w:firstLine="496" w:firstLineChars="200"/>
        <w:textAlignment w:val="auto"/>
        <w:rPr>
          <w:rFonts w:hint="eastAsia" w:ascii="宋体" w:hAnsi="宋体" w:cs="宋体"/>
          <w:spacing w:val="4"/>
          <w:sz w:val="24"/>
          <w:szCs w:val="24"/>
          <w:highlight w:val="none"/>
        </w:rPr>
      </w:pPr>
      <w:r>
        <w:rPr>
          <w:rFonts w:hint="eastAsia" w:ascii="宋体" w:hAnsi="宋体" w:cs="宋体"/>
          <w:spacing w:val="4"/>
          <w:sz w:val="24"/>
          <w:szCs w:val="24"/>
          <w:highlight w:val="none"/>
        </w:rPr>
        <w:t>账  号：</w:t>
      </w:r>
      <w:r>
        <w:rPr>
          <w:rFonts w:hint="eastAsia" w:ascii="宋体" w:hAnsi="宋体" w:cs="宋体"/>
          <w:spacing w:val="4"/>
          <w:sz w:val="24"/>
          <w:szCs w:val="24"/>
          <w:highlight w:val="none"/>
          <w:u w:val="single"/>
          <w:lang w:val="en-US" w:eastAsia="zh-CN"/>
        </w:rPr>
        <w:t xml:space="preserve">                        </w:t>
      </w:r>
      <w:r>
        <w:rPr>
          <w:rFonts w:hint="eastAsia" w:ascii="宋体" w:hAnsi="宋体" w:cs="宋体"/>
          <w:spacing w:val="4"/>
          <w:sz w:val="24"/>
          <w:szCs w:val="24"/>
          <w:highlight w:val="none"/>
        </w:rPr>
        <w:t xml:space="preserve">                            </w:t>
      </w:r>
    </w:p>
    <w:p>
      <w:pPr>
        <w:keepNext w:val="0"/>
        <w:keepLines w:val="0"/>
        <w:pageBreakBefore w:val="0"/>
        <w:kinsoku/>
        <w:wordWrap/>
        <w:overflowPunct/>
        <w:topLinePunct w:val="0"/>
        <w:autoSpaceDE/>
        <w:autoSpaceDN/>
        <w:bidi w:val="0"/>
        <w:spacing w:line="560" w:lineRule="exact"/>
        <w:ind w:firstLine="496" w:firstLineChars="200"/>
        <w:textAlignment w:val="auto"/>
        <w:rPr>
          <w:rFonts w:hint="eastAsia" w:ascii="宋体" w:hAnsi="宋体" w:cs="宋体"/>
          <w:spacing w:val="4"/>
          <w:sz w:val="24"/>
          <w:szCs w:val="24"/>
        </w:rPr>
      </w:pPr>
      <w:r>
        <w:rPr>
          <w:rFonts w:hint="eastAsia" w:ascii="宋体" w:hAnsi="宋体" w:cs="宋体"/>
          <w:spacing w:val="4"/>
          <w:sz w:val="24"/>
          <w:szCs w:val="24"/>
          <w:highlight w:val="none"/>
        </w:rPr>
        <w:t>开户行：</w:t>
      </w:r>
      <w:r>
        <w:rPr>
          <w:rFonts w:hint="eastAsia" w:ascii="宋体" w:hAnsi="宋体" w:cs="宋体"/>
          <w:spacing w:val="4"/>
          <w:sz w:val="24"/>
          <w:szCs w:val="24"/>
          <w:highlight w:val="none"/>
          <w:u w:val="single"/>
          <w:lang w:val="en-US" w:eastAsia="zh-CN"/>
        </w:rPr>
        <w:t xml:space="preserve">                        </w:t>
      </w:r>
      <w:r>
        <w:rPr>
          <w:rFonts w:hint="eastAsia" w:ascii="宋体" w:hAnsi="宋体" w:cs="宋体"/>
          <w:spacing w:val="4"/>
          <w:sz w:val="24"/>
          <w:szCs w:val="24"/>
          <w:highlight w:val="none"/>
        </w:rPr>
        <w:t xml:space="preserve">   </w:t>
      </w:r>
      <w:r>
        <w:rPr>
          <w:rFonts w:hint="eastAsia" w:ascii="宋体" w:hAnsi="宋体" w:cs="宋体"/>
          <w:spacing w:val="4"/>
          <w:sz w:val="24"/>
          <w:szCs w:val="24"/>
        </w:rPr>
        <w:t xml:space="preserve">                        </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九、咨询人利用委托人提供的资料完成的在本项目中的新技术报告，知识产权属于委托人，咨询人对外进行披露、使用，应当征得委托人同意；委托人利用咨询人的工作成果完成的新的技术成果，知识产权属于委托人。</w:t>
      </w:r>
    </w:p>
    <w:p>
      <w:pPr>
        <w:keepNext w:val="0"/>
        <w:keepLines w:val="0"/>
        <w:pageBreakBefore w:val="0"/>
        <w:kinsoku/>
        <w:wordWrap/>
        <w:overflowPunct/>
        <w:topLinePunct w:val="0"/>
        <w:autoSpaceDE/>
        <w:autoSpaceDN/>
        <w:bidi w:val="0"/>
        <w:spacing w:line="560" w:lineRule="exact"/>
        <w:ind w:firstLine="496" w:firstLineChars="200"/>
        <w:textAlignment w:val="auto"/>
        <w:rPr>
          <w:rFonts w:ascii="宋体" w:hAnsi="宋体" w:cs="宋体"/>
          <w:spacing w:val="4"/>
          <w:sz w:val="24"/>
          <w:szCs w:val="24"/>
        </w:rPr>
      </w:pPr>
      <w:r>
        <w:rPr>
          <w:rFonts w:hint="eastAsia" w:ascii="宋体" w:hAnsi="宋体" w:cs="宋体"/>
          <w:spacing w:val="4"/>
          <w:sz w:val="24"/>
          <w:szCs w:val="24"/>
        </w:rPr>
        <w:t>十、本合同正本</w:t>
      </w:r>
      <w:r>
        <w:rPr>
          <w:rFonts w:hint="eastAsia" w:ascii="宋体" w:hAnsi="宋体" w:cs="宋体"/>
          <w:spacing w:val="4"/>
          <w:sz w:val="24"/>
          <w:szCs w:val="24"/>
          <w:u w:val="single"/>
        </w:rPr>
        <w:t>壹</w:t>
      </w:r>
      <w:r>
        <w:rPr>
          <w:rFonts w:hint="eastAsia" w:ascii="宋体" w:hAnsi="宋体" w:cs="宋体"/>
          <w:spacing w:val="4"/>
          <w:sz w:val="24"/>
          <w:szCs w:val="24"/>
        </w:rPr>
        <w:t>式</w:t>
      </w:r>
      <w:r>
        <w:rPr>
          <w:rFonts w:hint="eastAsia" w:ascii="宋体" w:hAnsi="宋体" w:cs="宋体"/>
          <w:spacing w:val="4"/>
          <w:sz w:val="24"/>
          <w:szCs w:val="24"/>
          <w:u w:val="single"/>
        </w:rPr>
        <w:t>贰</w:t>
      </w:r>
      <w:r>
        <w:rPr>
          <w:rFonts w:hint="eastAsia" w:ascii="宋体" w:hAnsi="宋体" w:cs="宋体"/>
          <w:spacing w:val="4"/>
          <w:sz w:val="24"/>
          <w:szCs w:val="24"/>
        </w:rPr>
        <w:t>份，双方各执</w:t>
      </w:r>
      <w:r>
        <w:rPr>
          <w:rFonts w:hint="eastAsia" w:ascii="宋体" w:hAnsi="宋体" w:cs="宋体"/>
          <w:spacing w:val="4"/>
          <w:sz w:val="24"/>
          <w:szCs w:val="24"/>
          <w:u w:val="single"/>
        </w:rPr>
        <w:t>壹</w:t>
      </w:r>
      <w:r>
        <w:rPr>
          <w:rFonts w:hint="eastAsia" w:ascii="宋体" w:hAnsi="宋体" w:cs="宋体"/>
          <w:spacing w:val="4"/>
          <w:sz w:val="24"/>
          <w:szCs w:val="24"/>
        </w:rPr>
        <w:t>份具有同等法律效力。合同副本</w:t>
      </w:r>
      <w:r>
        <w:rPr>
          <w:rFonts w:hint="eastAsia" w:ascii="宋体" w:hAnsi="宋体" w:cs="宋体"/>
          <w:spacing w:val="4"/>
          <w:sz w:val="24"/>
          <w:szCs w:val="24"/>
          <w:u w:val="single"/>
        </w:rPr>
        <w:t>壹</w:t>
      </w:r>
      <w:r>
        <w:rPr>
          <w:rFonts w:hint="eastAsia" w:ascii="宋体" w:hAnsi="宋体" w:cs="宋体"/>
          <w:spacing w:val="4"/>
          <w:sz w:val="24"/>
          <w:szCs w:val="24"/>
        </w:rPr>
        <w:t>式</w:t>
      </w:r>
      <w:r>
        <w:rPr>
          <w:rFonts w:hint="eastAsia" w:ascii="宋体" w:hAnsi="宋体" w:cs="宋体"/>
          <w:spacing w:val="4"/>
          <w:sz w:val="24"/>
          <w:szCs w:val="24"/>
          <w:u w:val="single"/>
        </w:rPr>
        <w:t>拾叁</w:t>
      </w:r>
      <w:r>
        <w:rPr>
          <w:rFonts w:hint="eastAsia" w:ascii="宋体" w:hAnsi="宋体" w:cs="宋体"/>
          <w:spacing w:val="4"/>
          <w:sz w:val="24"/>
          <w:szCs w:val="24"/>
        </w:rPr>
        <w:t>份，委托人执</w:t>
      </w:r>
      <w:r>
        <w:rPr>
          <w:rFonts w:hint="eastAsia" w:ascii="宋体" w:hAnsi="宋体" w:cs="宋体"/>
          <w:spacing w:val="4"/>
          <w:sz w:val="24"/>
          <w:szCs w:val="24"/>
          <w:u w:val="single"/>
        </w:rPr>
        <w:t>拾</w:t>
      </w:r>
      <w:r>
        <w:rPr>
          <w:rFonts w:hint="eastAsia" w:ascii="宋体" w:hAnsi="宋体" w:cs="宋体"/>
          <w:spacing w:val="4"/>
          <w:sz w:val="24"/>
          <w:szCs w:val="24"/>
        </w:rPr>
        <w:t>份，咨询人执</w:t>
      </w:r>
      <w:r>
        <w:rPr>
          <w:rFonts w:hint="eastAsia" w:ascii="宋体" w:hAnsi="宋体" w:cs="宋体"/>
          <w:spacing w:val="4"/>
          <w:sz w:val="24"/>
          <w:szCs w:val="24"/>
          <w:u w:val="single"/>
        </w:rPr>
        <w:t>叁</w:t>
      </w:r>
      <w:r>
        <w:rPr>
          <w:rFonts w:hint="eastAsia" w:ascii="宋体" w:hAnsi="宋体" w:cs="宋体"/>
          <w:spacing w:val="4"/>
          <w:sz w:val="24"/>
          <w:szCs w:val="24"/>
        </w:rPr>
        <w:t>份。</w:t>
      </w:r>
    </w:p>
    <w:p>
      <w:pPr>
        <w:keepNext w:val="0"/>
        <w:keepLines w:val="0"/>
        <w:pageBreakBefore w:val="0"/>
        <w:kinsoku/>
        <w:wordWrap/>
        <w:overflowPunct/>
        <w:topLinePunct w:val="0"/>
        <w:autoSpaceDE/>
        <w:autoSpaceDN/>
        <w:bidi w:val="0"/>
        <w:spacing w:line="560" w:lineRule="exact"/>
        <w:textAlignment w:val="auto"/>
        <w:rPr>
          <w:rFonts w:ascii="宋体" w:hAnsi="宋体" w:cs="宋体"/>
          <w:spacing w:val="4"/>
          <w:sz w:val="24"/>
          <w:szCs w:val="24"/>
        </w:rPr>
      </w:pPr>
    </w:p>
    <w:p>
      <w:pPr>
        <w:keepNext w:val="0"/>
        <w:keepLines w:val="0"/>
        <w:pageBreakBefore w:val="0"/>
        <w:kinsoku/>
        <w:wordWrap/>
        <w:overflowPunct/>
        <w:topLinePunct w:val="0"/>
        <w:autoSpaceDE/>
        <w:autoSpaceDN/>
        <w:bidi w:val="0"/>
        <w:spacing w:line="560" w:lineRule="exact"/>
        <w:textAlignment w:val="auto"/>
        <w:rPr>
          <w:rFonts w:ascii="宋体" w:hAnsi="宋体" w:cs="宋体"/>
          <w:spacing w:val="4"/>
          <w:sz w:val="24"/>
          <w:szCs w:val="24"/>
        </w:rPr>
      </w:pPr>
    </w:p>
    <w:p>
      <w:pPr>
        <w:pStyle w:val="70"/>
        <w:rPr>
          <w:rFonts w:ascii="宋体" w:hAnsi="宋体" w:cs="宋体"/>
          <w:spacing w:val="4"/>
          <w:sz w:val="24"/>
          <w:szCs w:val="24"/>
        </w:rPr>
      </w:pPr>
    </w:p>
    <w:p/>
    <w:p>
      <w:pPr>
        <w:spacing w:line="560" w:lineRule="exact"/>
        <w:rPr>
          <w:rFonts w:ascii="宋体" w:hAnsi="宋体" w:cs="宋体"/>
          <w:b/>
          <w:bCs/>
          <w:sz w:val="24"/>
          <w:szCs w:val="24"/>
        </w:rPr>
      </w:pPr>
      <w:r>
        <w:rPr>
          <w:rFonts w:hint="eastAsia" w:ascii="宋体" w:hAnsi="宋体" w:cs="宋体"/>
          <w:b/>
          <w:bCs/>
          <w:spacing w:val="4"/>
          <w:sz w:val="24"/>
          <w:szCs w:val="24"/>
        </w:rPr>
        <w:t>双方签字盖章：</w:t>
      </w:r>
    </w:p>
    <w:tbl>
      <w:tblPr>
        <w:tblStyle w:val="83"/>
        <w:tblpPr w:leftFromText="180" w:rightFromText="180" w:vertAnchor="text" w:horzAnchor="page" w:tblpX="1792" w:tblpY="347"/>
        <w:tblOverlap w:val="never"/>
        <w:tblW w:w="9289" w:type="dxa"/>
        <w:tblInd w:w="0" w:type="dxa"/>
        <w:tblLayout w:type="fixed"/>
        <w:tblCellMar>
          <w:top w:w="0" w:type="dxa"/>
          <w:left w:w="108" w:type="dxa"/>
          <w:bottom w:w="0" w:type="dxa"/>
          <w:right w:w="108" w:type="dxa"/>
        </w:tblCellMar>
      </w:tblPr>
      <w:tblGrid>
        <w:gridCol w:w="5067"/>
        <w:gridCol w:w="4222"/>
      </w:tblGrid>
      <w:tr>
        <w:tblPrEx>
          <w:tblCellMar>
            <w:top w:w="0" w:type="dxa"/>
            <w:left w:w="108" w:type="dxa"/>
            <w:bottom w:w="0" w:type="dxa"/>
            <w:right w:w="108" w:type="dxa"/>
          </w:tblCellMar>
        </w:tblPrEx>
        <w:trPr>
          <w:trHeight w:val="830" w:hRule="atLeast"/>
        </w:trPr>
        <w:tc>
          <w:tcPr>
            <w:tcW w:w="5067" w:type="dxa"/>
            <w:shd w:val="clear" w:color="auto" w:fill="auto"/>
            <w:vAlign w:val="center"/>
          </w:tcPr>
          <w:p>
            <w:pPr>
              <w:keepNext w:val="0"/>
              <w:keepLines w:val="0"/>
              <w:pageBreakBefore w:val="0"/>
              <w:tabs>
                <w:tab w:val="left" w:pos="408"/>
              </w:tabs>
              <w:kinsoku/>
              <w:wordWrap/>
              <w:overflowPunct/>
              <w:topLinePunct w:val="0"/>
              <w:bidi w:val="0"/>
              <w:spacing w:line="540" w:lineRule="exact"/>
              <w:jc w:val="left"/>
              <w:textAlignment w:val="auto"/>
              <w:rPr>
                <w:rFonts w:hint="eastAsia" w:asciiTheme="minorEastAsia" w:hAnsiTheme="minorEastAsia" w:eastAsiaTheme="minorEastAsia" w:cstheme="minorEastAsia"/>
                <w:bCs/>
                <w:sz w:val="21"/>
                <w:szCs w:val="21"/>
                <w:lang w:eastAsia="zh-CN"/>
              </w:rPr>
            </w:pPr>
            <w:r>
              <w:rPr>
                <w:rFonts w:hint="eastAsia" w:asciiTheme="minorEastAsia" w:hAnsiTheme="minorEastAsia" w:eastAsiaTheme="minorEastAsia" w:cstheme="minorEastAsia"/>
                <w:bCs/>
                <w:sz w:val="21"/>
                <w:szCs w:val="21"/>
                <w:lang w:eastAsia="zh-CN"/>
              </w:rPr>
              <w:t>委托人（</w:t>
            </w:r>
            <w:r>
              <w:rPr>
                <w:rFonts w:hint="eastAsia" w:asciiTheme="minorEastAsia" w:hAnsiTheme="minorEastAsia" w:eastAsiaTheme="minorEastAsia" w:cstheme="minorEastAsia"/>
                <w:bCs/>
                <w:sz w:val="21"/>
                <w:szCs w:val="21"/>
              </w:rPr>
              <w:t>盖章</w:t>
            </w:r>
            <w:r>
              <w:rPr>
                <w:rFonts w:hint="eastAsia" w:asciiTheme="minorEastAsia" w:hAnsiTheme="minorEastAsia" w:eastAsiaTheme="minorEastAsia" w:cstheme="minorEastAsia"/>
                <w:bCs/>
                <w:sz w:val="21"/>
                <w:szCs w:val="21"/>
                <w:lang w:eastAsia="zh-CN"/>
              </w:rPr>
              <w:t>）</w:t>
            </w:r>
            <w:r>
              <w:rPr>
                <w:rFonts w:hint="eastAsia" w:asciiTheme="minorEastAsia" w:hAnsiTheme="minorEastAsia" w:eastAsiaTheme="minorEastAsia" w:cstheme="minorEastAsia"/>
                <w:bCs/>
                <w:sz w:val="21"/>
                <w:szCs w:val="21"/>
              </w:rPr>
              <w:t xml:space="preserve">： </w:t>
            </w:r>
            <w:r>
              <w:rPr>
                <w:rFonts w:hint="eastAsia" w:asciiTheme="minorEastAsia" w:hAnsiTheme="minorEastAsia" w:eastAsiaTheme="minorEastAsia" w:cstheme="minorEastAsia"/>
                <w:bCs/>
                <w:szCs w:val="21"/>
                <w:lang w:eastAsia="zh-CN"/>
              </w:rPr>
              <w:t xml:space="preserve">深圳市龙岗区城投置地开发有限公司 </w:t>
            </w:r>
          </w:p>
          <w:p>
            <w:pPr>
              <w:keepNext w:val="0"/>
              <w:keepLines w:val="0"/>
              <w:pageBreakBefore w:val="0"/>
              <w:tabs>
                <w:tab w:val="left" w:pos="408"/>
              </w:tabs>
              <w:kinsoku/>
              <w:wordWrap/>
              <w:overflowPunct/>
              <w:topLinePunct w:val="0"/>
              <w:bidi w:val="0"/>
              <w:spacing w:line="540" w:lineRule="exact"/>
              <w:jc w:val="left"/>
              <w:textAlignment w:val="auto"/>
              <w:rPr>
                <w:rFonts w:hint="eastAsia" w:asciiTheme="minorEastAsia" w:hAnsiTheme="minorEastAsia" w:eastAsiaTheme="minorEastAsia" w:cstheme="minorEastAsia"/>
                <w:bCs/>
                <w:sz w:val="21"/>
                <w:szCs w:val="21"/>
              </w:rPr>
            </w:pPr>
          </w:p>
          <w:p>
            <w:pPr>
              <w:keepNext w:val="0"/>
              <w:keepLines w:val="0"/>
              <w:pageBreakBefore w:val="0"/>
              <w:tabs>
                <w:tab w:val="left" w:pos="408"/>
              </w:tabs>
              <w:kinsoku/>
              <w:wordWrap/>
              <w:overflowPunct/>
              <w:topLinePunct w:val="0"/>
              <w:bidi w:val="0"/>
              <w:spacing w:line="540" w:lineRule="exact"/>
              <w:jc w:val="left"/>
              <w:textAlignment w:val="auto"/>
              <w:rPr>
                <w:rFonts w:hint="eastAsia" w:asciiTheme="minorEastAsia" w:hAnsiTheme="minorEastAsia" w:eastAsiaTheme="minorEastAsia" w:cstheme="minorEastAsia"/>
                <w:bCs/>
                <w:sz w:val="21"/>
                <w:szCs w:val="21"/>
              </w:rPr>
            </w:pPr>
          </w:p>
        </w:tc>
        <w:tc>
          <w:tcPr>
            <w:tcW w:w="4222" w:type="dxa"/>
            <w:shd w:val="clear" w:color="auto" w:fill="auto"/>
            <w:vAlign w:val="center"/>
          </w:tcPr>
          <w:p>
            <w:pPr>
              <w:keepNext w:val="0"/>
              <w:keepLines w:val="0"/>
              <w:pageBreakBefore w:val="0"/>
              <w:kinsoku/>
              <w:wordWrap/>
              <w:overflowPunct/>
              <w:topLinePunct w:val="0"/>
              <w:bidi w:val="0"/>
              <w:spacing w:line="5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咨询</w:t>
            </w:r>
            <w:r>
              <w:rPr>
                <w:rFonts w:hint="eastAsia" w:asciiTheme="minorEastAsia" w:hAnsiTheme="minorEastAsia" w:eastAsiaTheme="minorEastAsia" w:cstheme="minorEastAsia"/>
                <w:sz w:val="21"/>
                <w:szCs w:val="21"/>
              </w:rPr>
              <w:t>人</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盖章）：</w:t>
            </w:r>
          </w:p>
          <w:p>
            <w:pPr>
              <w:keepNext w:val="0"/>
              <w:keepLines w:val="0"/>
              <w:pageBreakBefore w:val="0"/>
              <w:kinsoku/>
              <w:wordWrap/>
              <w:overflowPunct/>
              <w:topLinePunct w:val="0"/>
              <w:bidi w:val="0"/>
              <w:spacing w:line="540" w:lineRule="exact"/>
              <w:jc w:val="left"/>
              <w:textAlignment w:val="auto"/>
              <w:rPr>
                <w:rFonts w:hint="eastAsia" w:asciiTheme="minorEastAsia" w:hAnsiTheme="minorEastAsia" w:eastAsiaTheme="minorEastAsia" w:cstheme="minorEastAsia"/>
                <w:sz w:val="21"/>
                <w:szCs w:val="21"/>
              </w:rPr>
            </w:pPr>
          </w:p>
        </w:tc>
      </w:tr>
      <w:tr>
        <w:tblPrEx>
          <w:tblCellMar>
            <w:top w:w="0" w:type="dxa"/>
            <w:left w:w="108" w:type="dxa"/>
            <w:bottom w:w="0" w:type="dxa"/>
            <w:right w:w="108" w:type="dxa"/>
          </w:tblCellMar>
        </w:tblPrEx>
        <w:trPr>
          <w:trHeight w:val="723" w:hRule="atLeast"/>
        </w:trPr>
        <w:tc>
          <w:tcPr>
            <w:tcW w:w="5067" w:type="dxa"/>
            <w:shd w:val="clear" w:color="auto" w:fill="auto"/>
            <w:vAlign w:val="center"/>
          </w:tcPr>
          <w:p>
            <w:pPr>
              <w:keepNext w:val="0"/>
              <w:keepLines w:val="0"/>
              <w:pageBreakBefore w:val="0"/>
              <w:tabs>
                <w:tab w:val="left" w:pos="408"/>
              </w:tabs>
              <w:kinsoku/>
              <w:wordWrap/>
              <w:overflowPunct/>
              <w:topLinePunct w:val="0"/>
              <w:bidi w:val="0"/>
              <w:spacing w:line="540" w:lineRule="exact"/>
              <w:ind w:left="2309" w:leftChars="1" w:hanging="2307" w:hangingChars="1099"/>
              <w:jc w:val="left"/>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法定代表人（或授权代表）签字：</w:t>
            </w:r>
          </w:p>
          <w:p>
            <w:pPr>
              <w:keepNext w:val="0"/>
              <w:keepLines w:val="0"/>
              <w:pageBreakBefore w:val="0"/>
              <w:tabs>
                <w:tab w:val="left" w:pos="408"/>
              </w:tabs>
              <w:kinsoku/>
              <w:wordWrap/>
              <w:overflowPunct/>
              <w:topLinePunct w:val="0"/>
              <w:bidi w:val="0"/>
              <w:spacing w:line="540" w:lineRule="exact"/>
              <w:ind w:left="2309" w:leftChars="1" w:hanging="2307" w:hangingChars="1099"/>
              <w:jc w:val="left"/>
              <w:textAlignment w:val="auto"/>
              <w:rPr>
                <w:rFonts w:hint="eastAsia" w:asciiTheme="minorEastAsia" w:hAnsiTheme="minorEastAsia" w:eastAsiaTheme="minorEastAsia" w:cstheme="minorEastAsia"/>
                <w:bCs/>
                <w:sz w:val="21"/>
                <w:szCs w:val="21"/>
              </w:rPr>
            </w:pPr>
          </w:p>
        </w:tc>
        <w:tc>
          <w:tcPr>
            <w:tcW w:w="4222" w:type="dxa"/>
            <w:shd w:val="clear" w:color="auto" w:fill="auto"/>
            <w:vAlign w:val="center"/>
          </w:tcPr>
          <w:p>
            <w:pPr>
              <w:keepNext w:val="0"/>
              <w:keepLines w:val="0"/>
              <w:pageBreakBefore w:val="0"/>
              <w:kinsoku/>
              <w:wordWrap/>
              <w:overflowPunct/>
              <w:topLinePunct w:val="0"/>
              <w:bidi w:val="0"/>
              <w:spacing w:line="540" w:lineRule="exact"/>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法定代表人（或授权代表）签字：</w:t>
            </w:r>
          </w:p>
          <w:p>
            <w:pPr>
              <w:keepNext w:val="0"/>
              <w:keepLines w:val="0"/>
              <w:pageBreakBefore w:val="0"/>
              <w:kinsoku/>
              <w:wordWrap/>
              <w:overflowPunct/>
              <w:topLinePunct w:val="0"/>
              <w:bidi w:val="0"/>
              <w:spacing w:line="540" w:lineRule="exact"/>
              <w:ind w:firstLine="420" w:firstLineChars="200"/>
              <w:jc w:val="left"/>
              <w:textAlignment w:val="auto"/>
              <w:rPr>
                <w:rFonts w:hint="eastAsia" w:asciiTheme="minorEastAsia" w:hAnsiTheme="minorEastAsia" w:eastAsiaTheme="minorEastAsia" w:cstheme="minorEastAsia"/>
                <w:sz w:val="21"/>
                <w:szCs w:val="21"/>
              </w:rPr>
            </w:pPr>
          </w:p>
        </w:tc>
      </w:tr>
      <w:tr>
        <w:tblPrEx>
          <w:tblCellMar>
            <w:top w:w="0" w:type="dxa"/>
            <w:left w:w="108" w:type="dxa"/>
            <w:bottom w:w="0" w:type="dxa"/>
            <w:right w:w="108" w:type="dxa"/>
          </w:tblCellMar>
        </w:tblPrEx>
        <w:trPr>
          <w:trHeight w:val="1207" w:hRule="atLeast"/>
        </w:trPr>
        <w:tc>
          <w:tcPr>
            <w:tcW w:w="5067" w:type="dxa"/>
            <w:shd w:val="clear" w:color="auto" w:fill="auto"/>
            <w:vAlign w:val="center"/>
          </w:tcPr>
          <w:p>
            <w:pPr>
              <w:keepNext w:val="0"/>
              <w:keepLines w:val="0"/>
              <w:pageBreakBefore w:val="0"/>
              <w:kinsoku/>
              <w:wordWrap/>
              <w:overflowPunct/>
              <w:topLinePunct w:val="0"/>
              <w:bidi w:val="0"/>
              <w:spacing w:line="540" w:lineRule="exact"/>
              <w:jc w:val="left"/>
              <w:textAlignment w:val="auto"/>
              <w:rPr>
                <w:rFonts w:hint="default"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sz w:val="21"/>
                <w:szCs w:val="21"/>
              </w:rPr>
              <w:t>地址：</w:t>
            </w:r>
            <w:r>
              <w:rPr>
                <w:rFonts w:hint="eastAsia" w:asciiTheme="minorEastAsia" w:hAnsiTheme="minorEastAsia" w:eastAsiaTheme="minorEastAsia" w:cstheme="minorEastAsia"/>
                <w:bCs/>
                <w:sz w:val="21"/>
                <w:szCs w:val="21"/>
              </w:rPr>
              <w:t>深圳市龙岗区腾飞路创投大厦</w:t>
            </w:r>
            <w:r>
              <w:rPr>
                <w:rFonts w:hint="eastAsia" w:asciiTheme="minorEastAsia" w:hAnsiTheme="minorEastAsia" w:eastAsiaTheme="minorEastAsia" w:cstheme="minorEastAsia"/>
                <w:bCs/>
                <w:sz w:val="21"/>
                <w:szCs w:val="21"/>
                <w:lang w:val="en-US" w:eastAsia="zh-CN"/>
              </w:rPr>
              <w:t>1001</w:t>
            </w:r>
          </w:p>
        </w:tc>
        <w:tc>
          <w:tcPr>
            <w:tcW w:w="4222" w:type="dxa"/>
            <w:shd w:val="clear" w:color="auto" w:fill="auto"/>
            <w:vAlign w:val="center"/>
          </w:tcPr>
          <w:p>
            <w:pPr>
              <w:keepNext w:val="0"/>
              <w:keepLines w:val="0"/>
              <w:pageBreakBefore w:val="0"/>
              <w:kinsoku/>
              <w:wordWrap/>
              <w:overflowPunct/>
              <w:topLinePunct w:val="0"/>
              <w:bidi w:val="0"/>
              <w:spacing w:line="540" w:lineRule="exact"/>
              <w:jc w:val="left"/>
              <w:textAlignment w:val="auto"/>
              <w:rPr>
                <w:rFonts w:hint="eastAsia" w:asciiTheme="minorEastAsia" w:hAnsiTheme="minorEastAsia" w:eastAsiaTheme="minorEastAsia" w:cstheme="minorEastAsia"/>
                <w:sz w:val="21"/>
                <w:szCs w:val="21"/>
                <w:u w:val="single"/>
                <w:lang w:val="en-US" w:eastAsia="zh-CN"/>
              </w:rPr>
            </w:pPr>
            <w:r>
              <w:rPr>
                <w:rFonts w:hint="eastAsia" w:asciiTheme="minorEastAsia" w:hAnsiTheme="minorEastAsia" w:eastAsiaTheme="minorEastAsia" w:cstheme="minorEastAsia"/>
                <w:sz w:val="21"/>
                <w:szCs w:val="21"/>
              </w:rPr>
              <w:t>地址：</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yellow"/>
                <w:u w:val="single"/>
                <w:lang w:val="en-US" w:eastAsia="zh-CN"/>
              </w:rPr>
              <w:t xml:space="preserve">   </w:t>
            </w:r>
          </w:p>
        </w:tc>
      </w:tr>
    </w:tbl>
    <w:p>
      <w:pPr>
        <w:spacing w:line="600" w:lineRule="exact"/>
        <w:rPr>
          <w:rFonts w:hint="eastAsia" w:asciiTheme="minorEastAsia" w:hAnsiTheme="minorEastAsia" w:eastAsiaTheme="minorEastAsia" w:cstheme="minorEastAsia"/>
          <w:spacing w:val="4"/>
          <w:sz w:val="21"/>
          <w:szCs w:val="21"/>
          <w:u w:val="none"/>
        </w:rPr>
      </w:pPr>
      <w:r>
        <w:rPr>
          <w:rFonts w:hint="eastAsia" w:asciiTheme="minorEastAsia" w:hAnsiTheme="minorEastAsia" w:eastAsiaTheme="minorEastAsia" w:cstheme="minorEastAsia"/>
          <w:spacing w:val="4"/>
          <w:sz w:val="21"/>
          <w:szCs w:val="21"/>
          <w:u w:val="none"/>
        </w:rPr>
        <w:t>合同签订时间： 202</w:t>
      </w:r>
      <w:r>
        <w:rPr>
          <w:rFonts w:hint="eastAsia" w:asciiTheme="minorEastAsia" w:hAnsiTheme="minorEastAsia" w:eastAsiaTheme="minorEastAsia" w:cstheme="minorEastAsia"/>
          <w:spacing w:val="4"/>
          <w:sz w:val="21"/>
          <w:szCs w:val="21"/>
          <w:u w:val="none"/>
          <w:lang w:val="en-US" w:eastAsia="zh-CN"/>
        </w:rPr>
        <w:t>6</w:t>
      </w:r>
      <w:r>
        <w:rPr>
          <w:rFonts w:hint="eastAsia" w:asciiTheme="minorEastAsia" w:hAnsiTheme="minorEastAsia" w:eastAsiaTheme="minorEastAsia" w:cstheme="minorEastAsia"/>
          <w:spacing w:val="4"/>
          <w:sz w:val="21"/>
          <w:szCs w:val="21"/>
          <w:u w:val="none"/>
        </w:rPr>
        <w:t>年</w:t>
      </w:r>
      <w:r>
        <w:rPr>
          <w:rFonts w:hint="eastAsia" w:asciiTheme="minorEastAsia" w:hAnsiTheme="minorEastAsia" w:eastAsiaTheme="minorEastAsia" w:cstheme="minorEastAsia"/>
          <w:spacing w:val="4"/>
          <w:sz w:val="21"/>
          <w:szCs w:val="21"/>
          <w:u w:val="single"/>
        </w:rPr>
        <w:t xml:space="preserve"> </w:t>
      </w:r>
      <w:r>
        <w:rPr>
          <w:rFonts w:hint="eastAsia" w:asciiTheme="minorEastAsia" w:hAnsiTheme="minorEastAsia" w:eastAsiaTheme="minorEastAsia" w:cstheme="minorEastAsia"/>
          <w:spacing w:val="4"/>
          <w:sz w:val="21"/>
          <w:szCs w:val="21"/>
          <w:u w:val="single"/>
          <w:lang w:val="en-US" w:eastAsia="zh-CN"/>
        </w:rPr>
        <w:t xml:space="preserve"> </w:t>
      </w:r>
      <w:r>
        <w:rPr>
          <w:rFonts w:hint="eastAsia" w:asciiTheme="minorEastAsia" w:hAnsiTheme="minorEastAsia" w:eastAsiaTheme="minorEastAsia" w:cstheme="minorEastAsia"/>
          <w:spacing w:val="4"/>
          <w:sz w:val="21"/>
          <w:szCs w:val="21"/>
          <w:u w:val="single"/>
        </w:rPr>
        <w:t xml:space="preserve">  </w:t>
      </w:r>
      <w:r>
        <w:rPr>
          <w:rFonts w:hint="eastAsia" w:asciiTheme="minorEastAsia" w:hAnsiTheme="minorEastAsia" w:eastAsiaTheme="minorEastAsia" w:cstheme="minorEastAsia"/>
          <w:spacing w:val="4"/>
          <w:sz w:val="21"/>
          <w:szCs w:val="21"/>
          <w:u w:val="none"/>
        </w:rPr>
        <w:t>月</w:t>
      </w:r>
      <w:r>
        <w:rPr>
          <w:rFonts w:hint="eastAsia" w:asciiTheme="minorEastAsia" w:hAnsiTheme="minorEastAsia" w:eastAsiaTheme="minorEastAsia" w:cstheme="minorEastAsia"/>
          <w:spacing w:val="4"/>
          <w:sz w:val="21"/>
          <w:szCs w:val="21"/>
          <w:u w:val="single"/>
        </w:rPr>
        <w:t xml:space="preserve">     </w:t>
      </w:r>
      <w:r>
        <w:rPr>
          <w:rFonts w:hint="eastAsia" w:asciiTheme="minorEastAsia" w:hAnsiTheme="minorEastAsia" w:eastAsiaTheme="minorEastAsia" w:cstheme="minorEastAsia"/>
          <w:spacing w:val="4"/>
          <w:sz w:val="21"/>
          <w:szCs w:val="21"/>
          <w:u w:val="none"/>
        </w:rPr>
        <w:t xml:space="preserve">日  </w:t>
      </w:r>
    </w:p>
    <w:p>
      <w:pPr>
        <w:spacing w:line="600" w:lineRule="exact"/>
        <w:rPr>
          <w:rFonts w:hint="eastAsia" w:asciiTheme="minorEastAsia" w:hAnsiTheme="minorEastAsia" w:eastAsiaTheme="minorEastAsia" w:cstheme="minorEastAsia"/>
          <w:spacing w:val="4"/>
          <w:sz w:val="21"/>
          <w:szCs w:val="21"/>
          <w:u w:val="single"/>
        </w:rPr>
      </w:pPr>
      <w:r>
        <w:rPr>
          <w:rFonts w:hint="eastAsia" w:asciiTheme="minorEastAsia" w:hAnsiTheme="minorEastAsia" w:eastAsiaTheme="minorEastAsia" w:cstheme="minorEastAsia"/>
          <w:spacing w:val="4"/>
          <w:sz w:val="21"/>
          <w:szCs w:val="21"/>
        </w:rPr>
        <w:t>合同签订地点：</w:t>
      </w:r>
      <w:r>
        <w:rPr>
          <w:rFonts w:hint="eastAsia" w:asciiTheme="minorEastAsia" w:hAnsiTheme="minorEastAsia" w:eastAsiaTheme="minorEastAsia" w:cstheme="minorEastAsia"/>
          <w:spacing w:val="4"/>
          <w:sz w:val="21"/>
          <w:szCs w:val="21"/>
          <w:u w:val="single"/>
        </w:rPr>
        <w:t xml:space="preserve"> 深圳市龙岗区  </w:t>
      </w:r>
    </w:p>
    <w:p>
      <w:pPr>
        <w:pStyle w:val="184"/>
        <w:jc w:val="center"/>
        <w:rPr>
          <w:rFonts w:ascii="宋体" w:hAnsi="宋体" w:eastAsia="宋体" w:cs="宋体"/>
          <w:b/>
          <w:bCs/>
          <w:sz w:val="36"/>
          <w:szCs w:val="36"/>
        </w:rPr>
      </w:pPr>
      <w:r>
        <w:rPr>
          <w:rFonts w:hint="eastAsia" w:ascii="宋体" w:hAnsi="宋体" w:eastAsia="宋体" w:cs="宋体"/>
          <w:b/>
        </w:rPr>
        <w:br w:type="page"/>
      </w:r>
      <w:r>
        <w:rPr>
          <w:rFonts w:hint="eastAsia" w:ascii="宋体" w:hAnsi="宋体" w:eastAsia="宋体" w:cs="宋体"/>
          <w:b/>
        </w:rPr>
        <w:tab/>
      </w:r>
      <w:r>
        <w:rPr>
          <w:rFonts w:hint="eastAsia" w:ascii="宋体" w:hAnsi="宋体" w:eastAsia="宋体" w:cs="宋体"/>
          <w:b/>
          <w:bCs/>
          <w:sz w:val="36"/>
          <w:szCs w:val="36"/>
        </w:rPr>
        <w:t>第二部分  委托函</w:t>
      </w:r>
    </w:p>
    <w:p>
      <w:pPr>
        <w:tabs>
          <w:tab w:val="left" w:pos="5640"/>
        </w:tabs>
        <w:jc w:val="center"/>
        <w:rPr>
          <w:rFonts w:ascii="宋体" w:hAnsi="宋体" w:cs="宋体"/>
          <w:b/>
          <w:bCs/>
          <w:kern w:val="0"/>
          <w:sz w:val="36"/>
          <w:szCs w:val="36"/>
        </w:rPr>
      </w:pPr>
      <w:r>
        <w:rPr>
          <w:rFonts w:hint="eastAsia" w:ascii="宋体" w:hAnsi="宋体" w:cs="宋体"/>
          <w:b/>
          <w:bCs/>
          <w:kern w:val="0"/>
          <w:sz w:val="36"/>
          <w:szCs w:val="36"/>
        </w:rPr>
        <w:t>关于</w:t>
      </w:r>
      <w:r>
        <w:rPr>
          <w:rFonts w:hint="eastAsia" w:ascii="宋体" w:hAnsi="宋体" w:cs="宋体"/>
          <w:b/>
          <w:bCs/>
          <w:kern w:val="0"/>
          <w:sz w:val="36"/>
          <w:szCs w:val="36"/>
          <w:u w:val="single"/>
          <w:lang w:val="en-US" w:eastAsia="zh-CN"/>
        </w:rPr>
        <w:t>南门苑、南门雅苑综合整治提升项目</w:t>
      </w:r>
      <w:r>
        <w:rPr>
          <w:rFonts w:hint="eastAsia" w:ascii="宋体" w:hAnsi="宋体" w:cs="宋体"/>
          <w:b/>
          <w:bCs/>
          <w:kern w:val="0"/>
          <w:sz w:val="36"/>
          <w:szCs w:val="36"/>
          <w:u w:val="none"/>
          <w:lang w:eastAsia="zh-CN"/>
        </w:rPr>
        <w:t>工程</w:t>
      </w:r>
      <w:r>
        <w:rPr>
          <w:rFonts w:hint="eastAsia" w:ascii="宋体" w:hAnsi="宋体" w:cs="宋体"/>
          <w:b/>
          <w:bCs/>
          <w:kern w:val="0"/>
          <w:sz w:val="36"/>
          <w:szCs w:val="36"/>
        </w:rPr>
        <w:t>造价咨询的委托函</w:t>
      </w:r>
    </w:p>
    <w:p>
      <w:pPr>
        <w:tabs>
          <w:tab w:val="left" w:pos="5640"/>
        </w:tabs>
        <w:adjustRightInd w:val="0"/>
        <w:snapToGrid w:val="0"/>
        <w:spacing w:line="540" w:lineRule="exact"/>
        <w:rPr>
          <w:rFonts w:ascii="宋体" w:hAnsi="宋体" w:cs="宋体"/>
          <w:spacing w:val="4"/>
          <w:sz w:val="32"/>
          <w:szCs w:val="32"/>
        </w:rPr>
      </w:pPr>
    </w:p>
    <w:p>
      <w:pPr>
        <w:tabs>
          <w:tab w:val="left" w:pos="5640"/>
        </w:tabs>
        <w:adjustRightInd w:val="0"/>
        <w:snapToGrid w:val="0"/>
        <w:spacing w:line="540" w:lineRule="exact"/>
        <w:rPr>
          <w:rFonts w:ascii="宋体" w:hAnsi="宋体" w:cs="宋体"/>
          <w:spacing w:val="4"/>
          <w:sz w:val="28"/>
          <w:szCs w:val="28"/>
        </w:rPr>
      </w:pPr>
      <w:r>
        <w:rPr>
          <w:rFonts w:hint="eastAsia" w:ascii="宋体" w:hAnsi="宋体" w:cs="宋体"/>
          <w:spacing w:val="4"/>
          <w:sz w:val="28"/>
          <w:szCs w:val="28"/>
          <w:u w:val="single"/>
          <w:lang w:val="en-US" w:eastAsia="zh-CN"/>
        </w:rPr>
        <w:t xml:space="preserve">                  </w:t>
      </w:r>
      <w:r>
        <w:rPr>
          <w:rFonts w:hint="eastAsia" w:ascii="宋体" w:hAnsi="宋体" w:cs="宋体"/>
          <w:spacing w:val="4"/>
          <w:sz w:val="28"/>
          <w:szCs w:val="28"/>
        </w:rPr>
        <w:t>：</w:t>
      </w:r>
    </w:p>
    <w:p>
      <w:pPr>
        <w:widowControl/>
        <w:tabs>
          <w:tab w:val="left" w:pos="5640"/>
        </w:tabs>
        <w:adjustRightInd w:val="0"/>
        <w:snapToGrid w:val="0"/>
        <w:spacing w:line="540" w:lineRule="exact"/>
        <w:ind w:firstLine="576" w:firstLineChars="200"/>
        <w:rPr>
          <w:rFonts w:ascii="宋体" w:hAnsi="宋体" w:cs="宋体"/>
          <w:spacing w:val="4"/>
          <w:sz w:val="28"/>
          <w:szCs w:val="28"/>
        </w:rPr>
      </w:pPr>
      <w:r>
        <w:rPr>
          <w:rFonts w:hint="eastAsia" w:ascii="宋体" w:hAnsi="宋体" w:cs="宋体"/>
          <w:spacing w:val="4"/>
          <w:sz w:val="28"/>
          <w:szCs w:val="28"/>
        </w:rPr>
        <w:t>我司拟委托贵司提供</w:t>
      </w:r>
      <w:r>
        <w:rPr>
          <w:rFonts w:hint="eastAsia" w:ascii="宋体" w:hAnsi="宋体" w:cs="宋体"/>
          <w:spacing w:val="4"/>
          <w:sz w:val="28"/>
          <w:szCs w:val="28"/>
          <w:u w:val="single"/>
          <w:lang w:val="en-US" w:eastAsia="zh-CN"/>
        </w:rPr>
        <w:t>南门苑、南门雅苑综合整治提升项目</w:t>
      </w:r>
      <w:r>
        <w:rPr>
          <w:rFonts w:hint="eastAsia" w:ascii="宋体" w:hAnsi="宋体" w:cs="宋体"/>
          <w:spacing w:val="4"/>
          <w:sz w:val="28"/>
          <w:szCs w:val="28"/>
          <w:u w:val="none"/>
          <w:lang w:eastAsia="zh-CN"/>
        </w:rPr>
        <w:t>工程</w:t>
      </w:r>
      <w:r>
        <w:rPr>
          <w:rFonts w:hint="eastAsia" w:ascii="宋体" w:hAnsi="宋体" w:cs="宋体"/>
          <w:spacing w:val="4"/>
          <w:sz w:val="28"/>
          <w:szCs w:val="28"/>
        </w:rPr>
        <w:t>造价咨询服务，合同金额定为</w:t>
      </w:r>
      <w:r>
        <w:rPr>
          <w:rFonts w:hint="eastAsia" w:ascii="宋体" w:hAnsi="宋体" w:cs="宋体"/>
          <w:spacing w:val="4"/>
          <w:sz w:val="28"/>
          <w:szCs w:val="28"/>
          <w:u w:val="single"/>
          <w:lang w:val="en-US" w:eastAsia="zh-CN"/>
        </w:rPr>
        <w:t xml:space="preserve">        </w:t>
      </w:r>
      <w:r>
        <w:rPr>
          <w:rFonts w:hint="eastAsia" w:ascii="宋体" w:hAnsi="宋体" w:cs="宋体"/>
          <w:spacing w:val="4"/>
          <w:sz w:val="28"/>
          <w:szCs w:val="28"/>
        </w:rPr>
        <w:t>万元（含税）。请贵司收到此函后组织人员尽快开展工作</w:t>
      </w:r>
      <w:r>
        <w:rPr>
          <w:rFonts w:hint="eastAsia" w:ascii="宋体" w:hAnsi="宋体" w:cs="宋体"/>
          <w:spacing w:val="4"/>
          <w:sz w:val="28"/>
          <w:szCs w:val="28"/>
          <w:lang w:eastAsia="zh-CN"/>
        </w:rPr>
        <w:t>，</w:t>
      </w:r>
      <w:r>
        <w:rPr>
          <w:rFonts w:hint="eastAsia" w:ascii="宋体" w:hAnsi="宋体" w:cs="宋体"/>
          <w:spacing w:val="4"/>
          <w:sz w:val="28"/>
          <w:szCs w:val="28"/>
        </w:rPr>
        <w:t>并与我司联系协商签订合同事宜。</w:t>
      </w:r>
    </w:p>
    <w:p>
      <w:pPr>
        <w:tabs>
          <w:tab w:val="left" w:pos="360"/>
          <w:tab w:val="left" w:pos="5640"/>
        </w:tabs>
        <w:adjustRightInd w:val="0"/>
        <w:snapToGrid w:val="0"/>
        <w:spacing w:before="156" w:beforeLines="50" w:line="540" w:lineRule="exact"/>
        <w:ind w:firstLine="576" w:firstLineChars="200"/>
        <w:rPr>
          <w:rFonts w:ascii="宋体" w:hAnsi="宋体" w:cs="宋体"/>
          <w:spacing w:val="4"/>
          <w:sz w:val="28"/>
          <w:szCs w:val="28"/>
        </w:rPr>
      </w:pPr>
      <w:r>
        <w:rPr>
          <w:rFonts w:hint="eastAsia" w:ascii="宋体" w:hAnsi="宋体" w:cs="宋体"/>
          <w:spacing w:val="4"/>
          <w:sz w:val="28"/>
          <w:szCs w:val="28"/>
        </w:rPr>
        <w:t>此函。</w:t>
      </w:r>
    </w:p>
    <w:p>
      <w:pPr>
        <w:spacing w:line="560" w:lineRule="exact"/>
        <w:ind w:firstLine="560" w:firstLineChars="200"/>
        <w:jc w:val="right"/>
        <w:rPr>
          <w:rFonts w:ascii="宋体" w:hAnsi="宋体" w:cs="宋体"/>
          <w:sz w:val="28"/>
          <w:szCs w:val="28"/>
        </w:rPr>
      </w:pPr>
    </w:p>
    <w:p>
      <w:pPr>
        <w:jc w:val="right"/>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lang w:eastAsia="zh-CN"/>
        </w:rPr>
        <w:t>深圳市龙岗区城投置地开发有限公司</w:t>
      </w:r>
      <w:r>
        <w:rPr>
          <w:rFonts w:hint="eastAsia" w:ascii="宋体" w:hAnsi="宋体" w:cs="宋体"/>
          <w:sz w:val="28"/>
          <w:szCs w:val="28"/>
        </w:rPr>
        <w:t xml:space="preserve">                       </w:t>
      </w:r>
    </w:p>
    <w:p>
      <w:pPr>
        <w:jc w:val="right"/>
        <w:rPr>
          <w:rFonts w:ascii="宋体" w:hAnsi="宋体" w:cs="宋体"/>
          <w:sz w:val="28"/>
          <w:szCs w:val="28"/>
        </w:rPr>
      </w:pPr>
      <w:r>
        <w:rPr>
          <w:rFonts w:ascii="宋体" w:hAnsi="宋体" w:cs="宋体"/>
          <w:sz w:val="28"/>
          <w:szCs w:val="28"/>
        </w:rPr>
        <w:t>202</w:t>
      </w:r>
      <w:r>
        <w:rPr>
          <w:rFonts w:hint="eastAsia" w:ascii="宋体" w:hAnsi="宋体" w:cs="宋体"/>
          <w:sz w:val="28"/>
          <w:szCs w:val="28"/>
          <w:lang w:val="en-US" w:eastAsia="zh-CN"/>
        </w:rPr>
        <w:t>6</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日</w:t>
      </w:r>
    </w:p>
    <w:p>
      <w:pPr>
        <w:jc w:val="center"/>
        <w:rPr>
          <w:rFonts w:ascii="宋体" w:hAnsi="宋体" w:cs="宋体"/>
          <w:b/>
          <w:sz w:val="36"/>
          <w:szCs w:val="36"/>
        </w:rPr>
      </w:pPr>
    </w:p>
    <w:p>
      <w:pPr>
        <w:jc w:val="center"/>
        <w:rPr>
          <w:rFonts w:ascii="宋体" w:hAnsi="宋体" w:cs="宋体"/>
          <w:b/>
          <w:sz w:val="36"/>
          <w:szCs w:val="36"/>
        </w:rPr>
      </w:pPr>
    </w:p>
    <w:p>
      <w:pPr>
        <w:jc w:val="center"/>
        <w:rPr>
          <w:rFonts w:ascii="宋体" w:hAnsi="宋体" w:cs="宋体"/>
          <w:b/>
          <w:sz w:val="36"/>
          <w:szCs w:val="36"/>
        </w:rPr>
      </w:pPr>
    </w:p>
    <w:p>
      <w:pPr>
        <w:jc w:val="center"/>
        <w:rPr>
          <w:rFonts w:ascii="宋体" w:hAnsi="宋体" w:cs="宋体"/>
          <w:b/>
          <w:sz w:val="36"/>
          <w:szCs w:val="36"/>
        </w:rPr>
      </w:pPr>
    </w:p>
    <w:p>
      <w:pPr>
        <w:jc w:val="center"/>
        <w:rPr>
          <w:rFonts w:ascii="宋体" w:hAnsi="宋体" w:cs="宋体"/>
          <w:b/>
          <w:sz w:val="36"/>
          <w:szCs w:val="36"/>
        </w:rPr>
      </w:pPr>
    </w:p>
    <w:p>
      <w:pPr>
        <w:jc w:val="center"/>
        <w:rPr>
          <w:rFonts w:ascii="宋体" w:hAnsi="宋体" w:cs="宋体"/>
          <w:b/>
          <w:sz w:val="36"/>
          <w:szCs w:val="36"/>
        </w:rPr>
      </w:pPr>
    </w:p>
    <w:p>
      <w:pPr>
        <w:rPr>
          <w:rFonts w:ascii="宋体" w:hAnsi="宋体" w:cs="宋体"/>
          <w:b/>
          <w:sz w:val="36"/>
          <w:szCs w:val="36"/>
        </w:rPr>
      </w:pPr>
    </w:p>
    <w:p>
      <w:pPr>
        <w:pStyle w:val="70"/>
      </w:pPr>
    </w:p>
    <w:p>
      <w:pPr>
        <w:jc w:val="center"/>
        <w:rPr>
          <w:rFonts w:ascii="宋体" w:hAnsi="宋体" w:cs="宋体"/>
          <w:b/>
          <w:sz w:val="36"/>
          <w:szCs w:val="36"/>
        </w:rPr>
      </w:pPr>
    </w:p>
    <w:p>
      <w:pPr>
        <w:jc w:val="center"/>
        <w:rPr>
          <w:rFonts w:ascii="宋体" w:hAnsi="宋体" w:cs="宋体"/>
          <w:b/>
          <w:sz w:val="36"/>
          <w:szCs w:val="36"/>
        </w:rPr>
      </w:pPr>
      <w:r>
        <w:rPr>
          <w:rFonts w:hint="eastAsia" w:ascii="宋体" w:hAnsi="宋体" w:cs="宋体"/>
          <w:b/>
          <w:sz w:val="36"/>
          <w:szCs w:val="36"/>
        </w:rPr>
        <w:t>第三部分 通用条款</w:t>
      </w:r>
    </w:p>
    <w:p>
      <w:pPr>
        <w:ind w:firstLine="20" w:firstLineChars="7"/>
        <w:jc w:val="center"/>
        <w:rPr>
          <w:rFonts w:ascii="宋体" w:hAnsi="宋体" w:cs="宋体"/>
          <w:b/>
          <w:sz w:val="28"/>
          <w:szCs w:val="28"/>
        </w:rPr>
      </w:pPr>
      <w:r>
        <w:rPr>
          <w:rFonts w:hint="eastAsia" w:ascii="宋体" w:hAnsi="宋体" w:cs="宋体"/>
          <w:b/>
          <w:sz w:val="28"/>
          <w:szCs w:val="28"/>
        </w:rPr>
        <w:t>词语定义、适用语言和</w:t>
      </w:r>
      <w:r>
        <w:rPr>
          <w:rFonts w:hint="eastAsia" w:ascii="宋体" w:hAnsi="宋体" w:cs="宋体"/>
          <w:b/>
          <w:sz w:val="28"/>
          <w:szCs w:val="28"/>
          <w:lang w:eastAsia="zh-CN"/>
        </w:rPr>
        <w:t>法律法规</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第一条</w:t>
      </w:r>
      <w:r>
        <w:rPr>
          <w:rFonts w:hint="eastAsia" w:ascii="宋体" w:hAnsi="宋体" w:cs="宋体"/>
          <w:spacing w:val="4"/>
          <w:sz w:val="24"/>
          <w:szCs w:val="24"/>
        </w:rPr>
        <w:t>下列名词和用语，除上下文另有规定外具有如下含义。</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1、“委托人”是指委托建设工程造价咨询业务和聘用工程造价咨询单位的一方，以及其合法继承人。</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2、“咨询人”是指承担建设工程造价咨询业务和工程造价咨询责任的一方，以及其合法继承人。</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3、“第三人”是指除委托人、咨询人以外与本咨询业务有关的当事人。</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4、“日”是指任何一天零时至第二天零时的时间段。</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第二条</w:t>
      </w:r>
      <w:r>
        <w:rPr>
          <w:rFonts w:hint="eastAsia" w:ascii="宋体" w:hAnsi="宋体" w:cs="宋体"/>
          <w:spacing w:val="4"/>
          <w:sz w:val="24"/>
          <w:szCs w:val="24"/>
        </w:rPr>
        <w:t>建设工程造价咨询合同适用的是中国的</w:t>
      </w:r>
      <w:r>
        <w:rPr>
          <w:rFonts w:hint="eastAsia" w:ascii="宋体" w:hAnsi="宋体" w:cs="宋体"/>
          <w:spacing w:val="4"/>
          <w:sz w:val="24"/>
          <w:szCs w:val="24"/>
          <w:lang w:eastAsia="zh-CN"/>
        </w:rPr>
        <w:t>法律法规</w:t>
      </w:r>
      <w:r>
        <w:rPr>
          <w:rFonts w:hint="eastAsia" w:ascii="宋体" w:hAnsi="宋体" w:cs="宋体"/>
          <w:spacing w:val="4"/>
          <w:sz w:val="24"/>
          <w:szCs w:val="24"/>
        </w:rPr>
        <w:t>，以</w:t>
      </w:r>
      <w:r>
        <w:rPr>
          <w:rFonts w:hint="eastAsia" w:ascii="宋体" w:hAnsi="宋体" w:cs="宋体"/>
          <w:spacing w:val="6"/>
          <w:sz w:val="24"/>
          <w:szCs w:val="24"/>
        </w:rPr>
        <w:t>及专用条件中议定的部门规章、工程造价有关计价办法和规定或项目</w:t>
      </w:r>
      <w:r>
        <w:rPr>
          <w:rFonts w:hint="eastAsia" w:ascii="宋体" w:hAnsi="宋体" w:cs="宋体"/>
          <w:spacing w:val="4"/>
          <w:sz w:val="24"/>
          <w:szCs w:val="24"/>
        </w:rPr>
        <w:t>所在地的</w:t>
      </w:r>
      <w:r>
        <w:rPr>
          <w:rFonts w:hint="eastAsia" w:ascii="宋体" w:hAnsi="宋体" w:cs="宋体"/>
          <w:spacing w:val="4"/>
          <w:sz w:val="24"/>
          <w:szCs w:val="24"/>
          <w:lang w:eastAsia="zh-CN"/>
        </w:rPr>
        <w:t>地方性法规</w:t>
      </w:r>
      <w:r>
        <w:rPr>
          <w:rFonts w:hint="eastAsia" w:ascii="宋体" w:hAnsi="宋体" w:cs="宋体"/>
          <w:spacing w:val="4"/>
          <w:sz w:val="24"/>
          <w:szCs w:val="24"/>
        </w:rPr>
        <w:t>、地方规章。</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第三条</w:t>
      </w:r>
      <w:r>
        <w:rPr>
          <w:rFonts w:hint="eastAsia" w:ascii="宋体" w:hAnsi="宋体" w:cs="宋体"/>
          <w:spacing w:val="4"/>
          <w:sz w:val="24"/>
          <w:szCs w:val="24"/>
        </w:rPr>
        <w:t>建设工程造价咨询合同的书写、解释和说明，以汉语为主导语言。当不同语言文本发生不同解释时，以汉语合同文本为准。</w:t>
      </w:r>
    </w:p>
    <w:p>
      <w:pPr>
        <w:spacing w:line="560" w:lineRule="exact"/>
        <w:jc w:val="center"/>
        <w:rPr>
          <w:rFonts w:ascii="宋体" w:hAnsi="宋体" w:cs="宋体"/>
          <w:b/>
          <w:sz w:val="24"/>
          <w:szCs w:val="24"/>
        </w:rPr>
      </w:pPr>
      <w:r>
        <w:rPr>
          <w:rFonts w:hint="eastAsia" w:ascii="宋体" w:hAnsi="宋体" w:cs="宋体"/>
          <w:b/>
          <w:sz w:val="24"/>
          <w:szCs w:val="24"/>
        </w:rPr>
        <w:t>咨询人的义务</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第四条</w:t>
      </w:r>
      <w:r>
        <w:rPr>
          <w:rFonts w:hint="eastAsia" w:ascii="宋体" w:hAnsi="宋体" w:cs="宋体"/>
          <w:bCs/>
          <w:spacing w:val="4"/>
          <w:sz w:val="24"/>
        </w:rPr>
        <w:t>咨询人应</w:t>
      </w:r>
      <w:r>
        <w:rPr>
          <w:rFonts w:hint="eastAsia" w:ascii="宋体" w:hAnsi="宋体" w:cs="宋体"/>
          <w:spacing w:val="4"/>
          <w:sz w:val="24"/>
          <w:szCs w:val="24"/>
        </w:rPr>
        <w:t>向委托人提供与工程造价咨询业务有关的资料，包括工程造价咨询的资质证书及承担本合同业务的专业人员名单、咨询工作计划等，并按合同协议书中约定的范围实施咨询业务。</w:t>
      </w:r>
      <w:r>
        <w:rPr>
          <w:rFonts w:hint="eastAsia" w:ascii="宋体" w:hAnsi="宋体" w:cs="宋体"/>
          <w:spacing w:val="4"/>
          <w:sz w:val="24"/>
        </w:rPr>
        <w:t>应当保证委派符合项目咨询业务要求的专业人员，按照国家及地方法律法规、政策、技术规范要求，全面完整履行合同。并且承担因委派人员怠于履行合同或者业务能力不足以正确履行合同而造成的不利后果。</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第五条</w:t>
      </w:r>
      <w:r>
        <w:rPr>
          <w:rFonts w:hint="eastAsia" w:ascii="宋体" w:hAnsi="宋体" w:cs="宋体"/>
          <w:bCs/>
          <w:spacing w:val="4"/>
          <w:sz w:val="24"/>
        </w:rPr>
        <w:t>咨询人在履行本合同期间，应当按委托人的要求提供服务，保质、按时完成工程造价咨询工作。</w:t>
      </w:r>
    </w:p>
    <w:p>
      <w:pPr>
        <w:spacing w:line="560" w:lineRule="exact"/>
        <w:ind w:firstLine="498" w:firstLineChars="200"/>
        <w:rPr>
          <w:rFonts w:ascii="宋体" w:hAnsi="宋体" w:cs="宋体"/>
          <w:bCs/>
          <w:spacing w:val="4"/>
          <w:sz w:val="24"/>
        </w:rPr>
      </w:pPr>
      <w:r>
        <w:rPr>
          <w:rFonts w:hint="eastAsia" w:ascii="宋体" w:hAnsi="宋体" w:cs="宋体"/>
          <w:b/>
          <w:spacing w:val="4"/>
          <w:sz w:val="24"/>
          <w:szCs w:val="24"/>
        </w:rPr>
        <w:t>第六条</w:t>
      </w:r>
      <w:r>
        <w:rPr>
          <w:rFonts w:hint="eastAsia" w:ascii="宋体" w:hAnsi="宋体" w:cs="宋体"/>
          <w:bCs/>
          <w:spacing w:val="4"/>
          <w:sz w:val="24"/>
        </w:rPr>
        <w:t>委托人及第三人提出与本咨询工作有关的问题并要求进行答复或核对时，咨询人应当在约定的时间内作出书面答复或核对。</w:t>
      </w:r>
    </w:p>
    <w:p>
      <w:pPr>
        <w:spacing w:line="560" w:lineRule="exact"/>
        <w:ind w:firstLine="498" w:firstLineChars="200"/>
        <w:rPr>
          <w:rFonts w:ascii="宋体" w:hAnsi="宋体" w:cs="宋体"/>
          <w:bCs/>
          <w:spacing w:val="4"/>
          <w:sz w:val="24"/>
        </w:rPr>
      </w:pPr>
      <w:r>
        <w:rPr>
          <w:rFonts w:hint="eastAsia" w:ascii="宋体" w:hAnsi="宋体" w:cs="宋体"/>
          <w:b/>
          <w:spacing w:val="4"/>
          <w:sz w:val="24"/>
          <w:szCs w:val="24"/>
        </w:rPr>
        <w:t>第七条</w:t>
      </w:r>
      <w:r>
        <w:rPr>
          <w:rFonts w:hint="eastAsia" w:ascii="宋体" w:hAnsi="宋体"/>
          <w:spacing w:val="8"/>
          <w:sz w:val="24"/>
        </w:rPr>
        <w:t>履行合同期间或合同终止后，未征得委托人书面同意，不得向任何第三人泄露与本项目有关的保密资料，不得与本项目有利害关系的第三人接触或者向其披露与本合同有关的任何信息。</w:t>
      </w:r>
    </w:p>
    <w:p>
      <w:pPr>
        <w:spacing w:line="560" w:lineRule="exact"/>
        <w:ind w:firstLine="496" w:firstLineChars="200"/>
        <w:rPr>
          <w:rFonts w:ascii="宋体" w:hAnsi="宋体" w:cs="宋体"/>
          <w:spacing w:val="4"/>
          <w:sz w:val="24"/>
          <w:szCs w:val="24"/>
        </w:rPr>
      </w:pPr>
    </w:p>
    <w:p>
      <w:pPr>
        <w:spacing w:line="560" w:lineRule="exact"/>
        <w:jc w:val="center"/>
        <w:rPr>
          <w:rFonts w:ascii="宋体" w:hAnsi="宋体" w:cs="宋体"/>
          <w:b/>
          <w:sz w:val="24"/>
          <w:szCs w:val="24"/>
        </w:rPr>
      </w:pPr>
      <w:r>
        <w:rPr>
          <w:rFonts w:hint="eastAsia" w:ascii="宋体" w:hAnsi="宋体" w:cs="宋体"/>
          <w:b/>
          <w:sz w:val="24"/>
          <w:szCs w:val="24"/>
        </w:rPr>
        <w:t>委托人的义务</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第八条</w:t>
      </w:r>
      <w:r>
        <w:rPr>
          <w:rFonts w:hint="eastAsia" w:ascii="宋体" w:hAnsi="宋体" w:cs="宋体"/>
          <w:spacing w:val="4"/>
          <w:sz w:val="24"/>
          <w:szCs w:val="24"/>
        </w:rPr>
        <w:t>委托人应负责与本建设工程造价咨询业务有关的第三人的协调工作，为咨询人工作提供外部条件。</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第九条</w:t>
      </w:r>
      <w:r>
        <w:rPr>
          <w:rFonts w:hint="eastAsia" w:ascii="宋体" w:hAnsi="宋体" w:cs="宋体"/>
          <w:spacing w:val="4"/>
          <w:sz w:val="24"/>
          <w:szCs w:val="24"/>
        </w:rPr>
        <w:t>委托人应当在约定的时间内，免费向咨询人提供与本项目咨询业务有关的资料。</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第十条</w:t>
      </w:r>
      <w:r>
        <w:rPr>
          <w:rFonts w:hint="eastAsia" w:ascii="宋体" w:hAnsi="宋体" w:cs="宋体"/>
          <w:spacing w:val="4"/>
          <w:sz w:val="24"/>
          <w:szCs w:val="24"/>
        </w:rPr>
        <w:t>委托人应当在约定的时间内就咨询人书面提交并要求</w:t>
      </w:r>
      <w:r>
        <w:rPr>
          <w:rFonts w:hint="eastAsia" w:ascii="宋体" w:hAnsi="宋体" w:cs="宋体"/>
          <w:spacing w:val="4"/>
          <w:sz w:val="24"/>
          <w:szCs w:val="24"/>
          <w:lang w:eastAsia="zh-CN"/>
        </w:rPr>
        <w:t>作出</w:t>
      </w:r>
      <w:r>
        <w:rPr>
          <w:rFonts w:hint="eastAsia" w:ascii="宋体" w:hAnsi="宋体" w:cs="宋体"/>
          <w:spacing w:val="4"/>
          <w:sz w:val="24"/>
          <w:szCs w:val="24"/>
        </w:rPr>
        <w:t>答复的事宜做出书面答复。</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第十一条</w:t>
      </w:r>
      <w:r>
        <w:rPr>
          <w:rFonts w:hint="eastAsia" w:ascii="宋体" w:hAnsi="宋体" w:cs="宋体"/>
          <w:spacing w:val="4"/>
          <w:sz w:val="24"/>
          <w:szCs w:val="24"/>
        </w:rPr>
        <w:t>委托人应当授权胜任本咨询业务的代表，负责与咨询人联系。</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第十二条</w:t>
      </w:r>
      <w:r>
        <w:rPr>
          <w:rFonts w:hint="eastAsia" w:ascii="宋体" w:hAnsi="宋体"/>
          <w:spacing w:val="8"/>
          <w:sz w:val="24"/>
        </w:rPr>
        <w:t>委托人应按合同约定向咨询人支付咨询酬金。</w:t>
      </w:r>
    </w:p>
    <w:p>
      <w:pPr>
        <w:spacing w:line="560" w:lineRule="exact"/>
        <w:jc w:val="center"/>
        <w:rPr>
          <w:rFonts w:ascii="宋体" w:hAnsi="宋体" w:cs="宋体"/>
          <w:b/>
          <w:sz w:val="24"/>
          <w:szCs w:val="24"/>
        </w:rPr>
      </w:pPr>
      <w:r>
        <w:rPr>
          <w:rFonts w:hint="eastAsia" w:ascii="宋体" w:hAnsi="宋体" w:cs="宋体"/>
          <w:b/>
          <w:sz w:val="24"/>
          <w:szCs w:val="24"/>
        </w:rPr>
        <w:t>咨询人的权利</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第十三条</w:t>
      </w:r>
      <w:r>
        <w:rPr>
          <w:rFonts w:hint="eastAsia" w:ascii="宋体" w:hAnsi="宋体" w:cs="宋体"/>
          <w:spacing w:val="4"/>
          <w:sz w:val="24"/>
          <w:szCs w:val="24"/>
        </w:rPr>
        <w:t>委托人在委托的建设工程造价咨询业务范围内，授予咨询人以下权利：</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1、咨询人在咨询过程中，如委托人提供的资料不明确时可向委托人提出书面报告。</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2、咨询人在咨询过程中，有权对第三人提出与本咨询业务有关的问题进行核对或查问。</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3、咨询人在咨询过程中，有到工程现场勘察的权利。</w:t>
      </w:r>
    </w:p>
    <w:p>
      <w:pPr>
        <w:spacing w:line="560" w:lineRule="exact"/>
        <w:ind w:firstLine="17" w:firstLineChars="7"/>
        <w:jc w:val="center"/>
        <w:rPr>
          <w:rFonts w:ascii="宋体" w:hAnsi="宋体" w:cs="宋体"/>
          <w:b/>
          <w:sz w:val="24"/>
          <w:szCs w:val="24"/>
        </w:rPr>
      </w:pPr>
      <w:r>
        <w:rPr>
          <w:rFonts w:hint="eastAsia" w:ascii="宋体" w:hAnsi="宋体" w:cs="宋体"/>
          <w:b/>
          <w:sz w:val="24"/>
          <w:szCs w:val="24"/>
        </w:rPr>
        <w:t>委托人的权利</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第十四条</w:t>
      </w:r>
      <w:r>
        <w:rPr>
          <w:rFonts w:hint="eastAsia" w:ascii="宋体" w:hAnsi="宋体" w:cs="宋体"/>
          <w:spacing w:val="4"/>
          <w:sz w:val="24"/>
          <w:szCs w:val="24"/>
        </w:rPr>
        <w:t>委托人有下列权利：</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1、委托人有权向咨询人询问工作进展情况及相关的内容。</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2、委托人有权阐述对具体问题的意见和建议。</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3、当委托人认定咨询专业人员不按咨询合同履行其职责，或与第三人串通、可能给委托人造成经济损失的，委托人有权要求更换咨询专业人员</w:t>
      </w:r>
      <w:r>
        <w:rPr>
          <w:rFonts w:hint="eastAsia" w:ascii="宋体" w:hAnsi="宋体" w:cs="宋体"/>
          <w:spacing w:val="4"/>
          <w:sz w:val="24"/>
          <w:szCs w:val="24"/>
          <w:lang w:eastAsia="zh-CN"/>
        </w:rPr>
        <w:t>直至</w:t>
      </w:r>
      <w:r>
        <w:rPr>
          <w:rFonts w:hint="eastAsia" w:ascii="宋体" w:hAnsi="宋体" w:cs="宋体"/>
          <w:spacing w:val="4"/>
          <w:sz w:val="24"/>
          <w:szCs w:val="24"/>
        </w:rPr>
        <w:t>终止合同并要求咨询人承担相应的赔偿责任。</w:t>
      </w:r>
    </w:p>
    <w:p>
      <w:pPr>
        <w:spacing w:line="560" w:lineRule="exact"/>
        <w:ind w:firstLine="17" w:firstLineChars="7"/>
        <w:jc w:val="center"/>
        <w:rPr>
          <w:rFonts w:ascii="宋体" w:hAnsi="宋体" w:cs="宋体"/>
          <w:b/>
          <w:sz w:val="24"/>
          <w:szCs w:val="24"/>
        </w:rPr>
      </w:pPr>
      <w:r>
        <w:rPr>
          <w:rFonts w:hint="eastAsia" w:ascii="宋体" w:hAnsi="宋体" w:cs="宋体"/>
          <w:b/>
          <w:sz w:val="24"/>
          <w:szCs w:val="24"/>
        </w:rPr>
        <w:t>咨询人的责任</w:t>
      </w:r>
    </w:p>
    <w:p>
      <w:pPr>
        <w:spacing w:line="560" w:lineRule="exact"/>
        <w:ind w:firstLine="498" w:firstLineChars="200"/>
        <w:rPr>
          <w:rFonts w:ascii="宋体" w:hAnsi="宋体" w:cs="宋体"/>
          <w:bCs/>
          <w:spacing w:val="4"/>
          <w:sz w:val="24"/>
          <w:szCs w:val="24"/>
        </w:rPr>
      </w:pPr>
      <w:r>
        <w:rPr>
          <w:rFonts w:hint="eastAsia" w:ascii="宋体" w:hAnsi="宋体" w:cs="宋体"/>
          <w:b/>
          <w:spacing w:val="4"/>
          <w:sz w:val="24"/>
          <w:szCs w:val="24"/>
        </w:rPr>
        <w:t>第十五条</w:t>
      </w:r>
      <w:r>
        <w:rPr>
          <w:rFonts w:hint="eastAsia" w:ascii="宋体" w:hAnsi="宋体" w:cs="宋体"/>
          <w:bCs/>
          <w:spacing w:val="4"/>
          <w:sz w:val="24"/>
          <w:szCs w:val="24"/>
        </w:rPr>
        <w:t>咨询人应当认真履行咨询合同中约定的咨询工作，并对其出具的咨询工作文件的真实性、有效性、完整性和准确性负责。</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第十六条</w:t>
      </w:r>
      <w:r>
        <w:rPr>
          <w:rFonts w:hint="eastAsia" w:ascii="宋体" w:hAnsi="宋体" w:cs="宋体"/>
          <w:bCs/>
          <w:spacing w:val="4"/>
          <w:sz w:val="24"/>
          <w:szCs w:val="24"/>
        </w:rPr>
        <w:t>咨询人的责任期即建设工程造价咨询合同有效期。如因非咨询人的责</w:t>
      </w:r>
      <w:r>
        <w:rPr>
          <w:rFonts w:hint="eastAsia" w:ascii="宋体" w:hAnsi="宋体" w:cs="宋体"/>
          <w:spacing w:val="4"/>
          <w:sz w:val="24"/>
          <w:szCs w:val="24"/>
        </w:rPr>
        <w:t>任造成进度的推迟或延误而超过约定的日期，双方应进一步约定相应延长合同有效期。</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第十七条</w:t>
      </w:r>
      <w:r>
        <w:rPr>
          <w:rFonts w:hint="eastAsia" w:ascii="宋体" w:hAnsi="宋体" w:cs="宋体"/>
          <w:spacing w:val="4"/>
          <w:sz w:val="24"/>
          <w:szCs w:val="24"/>
        </w:rPr>
        <w:t>咨询人责任期内，应当履行建设工程造价咨询合同中约定的义务，因咨询人过错造成的经济损失，应当向委托人进行赔偿。累计赔偿总额不应超过建设工程造价咨询费用总额（除去税金）。</w:t>
      </w:r>
    </w:p>
    <w:p>
      <w:pPr>
        <w:spacing w:line="560" w:lineRule="exact"/>
        <w:ind w:firstLine="490" w:firstLineChars="200"/>
        <w:rPr>
          <w:rFonts w:ascii="宋体" w:hAnsi="宋体" w:cs="宋体"/>
          <w:spacing w:val="2"/>
          <w:sz w:val="24"/>
          <w:szCs w:val="24"/>
        </w:rPr>
      </w:pPr>
      <w:r>
        <w:rPr>
          <w:rFonts w:hint="eastAsia" w:ascii="宋体" w:hAnsi="宋体" w:cs="宋体"/>
          <w:b/>
          <w:spacing w:val="2"/>
          <w:sz w:val="24"/>
          <w:szCs w:val="24"/>
        </w:rPr>
        <w:t>第十八条</w:t>
      </w:r>
      <w:r>
        <w:rPr>
          <w:rFonts w:hint="eastAsia" w:ascii="宋体" w:hAnsi="宋体" w:cs="宋体"/>
          <w:spacing w:val="2"/>
          <w:sz w:val="24"/>
          <w:szCs w:val="24"/>
        </w:rPr>
        <w:t>咨询人对委托人或第三人所提出的问题不能及时核对</w:t>
      </w:r>
      <w:r>
        <w:rPr>
          <w:rFonts w:hint="eastAsia" w:ascii="宋体" w:hAnsi="宋体" w:cs="宋体"/>
          <w:spacing w:val="4"/>
          <w:sz w:val="24"/>
          <w:szCs w:val="24"/>
        </w:rPr>
        <w:t>或答复，导致合同不能全部或部分履行，咨询人应当承担责任。</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第十九条</w:t>
      </w:r>
      <w:r>
        <w:rPr>
          <w:rFonts w:hint="eastAsia" w:ascii="宋体" w:hAnsi="宋体" w:cs="宋体"/>
          <w:spacing w:val="4"/>
          <w:sz w:val="24"/>
          <w:szCs w:val="24"/>
        </w:rPr>
        <w:t>咨询人向委托人提出赔偿要求不能成立时，则应补偿由于该赔偿或其他要求所导致委托人的各种费用的支出。</w:t>
      </w:r>
    </w:p>
    <w:p>
      <w:pPr>
        <w:spacing w:line="560" w:lineRule="exact"/>
        <w:ind w:firstLine="17" w:firstLineChars="7"/>
        <w:jc w:val="center"/>
        <w:rPr>
          <w:rFonts w:ascii="宋体" w:hAnsi="宋体" w:cs="宋体"/>
          <w:b/>
          <w:sz w:val="24"/>
          <w:szCs w:val="24"/>
        </w:rPr>
      </w:pPr>
      <w:r>
        <w:rPr>
          <w:rFonts w:hint="eastAsia" w:ascii="宋体" w:hAnsi="宋体" w:cs="宋体"/>
          <w:b/>
          <w:sz w:val="24"/>
          <w:szCs w:val="24"/>
        </w:rPr>
        <w:t>委托人的责任</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第二十条</w:t>
      </w:r>
      <w:r>
        <w:rPr>
          <w:rFonts w:hint="eastAsia" w:ascii="宋体" w:hAnsi="宋体" w:cs="宋体"/>
          <w:spacing w:val="4"/>
          <w:sz w:val="24"/>
          <w:szCs w:val="24"/>
        </w:rPr>
        <w:t>委托人应当履行建设工程造价咨询合同约定的义务，如有违反则应当承担违约责任，赔偿给咨询人造成的损失。</w:t>
      </w:r>
    </w:p>
    <w:p>
      <w:pPr>
        <w:spacing w:line="560" w:lineRule="exact"/>
        <w:ind w:firstLine="474" w:firstLineChars="200"/>
        <w:rPr>
          <w:rFonts w:ascii="宋体" w:hAnsi="宋体" w:cs="宋体"/>
          <w:spacing w:val="-2"/>
          <w:sz w:val="24"/>
          <w:szCs w:val="24"/>
        </w:rPr>
      </w:pPr>
      <w:r>
        <w:rPr>
          <w:rFonts w:hint="eastAsia" w:ascii="宋体" w:hAnsi="宋体" w:cs="宋体"/>
          <w:b/>
          <w:spacing w:val="-2"/>
          <w:sz w:val="24"/>
          <w:szCs w:val="24"/>
        </w:rPr>
        <w:t>第二十一条</w:t>
      </w:r>
      <w:r>
        <w:rPr>
          <w:rFonts w:hint="eastAsia" w:ascii="宋体" w:hAnsi="宋体" w:cs="宋体"/>
          <w:spacing w:val="-2"/>
          <w:sz w:val="24"/>
          <w:szCs w:val="24"/>
        </w:rPr>
        <w:t>委托人如果向咨询人提出赔偿或其他要求不能成立时，</w:t>
      </w:r>
      <w:r>
        <w:rPr>
          <w:rFonts w:hint="eastAsia" w:ascii="宋体" w:hAnsi="宋体" w:cs="宋体"/>
          <w:spacing w:val="4"/>
          <w:sz w:val="24"/>
          <w:szCs w:val="24"/>
        </w:rPr>
        <w:t>不承</w:t>
      </w:r>
      <w:r>
        <w:rPr>
          <w:rFonts w:hint="eastAsia" w:ascii="宋体" w:hAnsi="宋体" w:cs="宋体"/>
          <w:spacing w:val="-2"/>
          <w:sz w:val="24"/>
          <w:szCs w:val="24"/>
        </w:rPr>
        <w:t>担咨</w:t>
      </w:r>
      <w:r>
        <w:rPr>
          <w:rFonts w:hint="eastAsia" w:ascii="宋体" w:hAnsi="宋体" w:cs="宋体"/>
          <w:spacing w:val="4"/>
          <w:sz w:val="24"/>
          <w:szCs w:val="24"/>
        </w:rPr>
        <w:t>询人因此导致的费用的支出。</w:t>
      </w:r>
    </w:p>
    <w:p>
      <w:pPr>
        <w:spacing w:line="560" w:lineRule="exact"/>
        <w:ind w:firstLine="17" w:firstLineChars="7"/>
        <w:jc w:val="center"/>
        <w:rPr>
          <w:rFonts w:ascii="宋体" w:hAnsi="宋体" w:cs="宋体"/>
          <w:b/>
          <w:sz w:val="24"/>
          <w:szCs w:val="24"/>
        </w:rPr>
      </w:pPr>
      <w:r>
        <w:rPr>
          <w:rFonts w:hint="eastAsia" w:ascii="宋体" w:hAnsi="宋体" w:cs="宋体"/>
          <w:b/>
          <w:sz w:val="24"/>
          <w:szCs w:val="24"/>
        </w:rPr>
        <w:t>合同生效，变更与终止</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第二十二条</w:t>
      </w:r>
      <w:r>
        <w:rPr>
          <w:rFonts w:hint="eastAsia" w:ascii="宋体" w:hAnsi="宋体" w:cs="宋体"/>
          <w:spacing w:val="4"/>
          <w:sz w:val="24"/>
          <w:szCs w:val="24"/>
        </w:rPr>
        <w:t>本合同双方签字盖章之日起生效。</w:t>
      </w:r>
    </w:p>
    <w:p>
      <w:pPr>
        <w:spacing w:line="560" w:lineRule="exact"/>
        <w:ind w:firstLine="490" w:firstLineChars="200"/>
        <w:rPr>
          <w:rFonts w:ascii="宋体" w:hAnsi="宋体" w:cs="宋体"/>
          <w:sz w:val="24"/>
          <w:szCs w:val="24"/>
        </w:rPr>
      </w:pPr>
      <w:r>
        <w:rPr>
          <w:rFonts w:hint="eastAsia" w:ascii="宋体" w:hAnsi="宋体" w:cs="宋体"/>
          <w:b/>
          <w:spacing w:val="2"/>
          <w:sz w:val="24"/>
          <w:szCs w:val="24"/>
        </w:rPr>
        <w:t>第二十三条</w:t>
      </w:r>
      <w:r>
        <w:rPr>
          <w:rFonts w:hint="eastAsia" w:ascii="宋体" w:hAnsi="宋体" w:cs="宋体"/>
          <w:spacing w:val="2"/>
          <w:sz w:val="24"/>
          <w:szCs w:val="24"/>
        </w:rPr>
        <w:t>由于委托人的原因使咨询人工作受到阻碍或延误以</w:t>
      </w:r>
      <w:r>
        <w:rPr>
          <w:rFonts w:hint="eastAsia" w:ascii="宋体" w:hAnsi="宋体" w:cs="宋体"/>
          <w:spacing w:val="6"/>
          <w:sz w:val="24"/>
          <w:szCs w:val="24"/>
        </w:rPr>
        <w:t>致</w:t>
      </w:r>
      <w:r>
        <w:rPr>
          <w:rFonts w:hint="eastAsia" w:ascii="宋体" w:hAnsi="宋体" w:cs="宋体"/>
          <w:spacing w:val="4"/>
          <w:sz w:val="24"/>
          <w:szCs w:val="24"/>
        </w:rPr>
        <w:t>增加了工作量或持续时间，则咨询人应当将此情况与可能产生的影响及时书面通知委托人。双方约定建设工程造价咨询工作的时间应当相应延长。</w:t>
      </w:r>
    </w:p>
    <w:p>
      <w:pPr>
        <w:spacing w:line="560" w:lineRule="exact"/>
        <w:ind w:firstLine="490" w:firstLineChars="200"/>
        <w:rPr>
          <w:rFonts w:ascii="宋体" w:hAnsi="宋体" w:cs="宋体"/>
          <w:spacing w:val="2"/>
          <w:sz w:val="24"/>
          <w:szCs w:val="24"/>
        </w:rPr>
      </w:pPr>
      <w:r>
        <w:rPr>
          <w:rFonts w:hint="eastAsia" w:ascii="宋体" w:hAnsi="宋体" w:cs="宋体"/>
          <w:b/>
          <w:spacing w:val="2"/>
          <w:sz w:val="24"/>
          <w:szCs w:val="24"/>
        </w:rPr>
        <w:t>第二十四条</w:t>
      </w:r>
      <w:r>
        <w:rPr>
          <w:rFonts w:hint="eastAsia" w:ascii="宋体" w:hAnsi="宋体" w:cs="宋体"/>
          <w:spacing w:val="2"/>
          <w:sz w:val="24"/>
          <w:szCs w:val="24"/>
        </w:rPr>
        <w:t>当事人一方要求变更或解除合同时，则应当提前14日</w:t>
      </w:r>
      <w:r>
        <w:rPr>
          <w:rFonts w:hint="eastAsia" w:ascii="宋体" w:hAnsi="宋体" w:cs="宋体"/>
          <w:spacing w:val="4"/>
          <w:sz w:val="24"/>
          <w:szCs w:val="24"/>
        </w:rPr>
        <w:t>通知对方，双方协商一致后可对合同进行变更或解除，单方擅自变更或解除合同使一方遭受损失的，应当由责任方负责赔偿，但是由于一方违约导致另一方解除合同的除外。</w:t>
      </w:r>
    </w:p>
    <w:p>
      <w:pPr>
        <w:spacing w:line="560" w:lineRule="exact"/>
        <w:ind w:firstLine="490" w:firstLineChars="200"/>
        <w:rPr>
          <w:rFonts w:ascii="宋体" w:hAnsi="宋体" w:cs="宋体"/>
          <w:spacing w:val="4"/>
          <w:sz w:val="24"/>
          <w:szCs w:val="24"/>
        </w:rPr>
      </w:pPr>
      <w:r>
        <w:rPr>
          <w:rFonts w:hint="eastAsia" w:ascii="宋体" w:hAnsi="宋体" w:cs="宋体"/>
          <w:b/>
          <w:spacing w:val="2"/>
          <w:sz w:val="24"/>
          <w:szCs w:val="24"/>
        </w:rPr>
        <w:t>第二十五条</w:t>
      </w:r>
      <w:r>
        <w:rPr>
          <w:rFonts w:hint="eastAsia" w:ascii="宋体" w:hAnsi="宋体" w:cs="宋体"/>
          <w:spacing w:val="2"/>
          <w:sz w:val="24"/>
          <w:szCs w:val="24"/>
        </w:rPr>
        <w:t>咨询人由于委托人要求暂停或终止执行建设工程造</w:t>
      </w:r>
      <w:r>
        <w:rPr>
          <w:rFonts w:hint="eastAsia" w:ascii="宋体" w:hAnsi="宋体" w:cs="宋体"/>
          <w:spacing w:val="4"/>
          <w:sz w:val="24"/>
          <w:szCs w:val="24"/>
        </w:rPr>
        <w:t>价咨询业务，双方可另行签订中止或终止补充协议，委托人按咨询人已完成的工作量支付咨询费。</w:t>
      </w:r>
    </w:p>
    <w:p>
      <w:pPr>
        <w:spacing w:line="560" w:lineRule="exact"/>
        <w:ind w:firstLine="498" w:firstLineChars="200"/>
        <w:rPr>
          <w:rFonts w:ascii="宋体" w:hAnsi="宋体"/>
          <w:spacing w:val="8"/>
          <w:sz w:val="24"/>
        </w:rPr>
      </w:pPr>
      <w:r>
        <w:rPr>
          <w:rFonts w:hint="eastAsia" w:ascii="宋体" w:hAnsi="宋体" w:cs="宋体"/>
          <w:b/>
          <w:spacing w:val="4"/>
          <w:sz w:val="24"/>
          <w:szCs w:val="24"/>
        </w:rPr>
        <w:t>第二十六条</w:t>
      </w:r>
      <w:r>
        <w:rPr>
          <w:rFonts w:hint="eastAsia" w:ascii="宋体" w:hAnsi="宋体"/>
          <w:spacing w:val="8"/>
          <w:sz w:val="24"/>
        </w:rPr>
        <w:t>委托人和咨询人履行完毕本合同全部义务，咨询人向委托人提交符合合同约定的咨询工作文件，委托人按合同约定支付全部咨询酬金后，除本合同保密条款继续生效，本合同即告终止。</w:t>
      </w:r>
    </w:p>
    <w:p>
      <w:pPr>
        <w:spacing w:line="560" w:lineRule="exact"/>
        <w:ind w:firstLine="496" w:firstLineChars="200"/>
        <w:rPr>
          <w:rFonts w:ascii="宋体" w:hAnsi="宋体" w:cs="宋体"/>
          <w:spacing w:val="4"/>
          <w:sz w:val="24"/>
        </w:rPr>
      </w:pPr>
      <w:r>
        <w:rPr>
          <w:rFonts w:hint="eastAsia" w:ascii="宋体" w:hAnsi="宋体" w:cs="宋体"/>
          <w:spacing w:val="4"/>
          <w:sz w:val="24"/>
          <w:szCs w:val="24"/>
        </w:rPr>
        <w:t>变更或解除合同的通知或协议应当采取书面形式，新的协议未达成之前，原合同仍然有效。</w:t>
      </w:r>
    </w:p>
    <w:p>
      <w:pPr>
        <w:spacing w:line="560" w:lineRule="exact"/>
        <w:ind w:firstLine="17" w:firstLineChars="7"/>
        <w:jc w:val="center"/>
        <w:rPr>
          <w:rFonts w:ascii="宋体" w:hAnsi="宋体" w:cs="宋体"/>
          <w:b/>
          <w:sz w:val="24"/>
          <w:szCs w:val="24"/>
        </w:rPr>
      </w:pPr>
      <w:r>
        <w:rPr>
          <w:rFonts w:hint="eastAsia" w:ascii="宋体" w:hAnsi="宋体" w:cs="宋体"/>
          <w:b/>
          <w:sz w:val="24"/>
          <w:szCs w:val="24"/>
        </w:rPr>
        <w:t>咨询业务的费用</w:t>
      </w:r>
    </w:p>
    <w:p>
      <w:pPr>
        <w:spacing w:line="560" w:lineRule="exact"/>
        <w:ind w:firstLine="498" w:firstLineChars="200"/>
        <w:rPr>
          <w:rFonts w:ascii="宋体" w:hAnsi="宋体" w:cs="宋体"/>
          <w:spacing w:val="4"/>
          <w:sz w:val="24"/>
          <w:szCs w:val="24"/>
          <w:u w:val="single"/>
        </w:rPr>
      </w:pPr>
      <w:r>
        <w:rPr>
          <w:rFonts w:hint="eastAsia" w:ascii="宋体" w:hAnsi="宋体" w:cs="宋体"/>
          <w:b/>
          <w:spacing w:val="4"/>
          <w:sz w:val="24"/>
          <w:szCs w:val="24"/>
        </w:rPr>
        <w:t>第二十七条</w:t>
      </w:r>
      <w:r>
        <w:rPr>
          <w:rFonts w:hint="eastAsia" w:ascii="宋体" w:hAnsi="宋体" w:cs="宋体"/>
          <w:spacing w:val="4"/>
          <w:sz w:val="24"/>
          <w:szCs w:val="24"/>
        </w:rPr>
        <w:t>建设工程造价咨询费用按照建设工程造价咨询合同协议书约定的方法计取，并按约定的时间和数额支付。</w:t>
      </w:r>
    </w:p>
    <w:p>
      <w:pPr>
        <w:spacing w:line="560" w:lineRule="exact"/>
        <w:ind w:firstLine="490" w:firstLineChars="200"/>
        <w:rPr>
          <w:rFonts w:ascii="宋体" w:hAnsi="宋体" w:cs="宋体"/>
          <w:spacing w:val="2"/>
          <w:sz w:val="24"/>
          <w:szCs w:val="24"/>
        </w:rPr>
      </w:pPr>
      <w:r>
        <w:rPr>
          <w:rFonts w:hint="eastAsia" w:ascii="宋体" w:hAnsi="宋体" w:cs="宋体"/>
          <w:b/>
          <w:spacing w:val="2"/>
          <w:sz w:val="24"/>
          <w:szCs w:val="24"/>
        </w:rPr>
        <w:t>第二十八条</w:t>
      </w:r>
      <w:r>
        <w:rPr>
          <w:rFonts w:hint="eastAsia" w:ascii="宋体" w:hAnsi="宋体" w:cs="宋体"/>
          <w:spacing w:val="2"/>
          <w:sz w:val="24"/>
        </w:rPr>
        <w:t>如果委托人在规定的支付期限内未支付建设工程造</w:t>
      </w:r>
      <w:r>
        <w:rPr>
          <w:rFonts w:hint="eastAsia" w:ascii="宋体" w:hAnsi="宋体" w:cs="宋体"/>
          <w:spacing w:val="6"/>
          <w:sz w:val="24"/>
        </w:rPr>
        <w:t>价咨询费用，自规定支付之日起，</w:t>
      </w:r>
      <w:r>
        <w:rPr>
          <w:rFonts w:hint="eastAsia" w:ascii="宋体" w:hAnsi="宋体"/>
          <w:spacing w:val="8"/>
          <w:sz w:val="24"/>
        </w:rPr>
        <w:t>向咨询人支付应付酬金的同期贷款利率标准的利息</w:t>
      </w:r>
      <w:r>
        <w:rPr>
          <w:rFonts w:hint="eastAsia" w:ascii="宋体" w:hAnsi="宋体" w:cs="宋体"/>
          <w:spacing w:val="4"/>
          <w:sz w:val="24"/>
        </w:rPr>
        <w:t>。</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第二十九条</w:t>
      </w:r>
      <w:r>
        <w:rPr>
          <w:rFonts w:hint="eastAsia" w:ascii="宋体" w:hAnsi="宋体" w:cs="宋体"/>
          <w:spacing w:val="4"/>
          <w:sz w:val="24"/>
          <w:szCs w:val="24"/>
        </w:rPr>
        <w:t>如果委托人对咨询人提交支付通知书中费用或部分费用项目提出异议，应当在收到支付通知书五日内向咨询人发出异议通知，但委托人不得拖延其无异议费用项目的支付。</w:t>
      </w:r>
    </w:p>
    <w:p>
      <w:pPr>
        <w:spacing w:line="560" w:lineRule="exact"/>
        <w:ind w:firstLine="498" w:firstLineChars="200"/>
        <w:rPr>
          <w:rFonts w:ascii="宋体" w:hAnsi="宋体" w:cs="宋体"/>
          <w:b/>
          <w:spacing w:val="4"/>
          <w:sz w:val="24"/>
          <w:szCs w:val="24"/>
        </w:rPr>
      </w:pPr>
      <w:r>
        <w:rPr>
          <w:rFonts w:hint="eastAsia" w:ascii="宋体" w:hAnsi="宋体" w:cs="宋体"/>
          <w:b/>
          <w:spacing w:val="4"/>
          <w:sz w:val="24"/>
          <w:szCs w:val="24"/>
        </w:rPr>
        <w:t>第三十条</w:t>
      </w:r>
      <w:r>
        <w:rPr>
          <w:rFonts w:hint="eastAsia" w:ascii="宋体" w:hAnsi="宋体" w:cs="宋体"/>
          <w:spacing w:val="4"/>
          <w:sz w:val="24"/>
          <w:szCs w:val="24"/>
        </w:rPr>
        <w:t>如果咨询人未在委托人规定的期限内完成建设工程造价咨询业务，委托人可以自规定完成期限起，按照咨询人延期天数每延期一天在建设工程造价咨询费用内扣除</w:t>
      </w:r>
      <w:r>
        <w:rPr>
          <w:rFonts w:hint="eastAsia" w:ascii="宋体" w:hAnsi="宋体" w:cs="宋体"/>
          <w:spacing w:val="4"/>
          <w:sz w:val="24"/>
          <w:szCs w:val="24"/>
          <w:u w:val="single"/>
        </w:rPr>
        <w:t xml:space="preserve">  /</w:t>
      </w:r>
      <w:r>
        <w:rPr>
          <w:rFonts w:hint="eastAsia" w:ascii="宋体" w:hAnsi="宋体" w:cs="宋体"/>
          <w:spacing w:val="4"/>
          <w:sz w:val="24"/>
          <w:szCs w:val="24"/>
        </w:rPr>
        <w:t xml:space="preserve"> 元。 </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第三十一条</w:t>
      </w:r>
      <w:r>
        <w:rPr>
          <w:rFonts w:hint="eastAsia" w:ascii="宋体" w:hAnsi="宋体" w:cs="宋体"/>
          <w:spacing w:val="4"/>
          <w:sz w:val="24"/>
          <w:szCs w:val="24"/>
        </w:rPr>
        <w:t>支付建设工程造价咨询费用所采取的货币币种、汇率由合同专用条件约定。</w:t>
      </w:r>
    </w:p>
    <w:p>
      <w:pPr>
        <w:spacing w:line="560" w:lineRule="exact"/>
        <w:ind w:firstLine="17" w:firstLineChars="7"/>
        <w:jc w:val="center"/>
        <w:rPr>
          <w:rFonts w:ascii="宋体" w:hAnsi="宋体" w:cs="宋体"/>
          <w:b/>
          <w:sz w:val="24"/>
          <w:szCs w:val="24"/>
        </w:rPr>
      </w:pPr>
      <w:r>
        <w:rPr>
          <w:rFonts w:hint="eastAsia" w:ascii="宋体" w:hAnsi="宋体" w:cs="宋体"/>
          <w:b/>
          <w:sz w:val="24"/>
          <w:szCs w:val="24"/>
        </w:rPr>
        <w:t>其   他</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第三十二条</w:t>
      </w:r>
      <w:r>
        <w:rPr>
          <w:rFonts w:hint="eastAsia" w:ascii="宋体" w:hAnsi="宋体" w:cs="宋体"/>
          <w:spacing w:val="4"/>
          <w:sz w:val="24"/>
          <w:szCs w:val="24"/>
        </w:rPr>
        <w:t>因建设工程造价咨询业务的需要，咨询人在合同约定外的外出考察，经委托人同意，其所需</w:t>
      </w:r>
      <w:r>
        <w:rPr>
          <w:rFonts w:hint="eastAsia" w:ascii="宋体" w:hAnsi="宋体" w:cs="宋体"/>
          <w:spacing w:val="4"/>
          <w:sz w:val="24"/>
          <w:szCs w:val="24"/>
          <w:lang w:eastAsia="zh-CN"/>
        </w:rPr>
        <w:t>要的</w:t>
      </w:r>
      <w:r>
        <w:rPr>
          <w:rFonts w:hint="eastAsia" w:ascii="宋体" w:hAnsi="宋体" w:cs="宋体"/>
          <w:spacing w:val="4"/>
          <w:sz w:val="24"/>
          <w:szCs w:val="24"/>
        </w:rPr>
        <w:t>费用由委托人负责。</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第三十三条</w:t>
      </w:r>
      <w:r>
        <w:rPr>
          <w:rFonts w:hint="eastAsia" w:ascii="宋体" w:hAnsi="宋体" w:cs="宋体"/>
          <w:spacing w:val="4"/>
          <w:sz w:val="24"/>
          <w:szCs w:val="24"/>
        </w:rPr>
        <w:t>咨询人如需外聘专家协助，在委托的建设工程造价咨询业务范围内其费用由咨询人承担；在委托的建设工程造价咨询业务范围以外经委托人书面同意并认可其费用后由委托人承担。</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第三十四条</w:t>
      </w:r>
      <w:r>
        <w:rPr>
          <w:rFonts w:hint="eastAsia" w:ascii="宋体" w:hAnsi="宋体" w:cs="宋体"/>
          <w:spacing w:val="4"/>
          <w:sz w:val="24"/>
          <w:szCs w:val="24"/>
        </w:rPr>
        <w:t>未经对方的书面同意，各方均不得转让合同约定的权利和义务。</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第三十五条</w:t>
      </w:r>
      <w:r>
        <w:rPr>
          <w:rFonts w:hint="eastAsia" w:ascii="宋体" w:hAnsi="宋体" w:cs="宋体"/>
          <w:spacing w:val="4"/>
          <w:sz w:val="24"/>
          <w:szCs w:val="24"/>
        </w:rPr>
        <w:t>除委托人书面同意外，咨询人及咨询专业人员不应接受建设工程造价咨询合同约定以外的与工程造价咨询项目有关的任何报酬。 咨询人不得参与可能与合同规定的与委托人利益相冲突的任何活动。</w:t>
      </w:r>
    </w:p>
    <w:p>
      <w:pPr>
        <w:spacing w:line="560" w:lineRule="exact"/>
        <w:ind w:firstLine="17" w:firstLineChars="7"/>
        <w:jc w:val="center"/>
        <w:rPr>
          <w:rFonts w:ascii="宋体" w:hAnsi="宋体" w:cs="宋体"/>
          <w:b/>
          <w:sz w:val="24"/>
          <w:szCs w:val="24"/>
        </w:rPr>
      </w:pPr>
      <w:r>
        <w:rPr>
          <w:rFonts w:hint="eastAsia" w:ascii="宋体" w:hAnsi="宋体" w:cs="宋体"/>
          <w:b/>
          <w:sz w:val="24"/>
          <w:szCs w:val="24"/>
        </w:rPr>
        <w:t>合同争议的解决</w:t>
      </w:r>
    </w:p>
    <w:p>
      <w:pPr>
        <w:widowControl/>
        <w:snapToGrid w:val="0"/>
        <w:spacing w:line="560" w:lineRule="exact"/>
        <w:ind w:firstLine="498" w:firstLineChars="200"/>
        <w:jc w:val="left"/>
        <w:rPr>
          <w:rFonts w:ascii="宋体" w:hAnsi="宋体" w:cs="宋体"/>
          <w:kern w:val="0"/>
          <w:sz w:val="24"/>
          <w:szCs w:val="24"/>
        </w:rPr>
      </w:pPr>
      <w:r>
        <w:rPr>
          <w:rFonts w:hint="eastAsia" w:ascii="宋体" w:hAnsi="宋体" w:cs="宋体"/>
          <w:b/>
          <w:spacing w:val="4"/>
          <w:sz w:val="24"/>
          <w:szCs w:val="24"/>
        </w:rPr>
        <w:t>第三十六条</w:t>
      </w:r>
      <w:r>
        <w:rPr>
          <w:rFonts w:hint="eastAsia" w:ascii="宋体" w:hAnsi="宋体" w:cs="宋体"/>
          <w:spacing w:val="4"/>
          <w:sz w:val="24"/>
          <w:szCs w:val="24"/>
        </w:rPr>
        <w:t>本合同履行中如发生纠纷，由双方协商解决；协商不成时，均可向</w:t>
      </w:r>
      <w:r>
        <w:rPr>
          <w:rFonts w:hint="eastAsia" w:ascii="宋体" w:hAnsi="宋体" w:cs="宋体"/>
          <w:spacing w:val="4"/>
          <w:sz w:val="24"/>
          <w:szCs w:val="24"/>
          <w:u w:val="single"/>
        </w:rPr>
        <w:t>委托人住所地</w:t>
      </w:r>
      <w:r>
        <w:rPr>
          <w:rFonts w:hint="eastAsia" w:ascii="宋体" w:hAnsi="宋体" w:cs="宋体"/>
          <w:spacing w:val="4"/>
          <w:sz w:val="24"/>
          <w:szCs w:val="24"/>
        </w:rPr>
        <w:t>人民法院提起诉讼。</w:t>
      </w:r>
    </w:p>
    <w:p>
      <w:pPr>
        <w:spacing w:line="560" w:lineRule="exact"/>
        <w:ind w:firstLine="349" w:firstLineChars="150"/>
        <w:jc w:val="center"/>
        <w:rPr>
          <w:rFonts w:ascii="宋体" w:hAnsi="宋体" w:cs="宋体"/>
          <w:b/>
          <w:spacing w:val="-4"/>
          <w:sz w:val="24"/>
          <w:szCs w:val="24"/>
        </w:rPr>
        <w:sectPr>
          <w:headerReference r:id="rId3" w:type="default"/>
          <w:footerReference r:id="rId4" w:type="default"/>
          <w:pgSz w:w="11906" w:h="16838"/>
          <w:pgMar w:top="2098" w:right="1474" w:bottom="1985" w:left="1588" w:header="851" w:footer="992" w:gutter="0"/>
          <w:pgNumType w:fmt="chineseCounting" w:start="1"/>
          <w:cols w:space="720" w:num="1"/>
          <w:docGrid w:type="lines" w:linePitch="312" w:charSpace="0"/>
        </w:sectPr>
      </w:pPr>
    </w:p>
    <w:p>
      <w:pPr>
        <w:jc w:val="center"/>
        <w:rPr>
          <w:rFonts w:ascii="宋体" w:hAnsi="宋体" w:cs="宋体"/>
          <w:b/>
          <w:spacing w:val="-4"/>
          <w:sz w:val="36"/>
          <w:szCs w:val="36"/>
        </w:rPr>
      </w:pPr>
      <w:r>
        <w:rPr>
          <w:rFonts w:hint="eastAsia" w:ascii="宋体" w:hAnsi="宋体" w:cs="宋体"/>
          <w:b/>
          <w:spacing w:val="-4"/>
          <w:sz w:val="36"/>
          <w:szCs w:val="36"/>
        </w:rPr>
        <w:t>第四部分  专用条件</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第四条</w:t>
      </w:r>
      <w:r>
        <w:rPr>
          <w:rFonts w:hint="eastAsia" w:ascii="宋体" w:hAnsi="宋体" w:cs="宋体"/>
          <w:spacing w:val="4"/>
          <w:sz w:val="24"/>
          <w:szCs w:val="24"/>
        </w:rPr>
        <w:t>咨询人指派</w:t>
      </w:r>
      <w:r>
        <w:rPr>
          <w:rFonts w:hint="eastAsia" w:ascii="宋体" w:hAnsi="宋体" w:cs="宋体"/>
          <w:spacing w:val="4"/>
          <w:sz w:val="24"/>
          <w:szCs w:val="24"/>
          <w:highlight w:val="yellow"/>
          <w:u w:val="single"/>
          <w:lang w:val="en-US" w:eastAsia="zh-CN"/>
        </w:rPr>
        <w:t xml:space="preserve">           联系电话：           </w:t>
      </w:r>
      <w:r>
        <w:rPr>
          <w:rFonts w:hint="eastAsia" w:ascii="宋体" w:hAnsi="宋体" w:cs="宋体"/>
          <w:spacing w:val="4"/>
          <w:sz w:val="24"/>
          <w:szCs w:val="24"/>
        </w:rPr>
        <w:t>造价工程师负责本项目咨询业务，其主要职责：按照造价咨询合同约定完成本项目工程咨询工作。</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第六条</w:t>
      </w:r>
      <w:r>
        <w:rPr>
          <w:rFonts w:hint="eastAsia" w:ascii="宋体" w:hAnsi="宋体" w:cs="宋体"/>
          <w:spacing w:val="2"/>
          <w:sz w:val="24"/>
          <w:szCs w:val="24"/>
        </w:rPr>
        <w:t>咨询人应在</w:t>
      </w:r>
      <w:r>
        <w:rPr>
          <w:rFonts w:hint="eastAsia" w:ascii="宋体" w:hAnsi="宋体" w:cs="宋体"/>
          <w:spacing w:val="2"/>
          <w:sz w:val="24"/>
          <w:szCs w:val="24"/>
          <w:u w:val="single"/>
        </w:rPr>
        <w:t>2</w:t>
      </w:r>
      <w:r>
        <w:rPr>
          <w:rFonts w:hint="eastAsia" w:ascii="宋体" w:hAnsi="宋体" w:cs="宋体"/>
          <w:spacing w:val="2"/>
          <w:sz w:val="24"/>
          <w:szCs w:val="24"/>
        </w:rPr>
        <w:t>天内对委托人书面提交并要求作出答复</w:t>
      </w:r>
      <w:r>
        <w:rPr>
          <w:rFonts w:hint="eastAsia" w:ascii="宋体" w:hAnsi="宋体" w:cs="宋体"/>
          <w:spacing w:val="4"/>
          <w:sz w:val="24"/>
          <w:szCs w:val="24"/>
        </w:rPr>
        <w:t>的事宜作出书面答复。</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第九条</w:t>
      </w:r>
      <w:r>
        <w:rPr>
          <w:rFonts w:hint="eastAsia" w:ascii="宋体" w:hAnsi="宋体" w:cs="宋体"/>
          <w:spacing w:val="4"/>
          <w:sz w:val="24"/>
          <w:szCs w:val="24"/>
        </w:rPr>
        <w:t>委托人应当在合同签订日起</w:t>
      </w:r>
      <w:r>
        <w:rPr>
          <w:rFonts w:hint="eastAsia" w:ascii="宋体" w:hAnsi="宋体" w:cs="宋体"/>
          <w:spacing w:val="4"/>
          <w:sz w:val="24"/>
          <w:szCs w:val="24"/>
          <w:u w:val="single"/>
        </w:rPr>
        <w:t>2</w:t>
      </w:r>
      <w:r>
        <w:rPr>
          <w:rFonts w:hint="eastAsia" w:ascii="宋体" w:hAnsi="宋体" w:cs="宋体"/>
          <w:spacing w:val="4"/>
          <w:sz w:val="24"/>
          <w:szCs w:val="24"/>
        </w:rPr>
        <w:t>日内向咨询人提供工程造价咨询材料。</w:t>
      </w:r>
    </w:p>
    <w:p>
      <w:pPr>
        <w:spacing w:line="560" w:lineRule="exact"/>
        <w:ind w:firstLine="490" w:firstLineChars="200"/>
        <w:rPr>
          <w:rFonts w:ascii="宋体" w:hAnsi="宋体" w:cs="宋体"/>
          <w:spacing w:val="4"/>
          <w:sz w:val="24"/>
          <w:szCs w:val="24"/>
        </w:rPr>
      </w:pPr>
      <w:r>
        <w:rPr>
          <w:rFonts w:hint="eastAsia" w:ascii="宋体" w:hAnsi="宋体" w:cs="宋体"/>
          <w:b/>
          <w:spacing w:val="2"/>
          <w:sz w:val="24"/>
          <w:szCs w:val="24"/>
        </w:rPr>
        <w:t>第十条</w:t>
      </w:r>
      <w:r>
        <w:rPr>
          <w:rFonts w:hint="eastAsia" w:ascii="宋体" w:hAnsi="宋体" w:cs="宋体"/>
          <w:spacing w:val="2"/>
          <w:sz w:val="24"/>
          <w:szCs w:val="24"/>
        </w:rPr>
        <w:t>委托人应在</w:t>
      </w:r>
      <w:r>
        <w:rPr>
          <w:rFonts w:hint="eastAsia" w:ascii="宋体" w:hAnsi="宋体" w:cs="宋体"/>
          <w:spacing w:val="2"/>
          <w:sz w:val="24"/>
          <w:szCs w:val="24"/>
          <w:u w:val="single"/>
        </w:rPr>
        <w:t xml:space="preserve">2 </w:t>
      </w:r>
      <w:r>
        <w:rPr>
          <w:rFonts w:hint="eastAsia" w:ascii="宋体" w:hAnsi="宋体" w:cs="宋体"/>
          <w:spacing w:val="2"/>
          <w:sz w:val="24"/>
          <w:szCs w:val="24"/>
        </w:rPr>
        <w:t>天内对咨询人书面提交并要求作出答复</w:t>
      </w:r>
      <w:r>
        <w:rPr>
          <w:rFonts w:hint="eastAsia" w:ascii="宋体" w:hAnsi="宋体" w:cs="宋体"/>
          <w:spacing w:val="4"/>
          <w:sz w:val="24"/>
          <w:szCs w:val="24"/>
        </w:rPr>
        <w:t>的事宜作出书面答复。</w:t>
      </w:r>
    </w:p>
    <w:p>
      <w:pPr>
        <w:spacing w:line="560" w:lineRule="exact"/>
        <w:ind w:firstLine="498" w:firstLineChars="200"/>
        <w:rPr>
          <w:rFonts w:ascii="宋体" w:hAnsi="宋体" w:cs="宋体"/>
          <w:spacing w:val="4"/>
          <w:sz w:val="24"/>
        </w:rPr>
      </w:pPr>
      <w:r>
        <w:rPr>
          <w:rFonts w:hint="eastAsia" w:ascii="宋体" w:hAnsi="宋体" w:cs="宋体"/>
          <w:b/>
          <w:spacing w:val="4"/>
          <w:sz w:val="24"/>
          <w:szCs w:val="24"/>
        </w:rPr>
        <w:t>第十一条</w:t>
      </w:r>
      <w:r>
        <w:rPr>
          <w:rFonts w:hint="eastAsia" w:ascii="宋体" w:hAnsi="宋体" w:cs="宋体"/>
          <w:spacing w:val="4"/>
          <w:sz w:val="24"/>
          <w:szCs w:val="24"/>
        </w:rPr>
        <w:t>委托人授权的本咨询业务代表，姓名</w:t>
      </w:r>
      <w:r>
        <w:rPr>
          <w:rFonts w:hint="eastAsia" w:ascii="宋体" w:hAnsi="宋体" w:cs="宋体"/>
          <w:spacing w:val="4"/>
          <w:sz w:val="24"/>
          <w:szCs w:val="24"/>
          <w:highlight w:val="yellow"/>
          <w:u w:val="single"/>
          <w:lang w:val="en-US" w:eastAsia="zh-CN"/>
        </w:rPr>
        <w:t xml:space="preserve">        联系电话：         </w:t>
      </w:r>
      <w:r>
        <w:rPr>
          <w:rFonts w:hint="eastAsia" w:ascii="宋体" w:hAnsi="宋体" w:cs="宋体"/>
          <w:spacing w:val="4"/>
          <w:sz w:val="24"/>
          <w:szCs w:val="24"/>
        </w:rPr>
        <w:t>，其主要职责：</w:t>
      </w:r>
      <w:r>
        <w:rPr>
          <w:rFonts w:hint="eastAsia" w:ascii="宋体" w:hAnsi="宋体"/>
          <w:spacing w:val="8"/>
          <w:sz w:val="24"/>
        </w:rPr>
        <w:t>负责本项目的咨询业务、与咨询人进行联系、沟通及协调</w:t>
      </w:r>
      <w:r>
        <w:rPr>
          <w:rFonts w:hint="eastAsia" w:ascii="宋体" w:hAnsi="宋体" w:cs="宋体"/>
          <w:spacing w:val="4"/>
          <w:sz w:val="24"/>
        </w:rPr>
        <w:t>。</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第十五条</w:t>
      </w:r>
    </w:p>
    <w:p>
      <w:pPr>
        <w:spacing w:line="540" w:lineRule="exact"/>
        <w:ind w:firstLine="496" w:firstLineChars="200"/>
        <w:rPr>
          <w:rFonts w:hint="eastAsia" w:ascii="宋体" w:hAnsi="宋体" w:cs="宋体"/>
          <w:spacing w:val="4"/>
          <w:sz w:val="24"/>
          <w:szCs w:val="24"/>
        </w:rPr>
      </w:pPr>
      <w:r>
        <w:rPr>
          <w:rFonts w:hint="eastAsia" w:ascii="宋体" w:hAnsi="宋体" w:cs="宋体"/>
          <w:spacing w:val="4"/>
          <w:sz w:val="24"/>
          <w:szCs w:val="24"/>
        </w:rPr>
        <w:t>1、设计阶段造价控制建议：委托人提出要求后</w:t>
      </w:r>
      <w:r>
        <w:rPr>
          <w:rFonts w:hint="eastAsia" w:ascii="宋体" w:hAnsi="宋体" w:cs="宋体"/>
          <w:spacing w:val="4"/>
          <w:sz w:val="24"/>
          <w:szCs w:val="24"/>
          <w:lang w:eastAsia="zh-CN"/>
        </w:rPr>
        <w:t>，</w:t>
      </w:r>
      <w:r>
        <w:rPr>
          <w:rFonts w:hint="eastAsia" w:ascii="宋体" w:hAnsi="宋体" w:cs="宋体"/>
          <w:spacing w:val="4"/>
          <w:sz w:val="24"/>
          <w:szCs w:val="24"/>
        </w:rPr>
        <w:t>咨询人</w:t>
      </w:r>
      <w:r>
        <w:rPr>
          <w:rFonts w:hint="eastAsia" w:ascii="宋体" w:hAnsi="宋体" w:cs="宋体"/>
          <w:spacing w:val="4"/>
          <w:sz w:val="24"/>
          <w:szCs w:val="24"/>
          <w:u w:val="single"/>
          <w:lang w:val="en-US" w:eastAsia="zh-CN"/>
        </w:rPr>
        <w:t>5</w:t>
      </w:r>
      <w:r>
        <w:rPr>
          <w:rFonts w:hint="eastAsia" w:ascii="宋体" w:hAnsi="宋体" w:cs="宋体"/>
          <w:spacing w:val="4"/>
          <w:sz w:val="24"/>
          <w:szCs w:val="24"/>
        </w:rPr>
        <w:t>个日历天内提交相关成果；</w:t>
      </w:r>
    </w:p>
    <w:p>
      <w:pPr>
        <w:spacing w:line="540" w:lineRule="exact"/>
        <w:ind w:firstLine="496" w:firstLineChars="200"/>
        <w:rPr>
          <w:rFonts w:ascii="宋体" w:hAnsi="宋体" w:cs="宋体"/>
          <w:spacing w:val="4"/>
          <w:sz w:val="24"/>
          <w:szCs w:val="24"/>
        </w:rPr>
      </w:pPr>
      <w:r>
        <w:rPr>
          <w:rFonts w:hint="default" w:ascii="宋体" w:hAnsi="宋体" w:cs="宋体"/>
          <w:spacing w:val="4"/>
          <w:sz w:val="24"/>
          <w:szCs w:val="24"/>
          <w:lang w:val="en-US"/>
        </w:rPr>
        <w:t>2</w:t>
      </w:r>
      <w:r>
        <w:rPr>
          <w:rFonts w:hint="eastAsia" w:ascii="宋体" w:hAnsi="宋体" w:cs="宋体"/>
          <w:spacing w:val="4"/>
          <w:sz w:val="24"/>
          <w:szCs w:val="24"/>
          <w:lang w:val="en-US" w:eastAsia="zh-CN"/>
        </w:rPr>
        <w:t>、</w:t>
      </w:r>
      <w:r>
        <w:rPr>
          <w:rFonts w:hint="eastAsia" w:ascii="宋体" w:hAnsi="宋体" w:cs="宋体"/>
          <w:spacing w:val="4"/>
          <w:sz w:val="24"/>
          <w:szCs w:val="24"/>
        </w:rPr>
        <w:t>咨询人收到委托人提供的全部预算资料之日起</w:t>
      </w:r>
      <w:r>
        <w:rPr>
          <w:rFonts w:hint="eastAsia" w:ascii="宋体" w:hAnsi="宋体" w:cs="宋体"/>
          <w:spacing w:val="4"/>
          <w:sz w:val="24"/>
          <w:szCs w:val="24"/>
        </w:rPr>
        <w:tab/>
      </w:r>
      <w:r>
        <w:rPr>
          <w:rFonts w:hint="eastAsia" w:ascii="宋体" w:hAnsi="宋体" w:cs="宋体"/>
          <w:spacing w:val="4"/>
          <w:sz w:val="24"/>
          <w:szCs w:val="24"/>
          <w:u w:val="single"/>
        </w:rPr>
        <w:t>15</w:t>
      </w:r>
      <w:r>
        <w:rPr>
          <w:rFonts w:hint="eastAsia" w:ascii="宋体" w:hAnsi="宋体" w:cs="宋体"/>
          <w:spacing w:val="4"/>
          <w:sz w:val="24"/>
          <w:szCs w:val="24"/>
        </w:rPr>
        <w:t>天内提交预算阶段造价咨询成果报告。</w:t>
      </w:r>
    </w:p>
    <w:p>
      <w:pPr>
        <w:spacing w:line="540" w:lineRule="exact"/>
        <w:ind w:firstLine="496" w:firstLineChars="200"/>
        <w:rPr>
          <w:rFonts w:ascii="宋体" w:hAnsi="宋体" w:cs="宋体"/>
          <w:spacing w:val="4"/>
          <w:sz w:val="24"/>
          <w:szCs w:val="24"/>
        </w:rPr>
      </w:pPr>
      <w:r>
        <w:rPr>
          <w:rFonts w:hint="eastAsia" w:ascii="宋体" w:hAnsi="宋体" w:cs="宋体"/>
          <w:spacing w:val="4"/>
          <w:sz w:val="24"/>
          <w:szCs w:val="24"/>
          <w:lang w:val="en-US" w:eastAsia="zh-CN"/>
        </w:rPr>
        <w:t>3</w:t>
      </w:r>
      <w:r>
        <w:rPr>
          <w:rFonts w:hint="eastAsia" w:ascii="宋体" w:hAnsi="宋体" w:cs="宋体"/>
          <w:spacing w:val="4"/>
          <w:sz w:val="24"/>
          <w:szCs w:val="24"/>
        </w:rPr>
        <w:t>、咨询人收到委托人提供的全部结算资料之日起</w:t>
      </w:r>
      <w:r>
        <w:rPr>
          <w:rFonts w:hint="eastAsia" w:ascii="宋体" w:hAnsi="宋体" w:cs="宋体"/>
          <w:spacing w:val="4"/>
          <w:sz w:val="24"/>
          <w:szCs w:val="24"/>
          <w:u w:val="single"/>
          <w:lang w:val="en-US" w:eastAsia="zh-CN"/>
        </w:rPr>
        <w:t>30</w:t>
      </w:r>
      <w:r>
        <w:rPr>
          <w:rFonts w:hint="eastAsia" w:ascii="宋体" w:hAnsi="宋体" w:cs="宋体"/>
          <w:spacing w:val="4"/>
          <w:sz w:val="24"/>
          <w:szCs w:val="24"/>
        </w:rPr>
        <w:t>天内提交结算阶段造价咨询成果报告。</w:t>
      </w:r>
    </w:p>
    <w:p>
      <w:pPr>
        <w:spacing w:line="540" w:lineRule="exact"/>
        <w:ind w:firstLine="496" w:firstLineChars="200"/>
        <w:rPr>
          <w:rFonts w:ascii="宋体" w:hAnsi="宋体" w:cs="宋体"/>
          <w:spacing w:val="4"/>
          <w:sz w:val="24"/>
          <w:szCs w:val="24"/>
        </w:rPr>
      </w:pPr>
      <w:r>
        <w:rPr>
          <w:rFonts w:hint="eastAsia" w:ascii="宋体" w:hAnsi="宋体" w:cs="宋体"/>
          <w:spacing w:val="4"/>
          <w:sz w:val="24"/>
          <w:szCs w:val="24"/>
          <w:lang w:val="en-US" w:eastAsia="zh-CN"/>
        </w:rPr>
        <w:t>4</w:t>
      </w:r>
      <w:r>
        <w:rPr>
          <w:rFonts w:hint="eastAsia" w:ascii="宋体" w:hAnsi="宋体" w:cs="宋体"/>
          <w:spacing w:val="4"/>
          <w:sz w:val="24"/>
          <w:szCs w:val="24"/>
        </w:rPr>
        <w:t>、咨询人收到委托人提供的全部变更资料之日起</w:t>
      </w:r>
      <w:r>
        <w:rPr>
          <w:rFonts w:hint="eastAsia" w:ascii="宋体" w:hAnsi="宋体" w:cs="宋体"/>
          <w:spacing w:val="4"/>
          <w:sz w:val="24"/>
          <w:szCs w:val="24"/>
          <w:u w:val="single"/>
          <w:lang w:val="en-US" w:eastAsia="zh-CN"/>
        </w:rPr>
        <w:t>7</w:t>
      </w:r>
      <w:r>
        <w:rPr>
          <w:rFonts w:hint="eastAsia" w:ascii="宋体" w:hAnsi="宋体" w:cs="宋体"/>
          <w:spacing w:val="4"/>
          <w:sz w:val="24"/>
          <w:szCs w:val="24"/>
        </w:rPr>
        <w:t>天内提交变更阶段造价咨询成果报告。</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5、预算及结算阶段造价与政府审计部门、造价部门或委托人审定的造价上下浮动不能超过±5%，每阶段造价上下浮动超过±5%按</w:t>
      </w:r>
      <w:r>
        <w:rPr>
          <w:rFonts w:hint="eastAsia" w:ascii="宋体" w:hAnsi="宋体" w:cs="宋体"/>
          <w:spacing w:val="4"/>
          <w:sz w:val="24"/>
          <w:szCs w:val="24"/>
          <w:u w:val="single"/>
        </w:rPr>
        <w:t>5000</w:t>
      </w:r>
      <w:r>
        <w:rPr>
          <w:rFonts w:hint="eastAsia" w:ascii="宋体" w:hAnsi="宋体" w:cs="宋体"/>
          <w:spacing w:val="4"/>
          <w:sz w:val="24"/>
          <w:szCs w:val="24"/>
        </w:rPr>
        <w:t>元罚款。因咨询人原因造成委托人损失的，则应赔偿由此导致委托人的全部经济损失。</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 xml:space="preserve">第二十五条 </w:t>
      </w:r>
      <w:r>
        <w:rPr>
          <w:rFonts w:hint="eastAsia" w:ascii="宋体" w:hAnsi="宋体"/>
          <w:sz w:val="24"/>
        </w:rPr>
        <w:t>本合同生效后，委托人有权单方提前终止或解除合同。因委托人原因导致本合同提前终止或解除，受托人尚未开始服务工作的，委托人不予支付任何费用，已支付的，受托人应当在委托人书面终止合同通知后五日内返还给委托人。受托人已开始服务工作的，委托人按照受托人已完成且经委托人确认的工作量结算合同费用，除此之外，委托人不再承担支付任何违约金、补偿金或赔偿金等经济责任。</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第二十八条</w:t>
      </w:r>
      <w:r>
        <w:rPr>
          <w:rFonts w:hint="eastAsia" w:ascii="宋体" w:hAnsi="宋体" w:cs="宋体"/>
          <w:spacing w:val="4"/>
          <w:sz w:val="24"/>
          <w:szCs w:val="24"/>
        </w:rPr>
        <w:t>委托人同意按以下的计算方法、支付时间与金额，支付咨询人的正常服务费用：</w:t>
      </w:r>
    </w:p>
    <w:p>
      <w:pPr>
        <w:spacing w:line="560" w:lineRule="exact"/>
        <w:ind w:firstLine="576" w:firstLineChars="200"/>
        <w:rPr>
          <w:rFonts w:ascii="宋体" w:hAnsi="宋体" w:cs="宋体"/>
          <w:spacing w:val="4"/>
          <w:sz w:val="24"/>
          <w:szCs w:val="24"/>
        </w:rPr>
      </w:pPr>
      <w:r>
        <w:rPr>
          <w:rFonts w:hint="eastAsia" w:ascii="宋体" w:hAnsi="宋体"/>
          <w:spacing w:val="4"/>
          <w:sz w:val="28"/>
          <w:szCs w:val="28"/>
        </w:rPr>
        <w:t>1</w:t>
      </w:r>
      <w:r>
        <w:rPr>
          <w:rFonts w:hint="eastAsia" w:ascii="宋体" w:hAnsi="宋体" w:cs="宋体"/>
          <w:spacing w:val="4"/>
          <w:sz w:val="24"/>
          <w:szCs w:val="24"/>
        </w:rPr>
        <w:t>.造价咨询费结算金额以</w:t>
      </w:r>
      <w:r>
        <w:rPr>
          <w:rFonts w:hint="eastAsia" w:ascii="宋体" w:hAnsi="宋体" w:cs="宋体"/>
          <w:spacing w:val="4"/>
          <w:sz w:val="24"/>
          <w:szCs w:val="24"/>
          <w:u w:val="single"/>
          <w:lang w:val="en-US" w:eastAsia="zh-CN"/>
        </w:rPr>
        <w:t xml:space="preserve"> </w:t>
      </w:r>
      <w:r>
        <w:rPr>
          <w:rFonts w:hint="eastAsia" w:ascii="宋体" w:hAnsi="宋体" w:cs="宋体"/>
          <w:spacing w:val="4"/>
          <w:sz w:val="24"/>
          <w:szCs w:val="24"/>
          <w:u w:val="single"/>
        </w:rPr>
        <w:t>/</w:t>
      </w:r>
      <w:r>
        <w:rPr>
          <w:rFonts w:hint="eastAsia" w:ascii="宋体" w:hAnsi="宋体" w:cs="宋体"/>
          <w:spacing w:val="4"/>
          <w:sz w:val="24"/>
          <w:szCs w:val="24"/>
          <w:u w:val="single"/>
          <w:lang w:val="en-US" w:eastAsia="zh-CN"/>
        </w:rPr>
        <w:t xml:space="preserve"> </w:t>
      </w:r>
      <w:r>
        <w:rPr>
          <w:rFonts w:hint="eastAsia" w:ascii="宋体" w:hAnsi="宋体" w:cs="宋体"/>
          <w:spacing w:val="4"/>
          <w:sz w:val="24"/>
          <w:szCs w:val="24"/>
        </w:rPr>
        <w:t>为取费基数，参照</w:t>
      </w:r>
      <w:r>
        <w:rPr>
          <w:rFonts w:hint="eastAsia" w:ascii="宋体" w:hAnsi="宋体" w:cs="宋体"/>
          <w:spacing w:val="4"/>
          <w:sz w:val="24"/>
          <w:szCs w:val="24"/>
          <w:lang w:eastAsia="zh-CN"/>
        </w:rPr>
        <w:t>《</w:t>
      </w:r>
      <w:r>
        <w:rPr>
          <w:rFonts w:hint="eastAsia" w:ascii="宋体" w:hAnsi="宋体" w:cs="宋体"/>
          <w:spacing w:val="4"/>
          <w:sz w:val="24"/>
          <w:szCs w:val="24"/>
        </w:rPr>
        <w:t>的全过程造价咨询服务收费标准及下浮率</w:t>
      </w:r>
      <w:r>
        <w:rPr>
          <w:rFonts w:hint="eastAsia" w:ascii="宋体" w:hAnsi="宋体" w:cs="宋体"/>
          <w:spacing w:val="4"/>
          <w:sz w:val="24"/>
          <w:szCs w:val="24"/>
          <w:u w:val="single"/>
          <w:lang w:val="en-US" w:eastAsia="zh-CN"/>
        </w:rPr>
        <w:t xml:space="preserve"> </w:t>
      </w:r>
      <w:r>
        <w:rPr>
          <w:rFonts w:hint="eastAsia" w:ascii="宋体" w:hAnsi="宋体" w:cs="宋体"/>
          <w:spacing w:val="4"/>
          <w:sz w:val="24"/>
          <w:szCs w:val="24"/>
          <w:u w:val="single"/>
        </w:rPr>
        <w:t>/</w:t>
      </w:r>
      <w:r>
        <w:rPr>
          <w:rFonts w:hint="eastAsia" w:ascii="宋体" w:hAnsi="宋体" w:cs="宋体"/>
          <w:spacing w:val="4"/>
          <w:sz w:val="24"/>
          <w:szCs w:val="24"/>
          <w:u w:val="single"/>
          <w:lang w:val="en-US" w:eastAsia="zh-CN"/>
        </w:rPr>
        <w:t xml:space="preserve"> </w:t>
      </w:r>
      <w:r>
        <w:rPr>
          <w:rFonts w:hint="eastAsia" w:ascii="宋体" w:hAnsi="宋体" w:cs="宋体"/>
          <w:spacing w:val="4"/>
          <w:sz w:val="24"/>
          <w:szCs w:val="24"/>
        </w:rPr>
        <w:t>计算。</w:t>
      </w:r>
    </w:p>
    <w:p>
      <w:pPr>
        <w:spacing w:line="560" w:lineRule="exact"/>
        <w:ind w:firstLine="496" w:firstLineChars="200"/>
        <w:rPr>
          <w:rFonts w:hint="eastAsia" w:ascii="宋体" w:hAnsi="宋体" w:cs="宋体"/>
          <w:spacing w:val="4"/>
          <w:sz w:val="24"/>
          <w:szCs w:val="24"/>
          <w:u w:val="single"/>
        </w:rPr>
      </w:pPr>
      <w:r>
        <w:rPr>
          <w:rFonts w:hint="eastAsia" w:ascii="宋体" w:hAnsi="宋体" w:cs="宋体"/>
          <w:spacing w:val="4"/>
          <w:sz w:val="24"/>
          <w:szCs w:val="24"/>
          <w:lang w:val="en-US" w:eastAsia="zh-CN"/>
        </w:rPr>
        <w:t>2</w:t>
      </w:r>
      <w:r>
        <w:rPr>
          <w:rFonts w:hint="eastAsia" w:ascii="宋体" w:hAnsi="宋体" w:cs="宋体"/>
          <w:spacing w:val="4"/>
          <w:sz w:val="24"/>
          <w:szCs w:val="24"/>
        </w:rPr>
        <w:t>.</w:t>
      </w:r>
      <w:r>
        <w:rPr>
          <w:rFonts w:hint="eastAsia" w:ascii="宋体" w:hAnsi="宋体" w:cs="宋体"/>
          <w:spacing w:val="4"/>
          <w:sz w:val="24"/>
          <w:szCs w:val="24"/>
          <w:u w:val="single"/>
        </w:rPr>
        <w:t>招标控制价</w:t>
      </w:r>
      <w:r>
        <w:rPr>
          <w:rFonts w:hint="eastAsia" w:ascii="宋体" w:hAnsi="宋体" w:cs="宋体"/>
          <w:spacing w:val="4"/>
          <w:sz w:val="24"/>
          <w:szCs w:val="24"/>
          <w:u w:val="single"/>
          <w:lang w:val="en-US" w:eastAsia="zh-CN"/>
        </w:rPr>
        <w:t>编制完成，施工合同签订</w:t>
      </w:r>
      <w:r>
        <w:rPr>
          <w:rFonts w:hint="eastAsia" w:ascii="宋体" w:hAnsi="宋体" w:cs="宋体"/>
          <w:spacing w:val="4"/>
          <w:sz w:val="24"/>
          <w:szCs w:val="24"/>
          <w:u w:val="single"/>
        </w:rPr>
        <w:t>后支付合同金额的</w:t>
      </w:r>
      <w:r>
        <w:rPr>
          <w:rFonts w:hint="eastAsia" w:ascii="宋体" w:hAnsi="宋体" w:cs="宋体"/>
          <w:spacing w:val="4"/>
          <w:sz w:val="24"/>
          <w:szCs w:val="24"/>
          <w:u w:val="single"/>
          <w:lang w:val="en-US" w:eastAsia="zh-CN"/>
        </w:rPr>
        <w:t>3</w:t>
      </w:r>
      <w:r>
        <w:rPr>
          <w:rFonts w:hint="eastAsia" w:ascii="宋体" w:hAnsi="宋体" w:cs="宋体"/>
          <w:spacing w:val="4"/>
          <w:sz w:val="24"/>
          <w:szCs w:val="24"/>
          <w:u w:val="single"/>
        </w:rPr>
        <w:t>0%</w:t>
      </w:r>
      <w:r>
        <w:rPr>
          <w:rFonts w:hint="eastAsia" w:ascii="宋体" w:hAnsi="宋体" w:cs="宋体"/>
          <w:spacing w:val="4"/>
          <w:sz w:val="24"/>
          <w:szCs w:val="24"/>
          <w:u w:val="single"/>
          <w:lang w:eastAsia="zh-CN"/>
        </w:rPr>
        <w:t>（</w:t>
      </w:r>
      <w:r>
        <w:rPr>
          <w:rFonts w:hint="eastAsia" w:ascii="宋体" w:hAnsi="宋体" w:cs="宋体"/>
          <w:spacing w:val="4"/>
          <w:sz w:val="24"/>
          <w:szCs w:val="24"/>
          <w:u w:val="single"/>
          <w:lang w:val="en-US" w:eastAsia="zh-CN"/>
        </w:rPr>
        <w:t>其中</w:t>
      </w:r>
      <w:r>
        <w:rPr>
          <w:rFonts w:hint="eastAsia" w:ascii="宋体" w:hAnsi="宋体" w:cs="宋体"/>
          <w:spacing w:val="4"/>
          <w:sz w:val="24"/>
          <w:szCs w:val="24"/>
          <w:u w:val="single"/>
        </w:rPr>
        <w:t>10%</w:t>
      </w:r>
      <w:r>
        <w:rPr>
          <w:rFonts w:hint="eastAsia" w:ascii="宋体" w:hAnsi="宋体" w:cs="宋体"/>
          <w:spacing w:val="4"/>
          <w:sz w:val="24"/>
          <w:szCs w:val="24"/>
          <w:u w:val="single"/>
          <w:lang w:val="en-US" w:eastAsia="zh-CN"/>
        </w:rPr>
        <w:t>为预算阶段履约</w:t>
      </w:r>
      <w:r>
        <w:rPr>
          <w:rFonts w:hint="eastAsia" w:ascii="宋体" w:hAnsi="宋体" w:cs="宋体"/>
          <w:spacing w:val="4"/>
          <w:sz w:val="24"/>
          <w:szCs w:val="24"/>
          <w:u w:val="single"/>
        </w:rPr>
        <w:t>考核款</w:t>
      </w:r>
      <w:r>
        <w:rPr>
          <w:rFonts w:hint="eastAsia" w:ascii="宋体" w:hAnsi="宋体" w:cs="宋体"/>
          <w:spacing w:val="4"/>
          <w:sz w:val="24"/>
          <w:szCs w:val="24"/>
          <w:u w:val="single"/>
          <w:lang w:eastAsia="zh-CN"/>
        </w:rPr>
        <w:t>，</w:t>
      </w:r>
      <w:r>
        <w:rPr>
          <w:rFonts w:hint="eastAsia" w:ascii="宋体" w:hAnsi="宋体" w:cs="宋体"/>
          <w:spacing w:val="4"/>
          <w:sz w:val="24"/>
          <w:szCs w:val="24"/>
          <w:u w:val="single"/>
          <w:lang w:val="en-US" w:eastAsia="zh-CN"/>
        </w:rPr>
        <w:t>根据履约考核结果发放</w:t>
      </w:r>
      <w:r>
        <w:rPr>
          <w:rFonts w:hint="eastAsia" w:ascii="宋体" w:hAnsi="宋体" w:cs="宋体"/>
          <w:spacing w:val="4"/>
          <w:sz w:val="24"/>
          <w:szCs w:val="24"/>
          <w:u w:val="single"/>
          <w:lang w:eastAsia="zh-CN"/>
        </w:rPr>
        <w:t>）</w:t>
      </w:r>
      <w:r>
        <w:rPr>
          <w:rFonts w:hint="eastAsia" w:ascii="宋体" w:hAnsi="宋体" w:cs="宋体"/>
          <w:spacing w:val="4"/>
          <w:sz w:val="24"/>
          <w:szCs w:val="24"/>
          <w:u w:val="single"/>
        </w:rPr>
        <w:t>。</w:t>
      </w:r>
    </w:p>
    <w:p>
      <w:pPr>
        <w:spacing w:line="560" w:lineRule="exact"/>
        <w:ind w:firstLine="496" w:firstLineChars="200"/>
        <w:rPr>
          <w:rFonts w:hint="eastAsia" w:ascii="宋体" w:hAnsi="宋体" w:eastAsia="宋体" w:cs="宋体"/>
          <w:spacing w:val="4"/>
          <w:sz w:val="24"/>
          <w:szCs w:val="24"/>
          <w:u w:val="single"/>
          <w:lang w:val="en-US" w:eastAsia="zh-CN"/>
        </w:rPr>
      </w:pPr>
      <w:r>
        <w:rPr>
          <w:rFonts w:hint="eastAsia" w:ascii="宋体" w:hAnsi="宋体" w:cs="宋体"/>
          <w:spacing w:val="4"/>
          <w:sz w:val="24"/>
          <w:szCs w:val="24"/>
          <w:u w:val="single"/>
          <w:lang w:val="en-US" w:eastAsia="zh-CN"/>
        </w:rPr>
        <w:t>3</w:t>
      </w:r>
      <w:r>
        <w:rPr>
          <w:rFonts w:hint="eastAsia" w:ascii="宋体" w:hAnsi="宋体" w:cs="宋体"/>
          <w:spacing w:val="4"/>
          <w:sz w:val="24"/>
          <w:szCs w:val="24"/>
          <w:u w:val="single"/>
        </w:rPr>
        <w:t>.在完成竣工验收施工合同结算审核报告并送审区造价站审核完成后，支付合同</w:t>
      </w:r>
      <w:r>
        <w:rPr>
          <w:rFonts w:hint="eastAsia" w:ascii="宋体" w:hAnsi="宋体" w:eastAsia="宋体" w:cs="宋体"/>
          <w:spacing w:val="4"/>
          <w:sz w:val="24"/>
          <w:szCs w:val="24"/>
          <w:u w:val="single"/>
          <w:lang w:val="en-US" w:eastAsia="zh-CN"/>
        </w:rPr>
        <w:t>金额的40%（其中10%为结算阶段履约考核款，根据履约考核结果发放）。</w:t>
      </w:r>
    </w:p>
    <w:p>
      <w:pPr>
        <w:spacing w:line="560" w:lineRule="exact"/>
        <w:ind w:firstLine="496" w:firstLineChars="200"/>
        <w:rPr>
          <w:rFonts w:hint="default" w:ascii="宋体" w:hAnsi="宋体" w:eastAsia="宋体" w:cs="宋体"/>
          <w:spacing w:val="4"/>
          <w:sz w:val="24"/>
          <w:szCs w:val="24"/>
          <w:u w:val="single"/>
          <w:lang w:val="en-US" w:eastAsia="zh-CN"/>
        </w:rPr>
      </w:pPr>
      <w:r>
        <w:rPr>
          <w:rFonts w:hint="eastAsia" w:ascii="宋体" w:hAnsi="宋体" w:eastAsia="宋体" w:cs="宋体"/>
          <w:spacing w:val="4"/>
          <w:sz w:val="24"/>
          <w:szCs w:val="24"/>
          <w:u w:val="single"/>
          <w:lang w:val="en-US" w:eastAsia="zh-CN"/>
        </w:rPr>
        <w:t>4.</w:t>
      </w:r>
      <w:bookmarkStart w:id="3" w:name="OLE_LINK4"/>
      <w:r>
        <w:rPr>
          <w:rFonts w:hint="eastAsia" w:ascii="宋体" w:hAnsi="宋体" w:eastAsia="宋体" w:cs="宋体"/>
          <w:spacing w:val="4"/>
          <w:sz w:val="24"/>
          <w:szCs w:val="24"/>
          <w:u w:val="single"/>
          <w:lang w:val="en-US" w:eastAsia="zh-CN"/>
        </w:rPr>
        <w:t>综合整治提升项目EPC合同</w:t>
      </w:r>
      <w:bookmarkEnd w:id="3"/>
      <w:r>
        <w:rPr>
          <w:rFonts w:hint="eastAsia" w:ascii="宋体" w:hAnsi="宋体" w:eastAsia="宋体" w:cs="宋体"/>
          <w:spacing w:val="4"/>
          <w:sz w:val="24"/>
          <w:szCs w:val="24"/>
          <w:u w:val="single"/>
          <w:lang w:val="en-US" w:eastAsia="zh-CN"/>
        </w:rPr>
        <w:t>中标价</w:t>
      </w:r>
      <w:r>
        <w:rPr>
          <w:rFonts w:hint="eastAsia" w:ascii="宋体" w:hAnsi="宋体" w:cs="宋体"/>
          <w:spacing w:val="4"/>
          <w:sz w:val="24"/>
          <w:szCs w:val="24"/>
          <w:u w:val="single"/>
          <w:lang w:val="en-US" w:eastAsia="zh-CN"/>
        </w:rPr>
        <w:t>的建安工程费</w:t>
      </w:r>
      <w:r>
        <w:rPr>
          <w:rFonts w:hint="eastAsia" w:ascii="宋体" w:hAnsi="宋体" w:eastAsia="宋体" w:cs="宋体"/>
          <w:spacing w:val="4"/>
          <w:sz w:val="24"/>
          <w:szCs w:val="24"/>
          <w:u w:val="single"/>
          <w:lang w:val="en-US" w:eastAsia="zh-CN"/>
        </w:rPr>
        <w:t>若低于签订合同时暂定的取费基数</w:t>
      </w:r>
      <w:r>
        <w:rPr>
          <w:rFonts w:hint="eastAsia" w:ascii="宋体" w:hAnsi="宋体" w:cs="宋体"/>
          <w:spacing w:val="4"/>
          <w:sz w:val="24"/>
          <w:szCs w:val="24"/>
          <w:u w:val="single"/>
          <w:lang w:val="en-US" w:eastAsia="zh-CN"/>
        </w:rPr>
        <w:t>4400</w:t>
      </w:r>
      <w:r>
        <w:rPr>
          <w:rFonts w:hint="eastAsia" w:ascii="宋体" w:hAnsi="宋体" w:eastAsia="宋体" w:cs="宋体"/>
          <w:spacing w:val="4"/>
          <w:sz w:val="24"/>
          <w:szCs w:val="24"/>
          <w:u w:val="single"/>
          <w:lang w:val="en-US" w:eastAsia="zh-CN"/>
        </w:rPr>
        <w:t>万元，则按综合整治提升项目EPC合同中标价</w:t>
      </w:r>
      <w:r>
        <w:rPr>
          <w:rFonts w:hint="eastAsia" w:ascii="宋体" w:hAnsi="宋体" w:cs="宋体"/>
          <w:spacing w:val="4"/>
          <w:sz w:val="24"/>
          <w:szCs w:val="24"/>
          <w:u w:val="single"/>
          <w:lang w:val="en-US" w:eastAsia="zh-CN"/>
        </w:rPr>
        <w:t>的建安工程费</w:t>
      </w:r>
      <w:r>
        <w:rPr>
          <w:rFonts w:hint="eastAsia" w:ascii="宋体" w:hAnsi="宋体" w:eastAsia="宋体" w:cs="宋体"/>
          <w:spacing w:val="4"/>
          <w:sz w:val="24"/>
          <w:szCs w:val="24"/>
          <w:u w:val="single"/>
          <w:lang w:val="en-US" w:eastAsia="zh-CN"/>
        </w:rPr>
        <w:t>作为取费基数计算上述过程服务费；</w:t>
      </w:r>
    </w:p>
    <w:p>
      <w:pPr>
        <w:spacing w:line="560" w:lineRule="exact"/>
        <w:ind w:firstLine="496" w:firstLineChars="200"/>
        <w:rPr>
          <w:rFonts w:hint="eastAsia" w:ascii="宋体" w:hAnsi="宋体" w:eastAsia="宋体" w:cs="宋体"/>
          <w:spacing w:val="4"/>
          <w:sz w:val="24"/>
          <w:szCs w:val="24"/>
          <w:u w:val="single"/>
          <w:lang w:val="en-US" w:eastAsia="zh-CN"/>
        </w:rPr>
      </w:pPr>
      <w:r>
        <w:rPr>
          <w:rFonts w:hint="eastAsia" w:ascii="宋体" w:hAnsi="宋体" w:eastAsia="宋体" w:cs="宋体"/>
          <w:spacing w:val="4"/>
          <w:sz w:val="24"/>
          <w:szCs w:val="24"/>
          <w:u w:val="single"/>
          <w:lang w:val="en-US" w:eastAsia="zh-CN"/>
        </w:rPr>
        <w:t>5.完成合同履约评价以及合同最终结算后，根据甲方的单方履约评价结果一次性支付剩余金额。</w:t>
      </w:r>
    </w:p>
    <w:p>
      <w:pPr>
        <w:adjustRightInd w:val="0"/>
        <w:snapToGrid w:val="0"/>
        <w:spacing w:line="500" w:lineRule="exact"/>
        <w:ind w:firstLine="480" w:firstLineChars="200"/>
        <w:rPr>
          <w:rFonts w:ascii="宋体" w:hAnsi="宋体" w:cs="宋体"/>
          <w:sz w:val="24"/>
          <w:szCs w:val="24"/>
        </w:rPr>
      </w:pPr>
      <w:r>
        <w:rPr>
          <w:rFonts w:hint="eastAsia" w:ascii="宋体" w:hAnsi="宋体" w:cs="宋体"/>
          <w:sz w:val="24"/>
          <w:szCs w:val="24"/>
        </w:rPr>
        <w:t>6.咨询人在每一阶段工作完成后向委托人提出付款申请及开具合同价款等额增值税专用发票，委托人审查无误并签署意见后，按照支付程序拨付咨询费。</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第三十一条</w:t>
      </w:r>
      <w:r>
        <w:rPr>
          <w:rFonts w:hint="eastAsia" w:ascii="宋体" w:hAnsi="宋体" w:cs="宋体"/>
          <w:spacing w:val="4"/>
          <w:sz w:val="24"/>
          <w:szCs w:val="24"/>
        </w:rPr>
        <w:t>双方同意用</w:t>
      </w:r>
      <w:r>
        <w:rPr>
          <w:rFonts w:hint="eastAsia" w:ascii="宋体" w:hAnsi="宋体" w:cs="宋体"/>
          <w:spacing w:val="4"/>
          <w:sz w:val="24"/>
          <w:szCs w:val="24"/>
          <w:u w:val="single"/>
        </w:rPr>
        <w:t>人民币</w:t>
      </w:r>
      <w:r>
        <w:rPr>
          <w:rFonts w:hint="eastAsia" w:ascii="宋体" w:hAnsi="宋体" w:cs="宋体"/>
          <w:spacing w:val="4"/>
          <w:sz w:val="24"/>
          <w:szCs w:val="24"/>
        </w:rPr>
        <w:t>支付费用，按</w:t>
      </w:r>
      <w:r>
        <w:rPr>
          <w:rFonts w:hint="eastAsia" w:ascii="宋体" w:hAnsi="宋体" w:cs="宋体"/>
          <w:spacing w:val="4"/>
          <w:sz w:val="24"/>
          <w:szCs w:val="24"/>
          <w:u w:val="single"/>
        </w:rPr>
        <w:t xml:space="preserve">  /  </w:t>
      </w:r>
      <w:r>
        <w:rPr>
          <w:rFonts w:hint="eastAsia" w:ascii="宋体" w:hAnsi="宋体" w:cs="宋体"/>
          <w:spacing w:val="4"/>
          <w:sz w:val="24"/>
          <w:szCs w:val="24"/>
        </w:rPr>
        <w:t>汇率计付。</w:t>
      </w:r>
    </w:p>
    <w:p>
      <w:pPr>
        <w:spacing w:line="560" w:lineRule="exact"/>
        <w:ind w:firstLine="498" w:firstLineChars="200"/>
        <w:rPr>
          <w:rFonts w:ascii="宋体" w:hAnsi="宋体" w:cs="宋体"/>
          <w:spacing w:val="4"/>
          <w:sz w:val="24"/>
          <w:szCs w:val="24"/>
        </w:rPr>
      </w:pPr>
      <w:r>
        <w:rPr>
          <w:rFonts w:hint="eastAsia" w:ascii="宋体" w:hAnsi="宋体" w:cs="宋体"/>
          <w:b/>
          <w:spacing w:val="4"/>
          <w:sz w:val="24"/>
          <w:szCs w:val="24"/>
        </w:rPr>
        <w:t>第三十六条</w:t>
      </w:r>
      <w:r>
        <w:rPr>
          <w:rFonts w:hint="eastAsia" w:ascii="宋体" w:hAnsi="宋体" w:cs="宋体"/>
          <w:spacing w:val="4"/>
          <w:sz w:val="24"/>
          <w:szCs w:val="24"/>
        </w:rPr>
        <w:t>建设工程造价咨询合同在履行过程中发生争议，委托人与咨询人应及时协商解决；如未能达成一致，可提交有关主管部门调解；协商或调解不成，按下列第</w:t>
      </w:r>
      <w:r>
        <w:rPr>
          <w:rFonts w:hint="eastAsia" w:ascii="宋体" w:hAnsi="宋体" w:cs="宋体"/>
          <w:spacing w:val="4"/>
          <w:sz w:val="24"/>
          <w:szCs w:val="24"/>
          <w:u w:val="single"/>
        </w:rPr>
        <w:t xml:space="preserve"> （二） </w:t>
      </w:r>
      <w:r>
        <w:rPr>
          <w:rFonts w:hint="eastAsia" w:ascii="宋体" w:hAnsi="宋体" w:cs="宋体"/>
          <w:spacing w:val="4"/>
          <w:sz w:val="24"/>
          <w:szCs w:val="24"/>
        </w:rPr>
        <w:t>种方式解决：</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（一）提交</w:t>
      </w:r>
      <w:r>
        <w:rPr>
          <w:rFonts w:hint="eastAsia" w:ascii="宋体" w:hAnsi="宋体" w:cs="宋体"/>
          <w:spacing w:val="4"/>
          <w:sz w:val="24"/>
          <w:szCs w:val="24"/>
          <w:u w:val="single"/>
        </w:rPr>
        <w:t>深圳国际仲裁院</w:t>
      </w:r>
      <w:r>
        <w:rPr>
          <w:rFonts w:hint="eastAsia" w:ascii="宋体" w:hAnsi="宋体" w:cs="宋体"/>
          <w:spacing w:val="4"/>
          <w:sz w:val="24"/>
          <w:szCs w:val="24"/>
        </w:rPr>
        <w:t>仲裁；</w:t>
      </w:r>
    </w:p>
    <w:p>
      <w:pPr>
        <w:spacing w:line="560" w:lineRule="exact"/>
        <w:ind w:firstLine="496" w:firstLineChars="200"/>
        <w:rPr>
          <w:rFonts w:ascii="宋体" w:hAnsi="宋体" w:cs="宋体"/>
          <w:spacing w:val="4"/>
          <w:sz w:val="24"/>
          <w:szCs w:val="24"/>
        </w:rPr>
      </w:pPr>
      <w:r>
        <w:rPr>
          <w:rFonts w:hint="eastAsia" w:ascii="宋体" w:hAnsi="宋体" w:cs="宋体"/>
          <w:spacing w:val="4"/>
          <w:sz w:val="24"/>
          <w:szCs w:val="24"/>
        </w:rPr>
        <w:t>（二）依法向</w:t>
      </w:r>
      <w:r>
        <w:rPr>
          <w:rFonts w:hint="eastAsia" w:ascii="宋体" w:hAnsi="宋体" w:cs="宋体"/>
          <w:spacing w:val="4"/>
          <w:sz w:val="24"/>
          <w:szCs w:val="24"/>
          <w:u w:val="single"/>
        </w:rPr>
        <w:t>委托人住所地</w:t>
      </w:r>
      <w:r>
        <w:rPr>
          <w:rFonts w:hint="eastAsia" w:ascii="宋体" w:hAnsi="宋体" w:cs="宋体"/>
          <w:spacing w:val="4"/>
          <w:sz w:val="24"/>
          <w:szCs w:val="24"/>
        </w:rPr>
        <w:t>人民法院起诉。</w:t>
      </w:r>
    </w:p>
    <w:p>
      <w:pPr>
        <w:spacing w:line="560" w:lineRule="exact"/>
        <w:ind w:firstLine="496" w:firstLineChars="200"/>
        <w:rPr>
          <w:rFonts w:ascii="宋体" w:hAnsi="宋体" w:cs="宋体"/>
          <w:spacing w:val="4"/>
          <w:sz w:val="24"/>
          <w:szCs w:val="24"/>
        </w:rPr>
      </w:pPr>
    </w:p>
    <w:p>
      <w:pPr>
        <w:spacing w:line="560" w:lineRule="exact"/>
        <w:rPr>
          <w:rFonts w:ascii="宋体" w:hAnsi="宋体" w:cs="宋体"/>
          <w:spacing w:val="4"/>
          <w:sz w:val="24"/>
          <w:szCs w:val="24"/>
        </w:rPr>
      </w:pPr>
    </w:p>
    <w:p>
      <w:pPr>
        <w:spacing w:line="560" w:lineRule="exact"/>
        <w:rPr>
          <w:rFonts w:ascii="宋体" w:hAnsi="宋体" w:cs="宋体"/>
          <w:spacing w:val="4"/>
          <w:sz w:val="24"/>
          <w:szCs w:val="24"/>
        </w:rPr>
      </w:pPr>
    </w:p>
    <w:p>
      <w:pPr>
        <w:pStyle w:val="220"/>
        <w:spacing w:line="360" w:lineRule="auto"/>
        <w:rPr>
          <w:rFonts w:ascii="宋体" w:hAnsi="宋体" w:cs="宋体"/>
          <w:b/>
          <w:spacing w:val="4"/>
          <w:sz w:val="32"/>
          <w:szCs w:val="32"/>
        </w:rPr>
      </w:pPr>
      <w:r>
        <w:rPr>
          <w:rFonts w:hint="eastAsia" w:ascii="宋体" w:hAnsi="宋体" w:cs="宋体"/>
          <w:spacing w:val="4"/>
          <w:sz w:val="24"/>
        </w:rPr>
        <w:br w:type="page"/>
      </w:r>
      <w:r>
        <w:rPr>
          <w:rFonts w:hint="eastAsia" w:ascii="宋体" w:hAnsi="宋体" w:cs="宋体"/>
          <w:b/>
          <w:spacing w:val="4"/>
          <w:sz w:val="32"/>
          <w:szCs w:val="32"/>
        </w:rPr>
        <w:t>附件</w:t>
      </w:r>
      <w:r>
        <w:rPr>
          <w:rFonts w:hint="eastAsia" w:ascii="宋体" w:hAnsi="宋体" w:cs="宋体"/>
          <w:b/>
          <w:spacing w:val="4"/>
          <w:sz w:val="32"/>
          <w:szCs w:val="32"/>
          <w:lang w:val="en-US" w:eastAsia="zh-CN"/>
        </w:rPr>
        <w:t>1</w:t>
      </w:r>
      <w:r>
        <w:rPr>
          <w:rFonts w:hint="eastAsia" w:ascii="宋体" w:hAnsi="宋体" w:cs="宋体"/>
          <w:b/>
          <w:spacing w:val="4"/>
          <w:sz w:val="32"/>
          <w:szCs w:val="32"/>
        </w:rPr>
        <w:t>：考核办法</w:t>
      </w:r>
    </w:p>
    <w:p>
      <w:pPr>
        <w:pStyle w:val="220"/>
        <w:spacing w:line="360" w:lineRule="auto"/>
        <w:rPr>
          <w:rFonts w:ascii="宋体" w:hAnsi="宋体" w:cs="宋体"/>
          <w:b/>
          <w:spacing w:val="4"/>
          <w:sz w:val="32"/>
          <w:szCs w:val="32"/>
        </w:rPr>
      </w:pPr>
    </w:p>
    <w:p>
      <w:pPr>
        <w:pStyle w:val="220"/>
        <w:spacing w:line="360" w:lineRule="auto"/>
        <w:rPr>
          <w:rFonts w:ascii="宋体" w:hAnsi="宋体" w:cs="宋体"/>
          <w:b/>
          <w:spacing w:val="4"/>
          <w:sz w:val="32"/>
          <w:szCs w:val="32"/>
        </w:rPr>
      </w:pPr>
      <w:r>
        <w:rPr>
          <w:rFonts w:hint="eastAsia" w:ascii="宋体" w:hAnsi="宋体" w:cs="宋体"/>
          <w:b/>
          <w:spacing w:val="4"/>
          <w:sz w:val="32"/>
          <w:szCs w:val="32"/>
        </w:rPr>
        <w:t xml:space="preserve">                     考核办法</w:t>
      </w:r>
    </w:p>
    <w:p>
      <w:pPr>
        <w:pStyle w:val="220"/>
        <w:spacing w:line="360" w:lineRule="auto"/>
        <w:ind w:firstLine="420" w:firstLineChars="200"/>
        <w:rPr>
          <w:rFonts w:ascii="宋体"/>
          <w:bCs/>
          <w:szCs w:val="21"/>
        </w:rPr>
      </w:pPr>
      <w:r>
        <w:rPr>
          <w:rFonts w:hint="eastAsia" w:ascii="宋体"/>
          <w:bCs/>
          <w:szCs w:val="21"/>
        </w:rPr>
        <w:t>1、本办法以咨询人的实际工作为根据，通过量化的方式对其工作进行全面检查考核，以提高咨询人合同履约工作整体质量。</w:t>
      </w:r>
    </w:p>
    <w:p>
      <w:pPr>
        <w:pStyle w:val="220"/>
        <w:spacing w:line="360" w:lineRule="auto"/>
        <w:ind w:firstLine="420" w:firstLineChars="200"/>
        <w:rPr>
          <w:rFonts w:ascii="宋体"/>
          <w:bCs/>
          <w:szCs w:val="21"/>
        </w:rPr>
      </w:pPr>
      <w:r>
        <w:rPr>
          <w:rFonts w:hint="eastAsia" w:ascii="宋体"/>
          <w:bCs/>
          <w:szCs w:val="21"/>
        </w:rPr>
        <w:t>2、委托人有权在实施阶段根据具体情况对此考核办法进行修订、补充和完善，咨询人应无条件根据修订后的考核办法接受考核。</w:t>
      </w:r>
    </w:p>
    <w:p>
      <w:pPr>
        <w:pStyle w:val="220"/>
        <w:spacing w:line="360" w:lineRule="auto"/>
        <w:ind w:firstLine="420" w:firstLineChars="200"/>
        <w:rPr>
          <w:rFonts w:hint="eastAsia" w:ascii="宋体" w:eastAsia="宋体"/>
          <w:bCs/>
          <w:szCs w:val="21"/>
          <w:lang w:val="en-US" w:eastAsia="zh-CN"/>
        </w:rPr>
      </w:pPr>
      <w:r>
        <w:rPr>
          <w:rFonts w:hint="eastAsia" w:ascii="宋体"/>
          <w:bCs/>
          <w:szCs w:val="21"/>
        </w:rPr>
        <w:t>3、</w:t>
      </w:r>
      <w:r>
        <w:rPr>
          <w:rFonts w:hint="eastAsia" w:ascii="宋体" w:hAnsi="宋体"/>
          <w:szCs w:val="21"/>
        </w:rPr>
        <w:t>考核工作由委托人牵头，咨询人应配合检查考核，无条件接受检查考核结果，并不会因此提出任何延期、索赔的要求</w:t>
      </w:r>
      <w:r>
        <w:rPr>
          <w:rFonts w:hint="eastAsia" w:ascii="宋体" w:hAnsi="宋体"/>
          <w:szCs w:val="21"/>
          <w:lang w:eastAsia="zh-CN"/>
        </w:rPr>
        <w:t>。</w:t>
      </w:r>
    </w:p>
    <w:p>
      <w:pPr>
        <w:pStyle w:val="220"/>
        <w:spacing w:line="360" w:lineRule="auto"/>
        <w:ind w:firstLine="420" w:firstLineChars="200"/>
        <w:rPr>
          <w:rFonts w:hint="eastAsia" w:ascii="宋体" w:eastAsia="宋体"/>
          <w:bCs/>
          <w:szCs w:val="21"/>
          <w:lang w:eastAsia="zh-CN"/>
        </w:rPr>
      </w:pPr>
      <w:r>
        <w:rPr>
          <w:rFonts w:hint="eastAsia" w:ascii="宋体"/>
          <w:bCs/>
          <w:szCs w:val="21"/>
        </w:rPr>
        <w:t>4、考核范围为按《造价咨询工作考核表》进行考核</w:t>
      </w:r>
      <w:r>
        <w:rPr>
          <w:rFonts w:hint="eastAsia" w:ascii="宋体"/>
          <w:bCs/>
          <w:szCs w:val="21"/>
          <w:lang w:eastAsia="zh-CN"/>
        </w:rPr>
        <w:t>。</w:t>
      </w:r>
    </w:p>
    <w:p>
      <w:pPr>
        <w:pStyle w:val="220"/>
        <w:spacing w:line="360" w:lineRule="auto"/>
        <w:ind w:firstLine="420" w:firstLineChars="200"/>
        <w:rPr>
          <w:rFonts w:ascii="宋体"/>
          <w:bCs/>
          <w:szCs w:val="21"/>
        </w:rPr>
      </w:pPr>
      <w:r>
        <w:rPr>
          <w:rFonts w:hint="eastAsia" w:ascii="宋体"/>
          <w:bCs/>
          <w:szCs w:val="21"/>
        </w:rPr>
        <w:t>5、评分细则</w:t>
      </w:r>
    </w:p>
    <w:p>
      <w:pPr>
        <w:pStyle w:val="220"/>
        <w:spacing w:line="360" w:lineRule="auto"/>
        <w:ind w:firstLine="420" w:firstLineChars="200"/>
        <w:rPr>
          <w:rFonts w:ascii="宋体"/>
          <w:bCs/>
          <w:szCs w:val="21"/>
        </w:rPr>
      </w:pPr>
      <w:r>
        <w:rPr>
          <w:rFonts w:hint="eastAsia" w:ascii="宋体"/>
          <w:bCs/>
          <w:szCs w:val="21"/>
        </w:rPr>
        <w:t>5.1每个类别根据各评分项目规定的评分细则进行打分。</w:t>
      </w:r>
    </w:p>
    <w:p>
      <w:pPr>
        <w:pStyle w:val="220"/>
        <w:spacing w:line="360" w:lineRule="auto"/>
        <w:ind w:firstLine="420" w:firstLineChars="200"/>
        <w:rPr>
          <w:rFonts w:ascii="宋体"/>
          <w:bCs/>
          <w:szCs w:val="21"/>
        </w:rPr>
      </w:pPr>
      <w:r>
        <w:rPr>
          <w:rFonts w:hint="eastAsia" w:ascii="宋体"/>
          <w:bCs/>
          <w:szCs w:val="21"/>
        </w:rPr>
        <w:t>5.2每个评分项目的打分不得超过该项目的标准分，每个项目的扣分按评分项目直至扣到零分为止。</w:t>
      </w:r>
    </w:p>
    <w:p>
      <w:pPr>
        <w:pStyle w:val="220"/>
        <w:spacing w:line="360" w:lineRule="auto"/>
        <w:ind w:firstLine="420" w:firstLineChars="200"/>
        <w:rPr>
          <w:rFonts w:ascii="宋体"/>
          <w:bCs/>
          <w:szCs w:val="21"/>
        </w:rPr>
      </w:pPr>
      <w:r>
        <w:rPr>
          <w:rFonts w:hint="eastAsia" w:ascii="宋体"/>
          <w:bCs/>
          <w:szCs w:val="21"/>
        </w:rPr>
        <w:t>6、考核金额</w:t>
      </w:r>
    </w:p>
    <w:p>
      <w:pPr>
        <w:pStyle w:val="171"/>
        <w:spacing w:line="360" w:lineRule="auto"/>
        <w:jc w:val="left"/>
        <w:rPr>
          <w:rFonts w:ascii="宋体" w:hAnsi="宋体"/>
          <w:snapToGrid w:val="0"/>
          <w:kern w:val="0"/>
          <w:szCs w:val="21"/>
        </w:rPr>
      </w:pPr>
      <w:r>
        <w:rPr>
          <w:rFonts w:hint="eastAsia" w:ascii="宋体" w:hAnsi="宋体"/>
          <w:snapToGrid w:val="0"/>
          <w:kern w:val="0"/>
          <w:szCs w:val="21"/>
        </w:rPr>
        <w:t>分为</w:t>
      </w:r>
      <w:r>
        <w:rPr>
          <w:rFonts w:hint="eastAsia" w:ascii="宋体" w:hAnsi="宋体"/>
          <w:snapToGrid w:val="0"/>
          <w:kern w:val="0"/>
          <w:szCs w:val="21"/>
          <w:lang w:eastAsia="zh-CN"/>
        </w:rPr>
        <w:t>预算阶段</w:t>
      </w:r>
      <w:r>
        <w:rPr>
          <w:rFonts w:hint="eastAsia" w:ascii="宋体" w:hAnsi="宋体"/>
          <w:snapToGrid w:val="0"/>
          <w:kern w:val="0"/>
          <w:szCs w:val="21"/>
        </w:rPr>
        <w:t>考核、</w:t>
      </w:r>
      <w:r>
        <w:rPr>
          <w:rFonts w:hint="eastAsia" w:ascii="宋体" w:hAnsi="宋体"/>
          <w:snapToGrid w:val="0"/>
          <w:kern w:val="0"/>
          <w:szCs w:val="21"/>
          <w:lang w:eastAsia="zh-CN"/>
        </w:rPr>
        <w:t>结算阶段</w:t>
      </w:r>
      <w:r>
        <w:rPr>
          <w:rFonts w:hint="eastAsia" w:ascii="宋体" w:hAnsi="宋体"/>
          <w:snapToGrid w:val="0"/>
          <w:kern w:val="0"/>
          <w:szCs w:val="21"/>
        </w:rPr>
        <w:t>考核两次考核，两次考核时间为预算造价及结算造价工作完成后付款前完成。若逾期未组织考核，则默认本阶段考核结果为合格。</w:t>
      </w:r>
    </w:p>
    <w:p>
      <w:pPr>
        <w:pStyle w:val="171"/>
        <w:spacing w:line="360" w:lineRule="auto"/>
        <w:jc w:val="left"/>
        <w:rPr>
          <w:rFonts w:ascii="宋体" w:hAnsi="宋体"/>
          <w:snapToGrid w:val="0"/>
          <w:kern w:val="0"/>
          <w:szCs w:val="21"/>
        </w:rPr>
      </w:pPr>
      <w:r>
        <w:rPr>
          <w:rFonts w:hint="eastAsia" w:ascii="宋体" w:hAnsi="宋体"/>
          <w:snapToGrid w:val="0"/>
          <w:kern w:val="0"/>
          <w:szCs w:val="21"/>
        </w:rPr>
        <w:t>考核金额为合同金额的20%，考核金额已经包含在合同金额中，委托人不再另行支付。</w:t>
      </w:r>
    </w:p>
    <w:p>
      <w:pPr>
        <w:pStyle w:val="220"/>
        <w:spacing w:line="360" w:lineRule="auto"/>
        <w:ind w:firstLine="420" w:firstLineChars="200"/>
        <w:rPr>
          <w:rFonts w:ascii="宋体" w:hAnsi="宋体"/>
          <w:snapToGrid w:val="0"/>
          <w:kern w:val="0"/>
          <w:szCs w:val="21"/>
        </w:rPr>
      </w:pPr>
      <w:r>
        <w:rPr>
          <w:rFonts w:hint="eastAsia" w:ascii="宋体" w:hAnsi="宋体"/>
          <w:snapToGrid w:val="0"/>
          <w:kern w:val="0"/>
          <w:szCs w:val="21"/>
        </w:rPr>
        <w:t>每次考核金额：</w:t>
      </w:r>
    </w:p>
    <w:p>
      <w:pPr>
        <w:pStyle w:val="220"/>
        <w:spacing w:line="360" w:lineRule="auto"/>
        <w:ind w:firstLine="420" w:firstLineChars="200"/>
        <w:rPr>
          <w:rFonts w:ascii="宋体" w:hAnsi="宋体"/>
          <w:snapToGrid w:val="0"/>
          <w:kern w:val="0"/>
          <w:szCs w:val="21"/>
        </w:rPr>
      </w:pPr>
      <w:r>
        <w:rPr>
          <w:rFonts w:hint="eastAsia" w:ascii="宋体" w:hAnsi="宋体"/>
          <w:snapToGrid w:val="0"/>
          <w:kern w:val="0"/>
          <w:szCs w:val="21"/>
        </w:rPr>
        <w:t>合同金额*</w:t>
      </w:r>
      <w:r>
        <w:rPr>
          <w:rFonts w:hint="eastAsia" w:ascii="宋体" w:hAnsi="宋体"/>
          <w:snapToGrid w:val="0"/>
          <w:kern w:val="0"/>
          <w:szCs w:val="21"/>
          <w:u w:val="single"/>
        </w:rPr>
        <w:t>10%</w:t>
      </w:r>
      <w:r>
        <w:rPr>
          <w:rFonts w:hint="eastAsia" w:ascii="宋体" w:hAnsi="宋体"/>
          <w:snapToGrid w:val="0"/>
          <w:kern w:val="0"/>
          <w:szCs w:val="21"/>
        </w:rPr>
        <w:t xml:space="preserve"> =预算</w:t>
      </w:r>
      <w:r>
        <w:rPr>
          <w:rFonts w:hint="eastAsia" w:ascii="宋体" w:hAnsi="宋体"/>
          <w:snapToGrid w:val="0"/>
          <w:kern w:val="0"/>
          <w:szCs w:val="21"/>
          <w:lang w:val="en-US" w:eastAsia="zh-CN"/>
        </w:rPr>
        <w:t>阶段</w:t>
      </w:r>
      <w:r>
        <w:rPr>
          <w:rFonts w:hint="eastAsia" w:ascii="宋体" w:hAnsi="宋体"/>
          <w:snapToGrid w:val="0"/>
          <w:kern w:val="0"/>
          <w:szCs w:val="21"/>
        </w:rPr>
        <w:t>考核款</w:t>
      </w:r>
    </w:p>
    <w:p>
      <w:pPr>
        <w:pStyle w:val="220"/>
        <w:spacing w:line="360" w:lineRule="auto"/>
        <w:ind w:firstLine="420" w:firstLineChars="200"/>
        <w:rPr>
          <w:rFonts w:ascii="宋体" w:hAnsi="宋体"/>
          <w:snapToGrid w:val="0"/>
          <w:kern w:val="0"/>
          <w:szCs w:val="21"/>
        </w:rPr>
      </w:pPr>
      <w:r>
        <w:rPr>
          <w:rFonts w:hint="eastAsia" w:ascii="宋体" w:hAnsi="宋体"/>
          <w:snapToGrid w:val="0"/>
          <w:kern w:val="0"/>
          <w:szCs w:val="21"/>
        </w:rPr>
        <w:t>合同金额*</w:t>
      </w:r>
      <w:r>
        <w:rPr>
          <w:rFonts w:hint="eastAsia" w:ascii="宋体" w:hAnsi="宋体"/>
          <w:snapToGrid w:val="0"/>
          <w:kern w:val="0"/>
          <w:szCs w:val="21"/>
          <w:u w:val="single"/>
        </w:rPr>
        <w:t>10%</w:t>
      </w:r>
      <w:r>
        <w:rPr>
          <w:rFonts w:hint="eastAsia" w:ascii="宋体" w:hAnsi="宋体"/>
          <w:snapToGrid w:val="0"/>
          <w:kern w:val="0"/>
          <w:szCs w:val="21"/>
        </w:rPr>
        <w:t xml:space="preserve"> =结算</w:t>
      </w:r>
      <w:r>
        <w:rPr>
          <w:rFonts w:hint="eastAsia" w:ascii="宋体" w:hAnsi="宋体"/>
          <w:snapToGrid w:val="0"/>
          <w:kern w:val="0"/>
          <w:szCs w:val="21"/>
          <w:lang w:val="en-US" w:eastAsia="zh-CN"/>
        </w:rPr>
        <w:t>阶段</w:t>
      </w:r>
      <w:r>
        <w:rPr>
          <w:rFonts w:hint="eastAsia" w:ascii="宋体" w:hAnsi="宋体"/>
          <w:snapToGrid w:val="0"/>
          <w:kern w:val="0"/>
          <w:szCs w:val="21"/>
        </w:rPr>
        <w:t>考核款</w:t>
      </w:r>
    </w:p>
    <w:p>
      <w:pPr>
        <w:pStyle w:val="220"/>
        <w:spacing w:line="360" w:lineRule="auto"/>
        <w:ind w:firstLine="420" w:firstLineChars="200"/>
        <w:rPr>
          <w:rFonts w:ascii="宋体" w:hAnsi="宋体"/>
          <w:snapToGrid w:val="0"/>
          <w:kern w:val="0"/>
          <w:szCs w:val="21"/>
        </w:rPr>
      </w:pPr>
      <w:r>
        <w:rPr>
          <w:rFonts w:hint="eastAsia" w:ascii="宋体" w:hAnsi="宋体"/>
          <w:snapToGrid w:val="0"/>
          <w:kern w:val="0"/>
          <w:szCs w:val="21"/>
        </w:rPr>
        <w:t>7、考核款支付方式</w:t>
      </w:r>
    </w:p>
    <w:p>
      <w:pPr>
        <w:pStyle w:val="220"/>
        <w:spacing w:line="360" w:lineRule="auto"/>
        <w:ind w:firstLine="420" w:firstLineChars="200"/>
        <w:rPr>
          <w:rFonts w:ascii="宋体" w:hAnsi="宋体"/>
          <w:szCs w:val="21"/>
        </w:rPr>
      </w:pPr>
      <w:r>
        <w:rPr>
          <w:rFonts w:hint="eastAsia" w:ascii="宋体" w:hAnsi="宋体"/>
          <w:szCs w:val="21"/>
        </w:rPr>
        <w:t>7.1每次考核80分</w:t>
      </w:r>
      <w:r>
        <w:rPr>
          <w:rFonts w:ascii="宋体"/>
          <w:bCs/>
          <w:szCs w:val="21"/>
        </w:rPr>
        <w:t>（含）</w:t>
      </w:r>
      <w:r>
        <w:rPr>
          <w:rFonts w:hint="eastAsia" w:ascii="宋体" w:hAnsi="宋体"/>
          <w:szCs w:val="21"/>
        </w:rPr>
        <w:t>以上时，考核款支付方式：</w:t>
      </w:r>
    </w:p>
    <w:p>
      <w:pPr>
        <w:pStyle w:val="220"/>
        <w:spacing w:line="360" w:lineRule="auto"/>
        <w:ind w:firstLine="420" w:firstLineChars="200"/>
        <w:rPr>
          <w:rFonts w:ascii="宋体" w:hAnsi="宋体"/>
          <w:szCs w:val="21"/>
        </w:rPr>
      </w:pPr>
      <w:r>
        <w:rPr>
          <w:rFonts w:hint="eastAsia" w:ascii="宋体"/>
          <w:bCs/>
          <w:szCs w:val="21"/>
        </w:rPr>
        <w:t>每次考核</w:t>
      </w:r>
      <w:r>
        <w:rPr>
          <w:rFonts w:ascii="宋体"/>
          <w:bCs/>
          <w:szCs w:val="21"/>
        </w:rPr>
        <w:t>结果</w:t>
      </w:r>
      <w:r>
        <w:rPr>
          <w:rFonts w:hint="eastAsia" w:ascii="宋体"/>
          <w:bCs/>
          <w:szCs w:val="21"/>
        </w:rPr>
        <w:t>满</w:t>
      </w:r>
      <w:r>
        <w:rPr>
          <w:rFonts w:ascii="宋体"/>
          <w:bCs/>
          <w:szCs w:val="21"/>
        </w:rPr>
        <w:t>80分（含）以上时，</w:t>
      </w:r>
      <w:r>
        <w:rPr>
          <w:rFonts w:hint="eastAsia" w:ascii="宋体"/>
          <w:bCs/>
          <w:szCs w:val="21"/>
        </w:rPr>
        <w:t>考核完毕，</w:t>
      </w:r>
      <w:r>
        <w:rPr>
          <w:rFonts w:hint="eastAsia" w:ascii="宋体" w:hAnsi="宋体"/>
          <w:szCs w:val="21"/>
        </w:rPr>
        <w:t>由咨询人向委托人方提出申请，经委托人核准后，考核款随最近一次付款支付。</w:t>
      </w:r>
    </w:p>
    <w:p>
      <w:pPr>
        <w:pStyle w:val="220"/>
        <w:spacing w:line="360" w:lineRule="auto"/>
        <w:ind w:firstLine="420" w:firstLineChars="200"/>
        <w:rPr>
          <w:rFonts w:ascii="宋体"/>
          <w:bCs/>
          <w:szCs w:val="21"/>
        </w:rPr>
      </w:pPr>
      <w:r>
        <w:rPr>
          <w:rFonts w:hint="eastAsia" w:ascii="宋体" w:hAnsi="宋体"/>
          <w:szCs w:val="21"/>
        </w:rPr>
        <w:t>7.2考核80分（不含）</w:t>
      </w:r>
      <w:r>
        <w:rPr>
          <w:rFonts w:hint="eastAsia" w:ascii="宋体"/>
          <w:bCs/>
          <w:szCs w:val="21"/>
        </w:rPr>
        <w:t>以下</w:t>
      </w:r>
      <w:r>
        <w:rPr>
          <w:rFonts w:hint="eastAsia" w:ascii="宋体" w:hAnsi="宋体"/>
          <w:szCs w:val="21"/>
        </w:rPr>
        <w:t>时，考核款支付方式：</w:t>
      </w:r>
    </w:p>
    <w:p>
      <w:pPr>
        <w:pStyle w:val="171"/>
        <w:spacing w:line="360" w:lineRule="auto"/>
        <w:jc w:val="left"/>
        <w:rPr>
          <w:rFonts w:ascii="宋体" w:hAnsi="宋体"/>
          <w:szCs w:val="21"/>
        </w:rPr>
      </w:pPr>
      <w:r>
        <w:rPr>
          <w:rFonts w:hint="eastAsia" w:ascii="宋体" w:hAnsi="宋体"/>
          <w:szCs w:val="21"/>
        </w:rPr>
        <w:t>当</w:t>
      </w:r>
      <w:r>
        <w:rPr>
          <w:rFonts w:hint="eastAsia" w:ascii="宋体" w:hAnsi="宋体"/>
          <w:snapToGrid w:val="0"/>
          <w:kern w:val="0"/>
          <w:szCs w:val="21"/>
        </w:rPr>
        <w:t>预算</w:t>
      </w:r>
      <w:r>
        <w:rPr>
          <w:rFonts w:hint="eastAsia" w:ascii="宋体" w:hAnsi="宋体"/>
          <w:snapToGrid w:val="0"/>
          <w:kern w:val="0"/>
          <w:szCs w:val="21"/>
          <w:lang w:val="en-US" w:eastAsia="zh-CN"/>
        </w:rPr>
        <w:t>阶段</w:t>
      </w:r>
      <w:r>
        <w:rPr>
          <w:rFonts w:hint="eastAsia" w:ascii="宋体" w:hAnsi="宋体"/>
          <w:szCs w:val="21"/>
        </w:rPr>
        <w:t>考核结果低于80分（不含）时，</w:t>
      </w:r>
      <w:r>
        <w:rPr>
          <w:rFonts w:hint="eastAsia" w:ascii="宋体" w:hAnsi="宋体"/>
          <w:snapToGrid w:val="0"/>
          <w:kern w:val="0"/>
          <w:szCs w:val="21"/>
        </w:rPr>
        <w:t>预算</w:t>
      </w:r>
      <w:r>
        <w:rPr>
          <w:rFonts w:hint="eastAsia" w:ascii="宋体" w:hAnsi="宋体"/>
          <w:snapToGrid w:val="0"/>
          <w:kern w:val="0"/>
          <w:szCs w:val="21"/>
          <w:lang w:val="en-US" w:eastAsia="zh-CN"/>
        </w:rPr>
        <w:t>阶段</w:t>
      </w:r>
      <w:r>
        <w:rPr>
          <w:rFonts w:hint="eastAsia" w:ascii="宋体" w:hAnsi="宋体"/>
          <w:szCs w:val="21"/>
        </w:rPr>
        <w:t>考核款暂不支付，</w:t>
      </w:r>
      <w:r>
        <w:rPr>
          <w:rFonts w:hint="eastAsia" w:ascii="宋体" w:hAnsi="宋体"/>
          <w:snapToGrid w:val="0"/>
          <w:kern w:val="0"/>
          <w:szCs w:val="21"/>
        </w:rPr>
        <w:t>预算</w:t>
      </w:r>
      <w:r>
        <w:rPr>
          <w:rFonts w:hint="eastAsia" w:ascii="宋体" w:hAnsi="宋体"/>
          <w:snapToGrid w:val="0"/>
          <w:kern w:val="0"/>
          <w:szCs w:val="21"/>
          <w:lang w:val="en-US" w:eastAsia="zh-CN"/>
        </w:rPr>
        <w:t>阶段</w:t>
      </w:r>
      <w:r>
        <w:rPr>
          <w:rFonts w:hint="eastAsia" w:ascii="宋体" w:hAnsi="宋体"/>
          <w:szCs w:val="21"/>
        </w:rPr>
        <w:t>考核款随最近一次付款暂扣。</w:t>
      </w:r>
    </w:p>
    <w:p>
      <w:pPr>
        <w:pStyle w:val="171"/>
        <w:spacing w:line="360" w:lineRule="auto"/>
        <w:jc w:val="left"/>
        <w:rPr>
          <w:rFonts w:ascii="宋体" w:hAnsi="宋体"/>
          <w:szCs w:val="21"/>
        </w:rPr>
      </w:pPr>
      <w:r>
        <w:rPr>
          <w:rFonts w:hint="eastAsia" w:ascii="宋体" w:hAnsi="宋体"/>
          <w:szCs w:val="21"/>
        </w:rPr>
        <w:t>在</w:t>
      </w:r>
      <w:r>
        <w:rPr>
          <w:rFonts w:hint="eastAsia" w:ascii="宋体" w:hAnsi="宋体"/>
          <w:snapToGrid w:val="0"/>
          <w:kern w:val="0"/>
          <w:szCs w:val="21"/>
        </w:rPr>
        <w:t>结算</w:t>
      </w:r>
      <w:r>
        <w:rPr>
          <w:rFonts w:hint="eastAsia" w:ascii="宋体" w:hAnsi="宋体"/>
          <w:snapToGrid w:val="0"/>
          <w:kern w:val="0"/>
          <w:szCs w:val="21"/>
          <w:lang w:val="en-US" w:eastAsia="zh-CN"/>
        </w:rPr>
        <w:t>阶段</w:t>
      </w:r>
      <w:r>
        <w:rPr>
          <w:rFonts w:hint="eastAsia" w:ascii="宋体" w:hAnsi="宋体"/>
          <w:szCs w:val="21"/>
        </w:rPr>
        <w:t>考核结果为80分（含）以上时，由咨询人再次向委托人提请支付</w:t>
      </w:r>
      <w:r>
        <w:rPr>
          <w:rFonts w:hint="eastAsia" w:ascii="宋体" w:hAnsi="宋体"/>
          <w:snapToGrid w:val="0"/>
          <w:kern w:val="0"/>
          <w:szCs w:val="21"/>
        </w:rPr>
        <w:t>结算</w:t>
      </w:r>
      <w:r>
        <w:rPr>
          <w:rFonts w:hint="eastAsia" w:ascii="宋体" w:hAnsi="宋体"/>
          <w:snapToGrid w:val="0"/>
          <w:kern w:val="0"/>
          <w:szCs w:val="21"/>
          <w:lang w:val="en-US" w:eastAsia="zh-CN"/>
        </w:rPr>
        <w:t>阶段</w:t>
      </w:r>
      <w:r>
        <w:rPr>
          <w:rFonts w:hint="eastAsia" w:ascii="宋体" w:hAnsi="宋体"/>
          <w:szCs w:val="21"/>
        </w:rPr>
        <w:t>考核款及上次暂扣的</w:t>
      </w:r>
      <w:r>
        <w:rPr>
          <w:rFonts w:hint="eastAsia" w:ascii="宋体" w:hAnsi="宋体"/>
          <w:snapToGrid w:val="0"/>
          <w:kern w:val="0"/>
          <w:szCs w:val="21"/>
        </w:rPr>
        <w:t>预算</w:t>
      </w:r>
      <w:r>
        <w:rPr>
          <w:rFonts w:hint="eastAsia" w:ascii="宋体" w:hAnsi="宋体"/>
          <w:snapToGrid w:val="0"/>
          <w:kern w:val="0"/>
          <w:szCs w:val="21"/>
          <w:lang w:val="en-US" w:eastAsia="zh-CN"/>
        </w:rPr>
        <w:t>结算</w:t>
      </w:r>
      <w:r>
        <w:rPr>
          <w:rFonts w:hint="eastAsia" w:ascii="宋体" w:hAnsi="宋体"/>
          <w:szCs w:val="21"/>
        </w:rPr>
        <w:t>考核款，相关考核款随最近一次付款支付。</w:t>
      </w:r>
    </w:p>
    <w:p>
      <w:pPr>
        <w:pStyle w:val="171"/>
        <w:spacing w:line="360" w:lineRule="auto"/>
        <w:jc w:val="left"/>
        <w:rPr>
          <w:rFonts w:ascii="宋体" w:hAnsi="宋体"/>
          <w:szCs w:val="21"/>
        </w:rPr>
      </w:pPr>
      <w:r>
        <w:rPr>
          <w:rFonts w:hint="eastAsia" w:ascii="宋体" w:hAnsi="宋体"/>
          <w:snapToGrid w:val="0"/>
          <w:kern w:val="0"/>
          <w:szCs w:val="21"/>
        </w:rPr>
        <w:t>结算</w:t>
      </w:r>
      <w:r>
        <w:rPr>
          <w:rFonts w:hint="eastAsia" w:ascii="宋体" w:hAnsi="宋体"/>
          <w:snapToGrid w:val="0"/>
          <w:kern w:val="0"/>
          <w:szCs w:val="21"/>
          <w:lang w:val="en-US" w:eastAsia="zh-CN"/>
        </w:rPr>
        <w:t>阶段</w:t>
      </w:r>
      <w:r>
        <w:rPr>
          <w:rFonts w:hint="eastAsia" w:ascii="宋体" w:hAnsi="宋体"/>
          <w:szCs w:val="21"/>
        </w:rPr>
        <w:t>考核结果仍低于80分（不含）时，</w:t>
      </w:r>
      <w:r>
        <w:rPr>
          <w:rFonts w:hint="eastAsia" w:ascii="宋体" w:hAnsi="宋体"/>
          <w:snapToGrid w:val="0"/>
          <w:kern w:val="0"/>
          <w:szCs w:val="21"/>
        </w:rPr>
        <w:t>结算</w:t>
      </w:r>
      <w:r>
        <w:rPr>
          <w:rFonts w:hint="eastAsia" w:ascii="宋体" w:hAnsi="宋体"/>
          <w:snapToGrid w:val="0"/>
          <w:kern w:val="0"/>
          <w:szCs w:val="21"/>
          <w:lang w:val="en-US" w:eastAsia="zh-CN"/>
        </w:rPr>
        <w:t>阶段</w:t>
      </w:r>
      <w:r>
        <w:rPr>
          <w:rFonts w:hint="eastAsia" w:ascii="宋体" w:hAnsi="宋体"/>
          <w:szCs w:val="21"/>
        </w:rPr>
        <w:t>考核款暂不支付，</w:t>
      </w:r>
      <w:r>
        <w:rPr>
          <w:rFonts w:hint="eastAsia" w:ascii="宋体" w:hAnsi="宋体"/>
          <w:snapToGrid w:val="0"/>
          <w:kern w:val="0"/>
          <w:szCs w:val="21"/>
          <w:lang w:eastAsia="zh-CN"/>
        </w:rPr>
        <w:t>结算阶段</w:t>
      </w:r>
      <w:r>
        <w:rPr>
          <w:rFonts w:hint="eastAsia" w:ascii="宋体" w:hAnsi="宋体"/>
          <w:szCs w:val="21"/>
        </w:rPr>
        <w:t>考核款随最近一次付款暂扣。</w:t>
      </w:r>
    </w:p>
    <w:p>
      <w:pPr>
        <w:pStyle w:val="171"/>
        <w:spacing w:line="360" w:lineRule="auto"/>
        <w:jc w:val="left"/>
        <w:rPr>
          <w:rFonts w:ascii="宋体" w:hAnsi="宋体"/>
          <w:szCs w:val="21"/>
        </w:rPr>
      </w:pPr>
      <w:r>
        <w:rPr>
          <w:rFonts w:hint="eastAsia" w:ascii="宋体" w:hAnsi="宋体"/>
          <w:szCs w:val="21"/>
        </w:rPr>
        <w:t>两次考核均低于80分（不含）时，则委托人应在相关单位结算主管部门完成项目结算审核后且本合同最终结清前，进行一次最终工作考核。</w:t>
      </w:r>
    </w:p>
    <w:p>
      <w:pPr>
        <w:pStyle w:val="171"/>
        <w:spacing w:line="360" w:lineRule="auto"/>
        <w:jc w:val="left"/>
        <w:rPr>
          <w:rFonts w:ascii="宋体" w:hAnsi="宋体"/>
          <w:snapToGrid w:val="0"/>
          <w:kern w:val="0"/>
          <w:szCs w:val="21"/>
        </w:rPr>
      </w:pPr>
      <w:r>
        <w:rPr>
          <w:rFonts w:hint="eastAsia" w:ascii="宋体" w:hAnsi="宋体"/>
          <w:szCs w:val="21"/>
        </w:rPr>
        <w:t>最终工作考核结果为</w:t>
      </w:r>
      <w:r>
        <w:rPr>
          <w:rFonts w:hint="eastAsia" w:ascii="宋体" w:hAnsi="宋体"/>
          <w:szCs w:val="21"/>
          <w:lang w:val="en-US" w:eastAsia="zh-CN"/>
        </w:rPr>
        <w:t>8</w:t>
      </w:r>
      <w:r>
        <w:rPr>
          <w:rFonts w:hint="eastAsia" w:ascii="宋体" w:hAnsi="宋体"/>
          <w:szCs w:val="21"/>
        </w:rPr>
        <w:t>0分（含）以上时，</w:t>
      </w:r>
      <w:r>
        <w:rPr>
          <w:rFonts w:hint="eastAsia" w:ascii="宋体" w:hAnsi="宋体"/>
          <w:snapToGrid w:val="0"/>
          <w:kern w:val="0"/>
          <w:szCs w:val="21"/>
        </w:rPr>
        <w:t>前两次累计暂扣的</w:t>
      </w:r>
      <w:r>
        <w:rPr>
          <w:rFonts w:hint="eastAsia" w:ascii="宋体" w:hAnsi="宋体"/>
          <w:szCs w:val="21"/>
        </w:rPr>
        <w:t>考核款随最终结清款支付；但</w:t>
      </w:r>
      <w:r>
        <w:rPr>
          <w:rFonts w:hint="eastAsia" w:ascii="宋体" w:hAnsi="宋体"/>
          <w:snapToGrid w:val="0"/>
          <w:kern w:val="0"/>
          <w:szCs w:val="21"/>
        </w:rPr>
        <w:t>咨询人以后参与委托人采购项目的投标或响应时，委托人有权在定标过程中对咨询人设置风险提示。</w:t>
      </w:r>
    </w:p>
    <w:p>
      <w:pPr>
        <w:pStyle w:val="171"/>
        <w:spacing w:line="360" w:lineRule="auto"/>
        <w:jc w:val="left"/>
        <w:rPr>
          <w:rFonts w:hint="eastAsia" w:ascii="宋体" w:hAnsi="宋体"/>
          <w:snapToGrid w:val="0"/>
          <w:kern w:val="0"/>
          <w:szCs w:val="21"/>
        </w:rPr>
      </w:pPr>
      <w:r>
        <w:rPr>
          <w:rFonts w:hint="eastAsia" w:ascii="宋体" w:hAnsi="宋体"/>
          <w:szCs w:val="21"/>
        </w:rPr>
        <w:t>最终工作考核结果为60分（含）以上80分（不含）以下时，</w:t>
      </w:r>
      <w:r>
        <w:rPr>
          <w:rFonts w:hint="eastAsia" w:ascii="宋体" w:hAnsi="宋体"/>
          <w:szCs w:val="21"/>
          <w:lang w:val="en-US" w:eastAsia="zh-CN"/>
        </w:rPr>
        <w:t>委托方将扣除合同结算总金额的5%不予支付；评价结果为60分（不含）以下时，视为咨询人未正常履约，委托人将扣除合同结算总金额的10%不予支付。</w:t>
      </w:r>
      <w:r>
        <w:rPr>
          <w:rFonts w:hint="eastAsia" w:ascii="宋体" w:hAnsi="宋体"/>
          <w:snapToGrid w:val="0"/>
          <w:kern w:val="0"/>
          <w:szCs w:val="21"/>
        </w:rPr>
        <w:t>扣除违约金后的</w:t>
      </w:r>
      <w:r>
        <w:rPr>
          <w:rFonts w:hint="eastAsia" w:ascii="宋体" w:hAnsi="宋体"/>
          <w:szCs w:val="21"/>
        </w:rPr>
        <w:t>考核款随最终结清款支付；且</w:t>
      </w:r>
      <w:r>
        <w:rPr>
          <w:rFonts w:hint="eastAsia" w:ascii="宋体" w:hAnsi="宋体"/>
          <w:snapToGrid w:val="0"/>
          <w:kern w:val="0"/>
          <w:szCs w:val="21"/>
        </w:rPr>
        <w:t>委托人有权在后续项目采购中对咨询人设置风险提示。</w:t>
      </w:r>
    </w:p>
    <w:p>
      <w:pPr>
        <w:spacing w:line="560" w:lineRule="exact"/>
        <w:ind w:firstLine="420" w:firstLineChars="200"/>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履约评价评分标准表如下，后续履约评价表如有更新，以城投集团最新的履约评价管理办法执行。</w:t>
      </w:r>
    </w:p>
    <w:p>
      <w:pPr>
        <w:pStyle w:val="171"/>
        <w:spacing w:line="360" w:lineRule="auto"/>
        <w:jc w:val="left"/>
        <w:rPr>
          <w:rFonts w:hint="eastAsia" w:ascii="宋体" w:hAnsi="宋体"/>
          <w:snapToGrid w:val="0"/>
          <w:kern w:val="0"/>
          <w:szCs w:val="21"/>
        </w:rPr>
      </w:pPr>
    </w:p>
    <w:tbl>
      <w:tblPr>
        <w:tblStyle w:val="83"/>
        <w:tblW w:w="0" w:type="auto"/>
        <w:tblInd w:w="0" w:type="dxa"/>
        <w:tblLayout w:type="fixed"/>
        <w:tblCellMar>
          <w:top w:w="0" w:type="dxa"/>
          <w:left w:w="0" w:type="dxa"/>
          <w:bottom w:w="0" w:type="dxa"/>
          <w:right w:w="0" w:type="dxa"/>
        </w:tblCellMar>
      </w:tblPr>
      <w:tblGrid>
        <w:gridCol w:w="529"/>
        <w:gridCol w:w="617"/>
        <w:gridCol w:w="564"/>
        <w:gridCol w:w="776"/>
        <w:gridCol w:w="617"/>
        <w:gridCol w:w="3810"/>
        <w:gridCol w:w="935"/>
        <w:gridCol w:w="882"/>
      </w:tblGrid>
      <w:tr>
        <w:tblPrEx>
          <w:tblCellMar>
            <w:top w:w="0" w:type="dxa"/>
            <w:left w:w="0" w:type="dxa"/>
            <w:bottom w:w="0" w:type="dxa"/>
            <w:right w:w="0" w:type="dxa"/>
          </w:tblCellMar>
        </w:tblPrEx>
        <w:trPr>
          <w:trHeight w:val="1080" w:hRule="atLeast"/>
        </w:trPr>
        <w:tc>
          <w:tcPr>
            <w:tcW w:w="8730" w:type="dxa"/>
            <w:gridSpan w:val="8"/>
            <w:tcBorders>
              <w:top w:val="nil"/>
              <w:left w:val="nil"/>
              <w:bottom w:val="nil"/>
              <w:right w:val="nil"/>
            </w:tcBorders>
            <w:noWrap w:val="0"/>
            <w:tcMar>
              <w:top w:w="15" w:type="dxa"/>
              <w:left w:w="15" w:type="dxa"/>
              <w:right w:w="15" w:type="dxa"/>
            </w:tcMar>
            <w:vAlign w:val="center"/>
          </w:tcPr>
          <w:p>
            <w:pPr>
              <w:widowControl/>
              <w:jc w:val="center"/>
              <w:textAlignment w:val="center"/>
              <w:rPr>
                <w:rFonts w:hint="eastAsia" w:ascii="黑体" w:hAnsi="宋体" w:eastAsia="黑体" w:cs="黑体"/>
                <w:b/>
                <w:color w:val="auto"/>
                <w:sz w:val="36"/>
                <w:szCs w:val="36"/>
              </w:rPr>
            </w:pPr>
            <w:r>
              <w:rPr>
                <w:rFonts w:hint="eastAsia" w:ascii="黑体" w:hAnsi="宋体" w:eastAsia="黑体" w:cs="黑体"/>
                <w:b/>
                <w:color w:val="auto"/>
                <w:kern w:val="0"/>
                <w:sz w:val="24"/>
                <w:szCs w:val="24"/>
                <w:lang w:bidi="ar"/>
              </w:rPr>
              <w:t>造价咨询节点履约评价评分标准表</w:t>
            </w:r>
            <w:r>
              <w:rPr>
                <w:rFonts w:hint="eastAsia" w:ascii="黑体" w:hAnsi="宋体" w:eastAsia="黑体" w:cs="黑体"/>
                <w:b/>
                <w:color w:val="auto"/>
                <w:kern w:val="0"/>
                <w:sz w:val="24"/>
                <w:szCs w:val="24"/>
                <w:lang w:bidi="ar"/>
              </w:rPr>
              <w:br w:type="textWrapping"/>
            </w:r>
            <w:r>
              <w:rPr>
                <w:rFonts w:hint="eastAsia" w:ascii="黑体" w:hAnsi="宋体" w:eastAsia="黑体" w:cs="黑体"/>
                <w:b/>
                <w:color w:val="auto"/>
                <w:kern w:val="0"/>
                <w:sz w:val="24"/>
                <w:szCs w:val="24"/>
                <w:lang w:bidi="ar"/>
              </w:rPr>
              <w:t>（样表）</w:t>
            </w:r>
          </w:p>
        </w:tc>
      </w:tr>
      <w:tr>
        <w:tblPrEx>
          <w:tblCellMar>
            <w:top w:w="0" w:type="dxa"/>
            <w:left w:w="0" w:type="dxa"/>
            <w:bottom w:w="0" w:type="dxa"/>
            <w:right w:w="0" w:type="dxa"/>
          </w:tblCellMar>
        </w:tblPrEx>
        <w:trPr>
          <w:trHeight w:val="800" w:hRule="atLeast"/>
        </w:trPr>
        <w:tc>
          <w:tcPr>
            <w:tcW w:w="8730" w:type="dxa"/>
            <w:gridSpan w:val="8"/>
            <w:tcBorders>
              <w:top w:val="nil"/>
              <w:left w:val="nil"/>
              <w:bottom w:val="nil"/>
              <w:right w:val="nil"/>
            </w:tcBorders>
            <w:noWrap w:val="0"/>
            <w:tcMar>
              <w:top w:w="15" w:type="dxa"/>
              <w:left w:w="15" w:type="dxa"/>
              <w:right w:w="15" w:type="dxa"/>
            </w:tcMar>
            <w:vAlign w:val="center"/>
          </w:tcPr>
          <w:p>
            <w:pPr>
              <w:widowControl/>
              <w:jc w:val="left"/>
              <w:textAlignment w:val="center"/>
              <w:rPr>
                <w:rFonts w:hint="eastAsia" w:ascii="黑体" w:hAnsi="宋体" w:eastAsia="黑体" w:cs="黑体"/>
                <w:b/>
                <w:color w:val="auto"/>
                <w:sz w:val="24"/>
                <w:szCs w:val="24"/>
              </w:rPr>
            </w:pPr>
            <w:r>
              <w:rPr>
                <w:rFonts w:hint="eastAsia" w:ascii="黑体" w:hAnsi="宋体" w:eastAsia="黑体" w:cs="黑体"/>
                <w:b/>
                <w:color w:val="auto"/>
                <w:kern w:val="0"/>
                <w:sz w:val="24"/>
                <w:szCs w:val="24"/>
                <w:lang w:bidi="ar"/>
              </w:rPr>
              <w:t xml:space="preserve">工程名称：                                          履约单位：                 </w:t>
            </w:r>
            <w:r>
              <w:rPr>
                <w:rFonts w:hint="eastAsia" w:ascii="黑体" w:hAnsi="宋体" w:eastAsia="黑体" w:cs="黑体"/>
                <w:b/>
                <w:color w:val="auto"/>
                <w:kern w:val="0"/>
                <w:sz w:val="24"/>
                <w:szCs w:val="24"/>
                <w:lang w:bidi="ar"/>
              </w:rPr>
              <w:br w:type="textWrapping"/>
            </w:r>
            <w:r>
              <w:rPr>
                <w:rFonts w:hint="eastAsia" w:ascii="黑体" w:hAnsi="宋体" w:eastAsia="黑体" w:cs="黑体"/>
                <w:b/>
                <w:color w:val="auto"/>
                <w:kern w:val="0"/>
                <w:sz w:val="24"/>
                <w:szCs w:val="24"/>
                <w:lang w:bidi="ar"/>
              </w:rPr>
              <w:t>评价人员：                                          评价时间：</w:t>
            </w:r>
          </w:p>
        </w:tc>
      </w:tr>
      <w:tr>
        <w:tblPrEx>
          <w:tblCellMar>
            <w:top w:w="0" w:type="dxa"/>
            <w:left w:w="0" w:type="dxa"/>
            <w:bottom w:w="0" w:type="dxa"/>
            <w:right w:w="0" w:type="dxa"/>
          </w:tblCellMar>
        </w:tblPrEx>
        <w:trPr>
          <w:trHeight w:val="1340" w:hRule="atLeast"/>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序号</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一级指标名称</w:t>
            </w:r>
          </w:p>
        </w:tc>
        <w:tc>
          <w:tcPr>
            <w:tcW w:w="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一级指标权重分值</w:t>
            </w: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二级指标名称</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二级指标权重分值</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考核要素</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履约率</w:t>
            </w: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得分</w:t>
            </w:r>
          </w:p>
        </w:tc>
      </w:tr>
      <w:tr>
        <w:tblPrEx>
          <w:tblCellMar>
            <w:top w:w="0" w:type="dxa"/>
            <w:left w:w="0" w:type="dxa"/>
            <w:bottom w:w="0" w:type="dxa"/>
            <w:right w:w="0" w:type="dxa"/>
          </w:tblCellMar>
        </w:tblPrEx>
        <w:trPr>
          <w:trHeight w:val="1340" w:hRule="atLeast"/>
        </w:trPr>
        <w:tc>
          <w:tcPr>
            <w:tcW w:w="529"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一</w:t>
            </w:r>
          </w:p>
        </w:tc>
        <w:tc>
          <w:tcPr>
            <w:tcW w:w="61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人员配备</w:t>
            </w:r>
          </w:p>
        </w:tc>
        <w:tc>
          <w:tcPr>
            <w:tcW w:w="56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15</w:t>
            </w: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项目负责人</w:t>
            </w:r>
          </w:p>
        </w:tc>
        <w:tc>
          <w:tcPr>
            <w:tcW w:w="6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10</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与投标承诺或合同约定的一致，如确需更换的，应提前书面通知发包人；实际工作开展时，负责人能作为项目第一联系人与发包人主动沟通对接项目相关事宜，具有专业的业务水平。</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720" w:hRule="atLeast"/>
        </w:trPr>
        <w:tc>
          <w:tcPr>
            <w:tcW w:w="52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专业人员</w:t>
            </w:r>
          </w:p>
        </w:tc>
        <w:tc>
          <w:tcPr>
            <w:tcW w:w="6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5</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与投标承诺或合同约定的人员及数量一致。</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1020" w:hRule="atLeast"/>
        </w:trPr>
        <w:tc>
          <w:tcPr>
            <w:tcW w:w="529"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二</w:t>
            </w:r>
          </w:p>
        </w:tc>
        <w:tc>
          <w:tcPr>
            <w:tcW w:w="61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履约质量</w:t>
            </w:r>
          </w:p>
        </w:tc>
        <w:tc>
          <w:tcPr>
            <w:tcW w:w="56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50</w:t>
            </w: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咨询成果质量</w:t>
            </w:r>
          </w:p>
        </w:tc>
        <w:tc>
          <w:tcPr>
            <w:tcW w:w="6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10</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咨询工作符合内部审计、巡查、评审等工作要求、对发包人未造成影响、经济损失。</w:t>
            </w:r>
            <w:r>
              <w:rPr>
                <w:rFonts w:hint="eastAsia" w:ascii="宋体" w:hAnsi="宋体" w:cs="宋体"/>
                <w:color w:val="auto"/>
                <w:kern w:val="0"/>
                <w:sz w:val="20"/>
                <w:szCs w:val="20"/>
                <w:lang w:bidi="ar"/>
              </w:rPr>
              <w:br w:type="textWrapping"/>
            </w:r>
            <w:r>
              <w:rPr>
                <w:rFonts w:hint="eastAsia" w:ascii="宋体" w:hAnsi="宋体" w:cs="宋体"/>
                <w:color w:val="auto"/>
                <w:kern w:val="0"/>
                <w:sz w:val="20"/>
                <w:szCs w:val="20"/>
                <w:lang w:bidi="ar"/>
              </w:rPr>
              <w:t>若出现负面情形，视造成影响严重程度判定履约率。</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720" w:hRule="atLeast"/>
        </w:trPr>
        <w:tc>
          <w:tcPr>
            <w:tcW w:w="52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初步设计阶段</w:t>
            </w:r>
          </w:p>
        </w:tc>
        <w:tc>
          <w:tcPr>
            <w:tcW w:w="6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8</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概算审核准确、及时、全面有效。</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880" w:hRule="atLeast"/>
        </w:trPr>
        <w:tc>
          <w:tcPr>
            <w:tcW w:w="52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施工图设计阶段</w:t>
            </w:r>
          </w:p>
        </w:tc>
        <w:tc>
          <w:tcPr>
            <w:tcW w:w="6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8</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预算文件中的工程量清单项目编制齐全、分类清楚、不得漏项、工程量准确率在97%以上、价格合理。</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760" w:hRule="atLeast"/>
        </w:trPr>
        <w:tc>
          <w:tcPr>
            <w:tcW w:w="52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施工招标阶段</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8</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工程量清单及标底准确、合理，未出现超概算情况。</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760" w:hRule="atLeast"/>
        </w:trPr>
        <w:tc>
          <w:tcPr>
            <w:tcW w:w="52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项目实施阶段</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8</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工程变更审核准确、合理，能够发现企图通过工程变更增加造价的情况。</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1260" w:hRule="atLeast"/>
        </w:trPr>
        <w:tc>
          <w:tcPr>
            <w:tcW w:w="52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结算（决算）阶段</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8</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审查工程竣工结算的递交程序和资料的完备性：审查结算资料是否具有法律效力、完整性、真实性；审核结算价与政府审计部门审定的结算价误差应控制在3%以内。</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1120" w:hRule="atLeast"/>
        </w:trPr>
        <w:tc>
          <w:tcPr>
            <w:tcW w:w="529"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三</w:t>
            </w:r>
          </w:p>
        </w:tc>
        <w:tc>
          <w:tcPr>
            <w:tcW w:w="617"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履约进度</w:t>
            </w:r>
          </w:p>
        </w:tc>
        <w:tc>
          <w:tcPr>
            <w:tcW w:w="564"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15</w:t>
            </w: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初步设计阶段</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3</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在接到相关资料后，在合同或任务书约定时间内完成概算复核工作。根据成果提交的时间及工作质量判定履约率。</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900" w:hRule="atLeast"/>
        </w:trPr>
        <w:tc>
          <w:tcPr>
            <w:tcW w:w="52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施工图设计阶段</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3</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自接到相关资料后，在合同或任务书约定时间内完成工程预算编制工作。根据成果提交的时间及工作质量判定履约率。</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900" w:hRule="atLeast"/>
        </w:trPr>
        <w:tc>
          <w:tcPr>
            <w:tcW w:w="52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施工招标阶段</w:t>
            </w:r>
          </w:p>
        </w:tc>
        <w:tc>
          <w:tcPr>
            <w:tcW w:w="6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3</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自接到相关资料后，在合同或任务书约定时间内提交工程量清单及标底。根据成果提交的时间及工作质量判定履约率。</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900" w:hRule="atLeast"/>
        </w:trPr>
        <w:tc>
          <w:tcPr>
            <w:tcW w:w="52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项目实施阶段</w:t>
            </w:r>
          </w:p>
        </w:tc>
        <w:tc>
          <w:tcPr>
            <w:tcW w:w="6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3</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自接到相关资料后，在合同或任务书约定时间内完成变更审核工作。根据成果提交的时间及工作质量判定履约率。</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900" w:hRule="atLeast"/>
        </w:trPr>
        <w:tc>
          <w:tcPr>
            <w:tcW w:w="52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结算（决算）阶段</w:t>
            </w:r>
          </w:p>
        </w:tc>
        <w:tc>
          <w:tcPr>
            <w:tcW w:w="61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3</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自接到相关资料后，在合同或任务书约定时间内完成结算审核工作。根据成果提交的时间及工作质量判定履约率。</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900" w:hRule="atLeast"/>
        </w:trPr>
        <w:tc>
          <w:tcPr>
            <w:tcW w:w="529"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四</w:t>
            </w:r>
          </w:p>
        </w:tc>
        <w:tc>
          <w:tcPr>
            <w:tcW w:w="617"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配合与协调</w:t>
            </w:r>
          </w:p>
        </w:tc>
        <w:tc>
          <w:tcPr>
            <w:tcW w:w="564"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20</w:t>
            </w: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廉政责任落实</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8</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按照签订的《投标人廉政责任承诺书》、《建设工程廉政责任合同》落实，若任一条款未落实的，履约率均被判定0%。</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860" w:hRule="atLeast"/>
        </w:trPr>
        <w:tc>
          <w:tcPr>
            <w:tcW w:w="52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配合协调</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6</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积极配合建设单位及其他外部单位工作，积极推动项目进展，能够沟通协调各项问题</w:t>
            </w:r>
          </w:p>
        </w:tc>
        <w:tc>
          <w:tcPr>
            <w:tcW w:w="9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860" w:hRule="atLeast"/>
        </w:trPr>
        <w:tc>
          <w:tcPr>
            <w:tcW w:w="52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617"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564"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0"/>
                <w:szCs w:val="20"/>
              </w:rPr>
            </w:pPr>
          </w:p>
        </w:tc>
        <w:tc>
          <w:tcPr>
            <w:tcW w:w="7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施工全过程造价控制</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6</w:t>
            </w:r>
          </w:p>
        </w:tc>
        <w:tc>
          <w:tcPr>
            <w:tcW w:w="3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left"/>
              <w:textAlignment w:val="center"/>
              <w:rPr>
                <w:rFonts w:hint="eastAsia" w:ascii="宋体" w:hAnsi="宋体" w:cs="宋体"/>
                <w:color w:val="auto"/>
                <w:sz w:val="20"/>
                <w:szCs w:val="20"/>
              </w:rPr>
            </w:pPr>
            <w:r>
              <w:rPr>
                <w:rFonts w:hint="eastAsia" w:ascii="宋体" w:hAnsi="宋体" w:cs="宋体"/>
                <w:color w:val="auto"/>
                <w:kern w:val="0"/>
                <w:sz w:val="20"/>
                <w:szCs w:val="20"/>
                <w:lang w:bidi="ar"/>
              </w:rPr>
              <w:t>积极配合完成合同索赔管理、工程变更造价审核、现场签证造价审核、工程进度款审核等涉及工程费用方面造价工作</w:t>
            </w:r>
          </w:p>
        </w:tc>
        <w:tc>
          <w:tcPr>
            <w:tcW w:w="935" w:type="dxa"/>
            <w:tcBorders>
              <w:top w:val="single" w:color="000000" w:sz="4" w:space="0"/>
              <w:left w:val="nil"/>
              <w:bottom w:val="single" w:color="000000" w:sz="4" w:space="0"/>
              <w:right w:val="nil"/>
            </w:tcBorders>
            <w:noWrap w:val="0"/>
            <w:tcMar>
              <w:top w:w="15" w:type="dxa"/>
              <w:left w:w="15" w:type="dxa"/>
              <w:right w:w="15" w:type="dxa"/>
            </w:tcMar>
            <w:vAlign w:val="center"/>
          </w:tcPr>
          <w:p>
            <w:pPr>
              <w:jc w:val="left"/>
              <w:rPr>
                <w:rFonts w:hint="eastAsia" w:ascii="黑体" w:hAnsi="宋体" w:eastAsia="黑体" w:cs="黑体"/>
                <w:color w:val="auto"/>
                <w:sz w:val="20"/>
                <w:szCs w:val="20"/>
              </w:rPr>
            </w:pP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0"/>
                <w:szCs w:val="20"/>
              </w:rPr>
            </w:pPr>
            <w:r>
              <w:rPr>
                <w:rFonts w:hint="eastAsia" w:ascii="宋体" w:hAnsi="宋体" w:cs="宋体"/>
                <w:color w:val="auto"/>
                <w:kern w:val="0"/>
                <w:sz w:val="20"/>
                <w:szCs w:val="20"/>
                <w:lang w:bidi="ar"/>
              </w:rPr>
              <w:t>0</w:t>
            </w:r>
          </w:p>
        </w:tc>
      </w:tr>
      <w:tr>
        <w:tblPrEx>
          <w:tblCellMar>
            <w:top w:w="0" w:type="dxa"/>
            <w:left w:w="0" w:type="dxa"/>
            <w:bottom w:w="0" w:type="dxa"/>
            <w:right w:w="0" w:type="dxa"/>
          </w:tblCellMar>
        </w:tblPrEx>
        <w:trPr>
          <w:trHeight w:val="1180" w:hRule="atLeast"/>
        </w:trPr>
        <w:tc>
          <w:tcPr>
            <w:tcW w:w="2486"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黑体" w:hAnsi="宋体" w:eastAsia="黑体" w:cs="黑体"/>
                <w:color w:val="auto"/>
                <w:sz w:val="20"/>
                <w:szCs w:val="20"/>
              </w:rPr>
            </w:pPr>
            <w:r>
              <w:rPr>
                <w:rFonts w:hint="eastAsia" w:ascii="黑体" w:hAnsi="宋体" w:eastAsia="黑体" w:cs="黑体"/>
                <w:color w:val="auto"/>
                <w:kern w:val="0"/>
                <w:sz w:val="20"/>
                <w:szCs w:val="20"/>
                <w:lang w:bidi="ar"/>
              </w:rPr>
              <w:t>总分</w:t>
            </w:r>
          </w:p>
        </w:tc>
        <w:tc>
          <w:tcPr>
            <w:tcW w:w="6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黑体" w:hAnsi="宋体" w:eastAsia="黑体" w:cs="黑体"/>
                <w:color w:val="auto"/>
                <w:sz w:val="20"/>
                <w:szCs w:val="20"/>
              </w:rPr>
            </w:pPr>
            <w:r>
              <w:rPr>
                <w:rFonts w:hint="eastAsia" w:ascii="黑体" w:hAnsi="宋体" w:eastAsia="黑体" w:cs="黑体"/>
                <w:color w:val="auto"/>
                <w:kern w:val="0"/>
                <w:sz w:val="20"/>
                <w:szCs w:val="20"/>
                <w:lang w:bidi="ar"/>
              </w:rPr>
              <w:t>100</w:t>
            </w:r>
          </w:p>
        </w:tc>
        <w:tc>
          <w:tcPr>
            <w:tcW w:w="4745" w:type="dxa"/>
            <w:gridSpan w:val="2"/>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widowControl/>
              <w:jc w:val="left"/>
              <w:textAlignment w:val="center"/>
              <w:rPr>
                <w:rFonts w:hint="eastAsia" w:ascii="黑体" w:hAnsi="宋体" w:eastAsia="黑体" w:cs="黑体"/>
                <w:color w:val="auto"/>
                <w:sz w:val="20"/>
                <w:szCs w:val="20"/>
              </w:rPr>
            </w:pPr>
            <w:r>
              <w:rPr>
                <w:rFonts w:hint="eastAsia" w:ascii="黑体" w:hAnsi="宋体" w:eastAsia="黑体" w:cs="黑体"/>
                <w:color w:val="auto"/>
                <w:kern w:val="0"/>
                <w:sz w:val="20"/>
                <w:szCs w:val="20"/>
                <w:lang w:bidi="ar"/>
              </w:rPr>
              <w:t>单项二级实际得分=二级指标履约率×指标权重分值；</w:t>
            </w:r>
            <w:r>
              <w:rPr>
                <w:rFonts w:hint="eastAsia" w:ascii="黑体" w:hAnsi="宋体" w:eastAsia="黑体" w:cs="黑体"/>
                <w:color w:val="auto"/>
                <w:kern w:val="0"/>
                <w:sz w:val="20"/>
                <w:szCs w:val="20"/>
                <w:lang w:bidi="ar"/>
              </w:rPr>
              <w:br w:type="textWrapping"/>
            </w:r>
            <w:r>
              <w:rPr>
                <w:rFonts w:hint="eastAsia" w:ascii="黑体" w:hAnsi="宋体" w:eastAsia="黑体" w:cs="黑体"/>
                <w:color w:val="auto"/>
                <w:kern w:val="0"/>
                <w:sz w:val="20"/>
                <w:szCs w:val="20"/>
                <w:lang w:bidi="ar"/>
              </w:rPr>
              <w:t>最终得分=∑各二级指标实际得分/∑各二级指标权重分值×100</w:t>
            </w:r>
          </w:p>
        </w:tc>
        <w:tc>
          <w:tcPr>
            <w:tcW w:w="8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黑体" w:hAnsi="宋体" w:eastAsia="黑体" w:cs="黑体"/>
                <w:color w:val="auto"/>
                <w:sz w:val="20"/>
                <w:szCs w:val="20"/>
              </w:rPr>
            </w:pPr>
            <w:r>
              <w:rPr>
                <w:rFonts w:hint="eastAsia" w:ascii="黑体" w:hAnsi="宋体" w:eastAsia="黑体" w:cs="黑体"/>
                <w:color w:val="auto"/>
                <w:kern w:val="0"/>
                <w:sz w:val="20"/>
                <w:szCs w:val="20"/>
                <w:lang w:bidi="ar"/>
              </w:rPr>
              <w:t>0</w:t>
            </w:r>
          </w:p>
        </w:tc>
      </w:tr>
    </w:tbl>
    <w:p>
      <w:pPr>
        <w:spacing w:line="560" w:lineRule="exact"/>
        <w:rPr>
          <w:rFonts w:ascii="宋体" w:hAnsi="宋体" w:cs="宋体"/>
          <w:spacing w:val="4"/>
          <w:sz w:val="24"/>
          <w:szCs w:val="24"/>
        </w:rPr>
      </w:pPr>
    </w:p>
    <w:p>
      <w:pPr>
        <w:spacing w:line="560" w:lineRule="exact"/>
        <w:rPr>
          <w:rFonts w:ascii="宋体" w:hAnsi="宋体" w:cs="宋体"/>
          <w:spacing w:val="4"/>
          <w:sz w:val="24"/>
          <w:szCs w:val="24"/>
        </w:rPr>
      </w:pPr>
    </w:p>
    <w:p>
      <w:pPr>
        <w:widowControl/>
        <w:jc w:val="left"/>
        <w:rPr>
          <w:rFonts w:ascii="宋体" w:hAnsi="宋体" w:cs="宋体"/>
          <w:spacing w:val="4"/>
          <w:sz w:val="24"/>
          <w:szCs w:val="24"/>
        </w:rPr>
      </w:pPr>
    </w:p>
    <w:p>
      <w:pPr>
        <w:pStyle w:val="4"/>
        <w:numPr>
          <w:ilvl w:val="0"/>
          <w:numId w:val="0"/>
        </w:numPr>
        <w:spacing w:line="360" w:lineRule="auto"/>
        <w:rPr>
          <w:rFonts w:hint="eastAsia" w:ascii="宋体" w:hAnsi="宋体" w:eastAsia="宋体" w:cs="宋体"/>
          <w:b/>
          <w:bCs w:val="0"/>
          <w:spacing w:val="4"/>
          <w:kern w:val="2"/>
          <w:sz w:val="32"/>
          <w:szCs w:val="32"/>
          <w:lang w:val="en-US" w:eastAsia="zh-CN" w:bidi="ar-SA"/>
        </w:rPr>
      </w:pPr>
      <w:r>
        <w:rPr>
          <w:rFonts w:hint="eastAsia" w:ascii="宋体" w:hAnsi="宋体" w:eastAsia="宋体" w:cs="宋体"/>
          <w:b/>
          <w:bCs w:val="0"/>
          <w:spacing w:val="4"/>
          <w:kern w:val="2"/>
          <w:sz w:val="32"/>
          <w:szCs w:val="32"/>
          <w:lang w:val="en-US" w:eastAsia="zh-CN" w:bidi="ar-SA"/>
        </w:rPr>
        <w:t>附件2：廉政协议</w:t>
      </w:r>
    </w:p>
    <w:p>
      <w:pPr>
        <w:spacing w:line="360" w:lineRule="auto"/>
        <w:jc w:val="center"/>
        <w:rPr>
          <w:rFonts w:ascii="宋体"/>
          <w:b/>
          <w:sz w:val="24"/>
          <w:szCs w:val="24"/>
        </w:rPr>
      </w:pPr>
      <w:r>
        <w:rPr>
          <w:rFonts w:hint="eastAsia" w:ascii="宋体"/>
          <w:b/>
          <w:spacing w:val="20"/>
          <w:sz w:val="36"/>
          <w:szCs w:val="36"/>
        </w:rPr>
        <w:t>廉政协议</w:t>
      </w:r>
    </w:p>
    <w:p>
      <w:pPr>
        <w:spacing w:before="156" w:beforeLines="50" w:after="156" w:afterLines="50" w:line="360" w:lineRule="auto"/>
        <w:contextualSpacing/>
        <w:rPr>
          <w:rFonts w:ascii="宋体"/>
          <w:sz w:val="24"/>
          <w:szCs w:val="24"/>
        </w:rPr>
      </w:pPr>
      <w:r>
        <w:rPr>
          <w:rFonts w:hint="eastAsia" w:ascii="宋体" w:hAnsi="宋体"/>
          <w:sz w:val="24"/>
          <w:szCs w:val="24"/>
        </w:rPr>
        <w:t xml:space="preserve">    委托人及咨询人为加强阳光合作，保证职员职业安全，双方经协商</w:t>
      </w:r>
      <w:r>
        <w:rPr>
          <w:rFonts w:hint="eastAsia" w:ascii="宋体" w:hAnsi="宋体"/>
          <w:sz w:val="24"/>
          <w:szCs w:val="24"/>
          <w:lang w:eastAsia="zh-CN"/>
        </w:rPr>
        <w:t>签订</w:t>
      </w:r>
      <w:r>
        <w:rPr>
          <w:rFonts w:hint="eastAsia" w:ascii="宋体" w:hAnsi="宋体"/>
          <w:sz w:val="24"/>
          <w:szCs w:val="24"/>
        </w:rPr>
        <w:t>本协议并作为双方共同遵守的廉政行为准则。</w:t>
      </w:r>
    </w:p>
    <w:p>
      <w:pPr>
        <w:widowControl/>
        <w:numPr>
          <w:ilvl w:val="0"/>
          <w:numId w:val="4"/>
        </w:numPr>
        <w:spacing w:before="156" w:beforeLines="50" w:after="156" w:afterLines="50" w:line="360" w:lineRule="auto"/>
        <w:contextualSpacing/>
        <w:rPr>
          <w:rFonts w:ascii="宋体" w:hAnsi="宋体"/>
          <w:b/>
          <w:sz w:val="24"/>
          <w:szCs w:val="24"/>
        </w:rPr>
      </w:pPr>
      <w:r>
        <w:rPr>
          <w:rFonts w:hint="eastAsia" w:ascii="宋体" w:hAnsi="宋体"/>
          <w:b/>
          <w:sz w:val="24"/>
          <w:szCs w:val="24"/>
        </w:rPr>
        <w:t>委托人责任</w:t>
      </w:r>
    </w:p>
    <w:p>
      <w:pPr>
        <w:spacing w:before="156" w:beforeLines="50" w:after="156" w:afterLines="50" w:line="360" w:lineRule="auto"/>
        <w:ind w:left="105" w:leftChars="50" w:firstLine="420"/>
        <w:contextualSpacing/>
        <w:rPr>
          <w:rFonts w:ascii="宋体" w:hAnsi="宋体"/>
          <w:sz w:val="24"/>
          <w:szCs w:val="24"/>
        </w:rPr>
      </w:pPr>
      <w:r>
        <w:rPr>
          <w:rFonts w:hint="eastAsia" w:ascii="宋体" w:hAnsi="宋体"/>
          <w:sz w:val="24"/>
          <w:szCs w:val="24"/>
        </w:rPr>
        <w:t>1.委托人从事业务活动必须坚持公开、公平、公正、诚信、透明的原则（除法律法规认定的商业秘密和合同文件另有规定者外）。</w:t>
      </w:r>
    </w:p>
    <w:p>
      <w:pPr>
        <w:spacing w:before="156" w:beforeLines="50" w:after="156" w:afterLines="50" w:line="360" w:lineRule="auto"/>
        <w:ind w:left="105" w:leftChars="50" w:firstLine="480" w:firstLineChars="200"/>
        <w:contextualSpacing/>
        <w:rPr>
          <w:rFonts w:ascii="宋体" w:hAnsi="宋体"/>
          <w:sz w:val="24"/>
          <w:szCs w:val="24"/>
        </w:rPr>
      </w:pPr>
      <w:r>
        <w:rPr>
          <w:rFonts w:hint="eastAsia" w:ascii="宋体" w:hAnsi="宋体"/>
          <w:sz w:val="24"/>
          <w:szCs w:val="24"/>
        </w:rPr>
        <w:t>2.委托人人员应严格遵守本单位</w:t>
      </w:r>
      <w:r>
        <w:rPr>
          <w:rFonts w:hint="eastAsia" w:ascii="宋体" w:hAnsi="宋体"/>
          <w:sz w:val="24"/>
          <w:szCs w:val="24"/>
          <w:lang w:eastAsia="zh-CN"/>
        </w:rPr>
        <w:t>有关</w:t>
      </w:r>
      <w:r>
        <w:rPr>
          <w:rFonts w:hint="eastAsia" w:ascii="宋体" w:hAnsi="宋体"/>
          <w:sz w:val="24"/>
          <w:szCs w:val="24"/>
        </w:rPr>
        <w:t xml:space="preserve">廉政管理的规定，不得接受咨询人任何形式的回扣、实物、现金、有价证券、礼券等有价物品，不得参加咨询人提供的旅游或其他可能影响职务行为公正履行的活动。 </w:t>
      </w:r>
    </w:p>
    <w:p>
      <w:pPr>
        <w:spacing w:before="156" w:beforeLines="50" w:after="156" w:afterLines="50" w:line="360" w:lineRule="auto"/>
        <w:ind w:left="105" w:leftChars="50" w:firstLine="480" w:firstLineChars="200"/>
        <w:contextualSpacing/>
        <w:rPr>
          <w:rFonts w:ascii="宋体" w:hAnsi="宋体"/>
          <w:sz w:val="24"/>
          <w:szCs w:val="24"/>
        </w:rPr>
      </w:pPr>
      <w:r>
        <w:rPr>
          <w:rFonts w:hint="eastAsia" w:ascii="宋体" w:hAnsi="宋体"/>
          <w:sz w:val="24"/>
          <w:szCs w:val="24"/>
        </w:rPr>
        <w:t>3.委托人人员如违反廉政管理制度及本协议规定，委托人视情节轻重、影响大小给予处罚，或移交司法机关处理。</w:t>
      </w:r>
    </w:p>
    <w:p>
      <w:pPr>
        <w:spacing w:before="156" w:beforeLines="50" w:after="156" w:afterLines="50" w:line="360" w:lineRule="auto"/>
        <w:ind w:left="105" w:leftChars="50" w:firstLine="480" w:firstLineChars="200"/>
        <w:contextualSpacing/>
        <w:rPr>
          <w:rFonts w:ascii="宋体" w:hAnsi="宋体"/>
          <w:sz w:val="24"/>
          <w:szCs w:val="24"/>
        </w:rPr>
      </w:pPr>
      <w:r>
        <w:rPr>
          <w:rFonts w:hint="eastAsia" w:ascii="宋体" w:hAnsi="宋体"/>
          <w:sz w:val="24"/>
          <w:szCs w:val="24"/>
        </w:rPr>
        <w:t>4．对于咨询人举报委托人人员违反廉政规定的情况，委托人应及时进行调查，根据调查情况进行处理，并将调查结果向咨询人反馈。</w:t>
      </w:r>
    </w:p>
    <w:p>
      <w:pPr>
        <w:spacing w:before="156" w:beforeLines="50" w:after="156" w:afterLines="50" w:line="360" w:lineRule="auto"/>
        <w:ind w:left="105" w:leftChars="50" w:firstLine="480" w:firstLineChars="200"/>
        <w:contextualSpacing/>
        <w:rPr>
          <w:rFonts w:ascii="宋体" w:hAnsi="宋体"/>
          <w:sz w:val="24"/>
          <w:szCs w:val="24"/>
        </w:rPr>
      </w:pPr>
      <w:r>
        <w:rPr>
          <w:rFonts w:hint="eastAsia" w:ascii="宋体" w:hAnsi="宋体"/>
          <w:sz w:val="24"/>
          <w:szCs w:val="24"/>
        </w:rPr>
        <w:t>5.接受举报的一方应为举报方保密，不得对举报方进行报复。</w:t>
      </w:r>
    </w:p>
    <w:p>
      <w:pPr>
        <w:widowControl/>
        <w:numPr>
          <w:ilvl w:val="0"/>
          <w:numId w:val="4"/>
        </w:numPr>
        <w:spacing w:before="156" w:beforeLines="50" w:after="156" w:afterLines="50" w:line="360" w:lineRule="auto"/>
        <w:contextualSpacing/>
        <w:rPr>
          <w:rFonts w:ascii="宋体" w:hAnsi="宋体"/>
          <w:b/>
          <w:sz w:val="24"/>
          <w:szCs w:val="24"/>
        </w:rPr>
      </w:pPr>
      <w:r>
        <w:rPr>
          <w:rFonts w:hint="eastAsia" w:ascii="宋体" w:hAnsi="宋体"/>
          <w:b/>
          <w:sz w:val="24"/>
          <w:szCs w:val="24"/>
        </w:rPr>
        <w:t>咨询人责任</w:t>
      </w:r>
    </w:p>
    <w:p>
      <w:pPr>
        <w:spacing w:before="156" w:beforeLines="50" w:after="156" w:afterLines="50" w:line="360" w:lineRule="auto"/>
        <w:ind w:left="105" w:leftChars="50" w:firstLine="420"/>
        <w:contextualSpacing/>
        <w:rPr>
          <w:rFonts w:ascii="宋体" w:hAnsi="宋体"/>
          <w:sz w:val="24"/>
          <w:szCs w:val="24"/>
        </w:rPr>
      </w:pPr>
      <w:r>
        <w:rPr>
          <w:rFonts w:hint="eastAsia" w:ascii="宋体" w:hAnsi="宋体"/>
          <w:sz w:val="24"/>
          <w:szCs w:val="24"/>
        </w:rPr>
        <w:t>咨询人应与委托人保持正常的业务交往，按照有关法律法规和程序开展业务活动。</w:t>
      </w:r>
    </w:p>
    <w:p>
      <w:pPr>
        <w:spacing w:before="156" w:beforeLines="50" w:after="156" w:afterLines="50" w:line="360" w:lineRule="auto"/>
        <w:ind w:left="105" w:leftChars="50" w:firstLine="480" w:firstLineChars="200"/>
        <w:contextualSpacing/>
        <w:rPr>
          <w:rFonts w:ascii="宋体" w:hAnsi="宋体"/>
          <w:sz w:val="24"/>
          <w:szCs w:val="24"/>
        </w:rPr>
      </w:pPr>
      <w:r>
        <w:rPr>
          <w:rFonts w:hint="eastAsia" w:ascii="宋体" w:hAnsi="宋体"/>
          <w:sz w:val="24"/>
          <w:szCs w:val="24"/>
        </w:rPr>
        <w:t>1.咨询人不得以任何形式给予委托人人员回扣、赠送实物、现金、有价证券、礼券等有价物品或提供旅游等其他可能影响职务行为公正履行的活动（以下统称“财物”）。</w:t>
      </w:r>
    </w:p>
    <w:p>
      <w:pPr>
        <w:spacing w:before="156" w:beforeLines="50" w:after="156" w:afterLines="50" w:line="360" w:lineRule="auto"/>
        <w:ind w:left="105" w:leftChars="50" w:firstLine="480" w:firstLineChars="200"/>
        <w:contextualSpacing/>
        <w:rPr>
          <w:rFonts w:ascii="宋体" w:hAnsi="宋体"/>
          <w:sz w:val="24"/>
          <w:szCs w:val="24"/>
        </w:rPr>
      </w:pPr>
      <w:r>
        <w:rPr>
          <w:rFonts w:hint="eastAsia" w:ascii="宋体" w:hAnsi="宋体"/>
          <w:sz w:val="24"/>
          <w:szCs w:val="24"/>
        </w:rPr>
        <w:t>2.咨询人有责任接受委托人对咨询人在合作期间廉政管理执行情况的监督，并对委托人相关调查工作主动配合。</w:t>
      </w:r>
    </w:p>
    <w:p>
      <w:pPr>
        <w:spacing w:before="156" w:beforeLines="50" w:after="156" w:afterLines="50" w:line="360" w:lineRule="auto"/>
        <w:ind w:left="105" w:leftChars="50" w:firstLine="480" w:firstLineChars="200"/>
        <w:contextualSpacing/>
        <w:rPr>
          <w:rFonts w:ascii="宋体" w:hAnsi="宋体"/>
          <w:sz w:val="24"/>
          <w:szCs w:val="24"/>
        </w:rPr>
      </w:pPr>
      <w:r>
        <w:rPr>
          <w:rFonts w:hint="eastAsia" w:ascii="宋体" w:hAnsi="宋体"/>
          <w:sz w:val="24"/>
          <w:szCs w:val="24"/>
        </w:rPr>
        <w:t>3.咨询人有义务就委托人人员任何形式的索取或收受财物行为及时向委托人举报。如咨询人或其人员向委托人人员给予财物，或委托人人员向咨询人索取财物</w:t>
      </w:r>
      <w:r>
        <w:rPr>
          <w:rFonts w:hint="eastAsia" w:ascii="宋体" w:hAnsi="宋体"/>
          <w:sz w:val="24"/>
          <w:szCs w:val="24"/>
          <w:lang w:eastAsia="zh-CN"/>
        </w:rPr>
        <w:t>，由</w:t>
      </w:r>
      <w:r>
        <w:rPr>
          <w:rFonts w:hint="eastAsia" w:ascii="宋体" w:hAnsi="宋体"/>
          <w:sz w:val="24"/>
          <w:szCs w:val="24"/>
        </w:rPr>
        <w:t>咨询人满足其要求并且未向委托人举报的，一经查实（包括但不限于被委托人核实属实，或者被司法机关或第三方核实属实的），委托人将在内部通报；咨询人除应向委托人赔偿由此给委托人造成的损失外，咨询人还应向委托人支付相当于原合同总价的10%的违约金，并对咨询人知情不报人员进行相应处罚，被司法机关立案查处核实属实的，委托人有权解除原合同，如委托人解除原合同的，则咨询人应退还委托人所支付的所有款项并按原合同与本合同约定承担违约责任。</w:t>
      </w:r>
    </w:p>
    <w:p>
      <w:pPr>
        <w:spacing w:before="156" w:beforeLines="50" w:after="156" w:afterLines="50" w:line="360" w:lineRule="auto"/>
        <w:ind w:left="105" w:leftChars="50" w:firstLine="480" w:firstLineChars="200"/>
        <w:contextualSpacing/>
        <w:rPr>
          <w:sz w:val="24"/>
          <w:szCs w:val="24"/>
        </w:rPr>
      </w:pPr>
      <w:r>
        <w:rPr>
          <w:rFonts w:hint="eastAsia" w:ascii="宋体" w:hAnsi="宋体"/>
          <w:sz w:val="24"/>
          <w:szCs w:val="24"/>
        </w:rPr>
        <w:t>4．委托人接受咨询人实名或匿名举报，保证为举报者的信息保密。</w:t>
      </w:r>
    </w:p>
    <w:p>
      <w:pPr>
        <w:widowControl/>
        <w:numPr>
          <w:ilvl w:val="0"/>
          <w:numId w:val="4"/>
        </w:numPr>
        <w:spacing w:before="156" w:beforeLines="50" w:after="156" w:afterLines="50" w:line="360" w:lineRule="auto"/>
        <w:contextualSpacing/>
        <w:rPr>
          <w:rFonts w:ascii="宋体" w:hAnsi="宋体"/>
          <w:b/>
          <w:sz w:val="24"/>
          <w:szCs w:val="24"/>
        </w:rPr>
      </w:pPr>
      <w:r>
        <w:rPr>
          <w:rFonts w:hint="eastAsia" w:ascii="宋体" w:hAnsi="宋体"/>
          <w:b/>
          <w:sz w:val="24"/>
          <w:szCs w:val="24"/>
        </w:rPr>
        <w:t>其他</w:t>
      </w:r>
    </w:p>
    <w:p>
      <w:pPr>
        <w:spacing w:before="156" w:beforeLines="50" w:after="156" w:afterLines="50" w:line="360" w:lineRule="auto"/>
        <w:ind w:left="105" w:leftChars="50" w:firstLine="480" w:firstLineChars="200"/>
        <w:contextualSpacing/>
        <w:rPr>
          <w:rFonts w:ascii="宋体" w:hAnsi="宋体"/>
          <w:sz w:val="24"/>
          <w:szCs w:val="24"/>
        </w:rPr>
      </w:pPr>
      <w:r>
        <w:rPr>
          <w:rFonts w:hint="eastAsia" w:ascii="宋体" w:hAnsi="宋体"/>
          <w:sz w:val="24"/>
          <w:szCs w:val="24"/>
        </w:rPr>
        <w:t>本协议经双方签署后生效。</w:t>
      </w:r>
    </w:p>
    <w:p>
      <w:pPr>
        <w:spacing w:before="156" w:beforeLines="50" w:after="156" w:afterLines="50" w:line="360" w:lineRule="auto"/>
        <w:ind w:right="26"/>
        <w:contextualSpacing/>
        <w:rPr>
          <w:rFonts w:ascii="宋体" w:hAnsi="宋体"/>
          <w:sz w:val="24"/>
          <w:szCs w:val="24"/>
        </w:rPr>
      </w:pPr>
    </w:p>
    <w:p>
      <w:pPr>
        <w:spacing w:before="156" w:beforeLines="50" w:after="156" w:afterLines="50" w:line="360" w:lineRule="auto"/>
        <w:ind w:right="26" w:firstLine="360" w:firstLineChars="150"/>
        <w:contextualSpacing/>
        <w:rPr>
          <w:rFonts w:ascii="宋体"/>
          <w:sz w:val="24"/>
          <w:szCs w:val="24"/>
        </w:rPr>
      </w:pPr>
      <w:r>
        <w:rPr>
          <w:rFonts w:hint="eastAsia" w:ascii="宋体" w:hAnsi="宋体"/>
          <w:sz w:val="24"/>
          <w:szCs w:val="24"/>
        </w:rPr>
        <w:t>委托人（公章）：</w:t>
      </w:r>
      <w:r>
        <w:rPr>
          <w:rFonts w:hint="eastAsia" w:ascii="宋体"/>
          <w:sz w:val="24"/>
          <w:szCs w:val="24"/>
        </w:rPr>
        <w:tab/>
      </w:r>
      <w:r>
        <w:rPr>
          <w:rFonts w:hint="eastAsia" w:ascii="宋体"/>
          <w:sz w:val="24"/>
          <w:szCs w:val="24"/>
        </w:rPr>
        <w:tab/>
      </w:r>
      <w:r>
        <w:rPr>
          <w:rFonts w:hint="eastAsia" w:ascii="宋体"/>
          <w:sz w:val="24"/>
          <w:szCs w:val="24"/>
        </w:rPr>
        <w:tab/>
      </w:r>
      <w:r>
        <w:rPr>
          <w:rFonts w:hint="eastAsia" w:ascii="宋体"/>
          <w:sz w:val="24"/>
          <w:szCs w:val="24"/>
        </w:rPr>
        <w:tab/>
      </w:r>
      <w:r>
        <w:rPr>
          <w:rFonts w:hint="eastAsia" w:ascii="宋体"/>
          <w:sz w:val="24"/>
          <w:szCs w:val="24"/>
        </w:rPr>
        <w:tab/>
      </w:r>
      <w:r>
        <w:rPr>
          <w:rFonts w:hint="eastAsia" w:ascii="宋体" w:hAnsi="宋体"/>
          <w:sz w:val="24"/>
          <w:szCs w:val="24"/>
        </w:rPr>
        <w:t xml:space="preserve">        咨询人（公章）：</w:t>
      </w:r>
    </w:p>
    <w:p>
      <w:pPr>
        <w:spacing w:before="156" w:beforeLines="50" w:after="156" w:afterLines="50" w:line="360" w:lineRule="auto"/>
        <w:ind w:right="26" w:firstLine="960" w:firstLineChars="400"/>
        <w:contextualSpacing/>
        <w:rPr>
          <w:rFonts w:ascii="宋体" w:hAnsi="宋体"/>
          <w:sz w:val="24"/>
          <w:szCs w:val="24"/>
        </w:rPr>
      </w:pPr>
    </w:p>
    <w:p>
      <w:pPr>
        <w:spacing w:before="156" w:beforeLines="50" w:after="156" w:afterLines="50" w:line="360" w:lineRule="auto"/>
        <w:ind w:right="26" w:firstLine="360" w:firstLineChars="150"/>
        <w:contextualSpacing/>
        <w:rPr>
          <w:rFonts w:ascii="宋体"/>
          <w:sz w:val="24"/>
          <w:szCs w:val="24"/>
        </w:rPr>
      </w:pPr>
      <w:r>
        <w:rPr>
          <w:rFonts w:hint="eastAsia" w:ascii="宋体" w:hAnsi="宋体"/>
          <w:sz w:val="24"/>
          <w:szCs w:val="24"/>
        </w:rPr>
        <w:t>法定代表人（授权代表）：</w:t>
      </w:r>
      <w:r>
        <w:rPr>
          <w:rFonts w:hint="eastAsia" w:ascii="宋体"/>
          <w:sz w:val="24"/>
          <w:szCs w:val="24"/>
        </w:rPr>
        <w:tab/>
      </w:r>
      <w:r>
        <w:rPr>
          <w:rFonts w:hint="eastAsia" w:ascii="宋体"/>
          <w:sz w:val="24"/>
          <w:szCs w:val="24"/>
        </w:rPr>
        <w:tab/>
      </w:r>
      <w:r>
        <w:rPr>
          <w:rFonts w:hint="eastAsia" w:ascii="宋体"/>
          <w:sz w:val="24"/>
          <w:szCs w:val="24"/>
        </w:rPr>
        <w:tab/>
      </w:r>
      <w:r>
        <w:rPr>
          <w:rFonts w:hint="eastAsia" w:ascii="宋体"/>
          <w:sz w:val="24"/>
          <w:szCs w:val="24"/>
        </w:rPr>
        <w:tab/>
      </w:r>
      <w:r>
        <w:rPr>
          <w:rFonts w:hint="eastAsia" w:ascii="宋体"/>
          <w:sz w:val="24"/>
          <w:szCs w:val="24"/>
        </w:rPr>
        <w:t xml:space="preserve">     </w:t>
      </w:r>
      <w:r>
        <w:rPr>
          <w:rFonts w:hint="eastAsia" w:ascii="宋体" w:hAnsi="宋体"/>
          <w:sz w:val="24"/>
          <w:szCs w:val="24"/>
        </w:rPr>
        <w:t>法定代表人（授权代表）：</w:t>
      </w:r>
    </w:p>
    <w:p>
      <w:pPr>
        <w:spacing w:before="156" w:beforeLines="50" w:after="156" w:afterLines="50" w:line="360" w:lineRule="auto"/>
        <w:ind w:right="26" w:firstLine="960" w:firstLineChars="400"/>
        <w:contextualSpacing/>
        <w:rPr>
          <w:rFonts w:ascii="宋体" w:hAnsi="宋体"/>
          <w:sz w:val="24"/>
          <w:szCs w:val="24"/>
        </w:rPr>
      </w:pPr>
    </w:p>
    <w:p>
      <w:pPr>
        <w:spacing w:before="156" w:beforeLines="50" w:after="156" w:afterLines="50" w:line="360" w:lineRule="auto"/>
        <w:ind w:right="26" w:firstLine="360" w:firstLineChars="150"/>
        <w:contextualSpacing/>
        <w:rPr>
          <w:sz w:val="24"/>
          <w:szCs w:val="24"/>
        </w:rPr>
      </w:pPr>
      <w:r>
        <w:rPr>
          <w:rFonts w:hint="eastAsia" w:ascii="宋体" w:hAnsi="宋体"/>
          <w:sz w:val="24"/>
          <w:szCs w:val="24"/>
        </w:rPr>
        <w:t xml:space="preserve">签订日期： </w:t>
      </w:r>
      <w:r>
        <w:rPr>
          <w:rFonts w:ascii="宋体" w:hAnsi="宋体"/>
          <w:sz w:val="24"/>
          <w:szCs w:val="24"/>
        </w:rPr>
        <w:t>202</w:t>
      </w:r>
      <w:r>
        <w:rPr>
          <w:rFonts w:hint="eastAsia" w:ascii="宋体" w:hAnsi="宋体"/>
          <w:sz w:val="24"/>
          <w:szCs w:val="24"/>
          <w:lang w:val="en-US" w:eastAsia="zh-CN"/>
        </w:rPr>
        <w:t>6</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r>
        <w:rPr>
          <w:sz w:val="24"/>
          <w:szCs w:val="24"/>
        </w:rPr>
        <w:tab/>
      </w:r>
    </w:p>
    <w:p/>
    <w:p/>
    <w:p>
      <w:pPr>
        <w:pStyle w:val="70"/>
      </w:pPr>
    </w:p>
    <w:p>
      <w:pPr>
        <w:pStyle w:val="70"/>
      </w:pPr>
    </w:p>
    <w:p/>
    <w:p>
      <w:pPr>
        <w:pStyle w:val="70"/>
      </w:pPr>
    </w:p>
    <w:p/>
    <w:p>
      <w:pPr>
        <w:pStyle w:val="70"/>
      </w:pPr>
    </w:p>
    <w:p/>
    <w:p>
      <w:pPr>
        <w:pStyle w:val="70"/>
      </w:pPr>
    </w:p>
    <w:p/>
    <w:p/>
    <w:p>
      <w:pPr>
        <w:pStyle w:val="70"/>
      </w:pPr>
    </w:p>
    <w:p>
      <w:pPr>
        <w:widowControl/>
        <w:jc w:val="left"/>
      </w:pPr>
      <w:r>
        <w:br w:type="page"/>
      </w:r>
    </w:p>
    <w:p>
      <w:pPr>
        <w:pStyle w:val="4"/>
        <w:numPr>
          <w:ilvl w:val="0"/>
          <w:numId w:val="0"/>
        </w:numPr>
        <w:spacing w:line="360" w:lineRule="auto"/>
        <w:rPr>
          <w:rFonts w:ascii="宋体" w:hAnsi="宋体" w:cs="宋体"/>
          <w:sz w:val="24"/>
          <w:szCs w:val="24"/>
        </w:rPr>
      </w:pPr>
      <w:r>
        <w:rPr>
          <w:rFonts w:hint="eastAsia" w:ascii="宋体" w:hAnsi="宋体" w:eastAsia="宋体" w:cs="宋体"/>
          <w:b/>
          <w:bCs w:val="0"/>
          <w:spacing w:val="4"/>
          <w:kern w:val="2"/>
          <w:sz w:val="32"/>
          <w:szCs w:val="32"/>
          <w:lang w:val="en-US" w:eastAsia="zh-CN" w:bidi="ar-SA"/>
        </w:rPr>
        <w:t xml:space="preserve">附件3：告知书     </w:t>
      </w:r>
      <w:r>
        <w:rPr>
          <w:rFonts w:hint="eastAsia" w:ascii="宋体" w:hAnsi="宋体" w:cs="宋体"/>
          <w:sz w:val="24"/>
          <w:szCs w:val="24"/>
        </w:rPr>
        <w:t xml:space="preserve">         </w:t>
      </w:r>
    </w:p>
    <w:p>
      <w:pPr>
        <w:pStyle w:val="2"/>
        <w:ind w:firstLine="1674" w:firstLineChars="523"/>
        <w:rPr>
          <w:rStyle w:val="223"/>
          <w:rFonts w:hint="eastAsia" w:hAnsi="宋体" w:cs="宋体"/>
          <w:sz w:val="24"/>
          <w:szCs w:val="24"/>
        </w:rPr>
      </w:pPr>
      <w:r>
        <w:rPr>
          <w:rStyle w:val="222"/>
          <w:rFonts w:hint="eastAsia" w:hAnsi="宋体" w:cs="宋体"/>
          <w:b/>
          <w:bCs/>
          <w:sz w:val="32"/>
          <w:szCs w:val="32"/>
        </w:rPr>
        <w:t>龙岗区进一步规范政商交往行为告知书</w:t>
      </w:r>
      <w:r>
        <w:rPr>
          <w:rFonts w:hint="eastAsia"/>
        </w:rPr>
        <w:br w:type="textWrapping"/>
      </w:r>
      <w:r>
        <w:rPr>
          <w:rFonts w:hint="eastAsia"/>
        </w:rPr>
        <w:t xml:space="preserve">  </w:t>
      </w:r>
      <w:r>
        <w:rPr>
          <w:rFonts w:hint="default"/>
          <w:lang w:val="en-US"/>
        </w:rPr>
        <w:t xml:space="preserve">  </w:t>
      </w:r>
      <w:r>
        <w:rPr>
          <w:rFonts w:hint="eastAsia"/>
        </w:rPr>
        <w:t>为深入构建“亲”“清”新型政商关系，努力打造尊商、亲商、助商、安商良好营商环境，龙岗</w:t>
      </w:r>
      <w:r>
        <w:rPr>
          <w:rFonts w:hint="eastAsia"/>
          <w:lang w:eastAsia="zh-CN"/>
        </w:rPr>
        <w:t>区委、区政府</w:t>
      </w:r>
      <w:r>
        <w:rPr>
          <w:rFonts w:hint="eastAsia"/>
        </w:rPr>
        <w:t>制定了《龙岗区公职人员政商交往“十个不准”》，严明公职人员在政商交往中的纪律要求。 请参与龙岗建设的广大企业及其从业人员，严格监督我区公职人员落实“十个不准”，并在与我区公职人员交往中切实做到“十个不得”。</w:t>
      </w:r>
    </w:p>
    <w:p>
      <w:pPr>
        <w:pStyle w:val="2"/>
        <w:rPr>
          <w:rStyle w:val="223"/>
          <w:rFonts w:hint="eastAsia" w:hAnsi="宋体" w:cs="宋体"/>
          <w:sz w:val="24"/>
          <w:szCs w:val="24"/>
        </w:rPr>
      </w:pPr>
      <w:r>
        <w:rPr>
          <w:rStyle w:val="223"/>
          <w:rFonts w:hint="eastAsia" w:hAnsi="宋体" w:cs="宋体"/>
          <w:sz w:val="24"/>
          <w:szCs w:val="24"/>
        </w:rPr>
        <w:t>一、不得向公职人员赠送礼品、礼金、消费卡等财物。</w:t>
      </w:r>
    </w:p>
    <w:p>
      <w:pPr>
        <w:pStyle w:val="2"/>
        <w:rPr>
          <w:rStyle w:val="223"/>
          <w:rFonts w:hint="eastAsia" w:hAnsi="宋体" w:cs="宋体"/>
          <w:sz w:val="24"/>
          <w:szCs w:val="24"/>
        </w:rPr>
      </w:pPr>
      <w:r>
        <w:rPr>
          <w:rStyle w:val="223"/>
          <w:rFonts w:hint="eastAsia" w:hAnsi="宋体" w:cs="宋体"/>
          <w:sz w:val="24"/>
          <w:szCs w:val="24"/>
        </w:rPr>
        <w:t>二、不得违规向公职人员提供宴请、旅游、娱乐等安排。</w:t>
      </w:r>
    </w:p>
    <w:p>
      <w:pPr>
        <w:pStyle w:val="2"/>
        <w:rPr>
          <w:rStyle w:val="223"/>
          <w:rFonts w:hint="eastAsia" w:hAnsi="宋体" w:cs="宋体"/>
          <w:sz w:val="24"/>
          <w:szCs w:val="24"/>
        </w:rPr>
      </w:pPr>
      <w:r>
        <w:rPr>
          <w:rStyle w:val="223"/>
          <w:rFonts w:hint="eastAsia" w:hAnsi="宋体" w:cs="宋体"/>
          <w:sz w:val="24"/>
          <w:szCs w:val="24"/>
        </w:rPr>
        <w:t>三、不得通过打麻将等形式向公职人员输送利益。</w:t>
      </w:r>
    </w:p>
    <w:p>
      <w:pPr>
        <w:pStyle w:val="2"/>
        <w:rPr>
          <w:rStyle w:val="223"/>
          <w:rFonts w:hint="eastAsia" w:hAnsi="宋体" w:cs="宋体"/>
          <w:sz w:val="24"/>
          <w:szCs w:val="24"/>
        </w:rPr>
      </w:pPr>
      <w:r>
        <w:rPr>
          <w:rStyle w:val="223"/>
          <w:rFonts w:hint="eastAsia" w:hAnsi="宋体" w:cs="宋体"/>
          <w:sz w:val="24"/>
          <w:szCs w:val="24"/>
        </w:rPr>
        <w:t>四、不得为公职人员报销应由其个人支付的费用。</w:t>
      </w:r>
    </w:p>
    <w:p>
      <w:pPr>
        <w:pStyle w:val="2"/>
        <w:rPr>
          <w:rStyle w:val="223"/>
          <w:rFonts w:hint="eastAsia" w:hAnsi="宋体" w:cs="宋体"/>
          <w:sz w:val="24"/>
          <w:szCs w:val="24"/>
        </w:rPr>
      </w:pPr>
      <w:r>
        <w:rPr>
          <w:rStyle w:val="223"/>
          <w:rFonts w:hint="eastAsia" w:hAnsi="宋体" w:cs="宋体"/>
          <w:sz w:val="24"/>
          <w:szCs w:val="24"/>
        </w:rPr>
        <w:t>五、不得违规向公职人员及其亲友借贷款。</w:t>
      </w:r>
      <w:bookmarkStart w:id="5" w:name="_GoBack"/>
      <w:bookmarkEnd w:id="5"/>
    </w:p>
    <w:p>
      <w:pPr>
        <w:pStyle w:val="2"/>
        <w:rPr>
          <w:rStyle w:val="223"/>
          <w:rFonts w:hint="eastAsia" w:hAnsi="宋体" w:cs="宋体"/>
          <w:sz w:val="24"/>
          <w:szCs w:val="24"/>
        </w:rPr>
      </w:pPr>
      <w:r>
        <w:rPr>
          <w:rStyle w:val="223"/>
          <w:rFonts w:hint="eastAsia" w:hAnsi="宋体" w:cs="宋体"/>
          <w:sz w:val="24"/>
          <w:szCs w:val="24"/>
        </w:rPr>
        <w:t>六、不得违规将车辆、住房等借给公职人员使用。</w:t>
      </w:r>
    </w:p>
    <w:p>
      <w:pPr>
        <w:pStyle w:val="2"/>
        <w:rPr>
          <w:rStyle w:val="223"/>
          <w:rFonts w:hint="eastAsia" w:hAnsi="宋体" w:cs="宋体"/>
          <w:sz w:val="24"/>
          <w:szCs w:val="24"/>
        </w:rPr>
      </w:pPr>
      <w:r>
        <w:rPr>
          <w:rStyle w:val="223"/>
          <w:rFonts w:hint="eastAsia" w:hAnsi="宋体" w:cs="宋体"/>
          <w:sz w:val="24"/>
          <w:szCs w:val="24"/>
        </w:rPr>
        <w:t>七、不得在招投标中与公职人员搞暗箱操作、围标串标。</w:t>
      </w:r>
    </w:p>
    <w:p>
      <w:pPr>
        <w:pStyle w:val="2"/>
        <w:rPr>
          <w:rStyle w:val="223"/>
          <w:rFonts w:hint="eastAsia" w:hAnsi="宋体" w:cs="宋体"/>
          <w:sz w:val="24"/>
          <w:szCs w:val="24"/>
        </w:rPr>
      </w:pPr>
      <w:r>
        <w:rPr>
          <w:rStyle w:val="223"/>
          <w:rFonts w:hint="eastAsia" w:hAnsi="宋体" w:cs="宋体"/>
          <w:sz w:val="24"/>
          <w:szCs w:val="24"/>
        </w:rPr>
        <w:t>八、不得为利益相关人和公职人员牵线搭桥或者代为传递信息、传递财物。</w:t>
      </w:r>
    </w:p>
    <w:p>
      <w:pPr>
        <w:pStyle w:val="2"/>
        <w:rPr>
          <w:rStyle w:val="223"/>
          <w:rFonts w:hint="eastAsia" w:hAnsi="宋体" w:cs="宋体"/>
          <w:sz w:val="24"/>
          <w:szCs w:val="24"/>
        </w:rPr>
      </w:pPr>
      <w:r>
        <w:rPr>
          <w:rStyle w:val="223"/>
          <w:rFonts w:hint="eastAsia" w:hAnsi="宋体" w:cs="宋体"/>
          <w:sz w:val="24"/>
          <w:szCs w:val="24"/>
        </w:rPr>
        <w:t>九、不得让公职人员在企业违规兼职取酬。</w:t>
      </w:r>
    </w:p>
    <w:p>
      <w:pPr>
        <w:pStyle w:val="2"/>
        <w:rPr>
          <w:rStyle w:val="223"/>
          <w:rFonts w:hint="eastAsia" w:hAnsi="宋体" w:cs="宋体"/>
          <w:sz w:val="24"/>
          <w:szCs w:val="24"/>
        </w:rPr>
      </w:pPr>
      <w:r>
        <w:rPr>
          <w:rStyle w:val="223"/>
          <w:rFonts w:hint="eastAsia" w:hAnsi="宋体" w:cs="宋体"/>
          <w:sz w:val="24"/>
          <w:szCs w:val="24"/>
        </w:rPr>
        <w:t>十、不得为公职人员亲友违规承揽业务提供便利。</w:t>
      </w:r>
    </w:p>
    <w:p>
      <w:pPr>
        <w:pStyle w:val="2"/>
        <w:rPr>
          <w:rStyle w:val="223"/>
          <w:rFonts w:hAnsi="宋体" w:cs="宋体"/>
          <w:sz w:val="24"/>
          <w:szCs w:val="24"/>
        </w:rPr>
      </w:pPr>
      <w:r>
        <w:rPr>
          <w:rStyle w:val="223"/>
          <w:rFonts w:hint="eastAsia" w:hAnsi="宋体" w:cs="宋体"/>
          <w:sz w:val="24"/>
          <w:szCs w:val="24"/>
        </w:rPr>
        <w:t xml:space="preserve">上述“十个不得”，请您严格遵守。同时，在政商交往中， 如有发现我区公职人员存在违反“十个不准”的问题，请及时通过网络举报平台或者 12388 举报电话等方式，向纪检监察机关反映举报，我们将一律严格保密、一律优先处置、一律严肃查处。    </w:t>
      </w:r>
    </w:p>
    <w:p>
      <w:pPr>
        <w:pStyle w:val="2"/>
        <w:rPr>
          <w:rStyle w:val="223"/>
          <w:rFonts w:hAnsi="宋体" w:cs="宋体"/>
          <w:sz w:val="24"/>
          <w:szCs w:val="24"/>
        </w:rPr>
      </w:pPr>
      <w:r>
        <w:rPr>
          <w:rStyle w:val="223"/>
          <w:rFonts w:hint="eastAsia" w:hAnsi="宋体" w:cs="宋体"/>
          <w:sz w:val="24"/>
          <w:szCs w:val="24"/>
        </w:rPr>
        <w:t>本人已知晓上述告知内容， 并愿意遵照执行（签名） ：</w:t>
      </w:r>
      <w:r>
        <w:rPr>
          <w:rStyle w:val="223"/>
          <w:rFonts w:hint="eastAsia" w:hAnsi="宋体" w:cs="宋体"/>
          <w:sz w:val="24"/>
          <w:szCs w:val="24"/>
        </w:rPr>
        <w:br w:type="textWrapping"/>
      </w:r>
      <w:r>
        <w:rPr>
          <w:rStyle w:val="223"/>
          <w:rFonts w:hint="eastAsia" w:hAnsi="宋体" w:cs="宋体"/>
          <w:sz w:val="24"/>
          <w:szCs w:val="24"/>
        </w:rPr>
        <w:t xml:space="preserve">                                          </w:t>
      </w:r>
    </w:p>
    <w:p>
      <w:pPr>
        <w:pStyle w:val="2"/>
        <w:jc w:val="right"/>
        <w:rPr>
          <w:rStyle w:val="223"/>
          <w:rFonts w:hAnsi="宋体" w:cs="宋体"/>
          <w:sz w:val="24"/>
          <w:szCs w:val="24"/>
        </w:rPr>
      </w:pPr>
      <w:r>
        <w:rPr>
          <w:rStyle w:val="223"/>
          <w:rFonts w:hint="eastAsia" w:hAnsi="宋体" w:cs="宋体"/>
          <w:sz w:val="24"/>
          <w:szCs w:val="24"/>
        </w:rPr>
        <w:t xml:space="preserve">      202</w:t>
      </w:r>
      <w:r>
        <w:rPr>
          <w:rStyle w:val="223"/>
          <w:rFonts w:hint="eastAsia" w:hAnsi="宋体" w:eastAsia="仿宋_GB2312" w:cs="宋体"/>
          <w:sz w:val="24"/>
          <w:szCs w:val="24"/>
          <w:lang w:val="en-US" w:eastAsia="zh-CN"/>
        </w:rPr>
        <w:t>6</w:t>
      </w:r>
      <w:r>
        <w:rPr>
          <w:rStyle w:val="223"/>
          <w:rFonts w:hint="eastAsia" w:hAnsi="宋体" w:cs="宋体"/>
          <w:sz w:val="24"/>
          <w:szCs w:val="24"/>
        </w:rPr>
        <w:t>年</w:t>
      </w:r>
      <w:r>
        <w:rPr>
          <w:rStyle w:val="223"/>
          <w:rFonts w:hint="eastAsia" w:hAnsi="宋体" w:cs="宋体"/>
          <w:sz w:val="24"/>
          <w:szCs w:val="24"/>
          <w:u w:val="single"/>
        </w:rPr>
        <w:t xml:space="preserve">    </w:t>
      </w:r>
      <w:r>
        <w:rPr>
          <w:rStyle w:val="223"/>
          <w:rFonts w:hint="eastAsia" w:hAnsi="宋体" w:cs="宋体"/>
          <w:sz w:val="24"/>
          <w:szCs w:val="24"/>
        </w:rPr>
        <w:t>月</w:t>
      </w:r>
      <w:r>
        <w:rPr>
          <w:rStyle w:val="223"/>
          <w:rFonts w:hint="eastAsia" w:hAnsi="宋体" w:cs="宋体"/>
          <w:sz w:val="24"/>
          <w:szCs w:val="24"/>
          <w:u w:val="single"/>
        </w:rPr>
        <w:t xml:space="preserve">    </w:t>
      </w:r>
      <w:r>
        <w:rPr>
          <w:rStyle w:val="223"/>
          <w:rFonts w:hint="eastAsia" w:hAnsi="宋体" w:cs="宋体"/>
          <w:sz w:val="24"/>
          <w:szCs w:val="24"/>
        </w:rPr>
        <w:t>日</w:t>
      </w:r>
    </w:p>
    <w:p>
      <w:pPr>
        <w:pStyle w:val="70"/>
      </w:pPr>
    </w:p>
    <w:bookmarkEnd w:id="0"/>
    <w:p/>
    <w:p/>
    <w:p/>
    <w:p/>
    <w:p/>
    <w:p>
      <w:pPr>
        <w:spacing w:after="312" w:afterLines="100" w:line="360" w:lineRule="auto"/>
        <w:jc w:val="both"/>
        <w:rPr>
          <w:rFonts w:hint="eastAsia" w:ascii="宋体" w:hAnsi="宋体" w:eastAsia="宋体" w:cs="宋体"/>
          <w:b/>
          <w:bCs w:val="0"/>
          <w:spacing w:val="4"/>
          <w:kern w:val="2"/>
          <w:sz w:val="32"/>
          <w:szCs w:val="32"/>
          <w:lang w:val="en-US" w:eastAsia="zh-CN" w:bidi="ar-SA"/>
        </w:rPr>
      </w:pPr>
      <w:r>
        <w:rPr>
          <w:rFonts w:hint="eastAsia" w:ascii="宋体" w:hAnsi="宋体" w:eastAsia="宋体" w:cs="宋体"/>
          <w:b/>
          <w:bCs w:val="0"/>
          <w:spacing w:val="4"/>
          <w:kern w:val="2"/>
          <w:sz w:val="32"/>
          <w:szCs w:val="32"/>
          <w:lang w:val="en-US" w:eastAsia="zh-CN" w:bidi="ar-SA"/>
        </w:rPr>
        <w:t xml:space="preserve">附件4：服务团队成员名单   </w:t>
      </w:r>
    </w:p>
    <w:p>
      <w:pPr>
        <w:spacing w:line="360" w:lineRule="auto"/>
        <w:jc w:val="center"/>
        <w:rPr>
          <w:rFonts w:ascii="黑体" w:hAnsi="黑体" w:eastAsia="黑体"/>
          <w:sz w:val="28"/>
          <w:szCs w:val="28"/>
        </w:rPr>
      </w:pPr>
    </w:p>
    <w:p>
      <w:pPr>
        <w:spacing w:line="360" w:lineRule="auto"/>
        <w:jc w:val="center"/>
        <w:outlineLvl w:val="0"/>
        <w:rPr>
          <w:rFonts w:ascii="黑体" w:hAnsi="黑体" w:eastAsia="黑体"/>
          <w:sz w:val="28"/>
          <w:szCs w:val="28"/>
        </w:rPr>
      </w:pPr>
      <w:bookmarkStart w:id="4" w:name="_Toc6663"/>
      <w:r>
        <w:rPr>
          <w:rFonts w:hint="eastAsia" w:ascii="黑体" w:hAnsi="黑体" w:eastAsia="黑体"/>
          <w:sz w:val="28"/>
          <w:szCs w:val="28"/>
        </w:rPr>
        <w:t>服务团队成员名单</w:t>
      </w:r>
      <w:bookmarkEnd w:id="4"/>
    </w:p>
    <w:tbl>
      <w:tblPr>
        <w:tblStyle w:val="83"/>
        <w:tblpPr w:leftFromText="180" w:rightFromText="180" w:vertAnchor="text" w:horzAnchor="page" w:tblpX="1195" w:tblpY="408"/>
        <w:tblOverlap w:val="never"/>
        <w:tblW w:w="98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40"/>
        <w:gridCol w:w="907"/>
        <w:gridCol w:w="1628"/>
        <w:gridCol w:w="2475"/>
        <w:gridCol w:w="1695"/>
        <w:gridCol w:w="20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9" w:hRule="atLeast"/>
          <w:tblHeader/>
        </w:trPr>
        <w:tc>
          <w:tcPr>
            <w:tcW w:w="1140" w:type="dxa"/>
            <w:shd w:val="clear" w:color="auto" w:fill="D9D9D9"/>
            <w:vAlign w:val="center"/>
          </w:tcPr>
          <w:p>
            <w:pPr>
              <w:spacing w:line="300" w:lineRule="auto"/>
              <w:jc w:val="center"/>
              <w:rPr>
                <w:rFonts w:ascii="宋体"/>
                <w:b/>
                <w:bCs/>
                <w:sz w:val="22"/>
                <w:szCs w:val="22"/>
              </w:rPr>
            </w:pPr>
            <w:r>
              <w:rPr>
                <w:rFonts w:hint="eastAsia" w:ascii="宋体"/>
                <w:b/>
                <w:bCs/>
                <w:sz w:val="22"/>
                <w:szCs w:val="22"/>
              </w:rPr>
              <w:t>本项目</w:t>
            </w:r>
          </w:p>
          <w:p>
            <w:pPr>
              <w:spacing w:line="300" w:lineRule="auto"/>
              <w:jc w:val="center"/>
              <w:rPr>
                <w:rFonts w:ascii="宋体"/>
                <w:b/>
                <w:bCs/>
                <w:sz w:val="22"/>
                <w:szCs w:val="22"/>
              </w:rPr>
            </w:pPr>
            <w:r>
              <w:rPr>
                <w:rFonts w:hint="eastAsia" w:ascii="宋体"/>
                <w:b/>
                <w:bCs/>
                <w:sz w:val="22"/>
                <w:szCs w:val="22"/>
              </w:rPr>
              <w:t>职责分工</w:t>
            </w:r>
          </w:p>
        </w:tc>
        <w:tc>
          <w:tcPr>
            <w:tcW w:w="907" w:type="dxa"/>
            <w:shd w:val="clear" w:color="auto" w:fill="D9D9D9"/>
            <w:vAlign w:val="center"/>
          </w:tcPr>
          <w:p>
            <w:pPr>
              <w:spacing w:line="300" w:lineRule="auto"/>
              <w:jc w:val="center"/>
              <w:rPr>
                <w:rFonts w:ascii="宋体"/>
                <w:b/>
                <w:bCs/>
                <w:sz w:val="22"/>
                <w:szCs w:val="22"/>
              </w:rPr>
            </w:pPr>
            <w:r>
              <w:rPr>
                <w:rFonts w:hint="eastAsia" w:ascii="宋体"/>
                <w:b/>
                <w:bCs/>
                <w:sz w:val="22"/>
                <w:szCs w:val="22"/>
              </w:rPr>
              <w:t>姓名</w:t>
            </w:r>
          </w:p>
        </w:tc>
        <w:tc>
          <w:tcPr>
            <w:tcW w:w="1628" w:type="dxa"/>
            <w:shd w:val="clear" w:color="auto" w:fill="D9D9D9"/>
            <w:vAlign w:val="center"/>
          </w:tcPr>
          <w:p>
            <w:pPr>
              <w:spacing w:line="300" w:lineRule="auto"/>
              <w:jc w:val="center"/>
              <w:rPr>
                <w:rFonts w:ascii="宋体"/>
                <w:b/>
                <w:bCs/>
                <w:sz w:val="22"/>
                <w:szCs w:val="22"/>
              </w:rPr>
            </w:pPr>
            <w:r>
              <w:rPr>
                <w:rFonts w:hint="eastAsia" w:ascii="宋体"/>
                <w:b/>
                <w:bCs/>
                <w:sz w:val="22"/>
                <w:szCs w:val="22"/>
              </w:rPr>
              <w:t>技术资格</w:t>
            </w:r>
          </w:p>
          <w:p>
            <w:pPr>
              <w:spacing w:line="300" w:lineRule="auto"/>
              <w:jc w:val="center"/>
              <w:rPr>
                <w:rFonts w:ascii="宋体"/>
                <w:b/>
                <w:bCs/>
                <w:sz w:val="22"/>
                <w:szCs w:val="22"/>
              </w:rPr>
            </w:pPr>
            <w:r>
              <w:rPr>
                <w:rFonts w:hint="eastAsia" w:ascii="宋体"/>
                <w:b/>
                <w:bCs/>
                <w:sz w:val="22"/>
                <w:szCs w:val="22"/>
              </w:rPr>
              <w:t>证书类别</w:t>
            </w:r>
          </w:p>
        </w:tc>
        <w:tc>
          <w:tcPr>
            <w:tcW w:w="2475" w:type="dxa"/>
            <w:shd w:val="clear" w:color="auto" w:fill="D9D9D9"/>
            <w:vAlign w:val="center"/>
          </w:tcPr>
          <w:p>
            <w:pPr>
              <w:spacing w:line="300" w:lineRule="auto"/>
              <w:jc w:val="center"/>
              <w:rPr>
                <w:rFonts w:ascii="宋体"/>
                <w:b/>
                <w:bCs/>
                <w:sz w:val="22"/>
                <w:szCs w:val="22"/>
              </w:rPr>
            </w:pPr>
            <w:r>
              <w:rPr>
                <w:rFonts w:hint="eastAsia" w:ascii="宋体"/>
                <w:b/>
                <w:bCs/>
                <w:sz w:val="22"/>
                <w:szCs w:val="22"/>
              </w:rPr>
              <w:t>证书编号</w:t>
            </w:r>
          </w:p>
        </w:tc>
        <w:tc>
          <w:tcPr>
            <w:tcW w:w="1695" w:type="dxa"/>
            <w:shd w:val="clear" w:color="auto" w:fill="D9D9D9"/>
            <w:vAlign w:val="center"/>
          </w:tcPr>
          <w:p>
            <w:pPr>
              <w:spacing w:line="300" w:lineRule="auto"/>
              <w:jc w:val="center"/>
              <w:rPr>
                <w:rFonts w:ascii="宋体"/>
                <w:b/>
                <w:bCs/>
                <w:sz w:val="22"/>
                <w:szCs w:val="22"/>
              </w:rPr>
            </w:pPr>
            <w:r>
              <w:rPr>
                <w:rFonts w:hint="eastAsia" w:ascii="宋体"/>
                <w:b/>
                <w:bCs/>
                <w:sz w:val="22"/>
                <w:szCs w:val="22"/>
              </w:rPr>
              <w:t>联系电话</w:t>
            </w:r>
          </w:p>
        </w:tc>
        <w:tc>
          <w:tcPr>
            <w:tcW w:w="2040" w:type="dxa"/>
            <w:shd w:val="clear" w:color="auto" w:fill="D9D9D9"/>
            <w:vAlign w:val="center"/>
          </w:tcPr>
          <w:p>
            <w:pPr>
              <w:spacing w:line="300" w:lineRule="auto"/>
              <w:jc w:val="center"/>
              <w:rPr>
                <w:rFonts w:ascii="宋体"/>
                <w:b/>
                <w:bCs/>
                <w:sz w:val="22"/>
                <w:szCs w:val="22"/>
              </w:rPr>
            </w:pPr>
            <w:r>
              <w:rPr>
                <w:rFonts w:hint="eastAsia" w:ascii="宋体"/>
                <w:b/>
                <w:bCs/>
                <w:sz w:val="22"/>
                <w:szCs w:val="22"/>
              </w:rPr>
              <w:t>电子邮箱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trPr>
        <w:tc>
          <w:tcPr>
            <w:tcW w:w="1140" w:type="dxa"/>
            <w:vAlign w:val="center"/>
          </w:tcPr>
          <w:p>
            <w:pPr>
              <w:spacing w:line="300" w:lineRule="auto"/>
              <w:jc w:val="center"/>
              <w:rPr>
                <w:rFonts w:ascii="宋体" w:hAnsi="宋体" w:eastAsia="宋体" w:cs="宋体"/>
                <w:sz w:val="22"/>
                <w:szCs w:val="22"/>
              </w:rPr>
            </w:pPr>
            <w:r>
              <w:rPr>
                <w:rFonts w:hint="eastAsia" w:ascii="宋体" w:hAnsi="宋体" w:eastAsia="宋体" w:cs="宋体"/>
                <w:sz w:val="22"/>
                <w:szCs w:val="22"/>
              </w:rPr>
              <w:t>项目</w:t>
            </w:r>
          </w:p>
          <w:p>
            <w:pPr>
              <w:spacing w:line="300" w:lineRule="auto"/>
              <w:jc w:val="center"/>
              <w:rPr>
                <w:rFonts w:ascii="宋体"/>
                <w:sz w:val="22"/>
                <w:szCs w:val="22"/>
                <w:u w:val="single"/>
              </w:rPr>
            </w:pPr>
            <w:r>
              <w:rPr>
                <w:rFonts w:hint="eastAsia" w:ascii="宋体" w:hAnsi="宋体" w:eastAsia="宋体" w:cs="宋体"/>
                <w:sz w:val="22"/>
                <w:szCs w:val="22"/>
              </w:rPr>
              <w:t>负责人</w:t>
            </w:r>
          </w:p>
        </w:tc>
        <w:tc>
          <w:tcPr>
            <w:tcW w:w="907" w:type="dxa"/>
            <w:vAlign w:val="center"/>
          </w:tcPr>
          <w:p>
            <w:pPr>
              <w:spacing w:line="300" w:lineRule="auto"/>
              <w:jc w:val="center"/>
              <w:rPr>
                <w:rFonts w:ascii="宋体" w:hAnsi="宋体" w:eastAsia="宋体" w:cs="宋体"/>
                <w:sz w:val="22"/>
                <w:szCs w:val="22"/>
              </w:rPr>
            </w:pPr>
          </w:p>
        </w:tc>
        <w:tc>
          <w:tcPr>
            <w:tcW w:w="1628" w:type="dxa"/>
            <w:vAlign w:val="center"/>
          </w:tcPr>
          <w:p>
            <w:pPr>
              <w:spacing w:line="300" w:lineRule="auto"/>
              <w:jc w:val="center"/>
              <w:rPr>
                <w:rFonts w:ascii="宋体" w:hAnsi="宋体" w:eastAsia="宋体" w:cs="宋体"/>
                <w:sz w:val="22"/>
                <w:szCs w:val="22"/>
              </w:rPr>
            </w:pPr>
          </w:p>
        </w:tc>
        <w:tc>
          <w:tcPr>
            <w:tcW w:w="2475" w:type="dxa"/>
            <w:vAlign w:val="center"/>
          </w:tcPr>
          <w:p>
            <w:pPr>
              <w:spacing w:line="300" w:lineRule="auto"/>
              <w:jc w:val="center"/>
              <w:rPr>
                <w:rFonts w:ascii="宋体" w:hAnsi="宋体" w:eastAsia="宋体" w:cs="宋体"/>
                <w:sz w:val="22"/>
                <w:szCs w:val="22"/>
              </w:rPr>
            </w:pPr>
          </w:p>
        </w:tc>
        <w:tc>
          <w:tcPr>
            <w:tcW w:w="1695" w:type="dxa"/>
            <w:vAlign w:val="center"/>
          </w:tcPr>
          <w:p>
            <w:pPr>
              <w:spacing w:line="300" w:lineRule="auto"/>
              <w:jc w:val="center"/>
              <w:rPr>
                <w:rFonts w:ascii="宋体"/>
                <w:sz w:val="22"/>
                <w:szCs w:val="22"/>
              </w:rPr>
            </w:pPr>
          </w:p>
        </w:tc>
        <w:tc>
          <w:tcPr>
            <w:tcW w:w="2040" w:type="dxa"/>
            <w:vAlign w:val="center"/>
          </w:tcPr>
          <w:p>
            <w:pPr>
              <w:spacing w:line="300" w:lineRule="auto"/>
              <w:jc w:val="center"/>
              <w:rPr>
                <w:rFonts w:ascii="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trPr>
        <w:tc>
          <w:tcPr>
            <w:tcW w:w="1140" w:type="dxa"/>
            <w:vAlign w:val="center"/>
          </w:tcPr>
          <w:p>
            <w:pPr>
              <w:spacing w:line="300" w:lineRule="auto"/>
              <w:jc w:val="center"/>
              <w:rPr>
                <w:rFonts w:ascii="宋体"/>
                <w:sz w:val="22"/>
                <w:szCs w:val="22"/>
              </w:rPr>
            </w:pPr>
            <w:r>
              <w:rPr>
                <w:rFonts w:hint="eastAsia" w:ascii="宋体"/>
                <w:sz w:val="22"/>
                <w:szCs w:val="22"/>
              </w:rPr>
              <w:t>项目</w:t>
            </w:r>
          </w:p>
          <w:p>
            <w:pPr>
              <w:spacing w:line="300" w:lineRule="auto"/>
              <w:jc w:val="center"/>
              <w:rPr>
                <w:rFonts w:ascii="宋体"/>
                <w:sz w:val="22"/>
                <w:szCs w:val="22"/>
                <w:u w:val="single"/>
              </w:rPr>
            </w:pPr>
            <w:r>
              <w:rPr>
                <w:rFonts w:hint="eastAsia" w:ascii="宋体"/>
                <w:sz w:val="22"/>
                <w:szCs w:val="22"/>
              </w:rPr>
              <w:t>成员</w:t>
            </w:r>
          </w:p>
        </w:tc>
        <w:tc>
          <w:tcPr>
            <w:tcW w:w="907" w:type="dxa"/>
            <w:vAlign w:val="center"/>
          </w:tcPr>
          <w:p>
            <w:pPr>
              <w:spacing w:line="300" w:lineRule="auto"/>
              <w:jc w:val="center"/>
              <w:rPr>
                <w:rFonts w:ascii="宋体" w:hAnsi="宋体" w:eastAsia="宋体" w:cs="宋体"/>
                <w:sz w:val="22"/>
                <w:szCs w:val="22"/>
              </w:rPr>
            </w:pPr>
          </w:p>
        </w:tc>
        <w:tc>
          <w:tcPr>
            <w:tcW w:w="1628" w:type="dxa"/>
            <w:vAlign w:val="center"/>
          </w:tcPr>
          <w:p>
            <w:pPr>
              <w:spacing w:line="300" w:lineRule="auto"/>
              <w:jc w:val="center"/>
              <w:rPr>
                <w:rFonts w:ascii="宋体" w:hAnsi="宋体" w:eastAsia="宋体" w:cs="宋体"/>
                <w:sz w:val="22"/>
                <w:szCs w:val="22"/>
              </w:rPr>
            </w:pPr>
          </w:p>
        </w:tc>
        <w:tc>
          <w:tcPr>
            <w:tcW w:w="2475" w:type="dxa"/>
            <w:vAlign w:val="center"/>
          </w:tcPr>
          <w:p>
            <w:pPr>
              <w:pStyle w:val="2"/>
              <w:spacing w:line="300" w:lineRule="auto"/>
              <w:jc w:val="center"/>
              <w:rPr>
                <w:rFonts w:hAnsi="宋体" w:eastAsia="宋体" w:cs="宋体"/>
                <w:kern w:val="0"/>
                <w:sz w:val="22"/>
                <w:szCs w:val="22"/>
              </w:rPr>
            </w:pPr>
          </w:p>
        </w:tc>
        <w:tc>
          <w:tcPr>
            <w:tcW w:w="1695" w:type="dxa"/>
            <w:vAlign w:val="center"/>
          </w:tcPr>
          <w:p>
            <w:pPr>
              <w:spacing w:line="300" w:lineRule="auto"/>
              <w:jc w:val="center"/>
              <w:rPr>
                <w:rFonts w:ascii="宋体"/>
                <w:sz w:val="22"/>
                <w:szCs w:val="22"/>
              </w:rPr>
            </w:pPr>
          </w:p>
        </w:tc>
        <w:tc>
          <w:tcPr>
            <w:tcW w:w="2040" w:type="dxa"/>
            <w:vAlign w:val="center"/>
          </w:tcPr>
          <w:p>
            <w:pPr>
              <w:spacing w:line="300" w:lineRule="auto"/>
              <w:jc w:val="center"/>
              <w:rPr>
                <w:rFonts w:ascii="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trPr>
        <w:tc>
          <w:tcPr>
            <w:tcW w:w="1140" w:type="dxa"/>
            <w:vAlign w:val="center"/>
          </w:tcPr>
          <w:p>
            <w:pPr>
              <w:spacing w:line="300" w:lineRule="auto"/>
              <w:jc w:val="center"/>
              <w:rPr>
                <w:rFonts w:ascii="宋体"/>
                <w:sz w:val="22"/>
                <w:szCs w:val="22"/>
              </w:rPr>
            </w:pPr>
            <w:r>
              <w:rPr>
                <w:rFonts w:hint="eastAsia" w:ascii="宋体"/>
                <w:sz w:val="22"/>
                <w:szCs w:val="22"/>
              </w:rPr>
              <w:t>项目</w:t>
            </w:r>
          </w:p>
          <w:p>
            <w:pPr>
              <w:spacing w:line="300" w:lineRule="auto"/>
              <w:jc w:val="center"/>
              <w:rPr>
                <w:rFonts w:ascii="宋体"/>
                <w:sz w:val="22"/>
                <w:szCs w:val="22"/>
                <w:u w:val="single"/>
              </w:rPr>
            </w:pPr>
            <w:r>
              <w:rPr>
                <w:rFonts w:hint="eastAsia" w:ascii="宋体"/>
                <w:sz w:val="22"/>
                <w:szCs w:val="22"/>
              </w:rPr>
              <w:t>成员</w:t>
            </w:r>
          </w:p>
        </w:tc>
        <w:tc>
          <w:tcPr>
            <w:tcW w:w="907" w:type="dxa"/>
            <w:vAlign w:val="center"/>
          </w:tcPr>
          <w:p>
            <w:pPr>
              <w:spacing w:line="300" w:lineRule="auto"/>
              <w:jc w:val="center"/>
              <w:rPr>
                <w:rFonts w:ascii="宋体" w:hAnsi="宋体" w:eastAsia="宋体" w:cs="宋体"/>
                <w:sz w:val="22"/>
                <w:szCs w:val="22"/>
              </w:rPr>
            </w:pPr>
          </w:p>
        </w:tc>
        <w:tc>
          <w:tcPr>
            <w:tcW w:w="1628" w:type="dxa"/>
            <w:vAlign w:val="center"/>
          </w:tcPr>
          <w:p>
            <w:pPr>
              <w:spacing w:line="300" w:lineRule="auto"/>
              <w:jc w:val="center"/>
              <w:rPr>
                <w:rFonts w:ascii="宋体" w:hAnsi="宋体" w:eastAsia="宋体" w:cs="宋体"/>
                <w:sz w:val="22"/>
                <w:szCs w:val="22"/>
              </w:rPr>
            </w:pPr>
          </w:p>
        </w:tc>
        <w:tc>
          <w:tcPr>
            <w:tcW w:w="2475" w:type="dxa"/>
            <w:vAlign w:val="center"/>
          </w:tcPr>
          <w:p>
            <w:pPr>
              <w:pStyle w:val="2"/>
              <w:spacing w:line="300" w:lineRule="auto"/>
              <w:jc w:val="center"/>
              <w:rPr>
                <w:rFonts w:hAnsi="宋体" w:eastAsia="宋体" w:cs="宋体"/>
                <w:kern w:val="0"/>
                <w:sz w:val="22"/>
                <w:szCs w:val="22"/>
              </w:rPr>
            </w:pPr>
          </w:p>
        </w:tc>
        <w:tc>
          <w:tcPr>
            <w:tcW w:w="1695" w:type="dxa"/>
            <w:vAlign w:val="center"/>
          </w:tcPr>
          <w:p>
            <w:pPr>
              <w:spacing w:line="300" w:lineRule="auto"/>
              <w:jc w:val="center"/>
              <w:rPr>
                <w:rFonts w:ascii="宋体"/>
                <w:sz w:val="22"/>
                <w:szCs w:val="22"/>
              </w:rPr>
            </w:pPr>
          </w:p>
        </w:tc>
        <w:tc>
          <w:tcPr>
            <w:tcW w:w="2040" w:type="dxa"/>
            <w:vAlign w:val="center"/>
          </w:tcPr>
          <w:p>
            <w:pPr>
              <w:spacing w:line="300" w:lineRule="auto"/>
              <w:jc w:val="center"/>
              <w:rPr>
                <w:rFonts w:ascii="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1140" w:type="dxa"/>
            <w:vAlign w:val="center"/>
          </w:tcPr>
          <w:p>
            <w:pPr>
              <w:spacing w:line="300" w:lineRule="auto"/>
              <w:jc w:val="center"/>
              <w:rPr>
                <w:rFonts w:ascii="宋体"/>
                <w:sz w:val="22"/>
                <w:szCs w:val="22"/>
              </w:rPr>
            </w:pPr>
            <w:r>
              <w:rPr>
                <w:rFonts w:hint="eastAsia" w:ascii="宋体"/>
                <w:sz w:val="22"/>
                <w:szCs w:val="22"/>
              </w:rPr>
              <w:t>项目</w:t>
            </w:r>
          </w:p>
          <w:p>
            <w:pPr>
              <w:spacing w:line="300" w:lineRule="auto"/>
              <w:jc w:val="center"/>
              <w:rPr>
                <w:rFonts w:ascii="宋体"/>
                <w:sz w:val="22"/>
                <w:szCs w:val="22"/>
              </w:rPr>
            </w:pPr>
            <w:r>
              <w:rPr>
                <w:rFonts w:hint="eastAsia" w:ascii="宋体"/>
                <w:sz w:val="22"/>
                <w:szCs w:val="22"/>
              </w:rPr>
              <w:t>成员</w:t>
            </w:r>
          </w:p>
        </w:tc>
        <w:tc>
          <w:tcPr>
            <w:tcW w:w="907" w:type="dxa"/>
            <w:vAlign w:val="center"/>
          </w:tcPr>
          <w:p>
            <w:pPr>
              <w:spacing w:line="300" w:lineRule="auto"/>
              <w:jc w:val="center"/>
              <w:rPr>
                <w:rFonts w:ascii="宋体" w:hAnsi="宋体" w:eastAsia="宋体" w:cs="宋体"/>
                <w:sz w:val="22"/>
                <w:szCs w:val="22"/>
              </w:rPr>
            </w:pPr>
          </w:p>
        </w:tc>
        <w:tc>
          <w:tcPr>
            <w:tcW w:w="1628" w:type="dxa"/>
            <w:vAlign w:val="center"/>
          </w:tcPr>
          <w:p>
            <w:pPr>
              <w:spacing w:line="300" w:lineRule="auto"/>
              <w:jc w:val="center"/>
              <w:rPr>
                <w:rFonts w:ascii="宋体" w:hAnsi="宋体" w:eastAsia="宋体" w:cs="宋体"/>
                <w:sz w:val="22"/>
                <w:szCs w:val="22"/>
              </w:rPr>
            </w:pPr>
          </w:p>
        </w:tc>
        <w:tc>
          <w:tcPr>
            <w:tcW w:w="2475" w:type="dxa"/>
            <w:vAlign w:val="center"/>
          </w:tcPr>
          <w:p>
            <w:pPr>
              <w:spacing w:line="300" w:lineRule="auto"/>
              <w:jc w:val="center"/>
              <w:rPr>
                <w:rFonts w:ascii="宋体" w:hAnsi="宋体" w:eastAsia="宋体" w:cs="宋体"/>
                <w:sz w:val="22"/>
                <w:szCs w:val="22"/>
              </w:rPr>
            </w:pPr>
          </w:p>
        </w:tc>
        <w:tc>
          <w:tcPr>
            <w:tcW w:w="1695" w:type="dxa"/>
            <w:vAlign w:val="center"/>
          </w:tcPr>
          <w:p>
            <w:pPr>
              <w:spacing w:line="300" w:lineRule="auto"/>
              <w:jc w:val="center"/>
              <w:rPr>
                <w:rFonts w:ascii="宋体"/>
                <w:sz w:val="22"/>
                <w:szCs w:val="22"/>
              </w:rPr>
            </w:pPr>
          </w:p>
        </w:tc>
        <w:tc>
          <w:tcPr>
            <w:tcW w:w="2040" w:type="dxa"/>
            <w:vAlign w:val="center"/>
          </w:tcPr>
          <w:p>
            <w:pPr>
              <w:spacing w:line="300" w:lineRule="auto"/>
              <w:jc w:val="center"/>
              <w:rPr>
                <w:rFonts w:ascii="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1140" w:type="dxa"/>
            <w:vAlign w:val="center"/>
          </w:tcPr>
          <w:p>
            <w:pPr>
              <w:spacing w:line="300" w:lineRule="auto"/>
              <w:jc w:val="center"/>
              <w:rPr>
                <w:rFonts w:ascii="宋体"/>
                <w:sz w:val="22"/>
                <w:szCs w:val="22"/>
              </w:rPr>
            </w:pPr>
            <w:r>
              <w:rPr>
                <w:rFonts w:hint="eastAsia" w:ascii="宋体"/>
                <w:sz w:val="22"/>
                <w:szCs w:val="22"/>
              </w:rPr>
              <w:t>项目</w:t>
            </w:r>
          </w:p>
          <w:p>
            <w:pPr>
              <w:spacing w:line="300" w:lineRule="auto"/>
              <w:jc w:val="center"/>
              <w:rPr>
                <w:rFonts w:ascii="宋体"/>
                <w:sz w:val="22"/>
                <w:szCs w:val="22"/>
              </w:rPr>
            </w:pPr>
            <w:r>
              <w:rPr>
                <w:rFonts w:hint="eastAsia" w:ascii="宋体"/>
                <w:sz w:val="22"/>
                <w:szCs w:val="22"/>
              </w:rPr>
              <w:t>成员</w:t>
            </w:r>
          </w:p>
        </w:tc>
        <w:tc>
          <w:tcPr>
            <w:tcW w:w="907" w:type="dxa"/>
            <w:vAlign w:val="center"/>
          </w:tcPr>
          <w:p>
            <w:pPr>
              <w:spacing w:line="300" w:lineRule="auto"/>
              <w:jc w:val="center"/>
              <w:rPr>
                <w:rFonts w:ascii="宋体" w:hAnsi="宋体" w:eastAsia="宋体" w:cs="宋体"/>
                <w:sz w:val="22"/>
                <w:szCs w:val="22"/>
              </w:rPr>
            </w:pPr>
          </w:p>
        </w:tc>
        <w:tc>
          <w:tcPr>
            <w:tcW w:w="1628" w:type="dxa"/>
            <w:vAlign w:val="center"/>
          </w:tcPr>
          <w:p>
            <w:pPr>
              <w:spacing w:line="300" w:lineRule="auto"/>
              <w:jc w:val="center"/>
              <w:rPr>
                <w:rFonts w:ascii="宋体" w:hAnsi="宋体" w:eastAsia="宋体" w:cs="宋体"/>
                <w:sz w:val="22"/>
                <w:szCs w:val="22"/>
              </w:rPr>
            </w:pPr>
          </w:p>
        </w:tc>
        <w:tc>
          <w:tcPr>
            <w:tcW w:w="2475" w:type="dxa"/>
            <w:vAlign w:val="center"/>
          </w:tcPr>
          <w:p>
            <w:pPr>
              <w:pStyle w:val="2"/>
              <w:spacing w:line="300" w:lineRule="auto"/>
              <w:jc w:val="center"/>
              <w:rPr>
                <w:rFonts w:hAnsi="宋体" w:eastAsia="宋体" w:cs="宋体"/>
                <w:kern w:val="0"/>
                <w:sz w:val="22"/>
                <w:szCs w:val="22"/>
              </w:rPr>
            </w:pPr>
          </w:p>
        </w:tc>
        <w:tc>
          <w:tcPr>
            <w:tcW w:w="1695" w:type="dxa"/>
            <w:vAlign w:val="center"/>
          </w:tcPr>
          <w:p>
            <w:pPr>
              <w:spacing w:line="300" w:lineRule="auto"/>
              <w:jc w:val="center"/>
              <w:rPr>
                <w:rFonts w:ascii="宋体"/>
                <w:sz w:val="22"/>
                <w:szCs w:val="22"/>
              </w:rPr>
            </w:pPr>
          </w:p>
        </w:tc>
        <w:tc>
          <w:tcPr>
            <w:tcW w:w="2040" w:type="dxa"/>
            <w:vAlign w:val="center"/>
          </w:tcPr>
          <w:p>
            <w:pPr>
              <w:spacing w:line="300" w:lineRule="auto"/>
              <w:jc w:val="center"/>
              <w:rPr>
                <w:rFonts w:ascii="宋体"/>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8" w:hRule="atLeast"/>
        </w:trPr>
        <w:tc>
          <w:tcPr>
            <w:tcW w:w="1140" w:type="dxa"/>
            <w:vAlign w:val="center"/>
          </w:tcPr>
          <w:p>
            <w:pPr>
              <w:spacing w:line="300" w:lineRule="auto"/>
              <w:jc w:val="center"/>
              <w:rPr>
                <w:rFonts w:ascii="宋体"/>
                <w:sz w:val="22"/>
                <w:szCs w:val="22"/>
              </w:rPr>
            </w:pPr>
            <w:r>
              <w:rPr>
                <w:rFonts w:hint="eastAsia" w:ascii="宋体"/>
                <w:sz w:val="22"/>
                <w:szCs w:val="22"/>
              </w:rPr>
              <w:t>项目</w:t>
            </w:r>
          </w:p>
          <w:p>
            <w:pPr>
              <w:spacing w:line="300" w:lineRule="auto"/>
              <w:jc w:val="center"/>
              <w:rPr>
                <w:rFonts w:ascii="宋体"/>
                <w:sz w:val="22"/>
                <w:szCs w:val="22"/>
              </w:rPr>
            </w:pPr>
            <w:r>
              <w:rPr>
                <w:rFonts w:hint="eastAsia" w:ascii="宋体"/>
                <w:sz w:val="22"/>
                <w:szCs w:val="22"/>
              </w:rPr>
              <w:t>成员</w:t>
            </w:r>
          </w:p>
        </w:tc>
        <w:tc>
          <w:tcPr>
            <w:tcW w:w="907" w:type="dxa"/>
            <w:vAlign w:val="center"/>
          </w:tcPr>
          <w:p>
            <w:pPr>
              <w:spacing w:line="300" w:lineRule="auto"/>
              <w:jc w:val="center"/>
              <w:rPr>
                <w:rFonts w:ascii="宋体" w:hAnsi="宋体" w:eastAsia="宋体" w:cs="宋体"/>
                <w:sz w:val="22"/>
                <w:szCs w:val="22"/>
              </w:rPr>
            </w:pPr>
          </w:p>
        </w:tc>
        <w:tc>
          <w:tcPr>
            <w:tcW w:w="1628" w:type="dxa"/>
            <w:vAlign w:val="center"/>
          </w:tcPr>
          <w:p>
            <w:pPr>
              <w:spacing w:line="300" w:lineRule="auto"/>
              <w:jc w:val="center"/>
              <w:rPr>
                <w:rFonts w:ascii="宋体" w:hAnsi="宋体" w:eastAsia="宋体" w:cs="宋体"/>
                <w:sz w:val="22"/>
                <w:szCs w:val="22"/>
              </w:rPr>
            </w:pPr>
          </w:p>
        </w:tc>
        <w:tc>
          <w:tcPr>
            <w:tcW w:w="2475" w:type="dxa"/>
            <w:vAlign w:val="center"/>
          </w:tcPr>
          <w:p>
            <w:pPr>
              <w:spacing w:line="300" w:lineRule="auto"/>
              <w:jc w:val="center"/>
              <w:rPr>
                <w:rFonts w:ascii="宋体" w:hAnsi="宋体" w:eastAsia="宋体" w:cs="宋体"/>
                <w:sz w:val="22"/>
                <w:szCs w:val="22"/>
              </w:rPr>
            </w:pPr>
          </w:p>
        </w:tc>
        <w:tc>
          <w:tcPr>
            <w:tcW w:w="1695" w:type="dxa"/>
            <w:vAlign w:val="center"/>
          </w:tcPr>
          <w:p>
            <w:pPr>
              <w:spacing w:line="300" w:lineRule="auto"/>
              <w:jc w:val="center"/>
              <w:rPr>
                <w:rFonts w:ascii="宋体"/>
                <w:sz w:val="22"/>
                <w:szCs w:val="22"/>
              </w:rPr>
            </w:pPr>
          </w:p>
        </w:tc>
        <w:tc>
          <w:tcPr>
            <w:tcW w:w="2040" w:type="dxa"/>
            <w:vAlign w:val="center"/>
          </w:tcPr>
          <w:p>
            <w:pPr>
              <w:spacing w:line="300" w:lineRule="auto"/>
              <w:jc w:val="center"/>
              <w:rPr>
                <w:rFonts w:ascii="宋体"/>
                <w:sz w:val="22"/>
                <w:szCs w:val="22"/>
              </w:rPr>
            </w:pPr>
          </w:p>
        </w:tc>
      </w:tr>
    </w:tbl>
    <w:p>
      <w:pPr>
        <w:pStyle w:val="82"/>
        <w:ind w:left="2520" w:leftChars="1200" w:firstLine="0" w:firstLineChars="0"/>
      </w:pPr>
    </w:p>
    <w:p>
      <w:pPr>
        <w:spacing w:after="312" w:afterLines="100" w:line="360" w:lineRule="auto"/>
        <w:jc w:val="both"/>
        <w:rPr>
          <w:rFonts w:hint="eastAsia" w:ascii="宋体" w:hAnsi="宋体" w:eastAsia="宋体" w:cs="宋体"/>
          <w:b/>
          <w:bCs w:val="0"/>
          <w:spacing w:val="4"/>
          <w:kern w:val="2"/>
          <w:sz w:val="32"/>
          <w:szCs w:val="32"/>
          <w:lang w:val="en-US" w:eastAsia="zh-CN" w:bidi="ar-SA"/>
        </w:rPr>
      </w:pPr>
    </w:p>
    <w:sectPr>
      <w:headerReference r:id="rId5" w:type="default"/>
      <w:footerReference r:id="rId6" w:type="default"/>
      <w:pgSz w:w="11906" w:h="16838"/>
      <w:pgMar w:top="1276" w:right="1351" w:bottom="1135" w:left="1414" w:header="851" w:footer="992" w:gutter="0"/>
      <w:pgNumType w:fmt="chineseCounting"/>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方正黑体简体">
    <w:panose1 w:val="02000000000000000000"/>
    <w:charset w:val="86"/>
    <w:family w:val="swiss"/>
    <w:pitch w:val="default"/>
    <w:sig w:usb0="A00002BF" w:usb1="184F6CFA" w:usb2="00000012"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金桥简粗宋">
    <w:altName w:val="宋体"/>
    <w:panose1 w:val="00000000000000000000"/>
    <w:charset w:val="86"/>
    <w:family w:val="modern"/>
    <w:pitch w:val="default"/>
    <w:sig w:usb0="00000000" w:usb1="00000000" w:usb2="00000010" w:usb3="00000000" w:csb0="00040000"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FZXBSJW--GB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文鼎CS书宋二">
    <w:altName w:val="宋体"/>
    <w:panose1 w:val="00000000000000000000"/>
    <w:charset w:val="86"/>
    <w:family w:val="modern"/>
    <w:pitch w:val="default"/>
    <w:sig w:usb0="00000000" w:usb1="00000000" w:usb2="00000010" w:usb3="00000000" w:csb0="00040000" w:csb1="00000000"/>
  </w:font>
  <w:font w:name="文鼎中楷">
    <w:altName w:val="楷体_GB2312"/>
    <w:panose1 w:val="00000000000000000000"/>
    <w:charset w:val="86"/>
    <w:family w:val="modern"/>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ind w:firstLine="4770" w:firstLineChars="265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CHINESENUM3 \* MERGEFORMAT </w:instrText>
                          </w:r>
                          <w:r>
                            <w:fldChar w:fldCharType="separate"/>
                          </w:r>
                          <w:r>
                            <w:t>二十</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CHINESENUM3 \* MERGEFORMAT </w:instrText>
                    </w:r>
                    <w:r>
                      <w:fldChar w:fldCharType="separate"/>
                    </w:r>
                    <w:r>
                      <w:t>二十</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
                            <w:jc w:val="center"/>
                          </w:pPr>
                          <w:r>
                            <w:t xml:space="preserve">第 </w:t>
                          </w:r>
                          <w:r>
                            <w:fldChar w:fldCharType="begin"/>
                          </w:r>
                          <w:r>
                            <w:instrText xml:space="preserve"> PAGE  \* MERGEFORMAT </w:instrText>
                          </w:r>
                          <w:r>
                            <w:fldChar w:fldCharType="separate"/>
                          </w:r>
                          <w:r>
                            <w:t>十二</w:t>
                          </w:r>
                          <w:r>
                            <w:fldChar w:fldCharType="end"/>
                          </w:r>
                          <w:r>
                            <w:t xml:space="preserve"> 页 共 </w:t>
                          </w:r>
                          <w:r>
                            <w:fldChar w:fldCharType="begin"/>
                          </w:r>
                          <w:r>
                            <w:instrText xml:space="preserve"> NUMPAGES \* CHINESENUM3 \* MERGEFORMAT </w:instrText>
                          </w:r>
                          <w:r>
                            <w:fldChar w:fldCharType="separate"/>
                          </w:r>
                          <w:r>
                            <w:t>二十</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52"/>
                      <w:jc w:val="center"/>
                    </w:pPr>
                    <w:r>
                      <w:t xml:space="preserve">第 </w:t>
                    </w:r>
                    <w:r>
                      <w:fldChar w:fldCharType="begin"/>
                    </w:r>
                    <w:r>
                      <w:instrText xml:space="preserve"> PAGE  \* MERGEFORMAT </w:instrText>
                    </w:r>
                    <w:r>
                      <w:fldChar w:fldCharType="separate"/>
                    </w:r>
                    <w:r>
                      <w:t>十二</w:t>
                    </w:r>
                    <w:r>
                      <w:fldChar w:fldCharType="end"/>
                    </w:r>
                    <w:r>
                      <w:t xml:space="preserve"> 页 共 </w:t>
                    </w:r>
                    <w:r>
                      <w:fldChar w:fldCharType="begin"/>
                    </w:r>
                    <w:r>
                      <w:instrText xml:space="preserve"> NUMPAGES \* CHINESENUM3 \* MERGEFORMAT </w:instrText>
                    </w:r>
                    <w:r>
                      <w:fldChar w:fldCharType="separate"/>
                    </w:r>
                    <w:r>
                      <w:t>二十</w:t>
                    </w:r>
                    <w:r>
                      <w:fldChar w:fldCharType="end"/>
                    </w:r>
                    <w:r>
                      <w:t xml:space="preserve"> 页</w:t>
                    </w:r>
                  </w:p>
                </w:txbxContent>
              </v:textbox>
            </v:shape>
          </w:pict>
        </mc:Fallback>
      </mc:AlternateContent>
    </w:r>
  </w:p>
  <w:p>
    <w:pPr>
      <w:pStyle w:val="5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F3727D"/>
    <w:multiLevelType w:val="multilevel"/>
    <w:tmpl w:val="09F3727D"/>
    <w:lvl w:ilvl="0" w:tentative="0">
      <w:start w:val="1"/>
      <w:numFmt w:val="decimal"/>
      <w:pStyle w:val="179"/>
      <w:lvlText w:val="%1.0"/>
      <w:lvlJc w:val="left"/>
      <w:pPr>
        <w:tabs>
          <w:tab w:val="left" w:pos="578"/>
        </w:tabs>
        <w:ind w:left="578" w:hanging="578"/>
      </w:pPr>
      <w:rPr>
        <w:rFonts w:hint="default" w:ascii="Arial" w:hAnsi="Arial"/>
        <w:b/>
        <w:i w:val="0"/>
        <w:color w:val="auto"/>
        <w:sz w:val="32"/>
      </w:rPr>
    </w:lvl>
    <w:lvl w:ilvl="1" w:tentative="0">
      <w:start w:val="1"/>
      <w:numFmt w:val="decimal"/>
      <w:pStyle w:val="182"/>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78"/>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1">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2">
    <w:nsid w:val="2AE95BB9"/>
    <w:multiLevelType w:val="singleLevel"/>
    <w:tmpl w:val="2AE95BB9"/>
    <w:lvl w:ilvl="0" w:tentative="0">
      <w:start w:val="1"/>
      <w:numFmt w:val="chineseCounting"/>
      <w:suff w:val="nothing"/>
      <w:lvlText w:val="%1、"/>
      <w:lvlJc w:val="left"/>
      <w:rPr>
        <w:rFonts w:hint="eastAsia"/>
      </w:rPr>
    </w:lvl>
  </w:abstractNum>
  <w:abstractNum w:abstractNumId="3">
    <w:nsid w:val="799F1C8B"/>
    <w:multiLevelType w:val="multilevel"/>
    <w:tmpl w:val="799F1C8B"/>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iODc1YjkyN2MxY2JjM2I0YzQ3MGEzYzk4MmZmNWEifQ=="/>
  </w:docVars>
  <w:rsids>
    <w:rsidRoot w:val="000A20B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1D7C"/>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87C00"/>
    <w:rsid w:val="000939A2"/>
    <w:rsid w:val="00093FDD"/>
    <w:rsid w:val="000945B0"/>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AAB"/>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5DF3"/>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7E88"/>
    <w:rsid w:val="00191208"/>
    <w:rsid w:val="00191704"/>
    <w:rsid w:val="00192DB5"/>
    <w:rsid w:val="00194F16"/>
    <w:rsid w:val="00195173"/>
    <w:rsid w:val="00195F76"/>
    <w:rsid w:val="001A147A"/>
    <w:rsid w:val="001A1FD2"/>
    <w:rsid w:val="001A29BB"/>
    <w:rsid w:val="001A53DC"/>
    <w:rsid w:val="001A732F"/>
    <w:rsid w:val="001B0E27"/>
    <w:rsid w:val="001B13EE"/>
    <w:rsid w:val="001B13F7"/>
    <w:rsid w:val="001B4C7E"/>
    <w:rsid w:val="001B6623"/>
    <w:rsid w:val="001B6A49"/>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396"/>
    <w:rsid w:val="001F356C"/>
    <w:rsid w:val="001F4087"/>
    <w:rsid w:val="001F43BB"/>
    <w:rsid w:val="001F5BE2"/>
    <w:rsid w:val="001F6E25"/>
    <w:rsid w:val="001F7FF3"/>
    <w:rsid w:val="00200600"/>
    <w:rsid w:val="00200F9B"/>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47969"/>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1F1"/>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236"/>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A3D"/>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2BE"/>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600C"/>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326"/>
    <w:rsid w:val="0053389F"/>
    <w:rsid w:val="00533CE4"/>
    <w:rsid w:val="00535196"/>
    <w:rsid w:val="005362EE"/>
    <w:rsid w:val="005367EB"/>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326"/>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77E53"/>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332"/>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7D9"/>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1F68"/>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2CE"/>
    <w:rsid w:val="00847539"/>
    <w:rsid w:val="008513F3"/>
    <w:rsid w:val="00851862"/>
    <w:rsid w:val="00852861"/>
    <w:rsid w:val="00854762"/>
    <w:rsid w:val="00857873"/>
    <w:rsid w:val="00857F46"/>
    <w:rsid w:val="00860B03"/>
    <w:rsid w:val="00862A96"/>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3EFD"/>
    <w:rsid w:val="008A5479"/>
    <w:rsid w:val="008A5569"/>
    <w:rsid w:val="008A7246"/>
    <w:rsid w:val="008B0610"/>
    <w:rsid w:val="008B1210"/>
    <w:rsid w:val="008B1356"/>
    <w:rsid w:val="008B1767"/>
    <w:rsid w:val="008B2037"/>
    <w:rsid w:val="008B2492"/>
    <w:rsid w:val="008B264C"/>
    <w:rsid w:val="008B2E79"/>
    <w:rsid w:val="008B4AE8"/>
    <w:rsid w:val="008B5897"/>
    <w:rsid w:val="008B6078"/>
    <w:rsid w:val="008B6D35"/>
    <w:rsid w:val="008B710C"/>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1C2B"/>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0CB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49D4"/>
    <w:rsid w:val="00976F87"/>
    <w:rsid w:val="0098181C"/>
    <w:rsid w:val="0098257F"/>
    <w:rsid w:val="00983046"/>
    <w:rsid w:val="00984F16"/>
    <w:rsid w:val="009867F2"/>
    <w:rsid w:val="00986D4C"/>
    <w:rsid w:val="009875EA"/>
    <w:rsid w:val="00991404"/>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1E7"/>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780"/>
    <w:rsid w:val="00AA28C3"/>
    <w:rsid w:val="00AA2AFE"/>
    <w:rsid w:val="00AA4D65"/>
    <w:rsid w:val="00AA646E"/>
    <w:rsid w:val="00AA64F8"/>
    <w:rsid w:val="00AA77F4"/>
    <w:rsid w:val="00AA7B87"/>
    <w:rsid w:val="00AB0BD0"/>
    <w:rsid w:val="00AB2D4B"/>
    <w:rsid w:val="00AB52DC"/>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0786"/>
    <w:rsid w:val="00BA16E8"/>
    <w:rsid w:val="00BA230D"/>
    <w:rsid w:val="00BA2A7D"/>
    <w:rsid w:val="00BA3A54"/>
    <w:rsid w:val="00BA4A02"/>
    <w:rsid w:val="00BA569F"/>
    <w:rsid w:val="00BA5B39"/>
    <w:rsid w:val="00BA62E1"/>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3F4C"/>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443F"/>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1A6A"/>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0DE"/>
    <w:rsid w:val="00D95896"/>
    <w:rsid w:val="00D95F88"/>
    <w:rsid w:val="00D960F0"/>
    <w:rsid w:val="00D96604"/>
    <w:rsid w:val="00D96F65"/>
    <w:rsid w:val="00D97510"/>
    <w:rsid w:val="00D97C12"/>
    <w:rsid w:val="00D97F97"/>
    <w:rsid w:val="00DA0C4A"/>
    <w:rsid w:val="00DA3B4B"/>
    <w:rsid w:val="00DA3E9B"/>
    <w:rsid w:val="00DA460D"/>
    <w:rsid w:val="00DA4CB2"/>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9FC"/>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52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3B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4F"/>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1721"/>
    <w:rsid w:val="00FD25B7"/>
    <w:rsid w:val="00FD2E8C"/>
    <w:rsid w:val="00FD3B36"/>
    <w:rsid w:val="00FD3F5D"/>
    <w:rsid w:val="00FD47D9"/>
    <w:rsid w:val="00FD4EBD"/>
    <w:rsid w:val="00FD53F0"/>
    <w:rsid w:val="00FD6933"/>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0FF621C"/>
    <w:rsid w:val="0198186C"/>
    <w:rsid w:val="01AC5DF9"/>
    <w:rsid w:val="01DD41C2"/>
    <w:rsid w:val="01E345AE"/>
    <w:rsid w:val="02790092"/>
    <w:rsid w:val="02F42900"/>
    <w:rsid w:val="02FA1195"/>
    <w:rsid w:val="0302618A"/>
    <w:rsid w:val="038E346F"/>
    <w:rsid w:val="044429C2"/>
    <w:rsid w:val="04695794"/>
    <w:rsid w:val="04810C52"/>
    <w:rsid w:val="04A05004"/>
    <w:rsid w:val="055B7332"/>
    <w:rsid w:val="056A3FE9"/>
    <w:rsid w:val="059F4FD1"/>
    <w:rsid w:val="05BE2B4E"/>
    <w:rsid w:val="05D070DB"/>
    <w:rsid w:val="061D0302"/>
    <w:rsid w:val="064F66A3"/>
    <w:rsid w:val="066F200F"/>
    <w:rsid w:val="067C7D80"/>
    <w:rsid w:val="06A00B12"/>
    <w:rsid w:val="06D7755B"/>
    <w:rsid w:val="06E6452A"/>
    <w:rsid w:val="07205F42"/>
    <w:rsid w:val="072D7269"/>
    <w:rsid w:val="074273A6"/>
    <w:rsid w:val="07B77118"/>
    <w:rsid w:val="08254790"/>
    <w:rsid w:val="089963F4"/>
    <w:rsid w:val="08F03474"/>
    <w:rsid w:val="09162A16"/>
    <w:rsid w:val="091A7535"/>
    <w:rsid w:val="091D497D"/>
    <w:rsid w:val="092E369A"/>
    <w:rsid w:val="09B14F92"/>
    <w:rsid w:val="09BF626E"/>
    <w:rsid w:val="0A50402E"/>
    <w:rsid w:val="0A897EA0"/>
    <w:rsid w:val="0AB86C5C"/>
    <w:rsid w:val="0AC34AEB"/>
    <w:rsid w:val="0AD96324"/>
    <w:rsid w:val="0AEF58AD"/>
    <w:rsid w:val="0AFE39F5"/>
    <w:rsid w:val="0AFE687F"/>
    <w:rsid w:val="0B294C31"/>
    <w:rsid w:val="0B7F7677"/>
    <w:rsid w:val="0BDC6843"/>
    <w:rsid w:val="0BE307CB"/>
    <w:rsid w:val="0C1F073A"/>
    <w:rsid w:val="0C6101CD"/>
    <w:rsid w:val="0C7C38C4"/>
    <w:rsid w:val="0CC83B28"/>
    <w:rsid w:val="0CC87C49"/>
    <w:rsid w:val="0CCA3B52"/>
    <w:rsid w:val="0D344BBB"/>
    <w:rsid w:val="0DC437DB"/>
    <w:rsid w:val="0E1C4090"/>
    <w:rsid w:val="0E1C5AFD"/>
    <w:rsid w:val="0E2D1A51"/>
    <w:rsid w:val="0E3E5F3C"/>
    <w:rsid w:val="0E823F28"/>
    <w:rsid w:val="0E8D6C2C"/>
    <w:rsid w:val="0EBE69D9"/>
    <w:rsid w:val="0ECB20BE"/>
    <w:rsid w:val="0EEB113D"/>
    <w:rsid w:val="0F8B77D5"/>
    <w:rsid w:val="0FBE5D9F"/>
    <w:rsid w:val="0FD36B3B"/>
    <w:rsid w:val="0FD47E3C"/>
    <w:rsid w:val="1018216D"/>
    <w:rsid w:val="102173FB"/>
    <w:rsid w:val="10256C94"/>
    <w:rsid w:val="1028597F"/>
    <w:rsid w:val="1051696C"/>
    <w:rsid w:val="107728F9"/>
    <w:rsid w:val="107C0AD5"/>
    <w:rsid w:val="10AD1231"/>
    <w:rsid w:val="10B306BD"/>
    <w:rsid w:val="10FE73BE"/>
    <w:rsid w:val="111B4AA2"/>
    <w:rsid w:val="11497A7D"/>
    <w:rsid w:val="116D5365"/>
    <w:rsid w:val="121477AB"/>
    <w:rsid w:val="1220793F"/>
    <w:rsid w:val="1227630D"/>
    <w:rsid w:val="125D64CF"/>
    <w:rsid w:val="12B16A9E"/>
    <w:rsid w:val="13272F7A"/>
    <w:rsid w:val="13361405"/>
    <w:rsid w:val="137A2F78"/>
    <w:rsid w:val="13B9577F"/>
    <w:rsid w:val="1452749D"/>
    <w:rsid w:val="14922F3A"/>
    <w:rsid w:val="14FD2A2E"/>
    <w:rsid w:val="15081429"/>
    <w:rsid w:val="153D5CAE"/>
    <w:rsid w:val="158A718E"/>
    <w:rsid w:val="15EA5123"/>
    <w:rsid w:val="16313179"/>
    <w:rsid w:val="165923BB"/>
    <w:rsid w:val="16B56EA5"/>
    <w:rsid w:val="170610F8"/>
    <w:rsid w:val="17126E39"/>
    <w:rsid w:val="176A56C2"/>
    <w:rsid w:val="176D2C29"/>
    <w:rsid w:val="179C380B"/>
    <w:rsid w:val="17AB0959"/>
    <w:rsid w:val="17B648CC"/>
    <w:rsid w:val="17DE1291"/>
    <w:rsid w:val="17FB8982"/>
    <w:rsid w:val="18AB0FDA"/>
    <w:rsid w:val="18AD553C"/>
    <w:rsid w:val="197039DA"/>
    <w:rsid w:val="197772D6"/>
    <w:rsid w:val="19A67A64"/>
    <w:rsid w:val="19BF0C31"/>
    <w:rsid w:val="19E43962"/>
    <w:rsid w:val="1A6D597B"/>
    <w:rsid w:val="1ACC2467"/>
    <w:rsid w:val="1ACE4D14"/>
    <w:rsid w:val="1AD027EB"/>
    <w:rsid w:val="1B2C5E4B"/>
    <w:rsid w:val="1B4874D7"/>
    <w:rsid w:val="1B9CDB85"/>
    <w:rsid w:val="1C2844A0"/>
    <w:rsid w:val="1C525155"/>
    <w:rsid w:val="1C8E406A"/>
    <w:rsid w:val="1CF27B09"/>
    <w:rsid w:val="1CFF1026"/>
    <w:rsid w:val="1D9B7242"/>
    <w:rsid w:val="1DEA3522"/>
    <w:rsid w:val="1E053181"/>
    <w:rsid w:val="1E474BEE"/>
    <w:rsid w:val="1E7B2E90"/>
    <w:rsid w:val="1E835E6A"/>
    <w:rsid w:val="1EA705ED"/>
    <w:rsid w:val="1EB401AB"/>
    <w:rsid w:val="1EB67161"/>
    <w:rsid w:val="1F302C65"/>
    <w:rsid w:val="1F44792A"/>
    <w:rsid w:val="1F6670ED"/>
    <w:rsid w:val="1FE271D5"/>
    <w:rsid w:val="1FE501FD"/>
    <w:rsid w:val="1FEB5623"/>
    <w:rsid w:val="1FEF712E"/>
    <w:rsid w:val="20611216"/>
    <w:rsid w:val="20621FC3"/>
    <w:rsid w:val="20E35BE9"/>
    <w:rsid w:val="21156A1C"/>
    <w:rsid w:val="21310B1A"/>
    <w:rsid w:val="218A325D"/>
    <w:rsid w:val="22255D12"/>
    <w:rsid w:val="227605BB"/>
    <w:rsid w:val="22BD7457"/>
    <w:rsid w:val="22E36C68"/>
    <w:rsid w:val="22EB5623"/>
    <w:rsid w:val="23476928"/>
    <w:rsid w:val="23550037"/>
    <w:rsid w:val="235E3944"/>
    <w:rsid w:val="23B073D3"/>
    <w:rsid w:val="23E502C6"/>
    <w:rsid w:val="2422296D"/>
    <w:rsid w:val="2426102C"/>
    <w:rsid w:val="244E349E"/>
    <w:rsid w:val="24666EE4"/>
    <w:rsid w:val="24701946"/>
    <w:rsid w:val="24BA2272"/>
    <w:rsid w:val="25095953"/>
    <w:rsid w:val="25280AEE"/>
    <w:rsid w:val="25E42F4C"/>
    <w:rsid w:val="261074AD"/>
    <w:rsid w:val="261C46B1"/>
    <w:rsid w:val="267F4B9F"/>
    <w:rsid w:val="26CB343B"/>
    <w:rsid w:val="26F42E9C"/>
    <w:rsid w:val="27D87113"/>
    <w:rsid w:val="27E75A20"/>
    <w:rsid w:val="280D4269"/>
    <w:rsid w:val="284B0B33"/>
    <w:rsid w:val="289D1723"/>
    <w:rsid w:val="2914325F"/>
    <w:rsid w:val="29613214"/>
    <w:rsid w:val="2A2B045D"/>
    <w:rsid w:val="2A2F63DF"/>
    <w:rsid w:val="2A536944"/>
    <w:rsid w:val="2A68129C"/>
    <w:rsid w:val="2A703001"/>
    <w:rsid w:val="2A78015E"/>
    <w:rsid w:val="2ACA0963"/>
    <w:rsid w:val="2ACE5E57"/>
    <w:rsid w:val="2AFE6487"/>
    <w:rsid w:val="2B277B63"/>
    <w:rsid w:val="2B670D75"/>
    <w:rsid w:val="2B731BCA"/>
    <w:rsid w:val="2B874C1C"/>
    <w:rsid w:val="2C073CF8"/>
    <w:rsid w:val="2C1F3615"/>
    <w:rsid w:val="2C4F7C16"/>
    <w:rsid w:val="2C743B66"/>
    <w:rsid w:val="2CAC008E"/>
    <w:rsid w:val="2CE23E10"/>
    <w:rsid w:val="2D63682A"/>
    <w:rsid w:val="2D8F7C42"/>
    <w:rsid w:val="2DE2584A"/>
    <w:rsid w:val="2E49213C"/>
    <w:rsid w:val="2E67006F"/>
    <w:rsid w:val="2E694D3E"/>
    <w:rsid w:val="2E773C34"/>
    <w:rsid w:val="2E875C48"/>
    <w:rsid w:val="2E9824AB"/>
    <w:rsid w:val="2E9B4249"/>
    <w:rsid w:val="2E9D17EB"/>
    <w:rsid w:val="2EB81304"/>
    <w:rsid w:val="2F2B230B"/>
    <w:rsid w:val="2F517B36"/>
    <w:rsid w:val="2F72633A"/>
    <w:rsid w:val="2F893355"/>
    <w:rsid w:val="2FA742CD"/>
    <w:rsid w:val="2FC31341"/>
    <w:rsid w:val="2FD05083"/>
    <w:rsid w:val="305E03E8"/>
    <w:rsid w:val="3069595F"/>
    <w:rsid w:val="30843362"/>
    <w:rsid w:val="30C4049D"/>
    <w:rsid w:val="30CD07F3"/>
    <w:rsid w:val="30E365D5"/>
    <w:rsid w:val="30E766F3"/>
    <w:rsid w:val="313E08F3"/>
    <w:rsid w:val="31704514"/>
    <w:rsid w:val="31816DAF"/>
    <w:rsid w:val="31B1462B"/>
    <w:rsid w:val="31FB45F8"/>
    <w:rsid w:val="32290279"/>
    <w:rsid w:val="32527C83"/>
    <w:rsid w:val="32655415"/>
    <w:rsid w:val="3294292F"/>
    <w:rsid w:val="32BB4F08"/>
    <w:rsid w:val="32F07D5C"/>
    <w:rsid w:val="33A06705"/>
    <w:rsid w:val="33D80D3F"/>
    <w:rsid w:val="33EE637D"/>
    <w:rsid w:val="33FDAC63"/>
    <w:rsid w:val="344352E2"/>
    <w:rsid w:val="34624864"/>
    <w:rsid w:val="346D778B"/>
    <w:rsid w:val="34AE59AA"/>
    <w:rsid w:val="34E63D4F"/>
    <w:rsid w:val="353A3B24"/>
    <w:rsid w:val="35746954"/>
    <w:rsid w:val="35B629C4"/>
    <w:rsid w:val="35F72828"/>
    <w:rsid w:val="3633583B"/>
    <w:rsid w:val="363C359C"/>
    <w:rsid w:val="367B0D86"/>
    <w:rsid w:val="369B06A2"/>
    <w:rsid w:val="36AB2F9F"/>
    <w:rsid w:val="36B27BFF"/>
    <w:rsid w:val="36DE2E4C"/>
    <w:rsid w:val="36F11025"/>
    <w:rsid w:val="37C125AD"/>
    <w:rsid w:val="37CB0B6E"/>
    <w:rsid w:val="37FB2519"/>
    <w:rsid w:val="3860698D"/>
    <w:rsid w:val="386F51CA"/>
    <w:rsid w:val="390943B3"/>
    <w:rsid w:val="391D76E1"/>
    <w:rsid w:val="39C2411A"/>
    <w:rsid w:val="39D31C13"/>
    <w:rsid w:val="39D545B6"/>
    <w:rsid w:val="39F111DE"/>
    <w:rsid w:val="3A1D3D59"/>
    <w:rsid w:val="3AA71527"/>
    <w:rsid w:val="3B7E6C11"/>
    <w:rsid w:val="3BAA4A5F"/>
    <w:rsid w:val="3C080FAE"/>
    <w:rsid w:val="3C541570"/>
    <w:rsid w:val="3C6E37E5"/>
    <w:rsid w:val="3C7922D7"/>
    <w:rsid w:val="3C9342B0"/>
    <w:rsid w:val="3CAD36D2"/>
    <w:rsid w:val="3CC81535"/>
    <w:rsid w:val="3CD26729"/>
    <w:rsid w:val="3CEA275C"/>
    <w:rsid w:val="3CEC25F5"/>
    <w:rsid w:val="3CF50FF2"/>
    <w:rsid w:val="3D052A2E"/>
    <w:rsid w:val="3D0659AA"/>
    <w:rsid w:val="3D602B13"/>
    <w:rsid w:val="3D8F09E6"/>
    <w:rsid w:val="3DB946E3"/>
    <w:rsid w:val="3DEA1E8C"/>
    <w:rsid w:val="3E0755D2"/>
    <w:rsid w:val="3E9B4698"/>
    <w:rsid w:val="3EA7555E"/>
    <w:rsid w:val="3EA826CA"/>
    <w:rsid w:val="3EF35410"/>
    <w:rsid w:val="3EF64E80"/>
    <w:rsid w:val="3EF74D5D"/>
    <w:rsid w:val="3F542A79"/>
    <w:rsid w:val="3F6566F9"/>
    <w:rsid w:val="40095305"/>
    <w:rsid w:val="40115AEB"/>
    <w:rsid w:val="401869D9"/>
    <w:rsid w:val="4073545D"/>
    <w:rsid w:val="40EA2C99"/>
    <w:rsid w:val="411E4CFA"/>
    <w:rsid w:val="422C654A"/>
    <w:rsid w:val="42474BD5"/>
    <w:rsid w:val="42847BD2"/>
    <w:rsid w:val="428739CE"/>
    <w:rsid w:val="42BC3919"/>
    <w:rsid w:val="42F830BA"/>
    <w:rsid w:val="43001D3E"/>
    <w:rsid w:val="435D7C4C"/>
    <w:rsid w:val="4373669D"/>
    <w:rsid w:val="438927DA"/>
    <w:rsid w:val="43A10AE3"/>
    <w:rsid w:val="43A24D63"/>
    <w:rsid w:val="44C21E7F"/>
    <w:rsid w:val="44D409B2"/>
    <w:rsid w:val="4508749B"/>
    <w:rsid w:val="451A1619"/>
    <w:rsid w:val="4538652E"/>
    <w:rsid w:val="453E6727"/>
    <w:rsid w:val="45446C5B"/>
    <w:rsid w:val="455A3BE0"/>
    <w:rsid w:val="461D5993"/>
    <w:rsid w:val="463E3B5B"/>
    <w:rsid w:val="46A40348"/>
    <w:rsid w:val="46A42944"/>
    <w:rsid w:val="46F44C0D"/>
    <w:rsid w:val="47742A29"/>
    <w:rsid w:val="47B01A72"/>
    <w:rsid w:val="47F10090"/>
    <w:rsid w:val="480A6EB1"/>
    <w:rsid w:val="491178F4"/>
    <w:rsid w:val="494D402D"/>
    <w:rsid w:val="494D4D8B"/>
    <w:rsid w:val="49810EE2"/>
    <w:rsid w:val="49EE654C"/>
    <w:rsid w:val="4A340D7B"/>
    <w:rsid w:val="4A55107F"/>
    <w:rsid w:val="4A5F084F"/>
    <w:rsid w:val="4A754721"/>
    <w:rsid w:val="4A83134F"/>
    <w:rsid w:val="4AD621E9"/>
    <w:rsid w:val="4B04790D"/>
    <w:rsid w:val="4B1C5E3D"/>
    <w:rsid w:val="4B3D2633"/>
    <w:rsid w:val="4B513EF9"/>
    <w:rsid w:val="4B8D60C9"/>
    <w:rsid w:val="4C795D79"/>
    <w:rsid w:val="4CA06FAD"/>
    <w:rsid w:val="4CC01258"/>
    <w:rsid w:val="4D5F0096"/>
    <w:rsid w:val="4D692F51"/>
    <w:rsid w:val="4D823B9B"/>
    <w:rsid w:val="4DC21407"/>
    <w:rsid w:val="4E1D544D"/>
    <w:rsid w:val="4E7E543D"/>
    <w:rsid w:val="4E8F4E02"/>
    <w:rsid w:val="4E927C05"/>
    <w:rsid w:val="4EB3025E"/>
    <w:rsid w:val="4F174104"/>
    <w:rsid w:val="4F262EAE"/>
    <w:rsid w:val="4FAA5715"/>
    <w:rsid w:val="4FAB3D46"/>
    <w:rsid w:val="4FD03A76"/>
    <w:rsid w:val="4FDA6D84"/>
    <w:rsid w:val="4FDD4C36"/>
    <w:rsid w:val="50090FD4"/>
    <w:rsid w:val="501E5FE5"/>
    <w:rsid w:val="503A0AC9"/>
    <w:rsid w:val="50AC1BAF"/>
    <w:rsid w:val="51313562"/>
    <w:rsid w:val="513F6058"/>
    <w:rsid w:val="514F1E89"/>
    <w:rsid w:val="520A1B78"/>
    <w:rsid w:val="5214061D"/>
    <w:rsid w:val="52670220"/>
    <w:rsid w:val="526F6D01"/>
    <w:rsid w:val="52B93FB3"/>
    <w:rsid w:val="52BF6755"/>
    <w:rsid w:val="52C553E8"/>
    <w:rsid w:val="531269BE"/>
    <w:rsid w:val="53417BDE"/>
    <w:rsid w:val="535E1B1A"/>
    <w:rsid w:val="538E4E0E"/>
    <w:rsid w:val="53986FA1"/>
    <w:rsid w:val="539B3D11"/>
    <w:rsid w:val="53CE4D8C"/>
    <w:rsid w:val="53FE35C2"/>
    <w:rsid w:val="540168F4"/>
    <w:rsid w:val="548430A3"/>
    <w:rsid w:val="55056B34"/>
    <w:rsid w:val="55684A1A"/>
    <w:rsid w:val="559521BD"/>
    <w:rsid w:val="55AD43BA"/>
    <w:rsid w:val="55C81083"/>
    <w:rsid w:val="55CA6BD2"/>
    <w:rsid w:val="56231C41"/>
    <w:rsid w:val="564163D1"/>
    <w:rsid w:val="56AC2568"/>
    <w:rsid w:val="56C41358"/>
    <w:rsid w:val="5782519E"/>
    <w:rsid w:val="57A44EC0"/>
    <w:rsid w:val="57DC3357"/>
    <w:rsid w:val="582664D1"/>
    <w:rsid w:val="58310F9B"/>
    <w:rsid w:val="58311772"/>
    <w:rsid w:val="583A6878"/>
    <w:rsid w:val="58754A86"/>
    <w:rsid w:val="587B2CDE"/>
    <w:rsid w:val="588A63B0"/>
    <w:rsid w:val="58E54DF2"/>
    <w:rsid w:val="593475CA"/>
    <w:rsid w:val="59BE55DC"/>
    <w:rsid w:val="59EC5D9C"/>
    <w:rsid w:val="5A1A7162"/>
    <w:rsid w:val="5A2F0903"/>
    <w:rsid w:val="5A3508BF"/>
    <w:rsid w:val="5A753690"/>
    <w:rsid w:val="5AC35526"/>
    <w:rsid w:val="5AD230A1"/>
    <w:rsid w:val="5AE75489"/>
    <w:rsid w:val="5B0E4680"/>
    <w:rsid w:val="5B543D4B"/>
    <w:rsid w:val="5C021D5C"/>
    <w:rsid w:val="5C12484B"/>
    <w:rsid w:val="5CD033D2"/>
    <w:rsid w:val="5CD746C6"/>
    <w:rsid w:val="5D02224E"/>
    <w:rsid w:val="5D0B433F"/>
    <w:rsid w:val="5D1F7DEB"/>
    <w:rsid w:val="5D256F17"/>
    <w:rsid w:val="5D566611"/>
    <w:rsid w:val="5D7A3273"/>
    <w:rsid w:val="5D896E22"/>
    <w:rsid w:val="5E0A4A50"/>
    <w:rsid w:val="5E1970B1"/>
    <w:rsid w:val="5EDB1AE9"/>
    <w:rsid w:val="5F2D0E8F"/>
    <w:rsid w:val="5FEB2BA4"/>
    <w:rsid w:val="609A4BC4"/>
    <w:rsid w:val="60F5158E"/>
    <w:rsid w:val="6104719B"/>
    <w:rsid w:val="6171498D"/>
    <w:rsid w:val="61EE441B"/>
    <w:rsid w:val="61F20540"/>
    <w:rsid w:val="620D3BAE"/>
    <w:rsid w:val="62483940"/>
    <w:rsid w:val="62756CD8"/>
    <w:rsid w:val="62C55526"/>
    <w:rsid w:val="62EE64CA"/>
    <w:rsid w:val="62F30E54"/>
    <w:rsid w:val="63003C41"/>
    <w:rsid w:val="63F7395E"/>
    <w:rsid w:val="64104514"/>
    <w:rsid w:val="642369C3"/>
    <w:rsid w:val="64433C52"/>
    <w:rsid w:val="645C4BBE"/>
    <w:rsid w:val="645D0573"/>
    <w:rsid w:val="64E533D4"/>
    <w:rsid w:val="64F82697"/>
    <w:rsid w:val="65640DB5"/>
    <w:rsid w:val="65EF244B"/>
    <w:rsid w:val="66215B04"/>
    <w:rsid w:val="66266BF4"/>
    <w:rsid w:val="66342560"/>
    <w:rsid w:val="663F469F"/>
    <w:rsid w:val="667E3DD4"/>
    <w:rsid w:val="669B2A1A"/>
    <w:rsid w:val="66BA1864"/>
    <w:rsid w:val="66FD01A0"/>
    <w:rsid w:val="6787DACB"/>
    <w:rsid w:val="67893B07"/>
    <w:rsid w:val="67DD08A6"/>
    <w:rsid w:val="67F535C2"/>
    <w:rsid w:val="68A51D8F"/>
    <w:rsid w:val="68E63001"/>
    <w:rsid w:val="6902695F"/>
    <w:rsid w:val="692D337C"/>
    <w:rsid w:val="69507E77"/>
    <w:rsid w:val="69CE7367"/>
    <w:rsid w:val="6A3A435E"/>
    <w:rsid w:val="6A911D7B"/>
    <w:rsid w:val="6ABE35C7"/>
    <w:rsid w:val="6B3C4D16"/>
    <w:rsid w:val="6B9B7464"/>
    <w:rsid w:val="6C0C66AB"/>
    <w:rsid w:val="6C1D5A8D"/>
    <w:rsid w:val="6C506D05"/>
    <w:rsid w:val="6CAB3449"/>
    <w:rsid w:val="6CB5299E"/>
    <w:rsid w:val="6CC91D04"/>
    <w:rsid w:val="6CD754CF"/>
    <w:rsid w:val="6CD9476D"/>
    <w:rsid w:val="6D3F6E6A"/>
    <w:rsid w:val="6E5626ED"/>
    <w:rsid w:val="6E6041EB"/>
    <w:rsid w:val="6E942999"/>
    <w:rsid w:val="6EB966E9"/>
    <w:rsid w:val="6F241291"/>
    <w:rsid w:val="6FA8783E"/>
    <w:rsid w:val="6FCC795E"/>
    <w:rsid w:val="700A4990"/>
    <w:rsid w:val="7061300B"/>
    <w:rsid w:val="710EC7A6"/>
    <w:rsid w:val="714C49C7"/>
    <w:rsid w:val="71EC67DB"/>
    <w:rsid w:val="71FC5364"/>
    <w:rsid w:val="72221950"/>
    <w:rsid w:val="72AD02ED"/>
    <w:rsid w:val="737EBDA0"/>
    <w:rsid w:val="73C21591"/>
    <w:rsid w:val="74B06E8E"/>
    <w:rsid w:val="74E042F3"/>
    <w:rsid w:val="75001B2D"/>
    <w:rsid w:val="751A6115"/>
    <w:rsid w:val="752F13FF"/>
    <w:rsid w:val="75CD688F"/>
    <w:rsid w:val="765242FC"/>
    <w:rsid w:val="76635747"/>
    <w:rsid w:val="766B1D21"/>
    <w:rsid w:val="770E5CDE"/>
    <w:rsid w:val="772D017A"/>
    <w:rsid w:val="775D7768"/>
    <w:rsid w:val="780473EC"/>
    <w:rsid w:val="780B4978"/>
    <w:rsid w:val="781B18E6"/>
    <w:rsid w:val="790F45F0"/>
    <w:rsid w:val="7919031A"/>
    <w:rsid w:val="794022C6"/>
    <w:rsid w:val="7957552B"/>
    <w:rsid w:val="79CE505D"/>
    <w:rsid w:val="7A5B19C1"/>
    <w:rsid w:val="7A5C1D7E"/>
    <w:rsid w:val="7A6D4434"/>
    <w:rsid w:val="7A7B5E5C"/>
    <w:rsid w:val="7AC34054"/>
    <w:rsid w:val="7AD6524D"/>
    <w:rsid w:val="7AD71832"/>
    <w:rsid w:val="7B2530EB"/>
    <w:rsid w:val="7B8F410F"/>
    <w:rsid w:val="7BF55D0D"/>
    <w:rsid w:val="7C2C1A43"/>
    <w:rsid w:val="7C2C344B"/>
    <w:rsid w:val="7C5ED8BC"/>
    <w:rsid w:val="7D1D57F3"/>
    <w:rsid w:val="7D62210E"/>
    <w:rsid w:val="7DA737B9"/>
    <w:rsid w:val="7DF41070"/>
    <w:rsid w:val="7E3FAA57"/>
    <w:rsid w:val="7E4160B8"/>
    <w:rsid w:val="7E9140CF"/>
    <w:rsid w:val="7ED42FFD"/>
    <w:rsid w:val="7EFA5574"/>
    <w:rsid w:val="7F3F3F9E"/>
    <w:rsid w:val="7F7FBA7B"/>
    <w:rsid w:val="7FB421BD"/>
    <w:rsid w:val="7FE95FF3"/>
    <w:rsid w:val="AD5B58E6"/>
    <w:rsid w:val="B3FB361A"/>
    <w:rsid w:val="B9F49A0C"/>
    <w:rsid w:val="CB3DA32C"/>
    <w:rsid w:val="D88FDF72"/>
    <w:rsid w:val="DDE55B11"/>
    <w:rsid w:val="EAFED47F"/>
    <w:rsid w:val="EFDC4DF6"/>
    <w:rsid w:val="F3CF55EA"/>
    <w:rsid w:val="FAFEF61D"/>
    <w:rsid w:val="FB7B251F"/>
    <w:rsid w:val="FD7DFB44"/>
    <w:rsid w:val="FE6F8BCD"/>
    <w:rsid w:val="FE7F3E34"/>
    <w:rsid w:val="FEF9082A"/>
    <w:rsid w:val="FF77A3CF"/>
    <w:rsid w:val="FFCF9E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semiHidden="0" w:name="index 8"/>
    <w:lsdException w:qFormat="1" w:unhideWhenUsed="0" w:uiPriority="0" w:name="index 9"/>
    <w:lsdException w:qFormat="1" w:uiPriority="39"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nhideWhenUsed="0" w:uiPriority="0" w:name="index heading"/>
    <w:lsdException w:qFormat="1" w:uiPriority="35" w:name="caption"/>
    <w:lsdException w:qFormat="1" w:unhideWhenUsed="0" w:uiPriority="0" w:name="table of figures"/>
    <w:lsdException w:qFormat="1" w:unhideWhenUsed="0" w:uiPriority="0" w:name="envelope address"/>
    <w:lsdException w:qFormat="1" w:unhideWhenUsed="0" w:uiPriority="0" w:name="envelope return"/>
    <w:lsdException w:qFormat="1" w:unhideWhenUsed="0" w:uiPriority="0" w:name="footnote reference"/>
    <w:lsdException w:qFormat="1" w:uiPriority="0" w:semiHidden="0" w:name="annotation reference"/>
    <w:lsdException w:qFormat="1" w:unhideWhenUsed="0" w:uiPriority="0" w:name="line number"/>
    <w:lsdException w:qFormat="1" w:uiPriority="0"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nhideWhenUsed="0" w:uiPriority="0" w:name="toa heading"/>
    <w:lsdException w:qFormat="1" w:unhideWhenUsed="0" w:uiPriority="0" w:name="List"/>
    <w:lsdException w:qFormat="1" w:unhideWhenUsed="0" w:uiPriority="0" w:name="List Bullet"/>
    <w:lsdException w:qFormat="1" w:unhideWhenUsed="0" w:uiPriority="0" w:name="List Number"/>
    <w:lsdException w:qFormat="1" w:unhideWhenUsed="0" w:uiPriority="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99"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nhideWhenUsed="0"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nhideWhenUsed="0"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qFormat="1"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qFormat="1" w:uiPriority="0" w:semiHidden="0" w:name="Balloon Text"/>
    <w:lsdException w:qFormat="1" w:unhideWhenUsed="0" w:uiPriority="0" w:semiHidden="0" w:name="Table Grid"/>
    <w:lsdException w:qFormat="1" w:unhideWhenUsed="0"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146"/>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147"/>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148"/>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149"/>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150"/>
    <w:qFormat/>
    <w:uiPriority w:val="0"/>
    <w:pPr>
      <w:ind w:left="1008" w:hanging="432"/>
      <w:outlineLvl w:val="4"/>
    </w:pPr>
    <w:rPr>
      <w:rFonts w:ascii="Times New Roman" w:hAnsi="Times New Roman"/>
      <w:kern w:val="0"/>
      <w:sz w:val="20"/>
      <w:szCs w:val="20"/>
    </w:rPr>
  </w:style>
  <w:style w:type="paragraph" w:styleId="9">
    <w:name w:val="heading 6"/>
    <w:basedOn w:val="1"/>
    <w:next w:val="1"/>
    <w:link w:val="151"/>
    <w:qFormat/>
    <w:uiPriority w:val="0"/>
    <w:pPr>
      <w:ind w:left="1152" w:hanging="432"/>
      <w:outlineLvl w:val="5"/>
    </w:pPr>
    <w:rPr>
      <w:rFonts w:ascii="Times New Roman" w:hAnsi="Times New Roman"/>
      <w:kern w:val="0"/>
      <w:sz w:val="20"/>
      <w:szCs w:val="20"/>
    </w:rPr>
  </w:style>
  <w:style w:type="paragraph" w:styleId="10">
    <w:name w:val="heading 7"/>
    <w:basedOn w:val="1"/>
    <w:next w:val="1"/>
    <w:link w:val="152"/>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153"/>
    <w:qFormat/>
    <w:uiPriority w:val="0"/>
    <w:pPr>
      <w:ind w:left="1440" w:hanging="432"/>
      <w:outlineLvl w:val="7"/>
    </w:pPr>
    <w:rPr>
      <w:rFonts w:ascii="Times New Roman" w:hAnsi="Times New Roman"/>
      <w:kern w:val="0"/>
      <w:sz w:val="20"/>
      <w:szCs w:val="20"/>
    </w:rPr>
  </w:style>
  <w:style w:type="paragraph" w:styleId="12">
    <w:name w:val="heading 9"/>
    <w:basedOn w:val="1"/>
    <w:next w:val="1"/>
    <w:link w:val="154"/>
    <w:qFormat/>
    <w:uiPriority w:val="0"/>
    <w:pPr>
      <w:ind w:left="1584" w:hanging="144"/>
      <w:outlineLvl w:val="8"/>
    </w:pPr>
    <w:rPr>
      <w:rFonts w:ascii="Times New Roman" w:hAnsi="Times New Roman"/>
      <w:kern w:val="0"/>
      <w:sz w:val="20"/>
      <w:szCs w:val="20"/>
    </w:rPr>
  </w:style>
  <w:style w:type="character" w:default="1" w:styleId="128">
    <w:name w:val="Default Paragraph Font"/>
    <w:semiHidden/>
    <w:unhideWhenUsed/>
    <w:qFormat/>
    <w:uiPriority w:val="1"/>
  </w:style>
  <w:style w:type="table" w:default="1" w:styleId="83">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link w:val="164"/>
    <w:qFormat/>
    <w:uiPriority w:val="0"/>
    <w:pPr>
      <w:spacing w:line="520" w:lineRule="exact"/>
      <w:ind w:firstLine="422" w:firstLineChars="176"/>
      <w:jc w:val="left"/>
    </w:pPr>
    <w:rPr>
      <w:rFonts w:ascii="宋体" w:hAnsi="Courier New"/>
      <w:szCs w:val="21"/>
    </w:rPr>
  </w:style>
  <w:style w:type="paragraph" w:styleId="3">
    <w:name w:val="index 8"/>
    <w:basedOn w:val="1"/>
    <w:next w:val="1"/>
    <w:qFormat/>
    <w:uiPriority w:val="0"/>
    <w:pPr>
      <w:ind w:left="1400" w:leftChars="1400"/>
    </w:pPr>
    <w:rPr>
      <w:rFonts w:ascii="Times New Roman" w:hAnsi="Times New Roman"/>
      <w:szCs w:val="24"/>
    </w:rPr>
  </w:style>
  <w:style w:type="paragraph" w:styleId="13">
    <w:name w:val="List 3"/>
    <w:basedOn w:val="1"/>
    <w:semiHidden/>
    <w:qFormat/>
    <w:uiPriority w:val="0"/>
    <w:pPr>
      <w:ind w:left="100" w:leftChars="400" w:hanging="200" w:hangingChars="200"/>
    </w:pPr>
    <w:rPr>
      <w:rFonts w:ascii="Times New Roman" w:hAnsi="Times New Roman"/>
      <w:szCs w:val="24"/>
    </w:rPr>
  </w:style>
  <w:style w:type="paragraph" w:styleId="14">
    <w:name w:val="toc 7"/>
    <w:basedOn w:val="1"/>
    <w:next w:val="1"/>
    <w:unhideWhenUsed/>
    <w:qFormat/>
    <w:uiPriority w:val="0"/>
    <w:pPr>
      <w:ind w:left="2520" w:leftChars="1200"/>
    </w:pPr>
  </w:style>
  <w:style w:type="paragraph" w:styleId="15">
    <w:name w:val="List Number 2"/>
    <w:basedOn w:val="1"/>
    <w:semiHidden/>
    <w:qFormat/>
    <w:uiPriority w:val="0"/>
    <w:pPr>
      <w:tabs>
        <w:tab w:val="left" w:pos="780"/>
      </w:tabs>
      <w:ind w:left="780" w:hanging="360"/>
    </w:pPr>
    <w:rPr>
      <w:rFonts w:ascii="Times New Roman" w:hAnsi="Times New Roman"/>
      <w:szCs w:val="24"/>
    </w:rPr>
  </w:style>
  <w:style w:type="paragraph" w:styleId="16">
    <w:name w:val="Note Heading"/>
    <w:basedOn w:val="1"/>
    <w:next w:val="1"/>
    <w:link w:val="189"/>
    <w:semiHidden/>
    <w:qFormat/>
    <w:uiPriority w:val="0"/>
    <w:pPr>
      <w:jc w:val="center"/>
    </w:pPr>
    <w:rPr>
      <w:rFonts w:ascii="Times New Roman" w:hAnsi="Times New Roman"/>
      <w:szCs w:val="24"/>
    </w:rPr>
  </w:style>
  <w:style w:type="paragraph" w:styleId="17">
    <w:name w:val="List Bullet 4"/>
    <w:basedOn w:val="1"/>
    <w:semiHidden/>
    <w:qFormat/>
    <w:uiPriority w:val="0"/>
    <w:pPr>
      <w:tabs>
        <w:tab w:val="left" w:pos="1620"/>
      </w:tabs>
      <w:ind w:left="1620" w:hanging="360"/>
    </w:pPr>
    <w:rPr>
      <w:rFonts w:ascii="Times New Roman" w:hAnsi="Times New Roman"/>
      <w:szCs w:val="24"/>
    </w:rPr>
  </w:style>
  <w:style w:type="paragraph" w:styleId="18">
    <w:name w:val="E-mail Signature"/>
    <w:basedOn w:val="1"/>
    <w:link w:val="190"/>
    <w:semiHidden/>
    <w:qFormat/>
    <w:uiPriority w:val="0"/>
    <w:rPr>
      <w:rFonts w:ascii="Times New Roman" w:hAnsi="Times New Roman"/>
      <w:szCs w:val="24"/>
    </w:rPr>
  </w:style>
  <w:style w:type="paragraph" w:styleId="19">
    <w:name w:val="List Number"/>
    <w:basedOn w:val="1"/>
    <w:semiHidden/>
    <w:qFormat/>
    <w:uiPriority w:val="0"/>
    <w:pPr>
      <w:tabs>
        <w:tab w:val="left" w:pos="360"/>
      </w:tabs>
      <w:ind w:left="360" w:hanging="360"/>
    </w:pPr>
    <w:rPr>
      <w:rFonts w:ascii="Times New Roman" w:hAnsi="Times New Roman"/>
      <w:szCs w:val="24"/>
    </w:rPr>
  </w:style>
  <w:style w:type="paragraph" w:styleId="20">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21">
    <w:name w:val="index 5"/>
    <w:basedOn w:val="1"/>
    <w:next w:val="1"/>
    <w:semiHidden/>
    <w:qFormat/>
    <w:uiPriority w:val="0"/>
    <w:pPr>
      <w:ind w:left="1050" w:hanging="210"/>
      <w:jc w:val="left"/>
    </w:pPr>
    <w:rPr>
      <w:rFonts w:ascii="Times New Roman" w:hAnsi="Times New Roman"/>
      <w:sz w:val="20"/>
      <w:szCs w:val="20"/>
    </w:rPr>
  </w:style>
  <w:style w:type="paragraph" w:styleId="22">
    <w:name w:val="List Bullet"/>
    <w:basedOn w:val="1"/>
    <w:semiHidden/>
    <w:qFormat/>
    <w:uiPriority w:val="0"/>
    <w:pPr>
      <w:tabs>
        <w:tab w:val="left" w:pos="360"/>
      </w:tabs>
      <w:ind w:left="360" w:hanging="360"/>
    </w:pPr>
    <w:rPr>
      <w:rFonts w:ascii="Times New Roman" w:hAnsi="Times New Roman"/>
      <w:szCs w:val="24"/>
    </w:rPr>
  </w:style>
  <w:style w:type="paragraph" w:styleId="23">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4">
    <w:name w:val="Document Map"/>
    <w:basedOn w:val="1"/>
    <w:link w:val="168"/>
    <w:unhideWhenUsed/>
    <w:qFormat/>
    <w:uiPriority w:val="0"/>
    <w:rPr>
      <w:rFonts w:ascii="宋体"/>
      <w:sz w:val="18"/>
      <w:szCs w:val="18"/>
    </w:rPr>
  </w:style>
  <w:style w:type="paragraph" w:styleId="25">
    <w:name w:val="toa heading"/>
    <w:basedOn w:val="1"/>
    <w:next w:val="1"/>
    <w:semiHidden/>
    <w:qFormat/>
    <w:uiPriority w:val="0"/>
    <w:pPr>
      <w:autoSpaceDE w:val="0"/>
      <w:autoSpaceDN w:val="0"/>
      <w:adjustRightInd w:val="0"/>
      <w:spacing w:before="120" w:after="60" w:line="360" w:lineRule="auto"/>
      <w:ind w:right="-425"/>
    </w:pPr>
    <w:rPr>
      <w:rFonts w:ascii="Arial" w:hAnsi="Arial"/>
      <w:color w:val="000000"/>
      <w:sz w:val="24"/>
      <w:szCs w:val="20"/>
    </w:rPr>
  </w:style>
  <w:style w:type="paragraph" w:styleId="26">
    <w:name w:val="annotation text"/>
    <w:basedOn w:val="1"/>
    <w:link w:val="160"/>
    <w:unhideWhenUsed/>
    <w:qFormat/>
    <w:uiPriority w:val="0"/>
    <w:pPr>
      <w:jc w:val="left"/>
    </w:pPr>
  </w:style>
  <w:style w:type="paragraph" w:styleId="27">
    <w:name w:val="index 6"/>
    <w:basedOn w:val="1"/>
    <w:next w:val="1"/>
    <w:semiHidden/>
    <w:qFormat/>
    <w:uiPriority w:val="0"/>
    <w:pPr>
      <w:ind w:left="1260" w:hanging="210"/>
      <w:jc w:val="left"/>
    </w:pPr>
    <w:rPr>
      <w:rFonts w:ascii="Times New Roman" w:hAnsi="Times New Roman"/>
      <w:sz w:val="20"/>
      <w:szCs w:val="20"/>
    </w:rPr>
  </w:style>
  <w:style w:type="paragraph" w:styleId="28">
    <w:name w:val="Salutation"/>
    <w:basedOn w:val="1"/>
    <w:next w:val="1"/>
    <w:link w:val="191"/>
    <w:semiHidden/>
    <w:qFormat/>
    <w:uiPriority w:val="0"/>
    <w:rPr>
      <w:rFonts w:ascii="Times New Roman" w:hAnsi="Times New Roman"/>
      <w:szCs w:val="24"/>
    </w:rPr>
  </w:style>
  <w:style w:type="paragraph" w:styleId="29">
    <w:name w:val="Body Text 3"/>
    <w:basedOn w:val="1"/>
    <w:link w:val="192"/>
    <w:semiHidden/>
    <w:qFormat/>
    <w:uiPriority w:val="0"/>
    <w:pPr>
      <w:spacing w:after="120"/>
    </w:pPr>
    <w:rPr>
      <w:rFonts w:ascii="Times New Roman" w:hAnsi="Times New Roman"/>
      <w:sz w:val="16"/>
      <w:szCs w:val="16"/>
    </w:rPr>
  </w:style>
  <w:style w:type="paragraph" w:styleId="30">
    <w:name w:val="Closing"/>
    <w:basedOn w:val="1"/>
    <w:link w:val="193"/>
    <w:semiHidden/>
    <w:qFormat/>
    <w:uiPriority w:val="0"/>
    <w:pPr>
      <w:ind w:left="100" w:leftChars="2100"/>
    </w:pPr>
    <w:rPr>
      <w:rFonts w:ascii="Times New Roman" w:hAnsi="Times New Roman"/>
      <w:szCs w:val="24"/>
    </w:rPr>
  </w:style>
  <w:style w:type="paragraph" w:styleId="31">
    <w:name w:val="List Bullet 3"/>
    <w:basedOn w:val="1"/>
    <w:semiHidden/>
    <w:qFormat/>
    <w:uiPriority w:val="0"/>
    <w:pPr>
      <w:tabs>
        <w:tab w:val="left" w:pos="1200"/>
      </w:tabs>
      <w:ind w:left="1200" w:hanging="360"/>
    </w:pPr>
    <w:rPr>
      <w:rFonts w:ascii="Times New Roman" w:hAnsi="Times New Roman"/>
      <w:szCs w:val="24"/>
    </w:rPr>
  </w:style>
  <w:style w:type="paragraph" w:styleId="32">
    <w:name w:val="Body Text"/>
    <w:basedOn w:val="1"/>
    <w:next w:val="1"/>
    <w:link w:val="161"/>
    <w:qFormat/>
    <w:uiPriority w:val="99"/>
    <w:pPr>
      <w:spacing w:line="360" w:lineRule="auto"/>
    </w:pPr>
    <w:rPr>
      <w:rFonts w:ascii="宋体" w:hAnsi="宋体"/>
      <w:kern w:val="0"/>
      <w:sz w:val="24"/>
      <w:szCs w:val="24"/>
    </w:rPr>
  </w:style>
  <w:style w:type="paragraph" w:styleId="33">
    <w:name w:val="Body Text Indent"/>
    <w:basedOn w:val="1"/>
    <w:link w:val="159"/>
    <w:unhideWhenUsed/>
    <w:qFormat/>
    <w:uiPriority w:val="99"/>
    <w:pPr>
      <w:spacing w:after="120"/>
      <w:ind w:left="420" w:leftChars="200"/>
    </w:pPr>
  </w:style>
  <w:style w:type="paragraph" w:styleId="34">
    <w:name w:val="List Number 3"/>
    <w:basedOn w:val="1"/>
    <w:semiHidden/>
    <w:qFormat/>
    <w:uiPriority w:val="0"/>
    <w:pPr>
      <w:tabs>
        <w:tab w:val="left" w:pos="1200"/>
      </w:tabs>
      <w:ind w:left="1200" w:hanging="360"/>
    </w:pPr>
    <w:rPr>
      <w:rFonts w:ascii="Times New Roman" w:hAnsi="Times New Roman"/>
      <w:szCs w:val="24"/>
    </w:rPr>
  </w:style>
  <w:style w:type="paragraph" w:styleId="35">
    <w:name w:val="List 2"/>
    <w:basedOn w:val="1"/>
    <w:semiHidden/>
    <w:qFormat/>
    <w:uiPriority w:val="0"/>
    <w:pPr>
      <w:ind w:left="100" w:leftChars="200" w:hanging="200" w:hangingChars="200"/>
    </w:pPr>
    <w:rPr>
      <w:rFonts w:ascii="Times New Roman" w:hAnsi="Times New Roman"/>
      <w:szCs w:val="24"/>
    </w:rPr>
  </w:style>
  <w:style w:type="paragraph" w:styleId="36">
    <w:name w:val="List Continue"/>
    <w:basedOn w:val="1"/>
    <w:semiHidden/>
    <w:qFormat/>
    <w:uiPriority w:val="0"/>
    <w:pPr>
      <w:spacing w:after="120"/>
      <w:ind w:left="420" w:leftChars="200"/>
    </w:pPr>
    <w:rPr>
      <w:rFonts w:ascii="Times New Roman" w:hAnsi="Times New Roman"/>
      <w:szCs w:val="24"/>
    </w:rPr>
  </w:style>
  <w:style w:type="paragraph" w:styleId="37">
    <w:name w:val="Block Text"/>
    <w:basedOn w:val="1"/>
    <w:semiHidden/>
    <w:qFormat/>
    <w:uiPriority w:val="0"/>
    <w:pPr>
      <w:spacing w:after="120"/>
      <w:ind w:left="1440" w:leftChars="700" w:right="1440" w:rightChars="700"/>
    </w:pPr>
    <w:rPr>
      <w:rFonts w:ascii="Times New Roman" w:hAnsi="Times New Roman"/>
      <w:szCs w:val="24"/>
    </w:rPr>
  </w:style>
  <w:style w:type="paragraph" w:styleId="38">
    <w:name w:val="List Bullet 2"/>
    <w:basedOn w:val="1"/>
    <w:semiHidden/>
    <w:qFormat/>
    <w:uiPriority w:val="0"/>
    <w:pPr>
      <w:tabs>
        <w:tab w:val="left" w:pos="780"/>
      </w:tabs>
      <w:ind w:left="780" w:hanging="360"/>
    </w:pPr>
    <w:rPr>
      <w:rFonts w:ascii="Times New Roman" w:hAnsi="Times New Roman"/>
      <w:szCs w:val="24"/>
    </w:rPr>
  </w:style>
  <w:style w:type="paragraph" w:styleId="39">
    <w:name w:val="HTML Address"/>
    <w:basedOn w:val="1"/>
    <w:link w:val="194"/>
    <w:semiHidden/>
    <w:qFormat/>
    <w:uiPriority w:val="0"/>
    <w:rPr>
      <w:rFonts w:ascii="Times New Roman" w:hAnsi="Times New Roman"/>
      <w:i/>
      <w:iCs/>
      <w:szCs w:val="24"/>
    </w:rPr>
  </w:style>
  <w:style w:type="paragraph" w:styleId="40">
    <w:name w:val="index 4"/>
    <w:basedOn w:val="1"/>
    <w:next w:val="1"/>
    <w:semiHidden/>
    <w:qFormat/>
    <w:uiPriority w:val="0"/>
    <w:pPr>
      <w:ind w:left="840" w:hanging="210"/>
      <w:jc w:val="left"/>
    </w:pPr>
    <w:rPr>
      <w:rFonts w:ascii="Times New Roman" w:hAnsi="Times New Roman"/>
      <w:sz w:val="20"/>
      <w:szCs w:val="20"/>
    </w:rPr>
  </w:style>
  <w:style w:type="paragraph" w:styleId="41">
    <w:name w:val="toc 5"/>
    <w:basedOn w:val="1"/>
    <w:next w:val="1"/>
    <w:unhideWhenUsed/>
    <w:qFormat/>
    <w:uiPriority w:val="0"/>
    <w:pPr>
      <w:ind w:left="1680" w:leftChars="800"/>
    </w:pPr>
  </w:style>
  <w:style w:type="paragraph" w:styleId="42">
    <w:name w:val="toc 3"/>
    <w:basedOn w:val="1"/>
    <w:next w:val="1"/>
    <w:unhideWhenUsed/>
    <w:qFormat/>
    <w:uiPriority w:val="39"/>
    <w:pPr>
      <w:ind w:left="840" w:leftChars="400"/>
    </w:pPr>
  </w:style>
  <w:style w:type="paragraph" w:styleId="43">
    <w:name w:val="List Bullet 5"/>
    <w:basedOn w:val="1"/>
    <w:semiHidden/>
    <w:qFormat/>
    <w:uiPriority w:val="0"/>
    <w:pPr>
      <w:tabs>
        <w:tab w:val="left" w:pos="2040"/>
      </w:tabs>
      <w:ind w:left="2040" w:hanging="360"/>
    </w:pPr>
    <w:rPr>
      <w:rFonts w:ascii="Times New Roman" w:hAnsi="Times New Roman"/>
      <w:szCs w:val="24"/>
    </w:rPr>
  </w:style>
  <w:style w:type="paragraph" w:styleId="44">
    <w:name w:val="List Number 4"/>
    <w:basedOn w:val="1"/>
    <w:semiHidden/>
    <w:qFormat/>
    <w:uiPriority w:val="0"/>
    <w:pPr>
      <w:tabs>
        <w:tab w:val="left" w:pos="1620"/>
      </w:tabs>
      <w:ind w:left="1620" w:hanging="360"/>
    </w:pPr>
    <w:rPr>
      <w:rFonts w:ascii="Times New Roman" w:hAnsi="Times New Roman"/>
      <w:szCs w:val="24"/>
    </w:rPr>
  </w:style>
  <w:style w:type="paragraph" w:styleId="45">
    <w:name w:val="toc 8"/>
    <w:basedOn w:val="1"/>
    <w:next w:val="1"/>
    <w:semiHidden/>
    <w:qFormat/>
    <w:uiPriority w:val="0"/>
    <w:pPr>
      <w:ind w:left="2940" w:leftChars="1400"/>
    </w:pPr>
  </w:style>
  <w:style w:type="paragraph" w:styleId="46">
    <w:name w:val="index 3"/>
    <w:basedOn w:val="1"/>
    <w:next w:val="1"/>
    <w:semiHidden/>
    <w:qFormat/>
    <w:uiPriority w:val="0"/>
    <w:pPr>
      <w:ind w:left="630" w:hanging="210"/>
      <w:jc w:val="left"/>
    </w:pPr>
    <w:rPr>
      <w:rFonts w:ascii="Times New Roman" w:hAnsi="Times New Roman"/>
      <w:sz w:val="20"/>
      <w:szCs w:val="20"/>
    </w:rPr>
  </w:style>
  <w:style w:type="paragraph" w:styleId="47">
    <w:name w:val="Date"/>
    <w:basedOn w:val="1"/>
    <w:next w:val="1"/>
    <w:link w:val="195"/>
    <w:unhideWhenUsed/>
    <w:qFormat/>
    <w:uiPriority w:val="0"/>
    <w:pPr>
      <w:ind w:left="100" w:leftChars="2500"/>
    </w:pPr>
    <w:rPr>
      <w:rFonts w:ascii="Times New Roman" w:hAnsi="Times New Roman"/>
      <w:szCs w:val="20"/>
    </w:rPr>
  </w:style>
  <w:style w:type="paragraph" w:styleId="48">
    <w:name w:val="Body Text Indent 2"/>
    <w:basedOn w:val="1"/>
    <w:link w:val="196"/>
    <w:semiHidden/>
    <w:qFormat/>
    <w:uiPriority w:val="0"/>
    <w:pPr>
      <w:spacing w:after="120" w:line="480" w:lineRule="auto"/>
      <w:ind w:left="420" w:leftChars="200"/>
    </w:pPr>
    <w:rPr>
      <w:rFonts w:ascii="Times New Roman" w:hAnsi="Times New Roman"/>
      <w:szCs w:val="24"/>
    </w:rPr>
  </w:style>
  <w:style w:type="paragraph" w:styleId="49">
    <w:name w:val="endnote text"/>
    <w:basedOn w:val="1"/>
    <w:link w:val="197"/>
    <w:semiHidden/>
    <w:qFormat/>
    <w:uiPriority w:val="0"/>
    <w:pPr>
      <w:snapToGrid w:val="0"/>
      <w:jc w:val="left"/>
    </w:pPr>
    <w:rPr>
      <w:rFonts w:ascii="Times New Roman" w:hAnsi="Times New Roman"/>
      <w:szCs w:val="24"/>
    </w:rPr>
  </w:style>
  <w:style w:type="paragraph" w:styleId="50">
    <w:name w:val="List Continue 5"/>
    <w:basedOn w:val="1"/>
    <w:semiHidden/>
    <w:qFormat/>
    <w:uiPriority w:val="0"/>
    <w:pPr>
      <w:spacing w:after="120"/>
      <w:ind w:left="2100" w:leftChars="1000"/>
    </w:pPr>
    <w:rPr>
      <w:rFonts w:ascii="Times New Roman" w:hAnsi="Times New Roman"/>
      <w:szCs w:val="24"/>
    </w:rPr>
  </w:style>
  <w:style w:type="paragraph" w:styleId="51">
    <w:name w:val="Balloon Text"/>
    <w:basedOn w:val="1"/>
    <w:link w:val="163"/>
    <w:unhideWhenUsed/>
    <w:qFormat/>
    <w:uiPriority w:val="0"/>
    <w:rPr>
      <w:kern w:val="0"/>
      <w:sz w:val="18"/>
      <w:szCs w:val="18"/>
    </w:rPr>
  </w:style>
  <w:style w:type="paragraph" w:styleId="52">
    <w:name w:val="footer"/>
    <w:basedOn w:val="1"/>
    <w:link w:val="162"/>
    <w:unhideWhenUsed/>
    <w:qFormat/>
    <w:uiPriority w:val="0"/>
    <w:pPr>
      <w:tabs>
        <w:tab w:val="center" w:pos="4153"/>
        <w:tab w:val="right" w:pos="8306"/>
      </w:tabs>
      <w:snapToGrid w:val="0"/>
      <w:jc w:val="left"/>
    </w:pPr>
    <w:rPr>
      <w:kern w:val="0"/>
      <w:sz w:val="18"/>
      <w:szCs w:val="18"/>
    </w:rPr>
  </w:style>
  <w:style w:type="paragraph" w:styleId="53">
    <w:name w:val="envelope return"/>
    <w:basedOn w:val="1"/>
    <w:semiHidden/>
    <w:qFormat/>
    <w:uiPriority w:val="0"/>
    <w:pPr>
      <w:snapToGrid w:val="0"/>
    </w:pPr>
    <w:rPr>
      <w:rFonts w:ascii="Arial" w:hAnsi="Arial" w:cs="Arial"/>
      <w:szCs w:val="24"/>
    </w:rPr>
  </w:style>
  <w:style w:type="paragraph" w:styleId="54">
    <w:name w:val="header"/>
    <w:basedOn w:val="1"/>
    <w:link w:val="155"/>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55">
    <w:name w:val="Signature"/>
    <w:basedOn w:val="1"/>
    <w:link w:val="198"/>
    <w:semiHidden/>
    <w:qFormat/>
    <w:uiPriority w:val="0"/>
    <w:pPr>
      <w:ind w:left="100" w:leftChars="2100"/>
    </w:pPr>
    <w:rPr>
      <w:rFonts w:ascii="Times New Roman" w:hAnsi="Times New Roman"/>
      <w:szCs w:val="24"/>
    </w:rPr>
  </w:style>
  <w:style w:type="paragraph" w:styleId="56">
    <w:name w:val="toc 1"/>
    <w:basedOn w:val="1"/>
    <w:next w:val="1"/>
    <w:unhideWhenUsed/>
    <w:qFormat/>
    <w:uiPriority w:val="39"/>
  </w:style>
  <w:style w:type="paragraph" w:styleId="57">
    <w:name w:val="List Continue 4"/>
    <w:basedOn w:val="1"/>
    <w:semiHidden/>
    <w:qFormat/>
    <w:uiPriority w:val="0"/>
    <w:pPr>
      <w:spacing w:after="120"/>
      <w:ind w:left="1680" w:leftChars="800"/>
    </w:pPr>
    <w:rPr>
      <w:rFonts w:ascii="Times New Roman" w:hAnsi="Times New Roman"/>
      <w:szCs w:val="24"/>
    </w:rPr>
  </w:style>
  <w:style w:type="paragraph" w:styleId="58">
    <w:name w:val="toc 4"/>
    <w:basedOn w:val="1"/>
    <w:next w:val="1"/>
    <w:unhideWhenUsed/>
    <w:qFormat/>
    <w:uiPriority w:val="0"/>
    <w:pPr>
      <w:ind w:left="1260" w:leftChars="600"/>
    </w:pPr>
  </w:style>
  <w:style w:type="paragraph" w:styleId="59">
    <w:name w:val="index heading"/>
    <w:basedOn w:val="1"/>
    <w:next w:val="60"/>
    <w:semiHidden/>
    <w:qFormat/>
    <w:uiPriority w:val="0"/>
    <w:pPr>
      <w:spacing w:before="120" w:after="120"/>
      <w:jc w:val="left"/>
    </w:pPr>
    <w:rPr>
      <w:rFonts w:ascii="Times New Roman" w:hAnsi="Times New Roman"/>
      <w:b/>
      <w:bCs/>
      <w:i/>
      <w:iCs/>
      <w:sz w:val="20"/>
      <w:szCs w:val="20"/>
    </w:rPr>
  </w:style>
  <w:style w:type="paragraph" w:styleId="60">
    <w:name w:val="index 1"/>
    <w:basedOn w:val="1"/>
    <w:next w:val="1"/>
    <w:unhideWhenUsed/>
    <w:qFormat/>
    <w:uiPriority w:val="0"/>
  </w:style>
  <w:style w:type="paragraph" w:styleId="61">
    <w:name w:val="Subtitle"/>
    <w:basedOn w:val="1"/>
    <w:next w:val="1"/>
    <w:link w:val="232"/>
    <w:qFormat/>
    <w:uiPriority w:val="11"/>
    <w:pPr>
      <w:spacing w:before="240" w:after="60" w:line="312" w:lineRule="auto"/>
      <w:jc w:val="center"/>
      <w:outlineLvl w:val="1"/>
    </w:pPr>
    <w:rPr>
      <w:rFonts w:ascii="Cambria" w:hAnsi="Cambria"/>
      <w:b/>
      <w:bCs/>
      <w:kern w:val="28"/>
      <w:sz w:val="32"/>
      <w:szCs w:val="32"/>
    </w:rPr>
  </w:style>
  <w:style w:type="paragraph" w:styleId="62">
    <w:name w:val="List Number 5"/>
    <w:basedOn w:val="1"/>
    <w:semiHidden/>
    <w:qFormat/>
    <w:uiPriority w:val="0"/>
    <w:pPr>
      <w:tabs>
        <w:tab w:val="left" w:pos="2040"/>
      </w:tabs>
      <w:ind w:left="2040" w:hanging="360"/>
    </w:pPr>
    <w:rPr>
      <w:rFonts w:ascii="Times New Roman" w:hAnsi="Times New Roman"/>
      <w:szCs w:val="24"/>
    </w:rPr>
  </w:style>
  <w:style w:type="paragraph" w:styleId="63">
    <w:name w:val="List"/>
    <w:basedOn w:val="1"/>
    <w:semiHidden/>
    <w:qFormat/>
    <w:uiPriority w:val="0"/>
    <w:pPr>
      <w:ind w:left="200" w:hanging="200" w:hangingChars="200"/>
    </w:pPr>
    <w:rPr>
      <w:rFonts w:ascii="Times New Roman" w:hAnsi="Times New Roman"/>
      <w:szCs w:val="24"/>
    </w:rPr>
  </w:style>
  <w:style w:type="paragraph" w:styleId="64">
    <w:name w:val="footnote text"/>
    <w:basedOn w:val="1"/>
    <w:link w:val="199"/>
    <w:semiHidden/>
    <w:qFormat/>
    <w:uiPriority w:val="0"/>
    <w:pPr>
      <w:snapToGrid w:val="0"/>
      <w:jc w:val="left"/>
    </w:pPr>
    <w:rPr>
      <w:rFonts w:ascii="Times New Roman" w:hAnsi="Times New Roman"/>
      <w:sz w:val="18"/>
      <w:szCs w:val="20"/>
    </w:rPr>
  </w:style>
  <w:style w:type="paragraph" w:styleId="65">
    <w:name w:val="toc 6"/>
    <w:basedOn w:val="1"/>
    <w:next w:val="1"/>
    <w:unhideWhenUsed/>
    <w:qFormat/>
    <w:uiPriority w:val="0"/>
    <w:pPr>
      <w:ind w:left="2100" w:leftChars="1000"/>
    </w:pPr>
  </w:style>
  <w:style w:type="paragraph" w:styleId="66">
    <w:name w:val="List 5"/>
    <w:basedOn w:val="1"/>
    <w:semiHidden/>
    <w:qFormat/>
    <w:uiPriority w:val="0"/>
    <w:pPr>
      <w:ind w:left="100" w:leftChars="800" w:hanging="200" w:hangingChars="200"/>
    </w:pPr>
    <w:rPr>
      <w:rFonts w:ascii="Times New Roman" w:hAnsi="Times New Roman"/>
      <w:szCs w:val="24"/>
    </w:rPr>
  </w:style>
  <w:style w:type="paragraph" w:styleId="67">
    <w:name w:val="index 7"/>
    <w:basedOn w:val="1"/>
    <w:next w:val="1"/>
    <w:semiHidden/>
    <w:qFormat/>
    <w:uiPriority w:val="0"/>
    <w:pPr>
      <w:ind w:left="1470" w:hanging="210"/>
      <w:jc w:val="left"/>
    </w:pPr>
    <w:rPr>
      <w:rFonts w:ascii="Times New Roman" w:hAnsi="Times New Roman"/>
      <w:sz w:val="20"/>
      <w:szCs w:val="20"/>
    </w:rPr>
  </w:style>
  <w:style w:type="paragraph" w:styleId="68">
    <w:name w:val="index 9"/>
    <w:basedOn w:val="1"/>
    <w:next w:val="1"/>
    <w:semiHidden/>
    <w:qFormat/>
    <w:uiPriority w:val="0"/>
    <w:pPr>
      <w:ind w:left="1890" w:hanging="210"/>
      <w:jc w:val="left"/>
    </w:pPr>
    <w:rPr>
      <w:rFonts w:ascii="Times New Roman" w:hAnsi="Times New Roman"/>
      <w:sz w:val="20"/>
      <w:szCs w:val="20"/>
    </w:rPr>
  </w:style>
  <w:style w:type="paragraph" w:styleId="69">
    <w:name w:val="table of figures"/>
    <w:basedOn w:val="1"/>
    <w:next w:val="1"/>
    <w:semiHidden/>
    <w:qFormat/>
    <w:uiPriority w:val="0"/>
    <w:pPr>
      <w:ind w:left="200" w:leftChars="200" w:hanging="200" w:hangingChars="200"/>
    </w:pPr>
    <w:rPr>
      <w:rFonts w:ascii="Times New Roman" w:hAnsi="Times New Roman"/>
      <w:sz w:val="24"/>
      <w:szCs w:val="24"/>
    </w:rPr>
  </w:style>
  <w:style w:type="paragraph" w:styleId="70">
    <w:name w:val="toc 2"/>
    <w:basedOn w:val="1"/>
    <w:next w:val="1"/>
    <w:unhideWhenUsed/>
    <w:qFormat/>
    <w:uiPriority w:val="39"/>
  </w:style>
  <w:style w:type="paragraph" w:styleId="71">
    <w:name w:val="toc 9"/>
    <w:basedOn w:val="1"/>
    <w:next w:val="1"/>
    <w:unhideWhenUsed/>
    <w:qFormat/>
    <w:uiPriority w:val="0"/>
    <w:pPr>
      <w:ind w:left="3360" w:leftChars="1600"/>
    </w:pPr>
  </w:style>
  <w:style w:type="paragraph" w:styleId="72">
    <w:name w:val="List 4"/>
    <w:basedOn w:val="1"/>
    <w:semiHidden/>
    <w:qFormat/>
    <w:uiPriority w:val="0"/>
    <w:pPr>
      <w:ind w:left="100" w:leftChars="600" w:hanging="200" w:hangingChars="200"/>
    </w:pPr>
    <w:rPr>
      <w:rFonts w:ascii="Times New Roman" w:hAnsi="Times New Roman"/>
      <w:szCs w:val="24"/>
    </w:rPr>
  </w:style>
  <w:style w:type="paragraph" w:styleId="73">
    <w:name w:val="List Continue 2"/>
    <w:basedOn w:val="1"/>
    <w:semiHidden/>
    <w:qFormat/>
    <w:uiPriority w:val="0"/>
    <w:pPr>
      <w:spacing w:after="120"/>
      <w:ind w:left="840" w:leftChars="400"/>
    </w:pPr>
    <w:rPr>
      <w:rFonts w:ascii="Times New Roman" w:hAnsi="Times New Roman"/>
      <w:szCs w:val="24"/>
    </w:rPr>
  </w:style>
  <w:style w:type="paragraph" w:styleId="74">
    <w:name w:val="Message Header"/>
    <w:basedOn w:val="1"/>
    <w:link w:val="200"/>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75">
    <w:name w:val="HTML Preformatted"/>
    <w:basedOn w:val="1"/>
    <w:link w:val="201"/>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7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7">
    <w:name w:val="List Continue 3"/>
    <w:basedOn w:val="1"/>
    <w:semiHidden/>
    <w:qFormat/>
    <w:uiPriority w:val="0"/>
    <w:pPr>
      <w:spacing w:after="120"/>
      <w:ind w:left="1260" w:leftChars="600"/>
    </w:pPr>
    <w:rPr>
      <w:rFonts w:ascii="Times New Roman" w:hAnsi="Times New Roman"/>
      <w:szCs w:val="24"/>
    </w:rPr>
  </w:style>
  <w:style w:type="paragraph" w:styleId="78">
    <w:name w:val="index 2"/>
    <w:basedOn w:val="1"/>
    <w:next w:val="1"/>
    <w:semiHidden/>
    <w:qFormat/>
    <w:uiPriority w:val="0"/>
    <w:pPr>
      <w:ind w:left="420" w:hanging="210"/>
      <w:jc w:val="left"/>
    </w:pPr>
    <w:rPr>
      <w:rFonts w:ascii="Times New Roman" w:hAnsi="Times New Roman"/>
      <w:sz w:val="20"/>
      <w:szCs w:val="20"/>
    </w:rPr>
  </w:style>
  <w:style w:type="paragraph" w:styleId="79">
    <w:name w:val="Title"/>
    <w:basedOn w:val="1"/>
    <w:next w:val="1"/>
    <w:link w:val="231"/>
    <w:qFormat/>
    <w:uiPriority w:val="0"/>
    <w:pPr>
      <w:spacing w:before="240" w:after="60"/>
      <w:jc w:val="center"/>
      <w:outlineLvl w:val="0"/>
    </w:pPr>
    <w:rPr>
      <w:rFonts w:ascii="Cambria" w:hAnsi="Cambria"/>
      <w:b/>
      <w:bCs/>
      <w:sz w:val="32"/>
      <w:szCs w:val="32"/>
    </w:rPr>
  </w:style>
  <w:style w:type="paragraph" w:styleId="80">
    <w:name w:val="annotation subject"/>
    <w:basedOn w:val="26"/>
    <w:next w:val="26"/>
    <w:link w:val="169"/>
    <w:unhideWhenUsed/>
    <w:qFormat/>
    <w:uiPriority w:val="0"/>
    <w:rPr>
      <w:b/>
      <w:bCs/>
    </w:rPr>
  </w:style>
  <w:style w:type="paragraph" w:styleId="81">
    <w:name w:val="Body Text First Indent"/>
    <w:basedOn w:val="32"/>
    <w:link w:val="186"/>
    <w:unhideWhenUsed/>
    <w:qFormat/>
    <w:uiPriority w:val="0"/>
    <w:pPr>
      <w:spacing w:after="120" w:line="240" w:lineRule="auto"/>
      <w:ind w:firstLine="420" w:firstLineChars="100"/>
    </w:pPr>
    <w:rPr>
      <w:rFonts w:ascii="Calibri" w:hAnsi="Calibri"/>
      <w:kern w:val="2"/>
      <w:sz w:val="21"/>
      <w:szCs w:val="22"/>
    </w:rPr>
  </w:style>
  <w:style w:type="paragraph" w:styleId="82">
    <w:name w:val="Body Text First Indent 2"/>
    <w:basedOn w:val="33"/>
    <w:link w:val="158"/>
    <w:unhideWhenUsed/>
    <w:qFormat/>
    <w:uiPriority w:val="99"/>
    <w:pPr>
      <w:ind w:firstLine="420" w:firstLineChars="200"/>
    </w:pPr>
  </w:style>
  <w:style w:type="table" w:styleId="84">
    <w:name w:val="Table Grid"/>
    <w:basedOn w:val="8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85">
    <w:name w:val="Table Theme"/>
    <w:basedOn w:val="83"/>
    <w:semiHidden/>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6">
    <w:name w:val="Table Colorful 1"/>
    <w:basedOn w:val="83"/>
    <w:semiHidden/>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87">
    <w:name w:val="Table Colorful 2"/>
    <w:basedOn w:val="83"/>
    <w:semiHidden/>
    <w:qFormat/>
    <w:uiPriority w:val="0"/>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88">
    <w:name w:val="Table Colorful 3"/>
    <w:basedOn w:val="83"/>
    <w:semiHidden/>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89">
    <w:name w:val="Table Elegant"/>
    <w:basedOn w:val="83"/>
    <w:semiHidden/>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0">
    <w:name w:val="Table Classic 1"/>
    <w:basedOn w:val="83"/>
    <w:semiHidden/>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1">
    <w:name w:val="Table Classic 2"/>
    <w:basedOn w:val="83"/>
    <w:semiHidden/>
    <w:qFormat/>
    <w:uiPriority w:val="0"/>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2">
    <w:name w:val="Table Classic 3"/>
    <w:basedOn w:val="83"/>
    <w:semiHidden/>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3">
    <w:name w:val="Table Classic 4"/>
    <w:basedOn w:val="83"/>
    <w:semiHidden/>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4">
    <w:name w:val="Table Simple 1"/>
    <w:basedOn w:val="83"/>
    <w:semiHidden/>
    <w:qFormat/>
    <w:uiPriority w:val="0"/>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5">
    <w:name w:val="Table Simple 2"/>
    <w:basedOn w:val="83"/>
    <w:semiHidden/>
    <w:qFormat/>
    <w:uiPriority w:val="0"/>
    <w:pPr>
      <w:widowControl w:val="0"/>
      <w:jc w:val="both"/>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6">
    <w:name w:val="Table Simple 3"/>
    <w:basedOn w:val="8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97">
    <w:name w:val="Table Subtle 1"/>
    <w:basedOn w:val="83"/>
    <w:semiHidden/>
    <w:qFormat/>
    <w:uiPriority w:val="0"/>
    <w:pPr>
      <w:widowControl w:val="0"/>
      <w:jc w:val="both"/>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8">
    <w:name w:val="Table Subtle 2"/>
    <w:basedOn w:val="83"/>
    <w:semiHidden/>
    <w:qFormat/>
    <w:uiPriority w:val="0"/>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9">
    <w:name w:val="Table 3D effects 1"/>
    <w:basedOn w:val="83"/>
    <w:semiHidden/>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0">
    <w:name w:val="Table 3D effects 2"/>
    <w:basedOn w:val="83"/>
    <w:semiHidden/>
    <w:qFormat/>
    <w:uiPriority w:val="0"/>
    <w:pPr>
      <w:widowControl w:val="0"/>
      <w:jc w:val="both"/>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1">
    <w:name w:val="Table 3D effects 3"/>
    <w:basedOn w:val="83"/>
    <w:semiHidden/>
    <w:qFormat/>
    <w:uiPriority w:val="0"/>
    <w:pPr>
      <w:widowControl w:val="0"/>
      <w:jc w:val="both"/>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2">
    <w:name w:val="Table List 1"/>
    <w:basedOn w:val="83"/>
    <w:semiHidden/>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3">
    <w:name w:val="Table List 2"/>
    <w:basedOn w:val="83"/>
    <w:semiHidden/>
    <w:qFormat/>
    <w:uiPriority w:val="0"/>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4">
    <w:name w:val="Table List 3"/>
    <w:basedOn w:val="83"/>
    <w:semiHidden/>
    <w:qFormat/>
    <w:uiPriority w:val="0"/>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5">
    <w:name w:val="Table List 4"/>
    <w:basedOn w:val="8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6">
    <w:name w:val="Table List 5"/>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07">
    <w:name w:val="Table List 6"/>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08">
    <w:name w:val="Table List 7"/>
    <w:basedOn w:val="83"/>
    <w:semiHidden/>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09">
    <w:name w:val="Table List 8"/>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0">
    <w:name w:val="Table Contemporary"/>
    <w:basedOn w:val="83"/>
    <w:semiHidden/>
    <w:qFormat/>
    <w:uiPriority w:val="0"/>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1">
    <w:name w:val="Table Columns 1"/>
    <w:basedOn w:val="83"/>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2">
    <w:name w:val="Table Columns 2"/>
    <w:basedOn w:val="83"/>
    <w:semiHidden/>
    <w:qFormat/>
    <w:uiPriority w:val="0"/>
    <w:pPr>
      <w:widowControl w:val="0"/>
      <w:jc w:val="both"/>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3">
    <w:name w:val="Table Columns 3"/>
    <w:basedOn w:val="83"/>
    <w:semiHidden/>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4">
    <w:name w:val="Table Columns 4"/>
    <w:basedOn w:val="83"/>
    <w:semiHidden/>
    <w:qFormat/>
    <w:uiPriority w:val="0"/>
    <w:pPr>
      <w:widowControl w:val="0"/>
      <w:jc w:val="both"/>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5">
    <w:name w:val="Table Columns 5"/>
    <w:basedOn w:val="83"/>
    <w:semiHidden/>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6">
    <w:name w:val="Table Grid 1"/>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2"/>
    <w:basedOn w:val="83"/>
    <w:semiHidden/>
    <w:qFormat/>
    <w:uiPriority w:val="0"/>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8">
    <w:name w:val="Table Grid 3"/>
    <w:basedOn w:val="83"/>
    <w:semiHidden/>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4"/>
    <w:basedOn w:val="83"/>
    <w:semiHidden/>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0">
    <w:name w:val="Table Grid 5"/>
    <w:basedOn w:val="8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1">
    <w:name w:val="Table Grid 6"/>
    <w:basedOn w:val="8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7"/>
    <w:basedOn w:val="83"/>
    <w:semiHidden/>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3">
    <w:name w:val="Table Grid 8"/>
    <w:basedOn w:val="83"/>
    <w:semiHidden/>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4">
    <w:name w:val="Table Web 1"/>
    <w:basedOn w:val="83"/>
    <w:semiHidden/>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5">
    <w:name w:val="Table Web 2"/>
    <w:basedOn w:val="83"/>
    <w:semiHidden/>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6">
    <w:name w:val="Table Web 3"/>
    <w:basedOn w:val="83"/>
    <w:semiHidden/>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7">
    <w:name w:val="Table Professional"/>
    <w:basedOn w:val="8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character" w:styleId="129">
    <w:name w:val="Strong"/>
    <w:basedOn w:val="128"/>
    <w:qFormat/>
    <w:uiPriority w:val="22"/>
    <w:rPr>
      <w:b/>
    </w:rPr>
  </w:style>
  <w:style w:type="character" w:styleId="130">
    <w:name w:val="endnote reference"/>
    <w:semiHidden/>
    <w:qFormat/>
    <w:uiPriority w:val="0"/>
    <w:rPr>
      <w:vertAlign w:val="superscript"/>
    </w:rPr>
  </w:style>
  <w:style w:type="character" w:styleId="131">
    <w:name w:val="page number"/>
    <w:basedOn w:val="128"/>
    <w:unhideWhenUsed/>
    <w:qFormat/>
    <w:uiPriority w:val="0"/>
  </w:style>
  <w:style w:type="character" w:styleId="132">
    <w:name w:val="FollowedHyperlink"/>
    <w:qFormat/>
    <w:uiPriority w:val="99"/>
    <w:rPr>
      <w:color w:val="800080"/>
      <w:u w:val="single"/>
    </w:rPr>
  </w:style>
  <w:style w:type="character" w:styleId="133">
    <w:name w:val="Emphasis"/>
    <w:basedOn w:val="128"/>
    <w:qFormat/>
    <w:uiPriority w:val="20"/>
  </w:style>
  <w:style w:type="character" w:styleId="134">
    <w:name w:val="line number"/>
    <w:basedOn w:val="128"/>
    <w:semiHidden/>
    <w:qFormat/>
    <w:uiPriority w:val="0"/>
  </w:style>
  <w:style w:type="character" w:styleId="135">
    <w:name w:val="HTML Definition"/>
    <w:qFormat/>
    <w:uiPriority w:val="0"/>
    <w:rPr>
      <w:i/>
      <w:iCs/>
    </w:rPr>
  </w:style>
  <w:style w:type="character" w:styleId="136">
    <w:name w:val="HTML Typewriter"/>
    <w:semiHidden/>
    <w:qFormat/>
    <w:uiPriority w:val="0"/>
    <w:rPr>
      <w:rFonts w:ascii="Courier New" w:hAnsi="Courier New" w:cs="Courier New"/>
      <w:sz w:val="20"/>
      <w:szCs w:val="20"/>
    </w:rPr>
  </w:style>
  <w:style w:type="character" w:styleId="137">
    <w:name w:val="HTML Acronym"/>
    <w:basedOn w:val="128"/>
    <w:semiHidden/>
    <w:qFormat/>
    <w:uiPriority w:val="0"/>
  </w:style>
  <w:style w:type="character" w:styleId="138">
    <w:name w:val="HTML Variable"/>
    <w:qFormat/>
    <w:uiPriority w:val="0"/>
    <w:rPr>
      <w:i/>
      <w:iCs/>
    </w:rPr>
  </w:style>
  <w:style w:type="character" w:styleId="139">
    <w:name w:val="Hyperlink"/>
    <w:qFormat/>
    <w:uiPriority w:val="99"/>
    <w:rPr>
      <w:color w:val="0000FF"/>
      <w:u w:val="single"/>
    </w:rPr>
  </w:style>
  <w:style w:type="character" w:styleId="140">
    <w:name w:val="HTML Code"/>
    <w:qFormat/>
    <w:uiPriority w:val="0"/>
    <w:rPr>
      <w:rFonts w:ascii="Courier New" w:hAnsi="Courier New" w:cs="Courier New"/>
      <w:sz w:val="20"/>
      <w:szCs w:val="20"/>
    </w:rPr>
  </w:style>
  <w:style w:type="character" w:styleId="141">
    <w:name w:val="annotation reference"/>
    <w:unhideWhenUsed/>
    <w:qFormat/>
    <w:uiPriority w:val="0"/>
    <w:rPr>
      <w:sz w:val="21"/>
      <w:szCs w:val="21"/>
    </w:rPr>
  </w:style>
  <w:style w:type="character" w:styleId="142">
    <w:name w:val="HTML Cite"/>
    <w:qFormat/>
    <w:uiPriority w:val="0"/>
    <w:rPr>
      <w:i/>
      <w:iCs/>
    </w:rPr>
  </w:style>
  <w:style w:type="character" w:styleId="143">
    <w:name w:val="footnote reference"/>
    <w:semiHidden/>
    <w:qFormat/>
    <w:uiPriority w:val="0"/>
    <w:rPr>
      <w:vertAlign w:val="superscript"/>
    </w:rPr>
  </w:style>
  <w:style w:type="character" w:styleId="144">
    <w:name w:val="HTML Keyboard"/>
    <w:qFormat/>
    <w:uiPriority w:val="0"/>
    <w:rPr>
      <w:rFonts w:ascii="Courier New" w:hAnsi="Courier New" w:cs="Courier New"/>
      <w:sz w:val="20"/>
      <w:szCs w:val="20"/>
    </w:rPr>
  </w:style>
  <w:style w:type="character" w:styleId="145">
    <w:name w:val="HTML Sample"/>
    <w:qFormat/>
    <w:uiPriority w:val="0"/>
    <w:rPr>
      <w:rFonts w:ascii="Courier New" w:hAnsi="Courier New" w:cs="Courier New"/>
    </w:rPr>
  </w:style>
  <w:style w:type="character" w:customStyle="1" w:styleId="146">
    <w:name w:val="标题 1 Char"/>
    <w:link w:val="4"/>
    <w:qFormat/>
    <w:uiPriority w:val="0"/>
    <w:rPr>
      <w:b/>
      <w:bCs/>
      <w:kern w:val="44"/>
      <w:sz w:val="44"/>
      <w:szCs w:val="44"/>
    </w:rPr>
  </w:style>
  <w:style w:type="character" w:customStyle="1" w:styleId="147">
    <w:name w:val="标题 2 Char"/>
    <w:link w:val="5"/>
    <w:qFormat/>
    <w:uiPriority w:val="0"/>
    <w:rPr>
      <w:rFonts w:ascii="Cambria" w:hAnsi="Cambria" w:eastAsia="宋体"/>
      <w:b/>
      <w:bCs/>
      <w:kern w:val="2"/>
      <w:sz w:val="32"/>
      <w:szCs w:val="32"/>
      <w:lang w:val="en-US" w:eastAsia="zh-CN" w:bidi="ar-SA"/>
    </w:rPr>
  </w:style>
  <w:style w:type="character" w:customStyle="1" w:styleId="148">
    <w:name w:val="标题 3 Char"/>
    <w:link w:val="6"/>
    <w:qFormat/>
    <w:uiPriority w:val="0"/>
    <w:rPr>
      <w:rFonts w:ascii="Calibri" w:hAnsi="Calibri" w:eastAsia="宋体"/>
      <w:b/>
      <w:bCs/>
      <w:kern w:val="2"/>
      <w:sz w:val="32"/>
      <w:szCs w:val="32"/>
      <w:lang w:val="en-US" w:eastAsia="zh-CN" w:bidi="ar-SA"/>
    </w:rPr>
  </w:style>
  <w:style w:type="character" w:customStyle="1" w:styleId="149">
    <w:name w:val="标题 4 Char"/>
    <w:link w:val="7"/>
    <w:qFormat/>
    <w:uiPriority w:val="0"/>
    <w:rPr>
      <w:rFonts w:ascii="宋体" w:hAnsi="宋体" w:eastAsia="宋体" w:cs="宋体"/>
      <w:b/>
      <w:bCs/>
      <w:sz w:val="24"/>
      <w:szCs w:val="24"/>
      <w:lang w:val="en-US" w:eastAsia="zh-CN" w:bidi="ar-SA"/>
    </w:rPr>
  </w:style>
  <w:style w:type="character" w:customStyle="1" w:styleId="150">
    <w:name w:val="标题 5 Char"/>
    <w:basedOn w:val="128"/>
    <w:link w:val="8"/>
    <w:qFormat/>
    <w:uiPriority w:val="0"/>
    <w:rPr>
      <w:rFonts w:ascii="Times New Roman" w:hAnsi="Times New Roman"/>
    </w:rPr>
  </w:style>
  <w:style w:type="character" w:customStyle="1" w:styleId="151">
    <w:name w:val="标题 6 Char"/>
    <w:basedOn w:val="128"/>
    <w:link w:val="9"/>
    <w:qFormat/>
    <w:uiPriority w:val="0"/>
    <w:rPr>
      <w:rFonts w:ascii="Times New Roman" w:hAnsi="Times New Roman"/>
    </w:rPr>
  </w:style>
  <w:style w:type="character" w:customStyle="1" w:styleId="152">
    <w:name w:val="标题 7 Char"/>
    <w:link w:val="10"/>
    <w:qFormat/>
    <w:uiPriority w:val="0"/>
    <w:rPr>
      <w:rFonts w:ascii="Calibri" w:hAnsi="Calibri" w:eastAsia="宋体"/>
      <w:b/>
      <w:bCs/>
      <w:kern w:val="2"/>
      <w:sz w:val="24"/>
      <w:szCs w:val="24"/>
      <w:lang w:val="en-US" w:eastAsia="zh-CN" w:bidi="ar-SA"/>
    </w:rPr>
  </w:style>
  <w:style w:type="character" w:customStyle="1" w:styleId="153">
    <w:name w:val="标题 8 Char"/>
    <w:basedOn w:val="128"/>
    <w:link w:val="11"/>
    <w:qFormat/>
    <w:uiPriority w:val="0"/>
    <w:rPr>
      <w:rFonts w:ascii="Times New Roman" w:hAnsi="Times New Roman"/>
    </w:rPr>
  </w:style>
  <w:style w:type="character" w:customStyle="1" w:styleId="154">
    <w:name w:val="标题 9 Char"/>
    <w:basedOn w:val="128"/>
    <w:link w:val="12"/>
    <w:qFormat/>
    <w:uiPriority w:val="0"/>
    <w:rPr>
      <w:rFonts w:ascii="Times New Roman" w:hAnsi="Times New Roman"/>
    </w:rPr>
  </w:style>
  <w:style w:type="character" w:customStyle="1" w:styleId="155">
    <w:name w:val="页眉 Char"/>
    <w:link w:val="54"/>
    <w:qFormat/>
    <w:uiPriority w:val="99"/>
    <w:rPr>
      <w:sz w:val="18"/>
      <w:szCs w:val="18"/>
    </w:rPr>
  </w:style>
  <w:style w:type="character" w:styleId="156">
    <w:name w:val="Placeholder Text"/>
    <w:semiHidden/>
    <w:qFormat/>
    <w:uiPriority w:val="99"/>
    <w:rPr>
      <w:color w:val="808080"/>
    </w:rPr>
  </w:style>
  <w:style w:type="character" w:customStyle="1" w:styleId="157">
    <w:name w:val="标题1"/>
    <w:basedOn w:val="128"/>
    <w:qFormat/>
    <w:uiPriority w:val="0"/>
  </w:style>
  <w:style w:type="character" w:customStyle="1" w:styleId="158">
    <w:name w:val="正文首行缩进 2 Char"/>
    <w:basedOn w:val="159"/>
    <w:link w:val="82"/>
    <w:qFormat/>
    <w:uiPriority w:val="0"/>
  </w:style>
  <w:style w:type="character" w:customStyle="1" w:styleId="159">
    <w:name w:val="正文文本缩进 Char"/>
    <w:basedOn w:val="128"/>
    <w:link w:val="33"/>
    <w:semiHidden/>
    <w:qFormat/>
    <w:uiPriority w:val="99"/>
  </w:style>
  <w:style w:type="character" w:customStyle="1" w:styleId="160">
    <w:name w:val="批注文字 Char"/>
    <w:link w:val="26"/>
    <w:qFormat/>
    <w:uiPriority w:val="0"/>
    <w:rPr>
      <w:kern w:val="2"/>
      <w:sz w:val="21"/>
      <w:szCs w:val="22"/>
    </w:rPr>
  </w:style>
  <w:style w:type="character" w:customStyle="1" w:styleId="161">
    <w:name w:val="正文文本 Char"/>
    <w:link w:val="32"/>
    <w:qFormat/>
    <w:uiPriority w:val="99"/>
    <w:rPr>
      <w:rFonts w:ascii="宋体" w:hAnsi="宋体" w:eastAsia="宋体" w:cs="Times New Roman"/>
      <w:sz w:val="24"/>
      <w:szCs w:val="24"/>
    </w:rPr>
  </w:style>
  <w:style w:type="character" w:customStyle="1" w:styleId="162">
    <w:name w:val="页脚 Char"/>
    <w:link w:val="52"/>
    <w:qFormat/>
    <w:uiPriority w:val="99"/>
    <w:rPr>
      <w:sz w:val="18"/>
      <w:szCs w:val="18"/>
    </w:rPr>
  </w:style>
  <w:style w:type="character" w:customStyle="1" w:styleId="163">
    <w:name w:val="批注框文本 Char"/>
    <w:link w:val="51"/>
    <w:semiHidden/>
    <w:qFormat/>
    <w:uiPriority w:val="0"/>
    <w:rPr>
      <w:sz w:val="18"/>
      <w:szCs w:val="18"/>
    </w:rPr>
  </w:style>
  <w:style w:type="character" w:customStyle="1" w:styleId="164">
    <w:name w:val="纯文本 Char"/>
    <w:link w:val="2"/>
    <w:qFormat/>
    <w:uiPriority w:val="0"/>
    <w:rPr>
      <w:rFonts w:ascii="宋体" w:hAnsi="Courier New"/>
      <w:kern w:val="2"/>
      <w:sz w:val="21"/>
      <w:szCs w:val="21"/>
    </w:rPr>
  </w:style>
  <w:style w:type="character" w:customStyle="1" w:styleId="165">
    <w:name w:val="标题3 Char"/>
    <w:link w:val="166"/>
    <w:qFormat/>
    <w:uiPriority w:val="0"/>
    <w:rPr>
      <w:rFonts w:ascii="宋体" w:hAnsi="宋体"/>
      <w:color w:val="000000"/>
      <w:sz w:val="24"/>
    </w:rPr>
  </w:style>
  <w:style w:type="paragraph" w:customStyle="1" w:styleId="166">
    <w:name w:val="标题3"/>
    <w:basedOn w:val="6"/>
    <w:link w:val="165"/>
    <w:qFormat/>
    <w:uiPriority w:val="0"/>
    <w:pPr>
      <w:spacing w:line="360" w:lineRule="auto"/>
      <w:ind w:firstLine="472" w:firstLineChars="196"/>
    </w:pPr>
    <w:rPr>
      <w:rFonts w:ascii="宋体" w:hAnsi="宋体"/>
      <w:b w:val="0"/>
      <w:bCs w:val="0"/>
      <w:color w:val="000000"/>
      <w:kern w:val="0"/>
      <w:sz w:val="24"/>
      <w:szCs w:val="20"/>
    </w:rPr>
  </w:style>
  <w:style w:type="character" w:customStyle="1" w:styleId="167">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168">
    <w:name w:val="文档结构图 Char"/>
    <w:link w:val="24"/>
    <w:qFormat/>
    <w:uiPriority w:val="0"/>
    <w:rPr>
      <w:rFonts w:ascii="宋体"/>
      <w:kern w:val="2"/>
      <w:sz w:val="18"/>
      <w:szCs w:val="18"/>
    </w:rPr>
  </w:style>
  <w:style w:type="character" w:customStyle="1" w:styleId="169">
    <w:name w:val="批注主题 Char"/>
    <w:link w:val="80"/>
    <w:qFormat/>
    <w:uiPriority w:val="0"/>
    <w:rPr>
      <w:b/>
      <w:bCs/>
      <w:kern w:val="2"/>
      <w:sz w:val="21"/>
      <w:szCs w:val="22"/>
    </w:rPr>
  </w:style>
  <w:style w:type="paragraph" w:customStyle="1" w:styleId="170">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171">
    <w:name w:val="List Paragraph"/>
    <w:basedOn w:val="1"/>
    <w:qFormat/>
    <w:uiPriority w:val="34"/>
    <w:pPr>
      <w:ind w:firstLine="420" w:firstLineChars="200"/>
    </w:pPr>
  </w:style>
  <w:style w:type="paragraph" w:customStyle="1" w:styleId="172">
    <w:name w:val="TOC 标题1"/>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73">
    <w:name w:val="p3"/>
    <w:basedOn w:val="1"/>
    <w:qFormat/>
    <w:uiPriority w:val="0"/>
    <w:pPr>
      <w:spacing w:line="30" w:lineRule="atLeast"/>
      <w:jc w:val="center"/>
    </w:pPr>
    <w:rPr>
      <w:rFonts w:hint="eastAsia" w:ascii="宋体" w:hAnsi="宋体" w:cs="宋体"/>
      <w:kern w:val="0"/>
      <w:sz w:val="36"/>
      <w:szCs w:val="36"/>
    </w:rPr>
  </w:style>
  <w:style w:type="paragraph" w:customStyle="1" w:styleId="174">
    <w:name w:val="Report 1.1.1"/>
    <w:basedOn w:val="175"/>
    <w:qFormat/>
    <w:uiPriority w:val="0"/>
    <w:pPr>
      <w:tabs>
        <w:tab w:val="left" w:pos="720"/>
      </w:tabs>
    </w:pPr>
    <w:rPr>
      <w:rFonts w:hAnsi="华文细黑" w:eastAsia="华文细黑" w:cs="Arial"/>
      <w:lang w:eastAsia="zh-CN"/>
    </w:rPr>
  </w:style>
  <w:style w:type="paragraph" w:customStyle="1" w:styleId="175">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76">
    <w:name w:val="Char Char Char1 Char"/>
    <w:basedOn w:val="54"/>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77">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78">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79">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80">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81">
    <w:name w:val="样式3"/>
    <w:basedOn w:val="32"/>
    <w:qFormat/>
    <w:uiPriority w:val="0"/>
    <w:pPr>
      <w:spacing w:after="120"/>
    </w:pPr>
    <w:rPr>
      <w:rFonts w:hAnsi="Times New Roman"/>
      <w:sz w:val="21"/>
    </w:rPr>
  </w:style>
  <w:style w:type="paragraph" w:customStyle="1" w:styleId="182">
    <w:name w:val="DTZ Heading 2"/>
    <w:basedOn w:val="179"/>
    <w:next w:val="1"/>
    <w:qFormat/>
    <w:uiPriority w:val="0"/>
    <w:pPr>
      <w:numPr>
        <w:ilvl w:val="1"/>
      </w:numPr>
      <w:spacing w:after="0" w:line="340" w:lineRule="exact"/>
    </w:pPr>
    <w:rPr>
      <w:sz w:val="28"/>
    </w:rPr>
  </w:style>
  <w:style w:type="paragraph" w:customStyle="1" w:styleId="183">
    <w:name w:val="保留正文"/>
    <w:basedOn w:val="32"/>
    <w:qFormat/>
    <w:uiPriority w:val="0"/>
    <w:pPr>
      <w:keepNext/>
      <w:spacing w:after="160" w:line="240" w:lineRule="auto"/>
    </w:pPr>
    <w:rPr>
      <w:rFonts w:ascii="Times New Roman" w:hAnsi="Times New Roman"/>
      <w:sz w:val="21"/>
    </w:rPr>
  </w:style>
  <w:style w:type="paragraph" w:customStyle="1" w:styleId="184">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85">
    <w:name w:val="一、"/>
    <w:basedOn w:val="1"/>
    <w:qFormat/>
    <w:uiPriority w:val="0"/>
    <w:pPr>
      <w:tabs>
        <w:tab w:val="left" w:pos="720"/>
      </w:tabs>
      <w:spacing w:line="740" w:lineRule="exact"/>
    </w:pPr>
    <w:rPr>
      <w:sz w:val="28"/>
      <w:szCs w:val="24"/>
    </w:rPr>
  </w:style>
  <w:style w:type="character" w:customStyle="1" w:styleId="186">
    <w:name w:val="正文首行缩进 Char"/>
    <w:basedOn w:val="161"/>
    <w:link w:val="81"/>
    <w:semiHidden/>
    <w:qFormat/>
    <w:uiPriority w:val="0"/>
    <w:rPr>
      <w:rFonts w:ascii="宋体" w:hAnsi="宋体" w:eastAsia="宋体" w:cs="Times New Roman"/>
      <w:kern w:val="2"/>
      <w:sz w:val="21"/>
      <w:szCs w:val="22"/>
    </w:rPr>
  </w:style>
  <w:style w:type="paragraph" w:customStyle="1" w:styleId="187">
    <w:name w:val="_Style 2"/>
    <w:basedOn w:val="1"/>
    <w:qFormat/>
    <w:uiPriority w:val="99"/>
    <w:pPr>
      <w:ind w:firstLine="420" w:firstLineChars="200"/>
    </w:pPr>
  </w:style>
  <w:style w:type="paragraph" w:customStyle="1" w:styleId="188">
    <w:name w:val="UserStyle_0"/>
    <w:basedOn w:val="1"/>
    <w:qFormat/>
    <w:uiPriority w:val="0"/>
    <w:pPr>
      <w:spacing w:before="15"/>
      <w:ind w:left="120"/>
    </w:pPr>
    <w:rPr>
      <w:rFonts w:ascii="Arial Unicode MS" w:hAnsi="Arial Unicode MS" w:eastAsia="Arial Unicode MS"/>
      <w:sz w:val="32"/>
      <w:szCs w:val="32"/>
    </w:rPr>
  </w:style>
  <w:style w:type="character" w:customStyle="1" w:styleId="189">
    <w:name w:val="注释标题 Char"/>
    <w:basedOn w:val="128"/>
    <w:link w:val="16"/>
    <w:semiHidden/>
    <w:qFormat/>
    <w:uiPriority w:val="0"/>
    <w:rPr>
      <w:rFonts w:ascii="Times New Roman" w:hAnsi="Times New Roman"/>
      <w:kern w:val="2"/>
      <w:sz w:val="21"/>
      <w:szCs w:val="24"/>
    </w:rPr>
  </w:style>
  <w:style w:type="character" w:customStyle="1" w:styleId="190">
    <w:name w:val="电子邮件签名 Char"/>
    <w:basedOn w:val="128"/>
    <w:link w:val="18"/>
    <w:semiHidden/>
    <w:qFormat/>
    <w:uiPriority w:val="0"/>
    <w:rPr>
      <w:rFonts w:ascii="Times New Roman" w:hAnsi="Times New Roman"/>
      <w:kern w:val="2"/>
      <w:sz w:val="21"/>
      <w:szCs w:val="24"/>
    </w:rPr>
  </w:style>
  <w:style w:type="character" w:customStyle="1" w:styleId="191">
    <w:name w:val="称呼 Char"/>
    <w:basedOn w:val="128"/>
    <w:link w:val="28"/>
    <w:semiHidden/>
    <w:qFormat/>
    <w:uiPriority w:val="0"/>
    <w:rPr>
      <w:rFonts w:ascii="Times New Roman" w:hAnsi="Times New Roman"/>
      <w:kern w:val="2"/>
      <w:sz w:val="21"/>
      <w:szCs w:val="24"/>
    </w:rPr>
  </w:style>
  <w:style w:type="character" w:customStyle="1" w:styleId="192">
    <w:name w:val="正文文本 3 Char"/>
    <w:basedOn w:val="128"/>
    <w:link w:val="29"/>
    <w:semiHidden/>
    <w:qFormat/>
    <w:uiPriority w:val="0"/>
    <w:rPr>
      <w:rFonts w:ascii="Times New Roman" w:hAnsi="Times New Roman"/>
      <w:kern w:val="2"/>
      <w:sz w:val="16"/>
      <w:szCs w:val="16"/>
    </w:rPr>
  </w:style>
  <w:style w:type="character" w:customStyle="1" w:styleId="193">
    <w:name w:val="结束语 Char"/>
    <w:basedOn w:val="128"/>
    <w:link w:val="30"/>
    <w:semiHidden/>
    <w:qFormat/>
    <w:uiPriority w:val="0"/>
    <w:rPr>
      <w:rFonts w:ascii="Times New Roman" w:hAnsi="Times New Roman"/>
      <w:kern w:val="2"/>
      <w:sz w:val="21"/>
      <w:szCs w:val="24"/>
    </w:rPr>
  </w:style>
  <w:style w:type="character" w:customStyle="1" w:styleId="194">
    <w:name w:val="HTML 地址 Char"/>
    <w:basedOn w:val="128"/>
    <w:link w:val="39"/>
    <w:semiHidden/>
    <w:qFormat/>
    <w:uiPriority w:val="0"/>
    <w:rPr>
      <w:rFonts w:ascii="Times New Roman" w:hAnsi="Times New Roman"/>
      <w:i/>
      <w:iCs/>
      <w:kern w:val="2"/>
      <w:sz w:val="21"/>
      <w:szCs w:val="24"/>
    </w:rPr>
  </w:style>
  <w:style w:type="character" w:customStyle="1" w:styleId="195">
    <w:name w:val="日期 Char"/>
    <w:basedOn w:val="128"/>
    <w:link w:val="47"/>
    <w:qFormat/>
    <w:uiPriority w:val="0"/>
    <w:rPr>
      <w:rFonts w:ascii="Times New Roman" w:hAnsi="Times New Roman"/>
      <w:kern w:val="2"/>
      <w:sz w:val="21"/>
    </w:rPr>
  </w:style>
  <w:style w:type="character" w:customStyle="1" w:styleId="196">
    <w:name w:val="正文文本缩进 2 Char"/>
    <w:basedOn w:val="128"/>
    <w:link w:val="48"/>
    <w:semiHidden/>
    <w:qFormat/>
    <w:uiPriority w:val="0"/>
    <w:rPr>
      <w:rFonts w:ascii="Times New Roman" w:hAnsi="Times New Roman"/>
      <w:kern w:val="2"/>
      <w:sz w:val="21"/>
      <w:szCs w:val="24"/>
    </w:rPr>
  </w:style>
  <w:style w:type="character" w:customStyle="1" w:styleId="197">
    <w:name w:val="尾注文本 Char"/>
    <w:basedOn w:val="128"/>
    <w:link w:val="49"/>
    <w:semiHidden/>
    <w:qFormat/>
    <w:uiPriority w:val="0"/>
    <w:rPr>
      <w:rFonts w:ascii="Times New Roman" w:hAnsi="Times New Roman"/>
      <w:kern w:val="2"/>
      <w:sz w:val="21"/>
      <w:szCs w:val="24"/>
    </w:rPr>
  </w:style>
  <w:style w:type="character" w:customStyle="1" w:styleId="198">
    <w:name w:val="签名 Char"/>
    <w:basedOn w:val="128"/>
    <w:link w:val="55"/>
    <w:semiHidden/>
    <w:qFormat/>
    <w:uiPriority w:val="0"/>
    <w:rPr>
      <w:rFonts w:ascii="Times New Roman" w:hAnsi="Times New Roman"/>
      <w:kern w:val="2"/>
      <w:sz w:val="21"/>
      <w:szCs w:val="24"/>
    </w:rPr>
  </w:style>
  <w:style w:type="character" w:customStyle="1" w:styleId="199">
    <w:name w:val="脚注文本 Char"/>
    <w:basedOn w:val="128"/>
    <w:link w:val="64"/>
    <w:semiHidden/>
    <w:qFormat/>
    <w:uiPriority w:val="0"/>
    <w:rPr>
      <w:rFonts w:ascii="Times New Roman" w:hAnsi="Times New Roman"/>
      <w:kern w:val="2"/>
      <w:sz w:val="18"/>
    </w:rPr>
  </w:style>
  <w:style w:type="character" w:customStyle="1" w:styleId="200">
    <w:name w:val="信息标题 Char"/>
    <w:basedOn w:val="128"/>
    <w:link w:val="74"/>
    <w:semiHidden/>
    <w:qFormat/>
    <w:uiPriority w:val="0"/>
    <w:rPr>
      <w:rFonts w:ascii="Arial" w:hAnsi="Arial" w:cs="Arial"/>
      <w:kern w:val="2"/>
      <w:sz w:val="24"/>
      <w:szCs w:val="24"/>
      <w:shd w:val="pct20" w:color="auto" w:fill="auto"/>
    </w:rPr>
  </w:style>
  <w:style w:type="character" w:customStyle="1" w:styleId="201">
    <w:name w:val="HTML 预设格式 Char"/>
    <w:basedOn w:val="128"/>
    <w:link w:val="75"/>
    <w:semiHidden/>
    <w:qFormat/>
    <w:uiPriority w:val="0"/>
    <w:rPr>
      <w:rFonts w:ascii="宋体" w:hAnsi="宋体" w:cs="宋体"/>
      <w:color w:val="000000"/>
      <w:sz w:val="24"/>
      <w:szCs w:val="24"/>
    </w:rPr>
  </w:style>
  <w:style w:type="character" w:customStyle="1" w:styleId="202">
    <w:name w:val="unnamed211"/>
    <w:semiHidden/>
    <w:qFormat/>
    <w:uiPriority w:val="0"/>
    <w:rPr>
      <w:sz w:val="23"/>
      <w:szCs w:val="23"/>
    </w:rPr>
  </w:style>
  <w:style w:type="character" w:customStyle="1" w:styleId="203">
    <w:name w:val="ss1"/>
    <w:semiHidden/>
    <w:qFormat/>
    <w:uiPriority w:val="0"/>
    <w:rPr>
      <w:rFonts w:hint="default" w:ascii="ˎ̥" w:hAnsi="ˎ̥"/>
      <w:color w:val="000000"/>
      <w:sz w:val="18"/>
      <w:szCs w:val="18"/>
      <w:u w:val="none"/>
    </w:rPr>
  </w:style>
  <w:style w:type="character" w:customStyle="1" w:styleId="204">
    <w:name w:val="f142"/>
    <w:semiHidden/>
    <w:qFormat/>
    <w:uiPriority w:val="0"/>
    <w:rPr>
      <w:sz w:val="21"/>
      <w:szCs w:val="21"/>
    </w:rPr>
  </w:style>
  <w:style w:type="character" w:customStyle="1" w:styleId="205">
    <w:name w:val="f14b1"/>
    <w:semiHidden/>
    <w:qFormat/>
    <w:uiPriority w:val="0"/>
    <w:rPr>
      <w:b/>
      <w:bCs/>
      <w:sz w:val="21"/>
      <w:szCs w:val="21"/>
    </w:rPr>
  </w:style>
  <w:style w:type="character" w:customStyle="1" w:styleId="206">
    <w:name w:val="ca-41"/>
    <w:qFormat/>
    <w:uiPriority w:val="0"/>
    <w:rPr>
      <w:rFonts w:hint="eastAsia" w:ascii="黑体" w:eastAsia="黑体"/>
      <w:b/>
      <w:bCs/>
      <w:spacing w:val="-20"/>
      <w:sz w:val="30"/>
      <w:szCs w:val="30"/>
    </w:rPr>
  </w:style>
  <w:style w:type="character" w:customStyle="1" w:styleId="207">
    <w:name w:val="签名 Char1"/>
    <w:basedOn w:val="128"/>
    <w:semiHidden/>
    <w:qFormat/>
    <w:uiPriority w:val="99"/>
    <w:rPr>
      <w:rFonts w:ascii="Times New Roman" w:hAnsi="Times New Roman" w:eastAsia="宋体" w:cs="Times New Roman"/>
      <w:szCs w:val="20"/>
    </w:rPr>
  </w:style>
  <w:style w:type="character" w:customStyle="1" w:styleId="208">
    <w:name w:val="正文文本缩进 2 Char1"/>
    <w:basedOn w:val="128"/>
    <w:semiHidden/>
    <w:qFormat/>
    <w:uiPriority w:val="99"/>
    <w:rPr>
      <w:rFonts w:ascii="Times New Roman" w:hAnsi="Times New Roman" w:eastAsia="宋体" w:cs="Times New Roman"/>
      <w:szCs w:val="20"/>
    </w:rPr>
  </w:style>
  <w:style w:type="paragraph" w:customStyle="1" w:styleId="209">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10">
    <w:name w:val="纯文本 Char1"/>
    <w:qFormat/>
    <w:uiPriority w:val="0"/>
    <w:rPr>
      <w:rFonts w:ascii="宋体" w:hAnsi="Courier New" w:cs="Courier New"/>
      <w:kern w:val="2"/>
      <w:sz w:val="21"/>
      <w:szCs w:val="21"/>
    </w:rPr>
  </w:style>
  <w:style w:type="character" w:customStyle="1" w:styleId="211">
    <w:name w:val="Char Char23"/>
    <w:semiHidden/>
    <w:qFormat/>
    <w:uiPriority w:val="0"/>
    <w:rPr>
      <w:rFonts w:ascii="Times New Roman" w:hAnsi="Times New Roman" w:eastAsia="宋体" w:cs="Times New Roman"/>
      <w:b/>
      <w:bCs/>
      <w:szCs w:val="24"/>
    </w:rPr>
  </w:style>
  <w:style w:type="paragraph" w:customStyle="1" w:styleId="212">
    <w:name w:val="z-窗体顶端1"/>
    <w:basedOn w:val="1"/>
    <w:next w:val="1"/>
    <w:link w:val="213"/>
    <w:unhideWhenUsed/>
    <w:qFormat/>
    <w:uiPriority w:val="99"/>
    <w:pPr>
      <w:widowControl/>
      <w:pBdr>
        <w:bottom w:val="single" w:color="auto" w:sz="6" w:space="1"/>
      </w:pBdr>
      <w:jc w:val="center"/>
    </w:pPr>
    <w:rPr>
      <w:rFonts w:ascii="Arial" w:hAnsi="Arial"/>
      <w:vanish/>
      <w:kern w:val="0"/>
      <w:sz w:val="16"/>
      <w:szCs w:val="16"/>
    </w:rPr>
  </w:style>
  <w:style w:type="character" w:customStyle="1" w:styleId="213">
    <w:name w:val="z-窗体顶端 Char"/>
    <w:basedOn w:val="128"/>
    <w:link w:val="212"/>
    <w:qFormat/>
    <w:uiPriority w:val="99"/>
    <w:rPr>
      <w:rFonts w:ascii="Arial" w:hAnsi="Arial"/>
      <w:vanish/>
      <w:sz w:val="16"/>
      <w:szCs w:val="16"/>
    </w:rPr>
  </w:style>
  <w:style w:type="paragraph" w:customStyle="1" w:styleId="214">
    <w:name w:val="z-窗体底端1"/>
    <w:basedOn w:val="1"/>
    <w:next w:val="1"/>
    <w:link w:val="215"/>
    <w:unhideWhenUsed/>
    <w:qFormat/>
    <w:uiPriority w:val="99"/>
    <w:pPr>
      <w:widowControl/>
      <w:pBdr>
        <w:top w:val="single" w:color="auto" w:sz="6" w:space="1"/>
      </w:pBdr>
      <w:jc w:val="center"/>
    </w:pPr>
    <w:rPr>
      <w:rFonts w:ascii="Arial" w:hAnsi="Arial"/>
      <w:vanish/>
      <w:kern w:val="0"/>
      <w:sz w:val="16"/>
      <w:szCs w:val="16"/>
    </w:rPr>
  </w:style>
  <w:style w:type="character" w:customStyle="1" w:styleId="215">
    <w:name w:val="z-窗体底端 Char"/>
    <w:basedOn w:val="128"/>
    <w:link w:val="214"/>
    <w:qFormat/>
    <w:uiPriority w:val="99"/>
    <w:rPr>
      <w:rFonts w:ascii="Arial" w:hAnsi="Arial"/>
      <w:vanish/>
      <w:sz w:val="16"/>
      <w:szCs w:val="16"/>
    </w:rPr>
  </w:style>
  <w:style w:type="paragraph" w:customStyle="1" w:styleId="216">
    <w:name w:val="_Style 10"/>
    <w:qFormat/>
    <w:uiPriority w:val="0"/>
    <w:rPr>
      <w:rFonts w:ascii="Calibri" w:hAnsi="Calibri" w:eastAsia="宋体" w:cs="Times New Roman"/>
      <w:kern w:val="2"/>
      <w:sz w:val="21"/>
      <w:szCs w:val="22"/>
      <w:lang w:val="en-US" w:eastAsia="zh-CN" w:bidi="ar-SA"/>
    </w:rPr>
  </w:style>
  <w:style w:type="paragraph" w:customStyle="1" w:styleId="217">
    <w:name w:val="列出段落1"/>
    <w:basedOn w:val="1"/>
    <w:qFormat/>
    <w:uiPriority w:val="0"/>
    <w:pPr>
      <w:ind w:firstLine="420" w:firstLineChars="200"/>
    </w:pPr>
  </w:style>
  <w:style w:type="paragraph" w:customStyle="1" w:styleId="218">
    <w:name w:val="列出段落2"/>
    <w:basedOn w:val="219"/>
    <w:qFormat/>
    <w:uiPriority w:val="34"/>
    <w:pPr>
      <w:ind w:firstLine="420" w:firstLineChars="200"/>
    </w:pPr>
  </w:style>
  <w:style w:type="paragraph" w:customStyle="1" w:styleId="219">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220">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1">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2">
    <w:name w:val="fontstyle21"/>
    <w:basedOn w:val="128"/>
    <w:qFormat/>
    <w:uiPriority w:val="0"/>
    <w:rPr>
      <w:rFonts w:ascii="FZXBSJW--GB1-0" w:hAnsi="FZXBSJW--GB1-0" w:eastAsia="FZXBSJW--GB1-0" w:cs="FZXBSJW--GB1-0"/>
      <w:color w:val="000000"/>
      <w:sz w:val="44"/>
      <w:szCs w:val="44"/>
    </w:rPr>
  </w:style>
  <w:style w:type="character" w:customStyle="1" w:styleId="223">
    <w:name w:val="fontstyle31"/>
    <w:basedOn w:val="128"/>
    <w:qFormat/>
    <w:uiPriority w:val="0"/>
    <w:rPr>
      <w:rFonts w:ascii="仿宋_GB2312" w:hAnsi="仿宋_GB2312" w:eastAsia="仿宋_GB2312" w:cs="仿宋_GB2312"/>
      <w:color w:val="000000"/>
      <w:sz w:val="32"/>
      <w:szCs w:val="32"/>
    </w:rPr>
  </w:style>
  <w:style w:type="paragraph" w:customStyle="1" w:styleId="224">
    <w:name w:val="页脚2"/>
    <w:basedOn w:val="219"/>
    <w:unhideWhenUsed/>
    <w:qFormat/>
    <w:uiPriority w:val="0"/>
    <w:pPr>
      <w:tabs>
        <w:tab w:val="center" w:pos="4153"/>
        <w:tab w:val="right" w:pos="8306"/>
      </w:tabs>
      <w:snapToGrid w:val="0"/>
      <w:jc w:val="left"/>
    </w:pPr>
    <w:rPr>
      <w:sz w:val="18"/>
      <w:szCs w:val="18"/>
    </w:rPr>
  </w:style>
  <w:style w:type="character" w:customStyle="1" w:styleId="225">
    <w:name w:val="纯文本 Char2"/>
    <w:qFormat/>
    <w:uiPriority w:val="0"/>
    <w:rPr>
      <w:rFonts w:ascii="宋体" w:hAnsi="Courier New" w:eastAsia="宋体" w:cs="Courier New"/>
      <w:sz w:val="21"/>
      <w:szCs w:val="21"/>
    </w:rPr>
  </w:style>
  <w:style w:type="character" w:customStyle="1" w:styleId="226">
    <w:name w:val="fontstrikethrough"/>
    <w:basedOn w:val="128"/>
    <w:qFormat/>
    <w:uiPriority w:val="0"/>
    <w:rPr>
      <w:strike/>
    </w:rPr>
  </w:style>
  <w:style w:type="character" w:customStyle="1" w:styleId="227">
    <w:name w:val="副标题 Char"/>
    <w:qFormat/>
    <w:uiPriority w:val="11"/>
    <w:rPr>
      <w:rFonts w:ascii="Cambria" w:hAnsi="Cambria"/>
      <w:b/>
      <w:bCs/>
      <w:kern w:val="28"/>
      <w:sz w:val="32"/>
      <w:szCs w:val="32"/>
    </w:rPr>
  </w:style>
  <w:style w:type="character" w:customStyle="1" w:styleId="228">
    <w:name w:val="fontborder"/>
    <w:basedOn w:val="128"/>
    <w:qFormat/>
    <w:uiPriority w:val="0"/>
    <w:rPr>
      <w:bdr w:val="single" w:color="000000" w:sz="6" w:space="0"/>
    </w:rPr>
  </w:style>
  <w:style w:type="character" w:customStyle="1" w:styleId="229">
    <w:name w:val="标题 Char1"/>
    <w:qFormat/>
    <w:uiPriority w:val="10"/>
    <w:rPr>
      <w:rFonts w:ascii="Cambria" w:hAnsi="Cambria" w:cs="Times New Roman"/>
      <w:b/>
      <w:bCs/>
      <w:kern w:val="2"/>
      <w:sz w:val="32"/>
      <w:szCs w:val="32"/>
    </w:rPr>
  </w:style>
  <w:style w:type="character" w:customStyle="1" w:styleId="230">
    <w:name w:val="标题 Char"/>
    <w:qFormat/>
    <w:uiPriority w:val="0"/>
    <w:rPr>
      <w:rFonts w:ascii="Cambria" w:hAnsi="Cambria"/>
      <w:b/>
      <w:bCs/>
      <w:kern w:val="2"/>
      <w:sz w:val="32"/>
      <w:szCs w:val="32"/>
    </w:rPr>
  </w:style>
  <w:style w:type="character" w:customStyle="1" w:styleId="231">
    <w:name w:val="标题 Char2"/>
    <w:basedOn w:val="128"/>
    <w:link w:val="79"/>
    <w:qFormat/>
    <w:uiPriority w:val="10"/>
    <w:rPr>
      <w:rFonts w:asciiTheme="majorHAnsi" w:hAnsiTheme="majorHAnsi" w:cstheme="majorBidi"/>
      <w:b/>
      <w:bCs/>
      <w:kern w:val="2"/>
      <w:sz w:val="32"/>
      <w:szCs w:val="32"/>
    </w:rPr>
  </w:style>
  <w:style w:type="character" w:customStyle="1" w:styleId="232">
    <w:name w:val="副标题 Char1"/>
    <w:basedOn w:val="128"/>
    <w:link w:val="61"/>
    <w:qFormat/>
    <w:uiPriority w:val="11"/>
    <w:rPr>
      <w:rFonts w:asciiTheme="majorHAnsi" w:hAnsiTheme="majorHAnsi" w:cstheme="majorBidi"/>
      <w:b/>
      <w:bCs/>
      <w:kern w:val="28"/>
      <w:sz w:val="32"/>
      <w:szCs w:val="32"/>
    </w:rPr>
  </w:style>
  <w:style w:type="paragraph" w:customStyle="1" w:styleId="233">
    <w:name w:val="Heading 2_1"/>
    <w:basedOn w:val="220"/>
    <w:next w:val="220"/>
    <w:qFormat/>
    <w:uiPriority w:val="0"/>
    <w:pPr>
      <w:spacing w:before="360" w:after="120" w:line="360" w:lineRule="auto"/>
      <w:outlineLvl w:val="1"/>
    </w:pPr>
    <w:rPr>
      <w:rFonts w:ascii="Cambria" w:hAnsi="Cambria" w:eastAsia="黑体"/>
      <w:b/>
      <w:bCs/>
      <w:sz w:val="32"/>
      <w:szCs w:val="32"/>
    </w:rPr>
  </w:style>
  <w:style w:type="paragraph" w:customStyle="1" w:styleId="234">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5">
    <w:name w:val="常用（宋体，5号，1.25行距）"/>
    <w:basedOn w:val="1"/>
    <w:qFormat/>
    <w:uiPriority w:val="0"/>
    <w:pPr>
      <w:widowControl/>
      <w:spacing w:line="300" w:lineRule="auto"/>
      <w:jc w:val="left"/>
    </w:pPr>
    <w:rPr>
      <w:kern w:val="0"/>
      <w:sz w:val="24"/>
      <w:szCs w:val="21"/>
      <w:lang w:eastAsia="en-US" w:bidi="en-US"/>
    </w:rPr>
  </w:style>
  <w:style w:type="paragraph" w:customStyle="1" w:styleId="236">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7">
    <w:name w:val="Plain Text_0"/>
    <w:basedOn w:val="234"/>
    <w:qFormat/>
    <w:uiPriority w:val="0"/>
    <w:rPr>
      <w:rFonts w:ascii="宋体" w:hAnsi="Courier New" w:cs="Courier New"/>
      <w:szCs w:val="21"/>
    </w:rPr>
  </w:style>
  <w:style w:type="character" w:customStyle="1" w:styleId="238">
    <w:name w:val="_Style 1"/>
    <w:qFormat/>
    <w:uiPriority w:val="19"/>
    <w:rPr>
      <w:rFonts w:eastAsia="宋体"/>
      <w:iCs/>
      <w:color w:val="404040"/>
      <w:sz w:val="30"/>
    </w:rPr>
  </w:style>
  <w:style w:type="paragraph" w:customStyle="1" w:styleId="239">
    <w:name w:val="条款标题"/>
    <w:basedOn w:val="5"/>
    <w:qFormat/>
    <w:uiPriority w:val="0"/>
    <w:pPr>
      <w:tabs>
        <w:tab w:val="clear" w:pos="720"/>
      </w:tabs>
      <w:spacing w:before="151" w:beforeLines="50" w:after="151" w:afterLines="50"/>
      <w:ind w:firstLine="422" w:firstLineChars="200"/>
    </w:pPr>
    <w:rPr>
      <w:rFonts w:asciiTheme="minorEastAsia" w:hAnsiTheme="minorEastAsia" w:eastAsiaTheme="minorEastAsia"/>
      <w:bCs w:val="0"/>
      <w:sz w:val="21"/>
      <w:szCs w:val="21"/>
    </w:rPr>
  </w:style>
  <w:style w:type="paragraph" w:customStyle="1" w:styleId="240">
    <w:name w:val="列出段落3"/>
    <w:basedOn w:val="1"/>
    <w:qFormat/>
    <w:uiPriority w:val="34"/>
    <w:pPr>
      <w:ind w:firstLine="420" w:firstLineChars="200"/>
    </w:pPr>
  </w:style>
  <w:style w:type="paragraph" w:customStyle="1" w:styleId="241">
    <w:name w:val="样式1"/>
    <w:basedOn w:val="54"/>
    <w:qFormat/>
    <w:uiPriority w:val="0"/>
    <w:pPr>
      <w:pBdr>
        <w:bottom w:val="thinThickSmallGap" w:color="auto" w:sz="24" w:space="1"/>
      </w:pBdr>
    </w:pPr>
    <w:rPr>
      <w:rFonts w:ascii="黑体" w:hAnsi="Times New Roman" w:eastAsia="黑体"/>
      <w:b/>
      <w:sz w:val="21"/>
      <w:szCs w:val="20"/>
    </w:rPr>
  </w:style>
  <w:style w:type="character" w:customStyle="1" w:styleId="242">
    <w:name w:val="ggwenhao"/>
    <w:basedOn w:val="128"/>
    <w:semiHidden/>
    <w:qFormat/>
    <w:uiPriority w:val="0"/>
  </w:style>
  <w:style w:type="character" w:customStyle="1" w:styleId="243">
    <w:name w:val="注释标题 Char1"/>
    <w:basedOn w:val="128"/>
    <w:semiHidden/>
    <w:qFormat/>
    <w:uiPriority w:val="99"/>
    <w:rPr>
      <w:rFonts w:ascii="Times New Roman" w:hAnsi="Times New Roman" w:eastAsia="宋体" w:cs="Times New Roman"/>
      <w:szCs w:val="20"/>
    </w:rPr>
  </w:style>
  <w:style w:type="character" w:customStyle="1" w:styleId="244">
    <w:name w:val="正文文本 3 Char1"/>
    <w:basedOn w:val="128"/>
    <w:semiHidden/>
    <w:qFormat/>
    <w:uiPriority w:val="99"/>
    <w:rPr>
      <w:rFonts w:ascii="Times New Roman" w:hAnsi="Times New Roman" w:eastAsia="宋体" w:cs="Times New Roman"/>
      <w:sz w:val="16"/>
      <w:szCs w:val="16"/>
    </w:rPr>
  </w:style>
  <w:style w:type="character" w:customStyle="1" w:styleId="245">
    <w:name w:val="批注文字 Char1"/>
    <w:basedOn w:val="128"/>
    <w:semiHidden/>
    <w:qFormat/>
    <w:uiPriority w:val="0"/>
    <w:rPr>
      <w:rFonts w:ascii="Times New Roman" w:hAnsi="Times New Roman" w:eastAsia="宋体" w:cs="Times New Roman"/>
      <w:szCs w:val="20"/>
    </w:rPr>
  </w:style>
  <w:style w:type="character" w:customStyle="1" w:styleId="246">
    <w:name w:val="批注主题 Char1"/>
    <w:basedOn w:val="245"/>
    <w:semiHidden/>
    <w:qFormat/>
    <w:uiPriority w:val="99"/>
    <w:rPr>
      <w:rFonts w:ascii="Times New Roman" w:hAnsi="Times New Roman" w:eastAsia="宋体" w:cs="Times New Roman"/>
      <w:b/>
      <w:bCs/>
      <w:szCs w:val="20"/>
    </w:rPr>
  </w:style>
  <w:style w:type="character" w:customStyle="1" w:styleId="247">
    <w:name w:val="正文首行缩进 Char1"/>
    <w:basedOn w:val="161"/>
    <w:semiHidden/>
    <w:qFormat/>
    <w:uiPriority w:val="99"/>
    <w:rPr>
      <w:rFonts w:ascii="Times New Roman" w:hAnsi="Times New Roman" w:eastAsia="宋体" w:cs="Times New Roman"/>
      <w:sz w:val="24"/>
      <w:szCs w:val="20"/>
    </w:rPr>
  </w:style>
  <w:style w:type="character" w:customStyle="1" w:styleId="248">
    <w:name w:val="结束语 Char1"/>
    <w:basedOn w:val="128"/>
    <w:semiHidden/>
    <w:qFormat/>
    <w:uiPriority w:val="99"/>
    <w:rPr>
      <w:rFonts w:ascii="Times New Roman" w:hAnsi="Times New Roman" w:eastAsia="宋体" w:cs="Times New Roman"/>
      <w:szCs w:val="20"/>
    </w:rPr>
  </w:style>
  <w:style w:type="character" w:customStyle="1" w:styleId="249">
    <w:name w:val="称呼 Char1"/>
    <w:basedOn w:val="128"/>
    <w:semiHidden/>
    <w:qFormat/>
    <w:uiPriority w:val="99"/>
    <w:rPr>
      <w:rFonts w:ascii="Times New Roman" w:hAnsi="Times New Roman" w:eastAsia="宋体" w:cs="Times New Roman"/>
      <w:szCs w:val="20"/>
    </w:rPr>
  </w:style>
  <w:style w:type="character" w:customStyle="1" w:styleId="250">
    <w:name w:val="电子邮件签名 Char1"/>
    <w:basedOn w:val="128"/>
    <w:semiHidden/>
    <w:qFormat/>
    <w:uiPriority w:val="99"/>
    <w:rPr>
      <w:rFonts w:ascii="Times New Roman" w:hAnsi="Times New Roman" w:eastAsia="宋体" w:cs="Times New Roman"/>
      <w:szCs w:val="20"/>
    </w:rPr>
  </w:style>
  <w:style w:type="character" w:customStyle="1" w:styleId="251">
    <w:name w:val="文档结构图 Char1"/>
    <w:basedOn w:val="128"/>
    <w:semiHidden/>
    <w:qFormat/>
    <w:uiPriority w:val="99"/>
    <w:rPr>
      <w:rFonts w:ascii="宋体" w:hAnsi="Times New Roman" w:eastAsia="宋体" w:cs="Times New Roman"/>
      <w:sz w:val="18"/>
      <w:szCs w:val="18"/>
    </w:rPr>
  </w:style>
  <w:style w:type="character" w:customStyle="1" w:styleId="252">
    <w:name w:val="HTML 预设格式 Char1"/>
    <w:basedOn w:val="128"/>
    <w:semiHidden/>
    <w:qFormat/>
    <w:uiPriority w:val="99"/>
    <w:rPr>
      <w:rFonts w:ascii="Courier New" w:hAnsi="Courier New" w:eastAsia="宋体" w:cs="Courier New"/>
      <w:sz w:val="20"/>
      <w:szCs w:val="20"/>
    </w:rPr>
  </w:style>
  <w:style w:type="character" w:customStyle="1" w:styleId="253">
    <w:name w:val="页眉 Char1"/>
    <w:basedOn w:val="128"/>
    <w:semiHidden/>
    <w:qFormat/>
    <w:uiPriority w:val="99"/>
    <w:rPr>
      <w:rFonts w:ascii="Times New Roman" w:hAnsi="Times New Roman" w:eastAsia="宋体" w:cs="Times New Roman"/>
      <w:sz w:val="18"/>
      <w:szCs w:val="18"/>
    </w:rPr>
  </w:style>
  <w:style w:type="character" w:customStyle="1" w:styleId="254">
    <w:name w:val="HTML 地址 Char1"/>
    <w:basedOn w:val="128"/>
    <w:semiHidden/>
    <w:qFormat/>
    <w:uiPriority w:val="99"/>
    <w:rPr>
      <w:rFonts w:ascii="Times New Roman" w:hAnsi="Times New Roman" w:eastAsia="宋体" w:cs="Times New Roman"/>
      <w:i/>
      <w:iCs/>
      <w:szCs w:val="20"/>
    </w:rPr>
  </w:style>
  <w:style w:type="character" w:customStyle="1" w:styleId="255">
    <w:name w:val="正文首行缩进 2 Char1"/>
    <w:basedOn w:val="159"/>
    <w:semiHidden/>
    <w:qFormat/>
    <w:uiPriority w:val="99"/>
    <w:rPr>
      <w:rFonts w:ascii="Times New Roman" w:hAnsi="Times New Roman" w:eastAsia="宋体" w:cs="Times New Roman"/>
      <w:szCs w:val="20"/>
    </w:rPr>
  </w:style>
  <w:style w:type="character" w:customStyle="1" w:styleId="256">
    <w:name w:val="批注框文本 Char1"/>
    <w:basedOn w:val="128"/>
    <w:semiHidden/>
    <w:qFormat/>
    <w:uiPriority w:val="99"/>
    <w:rPr>
      <w:rFonts w:ascii="Times New Roman" w:hAnsi="Times New Roman" w:eastAsia="宋体" w:cs="Times New Roman"/>
      <w:sz w:val="18"/>
      <w:szCs w:val="18"/>
    </w:rPr>
  </w:style>
  <w:style w:type="character" w:customStyle="1" w:styleId="257">
    <w:name w:val="页脚 Char1"/>
    <w:basedOn w:val="128"/>
    <w:semiHidden/>
    <w:qFormat/>
    <w:uiPriority w:val="99"/>
    <w:rPr>
      <w:rFonts w:ascii="Times New Roman" w:hAnsi="Times New Roman" w:eastAsia="宋体" w:cs="Times New Roman"/>
      <w:sz w:val="18"/>
      <w:szCs w:val="18"/>
    </w:rPr>
  </w:style>
  <w:style w:type="character" w:customStyle="1" w:styleId="258">
    <w:name w:val="信息标题 Char1"/>
    <w:basedOn w:val="128"/>
    <w:semiHidden/>
    <w:qFormat/>
    <w:uiPriority w:val="99"/>
    <w:rPr>
      <w:rFonts w:asciiTheme="majorHAnsi" w:hAnsiTheme="majorHAnsi" w:eastAsiaTheme="majorEastAsia" w:cstheme="majorBidi"/>
      <w:sz w:val="24"/>
      <w:szCs w:val="24"/>
      <w:shd w:val="pct20" w:color="auto" w:fill="auto"/>
    </w:rPr>
  </w:style>
  <w:style w:type="paragraph" w:customStyle="1" w:styleId="259">
    <w:name w:val="ggbody"/>
    <w:basedOn w:val="1"/>
    <w:semiHidden/>
    <w:qFormat/>
    <w:uiPriority w:val="0"/>
    <w:pPr>
      <w:widowControl/>
      <w:spacing w:before="100" w:beforeAutospacing="1" w:after="100" w:afterAutospacing="1" w:line="330" w:lineRule="atLeast"/>
      <w:jc w:val="left"/>
    </w:pPr>
    <w:rPr>
      <w:rFonts w:ascii="宋体" w:hAnsi="宋体" w:cs="宋体"/>
      <w:kern w:val="0"/>
      <w:sz w:val="23"/>
      <w:szCs w:val="23"/>
    </w:rPr>
  </w:style>
  <w:style w:type="paragraph" w:customStyle="1" w:styleId="260">
    <w:name w:val="ggtitle"/>
    <w:basedOn w:val="1"/>
    <w:semiHidden/>
    <w:qFormat/>
    <w:uiPriority w:val="0"/>
    <w:pPr>
      <w:widowControl/>
      <w:spacing w:before="100" w:beforeAutospacing="1" w:after="100" w:afterAutospacing="1" w:line="330" w:lineRule="atLeast"/>
      <w:jc w:val="left"/>
    </w:pPr>
    <w:rPr>
      <w:rFonts w:ascii="宋体" w:hAnsi="宋体" w:cs="宋体"/>
      <w:kern w:val="0"/>
      <w:sz w:val="23"/>
      <w:szCs w:val="23"/>
    </w:rPr>
  </w:style>
  <w:style w:type="character" w:customStyle="1" w:styleId="261">
    <w:name w:val="脚注文本 Char1"/>
    <w:basedOn w:val="128"/>
    <w:semiHidden/>
    <w:qFormat/>
    <w:uiPriority w:val="99"/>
    <w:rPr>
      <w:rFonts w:ascii="Times New Roman" w:hAnsi="Times New Roman" w:eastAsia="宋体" w:cs="Times New Roman"/>
      <w:sz w:val="18"/>
      <w:szCs w:val="18"/>
    </w:rPr>
  </w:style>
  <w:style w:type="character" w:customStyle="1" w:styleId="262">
    <w:name w:val="尾注文本 Char1"/>
    <w:basedOn w:val="128"/>
    <w:semiHidden/>
    <w:qFormat/>
    <w:uiPriority w:val="99"/>
    <w:rPr>
      <w:rFonts w:ascii="Times New Roman" w:hAnsi="Times New Roman" w:eastAsia="宋体" w:cs="Times New Roman"/>
      <w:szCs w:val="20"/>
    </w:rPr>
  </w:style>
  <w:style w:type="paragraph" w:customStyle="1" w:styleId="263">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4">
    <w:name w:val="TOC 标题2"/>
    <w:basedOn w:val="4"/>
    <w:next w:val="1"/>
    <w:semiHidden/>
    <w:unhideWhenUsed/>
    <w:qFormat/>
    <w:uiPriority w:val="39"/>
    <w:pPr>
      <w:widowControl/>
      <w:numPr>
        <w:numId w:val="0"/>
      </w:numPr>
      <w:tabs>
        <w:tab w:val="clear" w:pos="1080"/>
        <w:tab w:val="clear" w:pos="2640"/>
      </w:tabs>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265">
    <w:name w:val="No Spacing"/>
    <w:link w:val="266"/>
    <w:qFormat/>
    <w:uiPriority w:val="1"/>
    <w:rPr>
      <w:rFonts w:asciiTheme="minorHAnsi" w:hAnsiTheme="minorHAnsi" w:eastAsiaTheme="minorEastAsia" w:cstheme="minorBidi"/>
      <w:sz w:val="22"/>
      <w:szCs w:val="22"/>
      <w:lang w:val="en-US" w:eastAsia="zh-CN" w:bidi="ar-SA"/>
    </w:rPr>
  </w:style>
  <w:style w:type="character" w:customStyle="1" w:styleId="266">
    <w:name w:val="无间隔 Char"/>
    <w:basedOn w:val="128"/>
    <w:link w:val="265"/>
    <w:qFormat/>
    <w:uiPriority w:val="1"/>
    <w:rPr>
      <w:rFonts w:asciiTheme="minorHAnsi" w:hAnsiTheme="minorHAnsi" w:eastAsiaTheme="minorEastAsia" w:cstheme="minorBidi"/>
      <w:sz w:val="22"/>
      <w:szCs w:val="22"/>
    </w:rPr>
  </w:style>
  <w:style w:type="paragraph" w:customStyle="1" w:styleId="267">
    <w:name w:val="内正文"/>
    <w:basedOn w:val="1"/>
    <w:qFormat/>
    <w:uiPriority w:val="0"/>
    <w:pPr>
      <w:tabs>
        <w:tab w:val="left" w:pos="2280"/>
      </w:tabs>
      <w:ind w:left="2280" w:hanging="432"/>
    </w:pPr>
    <w:rPr>
      <w:rFonts w:ascii="Times New Roman" w:hAnsi="Times New Roman" w:eastAsia="文鼎CS书宋二"/>
      <w:szCs w:val="20"/>
    </w:rPr>
  </w:style>
  <w:style w:type="paragraph" w:customStyle="1" w:styleId="268">
    <w:name w:val="说明"/>
    <w:basedOn w:val="1"/>
    <w:qFormat/>
    <w:uiPriority w:val="0"/>
    <w:pPr>
      <w:tabs>
        <w:tab w:val="left" w:pos="2424"/>
      </w:tabs>
      <w:spacing w:line="288" w:lineRule="auto"/>
      <w:ind w:left="2424" w:hanging="144"/>
    </w:pPr>
    <w:rPr>
      <w:rFonts w:ascii="文鼎中楷" w:hAnsi="Times New Roman" w:eastAsia="文鼎中楷"/>
      <w:w w:val="95"/>
      <w:szCs w:val="20"/>
    </w:rPr>
  </w:style>
  <w:style w:type="paragraph" w:customStyle="1" w:styleId="269">
    <w:name w:val="列出段落4"/>
    <w:basedOn w:val="219"/>
    <w:qFormat/>
    <w:uiPriority w:val="34"/>
    <w:pPr>
      <w:ind w:firstLine="420" w:firstLineChars="200"/>
    </w:pPr>
  </w:style>
  <w:style w:type="paragraph" w:customStyle="1" w:styleId="270">
    <w:name w:val="Normal_0"/>
    <w:qFormat/>
    <w:uiPriority w:val="0"/>
    <w:pPr>
      <w:widowControl w:val="0"/>
    </w:pPr>
    <w:rPr>
      <w:rFonts w:ascii="Times New Roman" w:hAnsi="Times New Roman" w:eastAsia="宋体" w:cs="Times New Roman"/>
      <w:kern w:val="2"/>
      <w:sz w:val="21"/>
      <w:szCs w:val="24"/>
      <w:lang w:val="en-US" w:eastAsia="zh-CN" w:bidi="ar-SA"/>
    </w:rPr>
  </w:style>
  <w:style w:type="paragraph" w:customStyle="1" w:styleId="271">
    <w:name w:val="Char Char1 Char"/>
    <w:basedOn w:val="1"/>
    <w:qFormat/>
    <w:uiPriority w:val="0"/>
    <w:pPr>
      <w:tabs>
        <w:tab w:val="left" w:pos="360"/>
      </w:tabs>
    </w:pPr>
    <w:rPr>
      <w:kern w:val="0"/>
      <w:sz w:val="20"/>
      <w:szCs w:val="20"/>
    </w:rPr>
  </w:style>
  <w:style w:type="paragraph" w:customStyle="1" w:styleId="272">
    <w:name w:val="4 Char Char Char Char Char Char Char"/>
    <w:basedOn w:val="1"/>
    <w:qFormat/>
    <w:uiPriority w:val="0"/>
    <w:pPr>
      <w:widowControl/>
      <w:tabs>
        <w:tab w:val="left" w:pos="2280"/>
      </w:tabs>
      <w:spacing w:after="160" w:line="240" w:lineRule="exact"/>
      <w:jc w:val="left"/>
    </w:pPr>
    <w:rPr>
      <w:rFonts w:ascii="Verdana" w:hAnsi="Verdana" w:eastAsia="仿宋_GB2312"/>
      <w:kern w:val="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326</Words>
  <Characters>334</Characters>
  <Lines>132</Lines>
  <Paragraphs>37</Paragraphs>
  <TotalTime>1</TotalTime>
  <ScaleCrop>false</ScaleCrop>
  <LinksUpToDate>false</LinksUpToDate>
  <CharactersWithSpaces>422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2024-08-14T01:08:00Z</dcterms:created>
  <dc:creator>微软用户</dc:creator>
  <cp:lastModifiedBy>林梦华</cp:lastModifiedBy>
  <cp:lastPrinted>2026-09-09T02:34:00Z</cp:lastPrinted>
  <dcterms:modified xsi:type="dcterms:W3CDTF">2026-09-11T06:54:53Z</dcterms:modified>
  <dc:title>工程编号：</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CBB88759A87044EBB85D12137F4DB347</vt:lpwstr>
  </property>
  <property fmtid="{D5CDD505-2E9C-101B-9397-08002B2CF9AE}" pid="4" name="KSOTemplateDocerSaveRecord">
    <vt:lpwstr>eyJoZGlkIjoiZjYxZTUyYjc1MzQwNWRmNjlmMWQyYmQ2NmM1M2U4MmMiLCJ1c2VySWQiOiIyNjEzMjU1OTEifQ==</vt:lpwstr>
  </property>
</Properties>
</file>