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216894">
      <w:pPr>
        <w:rPr>
          <w:rFonts w:hint="eastAsia"/>
          <w:b/>
          <w:sz w:val="36"/>
          <w:szCs w:val="36"/>
          <w:highlight w:val="none"/>
          <w:lang w:eastAsia="zh-CN"/>
        </w:rPr>
      </w:pPr>
    </w:p>
    <w:p w14:paraId="6C64F4F4">
      <w:pPr>
        <w:wordWrap w:val="0"/>
        <w:spacing w:line="360" w:lineRule="auto"/>
        <w:ind w:right="420"/>
        <w:jc w:val="both"/>
        <w:rPr>
          <w:sz w:val="24"/>
          <w:szCs w:val="24"/>
          <w:highlight w:val="none"/>
          <w:u w:val="single"/>
        </w:rPr>
      </w:pPr>
      <w:bookmarkStart w:id="0" w:name="_Toc509669699"/>
      <w:r>
        <w:rPr>
          <w:rFonts w:hint="eastAsia"/>
          <w:sz w:val="24"/>
          <w:szCs w:val="24"/>
          <w:highlight w:val="none"/>
        </w:rPr>
        <w:t xml:space="preserve">                  </w:t>
      </w:r>
    </w:p>
    <w:p w14:paraId="52B522D7">
      <w:pPr>
        <w:wordWrap w:val="0"/>
        <w:spacing w:line="360" w:lineRule="auto"/>
        <w:ind w:right="420" w:firstLine="1960" w:firstLineChars="700"/>
        <w:jc w:val="right"/>
        <w:rPr>
          <w:sz w:val="24"/>
          <w:szCs w:val="24"/>
          <w:highlight w:val="none"/>
        </w:rPr>
      </w:pPr>
      <w:r>
        <w:rPr>
          <w:rFonts w:hint="eastAsia"/>
          <w:sz w:val="28"/>
          <w:szCs w:val="28"/>
          <w:highlight w:val="none"/>
        </w:rPr>
        <w:t xml:space="preserve">合同编号： </w:t>
      </w:r>
      <w:r>
        <w:rPr>
          <w:rFonts w:hint="eastAsia"/>
          <w:sz w:val="24"/>
          <w:szCs w:val="24"/>
          <w:highlight w:val="none"/>
        </w:rPr>
        <w:t xml:space="preserve">    </w:t>
      </w:r>
    </w:p>
    <w:p w14:paraId="3F592E32">
      <w:pPr>
        <w:wordWrap w:val="0"/>
        <w:spacing w:line="360" w:lineRule="auto"/>
        <w:ind w:right="420" w:firstLine="1680" w:firstLineChars="700"/>
        <w:jc w:val="right"/>
        <w:rPr>
          <w:sz w:val="24"/>
          <w:szCs w:val="24"/>
          <w:highlight w:val="none"/>
        </w:rPr>
      </w:pPr>
    </w:p>
    <w:p w14:paraId="70E73E8C">
      <w:pPr>
        <w:ind w:firstLine="2100" w:firstLineChars="700"/>
        <w:rPr>
          <w:sz w:val="30"/>
          <w:szCs w:val="30"/>
          <w:highlight w:val="none"/>
        </w:rPr>
      </w:pPr>
    </w:p>
    <w:p w14:paraId="71C3BA7E">
      <w:pPr>
        <w:pStyle w:val="43"/>
        <w:rPr>
          <w:sz w:val="30"/>
          <w:szCs w:val="30"/>
          <w:highlight w:val="none"/>
        </w:rPr>
      </w:pPr>
    </w:p>
    <w:p w14:paraId="21236F58">
      <w:pPr>
        <w:rPr>
          <w:highlight w:val="none"/>
        </w:rPr>
      </w:pPr>
    </w:p>
    <w:p w14:paraId="667AC990">
      <w:pPr>
        <w:pStyle w:val="2"/>
        <w:spacing w:line="360" w:lineRule="exact"/>
        <w:ind w:firstLine="420" w:firstLineChars="200"/>
        <w:rPr>
          <w:rFonts w:hAnsi="宋体"/>
          <w:highlight w:val="none"/>
        </w:rPr>
      </w:pPr>
    </w:p>
    <w:p w14:paraId="45C1828C">
      <w:pPr>
        <w:pStyle w:val="2"/>
        <w:tabs>
          <w:tab w:val="left" w:pos="2083"/>
        </w:tabs>
        <w:rPr>
          <w:rFonts w:hAnsi="宋体"/>
          <w:sz w:val="48"/>
          <w:szCs w:val="48"/>
          <w:highlight w:val="none"/>
        </w:rPr>
      </w:pPr>
    </w:p>
    <w:p w14:paraId="317CFF6A">
      <w:pPr>
        <w:pStyle w:val="2"/>
        <w:tabs>
          <w:tab w:val="left" w:pos="2083"/>
        </w:tabs>
        <w:spacing w:line="360" w:lineRule="auto"/>
        <w:jc w:val="center"/>
        <w:rPr>
          <w:rFonts w:hAnsi="宋体" w:cs="宋体"/>
          <w:b/>
          <w:bCs/>
          <w:sz w:val="44"/>
          <w:szCs w:val="44"/>
          <w:highlight w:val="none"/>
        </w:rPr>
      </w:pPr>
      <w:r>
        <w:rPr>
          <w:rFonts w:hint="eastAsia" w:hAnsi="宋体" w:cs="宋体"/>
          <w:b/>
          <w:bCs/>
          <w:sz w:val="44"/>
          <w:szCs w:val="44"/>
          <w:highlight w:val="none"/>
        </w:rPr>
        <w:t>建设工程监理合同</w:t>
      </w:r>
    </w:p>
    <w:p w14:paraId="7872011C">
      <w:pPr>
        <w:rPr>
          <w:highlight w:val="none"/>
        </w:rPr>
      </w:pPr>
    </w:p>
    <w:p w14:paraId="70092802">
      <w:pPr>
        <w:rPr>
          <w:highlight w:val="none"/>
        </w:rPr>
      </w:pPr>
    </w:p>
    <w:p w14:paraId="16387FE7">
      <w:pPr>
        <w:ind w:firstLine="2100" w:firstLineChars="700"/>
        <w:rPr>
          <w:sz w:val="30"/>
          <w:szCs w:val="30"/>
          <w:highlight w:val="none"/>
        </w:rPr>
      </w:pPr>
      <w:r>
        <w:rPr>
          <w:rFonts w:hint="eastAsia"/>
          <w:sz w:val="30"/>
          <w:szCs w:val="30"/>
          <w:highlight w:val="none"/>
        </w:rPr>
        <w:t xml:space="preserve"> </w:t>
      </w:r>
    </w:p>
    <w:p w14:paraId="40DC195F">
      <w:pPr>
        <w:ind w:firstLine="4350" w:firstLineChars="1450"/>
        <w:rPr>
          <w:sz w:val="30"/>
          <w:szCs w:val="30"/>
          <w:highlight w:val="none"/>
        </w:rPr>
      </w:pPr>
    </w:p>
    <w:p w14:paraId="7D1D86C0">
      <w:pPr>
        <w:rPr>
          <w:sz w:val="30"/>
          <w:szCs w:val="30"/>
          <w:highlight w:val="none"/>
        </w:rPr>
      </w:pPr>
    </w:p>
    <w:p w14:paraId="369B6ECC">
      <w:pPr>
        <w:ind w:firstLine="4350" w:firstLineChars="1450"/>
        <w:rPr>
          <w:sz w:val="30"/>
          <w:szCs w:val="30"/>
          <w:highlight w:val="none"/>
        </w:rPr>
      </w:pPr>
    </w:p>
    <w:p w14:paraId="3A23DDE9">
      <w:pPr>
        <w:rPr>
          <w:sz w:val="30"/>
          <w:szCs w:val="30"/>
          <w:highlight w:val="none"/>
        </w:rPr>
      </w:pPr>
    </w:p>
    <w:p w14:paraId="57FF7D63">
      <w:pPr>
        <w:spacing w:line="360" w:lineRule="auto"/>
        <w:ind w:firstLine="840" w:firstLineChars="300"/>
        <w:rPr>
          <w:rFonts w:cs="宋体" w:asciiTheme="minorEastAsia" w:hAnsiTheme="minorEastAsia" w:eastAsiaTheme="minorEastAsia"/>
          <w:sz w:val="28"/>
          <w:szCs w:val="28"/>
          <w:highlight w:val="none"/>
        </w:rPr>
      </w:pPr>
      <w:r>
        <w:rPr>
          <w:rFonts w:hint="eastAsia" w:cs="宋体" w:asciiTheme="minorEastAsia" w:hAnsiTheme="minorEastAsia" w:eastAsiaTheme="minorEastAsia"/>
          <w:b/>
          <w:bCs/>
          <w:kern w:val="0"/>
          <w:sz w:val="28"/>
          <w:szCs w:val="28"/>
          <w:highlight w:val="none"/>
        </w:rPr>
        <w:t>工程名称：</w:t>
      </w:r>
      <w:r>
        <w:rPr>
          <w:rFonts w:hint="eastAsia" w:cs="宋体" w:asciiTheme="minorEastAsia" w:hAnsiTheme="minorEastAsia" w:eastAsiaTheme="minorEastAsia"/>
          <w:bCs w:val="0"/>
          <w:kern w:val="0"/>
          <w:sz w:val="28"/>
          <w:szCs w:val="28"/>
          <w:highlight w:val="none"/>
          <w:u w:val="single"/>
          <w:lang w:val="en-US" w:eastAsia="zh-CN" w:bidi="ar-SA"/>
        </w:rPr>
        <w:t>南门苑、南门雅苑综合整治提升项目</w:t>
      </w:r>
      <w:r>
        <w:rPr>
          <w:rFonts w:hint="eastAsia" w:cs="宋体" w:asciiTheme="minorEastAsia" w:hAnsiTheme="minorEastAsia" w:eastAsiaTheme="minorEastAsia"/>
          <w:kern w:val="0"/>
          <w:sz w:val="28"/>
          <w:szCs w:val="28"/>
          <w:highlight w:val="none"/>
          <w:u w:val="single"/>
          <w:lang w:val="en-US" w:eastAsia="zh-CN"/>
        </w:rPr>
        <w:t xml:space="preserve"> </w:t>
      </w:r>
      <w:r>
        <w:rPr>
          <w:rFonts w:hint="eastAsia" w:cs="宋体" w:asciiTheme="minorEastAsia" w:hAnsiTheme="minorEastAsia" w:eastAsiaTheme="minorEastAsia"/>
          <w:sz w:val="28"/>
          <w:szCs w:val="28"/>
          <w:highlight w:val="none"/>
        </w:rPr>
        <w:t xml:space="preserve">                                    </w:t>
      </w:r>
    </w:p>
    <w:p w14:paraId="7FB8AA37">
      <w:pPr>
        <w:spacing w:line="360" w:lineRule="auto"/>
        <w:ind w:firstLine="840" w:firstLineChars="300"/>
        <w:rPr>
          <w:rFonts w:cs="宋体" w:asciiTheme="minorEastAsia" w:hAnsiTheme="minorEastAsia" w:eastAsiaTheme="minorEastAsia"/>
          <w:sz w:val="28"/>
          <w:szCs w:val="28"/>
          <w:highlight w:val="none"/>
        </w:rPr>
      </w:pPr>
      <w:r>
        <w:rPr>
          <w:rFonts w:hint="eastAsia" w:cs="宋体" w:asciiTheme="minorEastAsia" w:hAnsiTheme="minorEastAsia" w:eastAsiaTheme="minorEastAsia"/>
          <w:b/>
          <w:bCs/>
          <w:kern w:val="0"/>
          <w:sz w:val="28"/>
          <w:szCs w:val="28"/>
          <w:highlight w:val="none"/>
        </w:rPr>
        <w:t>工程地点:</w:t>
      </w:r>
      <w:r>
        <w:rPr>
          <w:rFonts w:hint="eastAsia" w:cs="宋体" w:asciiTheme="minorEastAsia" w:hAnsiTheme="minorEastAsia" w:eastAsiaTheme="minorEastAsia"/>
          <w:b/>
          <w:bCs/>
          <w:kern w:val="0"/>
          <w:sz w:val="28"/>
          <w:szCs w:val="28"/>
          <w:highlight w:val="none"/>
          <w:lang w:val="en-US" w:eastAsia="zh-CN"/>
        </w:rPr>
        <w:t xml:space="preserve"> </w:t>
      </w:r>
      <w:r>
        <w:rPr>
          <w:rFonts w:hint="eastAsia" w:cs="宋体" w:asciiTheme="minorEastAsia" w:hAnsiTheme="minorEastAsia" w:eastAsiaTheme="minorEastAsia"/>
          <w:bCs w:val="0"/>
          <w:kern w:val="0"/>
          <w:sz w:val="28"/>
          <w:szCs w:val="28"/>
          <w:highlight w:val="none"/>
          <w:u w:val="single"/>
          <w:lang w:val="en-US" w:eastAsia="zh-CN" w:bidi="ar-SA"/>
        </w:rPr>
        <w:t>深圳市龙岗区布吉街道南三社区</w:t>
      </w:r>
      <w:r>
        <w:rPr>
          <w:rFonts w:hint="eastAsia" w:cs="宋体" w:asciiTheme="minorEastAsia" w:hAnsiTheme="minorEastAsia" w:eastAsiaTheme="minorEastAsia"/>
          <w:b w:val="0"/>
          <w:bCs w:val="0"/>
          <w:kern w:val="0"/>
          <w:sz w:val="28"/>
          <w:szCs w:val="28"/>
          <w:highlight w:val="none"/>
          <w:u w:val="single"/>
          <w:lang w:val="en-US" w:eastAsia="zh-CN"/>
        </w:rPr>
        <w:t xml:space="preserve">     </w:t>
      </w:r>
      <w:r>
        <w:rPr>
          <w:rFonts w:hint="eastAsia" w:cs="宋体" w:asciiTheme="minorEastAsia" w:hAnsiTheme="minorEastAsia" w:eastAsiaTheme="minorEastAsia"/>
          <w:b/>
          <w:bCs/>
          <w:kern w:val="0"/>
          <w:sz w:val="28"/>
          <w:szCs w:val="28"/>
          <w:highlight w:val="none"/>
          <w:lang w:val="en-US" w:eastAsia="zh-CN"/>
        </w:rPr>
        <w:t xml:space="preserve">   </w:t>
      </w:r>
      <w:r>
        <w:rPr>
          <w:rFonts w:hint="eastAsia" w:cs="宋体" w:asciiTheme="minorEastAsia" w:hAnsiTheme="minorEastAsia" w:eastAsiaTheme="minorEastAsia"/>
          <w:sz w:val="28"/>
          <w:szCs w:val="28"/>
          <w:highlight w:val="none"/>
        </w:rPr>
        <w:t xml:space="preserve">                                  </w:t>
      </w:r>
    </w:p>
    <w:p w14:paraId="50721DDF">
      <w:pPr>
        <w:spacing w:line="360" w:lineRule="auto"/>
        <w:ind w:firstLine="840" w:firstLineChars="300"/>
        <w:rPr>
          <w:rFonts w:hint="eastAsia" w:cs="宋体" w:asciiTheme="minorEastAsia" w:hAnsiTheme="minorEastAsia" w:eastAsiaTheme="minorEastAsia"/>
          <w:sz w:val="28"/>
          <w:szCs w:val="28"/>
          <w:highlight w:val="none"/>
          <w:u w:val="single"/>
        </w:rPr>
      </w:pPr>
      <w:r>
        <w:rPr>
          <w:rFonts w:hint="eastAsia" w:cs="宋体" w:asciiTheme="minorEastAsia" w:hAnsiTheme="minorEastAsia" w:eastAsiaTheme="minorEastAsia"/>
          <w:b/>
          <w:bCs/>
          <w:kern w:val="0"/>
          <w:sz w:val="28"/>
          <w:szCs w:val="28"/>
          <w:highlight w:val="none"/>
        </w:rPr>
        <w:t>委 托 人：</w:t>
      </w:r>
      <w:r>
        <w:rPr>
          <w:rFonts w:hint="eastAsia" w:cs="宋体" w:asciiTheme="minorEastAsia" w:hAnsiTheme="minorEastAsia" w:eastAsiaTheme="minorEastAsia"/>
          <w:bCs w:val="0"/>
          <w:kern w:val="0"/>
          <w:sz w:val="28"/>
          <w:szCs w:val="28"/>
          <w:highlight w:val="none"/>
          <w:u w:val="single"/>
          <w:lang w:val="en-US" w:eastAsia="zh-CN" w:bidi="ar-SA"/>
        </w:rPr>
        <w:t xml:space="preserve">深圳市龙岗区城投置地开发有限公司 </w:t>
      </w:r>
    </w:p>
    <w:p w14:paraId="3B2374FF">
      <w:pPr>
        <w:spacing w:line="360" w:lineRule="auto"/>
        <w:ind w:firstLine="840" w:firstLineChars="300"/>
        <w:rPr>
          <w:rFonts w:ascii="宋体" w:hAnsi="宋体" w:cs="宋体"/>
          <w:sz w:val="30"/>
          <w:szCs w:val="30"/>
          <w:highlight w:val="none"/>
        </w:rPr>
      </w:pPr>
      <w:r>
        <w:rPr>
          <w:rFonts w:hint="eastAsia" w:cs="宋体" w:asciiTheme="minorEastAsia" w:hAnsiTheme="minorEastAsia" w:eastAsiaTheme="minorEastAsia"/>
          <w:b/>
          <w:bCs/>
          <w:kern w:val="0"/>
          <w:sz w:val="28"/>
          <w:szCs w:val="28"/>
          <w:highlight w:val="none"/>
        </w:rPr>
        <w:t>监 理 人：</w:t>
      </w:r>
      <w:r>
        <w:rPr>
          <w:rFonts w:hint="eastAsia" w:cs="宋体" w:asciiTheme="minorEastAsia" w:hAnsiTheme="minorEastAsia" w:eastAsiaTheme="minorEastAsia"/>
          <w:sz w:val="28"/>
          <w:szCs w:val="28"/>
          <w:highlight w:val="none"/>
          <w:u w:val="single"/>
          <w:lang w:val="en-US" w:eastAsia="zh-CN"/>
        </w:rPr>
        <w:t xml:space="preserve">                                 </w:t>
      </w:r>
      <w:r>
        <w:rPr>
          <w:rFonts w:hint="eastAsia" w:ascii="宋体" w:hAnsi="宋体" w:cs="宋体"/>
          <w:sz w:val="30"/>
          <w:szCs w:val="30"/>
          <w:highlight w:val="none"/>
        </w:rPr>
        <w:t xml:space="preserve"> </w:t>
      </w:r>
      <w:bookmarkStart w:id="1" w:name="_Toc429183992"/>
      <w:bookmarkStart w:id="2" w:name="_Toc327891433"/>
      <w:bookmarkStart w:id="3" w:name="_Toc429304388"/>
    </w:p>
    <w:p w14:paraId="7AEF5239">
      <w:pPr>
        <w:pStyle w:val="105"/>
        <w:rPr>
          <w:highlight w:val="none"/>
        </w:rPr>
      </w:pPr>
    </w:p>
    <w:p w14:paraId="5A699FD6">
      <w:pPr>
        <w:pStyle w:val="105"/>
        <w:rPr>
          <w:highlight w:val="none"/>
        </w:rPr>
      </w:pPr>
    </w:p>
    <w:p w14:paraId="2882A7D0">
      <w:pPr>
        <w:pStyle w:val="105"/>
        <w:rPr>
          <w:highlight w:val="none"/>
        </w:rPr>
      </w:pPr>
    </w:p>
    <w:p w14:paraId="3DAEF2EE">
      <w:pPr>
        <w:jc w:val="center"/>
        <w:rPr>
          <w:rFonts w:hint="eastAsia"/>
          <w:b/>
          <w:sz w:val="32"/>
          <w:szCs w:val="32"/>
          <w:highlight w:val="none"/>
        </w:rPr>
      </w:pPr>
    </w:p>
    <w:p w14:paraId="3C2C82DB">
      <w:pPr>
        <w:jc w:val="center"/>
        <w:rPr>
          <w:b/>
          <w:sz w:val="32"/>
          <w:szCs w:val="32"/>
          <w:highlight w:val="none"/>
        </w:rPr>
      </w:pPr>
      <w:r>
        <w:rPr>
          <w:rFonts w:hint="eastAsia"/>
          <w:b/>
          <w:sz w:val="32"/>
          <w:szCs w:val="32"/>
          <w:highlight w:val="none"/>
        </w:rPr>
        <w:t>目   录</w:t>
      </w:r>
    </w:p>
    <w:p w14:paraId="0FA3F34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eastAsia="宋体"/>
          <w:sz w:val="28"/>
          <w:szCs w:val="28"/>
          <w:highlight w:val="none"/>
          <w:lang w:val="en-US" w:eastAsia="zh-CN"/>
        </w:rPr>
      </w:pPr>
      <w:r>
        <w:rPr>
          <w:rFonts w:hint="eastAsia"/>
          <w:sz w:val="28"/>
          <w:szCs w:val="28"/>
          <w:highlight w:val="none"/>
        </w:rPr>
        <w:t>第一部分 协议书</w:t>
      </w:r>
    </w:p>
    <w:p w14:paraId="25B8E6CA">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eastAsia="宋体"/>
          <w:sz w:val="28"/>
          <w:szCs w:val="28"/>
          <w:highlight w:val="none"/>
          <w:lang w:val="en-US" w:eastAsia="zh-CN"/>
        </w:rPr>
      </w:pPr>
      <w:r>
        <w:rPr>
          <w:rFonts w:hint="eastAsia"/>
          <w:sz w:val="28"/>
          <w:szCs w:val="28"/>
          <w:highlight w:val="none"/>
        </w:rPr>
        <w:t>第二部分 委托文件</w:t>
      </w:r>
    </w:p>
    <w:p w14:paraId="3CD3235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eastAsia="宋体"/>
          <w:sz w:val="28"/>
          <w:szCs w:val="28"/>
          <w:highlight w:val="none"/>
          <w:lang w:val="en-US" w:eastAsia="zh-CN"/>
        </w:rPr>
      </w:pPr>
      <w:r>
        <w:rPr>
          <w:rFonts w:hint="eastAsia"/>
          <w:sz w:val="28"/>
          <w:szCs w:val="28"/>
          <w:highlight w:val="none"/>
        </w:rPr>
        <w:t>第三部分 通用条款</w:t>
      </w:r>
    </w:p>
    <w:p w14:paraId="0AEF508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eastAsia="宋体"/>
          <w:sz w:val="28"/>
          <w:szCs w:val="28"/>
          <w:highlight w:val="none"/>
          <w:lang w:val="en-US" w:eastAsia="zh-CN"/>
        </w:rPr>
      </w:pPr>
      <w:r>
        <w:rPr>
          <w:rFonts w:hint="eastAsia"/>
          <w:sz w:val="28"/>
          <w:szCs w:val="28"/>
          <w:highlight w:val="none"/>
        </w:rPr>
        <w:t>第四部分 专用条款</w:t>
      </w:r>
    </w:p>
    <w:p w14:paraId="7AC21CA6">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eastAsia="宋体"/>
          <w:highlight w:val="none"/>
          <w:lang w:val="en-US" w:eastAsia="zh-CN"/>
        </w:rPr>
      </w:pPr>
      <w:r>
        <w:rPr>
          <w:rFonts w:hint="eastAsia"/>
          <w:sz w:val="28"/>
          <w:szCs w:val="28"/>
          <w:highlight w:val="none"/>
        </w:rPr>
        <w:t>第五部分 补充条款</w:t>
      </w:r>
    </w:p>
    <w:p w14:paraId="4A0C6340">
      <w:pPr>
        <w:rPr>
          <w:highlight w:val="none"/>
        </w:rPr>
      </w:pPr>
    </w:p>
    <w:p w14:paraId="68134E62">
      <w:pPr>
        <w:pStyle w:val="51"/>
        <w:bidi w:val="0"/>
        <w:rPr>
          <w:highlight w:val="none"/>
        </w:rPr>
      </w:pPr>
    </w:p>
    <w:p w14:paraId="148FB9FD">
      <w:pPr>
        <w:pStyle w:val="31"/>
        <w:bidi w:val="0"/>
        <w:rPr>
          <w:highlight w:val="none"/>
        </w:rPr>
      </w:pPr>
    </w:p>
    <w:p w14:paraId="7FFC1033">
      <w:pPr>
        <w:pStyle w:val="51"/>
        <w:bidi w:val="0"/>
        <w:rPr>
          <w:highlight w:val="none"/>
        </w:rPr>
      </w:pPr>
    </w:p>
    <w:p w14:paraId="6DB0DAD3">
      <w:pPr>
        <w:pStyle w:val="51"/>
        <w:bidi w:val="0"/>
        <w:rPr>
          <w:highlight w:val="none"/>
        </w:rPr>
      </w:pPr>
    </w:p>
    <w:p w14:paraId="36C4D0F7">
      <w:pPr>
        <w:pStyle w:val="51"/>
        <w:bidi w:val="0"/>
        <w:rPr>
          <w:highlight w:val="none"/>
        </w:rPr>
      </w:pPr>
    </w:p>
    <w:p w14:paraId="51ED4DC9">
      <w:pPr>
        <w:pStyle w:val="51"/>
        <w:bidi w:val="0"/>
        <w:rPr>
          <w:highlight w:val="none"/>
        </w:rPr>
      </w:pPr>
    </w:p>
    <w:p w14:paraId="1AA79CE8">
      <w:pPr>
        <w:pStyle w:val="51"/>
        <w:bidi w:val="0"/>
        <w:rPr>
          <w:highlight w:val="none"/>
        </w:rPr>
      </w:pPr>
    </w:p>
    <w:p w14:paraId="7862E794">
      <w:pPr>
        <w:pStyle w:val="51"/>
        <w:bidi w:val="0"/>
        <w:rPr>
          <w:highlight w:val="none"/>
        </w:rPr>
      </w:pPr>
    </w:p>
    <w:p w14:paraId="65AAB09F">
      <w:pPr>
        <w:pStyle w:val="51"/>
        <w:bidi w:val="0"/>
        <w:rPr>
          <w:highlight w:val="none"/>
        </w:rPr>
      </w:pPr>
    </w:p>
    <w:p w14:paraId="62C03D56">
      <w:pPr>
        <w:pStyle w:val="51"/>
        <w:bidi w:val="0"/>
        <w:rPr>
          <w:highlight w:val="none"/>
        </w:rPr>
      </w:pPr>
    </w:p>
    <w:p w14:paraId="3F99B23C">
      <w:pPr>
        <w:pStyle w:val="51"/>
        <w:bidi w:val="0"/>
        <w:rPr>
          <w:highlight w:val="none"/>
        </w:rPr>
      </w:pPr>
    </w:p>
    <w:p w14:paraId="1469E899">
      <w:pPr>
        <w:pStyle w:val="51"/>
        <w:bidi w:val="0"/>
        <w:rPr>
          <w:highlight w:val="none"/>
        </w:rPr>
      </w:pPr>
    </w:p>
    <w:p w14:paraId="41A27656">
      <w:pPr>
        <w:pStyle w:val="51"/>
        <w:bidi w:val="0"/>
        <w:rPr>
          <w:highlight w:val="none"/>
        </w:rPr>
      </w:pPr>
    </w:p>
    <w:p w14:paraId="4FD727AD">
      <w:pPr>
        <w:pStyle w:val="51"/>
        <w:bidi w:val="0"/>
        <w:rPr>
          <w:highlight w:val="none"/>
        </w:rPr>
      </w:pPr>
    </w:p>
    <w:p w14:paraId="566BE46D">
      <w:pPr>
        <w:pStyle w:val="51"/>
        <w:bidi w:val="0"/>
        <w:rPr>
          <w:highlight w:val="none"/>
        </w:rPr>
      </w:pPr>
    </w:p>
    <w:p w14:paraId="28969C11">
      <w:pPr>
        <w:pStyle w:val="51"/>
        <w:bidi w:val="0"/>
        <w:rPr>
          <w:highlight w:val="none"/>
        </w:rPr>
      </w:pPr>
    </w:p>
    <w:p w14:paraId="22E90160">
      <w:pPr>
        <w:pStyle w:val="51"/>
        <w:bidi w:val="0"/>
        <w:rPr>
          <w:highlight w:val="none"/>
        </w:rPr>
      </w:pPr>
    </w:p>
    <w:p w14:paraId="50556193">
      <w:pPr>
        <w:pStyle w:val="51"/>
        <w:bidi w:val="0"/>
        <w:rPr>
          <w:highlight w:val="none"/>
        </w:rPr>
      </w:pPr>
    </w:p>
    <w:p w14:paraId="2D907B2B">
      <w:pPr>
        <w:pStyle w:val="51"/>
        <w:bidi w:val="0"/>
        <w:rPr>
          <w:highlight w:val="none"/>
        </w:rPr>
      </w:pPr>
    </w:p>
    <w:p w14:paraId="2A84EDD2">
      <w:pPr>
        <w:pStyle w:val="51"/>
        <w:bidi w:val="0"/>
        <w:rPr>
          <w:highlight w:val="none"/>
        </w:rPr>
      </w:pPr>
    </w:p>
    <w:p w14:paraId="224E03B8">
      <w:pPr>
        <w:pStyle w:val="51"/>
        <w:bidi w:val="0"/>
        <w:rPr>
          <w:highlight w:val="none"/>
        </w:rPr>
      </w:pPr>
    </w:p>
    <w:p w14:paraId="500215E3">
      <w:pPr>
        <w:pStyle w:val="51"/>
        <w:bidi w:val="0"/>
        <w:rPr>
          <w:highlight w:val="none"/>
        </w:rPr>
      </w:pPr>
    </w:p>
    <w:p w14:paraId="55C976A0">
      <w:pPr>
        <w:pStyle w:val="49"/>
        <w:spacing w:line="560" w:lineRule="exact"/>
        <w:rPr>
          <w:rFonts w:ascii="宋体" w:hAnsi="宋体" w:cs="宋体"/>
          <w:sz w:val="36"/>
          <w:szCs w:val="36"/>
          <w:highlight w:val="none"/>
        </w:rPr>
      </w:pPr>
      <w:bookmarkStart w:id="4" w:name="_Toc7778"/>
      <w:r>
        <w:rPr>
          <w:rFonts w:hint="eastAsia" w:ascii="宋体" w:hAnsi="宋体" w:cs="宋体"/>
          <w:sz w:val="36"/>
          <w:szCs w:val="36"/>
          <w:highlight w:val="none"/>
        </w:rPr>
        <w:t>第一部分  协议书</w:t>
      </w:r>
      <w:bookmarkEnd w:id="1"/>
      <w:bookmarkEnd w:id="2"/>
      <w:bookmarkEnd w:id="3"/>
      <w:bookmarkEnd w:id="4"/>
    </w:p>
    <w:p w14:paraId="4105165D">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auto"/>
        <w:rPr>
          <w:rFonts w:hint="default" w:ascii="宋体" w:hAnsi="宋体" w:cs="宋体"/>
          <w:kern w:val="18"/>
          <w:sz w:val="24"/>
          <w:szCs w:val="24"/>
          <w:highlight w:val="none"/>
          <w:lang w:val="en-US"/>
        </w:rPr>
      </w:pPr>
      <w:r>
        <w:rPr>
          <w:rFonts w:hint="eastAsia" w:ascii="宋体" w:hAnsi="宋体" w:cs="宋体"/>
          <w:kern w:val="18"/>
          <w:sz w:val="24"/>
          <w:szCs w:val="24"/>
          <w:highlight w:val="none"/>
        </w:rPr>
        <w:t>委 托 人：</w:t>
      </w:r>
      <w:r>
        <w:rPr>
          <w:rFonts w:hint="eastAsia" w:ascii="宋体" w:hAnsi="宋体" w:cs="宋体"/>
          <w:kern w:val="18"/>
          <w:sz w:val="24"/>
          <w:szCs w:val="24"/>
          <w:highlight w:val="none"/>
          <w:u w:val="single"/>
          <w:lang w:val="en-US" w:eastAsia="zh-CN"/>
        </w:rPr>
        <w:t xml:space="preserve"> 深圳市龙岗区城投置地开发有限公司          </w:t>
      </w:r>
    </w:p>
    <w:p w14:paraId="31AE92D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left"/>
        <w:textAlignment w:val="auto"/>
        <w:rPr>
          <w:rFonts w:hint="eastAsia" w:ascii="宋体" w:hAnsi="宋体" w:cs="宋体"/>
          <w:kern w:val="18"/>
          <w:sz w:val="24"/>
          <w:szCs w:val="24"/>
          <w:highlight w:val="none"/>
          <w:u w:val="single"/>
        </w:rPr>
      </w:pPr>
      <w:r>
        <w:rPr>
          <w:rFonts w:hint="eastAsia" w:ascii="宋体" w:hAnsi="宋体" w:cs="宋体"/>
          <w:kern w:val="18"/>
          <w:sz w:val="24"/>
          <w:szCs w:val="24"/>
          <w:highlight w:val="none"/>
        </w:rPr>
        <w:t>监 理 人：</w:t>
      </w:r>
      <w:r>
        <w:rPr>
          <w:rFonts w:hint="eastAsia" w:ascii="宋体" w:hAnsi="宋体" w:cs="宋体"/>
          <w:kern w:val="18"/>
          <w:sz w:val="24"/>
          <w:szCs w:val="24"/>
          <w:highlight w:val="none"/>
          <w:u w:val="single"/>
          <w:lang w:val="en-US" w:eastAsia="zh-CN"/>
        </w:rPr>
        <w:t xml:space="preserve">                                       </w:t>
      </w:r>
      <w:r>
        <w:rPr>
          <w:rFonts w:hint="eastAsia" w:ascii="宋体" w:hAnsi="宋体" w:cs="宋体"/>
          <w:kern w:val="18"/>
          <w:sz w:val="24"/>
          <w:szCs w:val="24"/>
          <w:highlight w:val="none"/>
          <w:u w:val="single"/>
        </w:rPr>
        <w:t xml:space="preserve">    </w:t>
      </w:r>
    </w:p>
    <w:p w14:paraId="3A57FE96">
      <w:pPr>
        <w:adjustRightInd w:val="0"/>
        <w:snapToGrid w:val="0"/>
        <w:spacing w:line="560" w:lineRule="exact"/>
        <w:jc w:val="left"/>
        <w:rPr>
          <w:rFonts w:ascii="宋体" w:hAnsi="宋体" w:cs="宋体"/>
          <w:kern w:val="18"/>
          <w:sz w:val="24"/>
          <w:szCs w:val="24"/>
          <w:highlight w:val="none"/>
        </w:rPr>
      </w:pPr>
      <w:r>
        <w:rPr>
          <w:rFonts w:hint="eastAsia" w:ascii="宋体" w:hAnsi="宋体" w:cs="宋体"/>
          <w:kern w:val="18"/>
          <w:sz w:val="24"/>
          <w:szCs w:val="24"/>
          <w:highlight w:val="none"/>
        </w:rPr>
        <w:t xml:space="preserve">    根据《中华人民共和国民法典》、《中华人民共和国建筑法》、《深圳经济特区建设工程监理条例》及其他有关法律、法规，遵循平等、自愿、公平和诚信的原则，双方就下述工程委托监理与相关服务事项协商一致，订立本合同。</w:t>
      </w:r>
    </w:p>
    <w:p w14:paraId="07A21916">
      <w:pPr>
        <w:pStyle w:val="49"/>
        <w:spacing w:line="560" w:lineRule="exact"/>
        <w:ind w:firstLine="480" w:firstLineChars="200"/>
        <w:jc w:val="left"/>
        <w:rPr>
          <w:rFonts w:ascii="宋体" w:hAnsi="宋体" w:cs="宋体"/>
          <w:b w:val="0"/>
          <w:bCs w:val="0"/>
          <w:sz w:val="24"/>
          <w:szCs w:val="24"/>
          <w:highlight w:val="none"/>
        </w:rPr>
      </w:pPr>
      <w:bookmarkStart w:id="5" w:name="_Toc5511"/>
      <w:bookmarkStart w:id="6" w:name="_Toc429183993"/>
      <w:bookmarkStart w:id="7" w:name="_Toc429304389"/>
      <w:bookmarkStart w:id="8" w:name="_Toc327891434"/>
      <w:r>
        <w:rPr>
          <w:rFonts w:hint="eastAsia" w:ascii="宋体" w:hAnsi="宋体" w:cs="宋体"/>
          <w:b w:val="0"/>
          <w:bCs w:val="0"/>
          <w:sz w:val="24"/>
          <w:szCs w:val="24"/>
          <w:highlight w:val="none"/>
        </w:rPr>
        <w:t>一、工程概况</w:t>
      </w:r>
      <w:bookmarkEnd w:id="5"/>
      <w:bookmarkEnd w:id="6"/>
      <w:bookmarkEnd w:id="7"/>
      <w:bookmarkEnd w:id="8"/>
    </w:p>
    <w:p w14:paraId="0B9F17FB">
      <w:pPr>
        <w:pStyle w:val="2"/>
        <w:tabs>
          <w:tab w:val="left" w:pos="2083"/>
        </w:tabs>
        <w:spacing w:line="560" w:lineRule="exact"/>
        <w:jc w:val="left"/>
        <w:rPr>
          <w:rFonts w:hint="eastAsia" w:hAnsi="宋体" w:eastAsia="宋体" w:cs="宋体"/>
          <w:kern w:val="18"/>
          <w:sz w:val="24"/>
          <w:szCs w:val="24"/>
          <w:highlight w:val="none"/>
          <w:u w:val="single"/>
          <w:lang w:val="en-US" w:eastAsia="zh-CN"/>
        </w:rPr>
      </w:pPr>
      <w:r>
        <w:rPr>
          <w:rFonts w:hint="eastAsia" w:hAnsi="宋体" w:cs="宋体"/>
          <w:kern w:val="18"/>
          <w:sz w:val="24"/>
          <w:szCs w:val="24"/>
          <w:highlight w:val="none"/>
        </w:rPr>
        <w:t xml:space="preserve">    1.工程名称：</w:t>
      </w:r>
      <w:r>
        <w:rPr>
          <w:rFonts w:hint="eastAsia" w:hAnsi="宋体" w:cs="宋体"/>
          <w:kern w:val="18"/>
          <w:sz w:val="24"/>
          <w:szCs w:val="24"/>
          <w:highlight w:val="none"/>
          <w:u w:val="single"/>
          <w:lang w:val="en-US" w:eastAsia="zh-CN"/>
        </w:rPr>
        <w:t xml:space="preserve"> </w:t>
      </w:r>
      <w:r>
        <w:rPr>
          <w:rFonts w:hint="eastAsia" w:ascii="Calibri" w:hAnsi="宋体" w:cs="Times New Roman"/>
          <w:bCs/>
          <w:kern w:val="2"/>
          <w:sz w:val="24"/>
          <w:szCs w:val="24"/>
          <w:highlight w:val="none"/>
          <w:u w:val="single"/>
          <w:lang w:val="en-US" w:eastAsia="zh-CN" w:bidi="ar-SA"/>
        </w:rPr>
        <w:t>南门苑、南门雅苑综合整治提升项目</w:t>
      </w:r>
      <w:r>
        <w:rPr>
          <w:rFonts w:hint="eastAsia" w:hAnsi="宋体" w:cs="宋体"/>
          <w:kern w:val="18"/>
          <w:sz w:val="24"/>
          <w:szCs w:val="24"/>
          <w:highlight w:val="none"/>
          <w:u w:val="single"/>
          <w:lang w:val="en-US" w:eastAsia="zh-CN"/>
        </w:rPr>
        <w:t xml:space="preserve">  </w:t>
      </w:r>
    </w:p>
    <w:p w14:paraId="7A8777A1">
      <w:pPr>
        <w:pStyle w:val="2"/>
        <w:tabs>
          <w:tab w:val="left" w:pos="2083"/>
        </w:tabs>
        <w:spacing w:line="560" w:lineRule="exact"/>
        <w:ind w:firstLine="480" w:firstLineChars="200"/>
        <w:jc w:val="left"/>
        <w:rPr>
          <w:rFonts w:ascii="宋体" w:hAnsi="宋体" w:cs="宋体"/>
          <w:kern w:val="18"/>
          <w:sz w:val="24"/>
          <w:szCs w:val="24"/>
          <w:highlight w:val="none"/>
        </w:rPr>
      </w:pPr>
      <w:r>
        <w:rPr>
          <w:rFonts w:hint="eastAsia" w:ascii="宋体" w:hAnsi="宋体" w:cs="宋体"/>
          <w:kern w:val="18"/>
          <w:sz w:val="24"/>
          <w:szCs w:val="24"/>
          <w:highlight w:val="none"/>
        </w:rPr>
        <w:t>2.工程地点：</w:t>
      </w:r>
      <w:r>
        <w:rPr>
          <w:rFonts w:hint="eastAsia" w:hAnsi="宋体" w:cs="宋体"/>
          <w:kern w:val="18"/>
          <w:sz w:val="24"/>
          <w:szCs w:val="24"/>
          <w:highlight w:val="none"/>
          <w:u w:val="single"/>
          <w:lang w:val="en-US" w:eastAsia="zh-CN"/>
        </w:rPr>
        <w:t xml:space="preserve"> </w:t>
      </w:r>
      <w:r>
        <w:rPr>
          <w:rFonts w:hint="eastAsia" w:ascii="Calibri" w:hAnsi="宋体" w:cs="Times New Roman"/>
          <w:bCs/>
          <w:kern w:val="2"/>
          <w:sz w:val="24"/>
          <w:szCs w:val="24"/>
          <w:highlight w:val="none"/>
          <w:u w:val="single"/>
          <w:lang w:val="en-US" w:eastAsia="zh-CN" w:bidi="ar-SA"/>
        </w:rPr>
        <w:t xml:space="preserve">深圳市龙岗区布吉街道南三社区    </w:t>
      </w:r>
      <w:r>
        <w:rPr>
          <w:rFonts w:hint="eastAsia" w:ascii="宋体" w:hAnsi="宋体" w:eastAsia="宋体" w:cs="宋体"/>
          <w:kern w:val="18"/>
          <w:sz w:val="24"/>
          <w:szCs w:val="24"/>
          <w:highlight w:val="none"/>
          <w:u w:val="single"/>
          <w:lang w:val="en-US" w:eastAsia="zh-CN"/>
        </w:rPr>
        <w:t xml:space="preserve">       </w:t>
      </w:r>
    </w:p>
    <w:p w14:paraId="12E21D1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napToGrid w:val="0"/>
          <w:kern w:val="0"/>
          <w:sz w:val="24"/>
          <w:szCs w:val="24"/>
          <w:highlight w:val="none"/>
          <w:lang w:eastAsia="zh-CN"/>
        </w:rPr>
      </w:pPr>
      <w:r>
        <w:rPr>
          <w:rFonts w:hint="eastAsia" w:ascii="宋体" w:hAnsi="宋体" w:cs="宋体"/>
          <w:kern w:val="18"/>
          <w:sz w:val="24"/>
          <w:szCs w:val="24"/>
          <w:highlight w:val="none"/>
        </w:rPr>
        <w:t>3.工程规模：</w:t>
      </w:r>
      <w:r>
        <w:rPr>
          <w:rFonts w:hint="eastAsia" w:hAnsi="宋体" w:cs="宋体"/>
          <w:kern w:val="18"/>
          <w:sz w:val="24"/>
          <w:szCs w:val="24"/>
          <w:highlight w:val="none"/>
          <w:u w:val="single"/>
          <w:lang w:val="en-US" w:eastAsia="zh-CN"/>
        </w:rPr>
        <w:t xml:space="preserve">   </w:t>
      </w:r>
      <w:r>
        <w:rPr>
          <w:rFonts w:hint="eastAsia" w:ascii="宋体" w:hAnsi="宋体" w:cs="宋体"/>
          <w:sz w:val="24"/>
          <w:szCs w:val="24"/>
          <w:highlight w:val="none"/>
          <w:u w:val="single"/>
        </w:rPr>
        <w:t>\</w:t>
      </w:r>
      <w:r>
        <w:rPr>
          <w:rFonts w:hint="eastAsia" w:hAnsi="宋体" w:cs="宋体"/>
          <w:kern w:val="18"/>
          <w:sz w:val="24"/>
          <w:szCs w:val="24"/>
          <w:highlight w:val="none"/>
          <w:u w:val="single"/>
          <w:lang w:val="en-US" w:eastAsia="zh-CN"/>
        </w:rPr>
        <w:t xml:space="preserve">            </w:t>
      </w:r>
    </w:p>
    <w:p w14:paraId="62148AA3">
      <w:pPr>
        <w:adjustRightInd w:val="0"/>
        <w:snapToGrid w:val="0"/>
        <w:spacing w:line="560" w:lineRule="exact"/>
        <w:ind w:firstLine="480" w:firstLineChars="200"/>
        <w:jc w:val="left"/>
        <w:rPr>
          <w:rFonts w:ascii="宋体" w:hAnsi="宋体" w:cs="宋体"/>
          <w:kern w:val="18"/>
          <w:sz w:val="24"/>
          <w:szCs w:val="24"/>
          <w:highlight w:val="none"/>
        </w:rPr>
      </w:pPr>
      <w:r>
        <w:rPr>
          <w:rFonts w:hint="eastAsia" w:ascii="宋体" w:hAnsi="宋体" w:cs="宋体"/>
          <w:kern w:val="18"/>
          <w:sz w:val="24"/>
          <w:szCs w:val="24"/>
          <w:highlight w:val="none"/>
        </w:rPr>
        <w:t>4.工程类别：</w:t>
      </w:r>
      <w:r>
        <w:rPr>
          <w:rFonts w:hint="eastAsia" w:ascii="宋体" w:hAnsi="宋体" w:cs="宋体"/>
          <w:kern w:val="18"/>
          <w:sz w:val="24"/>
          <w:szCs w:val="24"/>
          <w:highlight w:val="none"/>
          <w:u w:val="single"/>
          <w:lang w:val="en-US" w:eastAsia="zh-CN"/>
        </w:rPr>
        <w:t xml:space="preserve">   </w:t>
      </w:r>
      <w:r>
        <w:rPr>
          <w:rFonts w:hint="eastAsia" w:ascii="宋体" w:hAnsi="宋体" w:cs="宋体"/>
          <w:sz w:val="24"/>
          <w:szCs w:val="24"/>
          <w:highlight w:val="none"/>
          <w:u w:val="single"/>
        </w:rPr>
        <w:t>\</w:t>
      </w:r>
      <w:r>
        <w:rPr>
          <w:rFonts w:hint="eastAsia" w:ascii="宋体" w:hAnsi="宋体" w:cs="宋体"/>
          <w:sz w:val="24"/>
          <w:szCs w:val="24"/>
          <w:highlight w:val="none"/>
          <w:u w:val="single"/>
          <w:lang w:val="en-US" w:eastAsia="zh-CN"/>
        </w:rPr>
        <w:t xml:space="preserve">  </w:t>
      </w:r>
      <w:r>
        <w:rPr>
          <w:rFonts w:hint="eastAsia" w:ascii="宋体" w:hAnsi="宋体" w:cs="宋体"/>
          <w:kern w:val="18"/>
          <w:sz w:val="24"/>
          <w:szCs w:val="24"/>
          <w:highlight w:val="none"/>
          <w:u w:val="single"/>
        </w:rPr>
        <w:t xml:space="preserve"> </w:t>
      </w:r>
      <w:r>
        <w:rPr>
          <w:rFonts w:hint="eastAsia" w:ascii="宋体" w:hAnsi="宋体" w:cs="宋体"/>
          <w:kern w:val="18"/>
          <w:sz w:val="24"/>
          <w:szCs w:val="24"/>
          <w:highlight w:val="none"/>
        </w:rPr>
        <w:t xml:space="preserve">      </w:t>
      </w:r>
    </w:p>
    <w:p w14:paraId="0DAAFFBE">
      <w:pPr>
        <w:adjustRightInd w:val="0"/>
        <w:snapToGrid w:val="0"/>
        <w:spacing w:line="560" w:lineRule="exact"/>
        <w:ind w:firstLine="480" w:firstLineChars="200"/>
        <w:jc w:val="left"/>
        <w:rPr>
          <w:rFonts w:ascii="宋体" w:hAnsi="宋体" w:cs="宋体"/>
          <w:kern w:val="18"/>
          <w:sz w:val="24"/>
          <w:szCs w:val="24"/>
          <w:highlight w:val="none"/>
        </w:rPr>
      </w:pPr>
      <w:r>
        <w:rPr>
          <w:rFonts w:hint="eastAsia" w:ascii="宋体" w:hAnsi="宋体" w:cs="宋体"/>
          <w:kern w:val="18"/>
          <w:sz w:val="24"/>
          <w:szCs w:val="24"/>
          <w:highlight w:val="none"/>
        </w:rPr>
        <w:t>5.投资性质：</w:t>
      </w:r>
      <w:r>
        <w:rPr>
          <w:rFonts w:hint="eastAsia" w:ascii="宋体" w:hAnsi="宋体" w:cs="宋体"/>
          <w:kern w:val="18"/>
          <w:sz w:val="24"/>
          <w:szCs w:val="24"/>
          <w:highlight w:val="none"/>
          <w:u w:val="single"/>
        </w:rPr>
        <w:t>国有资本 100%</w:t>
      </w:r>
      <w:r>
        <w:rPr>
          <w:rFonts w:hint="eastAsia" w:ascii="宋体" w:hAnsi="宋体" w:cs="宋体"/>
          <w:kern w:val="18"/>
          <w:sz w:val="24"/>
          <w:szCs w:val="24"/>
          <w:highlight w:val="none"/>
        </w:rPr>
        <w:t xml:space="preserve"> </w:t>
      </w:r>
    </w:p>
    <w:p w14:paraId="6759BCFE">
      <w:pPr>
        <w:adjustRightInd w:val="0"/>
        <w:snapToGrid w:val="0"/>
        <w:spacing w:line="560" w:lineRule="exact"/>
        <w:ind w:firstLine="480" w:firstLineChars="200"/>
        <w:jc w:val="left"/>
        <w:rPr>
          <w:rFonts w:hint="eastAsia" w:ascii="宋体" w:hAnsi="宋体" w:eastAsia="宋体" w:cs="宋体"/>
          <w:kern w:val="18"/>
          <w:sz w:val="24"/>
          <w:szCs w:val="24"/>
          <w:highlight w:val="none"/>
          <w:u w:val="none"/>
          <w:lang w:eastAsia="zh-CN"/>
        </w:rPr>
      </w:pPr>
      <w:r>
        <w:rPr>
          <w:rFonts w:hint="eastAsia" w:ascii="宋体" w:hAnsi="宋体" w:cs="宋体"/>
          <w:kern w:val="18"/>
          <w:sz w:val="24"/>
          <w:szCs w:val="24"/>
          <w:highlight w:val="none"/>
        </w:rPr>
        <w:t>6.工程估算</w:t>
      </w:r>
      <w:r>
        <w:rPr>
          <w:rFonts w:hint="eastAsia" w:ascii="宋体" w:hAnsi="宋体" w:cs="宋体"/>
          <w:kern w:val="18"/>
          <w:sz w:val="24"/>
          <w:szCs w:val="24"/>
          <w:highlight w:val="none"/>
          <w:u w:val="none"/>
        </w:rPr>
        <w:t>：</w:t>
      </w:r>
      <w:r>
        <w:rPr>
          <w:rFonts w:hint="eastAsia" w:ascii="宋体" w:hAnsi="宋体" w:cs="宋体"/>
          <w:kern w:val="18"/>
          <w:sz w:val="24"/>
          <w:szCs w:val="24"/>
          <w:highlight w:val="none"/>
          <w:u w:val="single"/>
          <w:lang w:val="en-US" w:eastAsia="zh-CN"/>
        </w:rPr>
        <w:t xml:space="preserve"> 4400</w:t>
      </w:r>
      <w:r>
        <w:rPr>
          <w:rFonts w:hint="eastAsia" w:ascii="宋体" w:hAnsi="宋体" w:cs="宋体"/>
          <w:kern w:val="18"/>
          <w:sz w:val="24"/>
          <w:szCs w:val="24"/>
          <w:highlight w:val="none"/>
          <w:u w:val="single"/>
        </w:rPr>
        <w:t>万元</w:t>
      </w:r>
      <w:r>
        <w:rPr>
          <w:rFonts w:hint="eastAsia" w:ascii="宋体" w:hAnsi="宋体" w:cs="宋体"/>
          <w:kern w:val="18"/>
          <w:sz w:val="24"/>
          <w:szCs w:val="24"/>
          <w:highlight w:val="none"/>
          <w:u w:val="single"/>
          <w:lang w:eastAsia="zh-CN"/>
        </w:rPr>
        <w:t>（暂定）</w:t>
      </w:r>
    </w:p>
    <w:p w14:paraId="7383AA93">
      <w:pPr>
        <w:adjustRightInd w:val="0"/>
        <w:snapToGrid w:val="0"/>
        <w:spacing w:line="560" w:lineRule="exact"/>
        <w:ind w:firstLine="480" w:firstLineChars="200"/>
        <w:jc w:val="left"/>
        <w:rPr>
          <w:rFonts w:ascii="宋体" w:hAnsi="宋体" w:cs="宋体"/>
          <w:kern w:val="18"/>
          <w:sz w:val="24"/>
          <w:szCs w:val="24"/>
          <w:highlight w:val="none"/>
          <w:u w:val="single"/>
        </w:rPr>
      </w:pPr>
      <w:r>
        <w:rPr>
          <w:rFonts w:hint="eastAsia" w:ascii="宋体" w:hAnsi="宋体" w:cs="宋体"/>
          <w:kern w:val="18"/>
          <w:sz w:val="24"/>
          <w:szCs w:val="24"/>
          <w:highlight w:val="none"/>
        </w:rPr>
        <w:t>7.其它：</w:t>
      </w:r>
      <w:r>
        <w:rPr>
          <w:rFonts w:hint="eastAsia" w:ascii="宋体" w:hAnsi="宋体" w:cs="宋体"/>
          <w:kern w:val="18"/>
          <w:sz w:val="24"/>
          <w:szCs w:val="24"/>
          <w:highlight w:val="none"/>
          <w:u w:val="single"/>
          <w:lang w:val="en-US" w:eastAsia="zh-CN"/>
        </w:rPr>
        <w:t xml:space="preserve"> </w:t>
      </w:r>
      <w:r>
        <w:rPr>
          <w:rFonts w:hint="eastAsia" w:ascii="宋体" w:hAnsi="宋体" w:cs="宋体"/>
          <w:sz w:val="24"/>
          <w:szCs w:val="24"/>
          <w:highlight w:val="none"/>
          <w:u w:val="single"/>
        </w:rPr>
        <w:t>\</w:t>
      </w:r>
      <w:r>
        <w:rPr>
          <w:rFonts w:hint="eastAsia" w:ascii="宋体" w:hAnsi="宋体" w:cs="宋体"/>
          <w:sz w:val="24"/>
          <w:szCs w:val="24"/>
          <w:highlight w:val="none"/>
          <w:u w:val="single"/>
          <w:lang w:val="en-US" w:eastAsia="zh-CN"/>
        </w:rPr>
        <w:t xml:space="preserve">  </w:t>
      </w:r>
      <w:r>
        <w:rPr>
          <w:rFonts w:hint="eastAsia" w:ascii="宋体" w:hAnsi="宋体" w:cs="宋体"/>
          <w:kern w:val="18"/>
          <w:sz w:val="24"/>
          <w:szCs w:val="24"/>
          <w:highlight w:val="none"/>
        </w:rPr>
        <w:t>。</w:t>
      </w:r>
    </w:p>
    <w:p w14:paraId="110CE28B">
      <w:pPr>
        <w:pStyle w:val="49"/>
        <w:spacing w:line="560" w:lineRule="exact"/>
        <w:ind w:firstLine="480" w:firstLineChars="200"/>
        <w:jc w:val="left"/>
        <w:rPr>
          <w:rFonts w:ascii="宋体" w:hAnsi="宋体" w:cs="宋体"/>
          <w:b w:val="0"/>
          <w:bCs w:val="0"/>
          <w:sz w:val="24"/>
          <w:szCs w:val="24"/>
          <w:highlight w:val="none"/>
        </w:rPr>
      </w:pPr>
      <w:bookmarkStart w:id="9" w:name="_Toc429183994"/>
      <w:bookmarkStart w:id="10" w:name="_Toc327891435"/>
      <w:bookmarkStart w:id="11" w:name="_Toc429304390"/>
      <w:bookmarkStart w:id="12" w:name="_Toc22747"/>
      <w:r>
        <w:rPr>
          <w:rFonts w:hint="eastAsia" w:ascii="宋体" w:hAnsi="宋体" w:cs="宋体"/>
          <w:b w:val="0"/>
          <w:bCs w:val="0"/>
          <w:sz w:val="24"/>
          <w:szCs w:val="24"/>
          <w:highlight w:val="none"/>
        </w:rPr>
        <w:t>二、词语含义</w:t>
      </w:r>
      <w:bookmarkEnd w:id="9"/>
      <w:bookmarkEnd w:id="10"/>
      <w:bookmarkEnd w:id="11"/>
      <w:bookmarkEnd w:id="12"/>
    </w:p>
    <w:p w14:paraId="73815517">
      <w:pPr>
        <w:adjustRightInd w:val="0"/>
        <w:snapToGrid w:val="0"/>
        <w:spacing w:line="56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协议书中相关词语的含义与通用条款中的定义与解释相同。</w:t>
      </w:r>
    </w:p>
    <w:p w14:paraId="231EF91F">
      <w:pPr>
        <w:pStyle w:val="49"/>
        <w:spacing w:line="560" w:lineRule="exact"/>
        <w:ind w:firstLine="480" w:firstLineChars="200"/>
        <w:jc w:val="left"/>
        <w:rPr>
          <w:rFonts w:ascii="宋体" w:hAnsi="宋体" w:cs="宋体"/>
          <w:b w:val="0"/>
          <w:bCs w:val="0"/>
          <w:sz w:val="24"/>
          <w:szCs w:val="24"/>
          <w:highlight w:val="none"/>
        </w:rPr>
      </w:pPr>
      <w:bookmarkStart w:id="13" w:name="_Toc3334"/>
      <w:bookmarkStart w:id="14" w:name="_Toc327891436"/>
      <w:bookmarkStart w:id="15" w:name="_Toc429304391"/>
      <w:bookmarkStart w:id="16" w:name="_Toc429183995"/>
      <w:r>
        <w:rPr>
          <w:rFonts w:hint="eastAsia" w:ascii="宋体" w:hAnsi="宋体" w:cs="宋体"/>
          <w:b w:val="0"/>
          <w:bCs w:val="0"/>
          <w:sz w:val="24"/>
          <w:szCs w:val="24"/>
          <w:highlight w:val="none"/>
        </w:rPr>
        <w:t>三、本合同由以下文件组成，以下文件存在不一致的，以下列排序在前的文件为准。</w:t>
      </w:r>
      <w:bookmarkEnd w:id="13"/>
      <w:bookmarkEnd w:id="14"/>
      <w:bookmarkEnd w:id="15"/>
      <w:bookmarkEnd w:id="16"/>
    </w:p>
    <w:p w14:paraId="0571CC4D">
      <w:pPr>
        <w:adjustRightInd w:val="0"/>
        <w:snapToGrid w:val="0"/>
        <w:spacing w:line="56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1.协议书；</w:t>
      </w:r>
    </w:p>
    <w:p w14:paraId="6BF85F2B">
      <w:pPr>
        <w:adjustRightInd w:val="0"/>
        <w:snapToGrid w:val="0"/>
        <w:spacing w:line="56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rPr>
        <w:t>2.委托文件；</w:t>
      </w:r>
    </w:p>
    <w:p w14:paraId="3A078A96">
      <w:pPr>
        <w:adjustRightInd w:val="0"/>
        <w:snapToGrid w:val="0"/>
        <w:spacing w:line="560" w:lineRule="exact"/>
        <w:ind w:firstLine="480" w:firstLineChars="200"/>
        <w:jc w:val="left"/>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3.补充条款；</w:t>
      </w:r>
    </w:p>
    <w:p w14:paraId="291EFA3C">
      <w:pPr>
        <w:adjustRightInd w:val="0"/>
        <w:snapToGrid w:val="0"/>
        <w:spacing w:line="56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.专用条款；</w:t>
      </w:r>
    </w:p>
    <w:p w14:paraId="08544E5A">
      <w:pPr>
        <w:adjustRightInd w:val="0"/>
        <w:snapToGrid w:val="0"/>
        <w:spacing w:line="560" w:lineRule="exact"/>
        <w:ind w:firstLine="480" w:firstLineChars="200"/>
        <w:jc w:val="left"/>
        <w:rPr>
          <w:rFonts w:hint="eastAsia" w:ascii="宋体" w:hAnsi="宋体" w:cs="宋体"/>
          <w:sz w:val="24"/>
          <w:szCs w:val="24"/>
          <w:highlight w:val="none"/>
        </w:rPr>
      </w:pPr>
      <w:r>
        <w:rPr>
          <w:rFonts w:hint="eastAsia" w:ascii="宋体" w:hAnsi="宋体" w:cs="宋体"/>
          <w:sz w:val="24"/>
          <w:szCs w:val="24"/>
          <w:highlight w:val="none"/>
          <w:lang w:val="en-US" w:eastAsia="zh-CN"/>
        </w:rPr>
        <w:t>5</w:t>
      </w:r>
      <w:r>
        <w:rPr>
          <w:rFonts w:hint="eastAsia" w:ascii="宋体" w:hAnsi="宋体" w:cs="宋体"/>
          <w:sz w:val="24"/>
          <w:szCs w:val="24"/>
          <w:highlight w:val="none"/>
        </w:rPr>
        <w:t>.通用条款；</w:t>
      </w:r>
    </w:p>
    <w:p w14:paraId="1F93880D">
      <w:pPr>
        <w:adjustRightInd w:val="0"/>
        <w:snapToGrid w:val="0"/>
        <w:spacing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本合同签订后，双方签订的补充协议与本合同发生矛盾或歧义时，应以最新签署的为准。</w:t>
      </w:r>
      <w:bookmarkStart w:id="17" w:name="_Toc429183997"/>
      <w:bookmarkStart w:id="18" w:name="_Toc327891439"/>
      <w:bookmarkStart w:id="19" w:name="_Toc429304393"/>
      <w:bookmarkStart w:id="20" w:name="_Toc327891437"/>
    </w:p>
    <w:p w14:paraId="052F1542">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四、签约酬金</w:t>
      </w:r>
      <w:bookmarkEnd w:id="17"/>
      <w:bookmarkEnd w:id="18"/>
      <w:bookmarkEnd w:id="19"/>
    </w:p>
    <w:p w14:paraId="5A7E74A1">
      <w:pPr>
        <w:adjustRightInd w:val="0"/>
        <w:snapToGrid w:val="0"/>
        <w:spacing w:line="560" w:lineRule="exact"/>
        <w:ind w:firstLine="480" w:firstLineChars="200"/>
        <w:jc w:val="left"/>
        <w:rPr>
          <w:rFonts w:ascii="宋体" w:hAnsi="宋体" w:cs="宋体"/>
          <w:kern w:val="18"/>
          <w:sz w:val="24"/>
          <w:szCs w:val="24"/>
          <w:highlight w:val="none"/>
        </w:rPr>
      </w:pPr>
      <w:r>
        <w:rPr>
          <w:rFonts w:hint="eastAsia" w:ascii="宋体" w:hAnsi="宋体" w:cs="宋体"/>
          <w:kern w:val="18"/>
          <w:sz w:val="24"/>
          <w:szCs w:val="24"/>
          <w:highlight w:val="none"/>
        </w:rPr>
        <w:t>按照第四部分《专用条款》第5.1条《酬金计取》的计取，本工程所有工程监理与相关服务的签约酬金暂</w:t>
      </w:r>
      <w:r>
        <w:rPr>
          <w:rFonts w:hint="eastAsia" w:ascii="宋体" w:hAnsi="宋体" w:cs="宋体"/>
          <w:kern w:val="18"/>
          <w:sz w:val="24"/>
          <w:szCs w:val="24"/>
          <w:highlight w:val="none"/>
          <w:lang w:eastAsia="zh-CN"/>
        </w:rPr>
        <w:t>定</w:t>
      </w:r>
      <w:r>
        <w:rPr>
          <w:rFonts w:hint="eastAsia" w:ascii="宋体" w:hAnsi="宋体" w:cs="宋体"/>
          <w:kern w:val="18"/>
          <w:sz w:val="24"/>
          <w:szCs w:val="24"/>
          <w:highlight w:val="none"/>
          <w:u w:val="single"/>
          <w:lang w:val="en-US" w:eastAsia="zh-CN"/>
        </w:rPr>
        <w:t xml:space="preserve">    万元（</w:t>
      </w:r>
      <w:r>
        <w:rPr>
          <w:rFonts w:hint="eastAsia" w:ascii="宋体" w:hAnsi="宋体" w:cs="宋体"/>
          <w:kern w:val="18"/>
          <w:sz w:val="24"/>
          <w:szCs w:val="24"/>
          <w:highlight w:val="none"/>
          <w:u w:val="single"/>
        </w:rPr>
        <w:t>大写：</w:t>
      </w:r>
      <w:r>
        <w:rPr>
          <w:rFonts w:hint="eastAsia" w:ascii="宋体" w:hAnsi="宋体" w:cs="宋体"/>
          <w:kern w:val="18"/>
          <w:sz w:val="24"/>
          <w:szCs w:val="24"/>
          <w:highlight w:val="none"/>
          <w:u w:val="single"/>
          <w:lang w:val="en-US" w:eastAsia="zh-CN"/>
        </w:rPr>
        <w:t xml:space="preserve">  整</w:t>
      </w:r>
      <w:r>
        <w:rPr>
          <w:rFonts w:hint="eastAsia" w:ascii="新宋体" w:hAnsi="新宋体" w:eastAsia="新宋体" w:cs="新宋体"/>
          <w:sz w:val="28"/>
          <w:szCs w:val="28"/>
          <w:highlight w:val="none"/>
          <w:u w:val="single"/>
          <w:lang w:val="en-US" w:eastAsia="zh-CN"/>
        </w:rPr>
        <w:t xml:space="preserve"> </w:t>
      </w:r>
      <w:r>
        <w:rPr>
          <w:rFonts w:hint="eastAsia" w:ascii="宋体" w:hAnsi="宋体" w:cs="宋体"/>
          <w:kern w:val="18"/>
          <w:sz w:val="24"/>
          <w:szCs w:val="24"/>
          <w:highlight w:val="none"/>
          <w:u w:val="single"/>
          <w:lang w:val="en-US" w:eastAsia="zh-CN"/>
        </w:rPr>
        <w:t>）</w:t>
      </w:r>
      <w:r>
        <w:rPr>
          <w:rFonts w:hint="eastAsia" w:ascii="宋体" w:hAnsi="宋体" w:cs="宋体"/>
          <w:sz w:val="24"/>
          <w:szCs w:val="24"/>
          <w:highlight w:val="none"/>
          <w:u w:val="none"/>
        </w:rPr>
        <w:t>（</w:t>
      </w:r>
      <w:r>
        <w:rPr>
          <w:rFonts w:hint="eastAsia" w:ascii="宋体" w:hAnsi="宋体" w:cs="宋体"/>
          <w:sz w:val="24"/>
          <w:szCs w:val="24"/>
          <w:highlight w:val="none"/>
        </w:rPr>
        <w:t>含税）。</w:t>
      </w:r>
    </w:p>
    <w:p w14:paraId="3708C391">
      <w:pPr>
        <w:pStyle w:val="49"/>
        <w:spacing w:line="560" w:lineRule="exact"/>
        <w:ind w:firstLine="480" w:firstLineChars="200"/>
        <w:jc w:val="left"/>
        <w:rPr>
          <w:rFonts w:ascii="宋体" w:hAnsi="宋体" w:cs="宋体"/>
          <w:b w:val="0"/>
          <w:bCs w:val="0"/>
          <w:sz w:val="24"/>
          <w:szCs w:val="24"/>
          <w:highlight w:val="none"/>
        </w:rPr>
      </w:pPr>
      <w:bookmarkStart w:id="21" w:name="_Toc19651"/>
      <w:bookmarkStart w:id="22" w:name="_Toc429304394"/>
      <w:bookmarkStart w:id="23" w:name="_Toc429183998"/>
      <w:r>
        <w:rPr>
          <w:rFonts w:hint="eastAsia" w:ascii="宋体" w:hAnsi="宋体" w:cs="宋体"/>
          <w:b w:val="0"/>
          <w:bCs w:val="0"/>
          <w:sz w:val="24"/>
          <w:szCs w:val="24"/>
          <w:highlight w:val="none"/>
        </w:rPr>
        <w:t>五、</w:t>
      </w:r>
      <w:bookmarkEnd w:id="20"/>
      <w:bookmarkStart w:id="24" w:name="_Toc327891438"/>
      <w:r>
        <w:rPr>
          <w:rFonts w:hint="eastAsia" w:ascii="宋体" w:hAnsi="宋体" w:cs="宋体"/>
          <w:b w:val="0"/>
          <w:bCs w:val="0"/>
          <w:sz w:val="24"/>
          <w:szCs w:val="24"/>
          <w:highlight w:val="none"/>
        </w:rPr>
        <w:t>工作期限</w:t>
      </w:r>
      <w:bookmarkEnd w:id="21"/>
      <w:bookmarkEnd w:id="22"/>
      <w:bookmarkEnd w:id="23"/>
      <w:bookmarkEnd w:id="24"/>
    </w:p>
    <w:p w14:paraId="5A5A1234">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kern w:val="18"/>
          <w:sz w:val="24"/>
          <w:szCs w:val="24"/>
          <w:highlight w:val="none"/>
        </w:rPr>
        <w:t>工程监理与相关服务期限：</w:t>
      </w:r>
    </w:p>
    <w:p w14:paraId="494B0A6E">
      <w:pPr>
        <w:adjustRightInd w:val="0"/>
        <w:snapToGrid w:val="0"/>
        <w:spacing w:line="560" w:lineRule="exact"/>
        <w:ind w:firstLine="480" w:firstLineChars="200"/>
        <w:jc w:val="left"/>
        <w:rPr>
          <w:rFonts w:ascii="宋体" w:hAnsi="宋体" w:cs="宋体"/>
          <w:color w:val="auto"/>
          <w:sz w:val="24"/>
          <w:szCs w:val="24"/>
          <w:highlight w:val="none"/>
        </w:rPr>
      </w:pPr>
      <w:r>
        <w:rPr>
          <w:rFonts w:hint="eastAsia" w:ascii="宋体" w:hAnsi="宋体" w:cs="宋体"/>
          <w:snapToGrid w:val="0"/>
          <w:color w:val="auto"/>
          <w:kern w:val="0"/>
          <w:sz w:val="24"/>
          <w:szCs w:val="24"/>
          <w:highlight w:val="none"/>
        </w:rPr>
        <w:t xml:space="preserve">施工阶段： </w:t>
      </w:r>
      <w:r>
        <w:rPr>
          <w:rFonts w:hint="eastAsia" w:ascii="宋体" w:hAnsi="宋体" w:cs="宋体"/>
          <w:snapToGrid w:val="0"/>
          <w:color w:val="auto"/>
          <w:kern w:val="0"/>
          <w:sz w:val="24"/>
          <w:szCs w:val="24"/>
          <w:highlight w:val="none"/>
          <w:u w:val="single"/>
        </w:rPr>
        <w:t xml:space="preserve"> </w:t>
      </w:r>
      <w:r>
        <w:rPr>
          <w:rFonts w:hint="eastAsia" w:ascii="宋体" w:hAnsi="宋体" w:cs="宋体"/>
          <w:snapToGrid w:val="0"/>
          <w:color w:val="auto"/>
          <w:kern w:val="0"/>
          <w:sz w:val="24"/>
          <w:szCs w:val="24"/>
          <w:highlight w:val="none"/>
          <w:u w:val="single"/>
          <w:lang w:val="en-US" w:eastAsia="zh-CN"/>
        </w:rPr>
        <w:t xml:space="preserve">80  </w:t>
      </w:r>
      <w:r>
        <w:rPr>
          <w:rFonts w:hint="eastAsia" w:ascii="宋体" w:hAnsi="宋体" w:cs="宋体"/>
          <w:snapToGrid w:val="0"/>
          <w:color w:val="auto"/>
          <w:kern w:val="0"/>
          <w:sz w:val="24"/>
          <w:szCs w:val="24"/>
          <w:highlight w:val="none"/>
        </w:rPr>
        <w:t>日历天，暂定</w:t>
      </w:r>
      <w:r>
        <w:rPr>
          <w:rFonts w:hint="eastAsia" w:ascii="宋体" w:hAnsi="宋体" w:cs="宋体"/>
          <w:snapToGrid w:val="0"/>
          <w:color w:val="auto"/>
          <w:kern w:val="0"/>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日，最终以开工通知为准。</w:t>
      </w:r>
    </w:p>
    <w:p w14:paraId="130A3C6C">
      <w:pPr>
        <w:adjustRightInd w:val="0"/>
        <w:snapToGrid w:val="0"/>
        <w:spacing w:line="560" w:lineRule="exact"/>
        <w:ind w:firstLine="480" w:firstLineChars="200"/>
        <w:jc w:val="left"/>
        <w:rPr>
          <w:rFonts w:ascii="宋体" w:hAnsi="宋体" w:cs="宋体"/>
          <w:snapToGrid w:val="0"/>
          <w:kern w:val="0"/>
          <w:sz w:val="24"/>
          <w:szCs w:val="24"/>
          <w:highlight w:val="none"/>
          <w:u w:val="single"/>
        </w:rPr>
      </w:pPr>
      <w:r>
        <w:rPr>
          <w:rFonts w:hint="eastAsia" w:ascii="宋体" w:hAnsi="宋体" w:cs="宋体"/>
          <w:snapToGrid w:val="0"/>
          <w:kern w:val="0"/>
          <w:sz w:val="24"/>
          <w:szCs w:val="24"/>
          <w:highlight w:val="none"/>
        </w:rPr>
        <w:t xml:space="preserve">保修阶段： </w:t>
      </w:r>
      <w:r>
        <w:rPr>
          <w:rFonts w:hint="eastAsia" w:ascii="宋体" w:hAnsi="宋体" w:cs="宋体"/>
          <w:sz w:val="24"/>
          <w:szCs w:val="24"/>
          <w:highlight w:val="none"/>
        </w:rPr>
        <w:t>自竣工验收之日起</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2</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p>
    <w:p w14:paraId="38743E2C">
      <w:pPr>
        <w:pStyle w:val="49"/>
        <w:spacing w:line="560" w:lineRule="exact"/>
        <w:ind w:firstLine="480" w:firstLineChars="200"/>
        <w:jc w:val="left"/>
        <w:rPr>
          <w:rFonts w:ascii="宋体" w:hAnsi="宋体" w:cs="宋体"/>
          <w:b w:val="0"/>
          <w:bCs w:val="0"/>
          <w:sz w:val="24"/>
          <w:szCs w:val="24"/>
          <w:highlight w:val="none"/>
        </w:rPr>
      </w:pPr>
      <w:bookmarkStart w:id="25" w:name="_Toc429183999"/>
      <w:bookmarkStart w:id="26" w:name="_Toc13506"/>
      <w:bookmarkStart w:id="27" w:name="_Toc429304395"/>
      <w:bookmarkStart w:id="28" w:name="_Toc327891441"/>
      <w:r>
        <w:rPr>
          <w:rFonts w:hint="eastAsia" w:ascii="宋体" w:hAnsi="宋体" w:cs="宋体"/>
          <w:b w:val="0"/>
          <w:bCs w:val="0"/>
          <w:sz w:val="24"/>
          <w:szCs w:val="24"/>
          <w:highlight w:val="none"/>
        </w:rPr>
        <w:t>六、双方承诺</w:t>
      </w:r>
      <w:bookmarkEnd w:id="25"/>
      <w:bookmarkEnd w:id="26"/>
      <w:bookmarkEnd w:id="27"/>
      <w:bookmarkEnd w:id="28"/>
    </w:p>
    <w:p w14:paraId="43AD1D55">
      <w:pPr>
        <w:adjustRightInd w:val="0"/>
        <w:snapToGrid w:val="0"/>
        <w:spacing w:line="560" w:lineRule="exact"/>
        <w:ind w:firstLine="480" w:firstLineChars="200"/>
        <w:jc w:val="left"/>
        <w:rPr>
          <w:rFonts w:ascii="宋体" w:hAnsi="宋体" w:cs="宋体"/>
          <w:sz w:val="24"/>
          <w:szCs w:val="24"/>
          <w:highlight w:val="none"/>
        </w:rPr>
      </w:pPr>
      <w:bookmarkStart w:id="29" w:name="_Toc327891442"/>
      <w:r>
        <w:rPr>
          <w:rFonts w:hint="eastAsia" w:ascii="宋体" w:hAnsi="宋体" w:cs="宋体"/>
          <w:sz w:val="24"/>
          <w:szCs w:val="24"/>
          <w:highlight w:val="none"/>
        </w:rPr>
        <w:t>1.监理人向委托人承诺，按照本合同约定提供监理与相关服务。</w:t>
      </w:r>
    </w:p>
    <w:p w14:paraId="24A36D07">
      <w:pPr>
        <w:adjustRightInd w:val="0"/>
        <w:snapToGrid w:val="0"/>
        <w:spacing w:line="560" w:lineRule="exact"/>
        <w:ind w:firstLine="480" w:firstLineChars="200"/>
        <w:jc w:val="left"/>
        <w:rPr>
          <w:rFonts w:ascii="宋体" w:hAnsi="宋体" w:cs="宋体"/>
          <w:sz w:val="24"/>
          <w:szCs w:val="24"/>
          <w:highlight w:val="none"/>
        </w:rPr>
      </w:pPr>
      <w:r>
        <w:rPr>
          <w:rFonts w:hint="eastAsia" w:ascii="宋体" w:hAnsi="宋体" w:cs="宋体"/>
          <w:sz w:val="24"/>
          <w:szCs w:val="24"/>
          <w:highlight w:val="none"/>
        </w:rPr>
        <w:t>2.委托人向监理人承诺，按照本合同约定派遣相应的人员，提供资料，并按本合同约定支付酬金。</w:t>
      </w:r>
    </w:p>
    <w:bookmarkEnd w:id="29"/>
    <w:p w14:paraId="5CA2B4C6">
      <w:pPr>
        <w:pStyle w:val="49"/>
        <w:spacing w:line="560" w:lineRule="exact"/>
        <w:ind w:firstLine="480" w:firstLineChars="200"/>
        <w:jc w:val="left"/>
        <w:rPr>
          <w:rFonts w:ascii="宋体" w:hAnsi="宋体" w:cs="宋体"/>
          <w:b w:val="0"/>
          <w:bCs w:val="0"/>
          <w:sz w:val="24"/>
          <w:szCs w:val="24"/>
          <w:highlight w:val="none"/>
        </w:rPr>
      </w:pPr>
      <w:bookmarkStart w:id="30" w:name="_Toc429304396"/>
      <w:bookmarkStart w:id="31" w:name="_Toc4949"/>
      <w:bookmarkStart w:id="32" w:name="_Toc429184000"/>
      <w:r>
        <w:rPr>
          <w:rFonts w:hint="eastAsia" w:ascii="宋体" w:hAnsi="宋体" w:cs="宋体"/>
          <w:b w:val="0"/>
          <w:bCs w:val="0"/>
          <w:sz w:val="24"/>
          <w:szCs w:val="24"/>
          <w:highlight w:val="none"/>
        </w:rPr>
        <w:t>七、合同订立</w:t>
      </w:r>
      <w:bookmarkEnd w:id="30"/>
      <w:bookmarkEnd w:id="31"/>
      <w:bookmarkEnd w:id="32"/>
    </w:p>
    <w:p w14:paraId="19046CFE">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1.订立时间：</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w:t>
      </w:r>
      <w:r>
        <w:rPr>
          <w:rFonts w:hint="eastAsia" w:ascii="宋体" w:hAnsi="宋体" w:cs="宋体"/>
          <w:sz w:val="24"/>
          <w:szCs w:val="24"/>
          <w:highlight w:val="none"/>
          <w:u w:val="single"/>
        </w:rPr>
        <w:t xml:space="preserve">   </w:t>
      </w:r>
      <w:r>
        <w:rPr>
          <w:rFonts w:hint="eastAsia" w:ascii="宋体" w:hAnsi="宋体" w:cs="宋体"/>
          <w:sz w:val="24"/>
          <w:szCs w:val="24"/>
          <w:highlight w:val="none"/>
        </w:rPr>
        <w:t>月</w:t>
      </w:r>
      <w:r>
        <w:rPr>
          <w:rFonts w:hint="eastAsia" w:ascii="宋体" w:hAnsi="宋体" w:cs="宋体"/>
          <w:sz w:val="24"/>
          <w:szCs w:val="24"/>
          <w:highlight w:val="none"/>
          <w:u w:val="single"/>
        </w:rPr>
        <w:t xml:space="preserve">   </w:t>
      </w:r>
      <w:r>
        <w:rPr>
          <w:rFonts w:hint="eastAsia" w:ascii="宋体" w:hAnsi="宋体" w:cs="宋体"/>
          <w:sz w:val="24"/>
          <w:szCs w:val="24"/>
          <w:highlight w:val="none"/>
        </w:rPr>
        <w:t>日。</w:t>
      </w:r>
    </w:p>
    <w:p w14:paraId="61970333">
      <w:pPr>
        <w:adjustRightInd w:val="0"/>
        <w:snapToGrid w:val="0"/>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2.订立地点：</w:t>
      </w:r>
      <w:r>
        <w:rPr>
          <w:rFonts w:hint="eastAsia" w:ascii="宋体" w:hAnsi="宋体" w:cs="宋体"/>
          <w:sz w:val="24"/>
          <w:szCs w:val="24"/>
          <w:highlight w:val="none"/>
          <w:u w:val="single"/>
        </w:rPr>
        <w:t>深圳市龙岗区。</w:t>
      </w:r>
    </w:p>
    <w:p w14:paraId="27925947">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3.合同履行地：深圳市龙岗区</w:t>
      </w:r>
    </w:p>
    <w:p w14:paraId="0ADD63F6">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4.本合同</w:t>
      </w:r>
      <w:r>
        <w:rPr>
          <w:rFonts w:hint="eastAsia" w:ascii="宋体" w:hAnsi="宋体" w:cs="宋体"/>
          <w:sz w:val="24"/>
          <w:szCs w:val="24"/>
          <w:highlight w:val="none"/>
          <w:u w:val="single"/>
        </w:rPr>
        <w:t>壹</w:t>
      </w:r>
      <w:r>
        <w:rPr>
          <w:rFonts w:hint="eastAsia" w:ascii="宋体" w:hAnsi="宋体" w:cs="宋体"/>
          <w:sz w:val="24"/>
          <w:szCs w:val="24"/>
          <w:highlight w:val="none"/>
        </w:rPr>
        <w:t>式</w:t>
      </w:r>
      <w:r>
        <w:rPr>
          <w:rFonts w:hint="eastAsia" w:ascii="宋体" w:hAnsi="宋体" w:cs="宋体"/>
          <w:sz w:val="24"/>
          <w:szCs w:val="24"/>
          <w:highlight w:val="none"/>
          <w:u w:val="single"/>
        </w:rPr>
        <w:t>拾</w:t>
      </w:r>
      <w:r>
        <w:rPr>
          <w:rFonts w:hint="eastAsia" w:ascii="宋体" w:hAnsi="宋体" w:cs="宋体"/>
          <w:sz w:val="24"/>
          <w:szCs w:val="24"/>
          <w:highlight w:val="none"/>
          <w:u w:val="single"/>
          <w:lang w:eastAsia="zh-CN"/>
        </w:rPr>
        <w:t>贰</w:t>
      </w:r>
      <w:r>
        <w:rPr>
          <w:rFonts w:hint="eastAsia" w:ascii="宋体" w:hAnsi="宋体" w:cs="宋体"/>
          <w:sz w:val="24"/>
          <w:szCs w:val="24"/>
          <w:highlight w:val="none"/>
        </w:rPr>
        <w:t>份，委托人</w:t>
      </w:r>
      <w:r>
        <w:rPr>
          <w:rFonts w:hint="eastAsia" w:ascii="宋体" w:hAnsi="宋体" w:cs="宋体"/>
          <w:sz w:val="24"/>
          <w:szCs w:val="24"/>
          <w:highlight w:val="none"/>
          <w:u w:val="single"/>
          <w:lang w:eastAsia="zh-CN"/>
        </w:rPr>
        <w:t>捌</w:t>
      </w:r>
      <w:r>
        <w:rPr>
          <w:rFonts w:hint="eastAsia" w:ascii="宋体" w:hAnsi="宋体" w:cs="宋体"/>
          <w:sz w:val="24"/>
          <w:szCs w:val="24"/>
          <w:highlight w:val="none"/>
        </w:rPr>
        <w:t>份；监理人</w:t>
      </w:r>
      <w:r>
        <w:rPr>
          <w:rFonts w:hint="eastAsia" w:ascii="宋体" w:hAnsi="宋体" w:cs="宋体"/>
          <w:sz w:val="24"/>
          <w:szCs w:val="24"/>
          <w:highlight w:val="none"/>
          <w:u w:val="single"/>
          <w:lang w:eastAsia="zh-CN"/>
        </w:rPr>
        <w:t>肆</w:t>
      </w:r>
      <w:r>
        <w:rPr>
          <w:rFonts w:hint="eastAsia" w:ascii="宋体" w:hAnsi="宋体" w:cs="宋体"/>
          <w:sz w:val="24"/>
          <w:szCs w:val="24"/>
          <w:highlight w:val="none"/>
        </w:rPr>
        <w:t>份。</w:t>
      </w:r>
    </w:p>
    <w:p w14:paraId="6F2A9068">
      <w:pPr>
        <w:pStyle w:val="49"/>
        <w:spacing w:line="560" w:lineRule="exact"/>
        <w:jc w:val="left"/>
        <w:rPr>
          <w:rFonts w:ascii="宋体" w:hAnsi="宋体" w:cs="宋体"/>
          <w:b w:val="0"/>
          <w:bCs w:val="0"/>
          <w:sz w:val="24"/>
          <w:szCs w:val="24"/>
          <w:highlight w:val="none"/>
        </w:rPr>
      </w:pPr>
      <w:bookmarkStart w:id="33" w:name="_Toc20314"/>
      <w:bookmarkStart w:id="34" w:name="_Toc327891443"/>
      <w:bookmarkStart w:id="35" w:name="_Toc429304397"/>
      <w:bookmarkStart w:id="36" w:name="_Toc429184001"/>
      <w:r>
        <w:rPr>
          <w:rFonts w:hint="eastAsia" w:ascii="宋体" w:hAnsi="宋体" w:cs="宋体"/>
          <w:b w:val="0"/>
          <w:bCs w:val="0"/>
          <w:sz w:val="24"/>
          <w:szCs w:val="24"/>
          <w:highlight w:val="none"/>
        </w:rPr>
        <w:t>（以下无正文）</w:t>
      </w:r>
      <w:bookmarkEnd w:id="33"/>
    </w:p>
    <w:p w14:paraId="7B547371">
      <w:pPr>
        <w:spacing w:line="560" w:lineRule="exact"/>
        <w:rPr>
          <w:rFonts w:ascii="宋体" w:hAnsi="宋体" w:cs="宋体"/>
          <w:sz w:val="24"/>
          <w:szCs w:val="24"/>
          <w:highlight w:val="none"/>
        </w:rPr>
      </w:pPr>
    </w:p>
    <w:p w14:paraId="555F91B8">
      <w:pPr>
        <w:pStyle w:val="105"/>
        <w:rPr>
          <w:rFonts w:ascii="宋体" w:hAnsi="宋体" w:cs="宋体"/>
          <w:sz w:val="24"/>
          <w:szCs w:val="24"/>
          <w:highlight w:val="none"/>
        </w:rPr>
      </w:pPr>
    </w:p>
    <w:p w14:paraId="0708DC23">
      <w:pPr>
        <w:pStyle w:val="105"/>
        <w:rPr>
          <w:rFonts w:ascii="宋体" w:hAnsi="宋体" w:cs="宋体"/>
          <w:sz w:val="24"/>
          <w:szCs w:val="24"/>
          <w:highlight w:val="none"/>
        </w:rPr>
      </w:pPr>
    </w:p>
    <w:p w14:paraId="24A7A993">
      <w:pPr>
        <w:pStyle w:val="105"/>
        <w:rPr>
          <w:rFonts w:ascii="宋体" w:hAnsi="宋体" w:cs="宋体"/>
          <w:sz w:val="24"/>
          <w:szCs w:val="24"/>
          <w:highlight w:val="none"/>
        </w:rPr>
      </w:pPr>
    </w:p>
    <w:p w14:paraId="7771E774">
      <w:pPr>
        <w:pStyle w:val="105"/>
        <w:rPr>
          <w:rFonts w:ascii="宋体" w:hAnsi="宋体" w:cs="宋体"/>
          <w:sz w:val="24"/>
          <w:szCs w:val="24"/>
          <w:highlight w:val="none"/>
        </w:rPr>
      </w:pPr>
    </w:p>
    <w:p w14:paraId="576E6BDF">
      <w:pPr>
        <w:pStyle w:val="105"/>
        <w:rPr>
          <w:rFonts w:ascii="宋体" w:hAnsi="宋体" w:cs="宋体"/>
          <w:sz w:val="24"/>
          <w:szCs w:val="24"/>
          <w:highlight w:val="none"/>
        </w:rPr>
      </w:pPr>
    </w:p>
    <w:p w14:paraId="16DA95E3">
      <w:pPr>
        <w:pStyle w:val="105"/>
        <w:rPr>
          <w:rFonts w:ascii="宋体" w:hAnsi="宋体" w:cs="宋体"/>
          <w:sz w:val="24"/>
          <w:szCs w:val="24"/>
          <w:highlight w:val="none"/>
        </w:rPr>
      </w:pPr>
    </w:p>
    <w:p w14:paraId="584E80EF">
      <w:pPr>
        <w:pStyle w:val="105"/>
        <w:rPr>
          <w:rFonts w:ascii="宋体" w:hAnsi="宋体" w:cs="宋体"/>
          <w:sz w:val="24"/>
          <w:szCs w:val="24"/>
          <w:highlight w:val="none"/>
        </w:rPr>
      </w:pPr>
    </w:p>
    <w:p w14:paraId="7CF908A3">
      <w:pPr>
        <w:pStyle w:val="105"/>
        <w:rPr>
          <w:rFonts w:ascii="宋体" w:hAnsi="宋体" w:cs="宋体"/>
          <w:sz w:val="24"/>
          <w:szCs w:val="24"/>
          <w:highlight w:val="none"/>
        </w:rPr>
      </w:pPr>
    </w:p>
    <w:p w14:paraId="13DD4F97">
      <w:pPr>
        <w:autoSpaceDE w:val="0"/>
        <w:autoSpaceDN w:val="0"/>
        <w:adjustRightInd w:val="0"/>
        <w:spacing w:line="560" w:lineRule="exact"/>
        <w:ind w:firstLine="240" w:firstLineChars="100"/>
        <w:jc w:val="left"/>
        <w:rPr>
          <w:rFonts w:ascii="宋体" w:hAnsi="宋体" w:cs="宋体"/>
          <w:kern w:val="0"/>
          <w:sz w:val="24"/>
          <w:szCs w:val="24"/>
          <w:highlight w:val="none"/>
        </w:rPr>
      </w:pPr>
      <w:r>
        <w:rPr>
          <w:rFonts w:hint="eastAsia" w:ascii="宋体" w:hAnsi="宋体" w:cs="宋体"/>
          <w:kern w:val="0"/>
          <w:sz w:val="24"/>
          <w:szCs w:val="24"/>
          <w:highlight w:val="none"/>
        </w:rPr>
        <w:t>双方签字盖章：</w:t>
      </w:r>
    </w:p>
    <w:p w14:paraId="7BD4C296">
      <w:pPr>
        <w:autoSpaceDE w:val="0"/>
        <w:autoSpaceDN w:val="0"/>
        <w:adjustRightInd w:val="0"/>
        <w:spacing w:line="560" w:lineRule="exact"/>
        <w:jc w:val="left"/>
        <w:rPr>
          <w:rFonts w:ascii="宋体" w:hAnsi="宋体" w:cs="宋体"/>
          <w:kern w:val="0"/>
          <w:sz w:val="24"/>
          <w:szCs w:val="24"/>
          <w:highlight w:val="none"/>
        </w:rPr>
      </w:pPr>
    </w:p>
    <w:p w14:paraId="74177A6D">
      <w:pPr>
        <w:keepNext w:val="0"/>
        <w:keepLines w:val="0"/>
        <w:pageBreakBefore w:val="0"/>
        <w:widowControl w:val="0"/>
        <w:kinsoku/>
        <w:wordWrap/>
        <w:overflowPunct/>
        <w:topLinePunct w:val="0"/>
        <w:autoSpaceDE w:val="0"/>
        <w:autoSpaceDN w:val="0"/>
        <w:bidi w:val="0"/>
        <w:adjustRightInd w:val="0"/>
        <w:spacing w:line="560" w:lineRule="exact"/>
        <w:ind w:firstLine="0" w:firstLineChars="0"/>
        <w:jc w:val="left"/>
        <w:textAlignment w:val="auto"/>
        <w:rPr>
          <w:rFonts w:ascii="宋体" w:hAnsi="宋体" w:cs="宋体"/>
          <w:kern w:val="0"/>
          <w:sz w:val="24"/>
          <w:szCs w:val="24"/>
          <w:highlight w:val="none"/>
        </w:rPr>
      </w:pPr>
      <w:r>
        <w:rPr>
          <w:rFonts w:hint="eastAsia" w:ascii="宋体" w:hAnsi="宋体" w:cs="宋体"/>
          <w:kern w:val="0"/>
          <w:sz w:val="24"/>
          <w:szCs w:val="24"/>
          <w:highlight w:val="none"/>
        </w:rPr>
        <w:t xml:space="preserve">委托人（盖章）：　                     监理人（盖章）：                           </w:t>
      </w:r>
    </w:p>
    <w:p w14:paraId="17C159E9">
      <w:pPr>
        <w:keepNext w:val="0"/>
        <w:keepLines w:val="0"/>
        <w:pageBreakBefore w:val="0"/>
        <w:widowControl w:val="0"/>
        <w:kinsoku/>
        <w:wordWrap/>
        <w:overflowPunct/>
        <w:topLinePunct w:val="0"/>
        <w:autoSpaceDE w:val="0"/>
        <w:autoSpaceDN w:val="0"/>
        <w:bidi w:val="0"/>
        <w:adjustRightInd w:val="0"/>
        <w:spacing w:line="560" w:lineRule="exact"/>
        <w:ind w:firstLine="0" w:firstLineChars="0"/>
        <w:jc w:val="left"/>
        <w:textAlignment w:val="auto"/>
        <w:rPr>
          <w:rFonts w:ascii="宋体" w:hAnsi="宋体" w:cs="宋体"/>
          <w:kern w:val="0"/>
          <w:sz w:val="24"/>
          <w:szCs w:val="24"/>
          <w:highlight w:val="none"/>
        </w:rPr>
      </w:pPr>
      <w:r>
        <w:rPr>
          <w:rFonts w:hint="eastAsia" w:ascii="宋体" w:hAnsi="宋体" w:cs="宋体"/>
          <w:kern w:val="0"/>
          <w:sz w:val="24"/>
          <w:szCs w:val="24"/>
          <w:highlight w:val="none"/>
        </w:rPr>
        <w:t>地址：                                 地址：</w:t>
      </w:r>
      <w:r>
        <w:rPr>
          <w:rFonts w:hint="eastAsia" w:ascii="宋体" w:hAnsi="宋体" w:cs="宋体"/>
          <w:sz w:val="24"/>
          <w:szCs w:val="24"/>
          <w:highlight w:val="none"/>
        </w:rPr>
        <w:t xml:space="preserve">           </w:t>
      </w:r>
    </w:p>
    <w:p w14:paraId="505885CE">
      <w:pPr>
        <w:keepNext w:val="0"/>
        <w:keepLines w:val="0"/>
        <w:pageBreakBefore w:val="0"/>
        <w:widowControl w:val="0"/>
        <w:kinsoku/>
        <w:wordWrap/>
        <w:overflowPunct/>
        <w:topLinePunct w:val="0"/>
        <w:autoSpaceDE w:val="0"/>
        <w:autoSpaceDN w:val="0"/>
        <w:bidi w:val="0"/>
        <w:adjustRightInd w:val="0"/>
        <w:spacing w:line="560" w:lineRule="exact"/>
        <w:ind w:firstLine="0" w:firstLineChars="0"/>
        <w:jc w:val="left"/>
        <w:textAlignment w:val="auto"/>
        <w:rPr>
          <w:rFonts w:ascii="宋体" w:hAnsi="宋体" w:cs="宋体"/>
          <w:kern w:val="0"/>
          <w:sz w:val="24"/>
          <w:szCs w:val="24"/>
          <w:highlight w:val="none"/>
        </w:rPr>
      </w:pPr>
      <w:r>
        <w:rPr>
          <w:rFonts w:hint="eastAsia" w:ascii="宋体" w:hAnsi="宋体" w:cs="宋体"/>
          <w:kern w:val="0"/>
          <w:sz w:val="24"/>
          <w:szCs w:val="24"/>
          <w:highlight w:val="none"/>
        </w:rPr>
        <w:t xml:space="preserve">法定代表人（或授权代表）签字：         法定代表人（或授权代表）签字：  </w:t>
      </w:r>
    </w:p>
    <w:p w14:paraId="3F20166C">
      <w:pPr>
        <w:keepNext w:val="0"/>
        <w:keepLines w:val="0"/>
        <w:pageBreakBefore w:val="0"/>
        <w:widowControl w:val="0"/>
        <w:tabs>
          <w:tab w:val="left" w:pos="1163"/>
          <w:tab w:val="left" w:pos="4707"/>
          <w:tab w:val="left" w:pos="4954"/>
          <w:tab w:val="left" w:pos="6189"/>
        </w:tabs>
        <w:kinsoku/>
        <w:wordWrap/>
        <w:overflowPunct/>
        <w:topLinePunct w:val="0"/>
        <w:autoSpaceDE/>
        <w:autoSpaceDN/>
        <w:bidi w:val="0"/>
        <w:adjustRightInd w:val="0"/>
        <w:snapToGrid w:val="0"/>
        <w:spacing w:line="840" w:lineRule="auto"/>
        <w:ind w:firstLine="0" w:firstLineChars="0"/>
        <w:jc w:val="left"/>
        <w:textAlignment w:val="auto"/>
        <w:rPr>
          <w:rFonts w:ascii="宋体" w:hAnsi="宋体" w:eastAsia="宋体" w:cs="宋体"/>
          <w:snapToGrid w:val="0"/>
          <w:kern w:val="0"/>
          <w:sz w:val="22"/>
          <w:highlight w:val="none"/>
        </w:rPr>
      </w:pPr>
      <w:r>
        <w:rPr>
          <w:rFonts w:hint="eastAsia" w:ascii="宋体" w:hAnsi="宋体" w:eastAsia="宋体" w:cs="宋体"/>
          <w:snapToGrid w:val="0"/>
          <w:kern w:val="0"/>
          <w:sz w:val="22"/>
          <w:highlight w:val="none"/>
        </w:rPr>
        <w:t>开户银行：</w:t>
      </w:r>
      <w:r>
        <w:rPr>
          <w:rFonts w:hint="eastAsia" w:ascii="宋体" w:hAnsi="宋体" w:eastAsia="宋体" w:cs="宋体"/>
          <w:snapToGrid w:val="0"/>
          <w:kern w:val="0"/>
          <w:sz w:val="22"/>
          <w:highlight w:val="none"/>
          <w:lang w:val="en-US" w:eastAsia="zh-CN"/>
        </w:rPr>
        <w:t xml:space="preserve">                                 </w:t>
      </w:r>
      <w:r>
        <w:rPr>
          <w:rFonts w:hint="eastAsia" w:ascii="宋体" w:hAnsi="宋体" w:eastAsia="宋体" w:cs="宋体"/>
          <w:snapToGrid w:val="0"/>
          <w:kern w:val="0"/>
          <w:sz w:val="22"/>
          <w:highlight w:val="none"/>
        </w:rPr>
        <w:t>开户银行：</w:t>
      </w:r>
    </w:p>
    <w:p w14:paraId="3637E404">
      <w:pPr>
        <w:keepNext w:val="0"/>
        <w:keepLines w:val="0"/>
        <w:pageBreakBefore w:val="0"/>
        <w:widowControl w:val="0"/>
        <w:tabs>
          <w:tab w:val="left" w:pos="726"/>
          <w:tab w:val="left" w:pos="4707"/>
          <w:tab w:val="left" w:pos="4954"/>
          <w:tab w:val="left" w:pos="5634"/>
        </w:tabs>
        <w:kinsoku/>
        <w:wordWrap/>
        <w:overflowPunct/>
        <w:topLinePunct w:val="0"/>
        <w:autoSpaceDE/>
        <w:autoSpaceDN/>
        <w:bidi w:val="0"/>
        <w:adjustRightInd w:val="0"/>
        <w:snapToGrid w:val="0"/>
        <w:spacing w:line="840" w:lineRule="auto"/>
        <w:ind w:firstLine="0" w:firstLineChars="0"/>
        <w:jc w:val="left"/>
        <w:textAlignment w:val="auto"/>
        <w:rPr>
          <w:rFonts w:ascii="宋体" w:hAnsi="宋体" w:eastAsia="宋体" w:cs="宋体"/>
          <w:snapToGrid w:val="0"/>
          <w:kern w:val="0"/>
          <w:sz w:val="22"/>
          <w:highlight w:val="none"/>
        </w:rPr>
      </w:pPr>
      <w:r>
        <w:rPr>
          <w:rFonts w:hint="eastAsia" w:ascii="宋体" w:hAnsi="宋体" w:eastAsia="宋体" w:cs="宋体"/>
          <w:snapToGrid w:val="0"/>
          <w:kern w:val="0"/>
          <w:sz w:val="22"/>
          <w:highlight w:val="none"/>
        </w:rPr>
        <w:t>账号：</w:t>
      </w:r>
      <w:r>
        <w:rPr>
          <w:rFonts w:hint="eastAsia" w:ascii="宋体" w:hAnsi="宋体" w:eastAsia="宋体" w:cs="宋体"/>
          <w:snapToGrid w:val="0"/>
          <w:kern w:val="0"/>
          <w:sz w:val="22"/>
          <w:highlight w:val="none"/>
          <w:lang w:val="en-US" w:eastAsia="zh-CN"/>
        </w:rPr>
        <w:t xml:space="preserve">                                     </w:t>
      </w:r>
      <w:r>
        <w:rPr>
          <w:rFonts w:hint="eastAsia" w:ascii="宋体" w:hAnsi="宋体" w:eastAsia="宋体" w:cs="宋体"/>
          <w:snapToGrid w:val="0"/>
          <w:kern w:val="0"/>
          <w:sz w:val="22"/>
          <w:highlight w:val="none"/>
        </w:rPr>
        <w:t>账号：</w:t>
      </w:r>
    </w:p>
    <w:p w14:paraId="37957060">
      <w:pPr>
        <w:keepNext w:val="0"/>
        <w:keepLines w:val="0"/>
        <w:pageBreakBefore w:val="0"/>
        <w:widowControl w:val="0"/>
        <w:tabs>
          <w:tab w:val="left" w:pos="726"/>
          <w:tab w:val="left" w:pos="4707"/>
          <w:tab w:val="left" w:pos="4954"/>
          <w:tab w:val="left" w:pos="5634"/>
        </w:tabs>
        <w:kinsoku/>
        <w:wordWrap/>
        <w:overflowPunct/>
        <w:topLinePunct w:val="0"/>
        <w:autoSpaceDE/>
        <w:autoSpaceDN/>
        <w:bidi w:val="0"/>
        <w:adjustRightInd w:val="0"/>
        <w:snapToGrid w:val="0"/>
        <w:spacing w:line="840" w:lineRule="auto"/>
        <w:ind w:firstLine="0" w:firstLineChars="0"/>
        <w:jc w:val="left"/>
        <w:textAlignment w:val="auto"/>
        <w:rPr>
          <w:rFonts w:ascii="宋体" w:hAnsi="宋体" w:eastAsia="宋体" w:cs="宋体"/>
          <w:snapToGrid w:val="0"/>
          <w:kern w:val="0"/>
          <w:sz w:val="22"/>
          <w:highlight w:val="none"/>
        </w:rPr>
      </w:pPr>
      <w:r>
        <w:rPr>
          <w:rFonts w:hint="eastAsia" w:ascii="宋体" w:hAnsi="宋体" w:eastAsia="宋体" w:cs="宋体"/>
          <w:snapToGrid w:val="0"/>
          <w:kern w:val="0"/>
          <w:sz w:val="22"/>
          <w:highlight w:val="none"/>
        </w:rPr>
        <w:t>电话：</w:t>
      </w:r>
      <w:r>
        <w:rPr>
          <w:rFonts w:hint="eastAsia" w:ascii="宋体" w:hAnsi="宋体" w:eastAsia="宋体" w:cs="宋体"/>
          <w:snapToGrid w:val="0"/>
          <w:kern w:val="0"/>
          <w:sz w:val="22"/>
          <w:highlight w:val="none"/>
          <w:lang w:val="en-US" w:eastAsia="zh-CN"/>
        </w:rPr>
        <w:t xml:space="preserve">                                     </w:t>
      </w:r>
      <w:r>
        <w:rPr>
          <w:rFonts w:hint="eastAsia" w:ascii="宋体" w:hAnsi="宋体" w:eastAsia="宋体" w:cs="宋体"/>
          <w:snapToGrid w:val="0"/>
          <w:kern w:val="0"/>
          <w:sz w:val="22"/>
          <w:highlight w:val="none"/>
        </w:rPr>
        <w:t>电话：</w:t>
      </w:r>
    </w:p>
    <w:p w14:paraId="1D1E437A">
      <w:pPr>
        <w:keepNext w:val="0"/>
        <w:keepLines w:val="0"/>
        <w:pageBreakBefore w:val="0"/>
        <w:widowControl w:val="0"/>
        <w:tabs>
          <w:tab w:val="left" w:pos="726"/>
          <w:tab w:val="left" w:pos="4707"/>
          <w:tab w:val="left" w:pos="4954"/>
          <w:tab w:val="left" w:pos="5634"/>
        </w:tabs>
        <w:kinsoku/>
        <w:wordWrap/>
        <w:overflowPunct/>
        <w:topLinePunct w:val="0"/>
        <w:autoSpaceDE/>
        <w:autoSpaceDN/>
        <w:bidi w:val="0"/>
        <w:adjustRightInd w:val="0"/>
        <w:snapToGrid w:val="0"/>
        <w:spacing w:line="840" w:lineRule="auto"/>
        <w:ind w:firstLine="0" w:firstLineChars="0"/>
        <w:jc w:val="left"/>
        <w:textAlignment w:val="auto"/>
        <w:rPr>
          <w:rFonts w:ascii="宋体" w:hAnsi="宋体" w:eastAsia="宋体" w:cs="宋体"/>
          <w:snapToGrid w:val="0"/>
          <w:kern w:val="0"/>
          <w:sz w:val="22"/>
          <w:highlight w:val="none"/>
        </w:rPr>
      </w:pPr>
      <w:r>
        <w:rPr>
          <w:rFonts w:hint="eastAsia" w:ascii="宋体" w:hAnsi="宋体" w:eastAsia="宋体" w:cs="宋体"/>
          <w:snapToGrid w:val="0"/>
          <w:kern w:val="0"/>
          <w:sz w:val="22"/>
          <w:highlight w:val="none"/>
        </w:rPr>
        <w:t>传真：</w:t>
      </w:r>
      <w:r>
        <w:rPr>
          <w:rFonts w:hint="eastAsia" w:ascii="宋体" w:hAnsi="宋体" w:eastAsia="宋体" w:cs="宋体"/>
          <w:snapToGrid w:val="0"/>
          <w:kern w:val="0"/>
          <w:sz w:val="22"/>
          <w:highlight w:val="none"/>
          <w:lang w:val="en-US" w:eastAsia="zh-CN"/>
        </w:rPr>
        <w:t xml:space="preserve">                                     </w:t>
      </w:r>
      <w:r>
        <w:rPr>
          <w:rFonts w:hint="eastAsia" w:ascii="宋体" w:hAnsi="宋体" w:eastAsia="宋体" w:cs="宋体"/>
          <w:snapToGrid w:val="0"/>
          <w:kern w:val="0"/>
          <w:sz w:val="22"/>
          <w:highlight w:val="none"/>
        </w:rPr>
        <w:t>传真：</w:t>
      </w:r>
    </w:p>
    <w:p w14:paraId="2B1853FF">
      <w:pPr>
        <w:keepNext w:val="0"/>
        <w:keepLines w:val="0"/>
        <w:pageBreakBefore w:val="0"/>
        <w:widowControl w:val="0"/>
        <w:tabs>
          <w:tab w:val="left" w:pos="1163"/>
          <w:tab w:val="left" w:pos="4707"/>
          <w:tab w:val="left" w:pos="4954"/>
          <w:tab w:val="left" w:pos="6189"/>
        </w:tabs>
        <w:kinsoku/>
        <w:wordWrap/>
        <w:overflowPunct/>
        <w:topLinePunct w:val="0"/>
        <w:autoSpaceDE/>
        <w:autoSpaceDN/>
        <w:bidi w:val="0"/>
        <w:adjustRightInd w:val="0"/>
        <w:snapToGrid w:val="0"/>
        <w:spacing w:line="840" w:lineRule="auto"/>
        <w:ind w:firstLine="0" w:firstLineChars="0"/>
        <w:jc w:val="left"/>
        <w:textAlignment w:val="auto"/>
        <w:rPr>
          <w:rFonts w:ascii="宋体" w:hAnsi="宋体" w:eastAsia="宋体" w:cs="宋体"/>
          <w:snapToGrid w:val="0"/>
          <w:kern w:val="0"/>
          <w:sz w:val="22"/>
          <w:highlight w:val="none"/>
        </w:rPr>
      </w:pPr>
      <w:r>
        <w:rPr>
          <w:rFonts w:hint="eastAsia" w:ascii="宋体" w:hAnsi="宋体" w:eastAsia="宋体" w:cs="宋体"/>
          <w:snapToGrid w:val="0"/>
          <w:kern w:val="0"/>
          <w:sz w:val="22"/>
          <w:highlight w:val="none"/>
        </w:rPr>
        <w:t>电子邮箱：</w:t>
      </w:r>
      <w:r>
        <w:rPr>
          <w:rFonts w:hint="eastAsia" w:ascii="宋体" w:hAnsi="宋体" w:eastAsia="宋体" w:cs="宋体"/>
          <w:snapToGrid w:val="0"/>
          <w:kern w:val="0"/>
          <w:sz w:val="22"/>
          <w:highlight w:val="none"/>
          <w:lang w:val="en-US" w:eastAsia="zh-CN"/>
        </w:rPr>
        <w:t xml:space="preserve">                                 </w:t>
      </w:r>
      <w:r>
        <w:rPr>
          <w:rFonts w:hint="eastAsia" w:ascii="宋体" w:hAnsi="宋体" w:eastAsia="宋体" w:cs="宋体"/>
          <w:snapToGrid w:val="0"/>
          <w:kern w:val="0"/>
          <w:sz w:val="22"/>
          <w:highlight w:val="none"/>
        </w:rPr>
        <w:t>电子邮箱：</w:t>
      </w:r>
    </w:p>
    <w:p w14:paraId="3F68CA5D">
      <w:pPr>
        <w:autoSpaceDE w:val="0"/>
        <w:autoSpaceDN w:val="0"/>
        <w:adjustRightInd w:val="0"/>
        <w:spacing w:line="560" w:lineRule="exact"/>
        <w:jc w:val="left"/>
        <w:rPr>
          <w:rFonts w:ascii="宋体" w:hAnsi="宋体" w:cs="宋体"/>
          <w:sz w:val="24"/>
          <w:szCs w:val="24"/>
          <w:highlight w:val="none"/>
        </w:rPr>
      </w:pPr>
      <w:r>
        <w:rPr>
          <w:rFonts w:hint="eastAsia" w:ascii="宋体" w:hAnsi="宋体" w:cs="宋体"/>
          <w:kern w:val="0"/>
          <w:sz w:val="24"/>
          <w:szCs w:val="24"/>
          <w:highlight w:val="none"/>
        </w:rPr>
        <w:t>年　　月　　日　　　　　              　年　　月　　日</w:t>
      </w:r>
    </w:p>
    <w:p w14:paraId="0FB5F976">
      <w:pPr>
        <w:pStyle w:val="49"/>
        <w:spacing w:before="0" w:after="0" w:line="560" w:lineRule="exact"/>
        <w:rPr>
          <w:rFonts w:ascii="宋体" w:hAnsi="宋体" w:cs="宋体"/>
          <w:sz w:val="36"/>
          <w:szCs w:val="36"/>
          <w:highlight w:val="none"/>
        </w:rPr>
      </w:pPr>
      <w:r>
        <w:rPr>
          <w:rFonts w:hint="eastAsia" w:ascii="宋体" w:hAnsi="宋体" w:cs="宋体"/>
          <w:b w:val="0"/>
          <w:bCs w:val="0"/>
          <w:sz w:val="24"/>
          <w:szCs w:val="24"/>
          <w:highlight w:val="none"/>
        </w:rPr>
        <w:br w:type="page"/>
      </w:r>
      <w:bookmarkStart w:id="37" w:name="_Toc445"/>
      <w:r>
        <w:rPr>
          <w:rFonts w:hint="eastAsia" w:ascii="宋体" w:hAnsi="宋体" w:cs="宋体"/>
          <w:sz w:val="36"/>
          <w:szCs w:val="36"/>
          <w:highlight w:val="none"/>
        </w:rPr>
        <w:t>第二部分  委托文件</w:t>
      </w:r>
      <w:bookmarkEnd w:id="37"/>
    </w:p>
    <w:p w14:paraId="7A792197">
      <w:pPr>
        <w:pStyle w:val="112"/>
        <w:spacing w:line="560" w:lineRule="exact"/>
        <w:ind w:firstLine="1080" w:firstLineChars="300"/>
        <w:rPr>
          <w:rFonts w:ascii="宋体" w:hAnsi="宋体" w:eastAsia="宋体" w:cs="宋体"/>
          <w:sz w:val="36"/>
          <w:szCs w:val="36"/>
          <w:highlight w:val="none"/>
        </w:rPr>
      </w:pPr>
    </w:p>
    <w:p w14:paraId="71800CA7">
      <w:pPr>
        <w:pStyle w:val="112"/>
        <w:spacing w:line="560" w:lineRule="exact"/>
        <w:jc w:val="center"/>
        <w:rPr>
          <w:rFonts w:ascii="宋体" w:hAnsi="宋体" w:eastAsia="宋体" w:cs="宋体"/>
          <w:b/>
          <w:sz w:val="36"/>
          <w:szCs w:val="36"/>
          <w:highlight w:val="none"/>
        </w:rPr>
      </w:pPr>
      <w:r>
        <w:rPr>
          <w:rFonts w:hint="eastAsia" w:ascii="宋体" w:hAnsi="宋体" w:eastAsia="宋体" w:cs="宋体"/>
          <w:b/>
          <w:sz w:val="36"/>
          <w:szCs w:val="36"/>
          <w:highlight w:val="none"/>
        </w:rPr>
        <w:t>关于</w:t>
      </w:r>
      <w:r>
        <w:rPr>
          <w:rFonts w:hint="eastAsia" w:ascii="宋体" w:hAnsi="宋体" w:eastAsia="宋体" w:cs="宋体"/>
          <w:b/>
          <w:sz w:val="36"/>
          <w:szCs w:val="36"/>
          <w:highlight w:val="none"/>
          <w:lang w:eastAsia="zh-CN"/>
        </w:rPr>
        <w:t>南门苑、南门雅苑综合整治提升项目</w:t>
      </w:r>
      <w:r>
        <w:rPr>
          <w:rFonts w:hint="eastAsia" w:ascii="宋体" w:hAnsi="宋体" w:eastAsia="宋体" w:cs="宋体"/>
          <w:b/>
          <w:sz w:val="36"/>
          <w:szCs w:val="36"/>
          <w:highlight w:val="none"/>
          <w:lang w:val="en-US" w:eastAsia="zh-CN"/>
        </w:rPr>
        <w:t>工程</w:t>
      </w:r>
      <w:r>
        <w:rPr>
          <w:rFonts w:hint="eastAsia" w:ascii="宋体" w:hAnsi="宋体" w:eastAsia="宋体" w:cs="宋体"/>
          <w:b/>
          <w:sz w:val="36"/>
          <w:szCs w:val="36"/>
          <w:highlight w:val="none"/>
        </w:rPr>
        <w:t>监理的委托函</w:t>
      </w:r>
    </w:p>
    <w:p w14:paraId="35C48337">
      <w:pPr>
        <w:tabs>
          <w:tab w:val="left" w:pos="5640"/>
        </w:tabs>
        <w:spacing w:line="560" w:lineRule="exact"/>
        <w:ind w:firstLine="149" w:firstLineChars="62"/>
        <w:jc w:val="center"/>
        <w:rPr>
          <w:rFonts w:ascii="宋体" w:hAnsi="宋体" w:cs="宋体"/>
          <w:b/>
          <w:sz w:val="24"/>
          <w:szCs w:val="24"/>
          <w:highlight w:val="none"/>
        </w:rPr>
      </w:pPr>
    </w:p>
    <w:p w14:paraId="64A9D6F3">
      <w:pPr>
        <w:tabs>
          <w:tab w:val="left" w:pos="5640"/>
        </w:tabs>
        <w:spacing w:line="560" w:lineRule="exact"/>
        <w:jc w:val="left"/>
        <w:rPr>
          <w:rFonts w:ascii="宋体" w:hAnsi="宋体" w:cs="宋体"/>
          <w:sz w:val="28"/>
          <w:szCs w:val="28"/>
          <w:highlight w:val="none"/>
        </w:rPr>
      </w:pPr>
      <w:r>
        <w:rPr>
          <w:rFonts w:hint="eastAsia" w:ascii="宋体" w:hAnsi="宋体" w:cs="宋体"/>
          <w:sz w:val="28"/>
          <w:szCs w:val="28"/>
          <w:highlight w:val="none"/>
        </w:rPr>
        <w:t>______________________：</w:t>
      </w:r>
    </w:p>
    <w:p w14:paraId="46C2DC9F">
      <w:pPr>
        <w:spacing w:line="560" w:lineRule="exact"/>
        <w:ind w:firstLine="560" w:firstLineChars="200"/>
        <w:jc w:val="left"/>
        <w:rPr>
          <w:rFonts w:ascii="宋体" w:hAnsi="宋体" w:cs="宋体"/>
          <w:kern w:val="0"/>
          <w:sz w:val="28"/>
          <w:szCs w:val="28"/>
          <w:highlight w:val="none"/>
        </w:rPr>
      </w:pPr>
      <w:r>
        <w:rPr>
          <w:rFonts w:hint="eastAsia" w:ascii="宋体" w:hAnsi="宋体" w:cs="宋体"/>
          <w:kern w:val="0"/>
          <w:sz w:val="28"/>
          <w:szCs w:val="28"/>
          <w:highlight w:val="none"/>
        </w:rPr>
        <w:t>我司拟委托贵司承担</w:t>
      </w:r>
      <w:r>
        <w:rPr>
          <w:rFonts w:hint="eastAsia" w:ascii="宋体" w:hAnsi="宋体" w:cs="宋体"/>
          <w:kern w:val="0"/>
          <w:sz w:val="28"/>
          <w:szCs w:val="28"/>
          <w:highlight w:val="none"/>
          <w:u w:val="single"/>
        </w:rPr>
        <w:t xml:space="preserve"> </w:t>
      </w:r>
      <w:r>
        <w:rPr>
          <w:rFonts w:hint="eastAsia" w:ascii="宋体" w:hAnsi="宋体" w:cs="宋体"/>
          <w:kern w:val="0"/>
          <w:sz w:val="28"/>
          <w:szCs w:val="28"/>
          <w:highlight w:val="none"/>
          <w:u w:val="single"/>
          <w:lang w:eastAsia="zh-CN"/>
        </w:rPr>
        <w:t>南门苑、南门雅苑综合整治提升项目</w:t>
      </w:r>
      <w:r>
        <w:rPr>
          <w:rFonts w:hint="eastAsia" w:ascii="宋体" w:hAnsi="宋体" w:cs="宋体"/>
          <w:kern w:val="0"/>
          <w:sz w:val="28"/>
          <w:szCs w:val="28"/>
          <w:highlight w:val="none"/>
          <w:u w:val="none"/>
          <w:lang w:val="en-US" w:eastAsia="zh-CN"/>
        </w:rPr>
        <w:t>工程</w:t>
      </w:r>
      <w:r>
        <w:rPr>
          <w:rFonts w:hint="eastAsia" w:ascii="宋体" w:hAnsi="宋体" w:cs="宋体"/>
          <w:kern w:val="0"/>
          <w:sz w:val="28"/>
          <w:szCs w:val="28"/>
          <w:highlight w:val="none"/>
        </w:rPr>
        <w:t>监理</w:t>
      </w:r>
      <w:r>
        <w:rPr>
          <w:rFonts w:hint="eastAsia" w:ascii="宋体" w:hAnsi="宋体" w:cs="宋体"/>
          <w:sz w:val="28"/>
          <w:szCs w:val="28"/>
          <w:highlight w:val="none"/>
        </w:rPr>
        <w:t>工作任务，</w:t>
      </w:r>
      <w:r>
        <w:rPr>
          <w:rFonts w:hint="eastAsia" w:ascii="宋体" w:hAnsi="宋体" w:cs="宋体"/>
          <w:sz w:val="28"/>
          <w:szCs w:val="28"/>
          <w:highlight w:val="none"/>
          <w:lang w:val="en-US" w:eastAsia="zh-CN"/>
        </w:rPr>
        <w:t>暂定</w:t>
      </w:r>
      <w:r>
        <w:rPr>
          <w:rFonts w:hint="eastAsia" w:ascii="宋体" w:hAnsi="宋体" w:cs="宋体"/>
          <w:kern w:val="0"/>
          <w:sz w:val="28"/>
          <w:szCs w:val="28"/>
          <w:highlight w:val="none"/>
        </w:rPr>
        <w:t>合同价为</w:t>
      </w:r>
      <w:r>
        <w:rPr>
          <w:rFonts w:hint="eastAsia" w:ascii="宋体" w:hAnsi="宋体" w:cs="宋体"/>
          <w:kern w:val="0"/>
          <w:sz w:val="28"/>
          <w:szCs w:val="28"/>
          <w:highlight w:val="none"/>
          <w:u w:val="single"/>
          <w:lang w:val="en-US" w:eastAsia="zh-CN"/>
        </w:rPr>
        <w:t>XXX</w:t>
      </w:r>
      <w:r>
        <w:rPr>
          <w:rFonts w:hint="eastAsia" w:ascii="宋体" w:hAnsi="宋体" w:cs="宋体"/>
          <w:kern w:val="0"/>
          <w:sz w:val="28"/>
          <w:szCs w:val="28"/>
          <w:highlight w:val="none"/>
        </w:rPr>
        <w:t>万元</w:t>
      </w:r>
      <w:r>
        <w:rPr>
          <w:rFonts w:hint="eastAsia" w:ascii="宋体" w:hAnsi="宋体" w:cs="宋体"/>
          <w:kern w:val="0"/>
          <w:sz w:val="28"/>
          <w:szCs w:val="28"/>
          <w:highlight w:val="none"/>
          <w:lang w:eastAsia="zh-CN"/>
        </w:rPr>
        <w:t>，</w:t>
      </w:r>
      <w:r>
        <w:rPr>
          <w:rFonts w:hint="eastAsia" w:ascii="宋体" w:hAnsi="宋体" w:cs="宋体"/>
          <w:kern w:val="0"/>
          <w:sz w:val="28"/>
          <w:szCs w:val="28"/>
          <w:highlight w:val="none"/>
          <w:lang w:val="en-US" w:eastAsia="zh-CN"/>
        </w:rPr>
        <w:t>下浮率</w:t>
      </w:r>
      <w:r>
        <w:rPr>
          <w:rFonts w:hint="eastAsia" w:ascii="宋体" w:hAnsi="宋体" w:cs="宋体"/>
          <w:kern w:val="0"/>
          <w:sz w:val="28"/>
          <w:szCs w:val="28"/>
          <w:highlight w:val="none"/>
          <w:u w:val="single"/>
          <w:lang w:val="en-US" w:eastAsia="zh-CN"/>
        </w:rPr>
        <w:t xml:space="preserve">X% </w:t>
      </w:r>
      <w:r>
        <w:rPr>
          <w:rFonts w:hint="eastAsia" w:ascii="宋体" w:hAnsi="宋体" w:cs="宋体"/>
          <w:sz w:val="28"/>
          <w:szCs w:val="28"/>
          <w:highlight w:val="none"/>
        </w:rPr>
        <w:t>。</w:t>
      </w:r>
      <w:r>
        <w:rPr>
          <w:rFonts w:hint="eastAsia" w:ascii="宋体" w:hAnsi="宋体" w:cs="宋体"/>
          <w:kern w:val="0"/>
          <w:sz w:val="28"/>
          <w:szCs w:val="28"/>
          <w:highlight w:val="none"/>
        </w:rPr>
        <w:t>请贵司收到此函后组织人员尽快开展工作，并与我</w:t>
      </w:r>
      <w:r>
        <w:rPr>
          <w:rFonts w:hint="eastAsia" w:ascii="宋体" w:hAnsi="宋体" w:cs="宋体"/>
          <w:kern w:val="0"/>
          <w:sz w:val="28"/>
          <w:szCs w:val="28"/>
          <w:highlight w:val="none"/>
          <w:lang w:val="en-US" w:eastAsia="zh-CN"/>
        </w:rPr>
        <w:t>司</w:t>
      </w:r>
      <w:r>
        <w:rPr>
          <w:rFonts w:hint="eastAsia" w:ascii="宋体" w:hAnsi="宋体" w:cs="宋体"/>
          <w:kern w:val="0"/>
          <w:sz w:val="28"/>
          <w:szCs w:val="28"/>
          <w:highlight w:val="none"/>
        </w:rPr>
        <w:t>联系协商签订合同事宜。</w:t>
      </w:r>
    </w:p>
    <w:p w14:paraId="246CA137">
      <w:pPr>
        <w:spacing w:line="560" w:lineRule="exact"/>
        <w:ind w:firstLine="640"/>
        <w:jc w:val="right"/>
        <w:rPr>
          <w:rFonts w:ascii="宋体" w:hAnsi="宋体" w:cs="宋体"/>
          <w:sz w:val="28"/>
          <w:szCs w:val="28"/>
          <w:highlight w:val="none"/>
        </w:rPr>
      </w:pPr>
    </w:p>
    <w:p w14:paraId="4E03BD52">
      <w:pPr>
        <w:spacing w:line="560" w:lineRule="exact"/>
        <w:ind w:firstLine="640"/>
        <w:jc w:val="right"/>
        <w:rPr>
          <w:rFonts w:ascii="宋体" w:hAnsi="宋体" w:cs="宋体"/>
          <w:sz w:val="28"/>
          <w:szCs w:val="28"/>
          <w:highlight w:val="none"/>
        </w:rPr>
      </w:pPr>
    </w:p>
    <w:p w14:paraId="35061C5B">
      <w:pPr>
        <w:spacing w:line="560" w:lineRule="exact"/>
        <w:ind w:firstLine="640"/>
        <w:jc w:val="right"/>
        <w:rPr>
          <w:rFonts w:ascii="宋体" w:hAnsi="宋体" w:cs="宋体"/>
          <w:sz w:val="28"/>
          <w:szCs w:val="28"/>
          <w:highlight w:val="none"/>
        </w:rPr>
      </w:pPr>
    </w:p>
    <w:p w14:paraId="4A825A27">
      <w:pPr>
        <w:spacing w:line="560" w:lineRule="exact"/>
        <w:ind w:firstLine="640"/>
        <w:jc w:val="right"/>
        <w:rPr>
          <w:rFonts w:hint="eastAsia" w:ascii="宋体" w:hAnsi="宋体" w:eastAsia="宋体" w:cs="宋体"/>
          <w:sz w:val="28"/>
          <w:szCs w:val="28"/>
          <w:highlight w:val="none"/>
          <w:u w:val="single"/>
          <w:lang w:eastAsia="zh-CN"/>
        </w:rPr>
      </w:pPr>
      <w:r>
        <w:rPr>
          <w:rFonts w:hint="eastAsia" w:ascii="宋体" w:hAnsi="宋体" w:cs="宋体"/>
          <w:sz w:val="28"/>
          <w:szCs w:val="28"/>
          <w:highlight w:val="none"/>
          <w:u w:val="single"/>
          <w:lang w:eastAsia="zh-CN"/>
        </w:rPr>
        <w:t>深圳市龙岗区</w:t>
      </w:r>
      <w:r>
        <w:rPr>
          <w:rFonts w:hint="eastAsia" w:ascii="宋体" w:hAnsi="宋体" w:cs="宋体"/>
          <w:sz w:val="28"/>
          <w:szCs w:val="28"/>
          <w:highlight w:val="none"/>
          <w:u w:val="single"/>
          <w:lang w:val="en-US" w:eastAsia="zh-CN"/>
        </w:rPr>
        <w:t>城投置地开发</w:t>
      </w:r>
      <w:r>
        <w:rPr>
          <w:rFonts w:hint="eastAsia" w:ascii="宋体" w:hAnsi="宋体" w:cs="宋体"/>
          <w:sz w:val="28"/>
          <w:szCs w:val="28"/>
          <w:highlight w:val="none"/>
          <w:u w:val="single"/>
          <w:lang w:eastAsia="zh-CN"/>
        </w:rPr>
        <w:t>有限公司</w:t>
      </w:r>
    </w:p>
    <w:p w14:paraId="2CBCEFF7">
      <w:pPr>
        <w:wordWrap w:val="0"/>
        <w:spacing w:line="560" w:lineRule="exact"/>
        <w:ind w:firstLine="640"/>
        <w:jc w:val="right"/>
        <w:rPr>
          <w:rFonts w:ascii="宋体" w:hAnsi="宋体" w:cs="宋体"/>
          <w:sz w:val="28"/>
          <w:szCs w:val="28"/>
          <w:highlight w:val="none"/>
        </w:rPr>
      </w:pPr>
      <w:r>
        <w:rPr>
          <w:rFonts w:hint="eastAsia" w:ascii="宋体" w:hAnsi="宋体" w:cs="宋体"/>
          <w:sz w:val="28"/>
          <w:szCs w:val="28"/>
          <w:highlight w:val="none"/>
        </w:rPr>
        <w:t>____年__月__日</w:t>
      </w:r>
    </w:p>
    <w:p w14:paraId="4CBB8711">
      <w:pPr>
        <w:pStyle w:val="24"/>
        <w:bidi w:val="0"/>
        <w:rPr>
          <w:highlight w:val="none"/>
        </w:rPr>
      </w:pPr>
    </w:p>
    <w:p w14:paraId="7ABC7572">
      <w:pPr>
        <w:pStyle w:val="51"/>
        <w:bidi w:val="0"/>
        <w:rPr>
          <w:highlight w:val="none"/>
        </w:rPr>
      </w:pPr>
    </w:p>
    <w:p w14:paraId="27CB27D7">
      <w:pPr>
        <w:spacing w:line="560" w:lineRule="exact"/>
        <w:rPr>
          <w:rFonts w:ascii="宋体" w:hAnsi="宋体" w:cs="宋体"/>
          <w:sz w:val="24"/>
          <w:szCs w:val="24"/>
          <w:highlight w:val="none"/>
        </w:rPr>
      </w:pPr>
    </w:p>
    <w:p w14:paraId="73FB1095">
      <w:pPr>
        <w:spacing w:line="560" w:lineRule="exact"/>
        <w:rPr>
          <w:rFonts w:ascii="宋体" w:hAnsi="宋体" w:cs="宋体"/>
          <w:sz w:val="24"/>
          <w:szCs w:val="24"/>
          <w:highlight w:val="none"/>
        </w:rPr>
      </w:pPr>
    </w:p>
    <w:p w14:paraId="2986D72D">
      <w:pPr>
        <w:spacing w:line="560" w:lineRule="exact"/>
        <w:rPr>
          <w:rFonts w:ascii="宋体" w:hAnsi="宋体" w:cs="宋体"/>
          <w:sz w:val="24"/>
          <w:szCs w:val="24"/>
          <w:highlight w:val="none"/>
        </w:rPr>
      </w:pPr>
    </w:p>
    <w:p w14:paraId="656C8ADF">
      <w:pPr>
        <w:spacing w:line="560" w:lineRule="exact"/>
        <w:rPr>
          <w:rFonts w:ascii="宋体" w:hAnsi="宋体" w:cs="宋体"/>
          <w:sz w:val="24"/>
          <w:szCs w:val="24"/>
          <w:highlight w:val="none"/>
        </w:rPr>
      </w:pPr>
    </w:p>
    <w:p w14:paraId="2237308C">
      <w:pPr>
        <w:spacing w:line="560" w:lineRule="exact"/>
        <w:rPr>
          <w:rFonts w:ascii="宋体" w:hAnsi="宋体" w:cs="宋体"/>
          <w:sz w:val="24"/>
          <w:szCs w:val="24"/>
          <w:highlight w:val="none"/>
        </w:rPr>
      </w:pPr>
    </w:p>
    <w:p w14:paraId="086F9E7E">
      <w:pPr>
        <w:spacing w:line="560" w:lineRule="exact"/>
        <w:rPr>
          <w:rFonts w:ascii="宋体" w:hAnsi="宋体" w:cs="宋体"/>
          <w:sz w:val="24"/>
          <w:szCs w:val="24"/>
          <w:highlight w:val="none"/>
        </w:rPr>
      </w:pPr>
    </w:p>
    <w:p w14:paraId="675DC5B6">
      <w:pPr>
        <w:spacing w:line="560" w:lineRule="exact"/>
        <w:rPr>
          <w:rFonts w:ascii="宋体" w:hAnsi="宋体" w:cs="宋体"/>
          <w:sz w:val="24"/>
          <w:szCs w:val="24"/>
          <w:highlight w:val="none"/>
        </w:rPr>
      </w:pPr>
    </w:p>
    <w:p w14:paraId="4341BD34">
      <w:pPr>
        <w:spacing w:line="560" w:lineRule="exact"/>
        <w:rPr>
          <w:rFonts w:ascii="宋体" w:hAnsi="宋体" w:cs="宋体"/>
          <w:sz w:val="24"/>
          <w:szCs w:val="24"/>
          <w:highlight w:val="none"/>
        </w:rPr>
      </w:pPr>
    </w:p>
    <w:p w14:paraId="5FC1301C">
      <w:pPr>
        <w:pStyle w:val="5"/>
        <w:numPr>
          <w:ilvl w:val="1"/>
          <w:numId w:val="0"/>
        </w:numPr>
        <w:spacing w:before="0" w:after="240" w:line="560" w:lineRule="exact"/>
        <w:ind w:left="1470" w:firstLine="1441" w:firstLineChars="400"/>
        <w:rPr>
          <w:rFonts w:ascii="宋体" w:hAnsi="宋体" w:cs="宋体"/>
          <w:sz w:val="36"/>
          <w:szCs w:val="36"/>
          <w:highlight w:val="none"/>
        </w:rPr>
      </w:pPr>
      <w:bookmarkStart w:id="38" w:name="_Toc11824"/>
      <w:r>
        <w:rPr>
          <w:rFonts w:hint="eastAsia" w:ascii="宋体" w:hAnsi="宋体" w:cs="宋体"/>
          <w:sz w:val="36"/>
          <w:szCs w:val="36"/>
          <w:highlight w:val="none"/>
        </w:rPr>
        <w:t xml:space="preserve">第三部分 </w:t>
      </w:r>
      <w:bookmarkEnd w:id="34"/>
      <w:bookmarkEnd w:id="35"/>
      <w:bookmarkEnd w:id="36"/>
      <w:r>
        <w:rPr>
          <w:rFonts w:hint="eastAsia" w:ascii="宋体" w:hAnsi="宋体" w:cs="宋体"/>
          <w:sz w:val="36"/>
          <w:szCs w:val="36"/>
          <w:highlight w:val="none"/>
        </w:rPr>
        <w:t>通用条款</w:t>
      </w:r>
      <w:bookmarkEnd w:id="38"/>
    </w:p>
    <w:p w14:paraId="36ECC1B5">
      <w:pPr>
        <w:pStyle w:val="6"/>
        <w:numPr>
          <w:ilvl w:val="2"/>
          <w:numId w:val="0"/>
        </w:numPr>
        <w:spacing w:before="360" w:after="120" w:line="550" w:lineRule="exact"/>
        <w:rPr>
          <w:rFonts w:ascii="宋体" w:hAnsi="宋体" w:cs="宋体"/>
          <w:b w:val="0"/>
          <w:bCs w:val="0"/>
          <w:sz w:val="24"/>
          <w:szCs w:val="24"/>
          <w:highlight w:val="none"/>
        </w:rPr>
      </w:pPr>
      <w:bookmarkStart w:id="39" w:name="_Toc327891444"/>
      <w:bookmarkStart w:id="40" w:name="_Toc429184002"/>
      <w:bookmarkStart w:id="41" w:name="_Toc14640"/>
      <w:bookmarkStart w:id="42" w:name="_Toc429304398"/>
      <w:r>
        <w:rPr>
          <w:rFonts w:hint="eastAsia" w:ascii="宋体" w:hAnsi="宋体" w:cs="宋体"/>
          <w:b w:val="0"/>
          <w:bCs w:val="0"/>
          <w:sz w:val="24"/>
          <w:szCs w:val="24"/>
          <w:highlight w:val="none"/>
        </w:rPr>
        <w:t>1 定义与解释</w:t>
      </w:r>
      <w:bookmarkEnd w:id="39"/>
      <w:bookmarkEnd w:id="40"/>
      <w:bookmarkEnd w:id="41"/>
      <w:bookmarkEnd w:id="42"/>
    </w:p>
    <w:p w14:paraId="3C061F44">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1.1 定义</w:t>
      </w:r>
    </w:p>
    <w:p w14:paraId="7A6F976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除根据上下文另有其意义外，组成本合同的全部文件中的下列名词和用语应具有本款所赋予的含义：</w:t>
      </w:r>
    </w:p>
    <w:p w14:paraId="64082C8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1.1.1“工程”是指按照本合同约定实施监理与相关服务的建设工程。</w:t>
      </w:r>
    </w:p>
    <w:p w14:paraId="223426F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1.1.2“委托人”是指本合同中委托监理与相关服务的一方，及其合法的继承人或受让人。</w:t>
      </w:r>
    </w:p>
    <w:p w14:paraId="57483D6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1.1.3“监理人”是指本合同中提供工程监理与相关服务的一方，及其合法的继承人。</w:t>
      </w:r>
    </w:p>
    <w:p w14:paraId="6A3F828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1.1.4“承包人”是指在工程范围内与委托人签订勘察、设计、施工等有关合同的当事人，及其合法的继承人。</w:t>
      </w:r>
    </w:p>
    <w:p w14:paraId="3C09EA1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1.1.5“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14:paraId="6B59606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1.1.6“相关服务”是指监理人受委托人的委托，按照本合同约定，在勘察、设计、保修等阶段提供的服务活动。</w:t>
      </w:r>
    </w:p>
    <w:p w14:paraId="31CA0CA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1.1.7“工程项目管理”是指监理人受委托人的委托，按照本合同约定，代表委托人对工程项目实施全过程或若干阶段的管理和服务。</w:t>
      </w:r>
    </w:p>
    <w:p w14:paraId="178F217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 1.1.8“工程监理与项目管理一体化”是指监理人受委托人的委托，按照本合同约定，代表委托人对工程项目的实施全过程或若干阶段的管理和服务，对工程项目的施工阶段实施工程监理的服务活动。</w:t>
      </w:r>
    </w:p>
    <w:p w14:paraId="386E9D01">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1.1.9“正常工作”指本合同订立时通用条款和专用条款中约定的监理人的工作。</w:t>
      </w:r>
    </w:p>
    <w:p w14:paraId="34028A2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1.1.10“附加工作”是指本合同约定的正常工作以外监理人的工作。</w:t>
      </w:r>
    </w:p>
    <w:p w14:paraId="0FC8266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1.1.11“项目机构”是指监理人派驻工程负责履行本合同的组织机构。对于工程监理与项目管理一体化的项目机构，下设从事工程监理的子机构，在项目机构的领导下，负责履行本合同有关工程项目施工阶段工程监理的约定。</w:t>
      </w:r>
    </w:p>
    <w:p w14:paraId="6595EDF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1.1.12“项目负责人（总监理工程师）”是指由监理人的法定代表人书面授权，全面负责履行本合同、主持项目机构工作的具有相应工程类注册执业资格或专业技术职称的专业人员。对于单纯从事工程监理的项目负责人，以及工程监理与项目管理一体化中具体从事工程监理的负责人，执业资格都为国家注册监理工程师。</w:t>
      </w:r>
    </w:p>
    <w:p w14:paraId="5E823A3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1.1.13“总监理工程师代表”是指经总监理工程师授权，在项目机构中履行总监理工程师的部分职责，具有工程类注册执业资格或具有中级及以上专业技术职称，3年及以上工程监理实践经验的监理服务人员。总监理工程师为专职时不设总监理工程师代表。</w:t>
      </w:r>
    </w:p>
    <w:p w14:paraId="003BDBD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1.1.14“专业监理工程师”，指由总监理工程师授权，负责实施某一专业或某一岗位的监理工作，有相应监理文件签发权，具有工程类注册执业资格或具有中级及以上专业技术职称，3年及以上工程监理实践经验的监理服务人员。</w:t>
      </w:r>
    </w:p>
    <w:p w14:paraId="65C0F85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1.1.15“监理员”，是指在总监理工程师或专业监理工程师的领导下，从事某项具体监理工作业务，具有中专及以上学历并经监理业务培训的监理服务人员。</w:t>
      </w:r>
    </w:p>
    <w:p w14:paraId="3732809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1.1.16“酬金”是指监理人履行本合同义务，委托人按照本合同约定给付监理人的金额。</w:t>
      </w:r>
    </w:p>
    <w:p w14:paraId="30E36EB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1.1.17“正常工作酬金”是指监理人完成正常工作，委托人应给付监理人并在协议书中载明的签约酬金额。</w:t>
      </w:r>
    </w:p>
    <w:p w14:paraId="0E610E4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1.1.18“附加工作酬金”是指监理人完成附加工作，委托人应给付监理人的金额。</w:t>
      </w:r>
    </w:p>
    <w:p w14:paraId="51B09DF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1.1.19“一方”是指委托人或监理人；“双方”是指委托人和监理人；“第三方”是指除委托人和监理人以外的有关方。</w:t>
      </w:r>
    </w:p>
    <w:p w14:paraId="0F9BC211">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1.1.20“书面形式”是指合同书、信件和数据电文（包括电报、电传、传真、电子数据交换和电子邮件）等可以有形地表现所载内容的形式。</w:t>
      </w:r>
    </w:p>
    <w:p w14:paraId="301635C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1.1.21“天”是指第一天零时至第二天零时的时间。</w:t>
      </w:r>
    </w:p>
    <w:p w14:paraId="6CE4802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1.1.22“月”是指按公历从一个月中任何一天开始的一个公历月时间。</w:t>
      </w:r>
    </w:p>
    <w:p w14:paraId="382B12D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1.1.23“不可抗力”是指委托人和监理人在订立本合同时不可预见，在工程施工过程中不可避免发生并不能克服的自然灾害和社会性突发事件，如地震、海啸、瘟疫、水灾、骚乱、暴动、战争和专用条款约定的其他情形。</w:t>
      </w:r>
    </w:p>
    <w:p w14:paraId="10717F5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1.1.24“工程概算投资额”是指经政府发展改革部门批复的建设项目工程投资概算额，而非施工招标的标底价、施工投标的中标价和工程竣工结算价。工程竣工验收前，工程概算投资额如经政府发展改革部门批准进行调整的，施工阶段监理酬金的计费额为调整后的工程概算投资额。</w:t>
      </w:r>
    </w:p>
    <w:p w14:paraId="0405EDF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1.2 解释</w:t>
      </w:r>
    </w:p>
    <w:p w14:paraId="52483C0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1.2.1本合同使用中文书写、解释和说明。如专用条款约定使用两种及以上语言文字时，应以中文为准。</w:t>
      </w:r>
    </w:p>
    <w:p w14:paraId="3901E84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1.2.2组成本合同的下列文件彼此应能相互解释、互为说明。除专用条款另有约定外，本合同文件的解释顺序如下：</w:t>
      </w:r>
    </w:p>
    <w:p w14:paraId="22B8DCB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⑴.协议书；</w:t>
      </w:r>
    </w:p>
    <w:p w14:paraId="45414D6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⑵.委托函（适用于招标工程）或委托书（适用于非招标工程）；</w:t>
      </w:r>
    </w:p>
    <w:p w14:paraId="4B98551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⑶.专用条款</w:t>
      </w:r>
    </w:p>
    <w:p w14:paraId="32B4E6B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⑷.通用条款；</w:t>
      </w:r>
    </w:p>
    <w:p w14:paraId="016A795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⑸.投标文件（适用于招标工程）或监理与相关服务建议书（适用于非招标工程）。</w:t>
      </w:r>
    </w:p>
    <w:p w14:paraId="54E623A9">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双方签订的补充协议与其他文件发生矛盾或歧义时，属于同一类内容的文件，应以最新签署的为准。</w:t>
      </w:r>
    </w:p>
    <w:p w14:paraId="7B543468">
      <w:pPr>
        <w:pStyle w:val="6"/>
        <w:numPr>
          <w:ilvl w:val="2"/>
          <w:numId w:val="0"/>
        </w:numPr>
        <w:spacing w:before="120" w:after="120" w:line="550" w:lineRule="exact"/>
        <w:rPr>
          <w:rFonts w:ascii="宋体" w:hAnsi="宋体" w:cs="宋体"/>
          <w:b w:val="0"/>
          <w:bCs w:val="0"/>
          <w:sz w:val="24"/>
          <w:szCs w:val="24"/>
          <w:highlight w:val="none"/>
        </w:rPr>
      </w:pPr>
      <w:bookmarkStart w:id="43" w:name="_Toc327891445"/>
      <w:bookmarkStart w:id="44" w:name="_Toc429304399"/>
      <w:bookmarkStart w:id="45" w:name="_Toc429184003"/>
      <w:bookmarkStart w:id="46" w:name="_Toc5527"/>
      <w:r>
        <w:rPr>
          <w:rFonts w:hint="eastAsia" w:ascii="宋体" w:hAnsi="宋体" w:cs="宋体"/>
          <w:b w:val="0"/>
          <w:bCs w:val="0"/>
          <w:sz w:val="24"/>
          <w:szCs w:val="24"/>
          <w:highlight w:val="none"/>
        </w:rPr>
        <w:t>2 监理人的义务</w:t>
      </w:r>
      <w:bookmarkEnd w:id="43"/>
      <w:bookmarkEnd w:id="44"/>
      <w:bookmarkEnd w:id="45"/>
      <w:bookmarkEnd w:id="46"/>
    </w:p>
    <w:p w14:paraId="27A8A106">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2.1监理的范围和工作内容</w:t>
      </w:r>
    </w:p>
    <w:p w14:paraId="78EB2469">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2.1.1 监理范围在专用条款中约定。</w:t>
      </w:r>
    </w:p>
    <w:p w14:paraId="56A8031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2.1.2 除专用条款另有约定外，监理工作内容包括：</w:t>
      </w:r>
    </w:p>
    <w:p w14:paraId="47D57CC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⑴收到工程设计文件后编制监理规划，并在第一次工地会议7天前报委托人。根据有关规定和监理工作需要，编制监理实施细则；</w:t>
      </w:r>
    </w:p>
    <w:p w14:paraId="27B09F8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⑵熟悉工程设计文件，并参加由委托人主持的图纸会审和设计交底会议；</w:t>
      </w:r>
    </w:p>
    <w:p w14:paraId="15688C1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⑶参加由委托人主持的第一次工地会议；主持监理例会并根据工程需要主持或参加专题会议；</w:t>
      </w:r>
    </w:p>
    <w:p w14:paraId="7D8F615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⑷审查施工承包人提交的施工组织设计，重点审查其中的质量安全技术措施、专项施工方案与工程建设强制性标准的符合性；</w:t>
      </w:r>
    </w:p>
    <w:p w14:paraId="535D2C2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⑸检查施工承包人工程质量、安全生产管理制度及组织机构和人员资格；</w:t>
      </w:r>
    </w:p>
    <w:p w14:paraId="145BD0C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⑹检查施工承包人专职安全生产管理人员的配备情况；</w:t>
      </w:r>
    </w:p>
    <w:p w14:paraId="2C48F42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⑺审查施工承包人提交的施工进度计划，核查承包人对施工进度计划的调整；</w:t>
      </w:r>
    </w:p>
    <w:p w14:paraId="06D0E40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⑻检查施工承包人的试验室；</w:t>
      </w:r>
    </w:p>
    <w:p w14:paraId="4BBAE986">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⑼审核施工分包人资质条件；</w:t>
      </w:r>
    </w:p>
    <w:p w14:paraId="400002B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⑽查验施工承包人的施工测量放线成果；</w:t>
      </w:r>
    </w:p>
    <w:p w14:paraId="2992C921">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⑾审查工程开工条件，对条件具备的签发开工令；</w:t>
      </w:r>
    </w:p>
    <w:p w14:paraId="3980E06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⑿审查施工承包人报送的工程材料、构配件、设备质量证明文件的有效性和符合性，并按规定对用于工程的材料采取平行检查或见证取样方式进行抽检；</w:t>
      </w:r>
    </w:p>
    <w:p w14:paraId="58138B4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⒀审核施工承包人提交的工程款支付申请，签发或出具工程款支付证书，并报委托人审核、批准；</w:t>
      </w:r>
    </w:p>
    <w:p w14:paraId="78246F29">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⒁在巡视、旁站和检查、验收过程中，发现工程质量、施工安全存在事故隐患的，要求施工承包人整改并报委托人；</w:t>
      </w:r>
    </w:p>
    <w:p w14:paraId="6C50EA0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⒂经委托人同意，签发工程暂停令和复工令；</w:t>
      </w:r>
    </w:p>
    <w:p w14:paraId="1BD5F1E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⒃审查施工承包人提交的采用新材料、新工艺、新技术、新设备的论证材料及相关验收标准；</w:t>
      </w:r>
    </w:p>
    <w:p w14:paraId="3431817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⒄验收隐蔽工程、分部分项工程；</w:t>
      </w:r>
    </w:p>
    <w:p w14:paraId="57ED177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⒅审查施工承包人提交的工程变更申请，协调处理施工进度调整、费用索赔、合同争议等事项；</w:t>
      </w:r>
    </w:p>
    <w:p w14:paraId="5FFCFC7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⒆审查施工承包人提交的竣工验收申请，编写工程质量评估报告；</w:t>
      </w:r>
    </w:p>
    <w:p w14:paraId="12893F7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⒇参加工程竣工验收，签署竣工验收意见；</w:t>
      </w:r>
    </w:p>
    <w:p w14:paraId="133EEBC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(21)审查施工承包人提交的竣工结算申请中有关工程变更部分的工程数量，并报委托人；</w:t>
      </w:r>
    </w:p>
    <w:p w14:paraId="0B30CB2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(22)编制、整理工程监理归档文件并报委托人。</w:t>
      </w:r>
    </w:p>
    <w:p w14:paraId="4FB42E5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2.1.3 相关服务的范围和内容在专用条款约定。</w:t>
      </w:r>
    </w:p>
    <w:p w14:paraId="26DA4D3E">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2.2 监理与相关服务依据</w:t>
      </w:r>
    </w:p>
    <w:p w14:paraId="716C916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2.2.1 监理依据包括：</w:t>
      </w:r>
    </w:p>
    <w:p w14:paraId="429530BF">
      <w:pPr>
        <w:spacing w:line="550" w:lineRule="exact"/>
        <w:ind w:firstLine="420"/>
        <w:rPr>
          <w:rFonts w:ascii="宋体" w:hAnsi="宋体" w:cs="宋体"/>
          <w:sz w:val="24"/>
          <w:szCs w:val="24"/>
          <w:highlight w:val="none"/>
        </w:rPr>
      </w:pPr>
      <w:r>
        <w:rPr>
          <w:rFonts w:hint="eastAsia" w:ascii="宋体" w:hAnsi="宋体" w:cs="宋体"/>
          <w:sz w:val="24"/>
          <w:szCs w:val="24"/>
          <w:highlight w:val="none"/>
        </w:rPr>
        <w:t>⑴.适用的法律、行政法规及部门规章；</w:t>
      </w:r>
    </w:p>
    <w:p w14:paraId="4FE0235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⑵.与工程有关的标准；</w:t>
      </w:r>
    </w:p>
    <w:p w14:paraId="08797BC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⑶.工程设计及有关文件；</w:t>
      </w:r>
    </w:p>
    <w:p w14:paraId="09C4D29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⑷.本合同及委托人与第三方签订的与实施工程有关的其他合同。</w:t>
      </w:r>
    </w:p>
    <w:p w14:paraId="44084F8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双方根据工程的行业和地域特点，在专用条款中具体约定监理依据。</w:t>
      </w:r>
    </w:p>
    <w:p w14:paraId="6A1F88A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2.2.2 相关服务依据在专用条款中约定。</w:t>
      </w:r>
    </w:p>
    <w:p w14:paraId="14329C2D">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2.3 项目机构和人员</w:t>
      </w:r>
    </w:p>
    <w:p w14:paraId="02B48E3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2.3.1监理人应组建满足工作需要的项目机构，配备必要的施工测量复核、简易的质量实测实量所需的仪器设备。项目机构的主要人员应具有相应的资格条件。</w:t>
      </w:r>
    </w:p>
    <w:p w14:paraId="553F517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2.3.2本合同履行过程中，项目负责人（总监）及重要岗位监理服务人员应保持相对稳定，以保证工程监理与相关服务工作正常进行。</w:t>
      </w:r>
    </w:p>
    <w:p w14:paraId="02B11E5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2.3.3监理人可根据工程进展和工作需要调整项目机构人员。监理人更换项目负责人（总监）时，应提前7天向委托人书面报告，经委托人同意后方可更换；监理人更换项目机构其他监理服务人员，应以相当资格与能力的人员替换，并通知委托人。</w:t>
      </w:r>
    </w:p>
    <w:p w14:paraId="2BBA2D09">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2.3.4 监理人应及时更换有下列情形之一的监理服务人员：</w:t>
      </w:r>
    </w:p>
    <w:p w14:paraId="0C44B0E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⑴.严重过失行为的；</w:t>
      </w:r>
    </w:p>
    <w:p w14:paraId="0A4B546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⑵.有违法行为不能履行职责的；</w:t>
      </w:r>
    </w:p>
    <w:p w14:paraId="15E8E66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⑶.涉嫌犯罪的；</w:t>
      </w:r>
    </w:p>
    <w:p w14:paraId="6AD23C6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⑷.不能胜任岗位职责的；</w:t>
      </w:r>
    </w:p>
    <w:p w14:paraId="6A029D2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⑸.严重违反职业道德的；</w:t>
      </w:r>
    </w:p>
    <w:p w14:paraId="18334BE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⑹.专用条款约定的其他情形。</w:t>
      </w:r>
    </w:p>
    <w:p w14:paraId="77EA9DB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2.3.5 委托人可要求监理人更换不能胜任本职工作的项目机构人员。</w:t>
      </w:r>
    </w:p>
    <w:p w14:paraId="188475B5">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2.4 履行职责</w:t>
      </w:r>
    </w:p>
    <w:p w14:paraId="678DB156">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监理人应遵循职业道德准则和行为规范，严格按照法律法规、工程建设有关标准及本合同履行职责。</w:t>
      </w:r>
    </w:p>
    <w:p w14:paraId="4D8FB2D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2.4.1 在监理与相关服务范围内，委托人和承包人提出的意见和要求，监理人应及时提出处置意见。当委托人与承包人之间发生合同争议时，监理人应协助委托人、承包人协商解决。</w:t>
      </w:r>
    </w:p>
    <w:p w14:paraId="2329F98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2.4.2 当委托人与承包人之间的合同争议提交仲裁机构仲裁或人民法院审理时，监理人应提供必要的证明资料。</w:t>
      </w:r>
    </w:p>
    <w:p w14:paraId="5D91B3E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2.4.3 监理人应在专用条款约定的授权范围内，处理委托人与承包人所签订合同的变更事宜。如果变更超过授权范围，应以书面形式报委托人批准。</w:t>
      </w:r>
    </w:p>
    <w:p w14:paraId="5A2100E9">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在紧急情况下，为了保护财产和人身安全，监理人所发出的指令未能事先报委托人批准时，应在发出指令后的24小时内以书面形式报委托人。</w:t>
      </w:r>
    </w:p>
    <w:p w14:paraId="478C00B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2.4.4 除专用条款另有约定外，监理人发现承包人的人员不能胜任本职工作的，有权要求承包人予以调换。</w:t>
      </w:r>
    </w:p>
    <w:p w14:paraId="36683174">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2.5 提交报告</w:t>
      </w:r>
    </w:p>
    <w:p w14:paraId="64717AF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监理人应按专用条款约定的种类、时间和份数向委托人提交监理与相关服务的报告。</w:t>
      </w:r>
    </w:p>
    <w:p w14:paraId="43043F91">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2.6 文件资料</w:t>
      </w:r>
    </w:p>
    <w:p w14:paraId="6C75B00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在本合同履行期内，监理人应在现场保留工作所用的图纸、报告及记录监理工作的相关文件。工程竣工后，应当按照档案管理规定将监理有关文件归档。</w:t>
      </w:r>
    </w:p>
    <w:p w14:paraId="69E67266">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2.7 使用委托人的财产</w:t>
      </w:r>
    </w:p>
    <w:p w14:paraId="15211D0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无偿使用中由委托人派遣的人员和提供的房屋、资料、设备。除专用条款另有约定外，委托人提供的房屋、设备属于委托人的财产，监理人应妥善使用和保管，在本合同终止时将这些房屋、设备的清单提交委托人，并按专用条款约定的时间和方式移交。</w:t>
      </w:r>
    </w:p>
    <w:p w14:paraId="51F1C565">
      <w:pPr>
        <w:pStyle w:val="6"/>
        <w:numPr>
          <w:ilvl w:val="2"/>
          <w:numId w:val="0"/>
        </w:numPr>
        <w:spacing w:before="240" w:after="120" w:line="550" w:lineRule="exact"/>
        <w:rPr>
          <w:rFonts w:ascii="宋体" w:hAnsi="宋体" w:cs="宋体"/>
          <w:b w:val="0"/>
          <w:bCs w:val="0"/>
          <w:sz w:val="24"/>
          <w:szCs w:val="24"/>
          <w:highlight w:val="none"/>
        </w:rPr>
      </w:pPr>
      <w:bookmarkStart w:id="47" w:name="_Toc327891446"/>
      <w:bookmarkStart w:id="48" w:name="_Toc15585"/>
      <w:bookmarkStart w:id="49" w:name="_Toc429304400"/>
      <w:bookmarkStart w:id="50" w:name="_Toc429184004"/>
      <w:r>
        <w:rPr>
          <w:rFonts w:hint="eastAsia" w:ascii="宋体" w:hAnsi="宋体" w:cs="宋体"/>
          <w:b w:val="0"/>
          <w:bCs w:val="0"/>
          <w:sz w:val="24"/>
          <w:szCs w:val="24"/>
          <w:highlight w:val="none"/>
        </w:rPr>
        <w:t>3 委托人的义务</w:t>
      </w:r>
      <w:bookmarkEnd w:id="47"/>
      <w:bookmarkEnd w:id="48"/>
      <w:bookmarkEnd w:id="49"/>
      <w:bookmarkEnd w:id="50"/>
    </w:p>
    <w:p w14:paraId="5B2B62E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3.1 告知</w:t>
      </w:r>
    </w:p>
    <w:p w14:paraId="2272188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委托人应在委托人与承包人签订的合同中明确监理人及监理人的项目负责人（总监）和授予项目机构的权限。如有变更，应及时通知承包人。</w:t>
      </w:r>
    </w:p>
    <w:p w14:paraId="54CE5E3B">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3.2 提供资料</w:t>
      </w:r>
    </w:p>
    <w:p w14:paraId="67B4992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委托人应按照约定，无偿向监理人提供工程有关的资料。在本合同履行过程中，委托人应及时向监理人提供最新的与工程有关的资料。</w:t>
      </w:r>
    </w:p>
    <w:p w14:paraId="537B9A1D">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3.3 提供工作条件</w:t>
      </w:r>
    </w:p>
    <w:p w14:paraId="1A08E98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委托人应为监理人完成监理与相关服务提供必要的条件。</w:t>
      </w:r>
    </w:p>
    <w:p w14:paraId="0EB1B08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3.3.1 委托人应按照约定，派遣相应的人员，提供房屋、设备，供监理人无偿使用。</w:t>
      </w:r>
    </w:p>
    <w:p w14:paraId="457B6C4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3.3.2 委托人应负责协调工程建设中所有外部关系，为监理人履行本合同提供必要的外部条件。</w:t>
      </w:r>
    </w:p>
    <w:p w14:paraId="5EBF90E0">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3.4 委托人代表</w:t>
      </w:r>
    </w:p>
    <w:p w14:paraId="10DB269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委托人应授权一名熟悉工程情况的代表，负责与监理人联系。委托人应在双方签订监理合同后7天内，将委托人代表的姓名和职责书面告知监理人。当委托人更换委托人代表时，应提前7天书面通知监理人。</w:t>
      </w:r>
    </w:p>
    <w:p w14:paraId="0F17EFD6">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3.5委托人意见或要求</w:t>
      </w:r>
    </w:p>
    <w:p w14:paraId="297E5F7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在本合同约定的监理与相关服务工作范围内，委托人对承包人的任何意见或要求应通知监理人，由监理人向承包人发出相应指令。</w:t>
      </w:r>
    </w:p>
    <w:p w14:paraId="7D3EBD6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3.6答复</w:t>
      </w:r>
    </w:p>
    <w:p w14:paraId="78EA57D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委托人应在专用条款约定的时间内，对监理人以书面形式提交并要求作出决定的事宜，给予书面答复。逾期未答复的，视为委托人认可。</w:t>
      </w:r>
    </w:p>
    <w:p w14:paraId="4FD3D24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3.7 支付</w:t>
      </w:r>
    </w:p>
    <w:p w14:paraId="1147155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委托人应按本合同约定，向监理人支付酬金。</w:t>
      </w:r>
    </w:p>
    <w:p w14:paraId="4039199B">
      <w:pPr>
        <w:pStyle w:val="6"/>
        <w:numPr>
          <w:ilvl w:val="2"/>
          <w:numId w:val="0"/>
        </w:numPr>
        <w:spacing w:before="240" w:after="120" w:line="550" w:lineRule="exact"/>
        <w:rPr>
          <w:rFonts w:ascii="宋体" w:hAnsi="宋体" w:cs="宋体"/>
          <w:b w:val="0"/>
          <w:bCs w:val="0"/>
          <w:sz w:val="24"/>
          <w:szCs w:val="24"/>
          <w:highlight w:val="none"/>
        </w:rPr>
      </w:pPr>
      <w:bookmarkStart w:id="51" w:name="_Toc429304401"/>
      <w:bookmarkStart w:id="52" w:name="_Toc327891447"/>
      <w:bookmarkStart w:id="53" w:name="_Toc13172"/>
      <w:bookmarkStart w:id="54" w:name="_Toc429184005"/>
      <w:r>
        <w:rPr>
          <w:rFonts w:hint="eastAsia" w:ascii="宋体" w:hAnsi="宋体" w:cs="宋体"/>
          <w:b w:val="0"/>
          <w:bCs w:val="0"/>
          <w:sz w:val="24"/>
          <w:szCs w:val="24"/>
          <w:highlight w:val="none"/>
        </w:rPr>
        <w:t>4 违约责任</w:t>
      </w:r>
      <w:bookmarkEnd w:id="51"/>
      <w:bookmarkEnd w:id="52"/>
      <w:bookmarkEnd w:id="53"/>
      <w:bookmarkEnd w:id="54"/>
    </w:p>
    <w:p w14:paraId="5655E8FD">
      <w:pPr>
        <w:spacing w:before="20" w:after="20" w:line="550" w:lineRule="exact"/>
        <w:ind w:firstLine="480" w:firstLineChars="200"/>
        <w:rPr>
          <w:rFonts w:ascii="宋体" w:hAnsi="宋体" w:cs="宋体"/>
          <w:kern w:val="18"/>
          <w:sz w:val="24"/>
          <w:szCs w:val="24"/>
          <w:highlight w:val="none"/>
        </w:rPr>
      </w:pPr>
      <w:bookmarkStart w:id="55" w:name="_Toc327891448"/>
      <w:r>
        <w:rPr>
          <w:rFonts w:hint="eastAsia" w:ascii="宋体" w:hAnsi="宋体" w:cs="宋体"/>
          <w:kern w:val="18"/>
          <w:sz w:val="24"/>
          <w:szCs w:val="24"/>
          <w:highlight w:val="none"/>
        </w:rPr>
        <w:t>4.1 监理人的违约责任</w:t>
      </w:r>
    </w:p>
    <w:p w14:paraId="775C2A1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监理人未履行本合同义务的，应承担相应的责任。</w:t>
      </w:r>
    </w:p>
    <w:p w14:paraId="6AA02AC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4.1.1 因监理人违反本合同约定给委托人造成损失的，监理人应当赔偿委托人损失。赔偿金额的确定方法在专用条款中约定。监理人承担部分赔偿责任的，其承担赔偿金额由双方协商确定。</w:t>
      </w:r>
    </w:p>
    <w:p w14:paraId="66F773A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4.1.2 监理人向委托人的索赔不成立时，监理人应赔偿委托人由此发生的费用。</w:t>
      </w:r>
    </w:p>
    <w:p w14:paraId="6AB8BD7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4.2 委托人的违约责任</w:t>
      </w:r>
    </w:p>
    <w:p w14:paraId="2A49661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委托人未履行本合同义务的，应承担相应的责任。</w:t>
      </w:r>
    </w:p>
    <w:p w14:paraId="4B1694F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4.2.1 委托人违反本合同约定造成监理人损失的，委托人应予以赔偿。</w:t>
      </w:r>
    </w:p>
    <w:p w14:paraId="2EFBF5B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4.2.2 委托人向监理人的索赔不成立时，应赔偿监理人由此引起的费用。</w:t>
      </w:r>
    </w:p>
    <w:p w14:paraId="0033672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4.2.3 委托人未能按期支付酬金超过28天，应按专用条款约定支付逾期付款利息。</w:t>
      </w:r>
    </w:p>
    <w:p w14:paraId="1D5BD122">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4.3 除外责任</w:t>
      </w:r>
    </w:p>
    <w:p w14:paraId="7237E616">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因非监理人的原因，且监理人无过错，发生工程质量事故、安全事故、工期延误等造成的损失，监理人不承担赔偿责任。</w:t>
      </w:r>
    </w:p>
    <w:p w14:paraId="1E8F903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因不可抗力导致本合同全部或部分不能履行时，双方各自承担其因此而造成的损失、损害。</w:t>
      </w:r>
    </w:p>
    <w:p w14:paraId="6C70F357">
      <w:pPr>
        <w:pStyle w:val="6"/>
        <w:numPr>
          <w:ilvl w:val="2"/>
          <w:numId w:val="0"/>
        </w:numPr>
        <w:spacing w:before="240" w:after="120" w:line="550" w:lineRule="exact"/>
        <w:rPr>
          <w:rFonts w:ascii="宋体" w:hAnsi="宋体" w:cs="宋体"/>
          <w:b w:val="0"/>
          <w:bCs w:val="0"/>
          <w:sz w:val="24"/>
          <w:szCs w:val="24"/>
          <w:highlight w:val="none"/>
        </w:rPr>
      </w:pPr>
      <w:bookmarkStart w:id="56" w:name="_Toc25752"/>
      <w:bookmarkStart w:id="57" w:name="_Toc429304402"/>
      <w:bookmarkStart w:id="58" w:name="_Toc429184006"/>
      <w:r>
        <w:rPr>
          <w:rFonts w:hint="eastAsia" w:ascii="宋体" w:hAnsi="宋体" w:cs="宋体"/>
          <w:b w:val="0"/>
          <w:bCs w:val="0"/>
          <w:sz w:val="24"/>
          <w:szCs w:val="24"/>
          <w:highlight w:val="none"/>
        </w:rPr>
        <w:t>5酬金的计取与支付</w:t>
      </w:r>
      <w:bookmarkEnd w:id="55"/>
      <w:bookmarkEnd w:id="56"/>
      <w:bookmarkEnd w:id="57"/>
      <w:bookmarkEnd w:id="58"/>
    </w:p>
    <w:p w14:paraId="39B5527B">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5.1 酬金计取</w:t>
      </w:r>
    </w:p>
    <w:p w14:paraId="0A085AE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5.1.1工程监理酬金特指工程施工阶段的监理酬金。</w:t>
      </w:r>
    </w:p>
    <w:p w14:paraId="5FABFF29">
      <w:pPr>
        <w:spacing w:line="550" w:lineRule="exact"/>
        <w:ind w:firstLine="480" w:firstLineChars="200"/>
        <w:rPr>
          <w:rFonts w:hint="eastAsia" w:ascii="宋体" w:hAnsi="宋体" w:cs="宋体"/>
          <w:sz w:val="24"/>
          <w:szCs w:val="24"/>
          <w:highlight w:val="none"/>
        </w:rPr>
      </w:pPr>
      <w:r>
        <w:rPr>
          <w:rFonts w:hint="eastAsia" w:ascii="宋体" w:hAnsi="宋体" w:cs="宋体"/>
          <w:sz w:val="24"/>
          <w:szCs w:val="24"/>
          <w:highlight w:val="none"/>
        </w:rPr>
        <w:t>⑴.施工阶段监理酬金的计取一般参照国家发改委、建设部《工程监理与相关服务收费管理规定》（发改价格〔2007〕670号）的相关规定，以工程概算投资额作为施工阶段监理酬金的计费额，先计算出监理酬金的基价，再计算监理酬金的基准价，然后再就基准价的浮动范围进行协商，并最后确定施工阶段监理酬金的总价。</w:t>
      </w:r>
    </w:p>
    <w:p w14:paraId="5FAF2A6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对于施工阶段监理，由于施工阶段的监理服务涉及工程质量控制和安全生产管理的监理服务内容，事关社会公众利益和人民生命财产安全，委托人不应恶意下浮监理酬金，监理人也不应以工程质量控制和安全生产管理的监理服务的责任重大而哄抬监理酬金。监理酬金的计取应参照国家发改委、建设部《工程监理与相关服务收费管理规定》（发改价格〔2007〕670号）的相关规定要求，并结合工程的实际情况，由双方协商确定。</w:t>
      </w:r>
    </w:p>
    <w:p w14:paraId="1742C742">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5.1.2 相关服务（保修阶段、勘察阶段、设计阶段、设备监造等）酬金的计取，委托人应明确监理人项目机构各类组成人员的类型与数量、提供相关服务的阶段与期限，按专用条款所述的人员综合费用法计取酬金。对于政府建设投资项目，保修阶段的服务酬金一般按施工阶段监理酬金的5％进行计取。</w:t>
      </w:r>
    </w:p>
    <w:p w14:paraId="7E118F8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5.1.3工程项目管理、工程监理与工程项目管理一体化中的项目管理的酬金计取，委托人应明确监理人项目机构各类组成人员的类型与数量、提供相关服务的阶段与期限，按专用条款所述的人员综合费用法计取酬金。</w:t>
      </w:r>
    </w:p>
    <w:p w14:paraId="26EB2117">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5.2 酬金支付</w:t>
      </w:r>
    </w:p>
    <w:p w14:paraId="72DAC47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5.2.1 施工阶段监理酬金支付</w:t>
      </w:r>
    </w:p>
    <w:p w14:paraId="4A98FC1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施工阶段监理酬金支付包括：预付款支付、期中月度支付和余额支付三种。</w:t>
      </w:r>
    </w:p>
    <w:p w14:paraId="68DC006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⑴.预付款支付：自监理合同签订之日起10日内委托人应支付施工阶段监理酬金总额的15％～25％作为预付款，详细支付比例与金额在专用条款中约定。</w:t>
      </w:r>
    </w:p>
    <w:p w14:paraId="606C796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⑵.期中月度支付：期中月度支付每月一次，具体在专用条款中约定。</w:t>
      </w:r>
    </w:p>
    <w:p w14:paraId="27FD9C0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⑶.余额支付：当月进度款支付至施工阶段监理酬金总额的95％时，委托人可暂停支付，但所剩余额须于工程正式通过竣工验收后10天内予以全部支付。</w:t>
      </w:r>
    </w:p>
    <w:p w14:paraId="28A396D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5.2.2 保修阶段服务酬金支付</w:t>
      </w:r>
    </w:p>
    <w:p w14:paraId="5DF58C5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采取按月份支付或按季度支付的形式，具体在专用条款中约定。按月份支付的，委托人应在每月的10日前支付监理人上一月度的服务酬金；按季度支付的，委托人应在每季度第一个月的10日前支付监理人上一季度的服务酬金。</w:t>
      </w:r>
    </w:p>
    <w:p w14:paraId="474CAAE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5.2.3 勘察、设计阶段及设备监造、工程招标、造价咨询等相关服务酬金支付</w:t>
      </w:r>
    </w:p>
    <w:p w14:paraId="2C5543B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采用按月度支付的方式，委托人应在每月的10日前支付监理人上一月度的服务酬金。</w:t>
      </w:r>
    </w:p>
    <w:p w14:paraId="5039991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5.2.4工程项目管理酬金支付或工程监理与工程项目管理中的工程项目管理酬金支付。</w:t>
      </w:r>
    </w:p>
    <w:p w14:paraId="6F155A9B">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采用按月度支付的方式，委托人应在每月的10日前支付监理人上一月度的服务酬金。</w:t>
      </w:r>
    </w:p>
    <w:p w14:paraId="074984A3">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5.3 支付货币</w:t>
      </w:r>
    </w:p>
    <w:p w14:paraId="7EA2E3E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除专用条款另有约定外，酬金均以人民币支付。涉及外币支付的，所采用的货币种类、比例和汇率在专用条款中约定。</w:t>
      </w:r>
    </w:p>
    <w:p w14:paraId="4AD36AE8">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5.4 支付申请</w:t>
      </w:r>
    </w:p>
    <w:p w14:paraId="5DC5CAF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监理人应在本合同约定的每次应付款时间的7天前，向委托人提交支付申请书。支付申请书应当说明当期应付款总额，并列出当期应支付的款项及其金额。</w:t>
      </w:r>
    </w:p>
    <w:p w14:paraId="49E9AEFA">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5.5 支付酬金</w:t>
      </w:r>
    </w:p>
    <w:p w14:paraId="710D320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支付的酬金包括正常工作酬金、附加工作酬金、合理化建议奖励金额及费用。</w:t>
      </w:r>
    </w:p>
    <w:p w14:paraId="3FA94598">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5.6 有争议部分的付款</w:t>
      </w:r>
    </w:p>
    <w:p w14:paraId="450B089E">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委托人对监理人提交的支付申请书有异议时，应当在收到监理人提交的支付申请书后7天内，以书面形式向监理人发出异议通知。无异议部分的款项应按期支付，有异议部分的款项按第7条约定办理。</w:t>
      </w:r>
    </w:p>
    <w:p w14:paraId="616C7589">
      <w:pPr>
        <w:pStyle w:val="6"/>
        <w:numPr>
          <w:ilvl w:val="2"/>
          <w:numId w:val="0"/>
        </w:numPr>
        <w:spacing w:before="240" w:after="120" w:line="550" w:lineRule="exact"/>
        <w:rPr>
          <w:rFonts w:ascii="宋体" w:hAnsi="宋体" w:cs="宋体"/>
          <w:b w:val="0"/>
          <w:bCs w:val="0"/>
          <w:sz w:val="24"/>
          <w:szCs w:val="24"/>
          <w:highlight w:val="none"/>
        </w:rPr>
      </w:pPr>
      <w:bookmarkStart w:id="59" w:name="_Toc17410"/>
      <w:bookmarkStart w:id="60" w:name="_Toc429184007"/>
      <w:bookmarkStart w:id="61" w:name="_Toc429304403"/>
      <w:r>
        <w:rPr>
          <w:rFonts w:hint="eastAsia" w:ascii="宋体" w:hAnsi="宋体" w:cs="宋体"/>
          <w:b w:val="0"/>
          <w:bCs w:val="0"/>
          <w:sz w:val="24"/>
          <w:szCs w:val="24"/>
          <w:highlight w:val="none"/>
        </w:rPr>
        <w:t>6 合同生效、变更、暂停、解除与终止</w:t>
      </w:r>
      <w:bookmarkEnd w:id="59"/>
      <w:bookmarkEnd w:id="60"/>
      <w:bookmarkEnd w:id="61"/>
    </w:p>
    <w:p w14:paraId="19EA4DEE">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6.1 生效</w:t>
      </w:r>
    </w:p>
    <w:p w14:paraId="21B58B38">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除法律另有规定或者专用条款另有约定外，委托人和监理人的法定代表人或其授权代理人在协议书上签字并盖单位章后本合同生效。</w:t>
      </w:r>
    </w:p>
    <w:p w14:paraId="5CB43052">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6.2 变更</w:t>
      </w:r>
    </w:p>
    <w:p w14:paraId="282D6D2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6.2.1 任何一方提出变更请求时，双方经协商一致后可进行变更。</w:t>
      </w:r>
    </w:p>
    <w:p w14:paraId="0CA5648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6.2.2合同签订后，遇有与工程相关的法律法规、标准颁布或修订的，双方应遵照执行。由此引起工程监理与相关服务的范围、时间、酬金变化的，双方应通过协商进行相应调整。</w:t>
      </w:r>
    </w:p>
    <w:p w14:paraId="687934C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6.2.3 因非监理人原因造成工程概算投资额或建筑安装工程费增加时，正常工作酬金应作相应调整。调整方法为：合同签订后至工程竣工验收前，如工程规模或工程范围发生变化，并经当地政府发展改革部门批准调整原工程概算投资额或建筑安装工程费的幅度≥±5％，施工阶段监理酬金作相应调整；对于工程竣工验收后当地政府发展改革部门方批准调整原工程概算投资额或建筑安装工程费的，施工阶段监理酬金不作任何调整。</w:t>
      </w:r>
    </w:p>
    <w:p w14:paraId="2724344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6.3 暂停与解除</w:t>
      </w:r>
    </w:p>
    <w:p w14:paraId="1A96E9AC">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除双方协商一致可以解除本合同外，当一方无正当理由未履行本合同约定的义务时，另一方可以根据本合同约定暂停履行本合同直至解除本合同。</w:t>
      </w:r>
    </w:p>
    <w:p w14:paraId="55482A93">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6.3.1 合同履行期间，委托人有权单方解除或终止合同，但应及时通知监理人。委托人单方解除或终止本合同，监理人未开始监理工作的，委托人不向监理人支付任何费用；监理人已经开始监理工作的，按照监理人实际工作量支付相关费用；除此以外，委托人不承担违约、赔偿等任何其他责任。</w:t>
      </w:r>
    </w:p>
    <w:p w14:paraId="37E8FBC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6.3.2 当监理人无正当理由未履行本合同约定的义务时，委托人应通知监理人限期改正。若委托人在监理人接到通知后的7天内未收到监理人书面形式的合理解释，则可在7天内发出解除本合同的通知，自通知到达监理人时本合同解除。委托人应将工程监理与相关服务的酬金支付至限期改正通知到达监理人之日，但监理人应承担第4.1款约定的责任。</w:t>
      </w:r>
    </w:p>
    <w:p w14:paraId="6F77993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6.3.3 监理人在专用条款5.3中约定的支付之日起28天后仍未收到委托人按本合同约定应付的款项，可向委托人发出催付通知。委托人接到通知14天后仍未支付或未提出监理人可以接受的延期支付安排，监理人可向委托人发出暂停工作的通知并可自行暂停全部或部分工作。暂停工作后14天内监理人仍未获得委托人应付酬金或委托人的合理答复，监理人可向委托人发出解除本合同的通知，自通知到达委托人时本合同解除。委托人应承担第4.2.3款约定的责任。</w:t>
      </w:r>
    </w:p>
    <w:p w14:paraId="6C19963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6.3.4 因不可抗力致使本合同部分或全部不能履行时，一方应立即通知另一方，可暂停或解除本合同。</w:t>
      </w:r>
    </w:p>
    <w:p w14:paraId="67659A6A">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6.3.5 本合同解除后，本合同约定的有关结算、清理、争议解决方式的条件仍然有效。</w:t>
      </w:r>
    </w:p>
    <w:p w14:paraId="7005F95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6.4 终止</w:t>
      </w:r>
    </w:p>
    <w:p w14:paraId="573632F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以下条件全部满足时，本合同即告终止：</w:t>
      </w:r>
    </w:p>
    <w:p w14:paraId="183EB92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⑴.监理人完成本合同约定的全部工作；</w:t>
      </w:r>
    </w:p>
    <w:p w14:paraId="7152C69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⑵.委托人与监理人结清并支付全部酬金。</w:t>
      </w:r>
    </w:p>
    <w:p w14:paraId="17EA7175">
      <w:pPr>
        <w:pStyle w:val="6"/>
        <w:numPr>
          <w:ilvl w:val="2"/>
          <w:numId w:val="0"/>
        </w:numPr>
        <w:spacing w:before="240" w:after="120" w:line="550" w:lineRule="exact"/>
        <w:rPr>
          <w:rFonts w:ascii="宋体" w:hAnsi="宋体" w:cs="宋体"/>
          <w:b w:val="0"/>
          <w:bCs w:val="0"/>
          <w:sz w:val="24"/>
          <w:szCs w:val="24"/>
          <w:highlight w:val="none"/>
        </w:rPr>
      </w:pPr>
      <w:bookmarkStart w:id="62" w:name="_Toc429304404"/>
      <w:bookmarkStart w:id="63" w:name="_Toc327891450"/>
      <w:bookmarkStart w:id="64" w:name="_Toc30960"/>
      <w:bookmarkStart w:id="65" w:name="_Toc429184008"/>
      <w:r>
        <w:rPr>
          <w:rFonts w:hint="eastAsia" w:ascii="宋体" w:hAnsi="宋体" w:cs="宋体"/>
          <w:b w:val="0"/>
          <w:bCs w:val="0"/>
          <w:sz w:val="24"/>
          <w:szCs w:val="24"/>
          <w:highlight w:val="none"/>
        </w:rPr>
        <w:t>7 争议解决</w:t>
      </w:r>
      <w:bookmarkEnd w:id="62"/>
      <w:bookmarkEnd w:id="63"/>
      <w:bookmarkEnd w:id="64"/>
      <w:bookmarkEnd w:id="65"/>
    </w:p>
    <w:p w14:paraId="39524203">
      <w:pPr>
        <w:spacing w:before="20" w:after="20" w:line="550" w:lineRule="exact"/>
        <w:ind w:firstLine="480" w:firstLineChars="200"/>
        <w:rPr>
          <w:rFonts w:ascii="宋体" w:hAnsi="宋体" w:cs="宋体"/>
          <w:kern w:val="18"/>
          <w:sz w:val="24"/>
          <w:szCs w:val="24"/>
          <w:highlight w:val="none"/>
        </w:rPr>
      </w:pPr>
      <w:bookmarkStart w:id="66" w:name="_Toc327891451"/>
      <w:r>
        <w:rPr>
          <w:rFonts w:hint="eastAsia" w:ascii="宋体" w:hAnsi="宋体" w:cs="宋体"/>
          <w:kern w:val="18"/>
          <w:sz w:val="24"/>
          <w:szCs w:val="24"/>
          <w:highlight w:val="none"/>
        </w:rPr>
        <w:t>7.1协商</w:t>
      </w:r>
    </w:p>
    <w:p w14:paraId="24707EB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双方应本着诚信原则协商解决彼此间的争议。</w:t>
      </w:r>
    </w:p>
    <w:p w14:paraId="38AF6F5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7.2调解</w:t>
      </w:r>
    </w:p>
    <w:p w14:paraId="5DC07A7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如果双方不能在14天内或双方商定的其他时间内解决本合同争议，可以将其提交给专用条款约定的或事后达成协议的调解人进行调解。</w:t>
      </w:r>
    </w:p>
    <w:p w14:paraId="69F1E8FF">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7.3仲裁或诉讼</w:t>
      </w:r>
    </w:p>
    <w:p w14:paraId="1FDB03F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双方均有权不经调解直接向专用条款约定的向有管辖权法院提起诉讼。</w:t>
      </w:r>
    </w:p>
    <w:p w14:paraId="0FEB2BCA">
      <w:pPr>
        <w:pStyle w:val="6"/>
        <w:numPr>
          <w:ilvl w:val="2"/>
          <w:numId w:val="0"/>
        </w:numPr>
        <w:spacing w:before="240" w:after="120" w:line="550" w:lineRule="exact"/>
        <w:rPr>
          <w:rFonts w:ascii="宋体" w:hAnsi="宋体" w:cs="宋体"/>
          <w:b w:val="0"/>
          <w:bCs w:val="0"/>
          <w:sz w:val="24"/>
          <w:szCs w:val="24"/>
          <w:highlight w:val="none"/>
        </w:rPr>
      </w:pPr>
      <w:bookmarkStart w:id="67" w:name="_Toc429304405"/>
      <w:bookmarkStart w:id="68" w:name="_Toc429184009"/>
      <w:bookmarkStart w:id="69" w:name="_Toc7574"/>
      <w:r>
        <w:rPr>
          <w:rFonts w:hint="eastAsia" w:ascii="宋体" w:hAnsi="宋体" w:cs="宋体"/>
          <w:b w:val="0"/>
          <w:bCs w:val="0"/>
          <w:sz w:val="24"/>
          <w:szCs w:val="24"/>
          <w:highlight w:val="none"/>
        </w:rPr>
        <w:t>8 其  他</w:t>
      </w:r>
      <w:bookmarkEnd w:id="66"/>
      <w:bookmarkEnd w:id="67"/>
      <w:bookmarkEnd w:id="68"/>
      <w:bookmarkEnd w:id="69"/>
    </w:p>
    <w:p w14:paraId="11354B4B">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8.1 外出考察费用</w:t>
      </w:r>
    </w:p>
    <w:p w14:paraId="0091D52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经委托人同意，监理服务人员外出考察发生的费用由委托人审核后支付。</w:t>
      </w:r>
    </w:p>
    <w:p w14:paraId="590AEFB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8.2 检测费用</w:t>
      </w:r>
    </w:p>
    <w:p w14:paraId="60F6D87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要求监理人在工程现场设立具有工程质量检测资质的工程质量检测机构才能设立的工程质量检测试验室对工程材料和工程实体质量进行抽样检测，或要求监理人委托具有工程质量检测资质的工程质量检测机构对工程材料和工程实体质量进行抽样检测所发生的全部费用，由委托人额外按实支付。支付时间在专用条款中约定。</w:t>
      </w:r>
    </w:p>
    <w:p w14:paraId="557FAFA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8.3 咨询费用</w:t>
      </w:r>
    </w:p>
    <w:p w14:paraId="0908CE5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要求监理人开展需要具有工程造价咨询资质、工程招标代理资质或施工图审查资质才能执业的各项工作，或要求监理人委托具有工程造价咨询资质的工程造价咨询机构、工程招标代理资质的工程招标代理机构或施工图审查资质的施工图审查机构开展各项工作所发生的费用，由委托人额外按实支付；经委托人同意，根据工程需要由监理人组织的相关咨询论证会以及聘请相关专家等发生的费用由委托人额外按实支付。支付时间在专用条款中约定。</w:t>
      </w:r>
    </w:p>
    <w:p w14:paraId="3E90532F">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8.4 奖励</w:t>
      </w:r>
    </w:p>
    <w:p w14:paraId="64741097">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监理人在服务过程中提出的合理化建议，使委托人获得经济效益的，双方在专用条款中约定奖励金额的确定方法。奖励金额在合理化建议被采纳后，与最近一期的正常工作酬金同期支付。</w:t>
      </w:r>
    </w:p>
    <w:p w14:paraId="017FF7CB">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8.5 守法诚信</w:t>
      </w:r>
    </w:p>
    <w:p w14:paraId="6FE4C175">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监理人及其工作人员不得从与实施工程有关的第三方处获得任何经济利益。</w:t>
      </w:r>
    </w:p>
    <w:p w14:paraId="776F2691">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8.6 保密</w:t>
      </w:r>
    </w:p>
    <w:p w14:paraId="68442D44">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双方不得泄露对方申明的保密资料，亦不得泄露与实施工程有关的第三方所提供的保密资料，保密事项在专用条款中约定。</w:t>
      </w:r>
    </w:p>
    <w:p w14:paraId="021ED36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8.7 通知</w:t>
      </w:r>
    </w:p>
    <w:p w14:paraId="4C0AF41D">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本合同涉及的通知均应当采用书面形式，并在送达对方时生效，收件人应书面签收。</w:t>
      </w:r>
    </w:p>
    <w:p w14:paraId="4C3B10D9">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8.8 著作权</w:t>
      </w:r>
    </w:p>
    <w:p w14:paraId="3CF4745F">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监理人对其编制的文件拥有著作权。</w:t>
      </w:r>
    </w:p>
    <w:p w14:paraId="5B108960">
      <w:pPr>
        <w:spacing w:line="550" w:lineRule="exact"/>
        <w:ind w:firstLine="480" w:firstLineChars="200"/>
        <w:rPr>
          <w:rFonts w:ascii="宋体" w:hAnsi="宋体" w:cs="宋体"/>
          <w:sz w:val="24"/>
          <w:szCs w:val="24"/>
          <w:highlight w:val="none"/>
        </w:rPr>
      </w:pPr>
      <w:r>
        <w:rPr>
          <w:rFonts w:hint="eastAsia" w:ascii="宋体" w:hAnsi="宋体" w:cs="宋体"/>
          <w:sz w:val="24"/>
          <w:szCs w:val="24"/>
          <w:highlight w:val="none"/>
        </w:rPr>
        <w:t>监理人可单独或与他人联合出版有关监理与相关服务的资料。除专用条款另有约定外，如果监理人在本合同履行期间及本合同终止后两年内出版涉及本工程的有关监理与相关服务的资料，应当征得委托人的同意。</w:t>
      </w:r>
    </w:p>
    <w:p w14:paraId="6FBC2C55">
      <w:pPr>
        <w:pStyle w:val="16"/>
        <w:spacing w:before="156"/>
        <w:ind w:firstLine="0"/>
        <w:rPr>
          <w:rFonts w:ascii="宋体" w:hAnsi="宋体" w:cs="宋体"/>
          <w:bCs w:val="0"/>
          <w:sz w:val="24"/>
          <w:szCs w:val="24"/>
          <w:highlight w:val="none"/>
        </w:rPr>
      </w:pPr>
      <w:bookmarkStart w:id="70" w:name="_Toc429304406"/>
      <w:bookmarkStart w:id="71" w:name="_Toc327891452"/>
      <w:bookmarkStart w:id="72" w:name="_Toc429184010"/>
    </w:p>
    <w:p w14:paraId="73E36D6F">
      <w:pPr>
        <w:pStyle w:val="5"/>
        <w:numPr>
          <w:ilvl w:val="1"/>
          <w:numId w:val="0"/>
        </w:numPr>
        <w:spacing w:before="0" w:after="240" w:line="560" w:lineRule="exact"/>
        <w:jc w:val="center"/>
        <w:rPr>
          <w:rFonts w:ascii="宋体" w:hAnsi="宋体" w:cs="宋体"/>
          <w:sz w:val="36"/>
          <w:szCs w:val="36"/>
          <w:highlight w:val="none"/>
        </w:rPr>
      </w:pPr>
      <w:bookmarkStart w:id="73" w:name="_Toc28290"/>
      <w:r>
        <w:rPr>
          <w:rFonts w:hint="eastAsia" w:ascii="宋体" w:hAnsi="宋体" w:cs="宋体"/>
          <w:sz w:val="36"/>
          <w:szCs w:val="36"/>
          <w:highlight w:val="none"/>
        </w:rPr>
        <w:t>第四部分</w:t>
      </w:r>
      <w:bookmarkEnd w:id="70"/>
      <w:bookmarkEnd w:id="71"/>
      <w:bookmarkEnd w:id="72"/>
      <w:r>
        <w:rPr>
          <w:rFonts w:hint="eastAsia" w:ascii="宋体" w:hAnsi="宋体" w:cs="宋体"/>
          <w:sz w:val="36"/>
          <w:szCs w:val="36"/>
          <w:highlight w:val="none"/>
        </w:rPr>
        <w:t xml:space="preserve"> 专用条款</w:t>
      </w:r>
      <w:bookmarkEnd w:id="73"/>
    </w:p>
    <w:p w14:paraId="5AD1BBFB">
      <w:pPr>
        <w:pStyle w:val="6"/>
        <w:numPr>
          <w:ilvl w:val="2"/>
          <w:numId w:val="0"/>
        </w:numPr>
        <w:spacing w:before="240" w:after="0" w:line="560" w:lineRule="exact"/>
        <w:rPr>
          <w:rFonts w:ascii="宋体" w:hAnsi="宋体" w:cs="宋体"/>
          <w:b w:val="0"/>
          <w:bCs w:val="0"/>
          <w:sz w:val="24"/>
          <w:szCs w:val="24"/>
          <w:highlight w:val="none"/>
        </w:rPr>
      </w:pPr>
      <w:bookmarkStart w:id="74" w:name="_Toc327891453"/>
      <w:bookmarkStart w:id="75" w:name="_Toc429304407"/>
      <w:bookmarkStart w:id="76" w:name="_Toc25491"/>
      <w:bookmarkStart w:id="77" w:name="_Toc429184011"/>
      <w:r>
        <w:rPr>
          <w:rFonts w:hint="eastAsia" w:ascii="宋体" w:hAnsi="宋体" w:cs="宋体"/>
          <w:b w:val="0"/>
          <w:bCs w:val="0"/>
          <w:sz w:val="24"/>
          <w:szCs w:val="24"/>
          <w:highlight w:val="none"/>
        </w:rPr>
        <w:t>1 定义与解释</w:t>
      </w:r>
      <w:bookmarkEnd w:id="74"/>
      <w:bookmarkEnd w:id="75"/>
      <w:bookmarkEnd w:id="76"/>
      <w:bookmarkEnd w:id="77"/>
    </w:p>
    <w:p w14:paraId="2EB85B26">
      <w:pPr>
        <w:pStyle w:val="52"/>
        <w:spacing w:line="560" w:lineRule="exact"/>
        <w:ind w:left="0" w:leftChars="0" w:firstLine="0" w:firstLineChars="0"/>
        <w:rPr>
          <w:rFonts w:ascii="宋体" w:hAnsi="宋体" w:cs="宋体"/>
          <w:snapToGrid w:val="0"/>
          <w:kern w:val="0"/>
          <w:sz w:val="24"/>
          <w:szCs w:val="24"/>
          <w:highlight w:val="none"/>
        </w:rPr>
      </w:pPr>
      <w:r>
        <w:rPr>
          <w:rFonts w:hint="eastAsia" w:ascii="宋体" w:hAnsi="宋体" w:cs="宋体"/>
          <w:snapToGrid w:val="0"/>
          <w:kern w:val="0"/>
          <w:sz w:val="24"/>
          <w:szCs w:val="24"/>
          <w:highlight w:val="none"/>
        </w:rPr>
        <w:t xml:space="preserve">   1.1定义</w:t>
      </w:r>
    </w:p>
    <w:p w14:paraId="4052DE0A">
      <w:pPr>
        <w:pStyle w:val="169"/>
        <w:spacing w:line="560" w:lineRule="exact"/>
        <w:ind w:firstLine="480" w:firstLineChars="200"/>
        <w:jc w:val="left"/>
        <w:rPr>
          <w:rFonts w:ascii="宋体" w:hAnsi="宋体" w:cs="宋体"/>
          <w:sz w:val="24"/>
          <w:highlight w:val="none"/>
          <w:u w:val="single"/>
        </w:rPr>
      </w:pPr>
      <w:r>
        <w:rPr>
          <w:rFonts w:hint="eastAsia" w:ascii="宋体" w:hAnsi="宋体" w:cs="宋体"/>
          <w:sz w:val="24"/>
          <w:highlight w:val="none"/>
        </w:rPr>
        <w:t>增加定义</w:t>
      </w:r>
      <w:r>
        <w:rPr>
          <w:rFonts w:hint="eastAsia" w:ascii="宋体" w:hAnsi="宋体" w:cs="宋体"/>
          <w:sz w:val="24"/>
          <w:highlight w:val="none"/>
          <w:u w:val="single"/>
        </w:rPr>
        <w:t xml:space="preserve"> 1.1.25专用条款填写“/”是指，合同当事人在专用条款中明确，其相对应的通用条款不适用于本合同项目，其他填写“/”的合同条款，是指该条款中“/”部分的内容不适用于本合同项目。</w:t>
      </w:r>
    </w:p>
    <w:p w14:paraId="55B37E05">
      <w:pPr>
        <w:pStyle w:val="169"/>
        <w:spacing w:line="560" w:lineRule="exact"/>
        <w:ind w:firstLine="480" w:firstLineChars="200"/>
        <w:jc w:val="left"/>
        <w:rPr>
          <w:rFonts w:ascii="宋体" w:hAnsi="宋体" w:cs="宋体"/>
          <w:snapToGrid w:val="0"/>
          <w:kern w:val="0"/>
          <w:sz w:val="24"/>
          <w:highlight w:val="none"/>
        </w:rPr>
      </w:pPr>
      <w:r>
        <w:rPr>
          <w:rFonts w:hint="eastAsia" w:ascii="宋体" w:hAnsi="宋体" w:cs="宋体"/>
          <w:sz w:val="24"/>
          <w:highlight w:val="none"/>
          <w:u w:val="single"/>
        </w:rPr>
        <w:t>1.1.26合同条款中“</w:t>
      </w:r>
      <w:r>
        <w:rPr>
          <w:rFonts w:hint="eastAsia" w:ascii="宋体" w:hAnsi="宋体" w:cs="宋体"/>
          <w:sz w:val="24"/>
          <w:highlight w:val="none"/>
          <w:u w:val="single"/>
        </w:rPr>
        <w:sym w:font="Wingdings 2" w:char="0052"/>
      </w:r>
      <w:r>
        <w:rPr>
          <w:rFonts w:hint="eastAsia" w:ascii="宋体" w:hAnsi="宋体" w:cs="宋体"/>
          <w:sz w:val="24"/>
          <w:highlight w:val="none"/>
          <w:u w:val="single"/>
        </w:rPr>
        <w:t>”“</w:t>
      </w:r>
      <w:r>
        <w:rPr>
          <w:rFonts w:ascii="Wingdings 2" w:hAnsi="Wingdings 2"/>
          <w:szCs w:val="21"/>
          <w:highlight w:val="none"/>
          <w:u w:val="single"/>
        </w:rPr>
        <w:t></w:t>
      </w:r>
      <w:r>
        <w:rPr>
          <w:rFonts w:hint="eastAsia" w:ascii="宋体" w:hAnsi="宋体"/>
          <w:szCs w:val="21"/>
          <w:highlight w:val="none"/>
          <w:u w:val="single"/>
        </w:rPr>
        <w:t xml:space="preserve"> </w:t>
      </w:r>
      <w:r>
        <w:rPr>
          <w:rFonts w:hint="eastAsia" w:ascii="宋体" w:hAnsi="宋体" w:cs="宋体"/>
          <w:sz w:val="24"/>
          <w:highlight w:val="none"/>
          <w:u w:val="single"/>
        </w:rPr>
        <w:t>”，属于本合同项目适用条款；</w:t>
      </w:r>
      <w:r>
        <w:rPr>
          <w:rFonts w:hint="eastAsia" w:ascii="宋体" w:hAnsi="宋体" w:cs="宋体"/>
          <w:sz w:val="24"/>
          <w:highlight w:val="none"/>
          <w:u w:val="single"/>
        </w:rPr>
        <w:sym w:font="Wingdings 2" w:char="00A3"/>
      </w:r>
      <w:r>
        <w:rPr>
          <w:rFonts w:hint="eastAsia" w:ascii="宋体" w:hAnsi="宋体" w:cs="宋体"/>
          <w:sz w:val="24"/>
          <w:highlight w:val="none"/>
          <w:u w:val="single"/>
        </w:rPr>
        <w:t>则不属于本合同项目适用条款。</w:t>
      </w:r>
    </w:p>
    <w:p w14:paraId="0530B230">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1.2  解释</w:t>
      </w:r>
    </w:p>
    <w:p w14:paraId="584A96D0">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1.2.2 约定本合同文件的解释顺序为：见第一部分协议书。</w:t>
      </w:r>
    </w:p>
    <w:p w14:paraId="3254E94F">
      <w:pPr>
        <w:pStyle w:val="6"/>
        <w:numPr>
          <w:ilvl w:val="2"/>
          <w:numId w:val="0"/>
        </w:numPr>
        <w:adjustRightInd w:val="0"/>
        <w:snapToGrid w:val="0"/>
        <w:spacing w:before="240" w:after="120" w:line="560" w:lineRule="exact"/>
        <w:rPr>
          <w:rFonts w:ascii="宋体" w:hAnsi="宋体" w:cs="宋体"/>
          <w:b w:val="0"/>
          <w:bCs w:val="0"/>
          <w:sz w:val="24"/>
          <w:szCs w:val="24"/>
          <w:highlight w:val="none"/>
        </w:rPr>
      </w:pPr>
      <w:bookmarkStart w:id="78" w:name="_Toc8083"/>
      <w:bookmarkStart w:id="79" w:name="_Toc327891454"/>
      <w:bookmarkStart w:id="80" w:name="_Toc429184012"/>
      <w:bookmarkStart w:id="81" w:name="_Toc429304408"/>
      <w:r>
        <w:rPr>
          <w:rFonts w:hint="eastAsia" w:ascii="宋体" w:hAnsi="宋体" w:cs="宋体"/>
          <w:b w:val="0"/>
          <w:bCs w:val="0"/>
          <w:sz w:val="24"/>
          <w:szCs w:val="24"/>
          <w:highlight w:val="none"/>
        </w:rPr>
        <w:t>2 监理人义务</w:t>
      </w:r>
      <w:bookmarkEnd w:id="78"/>
      <w:bookmarkEnd w:id="79"/>
      <w:bookmarkEnd w:id="80"/>
      <w:bookmarkEnd w:id="81"/>
    </w:p>
    <w:p w14:paraId="3FA679FB">
      <w:pPr>
        <w:adjustRightInd w:val="0"/>
        <w:snapToGrid w:val="0"/>
        <w:spacing w:before="20" w:after="20" w:line="560" w:lineRule="exact"/>
        <w:ind w:firstLine="480" w:firstLineChars="200"/>
        <w:rPr>
          <w:rFonts w:ascii="宋体" w:hAnsi="宋体" w:cs="宋体"/>
          <w:kern w:val="18"/>
          <w:sz w:val="24"/>
          <w:szCs w:val="24"/>
          <w:highlight w:val="none"/>
        </w:rPr>
      </w:pPr>
      <w:bookmarkStart w:id="82" w:name="_Toc327891455"/>
      <w:r>
        <w:rPr>
          <w:rFonts w:hint="eastAsia" w:ascii="宋体" w:hAnsi="宋体" w:cs="宋体"/>
          <w:kern w:val="18"/>
          <w:sz w:val="24"/>
          <w:szCs w:val="24"/>
          <w:highlight w:val="none"/>
        </w:rPr>
        <w:t>2.1 监理的范围和内容</w:t>
      </w:r>
    </w:p>
    <w:p w14:paraId="426B8EC1">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2.1.1 监理范围包括：</w:t>
      </w:r>
    </w:p>
    <w:p w14:paraId="47451717">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本工程监理的范围不仅限于：</w:t>
      </w:r>
    </w:p>
    <w:p w14:paraId="515C0D5B">
      <w:pPr>
        <w:adjustRightInd w:val="0"/>
        <w:snapToGrid w:val="0"/>
        <w:spacing w:before="20" w:after="20"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施工阶段、保修阶段（2年）的监理及相关服务</w:t>
      </w:r>
    </w:p>
    <w:p w14:paraId="5416D723">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2.2监理依据</w:t>
      </w:r>
    </w:p>
    <w:p w14:paraId="0E92B1F1">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2.2.1监理依据包括：</w:t>
      </w:r>
    </w:p>
    <w:p w14:paraId="55C4E207">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⑴《建设工程监理规范》（GB50319-2013）《深圳市施工监理规程》《深圳经济特区建设工程监理条例》；</w:t>
      </w:r>
    </w:p>
    <w:p w14:paraId="17819BD3">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⑵国家和地方现行的建设工程质量评定标准、设计及施工验收规范；</w:t>
      </w:r>
    </w:p>
    <w:p w14:paraId="1F230B64">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⑶经批准的施工图纸及说明，以及经图纸会审确定的修改设计通知书；</w:t>
      </w:r>
    </w:p>
    <w:p w14:paraId="5AFA468E">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⑷本工程的设计、施工、安装招投标文件及合同；</w:t>
      </w:r>
    </w:p>
    <w:p w14:paraId="7B6540A9">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⑸委托人发出的有关本工程的指令；</w:t>
      </w:r>
    </w:p>
    <w:p w14:paraId="272596D6">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⑹委托人制定的有关本工程的规定。</w:t>
      </w:r>
    </w:p>
    <w:p w14:paraId="1DA1F375">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2.2.2相关服务依据包括：</w:t>
      </w:r>
      <w:r>
        <w:rPr>
          <w:rFonts w:hint="eastAsia" w:ascii="宋体" w:hAnsi="宋体" w:cs="宋体"/>
          <w:sz w:val="24"/>
          <w:szCs w:val="24"/>
          <w:highlight w:val="none"/>
          <w:u w:val="single"/>
        </w:rPr>
        <w:t>/</w:t>
      </w:r>
      <w:r>
        <w:rPr>
          <w:rFonts w:hint="eastAsia" w:ascii="宋体" w:hAnsi="宋体" w:cs="宋体"/>
          <w:sz w:val="24"/>
          <w:szCs w:val="24"/>
          <w:highlight w:val="none"/>
        </w:rPr>
        <w:t>。</w:t>
      </w:r>
    </w:p>
    <w:p w14:paraId="2158646E">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2.3项目机构和人员</w:t>
      </w:r>
    </w:p>
    <w:p w14:paraId="676AFC7B">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2.3.4更换监理服务人员的其他情形：</w:t>
      </w:r>
      <w:r>
        <w:rPr>
          <w:rFonts w:hint="eastAsia" w:ascii="宋体" w:hAnsi="宋体" w:cs="宋体"/>
          <w:sz w:val="24"/>
          <w:szCs w:val="24"/>
          <w:highlight w:val="none"/>
          <w:u w:val="single"/>
        </w:rPr>
        <w:t>除通用条款规定的情形外，监理人员有以下情形的，委托人可提出更换监理服务人员，监理人应在三个工作日内更换相应监理服务人员：⑴.长期不到位；⑵.责任心不强，不能实际履行职责的；⑶.现场有重大安全、质量事故的；⑷.建设主管部门记不良行为记录的；⑸.不能常驻现场的，不参加监理例会的。</w:t>
      </w:r>
    </w:p>
    <w:p w14:paraId="1FD95B03">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工程实施过程中，当总监理工程师及专业监理工程师需要调整时，监理人应书面通知委托人和承包人并征得委托人的同意。当委托人要求更换监理人员时，监理人必须在3日内提供替换监理人员的有关资料，经委托人书面认可后3日内派驻现场。若委托人发现监理人的机构人员不完全或不按监理合同履行监理义务或职责，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p>
    <w:p w14:paraId="44345018">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2.4履行职责</w:t>
      </w:r>
    </w:p>
    <w:p w14:paraId="4AB2838D">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2.4.3对监理人的授权范围：</w:t>
      </w:r>
      <w:r>
        <w:rPr>
          <w:rFonts w:hint="eastAsia" w:ascii="宋体" w:hAnsi="宋体" w:cs="宋体"/>
          <w:sz w:val="24"/>
          <w:szCs w:val="24"/>
          <w:highlight w:val="none"/>
          <w:u w:val="single"/>
        </w:rPr>
        <w:t>委托人不授权监理人独立处理委托人与承包人所签订的合同的变更事宜，有关工程延期和（或）工程变更的任何事项，监理人需书面请示委托人并取得委托人书面批准后，方可向承包人发布变更通知。</w:t>
      </w:r>
    </w:p>
    <w:p w14:paraId="52DBD7C6">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在涉及工程延期</w:t>
      </w:r>
      <w:r>
        <w:rPr>
          <w:rFonts w:hint="eastAsia" w:ascii="宋体" w:hAnsi="宋体" w:cs="宋体"/>
          <w:sz w:val="24"/>
          <w:szCs w:val="24"/>
          <w:highlight w:val="none"/>
          <w:u w:val="single"/>
        </w:rPr>
        <w:t>/</w:t>
      </w:r>
      <w:r>
        <w:rPr>
          <w:rFonts w:hint="eastAsia" w:ascii="宋体" w:hAnsi="宋体" w:cs="宋体"/>
          <w:sz w:val="24"/>
          <w:szCs w:val="24"/>
          <w:highlight w:val="none"/>
        </w:rPr>
        <w:t>天内和（或）金额</w:t>
      </w:r>
      <w:r>
        <w:rPr>
          <w:rFonts w:hint="eastAsia" w:ascii="宋体" w:hAnsi="宋体" w:cs="宋体"/>
          <w:sz w:val="24"/>
          <w:szCs w:val="24"/>
          <w:highlight w:val="none"/>
          <w:u w:val="single"/>
        </w:rPr>
        <w:t>/</w:t>
      </w:r>
      <w:r>
        <w:rPr>
          <w:rFonts w:hint="eastAsia" w:ascii="宋体" w:hAnsi="宋体" w:cs="宋体"/>
          <w:sz w:val="24"/>
          <w:szCs w:val="24"/>
          <w:highlight w:val="none"/>
        </w:rPr>
        <w:t>万元内的变更，监理人不需请示委托人即可向承包人发布变更通知。</w:t>
      </w:r>
    </w:p>
    <w:p w14:paraId="733EB990">
      <w:pPr>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2.4.4监理人有权要求承包人调换其人员的限制条件：</w:t>
      </w:r>
      <w:r>
        <w:rPr>
          <w:rFonts w:hint="eastAsia" w:ascii="宋体" w:hAnsi="宋体" w:cs="宋体"/>
          <w:sz w:val="24"/>
          <w:szCs w:val="24"/>
          <w:highlight w:val="none"/>
          <w:u w:val="single"/>
        </w:rPr>
        <w:t>监理人须事先取得委托人的书面同意后，方可指令承包人调换其人员。</w:t>
      </w:r>
    </w:p>
    <w:p w14:paraId="15D3531E">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2.5提交报告</w:t>
      </w:r>
    </w:p>
    <w:p w14:paraId="5851D2C3">
      <w:pPr>
        <w:adjustRightInd w:val="0"/>
        <w:snapToGrid w:val="0"/>
        <w:spacing w:line="360" w:lineRule="auto"/>
        <w:ind w:firstLine="480" w:firstLineChars="200"/>
        <w:jc w:val="left"/>
        <w:rPr>
          <w:rFonts w:ascii="宋体" w:hAnsi="宋体" w:cs="宋体"/>
          <w:sz w:val="24"/>
          <w:szCs w:val="24"/>
          <w:highlight w:val="none"/>
        </w:rPr>
      </w:pPr>
      <w:r>
        <w:rPr>
          <w:rFonts w:hint="eastAsia" w:ascii="宋体" w:hAnsi="宋体" w:cs="宋体"/>
          <w:sz w:val="24"/>
          <w:szCs w:val="24"/>
          <w:highlight w:val="none"/>
        </w:rPr>
        <w:t>监理人应提交报告的种类、时间和份数：</w:t>
      </w:r>
    </w:p>
    <w:p w14:paraId="0CC2FC05">
      <w:pPr>
        <w:adjustRightInd w:val="0"/>
        <w:snapToGrid w:val="0"/>
        <w:spacing w:line="360" w:lineRule="auto"/>
        <w:ind w:firstLine="480" w:firstLineChars="200"/>
        <w:jc w:val="left"/>
        <w:rPr>
          <w:rFonts w:ascii="宋体" w:hAnsi="宋体"/>
          <w:snapToGrid w:val="0"/>
          <w:kern w:val="0"/>
          <w:szCs w:val="21"/>
          <w:highlight w:val="none"/>
          <w:u w:val="single"/>
        </w:rPr>
      </w:pPr>
      <w:r>
        <w:rPr>
          <w:rFonts w:hint="eastAsia" w:ascii="宋体" w:hAnsi="宋体" w:cs="宋体"/>
          <w:sz w:val="24"/>
          <w:szCs w:val="24"/>
          <w:highlight w:val="none"/>
          <w:u w:val="single"/>
        </w:rPr>
        <w:t>⑴ 监理规划（细则），在合同生效后第一次工地会议7天前报委托人，份数为2份；⑵ 监理周报，在每周五上午报送委托人，份数为2份；⑶ 专项报告，按相关要求报送；⑷每周工程例会记录或相关专题会议记录，在会议结束后2个日历天内整理完毕并发至参会单位。</w:t>
      </w:r>
    </w:p>
    <w:p w14:paraId="4A6923A5">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2.7 使用委托人的财产</w:t>
      </w:r>
    </w:p>
    <w:p w14:paraId="619195F3">
      <w:pPr>
        <w:adjustRightInd w:val="0"/>
        <w:snapToGrid w:val="0"/>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rPr>
        <w:t>委托人无偿提供的房屋、设备的所有权属于：</w:t>
      </w:r>
      <w:r>
        <w:rPr>
          <w:rFonts w:hint="eastAsia" w:ascii="宋体" w:hAnsi="宋体" w:cs="宋体"/>
          <w:kern w:val="18"/>
          <w:sz w:val="24"/>
          <w:szCs w:val="24"/>
          <w:highlight w:val="none"/>
          <w:u w:val="single"/>
        </w:rPr>
        <w:t>委托人</w:t>
      </w:r>
      <w:r>
        <w:rPr>
          <w:rFonts w:hint="eastAsia" w:ascii="宋体" w:hAnsi="宋体" w:cs="宋体"/>
          <w:sz w:val="24"/>
          <w:szCs w:val="24"/>
          <w:highlight w:val="none"/>
        </w:rPr>
        <w:t>。监理人应在本合同终止后</w:t>
      </w:r>
      <w:r>
        <w:rPr>
          <w:rFonts w:hint="eastAsia" w:ascii="宋体" w:hAnsi="宋体" w:cs="宋体"/>
          <w:kern w:val="18"/>
          <w:sz w:val="24"/>
          <w:szCs w:val="24"/>
          <w:highlight w:val="none"/>
          <w:u w:val="single"/>
        </w:rPr>
        <w:t xml:space="preserve">90 </w:t>
      </w:r>
      <w:r>
        <w:rPr>
          <w:rFonts w:hint="eastAsia" w:ascii="宋体" w:hAnsi="宋体" w:cs="宋体"/>
          <w:sz w:val="24"/>
          <w:szCs w:val="24"/>
          <w:highlight w:val="none"/>
        </w:rPr>
        <w:t>天内移交委托人无偿提供的房屋、设备。</w:t>
      </w:r>
    </w:p>
    <w:p w14:paraId="09DAB150">
      <w:pPr>
        <w:pStyle w:val="6"/>
        <w:numPr>
          <w:ilvl w:val="2"/>
          <w:numId w:val="0"/>
        </w:numPr>
        <w:adjustRightInd w:val="0"/>
        <w:snapToGrid w:val="0"/>
        <w:spacing w:before="240" w:after="120" w:line="560" w:lineRule="exact"/>
        <w:rPr>
          <w:rFonts w:ascii="宋体" w:hAnsi="宋体" w:cs="宋体"/>
          <w:b w:val="0"/>
          <w:bCs w:val="0"/>
          <w:sz w:val="24"/>
          <w:szCs w:val="24"/>
          <w:highlight w:val="none"/>
        </w:rPr>
      </w:pPr>
      <w:bookmarkStart w:id="83" w:name="_Toc429184013"/>
      <w:bookmarkStart w:id="84" w:name="_Toc429304409"/>
      <w:bookmarkStart w:id="85" w:name="_Toc25070"/>
      <w:r>
        <w:rPr>
          <w:rFonts w:hint="eastAsia" w:ascii="宋体" w:hAnsi="宋体" w:cs="宋体"/>
          <w:b w:val="0"/>
          <w:bCs w:val="0"/>
          <w:sz w:val="24"/>
          <w:szCs w:val="24"/>
          <w:highlight w:val="none"/>
        </w:rPr>
        <w:t>3 委托人义务</w:t>
      </w:r>
      <w:bookmarkEnd w:id="82"/>
      <w:bookmarkEnd w:id="83"/>
      <w:bookmarkEnd w:id="84"/>
      <w:bookmarkEnd w:id="85"/>
    </w:p>
    <w:p w14:paraId="67A2155B">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3.6 答复</w:t>
      </w:r>
    </w:p>
    <w:p w14:paraId="12BD4C7E">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委托人同意在</w:t>
      </w:r>
      <w:r>
        <w:rPr>
          <w:rFonts w:hint="eastAsia" w:ascii="宋体" w:hAnsi="宋体" w:cs="宋体"/>
          <w:kern w:val="18"/>
          <w:sz w:val="24"/>
          <w:szCs w:val="24"/>
          <w:highlight w:val="none"/>
          <w:u w:val="single"/>
        </w:rPr>
        <w:t>10</w:t>
      </w:r>
      <w:r>
        <w:rPr>
          <w:rFonts w:hint="eastAsia" w:ascii="宋体" w:hAnsi="宋体" w:cs="宋体"/>
          <w:sz w:val="24"/>
          <w:szCs w:val="24"/>
          <w:highlight w:val="none"/>
        </w:rPr>
        <w:t>天内，对监理人书面提交并要求做出决定的事宜给予书面答复。</w:t>
      </w:r>
    </w:p>
    <w:p w14:paraId="56ADF876">
      <w:pPr>
        <w:pStyle w:val="6"/>
        <w:numPr>
          <w:ilvl w:val="2"/>
          <w:numId w:val="0"/>
        </w:numPr>
        <w:adjustRightInd w:val="0"/>
        <w:snapToGrid w:val="0"/>
        <w:spacing w:before="240" w:after="120" w:line="560" w:lineRule="exact"/>
        <w:rPr>
          <w:rFonts w:ascii="宋体" w:hAnsi="宋体" w:cs="宋体"/>
          <w:b w:val="0"/>
          <w:bCs w:val="0"/>
          <w:sz w:val="24"/>
          <w:szCs w:val="24"/>
          <w:highlight w:val="none"/>
        </w:rPr>
      </w:pPr>
      <w:bookmarkStart w:id="86" w:name="_Toc429304410"/>
      <w:bookmarkStart w:id="87" w:name="_Toc429184014"/>
      <w:bookmarkStart w:id="88" w:name="_Toc8184"/>
      <w:bookmarkStart w:id="89" w:name="_Toc327891456"/>
      <w:r>
        <w:rPr>
          <w:rFonts w:hint="eastAsia" w:ascii="宋体" w:hAnsi="宋体" w:cs="宋体"/>
          <w:b w:val="0"/>
          <w:bCs w:val="0"/>
          <w:sz w:val="24"/>
          <w:szCs w:val="24"/>
          <w:highlight w:val="none"/>
        </w:rPr>
        <w:t>4 违约责任</w:t>
      </w:r>
      <w:bookmarkEnd w:id="86"/>
      <w:bookmarkEnd w:id="87"/>
      <w:bookmarkEnd w:id="88"/>
      <w:bookmarkEnd w:id="89"/>
    </w:p>
    <w:p w14:paraId="46987B94">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4.1 监理人的违约责任</w:t>
      </w:r>
    </w:p>
    <w:p w14:paraId="4F73A381">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4.1.1监理人赔偿金额按下列方法确定：</w:t>
      </w:r>
    </w:p>
    <w:p w14:paraId="468D20A1">
      <w:pPr>
        <w:adjustRightInd w:val="0"/>
        <w:snapToGrid w:val="0"/>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赔偿金＝直接经济损失×正常工作酬金÷工程概算投资额（或建筑安装工程费）</w:t>
      </w:r>
    </w:p>
    <w:p w14:paraId="1F4360DF">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4.2 委托人的违约责任</w:t>
      </w:r>
    </w:p>
    <w:p w14:paraId="5E058632">
      <w:pPr>
        <w:pStyle w:val="52"/>
        <w:spacing w:before="20" w:after="20" w:line="560" w:lineRule="exact"/>
        <w:ind w:left="0" w:leftChars="0" w:firstLine="480"/>
        <w:rPr>
          <w:rFonts w:ascii="宋体" w:hAnsi="宋体" w:cs="宋体"/>
          <w:kern w:val="18"/>
          <w:sz w:val="24"/>
          <w:szCs w:val="24"/>
          <w:highlight w:val="none"/>
        </w:rPr>
      </w:pPr>
      <w:r>
        <w:rPr>
          <w:rFonts w:hint="eastAsia" w:ascii="宋体" w:hAnsi="宋体" w:cs="宋体"/>
          <w:sz w:val="24"/>
          <w:szCs w:val="24"/>
          <w:highlight w:val="none"/>
        </w:rPr>
        <w:t>4.2.2 委托人向监理人的索赔不成立时，应赔偿监理人由此引起的费用：</w:t>
      </w:r>
      <w:r>
        <w:rPr>
          <w:rFonts w:hint="eastAsia" w:ascii="宋体" w:hAnsi="宋体" w:cs="宋体"/>
          <w:sz w:val="24"/>
          <w:szCs w:val="24"/>
          <w:highlight w:val="none"/>
          <w:u w:val="single"/>
        </w:rPr>
        <w:t>/</w:t>
      </w:r>
      <w:r>
        <w:rPr>
          <w:rFonts w:hint="eastAsia" w:ascii="宋体" w:hAnsi="宋体" w:cs="宋体"/>
          <w:sz w:val="24"/>
          <w:szCs w:val="24"/>
          <w:highlight w:val="none"/>
          <w:u w:val="single"/>
        </w:rPr>
        <w:tab/>
      </w:r>
      <w:r>
        <w:rPr>
          <w:rFonts w:hint="eastAsia" w:ascii="宋体" w:hAnsi="宋体" w:cs="宋体"/>
          <w:sz w:val="24"/>
          <w:szCs w:val="24"/>
          <w:highlight w:val="none"/>
        </w:rPr>
        <w:t>。</w:t>
      </w:r>
    </w:p>
    <w:p w14:paraId="4C9C447C">
      <w:pPr>
        <w:adjustRightInd w:val="0"/>
        <w:snapToGrid w:val="0"/>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4.2.3 委托人逾期付款利息按下列方法确定：</w:t>
      </w:r>
    </w:p>
    <w:p w14:paraId="75EB1811">
      <w:pPr>
        <w:topLinePunct/>
        <w:spacing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single"/>
        </w:rPr>
        <w:t>/</w:t>
      </w:r>
    </w:p>
    <w:p w14:paraId="0E3B055E">
      <w:pPr>
        <w:topLinePunct/>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4.3 其他 </w:t>
      </w:r>
    </w:p>
    <w:p w14:paraId="40E2A511">
      <w:pPr>
        <w:adjustRightInd w:val="0"/>
        <w:snapToGrid w:val="0"/>
        <w:spacing w:line="560" w:lineRule="exact"/>
        <w:ind w:firstLine="480" w:firstLineChars="200"/>
        <w:rPr>
          <w:rFonts w:hint="eastAsia" w:ascii="宋体" w:hAnsi="宋体" w:cs="宋体"/>
          <w:sz w:val="24"/>
          <w:szCs w:val="24"/>
          <w:highlight w:val="none"/>
          <w:u w:val="single"/>
        </w:rPr>
      </w:pPr>
      <w:bookmarkStart w:id="90" w:name="_Toc327891457"/>
      <w:bookmarkStart w:id="91" w:name="_Toc429184015"/>
      <w:bookmarkStart w:id="92" w:name="_Toc429304411"/>
      <w:r>
        <w:rPr>
          <w:rFonts w:hint="eastAsia" w:ascii="宋体" w:hAnsi="宋体" w:cs="宋体"/>
          <w:sz w:val="24"/>
          <w:szCs w:val="24"/>
          <w:highlight w:val="none"/>
        </w:rPr>
        <w:t>4.3.3监理审核后的施工阶段（包括预算、变更等）、结算阶段的造价成果文件，经政府审计部门、造价部门或</w:t>
      </w:r>
      <w:r>
        <w:rPr>
          <w:rFonts w:hint="eastAsia" w:ascii="宋体" w:hAnsi="宋体" w:cs="宋体"/>
          <w:sz w:val="24"/>
          <w:szCs w:val="24"/>
          <w:highlight w:val="none"/>
          <w:lang w:val="en-US" w:eastAsia="zh-CN"/>
        </w:rPr>
        <w:t>委托人</w:t>
      </w:r>
      <w:r>
        <w:rPr>
          <w:rFonts w:hint="eastAsia" w:ascii="宋体" w:hAnsi="宋体" w:cs="宋体"/>
          <w:sz w:val="24"/>
          <w:szCs w:val="24"/>
          <w:highlight w:val="none"/>
        </w:rPr>
        <w:t>审核后，核减率超过±5%的，将扣除监理服务费用：</w:t>
      </w:r>
      <w:r>
        <w:rPr>
          <w:rFonts w:hint="eastAsia" w:ascii="宋体" w:hAnsi="宋体" w:cs="宋体"/>
          <w:sz w:val="24"/>
          <w:szCs w:val="24"/>
          <w:highlight w:val="none"/>
          <w:u w:val="single"/>
          <w:lang w:val="en-US" w:eastAsia="zh-CN"/>
        </w:rPr>
        <w:t>详见补充条款</w:t>
      </w:r>
      <w:r>
        <w:rPr>
          <w:rFonts w:hint="eastAsia" w:ascii="宋体" w:hAnsi="宋体" w:cs="宋体"/>
          <w:sz w:val="24"/>
          <w:szCs w:val="24"/>
          <w:highlight w:val="none"/>
          <w:u w:val="single"/>
        </w:rPr>
        <w:t>。</w:t>
      </w:r>
    </w:p>
    <w:p w14:paraId="297440E5">
      <w:pPr>
        <w:pStyle w:val="6"/>
        <w:numPr>
          <w:ilvl w:val="2"/>
          <w:numId w:val="0"/>
        </w:numPr>
        <w:adjustRightInd w:val="0"/>
        <w:snapToGrid w:val="0"/>
        <w:spacing w:before="240" w:after="120" w:line="560" w:lineRule="exact"/>
        <w:rPr>
          <w:rFonts w:ascii="宋体" w:hAnsi="宋体" w:cs="宋体"/>
          <w:b w:val="0"/>
          <w:bCs w:val="0"/>
          <w:sz w:val="24"/>
          <w:szCs w:val="24"/>
          <w:highlight w:val="none"/>
        </w:rPr>
      </w:pPr>
      <w:bookmarkStart w:id="93" w:name="_Toc24056"/>
      <w:r>
        <w:rPr>
          <w:rFonts w:hint="eastAsia" w:ascii="宋体" w:hAnsi="宋体" w:cs="宋体"/>
          <w:b w:val="0"/>
          <w:bCs w:val="0"/>
          <w:sz w:val="24"/>
          <w:szCs w:val="24"/>
          <w:highlight w:val="none"/>
        </w:rPr>
        <w:t>5酬金的计取与支付</w:t>
      </w:r>
      <w:bookmarkEnd w:id="90"/>
      <w:bookmarkEnd w:id="91"/>
      <w:bookmarkEnd w:id="92"/>
      <w:bookmarkEnd w:id="93"/>
    </w:p>
    <w:p w14:paraId="41E22611">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5.1 酬金计取</w:t>
      </w:r>
    </w:p>
    <w:p w14:paraId="33D45B50">
      <w:pPr>
        <w:adjustRightInd w:val="0"/>
        <w:snapToGrid w:val="0"/>
        <w:spacing w:before="20" w:after="20" w:line="560" w:lineRule="exact"/>
        <w:ind w:firstLine="480" w:firstLineChars="200"/>
        <w:rPr>
          <w:rFonts w:ascii="宋体" w:hAnsi="宋体" w:cs="宋体"/>
          <w:sz w:val="24"/>
          <w:szCs w:val="24"/>
          <w:highlight w:val="none"/>
          <w:u w:val="single"/>
        </w:rPr>
      </w:pPr>
      <w:r>
        <w:rPr>
          <w:rFonts w:hint="eastAsia" w:ascii="宋体" w:hAnsi="宋体" w:cs="宋体"/>
          <w:sz w:val="24"/>
          <w:szCs w:val="24"/>
          <w:highlight w:val="none"/>
          <w:u w:val="none"/>
        </w:rPr>
        <w:t>根据</w:t>
      </w:r>
      <w:r>
        <w:rPr>
          <w:rFonts w:hint="eastAsia" w:ascii="宋体" w:hAnsi="宋体" w:eastAsia="宋体" w:cs="宋体"/>
          <w:b w:val="0"/>
          <w:bCs w:val="0"/>
          <w:sz w:val="24"/>
          <w:szCs w:val="24"/>
          <w:highlight w:val="none"/>
          <w:u w:val="none"/>
          <w:lang w:val="zh-CN" w:eastAsia="zh-CN"/>
        </w:rPr>
        <w:t>发改价格〔2007〕670号规定</w:t>
      </w:r>
      <w:r>
        <w:rPr>
          <w:rFonts w:hint="default" w:ascii="宋体" w:hAnsi="宋体" w:eastAsia="宋体" w:cs="宋体"/>
          <w:b w:val="0"/>
          <w:bCs w:val="0"/>
          <w:sz w:val="24"/>
          <w:szCs w:val="24"/>
          <w:highlight w:val="none"/>
          <w:lang w:val="zh-CN" w:eastAsia="zh-CN"/>
        </w:rPr>
        <w:t>的工程监理</w:t>
      </w:r>
      <w:r>
        <w:rPr>
          <w:rFonts w:hint="default" w:ascii="宋体" w:hAnsi="宋体" w:eastAsia="宋体" w:cs="宋体"/>
          <w:b w:val="0"/>
          <w:bCs w:val="0"/>
          <w:sz w:val="24"/>
          <w:szCs w:val="24"/>
          <w:highlight w:val="none"/>
          <w:lang w:val="en-US" w:eastAsia="zh-CN"/>
        </w:rPr>
        <w:t>收费基准价格费率及下浮率</w:t>
      </w:r>
      <w:r>
        <w:rPr>
          <w:rFonts w:hint="eastAsia" w:ascii="宋体" w:hAnsi="宋体" w:cs="宋体"/>
          <w:b w:val="0"/>
          <w:bCs w:val="0"/>
          <w:sz w:val="24"/>
          <w:szCs w:val="24"/>
          <w:highlight w:val="none"/>
          <w:lang w:val="en-US" w:eastAsia="zh-CN"/>
        </w:rPr>
        <w:t>。</w:t>
      </w:r>
    </w:p>
    <w:p w14:paraId="455FA9A1">
      <w:pPr>
        <w:spacing w:line="560" w:lineRule="exact"/>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rPr>
        <w:t>本合同监理服务酬金暂定</w:t>
      </w:r>
      <w:r>
        <w:rPr>
          <w:rFonts w:ascii="宋体" w:hAnsi="宋体" w:cs="宋体"/>
          <w:sz w:val="24"/>
          <w:szCs w:val="24"/>
          <w:highlight w:val="none"/>
        </w:rPr>
        <w:t>(含保修阶段）</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rPr>
        <w:t>万元</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委托人不提供人员住宿、餐饮、办公场地、办公设备及用品，上述费用由监理人在监理服务</w:t>
      </w:r>
      <w:r>
        <w:rPr>
          <w:rFonts w:hint="eastAsia" w:ascii="宋体" w:hAnsi="宋体" w:cs="宋体"/>
          <w:sz w:val="24"/>
          <w:szCs w:val="24"/>
          <w:highlight w:val="none"/>
        </w:rPr>
        <w:t>酬金</w:t>
      </w:r>
      <w:r>
        <w:rPr>
          <w:rFonts w:hint="eastAsia" w:ascii="宋体" w:hAnsi="宋体" w:cs="宋体"/>
          <w:sz w:val="24"/>
          <w:szCs w:val="24"/>
          <w:highlight w:val="none"/>
          <w:lang w:val="en-US" w:eastAsia="zh-CN"/>
        </w:rPr>
        <w:t>中综合考虑。根据工程需要，委托人有权要求夜间值班，监理人不得另行收取加班费。</w:t>
      </w:r>
    </w:p>
    <w:p w14:paraId="485C7BC5">
      <w:pPr>
        <w:spacing w:line="560" w:lineRule="exact"/>
        <w:ind w:firstLine="480" w:firstLineChars="200"/>
        <w:rPr>
          <w:rFonts w:ascii="宋体" w:hAnsi="宋体" w:cs="宋体"/>
          <w:sz w:val="24"/>
          <w:szCs w:val="24"/>
          <w:highlight w:val="none"/>
        </w:rPr>
      </w:pPr>
      <w:r>
        <w:rPr>
          <w:rFonts w:ascii="宋体" w:hAnsi="宋体" w:cs="宋体"/>
          <w:sz w:val="24"/>
          <w:szCs w:val="24"/>
          <w:highlight w:val="none"/>
        </w:rPr>
        <w:t>计算过程如下：</w:t>
      </w:r>
    </w:p>
    <w:p w14:paraId="4C0527DD">
      <w:pPr>
        <w:spacing w:line="560" w:lineRule="exact"/>
        <w:ind w:firstLine="480" w:firstLineChars="200"/>
        <w:rPr>
          <w:rFonts w:ascii="宋体" w:hAnsi="宋体" w:cs="宋体"/>
          <w:sz w:val="24"/>
          <w:szCs w:val="24"/>
          <w:highlight w:val="none"/>
        </w:rPr>
      </w:pPr>
      <w:r>
        <w:rPr>
          <w:rFonts w:ascii="宋体" w:hAnsi="宋体" w:cs="宋体"/>
          <w:sz w:val="24"/>
          <w:szCs w:val="24"/>
          <w:highlight w:val="none"/>
        </w:rPr>
        <w:t>监理服务酬金暂定(含保修阶段）：</w:t>
      </w:r>
      <w:r>
        <w:rPr>
          <w:rFonts w:hint="eastAsia" w:ascii="宋体" w:hAnsi="宋体" w:cs="宋体"/>
          <w:sz w:val="24"/>
          <w:szCs w:val="24"/>
          <w:highlight w:val="none"/>
          <w:u w:val="single"/>
          <w:lang w:val="en-US" w:eastAsia="zh-CN"/>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rPr>
        <w:t xml:space="preserve"> 万元     </w:t>
      </w:r>
    </w:p>
    <w:p w14:paraId="1278BFDB">
      <w:pPr>
        <w:spacing w:line="560" w:lineRule="exact"/>
        <w:ind w:firstLine="480" w:firstLineChars="200"/>
        <w:rPr>
          <w:rFonts w:ascii="宋体" w:hAnsi="宋体" w:cs="宋体"/>
          <w:sz w:val="24"/>
          <w:szCs w:val="24"/>
          <w:highlight w:val="none"/>
        </w:rPr>
      </w:pPr>
      <w:r>
        <w:rPr>
          <w:rFonts w:ascii="宋体" w:hAnsi="宋体" w:cs="宋体"/>
          <w:sz w:val="24"/>
          <w:szCs w:val="24"/>
          <w:highlight w:val="none"/>
        </w:rPr>
        <w:t>本项目专业调整系数为</w:t>
      </w:r>
      <w:r>
        <w:rPr>
          <w:rFonts w:hint="eastAsia" w:ascii="宋体" w:hAnsi="宋体" w:cs="宋体"/>
          <w:sz w:val="24"/>
          <w:szCs w:val="24"/>
          <w:highlight w:val="none"/>
        </w:rPr>
        <w:t xml:space="preserve"> </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val="en-US" w:eastAsia="zh-CN"/>
        </w:rPr>
        <w:t>1.0</w:t>
      </w:r>
      <w:r>
        <w:rPr>
          <w:rFonts w:ascii="宋体" w:hAnsi="宋体" w:cs="宋体"/>
          <w:sz w:val="24"/>
          <w:szCs w:val="24"/>
          <w:highlight w:val="none"/>
        </w:rPr>
        <w:t>，工程复杂程度调整系数为</w:t>
      </w:r>
      <w:r>
        <w:rPr>
          <w:rFonts w:hint="eastAsia" w:ascii="宋体" w:hAnsi="宋体" w:cs="宋体"/>
          <w:sz w:val="24"/>
          <w:szCs w:val="24"/>
          <w:highlight w:val="none"/>
          <w:u w:val="single"/>
          <w:lang w:val="en-US" w:eastAsia="zh-CN"/>
        </w:rPr>
        <w:t>0.85</w:t>
      </w:r>
      <w:r>
        <w:rPr>
          <w:rFonts w:ascii="宋体" w:hAnsi="宋体" w:cs="宋体"/>
          <w:sz w:val="24"/>
          <w:szCs w:val="24"/>
          <w:highlight w:val="none"/>
        </w:rPr>
        <w:t>，高程调整系数为</w:t>
      </w:r>
      <w:r>
        <w:rPr>
          <w:rFonts w:hint="eastAsia" w:ascii="宋体" w:hAnsi="宋体" w:cs="宋体"/>
          <w:sz w:val="24"/>
          <w:szCs w:val="24"/>
          <w:highlight w:val="none"/>
          <w:u w:val="single"/>
          <w:lang w:val="en-US" w:eastAsia="zh-CN"/>
        </w:rPr>
        <w:t>1.0</w:t>
      </w:r>
      <w:r>
        <w:rPr>
          <w:rFonts w:hint="eastAsia" w:ascii="宋体" w:hAnsi="宋体" w:cs="宋体"/>
          <w:sz w:val="24"/>
          <w:szCs w:val="24"/>
          <w:highlight w:val="none"/>
          <w:u w:val="single"/>
        </w:rPr>
        <w:t xml:space="preserve"> </w:t>
      </w:r>
      <w:r>
        <w:rPr>
          <w:rFonts w:hint="eastAsia" w:ascii="宋体" w:hAnsi="宋体" w:cs="宋体"/>
          <w:sz w:val="24"/>
          <w:szCs w:val="24"/>
          <w:highlight w:val="none"/>
          <w:u w:val="single"/>
          <w:lang w:eastAsia="zh-CN"/>
        </w:rPr>
        <w:t>，</w:t>
      </w:r>
      <w:r>
        <w:rPr>
          <w:rFonts w:hint="eastAsia" w:ascii="宋体" w:hAnsi="宋体" w:cs="宋体"/>
          <w:sz w:val="24"/>
          <w:szCs w:val="24"/>
          <w:highlight w:val="none"/>
          <w:u w:val="single"/>
          <w:lang w:val="en-US" w:eastAsia="zh-CN"/>
        </w:rPr>
        <w:t>中标下浮率为    %。</w:t>
      </w:r>
    </w:p>
    <w:p w14:paraId="35DCBDF8">
      <w:pPr>
        <w:spacing w:line="560" w:lineRule="exact"/>
        <w:ind w:firstLine="480" w:firstLineChars="200"/>
        <w:rPr>
          <w:rFonts w:ascii="宋体" w:hAnsi="宋体" w:cs="宋体"/>
          <w:sz w:val="24"/>
          <w:szCs w:val="24"/>
          <w:highlight w:val="none"/>
        </w:rPr>
      </w:pPr>
      <w:r>
        <w:rPr>
          <w:rFonts w:hint="eastAsia" w:ascii="宋体" w:hAnsi="宋体" w:cs="宋体"/>
          <w:sz w:val="24"/>
          <w:szCs w:val="24"/>
          <w:highlight w:val="none"/>
          <w:u w:val="single"/>
        </w:rPr>
        <w:t>监理服务酬金</w:t>
      </w:r>
      <w:r>
        <w:rPr>
          <w:rFonts w:hint="eastAsia" w:ascii="宋体" w:hAnsi="宋体" w:cs="宋体"/>
          <w:sz w:val="24"/>
          <w:szCs w:val="24"/>
          <w:highlight w:val="none"/>
          <w:u w:val="single"/>
          <w:lang w:val="en-US" w:eastAsia="zh-CN"/>
        </w:rPr>
        <w:t>计算过程为=               万元</w:t>
      </w:r>
    </w:p>
    <w:p w14:paraId="07BE942E">
      <w:pPr>
        <w:spacing w:line="560" w:lineRule="exact"/>
        <w:ind w:firstLine="480" w:firstLineChars="200"/>
        <w:rPr>
          <w:rFonts w:ascii="宋体" w:hAnsi="宋体"/>
          <w:szCs w:val="21"/>
          <w:highlight w:val="none"/>
        </w:rPr>
      </w:pPr>
      <w:r>
        <w:rPr>
          <w:rFonts w:ascii="宋体" w:hAnsi="宋体" w:cs="宋体"/>
          <w:sz w:val="24"/>
          <w:szCs w:val="24"/>
          <w:highlight w:val="none"/>
        </w:rPr>
        <w:t>最终的工程监理服务酬金按</w:t>
      </w:r>
      <w:r>
        <w:rPr>
          <w:rFonts w:hint="eastAsia" w:ascii="宋体" w:hAnsi="宋体" w:cs="宋体"/>
          <w:sz w:val="24"/>
          <w:szCs w:val="24"/>
          <w:highlight w:val="none"/>
          <w:lang w:val="en-US" w:eastAsia="zh-CN"/>
        </w:rPr>
        <w:t>南门苑、南门雅苑综合整治提升项目</w:t>
      </w:r>
      <w:bookmarkStart w:id="94" w:name="OLE_LINK1"/>
      <w:r>
        <w:rPr>
          <w:rFonts w:hint="eastAsia" w:ascii="宋体" w:hAnsi="宋体" w:cs="宋体"/>
          <w:sz w:val="24"/>
          <w:szCs w:val="24"/>
          <w:highlight w:val="none"/>
        </w:rPr>
        <w:t>最终结算</w:t>
      </w:r>
      <w:r>
        <w:rPr>
          <w:rFonts w:hint="eastAsia" w:ascii="宋体" w:hAnsi="宋体" w:cs="宋体"/>
          <w:sz w:val="24"/>
          <w:szCs w:val="24"/>
          <w:highlight w:val="none"/>
          <w:lang w:val="en-US" w:eastAsia="zh-CN"/>
        </w:rPr>
        <w:t>的建安工程费</w:t>
      </w:r>
      <w:bookmarkEnd w:id="94"/>
      <w:r>
        <w:rPr>
          <w:rFonts w:hint="default" w:ascii="宋体" w:hAnsi="宋体" w:eastAsia="宋体" w:cs="宋体"/>
          <w:b w:val="0"/>
          <w:bCs w:val="0"/>
          <w:sz w:val="24"/>
          <w:szCs w:val="24"/>
          <w:highlight w:val="none"/>
          <w:lang w:val="en-US" w:eastAsia="zh-CN"/>
        </w:rPr>
        <w:t>作为计费基数</w:t>
      </w:r>
      <w:r>
        <w:rPr>
          <w:rFonts w:hint="default" w:ascii="宋体" w:hAnsi="宋体" w:eastAsia="宋体" w:cs="宋体"/>
          <w:b w:val="0"/>
          <w:bCs w:val="0"/>
          <w:sz w:val="24"/>
          <w:szCs w:val="24"/>
          <w:highlight w:val="none"/>
          <w:lang w:val="zh-CN" w:eastAsia="zh-CN"/>
        </w:rPr>
        <w:t>，按发改价格〔2007〕670号文规定的工程监理</w:t>
      </w:r>
      <w:r>
        <w:rPr>
          <w:rFonts w:hint="default" w:ascii="宋体" w:hAnsi="宋体" w:eastAsia="宋体" w:cs="宋体"/>
          <w:b w:val="0"/>
          <w:bCs w:val="0"/>
          <w:sz w:val="24"/>
          <w:szCs w:val="24"/>
          <w:highlight w:val="none"/>
          <w:lang w:val="en-US" w:eastAsia="zh-CN"/>
        </w:rPr>
        <w:t>收费基准价格费率及下浮率按实结算。如南门苑、南门雅苑综合整治提升项目最终结算的建安工程费大于</w:t>
      </w:r>
      <w:r>
        <w:rPr>
          <w:rFonts w:hint="eastAsia" w:ascii="宋体" w:hAnsi="宋体" w:cs="宋体"/>
          <w:b w:val="0"/>
          <w:bCs w:val="0"/>
          <w:sz w:val="24"/>
          <w:szCs w:val="24"/>
          <w:highlight w:val="none"/>
          <w:lang w:val="en-US" w:eastAsia="zh-CN"/>
        </w:rPr>
        <w:t>44</w:t>
      </w:r>
      <w:r>
        <w:rPr>
          <w:rFonts w:hint="default" w:ascii="宋体" w:hAnsi="宋体" w:eastAsia="宋体" w:cs="宋体"/>
          <w:b w:val="0"/>
          <w:bCs w:val="0"/>
          <w:sz w:val="24"/>
          <w:szCs w:val="24"/>
          <w:highlight w:val="none"/>
          <w:lang w:val="en-US" w:eastAsia="zh-CN"/>
        </w:rPr>
        <w:t>00万元，则工程监理服务费的计费基数仍按</w:t>
      </w:r>
      <w:r>
        <w:rPr>
          <w:rFonts w:hint="eastAsia" w:ascii="宋体" w:hAnsi="宋体" w:cs="宋体"/>
          <w:b w:val="0"/>
          <w:bCs w:val="0"/>
          <w:sz w:val="24"/>
          <w:szCs w:val="24"/>
          <w:highlight w:val="none"/>
          <w:lang w:val="en-US" w:eastAsia="zh-CN"/>
        </w:rPr>
        <w:t>44</w:t>
      </w:r>
      <w:r>
        <w:rPr>
          <w:rFonts w:hint="default" w:ascii="宋体" w:hAnsi="宋体" w:eastAsia="宋体" w:cs="宋体"/>
          <w:b w:val="0"/>
          <w:bCs w:val="0"/>
          <w:sz w:val="24"/>
          <w:szCs w:val="24"/>
          <w:highlight w:val="none"/>
          <w:lang w:val="en-US" w:eastAsia="zh-CN"/>
        </w:rPr>
        <w:t>00万元计取，根据上述计算方法计算。</w:t>
      </w:r>
    </w:p>
    <w:p w14:paraId="5A8FB93D">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5.2 酬金支付</w:t>
      </w:r>
    </w:p>
    <w:p w14:paraId="54289E59">
      <w:pPr>
        <w:pStyle w:val="98"/>
        <w:spacing w:line="560" w:lineRule="exact"/>
        <w:ind w:firstLine="480"/>
        <w:rPr>
          <w:rFonts w:ascii="宋体" w:hAnsi="宋体" w:cs="宋体"/>
          <w:sz w:val="24"/>
          <w:szCs w:val="24"/>
          <w:highlight w:val="none"/>
        </w:rPr>
      </w:pPr>
      <w:r>
        <w:rPr>
          <w:rFonts w:hint="eastAsia" w:ascii="宋体" w:hAnsi="宋体" w:cs="宋体"/>
          <w:sz w:val="24"/>
          <w:szCs w:val="24"/>
          <w:highlight w:val="none"/>
        </w:rPr>
        <w:t>施工阶段监理费支付方式如下：</w:t>
      </w:r>
      <w:bookmarkStart w:id="95" w:name="_Toc429304412"/>
      <w:bookmarkStart w:id="96" w:name="_Toc429184016"/>
    </w:p>
    <w:p w14:paraId="6BDA6D4C">
      <w:pPr>
        <w:pStyle w:val="98"/>
        <w:spacing w:line="560" w:lineRule="exact"/>
        <w:ind w:firstLine="480" w:firstLineChars="200"/>
        <w:rPr>
          <w:rFonts w:ascii="宋体" w:hAnsi="宋体" w:cs="宋体"/>
          <w:sz w:val="24"/>
          <w:szCs w:val="24"/>
          <w:highlight w:val="none"/>
        </w:rPr>
      </w:pPr>
      <w:r>
        <w:rPr>
          <w:rFonts w:hint="eastAsia" w:ascii="宋体" w:hAnsi="宋体" w:eastAsia="宋体" w:cs="宋体"/>
          <w:sz w:val="24"/>
          <w:szCs w:val="24"/>
          <w:highlight w:val="none"/>
        </w:rPr>
        <w:t>项目开工</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个月后，支付</w:t>
      </w:r>
      <w:r>
        <w:rPr>
          <w:rFonts w:hint="eastAsia" w:ascii="宋体" w:hAnsi="宋体" w:eastAsia="宋体" w:cs="宋体"/>
          <w:sz w:val="24"/>
          <w:szCs w:val="24"/>
          <w:highlight w:val="none"/>
          <w:lang w:val="en-US" w:eastAsia="zh-CN"/>
        </w:rPr>
        <w:t>暂定合同价</w:t>
      </w:r>
      <w:r>
        <w:rPr>
          <w:rFonts w:hint="eastAsia" w:ascii="宋体" w:hAnsi="宋体" w:eastAsia="宋体" w:cs="宋体"/>
          <w:sz w:val="24"/>
          <w:szCs w:val="24"/>
          <w:highlight w:val="none"/>
        </w:rPr>
        <w:t>的20%；完成全部施工内容并通过竣工验收后，并将所有工程过程资料（包含但不限于工程设计变更资料及其审批表等）归档完毕，支付至暂定合同价的6</w:t>
      </w: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待监理合同结算审核</w:t>
      </w:r>
      <w:r>
        <w:rPr>
          <w:rFonts w:hint="eastAsia" w:ascii="宋体" w:hAnsi="宋体" w:eastAsia="宋体" w:cs="宋体"/>
          <w:sz w:val="24"/>
          <w:szCs w:val="24"/>
          <w:highlight w:val="none"/>
          <w:lang w:val="en-US" w:eastAsia="zh-CN"/>
        </w:rPr>
        <w:t>完成并进行履约评价后，按履约评价结果进行支付，最高支付至结算价的95%；保留5%余款</w:t>
      </w:r>
      <w:r>
        <w:rPr>
          <w:rFonts w:hint="eastAsia" w:ascii="宋体" w:hAnsi="宋体" w:eastAsia="宋体" w:cs="宋体"/>
          <w:sz w:val="24"/>
          <w:szCs w:val="24"/>
          <w:highlight w:val="none"/>
        </w:rPr>
        <w:t>在工程保修期满（2年）后一次性支付。保修阶段监理仍需履行监理义务。</w:t>
      </w:r>
    </w:p>
    <w:p w14:paraId="27E62EB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委托人根据单方履约评价结果支付履约考核费用。委托人组建履约考核小组，在合同履行结束或终止后按照评分表进行履约评价。</w:t>
      </w:r>
    </w:p>
    <w:p w14:paraId="58DE02E0">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①评价结果为80分（含）以上时，不扣除；</w:t>
      </w:r>
    </w:p>
    <w:p w14:paraId="0E8C720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②评价结果为60分（含）以上80分（不含）以下时，委托人将扣除合同总金额的5%不予支付；</w:t>
      </w:r>
    </w:p>
    <w:p w14:paraId="610717C7">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③评价结果为60分（不含）以下时，视为监理人未正常履约，委托人将扣除合同总金额的10%不予支付。</w:t>
      </w:r>
    </w:p>
    <w:p w14:paraId="0F2DF496">
      <w:pPr>
        <w:pStyle w:val="98"/>
        <w:spacing w:line="560" w:lineRule="exact"/>
        <w:ind w:firstLine="0" w:firstLineChars="0"/>
        <w:rPr>
          <w:rFonts w:ascii="宋体" w:hAnsi="宋体" w:cs="宋体"/>
          <w:sz w:val="24"/>
          <w:szCs w:val="24"/>
          <w:highlight w:val="none"/>
        </w:rPr>
      </w:pPr>
      <w:r>
        <w:rPr>
          <w:rFonts w:hint="eastAsia" w:ascii="宋体" w:hAnsi="宋体" w:cs="宋体"/>
          <w:sz w:val="24"/>
          <w:szCs w:val="24"/>
          <w:highlight w:val="none"/>
        </w:rPr>
        <w:t>6 合同生效、变更、暂停、解除与终止</w:t>
      </w:r>
      <w:bookmarkEnd w:id="95"/>
      <w:bookmarkEnd w:id="96"/>
    </w:p>
    <w:p w14:paraId="601CA63A">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6.1 生效</w:t>
      </w:r>
    </w:p>
    <w:p w14:paraId="598DB402">
      <w:pPr>
        <w:adjustRightInd w:val="0"/>
        <w:snapToGrid w:val="0"/>
        <w:spacing w:line="560" w:lineRule="exact"/>
        <w:ind w:firstLine="480" w:firstLineChars="200"/>
        <w:rPr>
          <w:rFonts w:ascii="宋体" w:hAnsi="宋体" w:cs="宋体"/>
          <w:kern w:val="18"/>
          <w:sz w:val="24"/>
          <w:szCs w:val="24"/>
          <w:highlight w:val="none"/>
        </w:rPr>
      </w:pPr>
      <w:r>
        <w:rPr>
          <w:rFonts w:hint="eastAsia" w:ascii="宋体" w:hAnsi="宋体" w:cs="宋体"/>
          <w:sz w:val="24"/>
          <w:szCs w:val="24"/>
          <w:highlight w:val="none"/>
        </w:rPr>
        <w:t>本合同生效条件</w:t>
      </w:r>
      <w:r>
        <w:rPr>
          <w:rFonts w:hint="eastAsia" w:ascii="宋体" w:hAnsi="宋体" w:cs="宋体"/>
          <w:kern w:val="18"/>
          <w:sz w:val="24"/>
          <w:szCs w:val="24"/>
          <w:highlight w:val="none"/>
        </w:rPr>
        <w:t>：双方签字盖章。</w:t>
      </w:r>
    </w:p>
    <w:p w14:paraId="443E57BC">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6.2变更</w:t>
      </w:r>
    </w:p>
    <w:p w14:paraId="56C0ACB4">
      <w:pPr>
        <w:pStyle w:val="98"/>
        <w:spacing w:line="560" w:lineRule="exact"/>
        <w:ind w:firstLine="480"/>
        <w:rPr>
          <w:rFonts w:ascii="宋体" w:hAnsi="宋体" w:cs="宋体"/>
          <w:sz w:val="24"/>
          <w:szCs w:val="24"/>
          <w:highlight w:val="none"/>
        </w:rPr>
      </w:pPr>
      <w:r>
        <w:rPr>
          <w:rFonts w:hint="eastAsia" w:ascii="宋体" w:hAnsi="宋体" w:cs="宋体"/>
          <w:sz w:val="24"/>
          <w:szCs w:val="24"/>
          <w:highlight w:val="none"/>
        </w:rPr>
        <w:t>6.2.2酬金调整</w:t>
      </w:r>
      <w:r>
        <w:rPr>
          <w:rFonts w:hint="eastAsia" w:ascii="宋体" w:hAnsi="宋体" w:cs="宋体"/>
          <w:sz w:val="24"/>
          <w:szCs w:val="24"/>
          <w:highlight w:val="none"/>
          <w:u w:val="single"/>
        </w:rPr>
        <w:t>/</w:t>
      </w:r>
      <w:r>
        <w:rPr>
          <w:rFonts w:hint="eastAsia" w:ascii="宋体" w:hAnsi="宋体" w:cs="宋体"/>
          <w:sz w:val="24"/>
          <w:szCs w:val="24"/>
          <w:highlight w:val="none"/>
        </w:rPr>
        <w:t>。</w:t>
      </w:r>
    </w:p>
    <w:p w14:paraId="74EC12C3">
      <w:pPr>
        <w:pStyle w:val="98"/>
        <w:adjustRightInd w:val="0"/>
        <w:snapToGrid w:val="0"/>
        <w:spacing w:line="560" w:lineRule="exact"/>
        <w:ind w:firstLine="480"/>
        <w:rPr>
          <w:rFonts w:hint="eastAsia" w:ascii="宋体" w:hAnsi="宋体" w:cs="宋体"/>
          <w:sz w:val="24"/>
          <w:szCs w:val="24"/>
          <w:highlight w:val="none"/>
        </w:rPr>
      </w:pPr>
      <w:r>
        <w:rPr>
          <w:rFonts w:hint="eastAsia" w:ascii="宋体" w:hAnsi="宋体" w:cs="宋体"/>
          <w:sz w:val="24"/>
          <w:szCs w:val="24"/>
          <w:highlight w:val="none"/>
        </w:rPr>
        <w:t>6.2.3正常工作酬金应作相应调整</w:t>
      </w:r>
      <w:r>
        <w:rPr>
          <w:rFonts w:hint="eastAsia" w:ascii="宋体" w:hAnsi="宋体" w:cs="宋体"/>
          <w:sz w:val="24"/>
          <w:szCs w:val="24"/>
          <w:highlight w:val="none"/>
          <w:u w:val="single"/>
        </w:rPr>
        <w:t>/</w:t>
      </w:r>
      <w:r>
        <w:rPr>
          <w:rFonts w:hint="eastAsia" w:ascii="宋体" w:hAnsi="宋体" w:cs="宋体"/>
          <w:sz w:val="24"/>
          <w:szCs w:val="24"/>
          <w:highlight w:val="none"/>
        </w:rPr>
        <w:t>。</w:t>
      </w:r>
    </w:p>
    <w:p w14:paraId="08AE628C">
      <w:pPr>
        <w:spacing w:before="20" w:after="20" w:line="55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6.4 终止</w:t>
      </w:r>
    </w:p>
    <w:p w14:paraId="224409CD">
      <w:pPr>
        <w:pStyle w:val="98"/>
        <w:adjustRightInd w:val="0"/>
        <w:snapToGrid w:val="0"/>
        <w:spacing w:line="560" w:lineRule="exact"/>
        <w:ind w:firstLine="48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6.4.1本合同生效后，委托人有权单方提前终止或解除合同。因委托人原因导致本合同提前终止或解除，如监理人尚未开始服务工作的，委托人不予支付任何费用，已支付的，监理人应当在委托人书面终止合同通知后五日内返还给委托人。监理人已开始服务工作的，委托人按照监理人已完成且经委托人确认的工作量结算合同费用，除此之外，委托人不再承担支付任何违约金、补偿金或赔偿金等经济责任。</w:t>
      </w:r>
    </w:p>
    <w:p w14:paraId="647FE5A6">
      <w:pPr>
        <w:pStyle w:val="6"/>
        <w:numPr>
          <w:ilvl w:val="2"/>
          <w:numId w:val="0"/>
        </w:numPr>
        <w:adjustRightInd w:val="0"/>
        <w:snapToGrid w:val="0"/>
        <w:spacing w:before="240" w:after="120" w:line="560" w:lineRule="exact"/>
        <w:rPr>
          <w:rFonts w:ascii="宋体" w:hAnsi="宋体" w:cs="宋体"/>
          <w:b w:val="0"/>
          <w:bCs w:val="0"/>
          <w:sz w:val="24"/>
          <w:szCs w:val="24"/>
          <w:highlight w:val="none"/>
        </w:rPr>
      </w:pPr>
      <w:bookmarkStart w:id="97" w:name="_Toc429304413"/>
      <w:bookmarkStart w:id="98" w:name="_Toc429184017"/>
      <w:bookmarkStart w:id="99" w:name="_Toc327891459"/>
      <w:bookmarkStart w:id="100" w:name="_Toc25932"/>
      <w:r>
        <w:rPr>
          <w:rFonts w:hint="eastAsia" w:ascii="宋体" w:hAnsi="宋体" w:cs="宋体"/>
          <w:b w:val="0"/>
          <w:bCs w:val="0"/>
          <w:sz w:val="24"/>
          <w:szCs w:val="24"/>
          <w:highlight w:val="none"/>
        </w:rPr>
        <w:t>7 争议解决</w:t>
      </w:r>
      <w:bookmarkEnd w:id="97"/>
      <w:bookmarkEnd w:id="98"/>
      <w:bookmarkEnd w:id="99"/>
      <w:bookmarkEnd w:id="100"/>
    </w:p>
    <w:p w14:paraId="7DB8DD56">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7.2 调解</w:t>
      </w:r>
    </w:p>
    <w:p w14:paraId="5F4742A4">
      <w:pPr>
        <w:adjustRightInd w:val="0"/>
        <w:snapToGrid w:val="0"/>
        <w:spacing w:line="560" w:lineRule="exact"/>
        <w:ind w:firstLine="480" w:firstLineChars="200"/>
        <w:rPr>
          <w:rFonts w:ascii="宋体" w:hAnsi="宋体" w:cs="宋体"/>
          <w:kern w:val="18"/>
          <w:sz w:val="24"/>
          <w:szCs w:val="24"/>
          <w:highlight w:val="none"/>
        </w:rPr>
      </w:pPr>
      <w:r>
        <w:rPr>
          <w:rFonts w:hint="eastAsia" w:ascii="宋体" w:hAnsi="宋体" w:cs="宋体"/>
          <w:sz w:val="24"/>
          <w:szCs w:val="24"/>
          <w:highlight w:val="none"/>
        </w:rPr>
        <w:t>本合同争议进行调解时，可提交</w:t>
      </w:r>
      <w:r>
        <w:rPr>
          <w:rFonts w:hint="eastAsia" w:ascii="宋体" w:hAnsi="宋体" w:cs="宋体"/>
          <w:kern w:val="18"/>
          <w:sz w:val="24"/>
          <w:szCs w:val="24"/>
          <w:highlight w:val="none"/>
          <w:u w:val="single"/>
        </w:rPr>
        <w:t>深圳市龙岗区住房和建设局</w:t>
      </w:r>
      <w:r>
        <w:rPr>
          <w:rFonts w:hint="eastAsia" w:ascii="宋体" w:hAnsi="宋体" w:cs="宋体"/>
          <w:kern w:val="18"/>
          <w:sz w:val="24"/>
          <w:szCs w:val="24"/>
          <w:highlight w:val="none"/>
        </w:rPr>
        <w:t>（调解人）进行调解。</w:t>
      </w:r>
    </w:p>
    <w:p w14:paraId="588FD81F">
      <w:pPr>
        <w:adjustRightInd w:val="0"/>
        <w:snapToGrid w:val="0"/>
        <w:spacing w:before="20" w:after="20" w:line="560" w:lineRule="exact"/>
        <w:ind w:firstLine="480" w:firstLineChars="200"/>
        <w:rPr>
          <w:rFonts w:ascii="宋体" w:hAnsi="宋体" w:cs="宋体"/>
          <w:sz w:val="24"/>
          <w:szCs w:val="24"/>
          <w:highlight w:val="none"/>
        </w:rPr>
      </w:pPr>
      <w:r>
        <w:rPr>
          <w:rFonts w:hint="eastAsia" w:ascii="宋体" w:hAnsi="宋体" w:cs="宋体"/>
          <w:kern w:val="18"/>
          <w:sz w:val="24"/>
          <w:szCs w:val="24"/>
          <w:highlight w:val="none"/>
        </w:rPr>
        <w:t>7.3 仲裁或诉讼</w:t>
      </w:r>
      <w:bookmarkStart w:id="101" w:name="_Toc429184018"/>
      <w:bookmarkStart w:id="102" w:name="_Toc327891460"/>
      <w:bookmarkStart w:id="103" w:name="_Toc429304414"/>
      <w:r>
        <w:rPr>
          <w:rFonts w:hint="eastAsia" w:ascii="宋体" w:hAnsi="宋体" w:cs="宋体"/>
          <w:sz w:val="24"/>
          <w:szCs w:val="24"/>
          <w:highlight w:val="none"/>
        </w:rPr>
        <w:t xml:space="preserve">   </w:t>
      </w:r>
    </w:p>
    <w:p w14:paraId="4B0DC853">
      <w:pPr>
        <w:adjustRightInd w:val="0"/>
        <w:snapToGrid w:val="0"/>
        <w:spacing w:before="20" w:after="20" w:line="560" w:lineRule="exact"/>
        <w:ind w:firstLine="480" w:firstLineChars="200"/>
        <w:rPr>
          <w:rFonts w:ascii="宋体" w:hAnsi="宋体" w:cs="宋体"/>
          <w:sz w:val="24"/>
          <w:szCs w:val="24"/>
          <w:highlight w:val="none"/>
        </w:rPr>
      </w:pPr>
      <w:r>
        <w:rPr>
          <w:rFonts w:hint="eastAsia" w:ascii="宋体" w:hAnsi="宋体" w:cs="宋体"/>
          <w:sz w:val="24"/>
          <w:szCs w:val="24"/>
          <w:highlight w:val="none"/>
        </w:rPr>
        <w:t xml:space="preserve"> 双方当事人同意向</w:t>
      </w:r>
      <w:r>
        <w:rPr>
          <w:rFonts w:hint="eastAsia" w:ascii="宋体" w:hAnsi="宋体" w:cs="宋体"/>
          <w:sz w:val="24"/>
          <w:szCs w:val="24"/>
          <w:highlight w:val="none"/>
          <w:u w:val="single"/>
        </w:rPr>
        <w:t>委托人住所地</w:t>
      </w:r>
      <w:r>
        <w:rPr>
          <w:rFonts w:hint="eastAsia" w:ascii="宋体" w:hAnsi="宋体" w:cs="宋体"/>
          <w:sz w:val="24"/>
          <w:szCs w:val="24"/>
          <w:highlight w:val="none"/>
        </w:rPr>
        <w:t>人民法院提起诉讼。</w:t>
      </w:r>
      <w:bookmarkEnd w:id="101"/>
      <w:bookmarkEnd w:id="102"/>
      <w:bookmarkEnd w:id="103"/>
    </w:p>
    <w:p w14:paraId="6D9AB3FC">
      <w:pPr>
        <w:adjustRightInd w:val="0"/>
        <w:snapToGrid w:val="0"/>
        <w:spacing w:before="20" w:after="20" w:line="560" w:lineRule="exact"/>
        <w:rPr>
          <w:rFonts w:ascii="宋体" w:hAnsi="宋体" w:cs="宋体"/>
          <w:kern w:val="18"/>
          <w:sz w:val="24"/>
          <w:szCs w:val="24"/>
          <w:highlight w:val="none"/>
        </w:rPr>
      </w:pPr>
      <w:r>
        <w:rPr>
          <w:rFonts w:hint="eastAsia" w:ascii="宋体" w:hAnsi="宋体" w:cs="宋体"/>
          <w:kern w:val="0"/>
          <w:sz w:val="24"/>
          <w:szCs w:val="24"/>
          <w:highlight w:val="none"/>
        </w:rPr>
        <w:t xml:space="preserve"> 8其 他</w:t>
      </w:r>
    </w:p>
    <w:p w14:paraId="0E56E98A">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8.2检测费用</w:t>
      </w:r>
    </w:p>
    <w:p w14:paraId="4BC79EC4">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 xml:space="preserve">  /     </w:t>
      </w:r>
    </w:p>
    <w:p w14:paraId="51B861A2">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8.3咨询费用</w:t>
      </w:r>
    </w:p>
    <w:p w14:paraId="013EDD09">
      <w:pPr>
        <w:adjustRightInd w:val="0"/>
        <w:snapToGrid w:val="0"/>
        <w:spacing w:line="360" w:lineRule="auto"/>
        <w:ind w:firstLine="480" w:firstLineChars="200"/>
        <w:jc w:val="left"/>
        <w:rPr>
          <w:rFonts w:hint="eastAsia" w:ascii="宋体" w:hAnsi="宋体" w:cs="宋体"/>
          <w:kern w:val="18"/>
          <w:sz w:val="24"/>
          <w:szCs w:val="24"/>
          <w:highlight w:val="none"/>
        </w:rPr>
      </w:pPr>
      <w:r>
        <w:rPr>
          <w:rFonts w:hint="eastAsia" w:ascii="宋体" w:hAnsi="宋体" w:cs="宋体"/>
          <w:sz w:val="24"/>
          <w:szCs w:val="24"/>
          <w:highlight w:val="none"/>
          <w:u w:val="single"/>
        </w:rPr>
        <w:t xml:space="preserve">  /     </w:t>
      </w:r>
    </w:p>
    <w:p w14:paraId="35F77D6C">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8.4奖励</w:t>
      </w:r>
    </w:p>
    <w:p w14:paraId="0CF9EDB5">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合理化建议的奖励金额按下列方法确定为：</w:t>
      </w:r>
    </w:p>
    <w:p w14:paraId="5929FA0B">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 xml:space="preserve">  /     </w:t>
      </w:r>
    </w:p>
    <w:p w14:paraId="487C7853">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8.6保密</w:t>
      </w:r>
    </w:p>
    <w:p w14:paraId="747FFF52">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委托人申明的保密事项和期限：在本合同期内及合同终止后，监理人应对涉及本工程监理项目的任何信息、合同、资料、数据、或获取、知悉对方的商业秘密进行保密，未经委托人同意，监理人不得将涉及本工程的有关监理与服务的资料转让或透露给第三人，但法律法规和司法机构或其他有权机构书面要求披露除外；保密期限为本工程设计使用年限，本款在合同终止后仍然有效。</w:t>
      </w:r>
    </w:p>
    <w:p w14:paraId="03C7EBE5">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监理人申明的保密事项和期限：/。</w:t>
      </w:r>
    </w:p>
    <w:p w14:paraId="0BBDF046">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第三方申明的保密事项和期限：/。</w:t>
      </w:r>
    </w:p>
    <w:p w14:paraId="13FC9922">
      <w:pPr>
        <w:adjustRightInd w:val="0"/>
        <w:snapToGrid w:val="0"/>
        <w:spacing w:before="20" w:after="20" w:line="560" w:lineRule="exact"/>
        <w:ind w:firstLine="480" w:firstLineChars="200"/>
        <w:rPr>
          <w:rFonts w:ascii="宋体" w:hAnsi="宋体" w:cs="宋体"/>
          <w:kern w:val="18"/>
          <w:sz w:val="24"/>
          <w:szCs w:val="24"/>
          <w:highlight w:val="none"/>
        </w:rPr>
      </w:pPr>
      <w:r>
        <w:rPr>
          <w:rFonts w:hint="eastAsia" w:ascii="宋体" w:hAnsi="宋体" w:cs="宋体"/>
          <w:kern w:val="18"/>
          <w:sz w:val="24"/>
          <w:szCs w:val="24"/>
          <w:highlight w:val="none"/>
        </w:rPr>
        <w:t>8.8著作权</w:t>
      </w:r>
    </w:p>
    <w:p w14:paraId="08DC8BDC">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监理人在本合同履行期间及本合同终止后两年内出版涉及本工程的有关监理的资料的限制条件：</w:t>
      </w:r>
    </w:p>
    <w:p w14:paraId="6A12F745">
      <w:pPr>
        <w:adjustRightInd w:val="0"/>
        <w:snapToGrid w:val="0"/>
        <w:spacing w:line="360" w:lineRule="auto"/>
        <w:ind w:firstLine="480" w:firstLineChars="200"/>
        <w:jc w:val="left"/>
        <w:rPr>
          <w:rFonts w:ascii="宋体" w:hAnsi="宋体" w:cs="宋体"/>
          <w:sz w:val="24"/>
          <w:szCs w:val="24"/>
          <w:highlight w:val="none"/>
          <w:u w:val="single"/>
        </w:rPr>
      </w:pPr>
      <w:r>
        <w:rPr>
          <w:rFonts w:hint="eastAsia" w:ascii="宋体" w:hAnsi="宋体" w:cs="宋体"/>
          <w:sz w:val="24"/>
          <w:szCs w:val="24"/>
          <w:highlight w:val="none"/>
          <w:u w:val="single"/>
        </w:rPr>
        <w:t>监理人在监理合同履行期间及监理合同终止后两年内不得出版涉及本工程的有关监理与相关服务的资料；监理合同终止之日起届满两年后，监理人应事先征得委托人的书面同意后，方可出版涉及本工程的有关监理与相关服务的资料。</w:t>
      </w:r>
    </w:p>
    <w:p w14:paraId="068293BA">
      <w:pPr>
        <w:widowControl/>
        <w:adjustRightInd w:val="0"/>
        <w:snapToGrid w:val="0"/>
        <w:spacing w:line="360" w:lineRule="auto"/>
        <w:jc w:val="center"/>
        <w:outlineLvl w:val="1"/>
        <w:rPr>
          <w:rFonts w:hint="eastAsia" w:ascii="宋体" w:hAnsi="宋体" w:cs="宋体"/>
          <w:b/>
          <w:bCs/>
          <w:snapToGrid w:val="0"/>
          <w:kern w:val="0"/>
          <w:sz w:val="36"/>
          <w:highlight w:val="none"/>
        </w:rPr>
        <w:sectPr>
          <w:headerReference r:id="rId3" w:type="default"/>
          <w:footerReference r:id="rId4" w:type="default"/>
          <w:pgSz w:w="11906" w:h="16838"/>
          <w:pgMar w:top="1440" w:right="1800" w:bottom="1440" w:left="1800" w:header="850" w:footer="992" w:gutter="0"/>
          <w:pgBorders>
            <w:top w:val="none" w:sz="0" w:space="0"/>
            <w:left w:val="none" w:sz="0" w:space="0"/>
            <w:bottom w:val="none" w:sz="0" w:space="0"/>
            <w:right w:val="none" w:sz="0" w:space="0"/>
          </w:pgBorders>
          <w:pgNumType w:fmt="decimal"/>
          <w:cols w:space="0" w:num="1"/>
          <w:rtlGutter w:val="0"/>
          <w:docGrid w:type="lines" w:linePitch="317" w:charSpace="0"/>
        </w:sectPr>
      </w:pPr>
      <w:bookmarkStart w:id="104" w:name="_Toc20036"/>
    </w:p>
    <w:p w14:paraId="4F8DEC2D">
      <w:pPr>
        <w:widowControl/>
        <w:adjustRightInd w:val="0"/>
        <w:snapToGrid w:val="0"/>
        <w:spacing w:line="360" w:lineRule="auto"/>
        <w:jc w:val="center"/>
        <w:outlineLvl w:val="1"/>
        <w:rPr>
          <w:rFonts w:ascii="宋体" w:hAnsi="宋体" w:cs="宋体"/>
          <w:b/>
          <w:bCs/>
          <w:snapToGrid w:val="0"/>
          <w:kern w:val="0"/>
          <w:sz w:val="36"/>
          <w:highlight w:val="none"/>
        </w:rPr>
      </w:pPr>
      <w:r>
        <w:rPr>
          <w:rFonts w:hint="eastAsia" w:ascii="宋体" w:hAnsi="宋体" w:cs="宋体"/>
          <w:b/>
          <w:bCs/>
          <w:snapToGrid w:val="0"/>
          <w:kern w:val="0"/>
          <w:sz w:val="36"/>
          <w:highlight w:val="none"/>
        </w:rPr>
        <w:t>第五部分 补充条款</w:t>
      </w:r>
      <w:bookmarkEnd w:id="104"/>
    </w:p>
    <w:p w14:paraId="16950B72">
      <w:pPr>
        <w:pStyle w:val="170"/>
        <w:spacing w:line="560" w:lineRule="exact"/>
        <w:ind w:firstLine="420"/>
        <w:jc w:val="both"/>
        <w:rPr>
          <w:rFonts w:ascii="宋体"/>
          <w:szCs w:val="21"/>
          <w:highlight w:val="none"/>
        </w:rPr>
      </w:pPr>
      <w:r>
        <w:rPr>
          <w:rFonts w:hint="eastAsia" w:ascii="宋体" w:hAnsi="宋体"/>
          <w:szCs w:val="21"/>
          <w:highlight w:val="none"/>
        </w:rPr>
        <w:t>一、监理人协助委托人开展的具体工作内容还包括以下内容</w:t>
      </w:r>
    </w:p>
    <w:p w14:paraId="54E81D7A">
      <w:pPr>
        <w:pStyle w:val="163"/>
        <w:spacing w:line="560" w:lineRule="exact"/>
        <w:ind w:firstLine="420" w:firstLineChars="200"/>
        <w:rPr>
          <w:rFonts w:ascii="宋体" w:hAnsi="宋体"/>
          <w:szCs w:val="21"/>
          <w:highlight w:val="none"/>
        </w:rPr>
      </w:pPr>
      <w:r>
        <w:rPr>
          <w:rFonts w:ascii="Wingdings 2" w:hAnsi="Wingdings 2"/>
          <w:szCs w:val="21"/>
          <w:highlight w:val="none"/>
        </w:rPr>
        <w:t></w:t>
      </w:r>
      <w:r>
        <w:rPr>
          <w:rFonts w:hint="eastAsia" w:ascii="宋体" w:hAnsi="宋体"/>
          <w:szCs w:val="21"/>
          <w:highlight w:val="none"/>
        </w:rPr>
        <w:t xml:space="preserve"> 施工准备阶段</w:t>
      </w:r>
    </w:p>
    <w:p w14:paraId="55F9C763">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监理人在开工前必须按照工程建设的强制性标准、《建设工程监理规范》（GB50319）和相关行业监理规范的要求</w:t>
      </w:r>
      <w:r>
        <w:rPr>
          <w:rFonts w:hint="eastAsia" w:ascii="宋体" w:hAnsi="宋体"/>
          <w:szCs w:val="21"/>
          <w:highlight w:val="none"/>
          <w:u w:val="single"/>
          <w:lang w:eastAsia="zh-CN"/>
        </w:rPr>
        <w:t>及</w:t>
      </w:r>
      <w:r>
        <w:rPr>
          <w:rFonts w:hint="eastAsia" w:ascii="宋体" w:hAnsi="宋体"/>
          <w:szCs w:val="21"/>
          <w:highlight w:val="none"/>
          <w:u w:val="single"/>
        </w:rPr>
        <w:t>监理工作程序，编制本工程的监理规划及监理实施细则、专业监理细则（包括安全监理细则），明确监理的范围、内容、工作程序和制度措施，以及人员配备计划和职责等</w:t>
      </w:r>
      <w:r>
        <w:rPr>
          <w:rFonts w:hint="eastAsia" w:ascii="宋体" w:hAnsi="宋体"/>
          <w:szCs w:val="21"/>
          <w:highlight w:val="none"/>
          <w:u w:val="single"/>
          <w:lang w:eastAsia="zh-CN"/>
        </w:rPr>
        <w:t>，</w:t>
      </w:r>
      <w:r>
        <w:rPr>
          <w:rFonts w:hint="eastAsia" w:ascii="宋体" w:hAnsi="宋体"/>
          <w:szCs w:val="21"/>
          <w:highlight w:val="none"/>
          <w:u w:val="single"/>
        </w:rPr>
        <w:t>并报委托人同意后实施；在分部分项工程开工前，制定监理实施细则，并报委托人同意后实施。监理实施细则应明确规定各分部分项工程质量、安全、进度、投资、接口监控的内容、程序、方法、标准。</w:t>
      </w:r>
    </w:p>
    <w:p w14:paraId="3B2E3507">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监理人在开工前应召开监理工作交底会，向委托人、承包人讲解监理工作程序和监控的内容、程序、方法、标准、监理人员分工及职责等。</w:t>
      </w:r>
    </w:p>
    <w:p w14:paraId="45EBE845">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接受、处理或审批承包人提交的报告、计划、施工方法、施工方案、各项工作程序（含安全、质量、环境保护、文明施工等程序）。</w:t>
      </w:r>
    </w:p>
    <w:p w14:paraId="30C89A0B">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组织施工单位进场，参加委托人主持召开的第一次工地会议，起草第一次工地会议纪要，组织与会各方代表会签。</w:t>
      </w:r>
    </w:p>
    <w:p w14:paraId="31DD5044">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组织召开开工预备会议。</w:t>
      </w:r>
    </w:p>
    <w:p w14:paraId="61B747B9">
      <w:pPr>
        <w:numPr>
          <w:ilvl w:val="0"/>
          <w:numId w:val="3"/>
        </w:numPr>
        <w:spacing w:line="560" w:lineRule="exact"/>
        <w:ind w:firstLine="420" w:firstLineChars="200"/>
        <w:rPr>
          <w:rFonts w:hint="eastAsia" w:ascii="宋体" w:hAnsi="宋体" w:cs="Times New Roman"/>
          <w:szCs w:val="21"/>
          <w:highlight w:val="none"/>
          <w:u w:val="single"/>
        </w:rPr>
      </w:pPr>
      <w:r>
        <w:rPr>
          <w:rFonts w:hint="eastAsia" w:ascii="宋体" w:hAnsi="宋体" w:cs="Times New Roman"/>
          <w:szCs w:val="21"/>
          <w:highlight w:val="none"/>
          <w:u w:val="single"/>
        </w:rPr>
        <w:t>审查施工单位资质和安全生产许可证是否合法有效。</w:t>
      </w:r>
    </w:p>
    <w:p w14:paraId="4AFFABD8">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核查承包人项目组织的主要人员，以保证承包人在投标文件中承诺的或施工合同规定的项目组织中的主要成员在工程实施中得以落实。</w:t>
      </w:r>
    </w:p>
    <w:p w14:paraId="78A451BB">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核查承包人的主要施工技术人员的从业资格、持证上岗等情况。</w:t>
      </w:r>
    </w:p>
    <w:p w14:paraId="4F08E1FC">
      <w:pPr>
        <w:numPr>
          <w:ilvl w:val="0"/>
          <w:numId w:val="3"/>
        </w:numPr>
        <w:spacing w:line="560" w:lineRule="exact"/>
        <w:ind w:firstLine="420" w:firstLineChars="200"/>
        <w:rPr>
          <w:rFonts w:hint="eastAsia" w:ascii="宋体" w:hAnsi="宋体" w:cs="Times New Roman"/>
          <w:szCs w:val="21"/>
          <w:highlight w:val="none"/>
          <w:u w:val="single"/>
        </w:rPr>
      </w:pPr>
      <w:r>
        <w:rPr>
          <w:rFonts w:hint="eastAsia" w:ascii="宋体" w:hAnsi="宋体" w:cs="Times New Roman"/>
          <w:szCs w:val="21"/>
          <w:highlight w:val="none"/>
          <w:u w:val="single"/>
        </w:rPr>
        <w:t>检查施工单位在工程项目上的安全生产规章制度和安全监管机构的建立、健全及专职安全生产管理人员配备情况，督促施工单位检查各分包单位的安全生产规章制度的建立情况。</w:t>
      </w:r>
    </w:p>
    <w:p w14:paraId="5C77DA01">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检查承包人有关保险办理情况。</w:t>
      </w:r>
    </w:p>
    <w:p w14:paraId="13CA52CB">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检查承包人机械设备安全情况。</w:t>
      </w:r>
    </w:p>
    <w:p w14:paraId="2DF08903">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协助委托人编制项目管理程序、管理制度和阶段性工作策划。</w:t>
      </w:r>
    </w:p>
    <w:p w14:paraId="13D7685E">
      <w:pPr>
        <w:numPr>
          <w:ilvl w:val="0"/>
          <w:numId w:val="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协助委托人编制工程施工、工程检测监测、设备采购等招标文件，协助办理相关招标手续。</w:t>
      </w:r>
    </w:p>
    <w:p w14:paraId="019E4CF7">
      <w:pPr>
        <w:numPr>
          <w:ilvl w:val="0"/>
          <w:numId w:val="3"/>
        </w:numPr>
        <w:spacing w:line="560" w:lineRule="exact"/>
        <w:ind w:firstLine="420" w:firstLineChars="200"/>
        <w:rPr>
          <w:rFonts w:hint="eastAsia" w:ascii="宋体" w:hAnsi="宋体" w:cs="Times New Roman"/>
          <w:szCs w:val="21"/>
          <w:highlight w:val="none"/>
          <w:u w:val="single"/>
        </w:rPr>
      </w:pPr>
      <w:r>
        <w:rPr>
          <w:rFonts w:hint="eastAsia" w:ascii="宋体" w:hAnsi="宋体" w:cs="Times New Roman"/>
          <w:szCs w:val="21"/>
          <w:highlight w:val="none"/>
          <w:u w:val="single"/>
        </w:rPr>
        <w:t>协助委托人办理相关报建手续，协助委托人办理工程施工有关的报建、报批手续，协助委托人办理施工、工程监测检测招标文件和合同报审、备案工作。</w:t>
      </w:r>
    </w:p>
    <w:p w14:paraId="2B5C3706">
      <w:pPr>
        <w:numPr>
          <w:ilvl w:val="0"/>
          <w:numId w:val="3"/>
        </w:numPr>
        <w:spacing w:line="560" w:lineRule="exact"/>
        <w:ind w:firstLine="420" w:firstLineChars="200"/>
        <w:rPr>
          <w:rFonts w:hint="eastAsia" w:ascii="宋体" w:hAnsi="宋体" w:cs="Times New Roman"/>
          <w:szCs w:val="21"/>
          <w:highlight w:val="none"/>
          <w:u w:val="single"/>
        </w:rPr>
      </w:pPr>
      <w:r>
        <w:rPr>
          <w:rFonts w:hint="eastAsia" w:ascii="宋体" w:hAnsi="宋体" w:cs="Times New Roman"/>
          <w:szCs w:val="21"/>
          <w:highlight w:val="none"/>
          <w:u w:val="single"/>
        </w:rPr>
        <w:t>审查施工单位编制的施工组织设计中的安全技术措施和危险性较大的分部分项工程安全专项施工方案是否符合工程建设强制性标准要求。</w:t>
      </w:r>
    </w:p>
    <w:p w14:paraId="49C6EDDE">
      <w:pPr>
        <w:numPr>
          <w:ilvl w:val="0"/>
          <w:numId w:val="3"/>
        </w:numPr>
        <w:spacing w:line="560" w:lineRule="exact"/>
        <w:ind w:firstLine="420" w:firstLineChars="200"/>
        <w:rPr>
          <w:rFonts w:hint="eastAsia" w:ascii="宋体" w:hAnsi="宋体" w:cs="Times New Roman"/>
          <w:szCs w:val="21"/>
          <w:highlight w:val="none"/>
          <w:u w:val="single"/>
        </w:rPr>
      </w:pPr>
      <w:r>
        <w:rPr>
          <w:rFonts w:hint="eastAsia" w:ascii="宋体" w:hAnsi="宋体" w:cs="Times New Roman"/>
          <w:szCs w:val="21"/>
          <w:highlight w:val="none"/>
          <w:u w:val="single"/>
        </w:rPr>
        <w:t>审核施工单位应急救援预案和安全防护措施费用使用计划。</w:t>
      </w:r>
    </w:p>
    <w:p w14:paraId="396218BF">
      <w:pPr>
        <w:pStyle w:val="2"/>
        <w:rPr>
          <w:highlight w:val="none"/>
        </w:rPr>
      </w:pPr>
    </w:p>
    <w:p w14:paraId="1CECF0C0">
      <w:pPr>
        <w:pStyle w:val="163"/>
        <w:spacing w:line="560" w:lineRule="exact"/>
        <w:ind w:firstLine="420" w:firstLineChars="200"/>
        <w:rPr>
          <w:rFonts w:ascii="宋体" w:hAnsi="宋体"/>
          <w:szCs w:val="21"/>
          <w:highlight w:val="none"/>
        </w:rPr>
      </w:pPr>
      <w:r>
        <w:rPr>
          <w:rFonts w:ascii="Wingdings 2" w:hAnsi="Wingdings 2"/>
          <w:szCs w:val="21"/>
          <w:highlight w:val="none"/>
        </w:rPr>
        <w:t></w:t>
      </w:r>
      <w:r>
        <w:rPr>
          <w:rFonts w:hint="eastAsia" w:ascii="宋体" w:hAnsi="宋体"/>
          <w:szCs w:val="21"/>
          <w:highlight w:val="none"/>
        </w:rPr>
        <w:t xml:space="preserve"> 施工阶段</w:t>
      </w:r>
    </w:p>
    <w:p w14:paraId="6056ED38">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签发开工、停工、复工令。</w:t>
      </w:r>
    </w:p>
    <w:p w14:paraId="3B4C9E56">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审核承包人提出的施工组织设计、施工技术方案、施工进度计划、施工质量保证体系和施工安全保证体系。</w:t>
      </w:r>
    </w:p>
    <w:p w14:paraId="63F2176B">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组织施工图纸会审和施工图技术交底。</w:t>
      </w:r>
    </w:p>
    <w:p w14:paraId="41147FF2">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参与审核承包人负责的施工图设计。</w:t>
      </w:r>
    </w:p>
    <w:p w14:paraId="12B943A5">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收到施工图后，监理人应提前理解设计意图，检查、会审图纸，提出专业意见，使图纸最大限度避免出现差、错、碰、漏等问题。</w:t>
      </w:r>
    </w:p>
    <w:p w14:paraId="0E929460">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督促、检查承包人严格执行工程承包合同和国家工程技术规范、标准，协调各方的关系。</w:t>
      </w:r>
    </w:p>
    <w:p w14:paraId="294A503D">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严格审核、监控承包人或委托人提供的材料、构配件和设备的数量及质量，管理甲供、甲控材料设备或乙购关键材料设备。</w:t>
      </w:r>
    </w:p>
    <w:p w14:paraId="031D171D">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严格监控工序质量、安全；对工程质量和投资进行跟踪控制。</w:t>
      </w:r>
    </w:p>
    <w:p w14:paraId="7D093921">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对承包人的测量成果进行复测检验。</w:t>
      </w:r>
    </w:p>
    <w:p w14:paraId="14338301">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审查承包人的进度计划，跟踪进度计划，控制工程进度。</w:t>
      </w:r>
    </w:p>
    <w:p w14:paraId="0DBD42E7">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组织工程会议，协调工程有关各方关系。</w:t>
      </w:r>
    </w:p>
    <w:p w14:paraId="48FC7CD6">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协助委托人进行设备采购，组织设备的调试安装、验收等监理工作。</w:t>
      </w:r>
    </w:p>
    <w:p w14:paraId="2E9BF743">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进行工程计量及工程款支付。</w:t>
      </w:r>
    </w:p>
    <w:p w14:paraId="03529B99">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根据设计意图，对所采用的工法、工艺等提出标准，从监理角度建议选用合适的技术规范。</w:t>
      </w:r>
    </w:p>
    <w:p w14:paraId="5AA7CC0D">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组织分部分项工程和隐蔽工程的检查、验收，签发工程付款凭证。</w:t>
      </w:r>
    </w:p>
    <w:p w14:paraId="4693FAE6">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审查承包人提交的竣工申请报告，组织竣工初步验收。</w:t>
      </w:r>
    </w:p>
    <w:p w14:paraId="5051E5B0">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参加委托人组织的正式竣工验收。</w:t>
      </w:r>
    </w:p>
    <w:p w14:paraId="7F470F1C">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按委托人的工程管理规定要求及赋予的权限，管理工程变更、工程索赔，调解合同争议。协助委托人制定工程变更管理办法，处理施工过程中发生的工程变更；协助委托人审核并签署价差调整（如果施工承包人合同另有规定）；协助委托人协调解决工程索赔事件，为处理索赔事件收集、整理有关施工和监理证据；</w:t>
      </w:r>
    </w:p>
    <w:p w14:paraId="6203D91F">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负责工程量清单更新、工程变更等的全面造价审查（包括但不限于工程量及造价审查）。协助委托人按合同约定的工程计量规则和支付条款审核工程量清单和工程款支付申请表；建立验工计价及计量支付</w:t>
      </w:r>
      <w:r>
        <w:rPr>
          <w:rFonts w:hint="eastAsia" w:ascii="宋体" w:hAnsi="宋体"/>
          <w:szCs w:val="21"/>
          <w:highlight w:val="none"/>
          <w:u w:val="single"/>
          <w:lang w:eastAsia="zh-CN"/>
        </w:rPr>
        <w:t>台账</w:t>
      </w:r>
      <w:r>
        <w:rPr>
          <w:rFonts w:hint="eastAsia" w:ascii="宋体" w:hAnsi="宋体"/>
          <w:szCs w:val="21"/>
          <w:highlight w:val="none"/>
          <w:u w:val="single"/>
        </w:rPr>
        <w:t>，按月向委托人提供报表。</w:t>
      </w:r>
    </w:p>
    <w:p w14:paraId="79E4A65D">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督促承包人整理合同文件和技术档案资料。</w:t>
      </w:r>
    </w:p>
    <w:p w14:paraId="7F971357">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主持工程事故的调查。</w:t>
      </w:r>
    </w:p>
    <w:p w14:paraId="3485BCB4">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审查工程结算。</w:t>
      </w:r>
    </w:p>
    <w:p w14:paraId="635676D3">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督促承包人依法办理劳动用工、社会保险手续，监督和制止施工单位的转包、违法分包及挂靠行为。发现施工单位有转包、违法分包及挂靠行为的，应立即向委托人、建设行政主管部门报告。</w:t>
      </w:r>
    </w:p>
    <w:p w14:paraId="52A1A918">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整理监理文档，向委托人移交监理资料、档案，提交监理工作报告。</w:t>
      </w:r>
    </w:p>
    <w:p w14:paraId="610B408B">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负责对承包人的测量、监测的监理及审查。</w:t>
      </w:r>
    </w:p>
    <w:p w14:paraId="412820C6">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监理对接口问题负有协调、管理的职责。</w:t>
      </w:r>
    </w:p>
    <w:p w14:paraId="72CEF80A">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做好以下对承包人的管理工作：</w:t>
      </w:r>
    </w:p>
    <w:p w14:paraId="0BD89DE9">
      <w:pPr>
        <w:pStyle w:val="163"/>
        <w:numPr>
          <w:ilvl w:val="0"/>
          <w:numId w:val="5"/>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抽查承包人管理人员和技术人员的调配是否与投标文件相符；</w:t>
      </w:r>
    </w:p>
    <w:p w14:paraId="1388817E">
      <w:pPr>
        <w:pStyle w:val="163"/>
        <w:numPr>
          <w:ilvl w:val="0"/>
          <w:numId w:val="5"/>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制定考核奖惩办法（包括优质样板工程评选办法、工程质量管理奖励办法等），组织对各承包人及供货商等进行考核；</w:t>
      </w:r>
    </w:p>
    <w:p w14:paraId="52F03DB2">
      <w:pPr>
        <w:pStyle w:val="163"/>
        <w:numPr>
          <w:ilvl w:val="0"/>
          <w:numId w:val="5"/>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制定工程中间交接工作程序，组织工程中间验收工作；</w:t>
      </w:r>
    </w:p>
    <w:p w14:paraId="5AC05BAF">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协助委托人做好以下工作：</w:t>
      </w:r>
    </w:p>
    <w:p w14:paraId="46427DFD">
      <w:pPr>
        <w:pStyle w:val="163"/>
        <w:numPr>
          <w:ilvl w:val="0"/>
          <w:numId w:val="6"/>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协助委托人根据合同设定的各项工程建设目标，编制投资、进度、质量、安全和文明施工等各项目标分解计划；</w:t>
      </w:r>
    </w:p>
    <w:p w14:paraId="00998719">
      <w:pPr>
        <w:pStyle w:val="163"/>
        <w:numPr>
          <w:ilvl w:val="0"/>
          <w:numId w:val="6"/>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协助委托人制订本工程各项工作的详细实施计划，包括工程进度计划、资金需求计划、招标计划及甲供材料设备供应计划；定期跟踪计划执行情况，并提出执行过程存在问题和纠偏措施，组织承包人加以落实；</w:t>
      </w:r>
    </w:p>
    <w:p w14:paraId="645EC34A">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协助委托人做好第三方监测检测单位管理工作：</w:t>
      </w:r>
    </w:p>
    <w:p w14:paraId="34CD82A7">
      <w:pPr>
        <w:pStyle w:val="163"/>
        <w:numPr>
          <w:ilvl w:val="0"/>
          <w:numId w:val="7"/>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协助委托人进行第三方监测检测单位的招标各项工作；</w:t>
      </w:r>
    </w:p>
    <w:p w14:paraId="15EDE5FF">
      <w:pPr>
        <w:pStyle w:val="163"/>
        <w:numPr>
          <w:ilvl w:val="0"/>
          <w:numId w:val="7"/>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第三方监测检测单位管理工作，定期检查其管理人员和技术人员的调配是否与投标文件相符，并提交书面审核意见；按照招标文件的规定核对第三方监测检测单位人员的资质，督促其整改不满足资质要求的人员情况；</w:t>
      </w:r>
    </w:p>
    <w:p w14:paraId="33D51FE3">
      <w:pPr>
        <w:pStyle w:val="163"/>
        <w:numPr>
          <w:ilvl w:val="0"/>
          <w:numId w:val="7"/>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协助委托人检查第三方监测检测单位所使用的测量仪器等的标定证书；</w:t>
      </w:r>
    </w:p>
    <w:p w14:paraId="6CF78370">
      <w:pPr>
        <w:pStyle w:val="163"/>
        <w:numPr>
          <w:ilvl w:val="0"/>
          <w:numId w:val="7"/>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协助委托人审批第三方监测检测单位报送的各类资料、报告。</w:t>
      </w:r>
    </w:p>
    <w:p w14:paraId="34999200">
      <w:pPr>
        <w:pStyle w:val="163"/>
        <w:numPr>
          <w:ilvl w:val="0"/>
          <w:numId w:val="4"/>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协助委托人做好以下验收移交和竣工验收管理工作：</w:t>
      </w:r>
    </w:p>
    <w:p w14:paraId="351457E9">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协助委托人制定验收、移交（包括中间验收移交）计划和竣工验收计划；</w:t>
      </w:r>
    </w:p>
    <w:p w14:paraId="5FF64650">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协助委托人组织验收和移交工作（包括中间验收和移交工作），并汇总验收、移交资料；</w:t>
      </w:r>
    </w:p>
    <w:p w14:paraId="360B0728">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协助委托人在缺陷责任期内按质监机构要求负责管理承包人进行整改或重新组织验收；</w:t>
      </w:r>
    </w:p>
    <w:p w14:paraId="1455A0D3">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协助委托人在工程竣工验收以及各专项验收全部合格之日起15日内，向工程主管部门提交竣工验收备案表、竣工验收报告、政府各部门出具的验收文件材料等，办理备案手续；</w:t>
      </w:r>
    </w:p>
    <w:p w14:paraId="2833AF9D">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协助委托人汇总各承包单位编制的竣工结算资料，编制竣工决算资料；</w:t>
      </w:r>
    </w:p>
    <w:p w14:paraId="7B686AFB">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工程竣工验收合格后，协助委托人在3个月内向城建档案管理部门移交一套完整的工程竣工档案；</w:t>
      </w:r>
    </w:p>
    <w:p w14:paraId="5F3DCF82">
      <w:pPr>
        <w:pStyle w:val="163"/>
        <w:numPr>
          <w:ilvl w:val="0"/>
          <w:numId w:val="8"/>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协助委托人汇总整理工程有关的资料，办理向运营方的移交工作。</w:t>
      </w:r>
    </w:p>
    <w:p w14:paraId="39018D60">
      <w:pPr>
        <w:pStyle w:val="163"/>
        <w:spacing w:line="560" w:lineRule="exact"/>
        <w:ind w:firstLine="420" w:firstLineChars="200"/>
        <w:rPr>
          <w:rFonts w:ascii="宋体" w:hAnsi="宋体"/>
          <w:szCs w:val="21"/>
          <w:highlight w:val="none"/>
        </w:rPr>
      </w:pPr>
      <w:r>
        <w:rPr>
          <w:rFonts w:ascii="Wingdings 2" w:hAnsi="Wingdings 2"/>
          <w:szCs w:val="21"/>
          <w:highlight w:val="none"/>
        </w:rPr>
        <w:t></w:t>
      </w:r>
      <w:r>
        <w:rPr>
          <w:rFonts w:hint="eastAsia" w:ascii="宋体" w:hAnsi="宋体"/>
          <w:szCs w:val="21"/>
          <w:highlight w:val="none"/>
        </w:rPr>
        <w:t xml:space="preserve"> 保修阶段</w:t>
      </w:r>
    </w:p>
    <w:p w14:paraId="1F7F59E8">
      <w:pPr>
        <w:numPr>
          <w:ilvl w:val="0"/>
          <w:numId w:val="9"/>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配合委托人及使用单位，进行移交前承接查验工作。对承接查验中提出的需整改事项，督促相关单位尽快完善。</w:t>
      </w:r>
    </w:p>
    <w:p w14:paraId="0682BBBE">
      <w:pPr>
        <w:numPr>
          <w:ilvl w:val="0"/>
          <w:numId w:val="9"/>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参与工程交付，签发工程移交证书。</w:t>
      </w:r>
    </w:p>
    <w:p w14:paraId="24CADDCF">
      <w:pPr>
        <w:numPr>
          <w:ilvl w:val="0"/>
          <w:numId w:val="9"/>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负责检查工程状况，参与鉴定质量责任，督促承包人回访、监督保修直至达到规定的质量标准。</w:t>
      </w:r>
    </w:p>
    <w:p w14:paraId="6C590BEE">
      <w:pPr>
        <w:numPr>
          <w:ilvl w:val="0"/>
          <w:numId w:val="9"/>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负责质量缺陷维修工程项目监理。</w:t>
      </w:r>
    </w:p>
    <w:p w14:paraId="0851D982">
      <w:pPr>
        <w:pStyle w:val="163"/>
        <w:spacing w:line="560" w:lineRule="exact"/>
        <w:ind w:firstLine="420" w:firstLineChars="200"/>
        <w:rPr>
          <w:rFonts w:ascii="宋体" w:hAnsi="宋体"/>
          <w:szCs w:val="21"/>
          <w:highlight w:val="none"/>
        </w:rPr>
      </w:pPr>
      <w:r>
        <w:rPr>
          <w:rFonts w:ascii="Wingdings 2" w:hAnsi="Wingdings 2"/>
          <w:szCs w:val="21"/>
          <w:highlight w:val="none"/>
        </w:rPr>
        <w:t></w:t>
      </w:r>
      <w:r>
        <w:rPr>
          <w:rFonts w:hint="eastAsia" w:ascii="宋体" w:hAnsi="宋体"/>
          <w:szCs w:val="21"/>
          <w:highlight w:val="none"/>
        </w:rPr>
        <w:t xml:space="preserve"> 施工安全及文明施工监理的主要内容</w:t>
      </w:r>
    </w:p>
    <w:p w14:paraId="3BAD1137">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监理人应贯彻执行</w:t>
      </w:r>
      <w:r>
        <w:rPr>
          <w:rFonts w:hint="eastAsia" w:ascii="宋体" w:hAnsi="宋体"/>
          <w:szCs w:val="21"/>
          <w:highlight w:val="none"/>
          <w:u w:val="single"/>
          <w:lang w:eastAsia="zh-CN"/>
        </w:rPr>
        <w:t>《中华人民共和国安全生产法》法</w:t>
      </w:r>
      <w:r>
        <w:rPr>
          <w:rFonts w:hint="eastAsia" w:ascii="宋体" w:hAnsi="宋体"/>
          <w:szCs w:val="21"/>
          <w:highlight w:val="none"/>
          <w:u w:val="single"/>
        </w:rPr>
        <w:t>律、法规、规章和标准，按照深圳市监理管理条例和委托人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522BA130">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监理人将对承包人的文明施工、安全检查工作及事故预防工作作为监理的日常工作，掌握标段安全生产状况，对重要的薄弱环节、重大危险点、危险源，进行安全监理旁站；</w:t>
      </w:r>
    </w:p>
    <w:p w14:paraId="0EBB1B7D">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监理人必须按照有关的施工安全法规、规范及标准的要求对承包人的施工组织设计的安全技术措施进行审查；</w:t>
      </w:r>
    </w:p>
    <w:p w14:paraId="0BD155AC">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监理人员应对施工过程进行有目的巡查，督促承包人建立与完善安全生产、文明施工管理制度及安全技术操作规程，落实安全技术措施；</w:t>
      </w:r>
    </w:p>
    <w:p w14:paraId="54274286">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监理人应针对施工中的不安全因素与安全工作中的薄弱环节进行研究，书面提出要求并督促承包人改进；</w:t>
      </w:r>
    </w:p>
    <w:p w14:paraId="26192B0E">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监理人应对涉及施工安全的支撑体系、大型垂直运输设备等重要临时设施的施工方案进行审查，确保其符合有关法规、规范及标准的要求，不符合要求的，应向承包人提出改进意见并督促落实；</w:t>
      </w:r>
    </w:p>
    <w:p w14:paraId="7702846E">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监理人应审查特殊机械和特殊工种的操作人员的资格证、上岗证及年检合格证；</w:t>
      </w:r>
    </w:p>
    <w:p w14:paraId="4C4438D6">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监理人应组织定期和不定期的安全检查，配合龙岗区建设工程质量安全监督站对标段的监督检查，对检查发现的隐患应立即发出监理通知，按监理通知和深圳市施工安全监督站发出的整改通知书的要求，督促、跟踪承包人“定人、定时、定措施”落实整改。对未按要求整改的承包人，即再发出第二次监理通知。对两次发出整改通知而拒不整改的承包人，监理以书面形式向委托人安全管理职能部门报告，并配合委托人采取必要的措施，落实整改；</w:t>
      </w:r>
    </w:p>
    <w:p w14:paraId="7E0B7AB8">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合同执行期间，监理人必须接受委托人安全管理职能部门的监督，按统一的表格形式（如以标段为单位），逐月向委托人安全管理等职能部门递交书面安全监理工作报告，如实反映标段本月的安全生产状况和下月安全监理的工作重点；</w:t>
      </w:r>
    </w:p>
    <w:p w14:paraId="7147FC9D">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一旦发生安全事故，监理人必须作出快速反映，在一小时以内向委托人安全管理职能部门报告，并督促承包人进行事故的及时上报和配合调查、处理与统计工作。</w:t>
      </w:r>
    </w:p>
    <w:p w14:paraId="1F51E6B0">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协助委托人做好以下施工安全管理工作：</w:t>
      </w:r>
    </w:p>
    <w:p w14:paraId="06E82DCF">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协助委托人编制施工安全管理程序及施工安全控制计划，制订安全控制保证措施；</w:t>
      </w:r>
    </w:p>
    <w:p w14:paraId="180E196F">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协助委托人制定施工安全目标，编制安全、文明施工管理办法；</w:t>
      </w:r>
    </w:p>
    <w:p w14:paraId="4EFFEBF6">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抽查承包人的安全教育（三级教育）情况，抽验承包人特种工人上岗证，检查承包人的安全保证体系运行情况；</w:t>
      </w:r>
    </w:p>
    <w:p w14:paraId="3236F2E3">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对施工现场进行安全巡视，参加每月定期安全检查，协助委托人建立安全工作</w:t>
      </w:r>
      <w:r>
        <w:rPr>
          <w:rFonts w:hint="eastAsia" w:ascii="宋体" w:hAnsi="宋体"/>
          <w:szCs w:val="21"/>
          <w:highlight w:val="none"/>
          <w:u w:val="single"/>
          <w:lang w:eastAsia="zh-CN"/>
        </w:rPr>
        <w:t>台账</w:t>
      </w:r>
      <w:r>
        <w:rPr>
          <w:rFonts w:hint="eastAsia" w:ascii="宋体" w:hAnsi="宋体"/>
          <w:szCs w:val="21"/>
          <w:highlight w:val="none"/>
          <w:u w:val="single"/>
        </w:rPr>
        <w:t>，分析安全状况并提出安全预控意见。</w:t>
      </w:r>
    </w:p>
    <w:p w14:paraId="791BCBD2">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参加事故现场调查和安全事故分析会议，协助委托人处理安全事故，起草事故调查分析报告；</w:t>
      </w:r>
    </w:p>
    <w:p w14:paraId="51AD4A15">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每月提交安全、文明检查报告，协助委托人总结每季度的情况是否达到施工安全目标；</w:t>
      </w:r>
    </w:p>
    <w:p w14:paraId="176633F4">
      <w:pPr>
        <w:numPr>
          <w:ilvl w:val="0"/>
          <w:numId w:val="11"/>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每季度提交安全文明检查评比报告。</w:t>
      </w:r>
    </w:p>
    <w:p w14:paraId="0D40F67D">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协助委托人组织质量安全文明施工检查考核：</w:t>
      </w:r>
    </w:p>
    <w:p w14:paraId="60E48C56">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协助委托人组织施工监理组、施工单位做好质量安全文明施工检查和合同履约考核；</w:t>
      </w:r>
    </w:p>
    <w:p w14:paraId="77F9B836">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制定巡视和检查制度，制定质量检查评比办法，每季度组织一次质量大检查，奖优罚劣；</w:t>
      </w:r>
    </w:p>
    <w:p w14:paraId="68C0F977">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根据工程需要组织审核进场工程材料、构配件、机械设备的质量证明资料，对进场实物按照有关工程质量安全管理的规定按比例抽检或见证取样、送样检验工作；</w:t>
      </w:r>
    </w:p>
    <w:p w14:paraId="3F6EC738">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当施工存在重大质量安全隐患，可能造成质量安全事故或已经造成质量安全事故时，立刻下达工程停工令，责令承包人停工整改并跟踪整改；</w:t>
      </w:r>
    </w:p>
    <w:p w14:paraId="4403C0A1">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及时提交有关质量事故的书面报告，划分质量事故责任，整理质量事故处理记录等资料，并负责归档；</w:t>
      </w:r>
    </w:p>
    <w:p w14:paraId="324A8BD6">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编制并提交工程质量安全报告，汇报工程的质量安全情况。</w:t>
      </w:r>
    </w:p>
    <w:p w14:paraId="5D385DD5">
      <w:pPr>
        <w:numPr>
          <w:ilvl w:val="0"/>
          <w:numId w:val="12"/>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合同管理和文档信息管理：协助委托人项目组做好合同管理工作，负责起草委托人主持的工程管理会议纪要，负责委托人项目与项目合同单位之间的文档信息收发、存档和处理工作。</w:t>
      </w:r>
    </w:p>
    <w:p w14:paraId="17B5401F">
      <w:pPr>
        <w:numPr>
          <w:ilvl w:val="0"/>
          <w:numId w:val="10"/>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协助委托人做好环境管理工作：</w:t>
      </w:r>
    </w:p>
    <w:p w14:paraId="18376992">
      <w:pPr>
        <w:numPr>
          <w:ilvl w:val="0"/>
          <w:numId w:val="1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编制项目环境保护管理计划；</w:t>
      </w:r>
    </w:p>
    <w:p w14:paraId="12407808">
      <w:pPr>
        <w:numPr>
          <w:ilvl w:val="0"/>
          <w:numId w:val="1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协助委托人办理环境监测的委托工作；</w:t>
      </w:r>
    </w:p>
    <w:p w14:paraId="6E98E5E5">
      <w:pPr>
        <w:numPr>
          <w:ilvl w:val="0"/>
          <w:numId w:val="13"/>
        </w:numPr>
        <w:spacing w:line="560" w:lineRule="exact"/>
        <w:ind w:firstLine="420" w:firstLineChars="200"/>
        <w:rPr>
          <w:rFonts w:ascii="宋体" w:hAnsi="宋体"/>
          <w:szCs w:val="21"/>
          <w:highlight w:val="none"/>
          <w:u w:val="single"/>
        </w:rPr>
      </w:pPr>
      <w:r>
        <w:rPr>
          <w:rFonts w:hint="eastAsia" w:ascii="宋体" w:hAnsi="宋体"/>
          <w:szCs w:val="21"/>
          <w:highlight w:val="none"/>
          <w:u w:val="single"/>
        </w:rPr>
        <w:t>根据委托人委托的专业环境监测单位提交的环境保护监测报告，制定环境保护对策和措施，并跟进有关整改工作的执行情况。</w:t>
      </w:r>
    </w:p>
    <w:p w14:paraId="7AA1CF33">
      <w:pPr>
        <w:pStyle w:val="163"/>
        <w:spacing w:line="560" w:lineRule="exact"/>
        <w:ind w:firstLine="420" w:firstLineChars="200"/>
        <w:rPr>
          <w:rFonts w:ascii="宋体" w:hAnsi="宋体"/>
          <w:szCs w:val="21"/>
          <w:highlight w:val="none"/>
        </w:rPr>
      </w:pPr>
      <w:r>
        <w:rPr>
          <w:rFonts w:ascii="Wingdings 2" w:hAnsi="Wingdings 2"/>
          <w:szCs w:val="21"/>
          <w:highlight w:val="none"/>
        </w:rPr>
        <w:t></w:t>
      </w:r>
      <w:r>
        <w:rPr>
          <w:rFonts w:hint="eastAsia" w:ascii="宋体" w:hAnsi="宋体"/>
          <w:szCs w:val="21"/>
          <w:highlight w:val="none"/>
        </w:rPr>
        <w:t xml:space="preserve"> 以上未尽之处，按照中华人民共和国国家标准</w:t>
      </w:r>
      <w:r>
        <w:rPr>
          <w:rFonts w:hint="eastAsia" w:ascii="宋体" w:hAnsi="宋体"/>
          <w:szCs w:val="21"/>
          <w:highlight w:val="none"/>
          <w:u w:val="single"/>
        </w:rPr>
        <w:t>《建设工程监理规范（GB50319-2013）》第5条、第6.1、第6.2、6.3、6.4条执行</w:t>
      </w:r>
      <w:r>
        <w:rPr>
          <w:rFonts w:hint="eastAsia" w:ascii="宋体" w:hAnsi="宋体"/>
          <w:szCs w:val="21"/>
          <w:highlight w:val="none"/>
        </w:rPr>
        <w:t>。</w:t>
      </w:r>
    </w:p>
    <w:p w14:paraId="17BCDC9D">
      <w:pPr>
        <w:pStyle w:val="170"/>
        <w:spacing w:line="560" w:lineRule="exact"/>
        <w:ind w:firstLine="420" w:firstLineChars="200"/>
        <w:jc w:val="both"/>
        <w:rPr>
          <w:rFonts w:ascii="宋体"/>
          <w:szCs w:val="21"/>
          <w:highlight w:val="none"/>
        </w:rPr>
      </w:pPr>
      <w:r>
        <w:rPr>
          <w:rFonts w:hint="eastAsia" w:ascii="宋体" w:hAnsi="宋体"/>
          <w:szCs w:val="21"/>
          <w:highlight w:val="none"/>
        </w:rPr>
        <w:t>二、对现场监理班子机构的要求</w:t>
      </w:r>
    </w:p>
    <w:p w14:paraId="0D303E68">
      <w:pPr>
        <w:pStyle w:val="170"/>
        <w:spacing w:line="560" w:lineRule="exact"/>
        <w:ind w:firstLine="420" w:firstLineChars="200"/>
        <w:jc w:val="both"/>
        <w:rPr>
          <w:rFonts w:ascii="宋体" w:hAnsi="宋体"/>
          <w:color w:val="auto"/>
          <w:szCs w:val="21"/>
          <w:highlight w:val="none"/>
          <w:u w:val="single"/>
        </w:rPr>
      </w:pPr>
      <w:r>
        <w:rPr>
          <w:rFonts w:ascii="宋体" w:hAnsi="宋体"/>
          <w:color w:val="auto"/>
          <w:szCs w:val="21"/>
          <w:highlight w:val="none"/>
        </w:rPr>
        <w:t>2.1</w:t>
      </w:r>
      <w:r>
        <w:rPr>
          <w:rFonts w:hint="eastAsia" w:ascii="宋体" w:hAnsi="宋体"/>
          <w:color w:val="auto"/>
          <w:szCs w:val="21"/>
          <w:highlight w:val="none"/>
          <w:u w:val="single"/>
        </w:rPr>
        <w:t>本工程实行项目总监负责制，项目总监对监理工作全权负责，对委托人负责。</w:t>
      </w:r>
      <w:r>
        <w:rPr>
          <w:rFonts w:hint="eastAsia" w:ascii="宋体" w:hAnsi="宋体"/>
          <w:color w:val="auto"/>
          <w:szCs w:val="21"/>
          <w:highlight w:val="none"/>
          <w:u w:val="single"/>
          <w:lang w:val="en-US" w:eastAsia="zh-CN"/>
        </w:rPr>
        <w:t>监理</w:t>
      </w:r>
      <w:r>
        <w:rPr>
          <w:rFonts w:hint="eastAsia" w:ascii="宋体" w:hAnsi="宋体"/>
          <w:color w:val="auto"/>
          <w:szCs w:val="21"/>
          <w:highlight w:val="none"/>
          <w:u w:val="single"/>
        </w:rPr>
        <w:t>团队至少</w:t>
      </w:r>
      <w:r>
        <w:rPr>
          <w:rFonts w:hint="eastAsia" w:ascii="宋体" w:hAnsi="宋体"/>
          <w:color w:val="auto"/>
          <w:szCs w:val="21"/>
          <w:highlight w:val="none"/>
          <w:u w:val="single"/>
          <w:lang w:val="en-US" w:eastAsia="zh-CN"/>
        </w:rPr>
        <w:t>5人，5人分别为</w:t>
      </w:r>
      <w:r>
        <w:rPr>
          <w:rFonts w:hint="eastAsia" w:ascii="宋体" w:hAnsi="宋体"/>
          <w:color w:val="auto"/>
          <w:szCs w:val="21"/>
          <w:highlight w:val="none"/>
          <w:u w:val="single"/>
        </w:rPr>
        <w:t>配备</w:t>
      </w:r>
      <w:r>
        <w:rPr>
          <w:rFonts w:hint="eastAsia" w:ascii="宋体" w:hAnsi="宋体"/>
          <w:color w:val="auto"/>
          <w:szCs w:val="21"/>
          <w:highlight w:val="none"/>
          <w:u w:val="single"/>
          <w:lang w:eastAsia="zh-CN"/>
        </w:rPr>
        <w:t>总监</w:t>
      </w:r>
      <w:r>
        <w:rPr>
          <w:rFonts w:hint="eastAsia" w:ascii="宋体" w:hAnsi="宋体"/>
          <w:color w:val="auto"/>
          <w:szCs w:val="21"/>
          <w:highlight w:val="none"/>
          <w:u w:val="single"/>
          <w:lang w:val="en-US" w:eastAsia="zh-CN"/>
        </w:rPr>
        <w:t>1名</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专业监理工程师（</w:t>
      </w:r>
      <w:r>
        <w:rPr>
          <w:rFonts w:hint="eastAsia" w:ascii="宋体" w:hAnsi="宋体"/>
          <w:color w:val="auto"/>
          <w:szCs w:val="21"/>
          <w:highlight w:val="none"/>
          <w:u w:val="single"/>
          <w:lang w:val="en-US" w:eastAsia="zh-CN"/>
        </w:rPr>
        <w:t>机电安装</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1名</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专业监理工程师（</w:t>
      </w:r>
      <w:r>
        <w:rPr>
          <w:rFonts w:hint="eastAsia" w:ascii="宋体" w:hAnsi="宋体"/>
          <w:color w:val="auto"/>
          <w:szCs w:val="21"/>
          <w:highlight w:val="none"/>
          <w:u w:val="single"/>
          <w:lang w:eastAsia="zh-CN"/>
        </w:rPr>
        <w:t>土建</w:t>
      </w:r>
      <w:r>
        <w:rPr>
          <w:rFonts w:hint="eastAsia" w:ascii="宋体" w:hAnsi="宋体"/>
          <w:color w:val="auto"/>
          <w:szCs w:val="21"/>
          <w:highlight w:val="none"/>
          <w:u w:val="single"/>
        </w:rPr>
        <w:t>）</w:t>
      </w:r>
      <w:r>
        <w:rPr>
          <w:rFonts w:hint="eastAsia" w:ascii="宋体" w:hAnsi="宋体"/>
          <w:color w:val="auto"/>
          <w:szCs w:val="21"/>
          <w:highlight w:val="none"/>
          <w:u w:val="single"/>
          <w:lang w:val="en-US" w:eastAsia="zh-CN"/>
        </w:rPr>
        <w:t>1名</w:t>
      </w:r>
      <w:r>
        <w:rPr>
          <w:rFonts w:hint="eastAsia" w:ascii="宋体" w:hAnsi="宋体"/>
          <w:color w:val="auto"/>
          <w:szCs w:val="21"/>
          <w:highlight w:val="none"/>
          <w:u w:val="single"/>
          <w:lang w:eastAsia="zh-CN"/>
        </w:rPr>
        <w:t>、</w:t>
      </w:r>
      <w:r>
        <w:rPr>
          <w:rFonts w:hint="eastAsia" w:ascii="宋体" w:hAnsi="宋体"/>
          <w:color w:val="auto"/>
          <w:szCs w:val="21"/>
          <w:highlight w:val="none"/>
          <w:u w:val="single"/>
        </w:rPr>
        <w:t>安全监理工程师</w:t>
      </w:r>
      <w:r>
        <w:rPr>
          <w:rFonts w:hint="eastAsia" w:ascii="宋体" w:hAnsi="宋体"/>
          <w:color w:val="auto"/>
          <w:szCs w:val="21"/>
          <w:highlight w:val="none"/>
          <w:u w:val="single"/>
          <w:lang w:val="en-US" w:eastAsia="zh-CN"/>
        </w:rPr>
        <w:t>1名</w:t>
      </w:r>
      <w:r>
        <w:rPr>
          <w:rFonts w:hint="eastAsia" w:ascii="宋体" w:hAnsi="宋体"/>
          <w:color w:val="auto"/>
          <w:szCs w:val="21"/>
          <w:highlight w:val="none"/>
          <w:u w:val="single"/>
          <w:lang w:eastAsia="zh-CN"/>
        </w:rPr>
        <w:t>、资料员</w:t>
      </w:r>
      <w:r>
        <w:rPr>
          <w:rFonts w:hint="eastAsia" w:ascii="宋体" w:hAnsi="宋体"/>
          <w:color w:val="auto"/>
          <w:szCs w:val="21"/>
          <w:highlight w:val="none"/>
          <w:u w:val="single"/>
          <w:lang w:val="en-US" w:eastAsia="zh-CN"/>
        </w:rPr>
        <w:t>1</w:t>
      </w:r>
      <w:r>
        <w:rPr>
          <w:rFonts w:hint="eastAsia" w:ascii="宋体" w:hAnsi="宋体"/>
          <w:color w:val="auto"/>
          <w:szCs w:val="21"/>
          <w:highlight w:val="none"/>
          <w:u w:val="single"/>
          <w:lang w:eastAsia="zh-CN"/>
        </w:rPr>
        <w:t>名。</w:t>
      </w:r>
      <w:r>
        <w:rPr>
          <w:rFonts w:hint="eastAsia" w:ascii="宋体" w:hAnsi="宋体"/>
          <w:color w:val="auto"/>
          <w:szCs w:val="21"/>
          <w:highlight w:val="none"/>
          <w:u w:val="single"/>
        </w:rPr>
        <w:t>监理班子机构设置、人员安排、职责范围等，须符合</w:t>
      </w:r>
      <w:r>
        <w:rPr>
          <w:rFonts w:hint="eastAsia" w:ascii="宋体" w:hAnsi="宋体"/>
          <w:color w:val="auto"/>
          <w:szCs w:val="21"/>
          <w:highlight w:val="none"/>
          <w:u w:val="single"/>
          <w:lang w:val="en-US" w:eastAsia="zh-CN"/>
        </w:rPr>
        <w:t>下表</w:t>
      </w:r>
      <w:r>
        <w:rPr>
          <w:rFonts w:hint="eastAsia"/>
          <w:color w:val="auto"/>
          <w:highlight w:val="none"/>
          <w:u w:val="single"/>
        </w:rPr>
        <w:t>监理机构人员最低配置</w:t>
      </w:r>
      <w:r>
        <w:rPr>
          <w:rFonts w:hint="eastAsia" w:ascii="宋体" w:hAnsi="宋体"/>
          <w:color w:val="auto"/>
          <w:szCs w:val="21"/>
          <w:highlight w:val="none"/>
          <w:u w:val="single"/>
          <w:lang w:val="en-US" w:eastAsia="zh-CN"/>
        </w:rPr>
        <w:t>要求及</w:t>
      </w:r>
      <w:r>
        <w:rPr>
          <w:rFonts w:hint="eastAsia" w:ascii="宋体" w:hAnsi="宋体"/>
          <w:color w:val="auto"/>
          <w:szCs w:val="21"/>
          <w:highlight w:val="none"/>
          <w:u w:val="single"/>
        </w:rPr>
        <w:t>《监理机构人员最低配置要求》。未经委托人批准不得撤换。</w:t>
      </w:r>
    </w:p>
    <w:p w14:paraId="656EF821">
      <w:pPr>
        <w:pStyle w:val="24"/>
        <w:spacing w:beforeLines="50"/>
        <w:jc w:val="center"/>
        <w:rPr>
          <w:highlight w:val="none"/>
        </w:rPr>
      </w:pPr>
      <w:r>
        <w:rPr>
          <w:rFonts w:hint="eastAsia"/>
          <w:highlight w:val="none"/>
        </w:rPr>
        <w:t>监理机构人员最低配置要求</w:t>
      </w:r>
    </w:p>
    <w:tbl>
      <w:tblPr>
        <w:tblStyle w:val="5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4"/>
        <w:gridCol w:w="1252"/>
        <w:gridCol w:w="4825"/>
      </w:tblGrid>
      <w:tr w14:paraId="6F65E5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34420A6C">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eastAsia="zh-CN"/>
              </w:rPr>
              <w:t>人员类别</w:t>
            </w:r>
          </w:p>
        </w:tc>
        <w:tc>
          <w:tcPr>
            <w:tcW w:w="1252" w:type="dxa"/>
            <w:tcBorders>
              <w:top w:val="single" w:color="auto" w:sz="6" w:space="0"/>
              <w:left w:val="single" w:color="auto" w:sz="6" w:space="0"/>
              <w:bottom w:val="single" w:color="auto" w:sz="6" w:space="0"/>
              <w:right w:val="single" w:color="auto" w:sz="6" w:space="0"/>
            </w:tcBorders>
            <w:vAlign w:val="center"/>
          </w:tcPr>
          <w:p w14:paraId="7DA345CB">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eastAsia="zh-CN"/>
              </w:rPr>
              <w:t>人数</w:t>
            </w:r>
          </w:p>
        </w:tc>
        <w:tc>
          <w:tcPr>
            <w:tcW w:w="4825" w:type="dxa"/>
            <w:tcBorders>
              <w:top w:val="single" w:color="auto" w:sz="6" w:space="0"/>
              <w:left w:val="single" w:color="auto" w:sz="6" w:space="0"/>
              <w:bottom w:val="single" w:color="auto" w:sz="6" w:space="0"/>
              <w:right w:val="single" w:color="auto" w:sz="12" w:space="0"/>
            </w:tcBorders>
            <w:vAlign w:val="center"/>
          </w:tcPr>
          <w:p w14:paraId="11337216">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eastAsia="zh-CN"/>
              </w:rPr>
              <w:t>要求</w:t>
            </w:r>
          </w:p>
        </w:tc>
      </w:tr>
      <w:tr w14:paraId="2DDE25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36D9DD76">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eastAsia="zh-CN"/>
              </w:rPr>
              <w:t>总监</w:t>
            </w:r>
          </w:p>
        </w:tc>
        <w:tc>
          <w:tcPr>
            <w:tcW w:w="1252" w:type="dxa"/>
            <w:tcBorders>
              <w:top w:val="single" w:color="auto" w:sz="6" w:space="0"/>
              <w:left w:val="single" w:color="auto" w:sz="6" w:space="0"/>
              <w:bottom w:val="single" w:color="auto" w:sz="6" w:space="0"/>
              <w:right w:val="single" w:color="auto" w:sz="6" w:space="0"/>
            </w:tcBorders>
            <w:vAlign w:val="center"/>
          </w:tcPr>
          <w:p w14:paraId="45E0D644">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val="en-US" w:eastAsia="zh-CN"/>
              </w:rPr>
              <w:t>1</w:t>
            </w:r>
          </w:p>
        </w:tc>
        <w:tc>
          <w:tcPr>
            <w:tcW w:w="4825" w:type="dxa"/>
            <w:tcBorders>
              <w:top w:val="single" w:color="auto" w:sz="6" w:space="0"/>
              <w:left w:val="single" w:color="auto" w:sz="6" w:space="0"/>
              <w:bottom w:val="single" w:color="auto" w:sz="6" w:space="0"/>
              <w:right w:val="single" w:color="auto" w:sz="12" w:space="0"/>
            </w:tcBorders>
            <w:vAlign w:val="center"/>
          </w:tcPr>
          <w:p w14:paraId="116206BB">
            <w:pPr>
              <w:pStyle w:val="43"/>
              <w:keepNext w:val="0"/>
              <w:keepLines w:val="0"/>
              <w:pageBreakBefore w:val="0"/>
              <w:widowControl w:val="0"/>
              <w:numPr>
                <w:ilvl w:val="255"/>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eastAsia" w:ascii="宋体" w:hAnsi="宋体" w:cs="宋体"/>
                <w:sz w:val="24"/>
                <w:szCs w:val="24"/>
                <w:highlight w:val="none"/>
              </w:rPr>
            </w:pPr>
            <w:r>
              <w:rPr>
                <w:rFonts w:hint="eastAsia" w:ascii="仿宋_GB2312" w:hAnsi="仿宋_GB2312" w:eastAsia="仿宋_GB2312" w:cs="仿宋_GB2312"/>
                <w:smallCaps w:val="0"/>
                <w:kern w:val="2"/>
                <w:sz w:val="24"/>
                <w:szCs w:val="24"/>
                <w:highlight w:val="none"/>
                <w:vertAlign w:val="baseline"/>
                <w:lang w:val="en-US" w:eastAsia="zh-CN" w:bidi="ar-SA"/>
              </w:rPr>
              <w:t>在本单位注册的国家注册监理工程师，10年以上工作经验，至少5年以上从事工程监理经验，担任过至少1个4000万元以上房屋建筑工程项目的经历，不可兼任其他项目总监；</w:t>
            </w:r>
          </w:p>
        </w:tc>
      </w:tr>
      <w:tr w14:paraId="59C3B5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2FDEA40F">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rPr>
              <w:t>专业监理工程师（</w:t>
            </w:r>
            <w:r>
              <w:rPr>
                <w:rFonts w:hint="eastAsia" w:ascii="宋体" w:hAnsi="宋体" w:cs="宋体"/>
                <w:smallCaps w:val="0"/>
                <w:sz w:val="24"/>
                <w:szCs w:val="24"/>
                <w:highlight w:val="none"/>
                <w:vertAlign w:val="baseline"/>
                <w:lang w:val="en-US" w:eastAsia="zh-CN"/>
              </w:rPr>
              <w:t>机电安装</w:t>
            </w:r>
            <w:r>
              <w:rPr>
                <w:rFonts w:hint="eastAsia" w:ascii="宋体" w:hAnsi="宋体" w:eastAsia="宋体" w:cs="宋体"/>
                <w:smallCaps w:val="0"/>
                <w:sz w:val="24"/>
                <w:szCs w:val="24"/>
                <w:highlight w:val="none"/>
                <w:vertAlign w:val="baseline"/>
              </w:rPr>
              <w:t>）</w:t>
            </w:r>
          </w:p>
        </w:tc>
        <w:tc>
          <w:tcPr>
            <w:tcW w:w="1252" w:type="dxa"/>
            <w:tcBorders>
              <w:top w:val="single" w:color="auto" w:sz="6" w:space="0"/>
              <w:left w:val="single" w:color="auto" w:sz="6" w:space="0"/>
              <w:bottom w:val="single" w:color="auto" w:sz="6" w:space="0"/>
              <w:right w:val="single" w:color="auto" w:sz="6" w:space="0"/>
            </w:tcBorders>
            <w:vAlign w:val="center"/>
          </w:tcPr>
          <w:p w14:paraId="2C2D3A93">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cs="宋体"/>
                <w:smallCaps w:val="0"/>
                <w:sz w:val="24"/>
                <w:szCs w:val="24"/>
                <w:highlight w:val="none"/>
                <w:vertAlign w:val="baseline"/>
                <w:lang w:val="en-US" w:eastAsia="zh-CN"/>
              </w:rPr>
              <w:t>1</w:t>
            </w:r>
          </w:p>
        </w:tc>
        <w:tc>
          <w:tcPr>
            <w:tcW w:w="4825" w:type="dxa"/>
            <w:tcBorders>
              <w:top w:val="single" w:color="auto" w:sz="6" w:space="0"/>
              <w:left w:val="single" w:color="auto" w:sz="6" w:space="0"/>
              <w:bottom w:val="single" w:color="auto" w:sz="6" w:space="0"/>
              <w:right w:val="single" w:color="auto" w:sz="12" w:space="0"/>
            </w:tcBorders>
            <w:vAlign w:val="center"/>
          </w:tcPr>
          <w:p w14:paraId="293A7A59">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(1) 从事现场监理工作5年以上； </w:t>
            </w:r>
          </w:p>
          <w:p w14:paraId="5D45EE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(2) 本科及以上学历； </w:t>
            </w:r>
          </w:p>
          <w:p w14:paraId="756E36E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cs="宋体"/>
                <w:sz w:val="24"/>
                <w:szCs w:val="24"/>
                <w:highlight w:val="none"/>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(3)具备注册监理工程师注册执业证书（机电安装工程）或相关从业资格证书； </w:t>
            </w:r>
          </w:p>
        </w:tc>
      </w:tr>
      <w:tr w14:paraId="05558E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1D3DED0F">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rPr>
              <w:t>专业监理工程师（</w:t>
            </w:r>
            <w:r>
              <w:rPr>
                <w:rFonts w:hint="eastAsia" w:ascii="宋体" w:hAnsi="宋体" w:cs="宋体"/>
                <w:smallCaps w:val="0"/>
                <w:sz w:val="24"/>
                <w:szCs w:val="24"/>
                <w:highlight w:val="none"/>
                <w:vertAlign w:val="baseline"/>
                <w:lang w:val="en-US" w:eastAsia="zh-CN"/>
              </w:rPr>
              <w:t>土建</w:t>
            </w:r>
            <w:r>
              <w:rPr>
                <w:rFonts w:hint="eastAsia" w:ascii="宋体" w:hAnsi="宋体" w:eastAsia="宋体" w:cs="宋体"/>
                <w:smallCaps w:val="0"/>
                <w:sz w:val="24"/>
                <w:szCs w:val="24"/>
                <w:highlight w:val="none"/>
                <w:vertAlign w:val="baseline"/>
              </w:rPr>
              <w:t>）</w:t>
            </w:r>
          </w:p>
        </w:tc>
        <w:tc>
          <w:tcPr>
            <w:tcW w:w="1252" w:type="dxa"/>
            <w:tcBorders>
              <w:top w:val="single" w:color="auto" w:sz="6" w:space="0"/>
              <w:left w:val="single" w:color="auto" w:sz="6" w:space="0"/>
              <w:bottom w:val="single" w:color="auto" w:sz="6" w:space="0"/>
              <w:right w:val="single" w:color="auto" w:sz="6" w:space="0"/>
            </w:tcBorders>
            <w:vAlign w:val="center"/>
          </w:tcPr>
          <w:p w14:paraId="1E23B184">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val="en-US" w:eastAsia="zh-CN"/>
              </w:rPr>
              <w:t>1</w:t>
            </w:r>
          </w:p>
        </w:tc>
        <w:tc>
          <w:tcPr>
            <w:tcW w:w="4825" w:type="dxa"/>
            <w:tcBorders>
              <w:top w:val="single" w:color="auto" w:sz="6" w:space="0"/>
              <w:left w:val="single" w:color="auto" w:sz="6" w:space="0"/>
              <w:bottom w:val="single" w:color="auto" w:sz="6" w:space="0"/>
              <w:right w:val="single" w:color="auto" w:sz="12" w:space="0"/>
            </w:tcBorders>
            <w:vAlign w:val="center"/>
          </w:tcPr>
          <w:p w14:paraId="6523C6EF">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(1) 从事现场监理工作5年以上； </w:t>
            </w:r>
          </w:p>
          <w:p w14:paraId="7456C96D">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(2) 本科及以上学历； </w:t>
            </w:r>
          </w:p>
          <w:p w14:paraId="0105345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highlight w:val="none"/>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(3)具备注册监理工程师注册执业证书（房屋建筑工程）或相关从业资格证书； </w:t>
            </w:r>
          </w:p>
        </w:tc>
      </w:tr>
      <w:tr w14:paraId="0A0741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8"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6501115F">
            <w:pPr>
              <w:spacing w:line="300" w:lineRule="exact"/>
              <w:ind w:left="0" w:leftChars="0" w:firstLineChars="0"/>
              <w:jc w:val="left"/>
              <w:rPr>
                <w:rFonts w:hint="eastAsia" w:ascii="宋体" w:hAnsi="宋体" w:eastAsia="宋体" w:cs="宋体"/>
                <w:sz w:val="24"/>
                <w:szCs w:val="24"/>
                <w:highlight w:val="none"/>
              </w:rPr>
            </w:pPr>
            <w:r>
              <w:rPr>
                <w:rFonts w:hint="eastAsia" w:ascii="宋体" w:hAnsi="宋体" w:eastAsia="宋体" w:cs="宋体"/>
                <w:smallCaps w:val="0"/>
                <w:sz w:val="24"/>
                <w:szCs w:val="24"/>
                <w:highlight w:val="none"/>
                <w:vertAlign w:val="baseline"/>
              </w:rPr>
              <w:t>安全监理工程师</w:t>
            </w:r>
          </w:p>
        </w:tc>
        <w:tc>
          <w:tcPr>
            <w:tcW w:w="1252" w:type="dxa"/>
            <w:tcBorders>
              <w:top w:val="single" w:color="auto" w:sz="6" w:space="0"/>
              <w:left w:val="single" w:color="auto" w:sz="6" w:space="0"/>
              <w:bottom w:val="single" w:color="auto" w:sz="6" w:space="0"/>
              <w:right w:val="single" w:color="auto" w:sz="6" w:space="0"/>
            </w:tcBorders>
            <w:vAlign w:val="center"/>
          </w:tcPr>
          <w:p w14:paraId="7BF2FE6D">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val="en-US" w:eastAsia="zh-CN"/>
              </w:rPr>
              <w:t>1</w:t>
            </w:r>
          </w:p>
        </w:tc>
        <w:tc>
          <w:tcPr>
            <w:tcW w:w="4825" w:type="dxa"/>
            <w:tcBorders>
              <w:top w:val="single" w:color="auto" w:sz="6" w:space="0"/>
              <w:left w:val="single" w:color="auto" w:sz="6" w:space="0"/>
              <w:bottom w:val="single" w:color="auto" w:sz="6" w:space="0"/>
              <w:right w:val="single" w:color="auto" w:sz="12" w:space="0"/>
            </w:tcBorders>
            <w:vAlign w:val="center"/>
          </w:tcPr>
          <w:p w14:paraId="03C7016B">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(1) 从事现场监理工作5年以上； </w:t>
            </w:r>
          </w:p>
          <w:p w14:paraId="185C0CD6">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仿宋_GB2312" w:hAnsi="仿宋_GB2312" w:eastAsia="仿宋_GB2312" w:cs="仿宋_GB2312"/>
                <w:smallCaps w:val="0"/>
                <w:kern w:val="2"/>
                <w:sz w:val="24"/>
                <w:szCs w:val="24"/>
                <w:highlight w:val="none"/>
                <w:vertAlign w:val="baseline"/>
                <w:lang w:val="en-US" w:eastAsia="zh-CN" w:bidi="ar-SA"/>
              </w:rPr>
            </w:pPr>
            <w:r>
              <w:rPr>
                <w:rFonts w:hint="eastAsia" w:ascii="仿宋_GB2312" w:hAnsi="仿宋_GB2312" w:eastAsia="仿宋_GB2312" w:cs="仿宋_GB2312"/>
                <w:smallCaps w:val="0"/>
                <w:kern w:val="2"/>
                <w:sz w:val="24"/>
                <w:szCs w:val="24"/>
                <w:highlight w:val="none"/>
                <w:vertAlign w:val="baseline"/>
                <w:lang w:val="en-US" w:eastAsia="zh-CN" w:bidi="ar-SA"/>
              </w:rPr>
              <w:t xml:space="preserve">(2) 本科及以上学历； </w:t>
            </w:r>
          </w:p>
          <w:p w14:paraId="5E3C017A">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宋体" w:hAnsi="宋体" w:eastAsia="宋体" w:cs="宋体"/>
                <w:sz w:val="24"/>
                <w:szCs w:val="24"/>
                <w:highlight w:val="none"/>
              </w:rPr>
            </w:pPr>
            <w:r>
              <w:rPr>
                <w:rFonts w:hint="eastAsia" w:ascii="仿宋_GB2312" w:hAnsi="仿宋_GB2312" w:eastAsia="仿宋_GB2312" w:cs="仿宋_GB2312"/>
                <w:smallCaps w:val="0"/>
                <w:kern w:val="2"/>
                <w:sz w:val="24"/>
                <w:szCs w:val="24"/>
                <w:highlight w:val="none"/>
                <w:vertAlign w:val="baseline"/>
                <w:lang w:val="en-US" w:eastAsia="zh-CN" w:bidi="ar-SA"/>
              </w:rPr>
              <w:t>(3) 具有注册安全工程师执业证书或安全培训证书或上岗证；</w:t>
            </w:r>
          </w:p>
        </w:tc>
      </w:tr>
      <w:tr w14:paraId="65DF65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8" w:hRule="atLeast"/>
          <w:jc w:val="center"/>
        </w:trPr>
        <w:tc>
          <w:tcPr>
            <w:tcW w:w="1794" w:type="dxa"/>
            <w:tcBorders>
              <w:top w:val="single" w:color="auto" w:sz="6" w:space="0"/>
              <w:left w:val="single" w:color="auto" w:sz="12" w:space="0"/>
              <w:bottom w:val="single" w:color="auto" w:sz="6" w:space="0"/>
              <w:right w:val="single" w:color="auto" w:sz="6" w:space="0"/>
            </w:tcBorders>
            <w:vAlign w:val="center"/>
          </w:tcPr>
          <w:p w14:paraId="569DAE64">
            <w:pPr>
              <w:spacing w:line="300" w:lineRule="exact"/>
              <w:ind w:left="0" w:leftChars="0" w:firstLineChars="0"/>
              <w:jc w:val="left"/>
              <w:rPr>
                <w:rFonts w:hint="eastAsia" w:ascii="宋体" w:hAnsi="宋体" w:eastAsia="宋体" w:cs="宋体"/>
                <w:sz w:val="24"/>
                <w:szCs w:val="24"/>
                <w:highlight w:val="none"/>
              </w:rPr>
            </w:pPr>
            <w:r>
              <w:rPr>
                <w:rFonts w:hint="eastAsia" w:ascii="宋体" w:hAnsi="宋体" w:eastAsia="宋体" w:cs="宋体"/>
                <w:smallCaps w:val="0"/>
                <w:sz w:val="24"/>
                <w:szCs w:val="24"/>
                <w:highlight w:val="none"/>
                <w:vertAlign w:val="baseline"/>
                <w:lang w:eastAsia="zh-CN"/>
              </w:rPr>
              <w:t>资料员</w:t>
            </w:r>
          </w:p>
        </w:tc>
        <w:tc>
          <w:tcPr>
            <w:tcW w:w="1252" w:type="dxa"/>
            <w:tcBorders>
              <w:top w:val="single" w:color="auto" w:sz="6" w:space="0"/>
              <w:left w:val="single" w:color="auto" w:sz="6" w:space="0"/>
              <w:bottom w:val="single" w:color="auto" w:sz="6" w:space="0"/>
              <w:right w:val="single" w:color="auto" w:sz="6" w:space="0"/>
            </w:tcBorders>
            <w:vAlign w:val="center"/>
          </w:tcPr>
          <w:p w14:paraId="06325A87">
            <w:pPr>
              <w:pStyle w:val="43"/>
              <w:numPr>
                <w:ilvl w:val="255"/>
                <w:numId w:val="0"/>
              </w:numPr>
              <w:ind w:left="0" w:leftChars="0" w:firstLine="0" w:firstLineChars="0"/>
              <w:jc w:val="center"/>
              <w:rPr>
                <w:rFonts w:hint="eastAsia" w:ascii="宋体" w:hAnsi="宋体" w:cs="宋体"/>
                <w:sz w:val="24"/>
                <w:szCs w:val="24"/>
                <w:highlight w:val="none"/>
              </w:rPr>
            </w:pPr>
            <w:r>
              <w:rPr>
                <w:rFonts w:hint="eastAsia" w:ascii="宋体" w:hAnsi="宋体" w:eastAsia="宋体" w:cs="宋体"/>
                <w:smallCaps w:val="0"/>
                <w:sz w:val="24"/>
                <w:szCs w:val="24"/>
                <w:highlight w:val="none"/>
                <w:vertAlign w:val="baseline"/>
                <w:lang w:val="en-US" w:eastAsia="zh-CN"/>
              </w:rPr>
              <w:t>1</w:t>
            </w:r>
          </w:p>
        </w:tc>
        <w:tc>
          <w:tcPr>
            <w:tcW w:w="4825" w:type="dxa"/>
            <w:tcBorders>
              <w:top w:val="single" w:color="auto" w:sz="6" w:space="0"/>
              <w:left w:val="single" w:color="auto" w:sz="6" w:space="0"/>
              <w:bottom w:val="single" w:color="auto" w:sz="6" w:space="0"/>
              <w:right w:val="single" w:color="auto" w:sz="12" w:space="0"/>
            </w:tcBorders>
            <w:vAlign w:val="center"/>
          </w:tcPr>
          <w:p w14:paraId="7DD5B78A">
            <w:pPr>
              <w:pStyle w:val="43"/>
              <w:keepNext w:val="0"/>
              <w:keepLines w:val="0"/>
              <w:pageBreakBefore w:val="0"/>
              <w:widowControl w:val="0"/>
              <w:numPr>
                <w:ilvl w:val="255"/>
                <w:numId w:val="0"/>
              </w:numPr>
              <w:kinsoku/>
              <w:wordWrap/>
              <w:overflowPunct/>
              <w:topLinePunct w:val="0"/>
              <w:autoSpaceDE/>
              <w:autoSpaceDN/>
              <w:bidi w:val="0"/>
              <w:adjustRightInd/>
              <w:snapToGrid/>
              <w:spacing w:line="300" w:lineRule="exact"/>
              <w:ind w:left="0" w:leftChars="0" w:firstLine="0" w:firstLineChars="0"/>
              <w:jc w:val="left"/>
              <w:textAlignment w:val="auto"/>
              <w:rPr>
                <w:rFonts w:hint="eastAsia" w:ascii="宋体" w:hAnsi="宋体" w:eastAsia="宋体" w:cs="宋体"/>
                <w:sz w:val="24"/>
                <w:szCs w:val="24"/>
                <w:highlight w:val="none"/>
              </w:rPr>
            </w:pPr>
            <w:r>
              <w:rPr>
                <w:rFonts w:hint="eastAsia" w:ascii="仿宋_GB2312" w:hAnsi="仿宋_GB2312" w:eastAsia="仿宋_GB2312" w:cs="仿宋_GB2312"/>
                <w:smallCaps w:val="0"/>
                <w:kern w:val="2"/>
                <w:sz w:val="24"/>
                <w:szCs w:val="24"/>
                <w:highlight w:val="none"/>
                <w:vertAlign w:val="baseline"/>
                <w:lang w:val="en-US" w:eastAsia="zh-CN" w:bidi="ar-SA"/>
              </w:rPr>
              <w:t>中专及以上学历，工程、房地产相关专业，从事相关工作经验5年及以上；</w:t>
            </w:r>
          </w:p>
        </w:tc>
      </w:tr>
    </w:tbl>
    <w:p w14:paraId="4A75E0EC">
      <w:pPr>
        <w:pStyle w:val="170"/>
        <w:spacing w:line="560" w:lineRule="exact"/>
        <w:ind w:firstLine="420" w:firstLineChars="200"/>
        <w:jc w:val="both"/>
        <w:rPr>
          <w:rFonts w:ascii="宋体"/>
          <w:szCs w:val="21"/>
          <w:highlight w:val="none"/>
          <w:u w:val="single"/>
        </w:rPr>
      </w:pPr>
      <w:r>
        <w:rPr>
          <w:rFonts w:ascii="宋体" w:hAnsi="宋体"/>
          <w:szCs w:val="21"/>
          <w:highlight w:val="none"/>
          <w:u w:val="single"/>
        </w:rPr>
        <w:t>2.</w:t>
      </w:r>
      <w:r>
        <w:rPr>
          <w:rFonts w:hint="eastAsia" w:ascii="宋体" w:hAnsi="宋体"/>
          <w:szCs w:val="21"/>
          <w:highlight w:val="none"/>
          <w:u w:val="single"/>
          <w:lang w:val="en-US" w:eastAsia="zh-CN"/>
        </w:rPr>
        <w:t>2</w:t>
      </w:r>
      <w:r>
        <w:rPr>
          <w:rFonts w:hint="eastAsia" w:ascii="宋体" w:hAnsi="宋体"/>
          <w:szCs w:val="21"/>
          <w:highlight w:val="none"/>
          <w:u w:val="single"/>
        </w:rPr>
        <w:t>为保证在合同期内完成承担的监理任务，要求项目总监应常驻现场。项目总监不应缺席各种工程会议及由委托人或其它主管部门组织的各项工程检查</w:t>
      </w:r>
      <w:r>
        <w:rPr>
          <w:rFonts w:hint="eastAsia" w:ascii="宋体" w:hAnsi="宋体" w:cs="仿宋_GB2312"/>
          <w:szCs w:val="21"/>
          <w:highlight w:val="none"/>
          <w:u w:val="single"/>
        </w:rPr>
        <w:t>。若未经委托人同意，无故缺席工程会议或须亲自处理的事务的，视为监理人违约，处违约金500元/人▪次，违约金累计计算。</w:t>
      </w:r>
    </w:p>
    <w:p w14:paraId="1F9D486E">
      <w:pPr>
        <w:pStyle w:val="170"/>
        <w:spacing w:line="560" w:lineRule="exact"/>
        <w:ind w:firstLine="405" w:firstLineChars="193"/>
        <w:jc w:val="both"/>
        <w:rPr>
          <w:rFonts w:ascii="宋体" w:hAnsi="宋体" w:cs="仿宋_GB2312"/>
          <w:szCs w:val="21"/>
          <w:highlight w:val="none"/>
          <w:u w:val="single"/>
        </w:rPr>
      </w:pPr>
      <w:r>
        <w:rPr>
          <w:rFonts w:ascii="宋体" w:hAnsi="宋体"/>
          <w:szCs w:val="21"/>
          <w:highlight w:val="none"/>
          <w:u w:val="single"/>
        </w:rPr>
        <w:t>2.</w:t>
      </w:r>
      <w:r>
        <w:rPr>
          <w:rFonts w:hint="eastAsia" w:ascii="宋体" w:hAnsi="宋体"/>
          <w:szCs w:val="21"/>
          <w:highlight w:val="none"/>
          <w:u w:val="single"/>
          <w:lang w:val="en-US" w:eastAsia="zh-CN"/>
        </w:rPr>
        <w:t>3</w:t>
      </w:r>
      <w:r>
        <w:rPr>
          <w:rFonts w:hint="eastAsia" w:ascii="宋体" w:hAnsi="宋体"/>
          <w:szCs w:val="21"/>
          <w:highlight w:val="none"/>
          <w:u w:val="single"/>
        </w:rPr>
        <w:t>根据工程实际进展情况，监理班子成员应按“进场时间”按时到位，并满足监理工作需求。监理人员“进场”数量必须满足《广东省建设厅转发建设部关于印发〈房屋建筑工程施工旁站监理管理办法（试行）〉的通知》（粤建管</w:t>
      </w:r>
      <w:r>
        <w:rPr>
          <w:rFonts w:ascii="宋体" w:hAnsi="宋体"/>
          <w:szCs w:val="21"/>
          <w:highlight w:val="none"/>
          <w:u w:val="single"/>
        </w:rPr>
        <w:t>[2002]97</w:t>
      </w:r>
      <w:r>
        <w:rPr>
          <w:rFonts w:hint="eastAsia" w:ascii="宋体" w:hAnsi="宋体"/>
          <w:szCs w:val="21"/>
          <w:highlight w:val="none"/>
          <w:u w:val="single"/>
        </w:rPr>
        <w:t>号）中附件《工程项目监理最少人数配置参照表》规定</w:t>
      </w:r>
      <w:r>
        <w:rPr>
          <w:rFonts w:hint="eastAsia" w:ascii="宋体" w:hAnsi="宋体" w:cs="仿宋_GB2312"/>
          <w:szCs w:val="21"/>
          <w:highlight w:val="none"/>
          <w:u w:val="single"/>
        </w:rPr>
        <w:t>。</w:t>
      </w:r>
    </w:p>
    <w:p w14:paraId="16E18464">
      <w:pPr>
        <w:pStyle w:val="170"/>
        <w:spacing w:line="560" w:lineRule="exact"/>
        <w:ind w:firstLine="420" w:firstLineChars="200"/>
        <w:jc w:val="both"/>
        <w:rPr>
          <w:rFonts w:ascii="宋体" w:hAnsi="宋体"/>
          <w:szCs w:val="21"/>
          <w:highlight w:val="none"/>
          <w:u w:val="single"/>
        </w:rPr>
      </w:pPr>
      <w:r>
        <w:rPr>
          <w:rFonts w:hint="eastAsia" w:ascii="宋体" w:hAnsi="宋体"/>
          <w:szCs w:val="21"/>
          <w:highlight w:val="none"/>
          <w:u w:val="single"/>
        </w:rPr>
        <w:t>2.</w:t>
      </w:r>
      <w:r>
        <w:rPr>
          <w:rFonts w:hint="eastAsia" w:ascii="宋体" w:hAnsi="宋体"/>
          <w:szCs w:val="21"/>
          <w:highlight w:val="none"/>
          <w:u w:val="single"/>
          <w:lang w:val="en-US" w:eastAsia="zh-CN"/>
        </w:rPr>
        <w:t>4</w:t>
      </w:r>
      <w:r>
        <w:rPr>
          <w:rFonts w:hint="eastAsia" w:ascii="宋体" w:hAnsi="宋体"/>
          <w:szCs w:val="21"/>
          <w:highlight w:val="none"/>
          <w:u w:val="single"/>
        </w:rPr>
        <w:t>监理人应在监理服务期内，为项目监理人员提供人员购买意外伤害险、社会保险和自备财产的有关保险，保险时间应随服务时间的延长而顺延，并在出险后自行办理索赔。如果监理人不办理上述保险，由此引起的风险及后果自行负责。同时，监理人应该尽一切合理的努力，按委托人可接受的条件对监理人的责任、第三方的责任以及委托人为监理服务提供的财产等进行保险。上述有关费用由监理人承担。</w:t>
      </w:r>
    </w:p>
    <w:p w14:paraId="41B79A1C">
      <w:pPr>
        <w:pStyle w:val="170"/>
        <w:spacing w:line="560" w:lineRule="exact"/>
        <w:ind w:firstLine="420" w:firstLineChars="200"/>
        <w:jc w:val="both"/>
        <w:rPr>
          <w:rFonts w:ascii="宋体"/>
          <w:szCs w:val="21"/>
          <w:highlight w:val="none"/>
        </w:rPr>
      </w:pPr>
      <w:r>
        <w:rPr>
          <w:rFonts w:hint="eastAsia" w:ascii="宋体" w:hAnsi="宋体"/>
          <w:szCs w:val="21"/>
          <w:highlight w:val="none"/>
        </w:rPr>
        <w:t>三、监理班子人员的违约责任约定</w:t>
      </w:r>
    </w:p>
    <w:p w14:paraId="248138AA">
      <w:pPr>
        <w:pStyle w:val="170"/>
        <w:spacing w:line="560" w:lineRule="exact"/>
        <w:ind w:firstLine="420" w:firstLineChars="200"/>
        <w:jc w:val="both"/>
        <w:rPr>
          <w:rFonts w:ascii="宋体" w:hAnsi="宋体"/>
          <w:szCs w:val="21"/>
          <w:highlight w:val="none"/>
          <w:u w:val="single"/>
        </w:rPr>
      </w:pPr>
      <w:r>
        <w:rPr>
          <w:rFonts w:ascii="宋体" w:hAnsi="宋体"/>
          <w:szCs w:val="21"/>
          <w:highlight w:val="none"/>
          <w:u w:val="single"/>
        </w:rPr>
        <w:t>3.</w:t>
      </w:r>
      <w:r>
        <w:rPr>
          <w:rFonts w:hint="eastAsia" w:ascii="宋体" w:hAnsi="宋体"/>
          <w:szCs w:val="21"/>
          <w:highlight w:val="none"/>
          <w:u w:val="single"/>
        </w:rPr>
        <w:t>1</w:t>
      </w:r>
      <w:r>
        <w:rPr>
          <w:rFonts w:hint="eastAsia" w:ascii="宋体" w:hAnsi="宋体" w:cs="宋体"/>
          <w:sz w:val="24"/>
          <w:highlight w:val="none"/>
          <w:u w:val="single"/>
        </w:rPr>
        <w:t xml:space="preserve"> </w:t>
      </w:r>
      <w:r>
        <w:rPr>
          <w:rFonts w:hint="eastAsia" w:ascii="宋体" w:hAnsi="宋体"/>
          <w:szCs w:val="21"/>
          <w:highlight w:val="none"/>
          <w:u w:val="single"/>
        </w:rPr>
        <w:t>不论</w:t>
      </w:r>
      <w:r>
        <w:rPr>
          <w:rFonts w:hint="eastAsia" w:ascii="宋体" w:hAnsi="宋体" w:cs="宋体"/>
          <w:sz w:val="24"/>
          <w:highlight w:val="none"/>
          <w:u w:val="single"/>
        </w:rPr>
        <w:t>何种</w:t>
      </w:r>
      <w:r>
        <w:rPr>
          <w:rFonts w:hint="eastAsia" w:ascii="宋体" w:hAnsi="宋体"/>
          <w:szCs w:val="21"/>
          <w:highlight w:val="none"/>
          <w:u w:val="single"/>
        </w:rPr>
        <w:t>原因，导致项目总监与合同约定的不一致，除该项目总监突然身故、或非监理人原因犯罪被羁押或判刑的外，均视监理人违约，每发生一次，监理人应按下列标准支付违约金：</w:t>
      </w:r>
      <w:r>
        <w:rPr>
          <w:rFonts w:hint="eastAsia" w:ascii="宋体" w:hAnsi="宋体"/>
          <w:szCs w:val="21"/>
          <w:highlight w:val="none"/>
          <w:u w:val="single"/>
          <w:lang w:val="en-US" w:eastAsia="zh-CN"/>
        </w:rPr>
        <w:t>20000</w:t>
      </w:r>
      <w:r>
        <w:rPr>
          <w:rFonts w:hint="eastAsia" w:ascii="宋体" w:hAnsi="宋体"/>
          <w:szCs w:val="21"/>
          <w:highlight w:val="none"/>
          <w:u w:val="single"/>
        </w:rPr>
        <w:t>元。</w:t>
      </w:r>
    </w:p>
    <w:p w14:paraId="5343CA2C">
      <w:pPr>
        <w:pStyle w:val="170"/>
        <w:spacing w:line="560" w:lineRule="exact"/>
        <w:ind w:firstLine="420" w:firstLineChars="200"/>
        <w:jc w:val="both"/>
        <w:rPr>
          <w:rFonts w:ascii="宋体"/>
          <w:szCs w:val="21"/>
          <w:highlight w:val="none"/>
          <w:u w:val="single"/>
        </w:rPr>
      </w:pPr>
      <w:r>
        <w:rPr>
          <w:rFonts w:hint="eastAsia" w:ascii="宋体" w:hAnsi="宋体"/>
          <w:szCs w:val="21"/>
          <w:highlight w:val="none"/>
          <w:u w:val="single"/>
        </w:rPr>
        <w:t>3.2委托人有权要求监理人更换项目总监，监理人必须在委托人发出要求更换的书面通知</w:t>
      </w:r>
      <w:r>
        <w:rPr>
          <w:rFonts w:ascii="宋体" w:hAnsi="宋体"/>
          <w:szCs w:val="21"/>
          <w:highlight w:val="none"/>
          <w:u w:val="single"/>
        </w:rPr>
        <w:t>10</w:t>
      </w:r>
      <w:r>
        <w:rPr>
          <w:rFonts w:hint="eastAsia" w:ascii="宋体" w:hAnsi="宋体"/>
          <w:szCs w:val="21"/>
          <w:highlight w:val="none"/>
          <w:u w:val="single"/>
        </w:rPr>
        <w:t>日内，无条件更换或满足□招标文件要求□投标文件承诺的■委托人要求的项目总监。如监理人拒不更换的，视监理人严重违约，监理人除需按下列标准支付违约金：100</w:t>
      </w:r>
      <w:r>
        <w:rPr>
          <w:rFonts w:ascii="宋体" w:hAnsi="宋体"/>
          <w:szCs w:val="21"/>
          <w:highlight w:val="none"/>
          <w:u w:val="single"/>
        </w:rPr>
        <w:t>0</w:t>
      </w:r>
      <w:r>
        <w:rPr>
          <w:rFonts w:hint="eastAsia" w:ascii="宋体" w:hAnsi="宋体"/>
          <w:szCs w:val="21"/>
          <w:highlight w:val="none"/>
          <w:u w:val="single"/>
        </w:rPr>
        <w:t>元</w:t>
      </w:r>
      <w:r>
        <w:rPr>
          <w:rFonts w:ascii="宋体" w:hAnsi="宋体"/>
          <w:szCs w:val="21"/>
          <w:highlight w:val="none"/>
          <w:u w:val="single"/>
        </w:rPr>
        <w:t>/</w:t>
      </w:r>
      <w:r>
        <w:rPr>
          <w:rFonts w:hint="eastAsia" w:ascii="宋体" w:hAnsi="宋体"/>
          <w:szCs w:val="21"/>
          <w:highlight w:val="none"/>
          <w:u w:val="single"/>
        </w:rPr>
        <w:t>次，违约金累计计算。</w:t>
      </w:r>
    </w:p>
    <w:p w14:paraId="67A411ED">
      <w:pPr>
        <w:pStyle w:val="170"/>
        <w:spacing w:line="560" w:lineRule="exact"/>
        <w:ind w:firstLine="420" w:firstLineChars="200"/>
        <w:jc w:val="both"/>
        <w:rPr>
          <w:rFonts w:ascii="宋体" w:hAnsi="宋体" w:cs="仿宋_GB2312"/>
          <w:szCs w:val="21"/>
          <w:highlight w:val="none"/>
          <w:u w:val="single"/>
        </w:rPr>
      </w:pPr>
      <w:r>
        <w:rPr>
          <w:rFonts w:ascii="宋体" w:hAnsi="宋体"/>
          <w:szCs w:val="21"/>
          <w:highlight w:val="none"/>
          <w:u w:val="single"/>
        </w:rPr>
        <w:t>3.</w:t>
      </w:r>
      <w:r>
        <w:rPr>
          <w:rFonts w:hint="eastAsia" w:ascii="宋体" w:hAnsi="宋体"/>
          <w:szCs w:val="21"/>
          <w:highlight w:val="none"/>
          <w:u w:val="single"/>
        </w:rPr>
        <w:t>3监理人员“进场”数量未满足本补充条款第</w:t>
      </w:r>
      <w:r>
        <w:rPr>
          <w:rFonts w:ascii="宋体" w:hAnsi="宋体"/>
          <w:szCs w:val="21"/>
          <w:highlight w:val="none"/>
          <w:u w:val="single"/>
        </w:rPr>
        <w:t>2.3</w:t>
      </w:r>
      <w:r>
        <w:rPr>
          <w:rFonts w:hint="eastAsia" w:ascii="宋体" w:hAnsi="宋体"/>
          <w:szCs w:val="21"/>
          <w:highlight w:val="none"/>
          <w:u w:val="single"/>
        </w:rPr>
        <w:t>条规定的，视为监理人违约，委托人除将扣除未到位人员相应的监理酬金，还有权按未到人员</w:t>
      </w:r>
      <w:r>
        <w:rPr>
          <w:rFonts w:ascii="宋体" w:hAnsi="宋体"/>
          <w:szCs w:val="21"/>
          <w:highlight w:val="none"/>
          <w:u w:val="single"/>
        </w:rPr>
        <w:t>200</w:t>
      </w:r>
      <w:r>
        <w:rPr>
          <w:rFonts w:hint="eastAsia" w:ascii="宋体" w:hAnsi="宋体"/>
          <w:szCs w:val="21"/>
          <w:highlight w:val="none"/>
          <w:u w:val="single"/>
        </w:rPr>
        <w:t>元</w:t>
      </w:r>
      <w:r>
        <w:rPr>
          <w:rFonts w:ascii="宋体" w:hAnsi="宋体"/>
          <w:szCs w:val="21"/>
          <w:highlight w:val="none"/>
          <w:u w:val="single"/>
        </w:rPr>
        <w:t>/</w:t>
      </w:r>
      <w:r>
        <w:rPr>
          <w:rFonts w:hint="eastAsia" w:ascii="宋体" w:hAnsi="宋体"/>
          <w:szCs w:val="21"/>
          <w:highlight w:val="none"/>
          <w:u w:val="single"/>
        </w:rPr>
        <w:t>人·天的标准收取监理人违约金，未到位每人每天的监理酬金按如下计算：各阶段监理酬金÷应投入的监理人员数量÷本阶段监理期限，其中应投入的监理人员数量按补充条款2.1条确定。</w:t>
      </w:r>
    </w:p>
    <w:p w14:paraId="46BFD2CB">
      <w:pPr>
        <w:pStyle w:val="167"/>
        <w:spacing w:line="560" w:lineRule="exact"/>
        <w:ind w:firstLine="420" w:firstLineChars="200"/>
        <w:rPr>
          <w:rFonts w:ascii="宋体" w:hAnsi="宋体"/>
          <w:szCs w:val="21"/>
          <w:highlight w:val="none"/>
          <w:u w:val="single"/>
        </w:rPr>
      </w:pPr>
      <w:r>
        <w:rPr>
          <w:rFonts w:hint="eastAsia" w:ascii="宋体" w:hAnsi="宋体"/>
          <w:szCs w:val="21"/>
          <w:highlight w:val="none"/>
          <w:u w:val="single"/>
        </w:rPr>
        <w:t>3.</w:t>
      </w:r>
      <w:r>
        <w:rPr>
          <w:rFonts w:hint="eastAsia" w:ascii="宋体" w:hAnsi="宋体"/>
          <w:szCs w:val="21"/>
          <w:highlight w:val="none"/>
          <w:u w:val="single"/>
          <w:lang w:val="en-US" w:eastAsia="zh-CN"/>
        </w:rPr>
        <w:t>4</w:t>
      </w:r>
      <w:r>
        <w:rPr>
          <w:rFonts w:hint="eastAsia" w:ascii="宋体" w:hAnsi="宋体"/>
          <w:szCs w:val="21"/>
          <w:highlight w:val="none"/>
          <w:u w:val="single"/>
        </w:rPr>
        <w:t>当政府主管部门、委托人等认为项目监理人员配置不能满足施工实际需要时，监理人应按委托人要求增加监理人员数量或调整监理专业以满足需要，由此引起的费用增加已包含在本工程监理合同价中，不另行支付。</w:t>
      </w:r>
    </w:p>
    <w:p w14:paraId="219240EE">
      <w:pPr>
        <w:pStyle w:val="167"/>
        <w:widowControl/>
        <w:spacing w:line="560" w:lineRule="exact"/>
        <w:ind w:firstLine="420" w:firstLineChars="200"/>
        <w:rPr>
          <w:rFonts w:ascii="宋体" w:hAnsi="宋体"/>
          <w:szCs w:val="21"/>
          <w:highlight w:val="none"/>
          <w:u w:val="single"/>
        </w:rPr>
      </w:pPr>
      <w:r>
        <w:rPr>
          <w:rFonts w:hint="eastAsia" w:ascii="宋体" w:hAnsi="宋体"/>
          <w:szCs w:val="21"/>
          <w:highlight w:val="none"/>
          <w:u w:val="single"/>
        </w:rPr>
        <w:t>3.</w:t>
      </w:r>
      <w:r>
        <w:rPr>
          <w:rFonts w:hint="eastAsia" w:ascii="宋体" w:hAnsi="宋体"/>
          <w:szCs w:val="21"/>
          <w:highlight w:val="none"/>
          <w:u w:val="single"/>
          <w:lang w:val="en-US" w:eastAsia="zh-CN"/>
        </w:rPr>
        <w:t>5</w:t>
      </w:r>
      <w:r>
        <w:rPr>
          <w:rFonts w:hint="eastAsia" w:ascii="宋体" w:hAnsi="宋体"/>
          <w:szCs w:val="21"/>
          <w:highlight w:val="none"/>
          <w:u w:val="single"/>
        </w:rPr>
        <w:t>根据经批准的监理规划中项目监理机构人员进场计划，如果监理人员不在岗，专业监理工程师按100元/天·人支付违约金；如果监理人对承诺的人员数及安排擅自作了变化，则就变动总人数按照不在岗的办法予以处罚（事后征得委托人书面追认同意的情况除外）。如果不在岗的监理人员不在岗的记录超过10人次，视为重大违约，委托人有权发出整改通知。若委托人第二次以书面形式发出整改通知后7天内未收到监理人书面形式的合理解释，有权提前解除合同。</w:t>
      </w:r>
    </w:p>
    <w:p w14:paraId="72224882">
      <w:pPr>
        <w:pStyle w:val="170"/>
        <w:spacing w:line="560" w:lineRule="exact"/>
        <w:jc w:val="both"/>
        <w:rPr>
          <w:rFonts w:ascii="宋体"/>
          <w:szCs w:val="21"/>
          <w:highlight w:val="none"/>
        </w:rPr>
      </w:pPr>
      <w:r>
        <w:rPr>
          <w:rFonts w:hint="eastAsia" w:ascii="宋体" w:hAnsi="宋体"/>
          <w:szCs w:val="21"/>
          <w:highlight w:val="none"/>
        </w:rPr>
        <w:t>四、工程管理的要求</w:t>
      </w:r>
    </w:p>
    <w:p w14:paraId="25B43461">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4.1监理人应按委托人的工程变更管理办法履行相关职责，处理变更事项，并对实施的变更量进行确认。收到变更提议单后3日内，应从其真实性、必要性、可行性（经济上）方面对变更提议提出意见，并提供涉及变更的分项工程的影像资料，资料备齐后报委托人审批。如未按时限处理工程变更事宜，委托人有权对现场监理人员给予警告记过处分，情节严重的，监理人应按拖延天数支付</w:t>
      </w:r>
      <w:r>
        <w:rPr>
          <w:rFonts w:hint="eastAsia" w:ascii="宋体" w:hAnsi="宋体"/>
          <w:szCs w:val="21"/>
          <w:highlight w:val="none"/>
          <w:u w:val="single"/>
          <w:lang w:val="en-US" w:eastAsia="zh-CN"/>
        </w:rPr>
        <w:t>1</w:t>
      </w:r>
      <w:r>
        <w:rPr>
          <w:rFonts w:hint="eastAsia" w:ascii="宋体" w:hAnsi="宋体"/>
          <w:szCs w:val="21"/>
          <w:highlight w:val="none"/>
          <w:u w:val="single"/>
        </w:rPr>
        <w:t>00元/天的违约金。</w:t>
      </w:r>
    </w:p>
    <w:p w14:paraId="3969AEE7">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且监理人对审核施工单位上报的工程变更造价金额负责，如因监理人原因，造成申报变更造价与委托人委托的造价咨询公司审核造价偏差在</w:t>
      </w:r>
      <w:r>
        <w:rPr>
          <w:szCs w:val="21"/>
          <w:highlight w:val="none"/>
          <w:u w:val="single"/>
        </w:rPr>
        <w:t>±</w:t>
      </w:r>
      <w:r>
        <w:rPr>
          <w:rFonts w:hint="eastAsia" w:ascii="宋体" w:hAnsi="宋体"/>
          <w:szCs w:val="21"/>
          <w:highlight w:val="none"/>
          <w:u w:val="single"/>
        </w:rPr>
        <w:t>5%以上的，视为监理人违约，在</w:t>
      </w:r>
      <w:r>
        <w:rPr>
          <w:szCs w:val="21"/>
          <w:highlight w:val="none"/>
          <w:u w:val="single"/>
        </w:rPr>
        <w:t>±</w:t>
      </w:r>
      <w:r>
        <w:rPr>
          <w:rFonts w:hint="eastAsia" w:ascii="宋体" w:hAnsi="宋体"/>
          <w:szCs w:val="21"/>
          <w:highlight w:val="none"/>
          <w:u w:val="single"/>
        </w:rPr>
        <w:t>5%-</w:t>
      </w:r>
      <w:r>
        <w:rPr>
          <w:szCs w:val="21"/>
          <w:highlight w:val="none"/>
          <w:u w:val="single"/>
        </w:rPr>
        <w:t>±</w:t>
      </w:r>
      <w:r>
        <w:rPr>
          <w:rFonts w:hint="eastAsia" w:ascii="宋体" w:hAnsi="宋体"/>
          <w:szCs w:val="21"/>
          <w:highlight w:val="none"/>
          <w:u w:val="single"/>
        </w:rPr>
        <w:t>10%（含10%）的，处以200元/次的违约金；审核造价偏差在</w:t>
      </w:r>
      <w:r>
        <w:rPr>
          <w:szCs w:val="21"/>
          <w:highlight w:val="none"/>
          <w:u w:val="single"/>
        </w:rPr>
        <w:t>±</w:t>
      </w:r>
      <w:r>
        <w:rPr>
          <w:rFonts w:hint="eastAsia" w:ascii="宋体" w:hAnsi="宋体"/>
          <w:szCs w:val="21"/>
          <w:highlight w:val="none"/>
          <w:u w:val="single"/>
        </w:rPr>
        <w:t>10%-</w:t>
      </w:r>
      <w:r>
        <w:rPr>
          <w:szCs w:val="21"/>
          <w:highlight w:val="none"/>
          <w:u w:val="single"/>
        </w:rPr>
        <w:t>±</w:t>
      </w:r>
      <w:r>
        <w:rPr>
          <w:rFonts w:hint="eastAsia" w:ascii="宋体" w:hAnsi="宋体"/>
          <w:szCs w:val="21"/>
          <w:highlight w:val="none"/>
          <w:u w:val="single"/>
        </w:rPr>
        <w:t>20%（含20%）的，处以500元/次的违约金；审核造价偏差超过</w:t>
      </w:r>
      <w:r>
        <w:rPr>
          <w:szCs w:val="21"/>
          <w:highlight w:val="none"/>
          <w:u w:val="single"/>
        </w:rPr>
        <w:t>±</w:t>
      </w:r>
      <w:r>
        <w:rPr>
          <w:rFonts w:hint="eastAsia" w:ascii="宋体" w:hAnsi="宋体"/>
          <w:szCs w:val="21"/>
          <w:highlight w:val="none"/>
          <w:u w:val="single"/>
        </w:rPr>
        <w:t>20%的，视为监理人严重违约，处以1000元/次的违约金，造成经济损失的，由监理人赔偿。审核造价偏差以累计所有变更进行一次计算。</w:t>
      </w:r>
    </w:p>
    <w:p w14:paraId="3B4410A0">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4.2监理定期每周以周报形式，向委托人书面汇报工程的质量、安全、进度、投资、安全文明施工、信息管理、合同管理情况，农民工、劳务工的工资发放情况、工作协调及存在问题，并附情况总结分析及预测，找出进度偏差，分析原因并提出拟采取的对策及需委托人协调或答复的问题，其中质量、安全、进度、安全文明施工应作为周报的重要内容；如遇特殊情况或重大事项，监理人需随时向委托人报告。如未按规定时限和要求上报（发包人同意延期的除外），发包人给予书面警告，警告后仍不按要求上报的，视为违约，按200元/天的违约金处罚。</w:t>
      </w:r>
    </w:p>
    <w:p w14:paraId="1274E22C">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4.3工程竣工阶段，监理人须对施工单位所报的竣工图纸、结算进行严格审核，并负责与承包单位进行结算核对工作，提出书面审核和核对意见。监理人应保证竣工图纸的正确性，应保证竣工结（决）算的准确性。</w:t>
      </w:r>
    </w:p>
    <w:p w14:paraId="02325B1B">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4.4监理人须按委托人要求时限审核和报送施工单位申报的竣工结算资料和竣工存档资料，其中资料含所有照片、视频等工作痕迹电子资料。</w:t>
      </w:r>
    </w:p>
    <w:p w14:paraId="379EBD2E">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4.5监理人应督促各施工单位按照深圳市档案馆的档案管理要求及时整理各项资料，并及时整理完成城建档案馆要求提交的监理资料，同时协助委托人整理相关的资料，并取得档案验收许可文件。</w:t>
      </w:r>
    </w:p>
    <w:p w14:paraId="35B5590B">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4.6对于委托人和第三方提交的有关工程的指令、通知和各种报表，需要监理人填报、转达、审核或确认的，监理人应在2天内填写、转达、审核和确认。超过约定的期限未填报、转达、审核和确认，由此造成的不良后果的，由监理人承担相应的责任。</w:t>
      </w:r>
    </w:p>
    <w:p w14:paraId="51FC0834">
      <w:pPr>
        <w:pStyle w:val="170"/>
        <w:spacing w:line="560" w:lineRule="exact"/>
        <w:ind w:firstLine="422"/>
        <w:jc w:val="both"/>
        <w:rPr>
          <w:rFonts w:ascii="宋体" w:hAnsi="宋体"/>
          <w:szCs w:val="21"/>
          <w:highlight w:val="none"/>
          <w:u w:val="single"/>
        </w:rPr>
      </w:pPr>
      <w:r>
        <w:rPr>
          <w:rFonts w:hint="eastAsia" w:ascii="宋体" w:hAnsi="宋体"/>
          <w:szCs w:val="21"/>
          <w:highlight w:val="none"/>
          <w:u w:val="single"/>
        </w:rPr>
        <w:t>4.7监理人员工作时间需根据施工现场实际作业时间随时调整，并不定时进行现场巡视，每个施工日至少现场巡视一次，并拍照打卡。</w:t>
      </w:r>
    </w:p>
    <w:p w14:paraId="370585E1">
      <w:pPr>
        <w:pStyle w:val="170"/>
        <w:spacing w:line="560" w:lineRule="exact"/>
        <w:ind w:firstLine="422"/>
        <w:jc w:val="both"/>
        <w:rPr>
          <w:rFonts w:hint="eastAsia" w:ascii="宋体" w:hAnsi="宋体"/>
          <w:szCs w:val="21"/>
          <w:highlight w:val="none"/>
          <w:u w:val="single"/>
        </w:rPr>
      </w:pPr>
      <w:r>
        <w:rPr>
          <w:rFonts w:hint="eastAsia" w:ascii="宋体" w:hAnsi="宋体"/>
          <w:szCs w:val="21"/>
          <w:highlight w:val="none"/>
          <w:u w:val="single"/>
        </w:rPr>
        <w:t>4.8监理人应监管工人工资“分账制”管理工作情况，建立日常监理台账。</w:t>
      </w:r>
    </w:p>
    <w:p w14:paraId="5F25A33B">
      <w:pPr>
        <w:pStyle w:val="170"/>
        <w:spacing w:line="560" w:lineRule="exact"/>
        <w:ind w:firstLine="422"/>
        <w:jc w:val="both"/>
        <w:rPr>
          <w:rFonts w:hint="default" w:ascii="宋体" w:hAnsi="宋体" w:eastAsia="宋体"/>
          <w:szCs w:val="21"/>
          <w:highlight w:val="none"/>
          <w:u w:val="single"/>
          <w:lang w:val="en-US" w:eastAsia="zh-CN"/>
        </w:rPr>
      </w:pPr>
      <w:r>
        <w:rPr>
          <w:rFonts w:hint="eastAsia" w:ascii="宋体" w:hAnsi="宋体"/>
          <w:szCs w:val="21"/>
          <w:highlight w:val="none"/>
          <w:u w:val="single"/>
          <w:lang w:val="en-US" w:eastAsia="zh-CN"/>
        </w:rPr>
        <w:t>4.9每周上班时间为6天（周六周日轮休，轮休期间应根据委托人要求随时到工地投入工作），每天上班时间与施工单位上班时间一致（根据工程施工需要，夜间安排值班），监理人员上下班实行打卡制，打卡地点于施工现场。在特殊时段，委托人有权要求取消节假日休息时间，监理人不得另行收取加班费。</w:t>
      </w:r>
    </w:p>
    <w:p w14:paraId="5FE99D39">
      <w:pPr>
        <w:pStyle w:val="170"/>
        <w:spacing w:line="560" w:lineRule="exact"/>
        <w:ind w:firstLine="422"/>
        <w:jc w:val="both"/>
        <w:rPr>
          <w:rFonts w:ascii="宋体"/>
          <w:szCs w:val="21"/>
          <w:highlight w:val="none"/>
        </w:rPr>
      </w:pPr>
      <w:r>
        <w:rPr>
          <w:rFonts w:hint="eastAsia" w:ascii="宋体" w:hAnsi="宋体"/>
          <w:szCs w:val="21"/>
          <w:highlight w:val="none"/>
        </w:rPr>
        <w:t>五、监理人其它的违约责任约定</w:t>
      </w:r>
    </w:p>
    <w:p w14:paraId="1E751553">
      <w:pPr>
        <w:pStyle w:val="170"/>
        <w:spacing w:line="560" w:lineRule="exact"/>
        <w:ind w:firstLine="420"/>
        <w:jc w:val="both"/>
        <w:rPr>
          <w:rFonts w:ascii="宋体"/>
          <w:kern w:val="0"/>
          <w:szCs w:val="21"/>
          <w:highlight w:val="none"/>
          <w:u w:val="single"/>
        </w:rPr>
      </w:pPr>
      <w:r>
        <w:rPr>
          <w:rFonts w:ascii="宋体" w:hAnsi="宋体"/>
          <w:szCs w:val="21"/>
          <w:highlight w:val="none"/>
          <w:u w:val="single"/>
        </w:rPr>
        <w:t>5.1</w:t>
      </w:r>
      <w:r>
        <w:rPr>
          <w:rFonts w:hint="eastAsia" w:ascii="宋体" w:hAnsi="宋体"/>
          <w:szCs w:val="21"/>
          <w:highlight w:val="none"/>
          <w:u w:val="single"/>
        </w:rPr>
        <w:t>若委托人检查发现监理人员服务不到位，未按现行《建设工程监理规范》（</w:t>
      </w:r>
      <w:r>
        <w:rPr>
          <w:rFonts w:ascii="宋体" w:hAnsi="宋体"/>
          <w:szCs w:val="21"/>
          <w:highlight w:val="none"/>
          <w:u w:val="single"/>
        </w:rPr>
        <w:t>GB50319-2013</w:t>
      </w:r>
      <w:r>
        <w:rPr>
          <w:rFonts w:hint="eastAsia" w:ascii="宋体" w:hAnsi="宋体"/>
          <w:szCs w:val="21"/>
          <w:highlight w:val="none"/>
          <w:u w:val="single"/>
        </w:rPr>
        <w:t>）实施过程控制，在书面警告后监理人仍没按要求落实的，监理人应按下列标准支付违约金：</w:t>
      </w:r>
      <w:r>
        <w:rPr>
          <w:rFonts w:hint="eastAsia" w:ascii="宋体" w:hAnsi="宋体"/>
          <w:kern w:val="0"/>
          <w:szCs w:val="21"/>
          <w:highlight w:val="none"/>
          <w:u w:val="single"/>
          <w:lang w:val="en-US" w:eastAsia="zh-CN"/>
        </w:rPr>
        <w:t>1</w:t>
      </w:r>
      <w:r>
        <w:rPr>
          <w:rFonts w:ascii="宋体" w:hAnsi="宋体"/>
          <w:kern w:val="0"/>
          <w:szCs w:val="21"/>
          <w:highlight w:val="none"/>
          <w:u w:val="single"/>
        </w:rPr>
        <w:t>000</w:t>
      </w:r>
      <w:r>
        <w:rPr>
          <w:rFonts w:hint="eastAsia" w:ascii="宋体" w:hAnsi="宋体"/>
          <w:kern w:val="0"/>
          <w:szCs w:val="21"/>
          <w:highlight w:val="none"/>
          <w:u w:val="single"/>
        </w:rPr>
        <w:t>元</w:t>
      </w:r>
      <w:r>
        <w:rPr>
          <w:rFonts w:ascii="宋体" w:hAnsi="宋体"/>
          <w:kern w:val="0"/>
          <w:szCs w:val="21"/>
          <w:highlight w:val="none"/>
          <w:u w:val="single"/>
        </w:rPr>
        <w:t>/</w:t>
      </w:r>
      <w:r>
        <w:rPr>
          <w:rFonts w:hint="eastAsia" w:ascii="宋体" w:hAnsi="宋体"/>
          <w:kern w:val="0"/>
          <w:szCs w:val="21"/>
          <w:highlight w:val="none"/>
          <w:u w:val="single"/>
        </w:rPr>
        <w:t>次。违约金累计计算。</w:t>
      </w:r>
    </w:p>
    <w:p w14:paraId="4D2A9F2C">
      <w:pPr>
        <w:pStyle w:val="170"/>
        <w:spacing w:line="560" w:lineRule="exact"/>
        <w:ind w:firstLine="420"/>
        <w:jc w:val="both"/>
        <w:rPr>
          <w:rFonts w:ascii="宋体"/>
          <w:kern w:val="0"/>
          <w:szCs w:val="21"/>
          <w:highlight w:val="none"/>
          <w:u w:val="single"/>
        </w:rPr>
      </w:pPr>
      <w:r>
        <w:rPr>
          <w:rFonts w:ascii="宋体" w:hAnsi="宋体"/>
          <w:kern w:val="0"/>
          <w:szCs w:val="21"/>
          <w:highlight w:val="none"/>
          <w:u w:val="single"/>
        </w:rPr>
        <w:t>5.2</w:t>
      </w:r>
      <w:r>
        <w:rPr>
          <w:rFonts w:hint="eastAsia" w:ascii="宋体" w:hAnsi="宋体"/>
          <w:kern w:val="0"/>
          <w:szCs w:val="21"/>
          <w:highlight w:val="none"/>
          <w:u w:val="single"/>
        </w:rPr>
        <w:t>若发现监理人对工程变更实施量情况把关不严，未监督承包人按变更图纸和要求实施，或减量变更未监督承包人按减量进行申报的，</w:t>
      </w:r>
      <w:r>
        <w:rPr>
          <w:rFonts w:hint="eastAsia" w:ascii="宋体" w:hAnsi="宋体"/>
          <w:szCs w:val="21"/>
          <w:highlight w:val="none"/>
          <w:u w:val="single"/>
        </w:rPr>
        <w:t>监理人应按下列标准支付违约金：</w:t>
      </w:r>
      <w:r>
        <w:rPr>
          <w:rFonts w:hint="eastAsia" w:ascii="宋体" w:hAnsi="宋体"/>
          <w:kern w:val="0"/>
          <w:szCs w:val="21"/>
          <w:highlight w:val="none"/>
          <w:u w:val="single"/>
        </w:rPr>
        <w:t>10</w:t>
      </w:r>
      <w:r>
        <w:rPr>
          <w:rFonts w:ascii="宋体" w:hAnsi="宋体"/>
          <w:kern w:val="0"/>
          <w:szCs w:val="21"/>
          <w:highlight w:val="none"/>
          <w:u w:val="single"/>
        </w:rPr>
        <w:t>00</w:t>
      </w:r>
      <w:r>
        <w:rPr>
          <w:rFonts w:hint="eastAsia" w:ascii="宋体" w:hAnsi="宋体"/>
          <w:kern w:val="0"/>
          <w:szCs w:val="21"/>
          <w:highlight w:val="none"/>
          <w:u w:val="single"/>
        </w:rPr>
        <w:t>元</w:t>
      </w:r>
      <w:r>
        <w:rPr>
          <w:rFonts w:ascii="宋体" w:hAnsi="宋体"/>
          <w:kern w:val="0"/>
          <w:szCs w:val="21"/>
          <w:highlight w:val="none"/>
          <w:u w:val="single"/>
        </w:rPr>
        <w:t>/</w:t>
      </w:r>
      <w:r>
        <w:rPr>
          <w:rFonts w:hint="eastAsia" w:ascii="宋体" w:hAnsi="宋体"/>
          <w:kern w:val="0"/>
          <w:szCs w:val="21"/>
          <w:highlight w:val="none"/>
          <w:u w:val="single"/>
        </w:rPr>
        <w:t>单。违约金累计计算。</w:t>
      </w:r>
    </w:p>
    <w:p w14:paraId="70DBF297">
      <w:pPr>
        <w:pStyle w:val="170"/>
        <w:spacing w:line="560" w:lineRule="exact"/>
        <w:ind w:firstLine="420"/>
        <w:jc w:val="both"/>
        <w:rPr>
          <w:rFonts w:ascii="宋体"/>
          <w:szCs w:val="21"/>
          <w:highlight w:val="none"/>
          <w:u w:val="single"/>
        </w:rPr>
      </w:pPr>
      <w:r>
        <w:rPr>
          <w:rFonts w:ascii="宋体" w:hAnsi="宋体"/>
          <w:kern w:val="0"/>
          <w:szCs w:val="21"/>
          <w:highlight w:val="none"/>
          <w:u w:val="single"/>
        </w:rPr>
        <w:t>5.3</w:t>
      </w:r>
      <w:r>
        <w:rPr>
          <w:rFonts w:hint="eastAsia" w:ascii="宋体" w:hAnsi="宋体"/>
          <w:kern w:val="0"/>
          <w:szCs w:val="21"/>
          <w:highlight w:val="none"/>
          <w:u w:val="single"/>
        </w:rPr>
        <w:t>施工现场若发生重伤</w:t>
      </w:r>
      <w:r>
        <w:rPr>
          <w:rFonts w:ascii="宋体" w:hAnsi="宋体"/>
          <w:kern w:val="0"/>
          <w:szCs w:val="21"/>
          <w:highlight w:val="none"/>
          <w:u w:val="single"/>
        </w:rPr>
        <w:t>1</w:t>
      </w:r>
      <w:r>
        <w:rPr>
          <w:rFonts w:hint="eastAsia" w:ascii="宋体" w:hAnsi="宋体"/>
          <w:kern w:val="0"/>
          <w:szCs w:val="21"/>
          <w:highlight w:val="none"/>
          <w:u w:val="single"/>
        </w:rPr>
        <w:t>人以上、</w:t>
      </w:r>
      <w:r>
        <w:rPr>
          <w:rFonts w:ascii="宋体" w:hAnsi="宋体"/>
          <w:kern w:val="0"/>
          <w:szCs w:val="21"/>
          <w:highlight w:val="none"/>
          <w:u w:val="single"/>
        </w:rPr>
        <w:t>3</w:t>
      </w:r>
      <w:r>
        <w:rPr>
          <w:rFonts w:hint="eastAsia" w:ascii="宋体" w:hAnsi="宋体"/>
          <w:kern w:val="0"/>
          <w:szCs w:val="21"/>
          <w:highlight w:val="none"/>
          <w:u w:val="single"/>
        </w:rPr>
        <w:t>人以下的安全或质量事故，每发生一次，</w:t>
      </w:r>
      <w:r>
        <w:rPr>
          <w:rFonts w:hint="eastAsia" w:ascii="宋体" w:hAnsi="宋体"/>
          <w:szCs w:val="21"/>
          <w:highlight w:val="none"/>
          <w:u w:val="single"/>
        </w:rPr>
        <w:t>监理人应按下列标准支付违约金：施工监理暂定总酬金的</w:t>
      </w:r>
      <w:r>
        <w:rPr>
          <w:rFonts w:ascii="宋体" w:hAnsi="宋体"/>
          <w:szCs w:val="21"/>
          <w:highlight w:val="none"/>
          <w:u w:val="single"/>
        </w:rPr>
        <w:t>3%</w:t>
      </w:r>
      <w:r>
        <w:rPr>
          <w:rFonts w:hint="eastAsia" w:ascii="宋体" w:hAnsi="宋体"/>
          <w:szCs w:val="21"/>
          <w:highlight w:val="none"/>
          <w:u w:val="single"/>
        </w:rPr>
        <w:t>。但该次安全或质量事故监理人无明确过失以上责任的除外（以相关建设主管部门文件认定结果为准。）</w:t>
      </w:r>
    </w:p>
    <w:p w14:paraId="28A79DA0">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若发生重伤</w:t>
      </w:r>
      <w:r>
        <w:rPr>
          <w:rFonts w:ascii="宋体" w:hAnsi="宋体"/>
          <w:szCs w:val="21"/>
          <w:highlight w:val="none"/>
          <w:u w:val="single"/>
        </w:rPr>
        <w:t>3</w:t>
      </w:r>
      <w:r>
        <w:rPr>
          <w:rFonts w:hint="eastAsia" w:ascii="宋体" w:hAnsi="宋体"/>
          <w:szCs w:val="21"/>
          <w:highlight w:val="none"/>
          <w:u w:val="single"/>
        </w:rPr>
        <w:t>人及以上的</w:t>
      </w:r>
      <w:r>
        <w:rPr>
          <w:rFonts w:hint="eastAsia" w:ascii="宋体" w:hAnsi="宋体"/>
          <w:kern w:val="0"/>
          <w:szCs w:val="21"/>
          <w:highlight w:val="none"/>
          <w:u w:val="single"/>
        </w:rPr>
        <w:t>安全或质量事故，每发生一次，</w:t>
      </w:r>
      <w:r>
        <w:rPr>
          <w:rFonts w:hint="eastAsia" w:ascii="宋体" w:hAnsi="宋体"/>
          <w:szCs w:val="21"/>
          <w:highlight w:val="none"/>
          <w:u w:val="single"/>
        </w:rPr>
        <w:t>监理人应按下列标准支付违约金：施工监理暂定总酬金的</w:t>
      </w:r>
      <w:r>
        <w:rPr>
          <w:rFonts w:ascii="宋体" w:hAnsi="宋体"/>
          <w:szCs w:val="21"/>
          <w:highlight w:val="none"/>
          <w:u w:val="single"/>
        </w:rPr>
        <w:t>5%</w:t>
      </w:r>
      <w:r>
        <w:rPr>
          <w:rFonts w:hint="eastAsia" w:ascii="宋体" w:hAnsi="宋体"/>
          <w:szCs w:val="21"/>
          <w:highlight w:val="none"/>
          <w:u w:val="single"/>
        </w:rPr>
        <w:t>，同时将拒绝监理人参与委托人招标项目的投标。但该次安全或质量事故监理人无明确过失以上责任的除外（以相关建设主管部门文件认定结果为准。）</w:t>
      </w:r>
    </w:p>
    <w:p w14:paraId="0A85A37F">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若发生造成死亡的安全或质量事故，每死亡</w:t>
      </w:r>
      <w:r>
        <w:rPr>
          <w:rFonts w:ascii="宋体" w:hAnsi="宋体"/>
          <w:szCs w:val="21"/>
          <w:highlight w:val="none"/>
          <w:u w:val="single"/>
        </w:rPr>
        <w:t>1</w:t>
      </w:r>
      <w:r>
        <w:rPr>
          <w:rFonts w:hint="eastAsia" w:ascii="宋体" w:hAnsi="宋体"/>
          <w:szCs w:val="21"/>
          <w:highlight w:val="none"/>
          <w:u w:val="single"/>
        </w:rPr>
        <w:t>人，监理人应按下列标准支付违约金：施工监理暂定总酬金的</w:t>
      </w:r>
      <w:r>
        <w:rPr>
          <w:rFonts w:ascii="宋体" w:hAnsi="宋体"/>
          <w:szCs w:val="21"/>
          <w:highlight w:val="none"/>
          <w:u w:val="single"/>
        </w:rPr>
        <w:t>5%</w:t>
      </w:r>
      <w:r>
        <w:rPr>
          <w:rFonts w:hint="eastAsia" w:ascii="宋体" w:hAnsi="宋体"/>
          <w:szCs w:val="21"/>
          <w:highlight w:val="none"/>
          <w:u w:val="single"/>
        </w:rPr>
        <w:t>，同时将拒绝监理人参与委托人招标项目的投标。但该次安全或质量事故监理人无明确过失以上责任的除外（以相关建设主管部门文件认定结果为准。）</w:t>
      </w:r>
    </w:p>
    <w:p w14:paraId="72C00E05">
      <w:pPr>
        <w:pStyle w:val="170"/>
        <w:spacing w:line="560" w:lineRule="exact"/>
        <w:ind w:firstLine="420"/>
        <w:jc w:val="both"/>
        <w:rPr>
          <w:rFonts w:ascii="宋体"/>
          <w:szCs w:val="21"/>
          <w:highlight w:val="none"/>
          <w:u w:val="single"/>
        </w:rPr>
      </w:pPr>
      <w:r>
        <w:rPr>
          <w:rFonts w:ascii="宋体" w:hAnsi="宋体"/>
          <w:szCs w:val="21"/>
          <w:highlight w:val="none"/>
          <w:u w:val="single"/>
        </w:rPr>
        <w:t>5.4</w:t>
      </w:r>
      <w:r>
        <w:rPr>
          <w:rFonts w:hint="eastAsia" w:ascii="宋体" w:hAnsi="宋体"/>
          <w:szCs w:val="21"/>
          <w:highlight w:val="none"/>
          <w:u w:val="single"/>
        </w:rPr>
        <w:t>监理工程师应加强对施工现场巡视、检查，及时发现质量和安全隐患，督促施工单位整改。对发现的质量和安全隐患，监理工程师须在</w:t>
      </w:r>
      <w:r>
        <w:rPr>
          <w:rFonts w:ascii="宋体" w:hAnsi="宋体"/>
          <w:szCs w:val="21"/>
          <w:highlight w:val="none"/>
          <w:u w:val="single"/>
        </w:rPr>
        <w:t>24</w:t>
      </w:r>
      <w:r>
        <w:rPr>
          <w:rFonts w:hint="eastAsia" w:ascii="宋体" w:hAnsi="宋体"/>
          <w:szCs w:val="21"/>
          <w:highlight w:val="none"/>
          <w:u w:val="single"/>
        </w:rPr>
        <w:t>小时内向委托人进行书面报告。如委托人或建设行政主管部门发现现场工程质量问题或存在施工安全隐患而监理工程师没有书面记录并书面督促施工单位整改的，或未在规定时间内向委托人书面报告的，委托人可给予监理人书面警告，若监理人拒不整改或不按要求整改的，委托人有权按</w:t>
      </w:r>
      <w:r>
        <w:rPr>
          <w:rFonts w:ascii="宋体" w:hAnsi="宋体"/>
          <w:szCs w:val="21"/>
          <w:highlight w:val="none"/>
          <w:u w:val="single"/>
        </w:rPr>
        <w:t>1000</w:t>
      </w:r>
      <w:r>
        <w:rPr>
          <w:rFonts w:hint="eastAsia" w:ascii="宋体" w:hAnsi="宋体"/>
          <w:szCs w:val="21"/>
          <w:highlight w:val="none"/>
          <w:u w:val="single"/>
        </w:rPr>
        <w:t>元／次对其进行处罚，支付罚金后监理人应仍有义务负责督促施工单位及时纠正、处理、消除有关质量问题和安全隐患直至整改合格为止。</w:t>
      </w:r>
    </w:p>
    <w:p w14:paraId="2D2672FF">
      <w:pPr>
        <w:pStyle w:val="170"/>
        <w:spacing w:line="560" w:lineRule="exact"/>
        <w:ind w:firstLine="420"/>
        <w:jc w:val="both"/>
        <w:rPr>
          <w:rFonts w:ascii="宋体"/>
          <w:szCs w:val="21"/>
          <w:highlight w:val="none"/>
          <w:u w:val="single"/>
        </w:rPr>
      </w:pPr>
      <w:r>
        <w:rPr>
          <w:rFonts w:ascii="宋体" w:hAnsi="宋体"/>
          <w:szCs w:val="21"/>
          <w:highlight w:val="none"/>
          <w:u w:val="single"/>
        </w:rPr>
        <w:t>5.5</w:t>
      </w:r>
      <w:r>
        <w:rPr>
          <w:rFonts w:hint="eastAsia" w:ascii="宋体" w:hAnsi="宋体"/>
          <w:szCs w:val="21"/>
          <w:highlight w:val="none"/>
          <w:u w:val="single"/>
        </w:rPr>
        <w:t>监理人应严把检查验收关并认真作好各项检查、验收记录，若监理人与施工单位串通，弄虚作假、降低工程质量或将不合格的建设工程、建筑材料、建筑构配件和设备按照合格签字的，对监理人处额度为涉案材料设备价款10%的违约金，但不超过本合同签约酬金总价的</w:t>
      </w:r>
      <w:r>
        <w:rPr>
          <w:rFonts w:hint="eastAsia" w:ascii="宋体" w:hAnsi="宋体"/>
          <w:szCs w:val="21"/>
          <w:highlight w:val="none"/>
          <w:u w:val="single"/>
          <w:lang w:val="en-US" w:eastAsia="zh-CN"/>
        </w:rPr>
        <w:t>2</w:t>
      </w:r>
      <w:r>
        <w:rPr>
          <w:rFonts w:hint="eastAsia" w:ascii="宋体" w:hAnsi="宋体"/>
          <w:szCs w:val="21"/>
          <w:highlight w:val="none"/>
          <w:u w:val="single"/>
        </w:rPr>
        <w:t>0%，且委托人有权要求监理人更换监理人员并向建设主管部门报告，并将其不良行为予以公告，直至终止合同，且监理人应当向委托人承担违约责任，免收部分或全部监理酬金，支付违约金并承担赔偿责任，由此产生的其他后果由监理人承担相应法律责任。</w:t>
      </w:r>
    </w:p>
    <w:p w14:paraId="603466BE">
      <w:pPr>
        <w:pStyle w:val="170"/>
        <w:spacing w:line="560" w:lineRule="exact"/>
        <w:ind w:firstLine="420"/>
        <w:jc w:val="both"/>
        <w:rPr>
          <w:rFonts w:ascii="宋体"/>
          <w:szCs w:val="21"/>
          <w:highlight w:val="none"/>
          <w:u w:val="single"/>
        </w:rPr>
      </w:pPr>
      <w:r>
        <w:rPr>
          <w:rFonts w:ascii="宋体" w:hAnsi="宋体"/>
          <w:szCs w:val="21"/>
          <w:highlight w:val="none"/>
          <w:u w:val="single"/>
        </w:rPr>
        <w:t>5.6</w:t>
      </w:r>
      <w:r>
        <w:rPr>
          <w:rFonts w:hint="eastAsia" w:ascii="宋体" w:hAnsi="宋体"/>
          <w:szCs w:val="21"/>
          <w:highlight w:val="none"/>
          <w:u w:val="single"/>
        </w:rPr>
        <w:t>监理人因下列原因：</w:t>
      </w:r>
    </w:p>
    <w:p w14:paraId="579F3EA0">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⑴</w:t>
      </w:r>
      <w:r>
        <w:rPr>
          <w:rFonts w:ascii="宋体" w:hAnsi="宋体"/>
          <w:szCs w:val="21"/>
          <w:highlight w:val="none"/>
          <w:u w:val="single"/>
        </w:rPr>
        <w:t xml:space="preserve">. </w:t>
      </w:r>
      <w:r>
        <w:rPr>
          <w:rFonts w:hint="eastAsia" w:ascii="宋体" w:hAnsi="宋体"/>
          <w:szCs w:val="21"/>
          <w:highlight w:val="none"/>
          <w:u w:val="single"/>
        </w:rPr>
        <w:t>在施工过程中，监理工程师发出错误指令；</w:t>
      </w:r>
    </w:p>
    <w:p w14:paraId="4AFB9555">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⑵</w:t>
      </w:r>
      <w:r>
        <w:rPr>
          <w:rFonts w:ascii="宋体" w:hAnsi="宋体"/>
          <w:szCs w:val="21"/>
          <w:highlight w:val="none"/>
          <w:u w:val="single"/>
        </w:rPr>
        <w:t xml:space="preserve">. </w:t>
      </w:r>
      <w:r>
        <w:rPr>
          <w:rFonts w:hint="eastAsia" w:ascii="宋体" w:hAnsi="宋体"/>
          <w:szCs w:val="21"/>
          <w:highlight w:val="none"/>
          <w:u w:val="single"/>
        </w:rPr>
        <w:t>监理工程师越权审批设计变更；</w:t>
      </w:r>
    </w:p>
    <w:p w14:paraId="7E92CF22">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⑶</w:t>
      </w:r>
      <w:r>
        <w:rPr>
          <w:rFonts w:ascii="宋体" w:hAnsi="宋体"/>
          <w:szCs w:val="21"/>
          <w:highlight w:val="none"/>
          <w:u w:val="single"/>
        </w:rPr>
        <w:t xml:space="preserve">. </w:t>
      </w:r>
      <w:r>
        <w:rPr>
          <w:rFonts w:hint="eastAsia" w:ascii="宋体" w:hAnsi="宋体"/>
          <w:szCs w:val="21"/>
          <w:highlight w:val="none"/>
          <w:u w:val="single"/>
        </w:rPr>
        <w:t>其它因监理工程师自身失误造成的原因。</w:t>
      </w:r>
    </w:p>
    <w:p w14:paraId="3A539B5D">
      <w:pPr>
        <w:pStyle w:val="170"/>
        <w:spacing w:line="560" w:lineRule="exact"/>
        <w:ind w:firstLine="420"/>
        <w:jc w:val="both"/>
        <w:rPr>
          <w:rFonts w:ascii="宋体"/>
          <w:szCs w:val="21"/>
          <w:highlight w:val="none"/>
          <w:u w:val="single"/>
        </w:rPr>
      </w:pPr>
      <w:r>
        <w:rPr>
          <w:rFonts w:hint="eastAsia" w:ascii="宋体" w:hAnsi="宋体"/>
          <w:szCs w:val="21"/>
          <w:highlight w:val="none"/>
          <w:u w:val="single"/>
        </w:rPr>
        <w:t>使本工程在投资、工期、质量等方面给委托人造成损失的，委托人将要求监理人进行赔偿，累计赔偿总额不应超过监理报酬总额（除去税金）。具体约定为：</w:t>
      </w:r>
    </w:p>
    <w:p w14:paraId="1CC49EE7">
      <w:pPr>
        <w:pStyle w:val="170"/>
        <w:spacing w:line="560" w:lineRule="exact"/>
        <w:ind w:firstLine="420"/>
        <w:jc w:val="both"/>
        <w:rPr>
          <w:rFonts w:ascii="宋体" w:hAnsi="宋体"/>
          <w:szCs w:val="21"/>
          <w:highlight w:val="none"/>
          <w:u w:val="single"/>
        </w:rPr>
      </w:pPr>
      <w:r>
        <w:rPr>
          <w:rFonts w:ascii="宋体" w:hAnsi="宋体"/>
          <w:szCs w:val="21"/>
          <w:highlight w:val="none"/>
          <w:u w:val="single"/>
        </w:rPr>
        <w:t>5.6.</w:t>
      </w:r>
      <w:r>
        <w:rPr>
          <w:rFonts w:hint="eastAsia" w:ascii="宋体" w:hAnsi="宋体"/>
          <w:szCs w:val="21"/>
          <w:highlight w:val="none"/>
          <w:u w:val="single"/>
        </w:rPr>
        <w:t>1</w:t>
      </w:r>
      <w:r>
        <w:rPr>
          <w:rFonts w:ascii="宋体" w:hAnsi="宋体"/>
          <w:szCs w:val="21"/>
          <w:highlight w:val="none"/>
          <w:u w:val="single"/>
        </w:rPr>
        <w:t xml:space="preserve"> </w:t>
      </w:r>
      <w:r>
        <w:rPr>
          <w:rFonts w:hint="eastAsia" w:ascii="宋体" w:hAnsi="宋体"/>
          <w:szCs w:val="21"/>
          <w:highlight w:val="none"/>
          <w:u w:val="single"/>
        </w:rPr>
        <w:t>因监理人责任造成质量事故，需要返工的，监理人应承担相应违约责任，监理人应赔偿委托人的实际损失；情节严重的（超过合同价</w:t>
      </w:r>
      <w:r>
        <w:rPr>
          <w:rFonts w:ascii="宋体" w:hAnsi="宋体"/>
          <w:szCs w:val="21"/>
          <w:highlight w:val="none"/>
          <w:u w:val="single"/>
        </w:rPr>
        <w:t>10</w:t>
      </w:r>
      <w:r>
        <w:rPr>
          <w:rFonts w:hint="eastAsia" w:ascii="宋体" w:hAnsi="宋体"/>
          <w:szCs w:val="21"/>
          <w:highlight w:val="none"/>
          <w:u w:val="single"/>
        </w:rPr>
        <w:t>％），委托人有权单方面解除合同。</w:t>
      </w:r>
    </w:p>
    <w:p w14:paraId="789436B4">
      <w:pPr>
        <w:pStyle w:val="170"/>
        <w:spacing w:line="560" w:lineRule="exact"/>
        <w:ind w:firstLine="420"/>
        <w:jc w:val="both"/>
        <w:rPr>
          <w:rFonts w:ascii="宋体" w:hAnsi="宋体"/>
          <w:szCs w:val="21"/>
          <w:highlight w:val="none"/>
          <w:u w:val="single"/>
        </w:rPr>
      </w:pPr>
      <w:r>
        <w:rPr>
          <w:rFonts w:hint="eastAsia" w:ascii="宋体" w:hAnsi="宋体"/>
          <w:szCs w:val="21"/>
          <w:highlight w:val="none"/>
          <w:u w:val="single"/>
        </w:rPr>
        <w:t>5.7 监理人应对结算计量的准确性负责，监理人审核的结算价审核误差率不得大于±5%（相对委托人审定结果），否则对监理人处违约金，</w:t>
      </w:r>
      <w:r>
        <w:rPr>
          <w:rFonts w:hint="eastAsia" w:ascii="宋体" w:hAnsi="宋体"/>
          <w:szCs w:val="21"/>
          <w:highlight w:val="none"/>
          <w:u w:val="single"/>
          <w:lang w:val="en-US" w:eastAsia="zh-CN"/>
        </w:rPr>
        <w:t>处罚</w:t>
      </w:r>
      <w:r>
        <w:rPr>
          <w:rFonts w:hint="eastAsia" w:ascii="宋体" w:hAnsi="宋体"/>
          <w:szCs w:val="21"/>
          <w:highlight w:val="none"/>
          <w:u w:val="single"/>
        </w:rPr>
        <w:t>额度为</w:t>
      </w:r>
      <w:r>
        <w:rPr>
          <w:rFonts w:hint="eastAsia" w:ascii="宋体" w:hAnsi="宋体"/>
          <w:szCs w:val="21"/>
          <w:highlight w:val="none"/>
          <w:u w:val="single"/>
          <w:lang w:val="en-US" w:eastAsia="zh-CN"/>
        </w:rPr>
        <w:t>超出</w:t>
      </w:r>
      <w:r>
        <w:rPr>
          <w:rFonts w:hint="eastAsia" w:ascii="宋体" w:hAnsi="宋体"/>
          <w:szCs w:val="21"/>
          <w:highlight w:val="none"/>
          <w:u w:val="single"/>
        </w:rPr>
        <w:t>误差部分工程价款的</w:t>
      </w:r>
      <w:r>
        <w:rPr>
          <w:rFonts w:hint="eastAsia" w:ascii="宋体" w:hAnsi="宋体"/>
          <w:szCs w:val="21"/>
          <w:highlight w:val="none"/>
          <w:u w:val="single"/>
          <w:lang w:val="en-US" w:eastAsia="zh-CN"/>
        </w:rPr>
        <w:t>5</w:t>
      </w:r>
      <w:r>
        <w:rPr>
          <w:rFonts w:hint="eastAsia" w:ascii="宋体" w:hAnsi="宋体"/>
          <w:szCs w:val="21"/>
          <w:highlight w:val="none"/>
          <w:u w:val="single"/>
        </w:rPr>
        <w:t>%且不超过本合同签约酬金的</w:t>
      </w:r>
      <w:r>
        <w:rPr>
          <w:rFonts w:hint="eastAsia" w:ascii="宋体" w:hAnsi="宋体"/>
          <w:szCs w:val="21"/>
          <w:highlight w:val="none"/>
          <w:u w:val="single"/>
          <w:lang w:val="en-US" w:eastAsia="zh-CN"/>
        </w:rPr>
        <w:t>2</w:t>
      </w:r>
      <w:r>
        <w:rPr>
          <w:rFonts w:hint="eastAsia" w:ascii="宋体" w:hAnsi="宋体"/>
          <w:szCs w:val="21"/>
          <w:highlight w:val="none"/>
          <w:u w:val="single"/>
        </w:rPr>
        <w:t>0%。</w:t>
      </w:r>
    </w:p>
    <w:p w14:paraId="0169F07A">
      <w:pPr>
        <w:pStyle w:val="170"/>
        <w:spacing w:line="560" w:lineRule="exact"/>
        <w:ind w:firstLine="420"/>
        <w:jc w:val="both"/>
        <w:rPr>
          <w:rFonts w:ascii="宋体" w:hAnsi="宋体"/>
          <w:szCs w:val="21"/>
          <w:highlight w:val="none"/>
          <w:u w:val="single"/>
        </w:rPr>
      </w:pPr>
      <w:r>
        <w:rPr>
          <w:rFonts w:hint="eastAsia" w:ascii="宋体" w:hAnsi="宋体"/>
          <w:szCs w:val="21"/>
          <w:highlight w:val="none"/>
          <w:u w:val="single"/>
        </w:rPr>
        <w:t>5.8在保修服务阶段，因保修服务不到位等原因造成使用单位投诉且监理人需承担相关责任时，对监理人处违约金200元/次。</w:t>
      </w:r>
    </w:p>
    <w:p w14:paraId="31E282AA">
      <w:pPr>
        <w:pStyle w:val="170"/>
        <w:spacing w:line="560" w:lineRule="exact"/>
        <w:jc w:val="both"/>
        <w:rPr>
          <w:rFonts w:ascii="宋体"/>
          <w:szCs w:val="21"/>
          <w:highlight w:val="none"/>
        </w:rPr>
      </w:pPr>
      <w:r>
        <w:rPr>
          <w:rFonts w:hint="eastAsia" w:ascii="宋体" w:hAnsi="宋体"/>
          <w:szCs w:val="21"/>
          <w:highlight w:val="none"/>
        </w:rPr>
        <w:t>六、对监理人就餐的要求</w:t>
      </w:r>
    </w:p>
    <w:p w14:paraId="3CABEBC4">
      <w:pPr>
        <w:pStyle w:val="170"/>
        <w:keepNext w:val="0"/>
        <w:keepLines w:val="0"/>
        <w:pageBreakBefore w:val="0"/>
        <w:widowControl w:val="0"/>
        <w:kinsoku/>
        <w:wordWrap/>
        <w:overflowPunct/>
        <w:autoSpaceDE/>
        <w:autoSpaceDN/>
        <w:bidi w:val="0"/>
        <w:adjustRightInd/>
        <w:snapToGrid/>
        <w:spacing w:line="560" w:lineRule="exact"/>
        <w:ind w:firstLine="420" w:firstLineChars="200"/>
        <w:jc w:val="both"/>
        <w:textAlignment w:val="auto"/>
        <w:rPr>
          <w:rFonts w:ascii="宋体"/>
          <w:szCs w:val="21"/>
          <w:highlight w:val="none"/>
          <w:u w:val="single"/>
        </w:rPr>
      </w:pPr>
      <w:r>
        <w:rPr>
          <w:rFonts w:ascii="宋体" w:hAnsi="宋体"/>
          <w:szCs w:val="21"/>
          <w:highlight w:val="none"/>
          <w:u w:val="single"/>
        </w:rPr>
        <w:t>6.1</w:t>
      </w:r>
      <w:r>
        <w:rPr>
          <w:rFonts w:hint="eastAsia" w:ascii="宋体" w:hAnsi="宋体"/>
          <w:szCs w:val="21"/>
          <w:highlight w:val="none"/>
          <w:u w:val="single"/>
        </w:rPr>
        <w:t>监理人须自行解决现场班子人员就餐问题，监理人不得到施工单位进行搭伙就餐。</w:t>
      </w:r>
    </w:p>
    <w:p w14:paraId="7C239249">
      <w:pPr>
        <w:pStyle w:val="170"/>
        <w:keepNext w:val="0"/>
        <w:keepLines w:val="0"/>
        <w:pageBreakBefore w:val="0"/>
        <w:widowControl w:val="0"/>
        <w:kinsoku/>
        <w:wordWrap/>
        <w:overflowPunct/>
        <w:autoSpaceDE/>
        <w:autoSpaceDN/>
        <w:bidi w:val="0"/>
        <w:adjustRightInd/>
        <w:snapToGrid/>
        <w:spacing w:line="560" w:lineRule="exact"/>
        <w:jc w:val="both"/>
        <w:textAlignment w:val="auto"/>
        <w:rPr>
          <w:rFonts w:hint="eastAsia" w:ascii="宋体" w:hAnsi="宋体"/>
          <w:szCs w:val="21"/>
          <w:highlight w:val="none"/>
        </w:rPr>
      </w:pPr>
      <w:r>
        <w:rPr>
          <w:rFonts w:hint="eastAsia" w:ascii="宋体" w:hAnsi="宋体"/>
          <w:szCs w:val="21"/>
          <w:highlight w:val="none"/>
          <w:lang w:val="en-US" w:eastAsia="zh-CN"/>
        </w:rPr>
        <w:t>七</w:t>
      </w:r>
      <w:r>
        <w:rPr>
          <w:rFonts w:hint="eastAsia" w:ascii="宋体" w:hAnsi="宋体"/>
          <w:szCs w:val="21"/>
          <w:highlight w:val="none"/>
        </w:rPr>
        <w:t>、合同履约评价</w:t>
      </w:r>
    </w:p>
    <w:p w14:paraId="4BF14B73">
      <w:pPr>
        <w:keepNext w:val="0"/>
        <w:keepLines w:val="0"/>
        <w:pageBreakBefore w:val="0"/>
        <w:widowControl w:val="0"/>
        <w:kinsoku/>
        <w:wordWrap/>
        <w:overflowPunct/>
        <w:topLinePunct/>
        <w:autoSpaceDE/>
        <w:autoSpaceDN/>
        <w:bidi w:val="0"/>
        <w:adjustRightInd/>
        <w:snapToGrid/>
        <w:spacing w:line="560" w:lineRule="exact"/>
        <w:ind w:firstLine="420" w:firstLineChars="200"/>
        <w:textAlignment w:val="auto"/>
        <w:rPr>
          <w:rFonts w:ascii="宋体" w:hAnsi="宋体"/>
          <w:szCs w:val="21"/>
          <w:highlight w:val="none"/>
          <w:u w:val="single"/>
        </w:rPr>
      </w:pPr>
      <w:r>
        <w:rPr>
          <w:rFonts w:hint="eastAsia" w:ascii="宋体" w:hAnsi="宋体"/>
          <w:szCs w:val="21"/>
          <w:highlight w:val="none"/>
          <w:u w:val="single"/>
          <w:lang w:val="en-US" w:eastAsia="zh-CN"/>
        </w:rPr>
        <w:t>7.1</w:t>
      </w:r>
      <w:r>
        <w:rPr>
          <w:rFonts w:hint="eastAsia" w:ascii="宋体" w:hAnsi="宋体"/>
          <w:szCs w:val="21"/>
          <w:highlight w:val="none"/>
          <w:u w:val="single"/>
        </w:rPr>
        <w:t>本办法以监理的实际工作为根据，通过量化的方式对监理工作进行全面评价，以提高监理工作整体质量。</w:t>
      </w:r>
    </w:p>
    <w:p w14:paraId="55C74E05">
      <w:pPr>
        <w:keepNext w:val="0"/>
        <w:keepLines w:val="0"/>
        <w:pageBreakBefore w:val="0"/>
        <w:widowControl w:val="0"/>
        <w:kinsoku/>
        <w:wordWrap/>
        <w:overflowPunct/>
        <w:topLinePunct/>
        <w:autoSpaceDE/>
        <w:autoSpaceDN/>
        <w:bidi w:val="0"/>
        <w:adjustRightInd/>
        <w:snapToGrid/>
        <w:spacing w:line="560" w:lineRule="exact"/>
        <w:ind w:firstLine="420" w:firstLineChars="200"/>
        <w:textAlignment w:val="auto"/>
        <w:rPr>
          <w:rFonts w:hint="eastAsia" w:ascii="宋体" w:hAnsi="宋体" w:eastAsia="宋体"/>
          <w:szCs w:val="21"/>
          <w:highlight w:val="none"/>
          <w:u w:val="single"/>
          <w:lang w:eastAsia="zh-CN"/>
        </w:rPr>
      </w:pPr>
      <w:r>
        <w:rPr>
          <w:rFonts w:hint="eastAsia" w:ascii="宋体" w:hAnsi="宋体"/>
          <w:szCs w:val="21"/>
          <w:highlight w:val="none"/>
          <w:u w:val="single"/>
          <w:lang w:val="en-US" w:eastAsia="zh-CN"/>
        </w:rPr>
        <w:t>7.2</w:t>
      </w:r>
      <w:r>
        <w:rPr>
          <w:rFonts w:hint="eastAsia" w:ascii="宋体"/>
          <w:bCs/>
          <w:szCs w:val="21"/>
          <w:highlight w:val="none"/>
          <w:u w:val="single"/>
        </w:rPr>
        <w:t>委托人依据</w:t>
      </w:r>
      <w:r>
        <w:rPr>
          <w:rFonts w:hint="eastAsia" w:ascii="Calibri" w:hAnsi="Calibri" w:eastAsia="宋体" w:cs="Times New Roman"/>
          <w:bCs/>
          <w:color w:val="000000"/>
          <w:kern w:val="2"/>
          <w:sz w:val="21"/>
          <w:szCs w:val="22"/>
          <w:highlight w:val="none"/>
          <w:u w:val="single"/>
          <w:lang w:eastAsia="zh-CN"/>
        </w:rPr>
        <w:t>《深圳市龙岗区城市建设投资集团有限公司工程建设项目合同履约评价管理办法》</w:t>
      </w:r>
      <w:r>
        <w:rPr>
          <w:rFonts w:hint="eastAsia" w:ascii="宋体"/>
          <w:bCs/>
          <w:szCs w:val="21"/>
          <w:highlight w:val="none"/>
          <w:u w:val="single"/>
        </w:rPr>
        <w:t>及本合同约定对监理人进行履约评价。</w:t>
      </w:r>
      <w:r>
        <w:rPr>
          <w:rFonts w:hint="eastAsia" w:ascii="宋体" w:hAnsi="宋体"/>
          <w:szCs w:val="21"/>
          <w:highlight w:val="none"/>
          <w:u w:val="single"/>
        </w:rPr>
        <w:t>履约评价工作由委托人牵头，监理人</w:t>
      </w:r>
      <w:r>
        <w:rPr>
          <w:rFonts w:hint="eastAsia" w:ascii="宋体"/>
          <w:bCs/>
          <w:szCs w:val="21"/>
          <w:highlight w:val="none"/>
          <w:u w:val="single"/>
        </w:rPr>
        <w:t>无条件配合评价，并无条件接受评价结果</w:t>
      </w:r>
      <w:r>
        <w:rPr>
          <w:rFonts w:hint="eastAsia" w:ascii="宋体"/>
          <w:bCs/>
          <w:szCs w:val="21"/>
          <w:highlight w:val="none"/>
          <w:u w:val="single"/>
          <w:lang w:eastAsia="zh-CN"/>
        </w:rPr>
        <w:t>。</w:t>
      </w:r>
    </w:p>
    <w:p w14:paraId="3A47CC89">
      <w:pPr>
        <w:pStyle w:val="2"/>
        <w:keepNext w:val="0"/>
        <w:keepLines w:val="0"/>
        <w:pageBreakBefore w:val="0"/>
        <w:widowControl w:val="0"/>
        <w:kinsoku/>
        <w:wordWrap/>
        <w:overflowPunct/>
        <w:autoSpaceDE/>
        <w:autoSpaceDN/>
        <w:bidi w:val="0"/>
        <w:adjustRightInd/>
        <w:snapToGrid/>
        <w:spacing w:line="560" w:lineRule="exact"/>
        <w:ind w:firstLine="420" w:firstLineChars="200"/>
        <w:textAlignment w:val="auto"/>
        <w:rPr>
          <w:rFonts w:hint="eastAsia" w:ascii="宋体" w:hAnsi="Calibri" w:eastAsia="宋体" w:cs="Times New Roman"/>
          <w:b w:val="0"/>
          <w:bCs/>
          <w:sz w:val="21"/>
          <w:szCs w:val="21"/>
          <w:highlight w:val="none"/>
          <w:u w:val="single"/>
        </w:rPr>
      </w:pPr>
      <w:r>
        <w:rPr>
          <w:rFonts w:hint="eastAsia" w:ascii="宋体" w:hAnsi="宋体"/>
          <w:szCs w:val="21"/>
          <w:highlight w:val="none"/>
          <w:u w:val="single"/>
          <w:lang w:val="en-US" w:eastAsia="zh-CN"/>
        </w:rPr>
        <w:t>7.3</w:t>
      </w:r>
      <w:r>
        <w:rPr>
          <w:rFonts w:hint="eastAsia" w:ascii="宋体" w:hAnsi="Calibri" w:eastAsia="宋体" w:cs="Times New Roman"/>
          <w:b w:val="0"/>
          <w:bCs/>
          <w:sz w:val="21"/>
          <w:szCs w:val="21"/>
          <w:highlight w:val="none"/>
          <w:u w:val="single"/>
        </w:rPr>
        <w:t>合同履约评价的支付：</w:t>
      </w:r>
    </w:p>
    <w:p w14:paraId="79A28090">
      <w:pPr>
        <w:keepNext w:val="0"/>
        <w:keepLines w:val="0"/>
        <w:pageBreakBefore w:val="0"/>
        <w:widowControl w:val="0"/>
        <w:kinsoku/>
        <w:wordWrap/>
        <w:overflowPunct/>
        <w:autoSpaceDE/>
        <w:autoSpaceDN/>
        <w:bidi w:val="0"/>
        <w:adjustRightInd/>
        <w:snapToGrid/>
        <w:spacing w:line="560" w:lineRule="exact"/>
        <w:ind w:firstLine="420" w:firstLineChars="200"/>
        <w:textAlignment w:val="auto"/>
        <w:rPr>
          <w:rFonts w:hint="eastAsia" w:ascii="宋体" w:hAnsi="Calibri" w:eastAsia="宋体" w:cs="Times New Roman"/>
          <w:bCs/>
          <w:sz w:val="21"/>
          <w:szCs w:val="21"/>
          <w:highlight w:val="none"/>
          <w:u w:val="single"/>
        </w:rPr>
      </w:pPr>
      <w:r>
        <w:rPr>
          <w:rFonts w:hint="eastAsia" w:ascii="宋体" w:eastAsia="宋体" w:cs="Times New Roman"/>
          <w:bCs/>
          <w:sz w:val="21"/>
          <w:szCs w:val="21"/>
          <w:highlight w:val="none"/>
          <w:u w:val="single"/>
          <w:lang w:val="en-US" w:eastAsia="zh-CN"/>
        </w:rPr>
        <w:t>监理人</w:t>
      </w:r>
      <w:r>
        <w:rPr>
          <w:rFonts w:hint="eastAsia" w:ascii="宋体" w:hAnsi="Calibri" w:eastAsia="宋体" w:cs="Times New Roman"/>
          <w:bCs/>
          <w:sz w:val="21"/>
          <w:szCs w:val="21"/>
          <w:highlight w:val="none"/>
          <w:u w:val="single"/>
        </w:rPr>
        <w:t>中选后与</w:t>
      </w:r>
      <w:r>
        <w:rPr>
          <w:rFonts w:hint="eastAsia" w:ascii="宋体" w:eastAsia="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签订合同，视为接受</w:t>
      </w:r>
      <w:r>
        <w:rPr>
          <w:rFonts w:hint="eastAsia" w:ascii="宋体" w:eastAsia="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的单方履约评价要求，同意由</w:t>
      </w:r>
      <w:r>
        <w:rPr>
          <w:rFonts w:hint="eastAsia" w:ascii="宋体" w:eastAsia="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根据单方履约评价结果支付履约考核费用。</w:t>
      </w:r>
      <w:r>
        <w:rPr>
          <w:rFonts w:hint="eastAsia" w:ascii="宋体" w:eastAsia="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组建履约考核小组，在合同履行结束或终止后按照评分表进行履约评价。</w:t>
      </w:r>
    </w:p>
    <w:p w14:paraId="6326CB76">
      <w:pPr>
        <w:keepNext w:val="0"/>
        <w:keepLines w:val="0"/>
        <w:pageBreakBefore w:val="0"/>
        <w:widowControl w:val="0"/>
        <w:kinsoku/>
        <w:wordWrap/>
        <w:overflowPunct/>
        <w:autoSpaceDE/>
        <w:autoSpaceDN/>
        <w:bidi w:val="0"/>
        <w:adjustRightInd/>
        <w:snapToGrid/>
        <w:spacing w:line="560" w:lineRule="exact"/>
        <w:ind w:firstLine="420" w:firstLineChars="200"/>
        <w:textAlignment w:val="auto"/>
        <w:rPr>
          <w:rFonts w:hint="eastAsia" w:ascii="宋体" w:hAnsi="Calibri" w:eastAsia="宋体" w:cs="Times New Roman"/>
          <w:bCs/>
          <w:sz w:val="21"/>
          <w:szCs w:val="21"/>
          <w:highlight w:val="none"/>
          <w:u w:val="single"/>
        </w:rPr>
      </w:pPr>
      <w:r>
        <w:rPr>
          <w:rFonts w:hint="eastAsia" w:ascii="宋体" w:hAnsi="Calibri" w:eastAsia="宋体" w:cs="Times New Roman"/>
          <w:bCs/>
          <w:sz w:val="21"/>
          <w:szCs w:val="21"/>
          <w:highlight w:val="none"/>
          <w:u w:val="single"/>
        </w:rPr>
        <w:t>①评价结果为80分（含）以上时，</w:t>
      </w:r>
      <w:r>
        <w:rPr>
          <w:rFonts w:hint="eastAsia" w:ascii="宋体" w:cs="Times New Roman"/>
          <w:bCs/>
          <w:sz w:val="21"/>
          <w:szCs w:val="21"/>
          <w:highlight w:val="none"/>
          <w:u w:val="single"/>
          <w:lang w:val="en-US" w:eastAsia="zh-CN"/>
        </w:rPr>
        <w:t>不扣除</w:t>
      </w:r>
      <w:r>
        <w:rPr>
          <w:rFonts w:hint="eastAsia" w:ascii="宋体" w:hAnsi="Calibri" w:eastAsia="宋体" w:cs="Times New Roman"/>
          <w:bCs/>
          <w:sz w:val="21"/>
          <w:szCs w:val="21"/>
          <w:highlight w:val="none"/>
          <w:u w:val="single"/>
        </w:rPr>
        <w:t>；</w:t>
      </w:r>
    </w:p>
    <w:p w14:paraId="732C6D5F">
      <w:pPr>
        <w:keepNext w:val="0"/>
        <w:keepLines w:val="0"/>
        <w:pageBreakBefore w:val="0"/>
        <w:widowControl w:val="0"/>
        <w:kinsoku/>
        <w:wordWrap/>
        <w:overflowPunct/>
        <w:autoSpaceDE/>
        <w:autoSpaceDN/>
        <w:bidi w:val="0"/>
        <w:adjustRightInd/>
        <w:snapToGrid/>
        <w:spacing w:line="560" w:lineRule="exact"/>
        <w:ind w:firstLine="420" w:firstLineChars="200"/>
        <w:textAlignment w:val="auto"/>
        <w:rPr>
          <w:rFonts w:hint="eastAsia" w:ascii="宋体" w:hAnsi="Calibri" w:eastAsia="宋体" w:cs="Times New Roman"/>
          <w:bCs/>
          <w:sz w:val="21"/>
          <w:szCs w:val="21"/>
          <w:highlight w:val="none"/>
          <w:u w:val="single"/>
        </w:rPr>
      </w:pPr>
      <w:r>
        <w:rPr>
          <w:rFonts w:hint="eastAsia" w:ascii="宋体" w:hAnsi="Calibri" w:eastAsia="宋体" w:cs="Times New Roman"/>
          <w:bCs/>
          <w:sz w:val="21"/>
          <w:szCs w:val="21"/>
          <w:highlight w:val="none"/>
          <w:u w:val="single"/>
        </w:rPr>
        <w:t>②评价结果为60分（含）以上80分（不含）以下时，</w:t>
      </w:r>
      <w:r>
        <w:rPr>
          <w:rFonts w:hint="eastAsia" w:ascii="宋体" w:hAnsi="Calibri" w:eastAsia="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将扣除合同总金额的5%不予支付；</w:t>
      </w:r>
    </w:p>
    <w:p w14:paraId="634122A9">
      <w:pPr>
        <w:keepNext w:val="0"/>
        <w:keepLines w:val="0"/>
        <w:pageBreakBefore w:val="0"/>
        <w:widowControl w:val="0"/>
        <w:kinsoku/>
        <w:wordWrap/>
        <w:overflowPunct/>
        <w:topLinePunct/>
        <w:autoSpaceDE/>
        <w:autoSpaceDN/>
        <w:bidi w:val="0"/>
        <w:adjustRightInd/>
        <w:snapToGrid/>
        <w:spacing w:line="560" w:lineRule="exact"/>
        <w:ind w:firstLine="420" w:firstLineChars="200"/>
        <w:textAlignment w:val="auto"/>
        <w:rPr>
          <w:rFonts w:hint="eastAsia" w:ascii="宋体"/>
          <w:bCs/>
          <w:szCs w:val="21"/>
          <w:highlight w:val="none"/>
          <w:u w:val="single"/>
        </w:rPr>
      </w:pPr>
      <w:r>
        <w:rPr>
          <w:rFonts w:hint="eastAsia" w:ascii="宋体" w:hAnsi="Calibri" w:eastAsia="宋体" w:cs="Times New Roman"/>
          <w:bCs/>
          <w:sz w:val="21"/>
          <w:szCs w:val="21"/>
          <w:highlight w:val="none"/>
          <w:u w:val="single"/>
        </w:rPr>
        <w:t>③评价结果为60分（不含）以下时，视为</w:t>
      </w:r>
      <w:r>
        <w:rPr>
          <w:rFonts w:hint="eastAsia" w:ascii="宋体" w:cs="Times New Roman"/>
          <w:bCs/>
          <w:sz w:val="21"/>
          <w:szCs w:val="21"/>
          <w:highlight w:val="none"/>
          <w:u w:val="single"/>
          <w:lang w:val="en-US" w:eastAsia="zh-CN"/>
        </w:rPr>
        <w:t>监理人</w:t>
      </w:r>
      <w:r>
        <w:rPr>
          <w:rFonts w:hint="eastAsia" w:ascii="宋体" w:hAnsi="Calibri" w:eastAsia="宋体" w:cs="Times New Roman"/>
          <w:bCs/>
          <w:sz w:val="21"/>
          <w:szCs w:val="21"/>
          <w:highlight w:val="none"/>
          <w:u w:val="single"/>
        </w:rPr>
        <w:t>未正常履约，</w:t>
      </w:r>
      <w:r>
        <w:rPr>
          <w:rFonts w:hint="eastAsia" w:ascii="宋体" w:cs="Times New Roman"/>
          <w:bCs/>
          <w:sz w:val="21"/>
          <w:szCs w:val="21"/>
          <w:highlight w:val="none"/>
          <w:u w:val="single"/>
          <w:lang w:val="en-US" w:eastAsia="zh-CN"/>
        </w:rPr>
        <w:t>委托人</w:t>
      </w:r>
      <w:r>
        <w:rPr>
          <w:rFonts w:hint="eastAsia" w:ascii="宋体" w:hAnsi="Calibri" w:eastAsia="宋体" w:cs="Times New Roman"/>
          <w:bCs/>
          <w:sz w:val="21"/>
          <w:szCs w:val="21"/>
          <w:highlight w:val="none"/>
          <w:u w:val="single"/>
        </w:rPr>
        <w:t>将扣除合同总金额的10%不予支付。</w:t>
      </w:r>
    </w:p>
    <w:p w14:paraId="34BC007F">
      <w:pPr>
        <w:pStyle w:val="170"/>
        <w:keepNext w:val="0"/>
        <w:keepLines w:val="0"/>
        <w:pageBreakBefore w:val="0"/>
        <w:widowControl w:val="0"/>
        <w:kinsoku/>
        <w:wordWrap/>
        <w:overflowPunct/>
        <w:autoSpaceDE/>
        <w:autoSpaceDN/>
        <w:bidi w:val="0"/>
        <w:adjustRightInd/>
        <w:snapToGrid/>
        <w:spacing w:line="560" w:lineRule="exact"/>
        <w:jc w:val="both"/>
        <w:textAlignment w:val="auto"/>
        <w:rPr>
          <w:rFonts w:ascii="宋体"/>
          <w:szCs w:val="21"/>
          <w:highlight w:val="none"/>
        </w:rPr>
      </w:pPr>
      <w:r>
        <w:rPr>
          <w:rFonts w:hint="eastAsia" w:ascii="宋体" w:hAnsi="宋体"/>
          <w:szCs w:val="21"/>
          <w:highlight w:val="none"/>
        </w:rPr>
        <w:t>八、其它</w:t>
      </w:r>
    </w:p>
    <w:p w14:paraId="705F5956">
      <w:pPr>
        <w:pStyle w:val="170"/>
        <w:spacing w:line="560" w:lineRule="exact"/>
        <w:ind w:firstLine="420" w:firstLineChars="200"/>
        <w:jc w:val="both"/>
        <w:rPr>
          <w:rFonts w:ascii="宋体"/>
          <w:szCs w:val="21"/>
          <w:highlight w:val="none"/>
          <w:u w:val="single"/>
        </w:rPr>
      </w:pPr>
      <w:r>
        <w:rPr>
          <w:rFonts w:ascii="宋体" w:hAnsi="宋体"/>
          <w:szCs w:val="21"/>
          <w:highlight w:val="none"/>
          <w:u w:val="single"/>
        </w:rPr>
        <w:t>8.1</w:t>
      </w:r>
      <w:r>
        <w:rPr>
          <w:rFonts w:hint="eastAsia" w:ascii="宋体" w:hAnsi="宋体"/>
          <w:szCs w:val="21"/>
          <w:highlight w:val="none"/>
          <w:u w:val="single"/>
        </w:rPr>
        <w:t>监理酬金额包括了为实施和完成本工程全部监理工作所需的监理成本、税金和利润等全部费用。如果出现监理期限逾期、监理工作受阻或延误而暂停或终止执行监理业务，以及通货膨胀、货币贬值、利率调整、税率变动等任何经济环境的改变和国家、省、市法规允许调整监理酬金计取费率的变化，监理人均不得要求追加监理酬金额。</w:t>
      </w:r>
    </w:p>
    <w:p w14:paraId="7949CF7E">
      <w:pPr>
        <w:pStyle w:val="170"/>
        <w:spacing w:line="560" w:lineRule="exact"/>
        <w:ind w:firstLine="420" w:firstLineChars="200"/>
        <w:jc w:val="both"/>
        <w:rPr>
          <w:rFonts w:ascii="宋体"/>
          <w:szCs w:val="21"/>
          <w:highlight w:val="none"/>
          <w:u w:val="single"/>
        </w:rPr>
      </w:pPr>
      <w:r>
        <w:rPr>
          <w:rFonts w:ascii="宋体" w:hAnsi="宋体"/>
          <w:szCs w:val="21"/>
          <w:highlight w:val="none"/>
          <w:u w:val="single"/>
        </w:rPr>
        <w:t>8.2</w:t>
      </w:r>
      <w:r>
        <w:rPr>
          <w:rFonts w:hint="eastAsia" w:ascii="宋体" w:hAnsi="宋体"/>
          <w:szCs w:val="21"/>
          <w:highlight w:val="none"/>
          <w:u w:val="single"/>
        </w:rPr>
        <w:t>监理人应向委托人偿付的违约金均由委托人在应付监理酬金进度款中即时扣除，不足部分委托人将进行追偿。</w:t>
      </w:r>
    </w:p>
    <w:p w14:paraId="31E00737">
      <w:pPr>
        <w:pStyle w:val="170"/>
        <w:spacing w:line="560" w:lineRule="exact"/>
        <w:ind w:firstLine="420" w:firstLineChars="200"/>
        <w:jc w:val="both"/>
        <w:rPr>
          <w:rFonts w:ascii="宋体"/>
          <w:szCs w:val="21"/>
          <w:highlight w:val="none"/>
          <w:u w:val="single"/>
        </w:rPr>
      </w:pPr>
      <w:r>
        <w:rPr>
          <w:rFonts w:ascii="宋体" w:hAnsi="宋体"/>
          <w:szCs w:val="21"/>
          <w:highlight w:val="none"/>
          <w:u w:val="single"/>
        </w:rPr>
        <w:t>8.3</w:t>
      </w:r>
      <w:r>
        <w:rPr>
          <w:rFonts w:hint="eastAsia" w:ascii="宋体" w:hAnsi="宋体"/>
          <w:szCs w:val="21"/>
          <w:highlight w:val="none"/>
          <w:u w:val="single"/>
        </w:rPr>
        <w:t>监理人派出的现场监理班子人员应廉洁自律，不索取、收受委托合同约定以外的礼金和其他财物，不与施工单位等有利益关系的单位或个人进行任何不正当的接触，不利用职务之便谋取其他不正当的利益。如发现监理人员有不廉洁的行为，每查实一次，委托人按</w:t>
      </w:r>
      <w:r>
        <w:rPr>
          <w:rFonts w:ascii="宋体" w:hAnsi="宋体"/>
          <w:szCs w:val="21"/>
          <w:highlight w:val="none"/>
          <w:u w:val="single"/>
        </w:rPr>
        <w:t>1000</w:t>
      </w:r>
      <w:r>
        <w:rPr>
          <w:rFonts w:hint="eastAsia" w:ascii="宋体" w:hAnsi="宋体"/>
          <w:szCs w:val="21"/>
          <w:highlight w:val="none"/>
          <w:u w:val="single"/>
        </w:rPr>
        <w:t>元／人次进行处罚，并向建设行政主管部门通报，最高罚款不超过总监理费的</w:t>
      </w:r>
      <w:r>
        <w:rPr>
          <w:rFonts w:ascii="宋体" w:hAnsi="宋体"/>
          <w:szCs w:val="21"/>
          <w:highlight w:val="none"/>
          <w:u w:val="single"/>
        </w:rPr>
        <w:t>10%</w:t>
      </w:r>
      <w:r>
        <w:rPr>
          <w:rFonts w:hint="eastAsia" w:ascii="宋体" w:hAnsi="宋体"/>
          <w:szCs w:val="21"/>
          <w:highlight w:val="none"/>
          <w:u w:val="single"/>
        </w:rPr>
        <w:t>。涉嫌违法犯罪将移交司法机关处理。</w:t>
      </w:r>
    </w:p>
    <w:p w14:paraId="68C86A64">
      <w:pPr>
        <w:pStyle w:val="170"/>
        <w:adjustRightInd w:val="0"/>
        <w:snapToGrid w:val="0"/>
        <w:spacing w:line="560" w:lineRule="exact"/>
        <w:ind w:firstLine="420" w:firstLineChars="200"/>
        <w:jc w:val="both"/>
        <w:outlineLvl w:val="2"/>
        <w:rPr>
          <w:rFonts w:ascii="宋体" w:hAnsi="宋体"/>
          <w:szCs w:val="21"/>
          <w:highlight w:val="none"/>
          <w:u w:val="single"/>
        </w:rPr>
      </w:pPr>
      <w:bookmarkStart w:id="105" w:name="_Toc3505"/>
      <w:r>
        <w:rPr>
          <w:rFonts w:ascii="宋体" w:hAnsi="宋体"/>
          <w:szCs w:val="21"/>
          <w:highlight w:val="none"/>
          <w:u w:val="single"/>
        </w:rPr>
        <w:t>8.4若因政府</w:t>
      </w:r>
      <w:r>
        <w:rPr>
          <w:rFonts w:hint="eastAsia" w:ascii="宋体" w:hAnsi="宋体"/>
          <w:szCs w:val="21"/>
          <w:highlight w:val="none"/>
          <w:u w:val="single"/>
        </w:rPr>
        <w:t>或项目调整</w:t>
      </w:r>
      <w:r>
        <w:rPr>
          <w:rFonts w:ascii="宋体" w:hAnsi="宋体"/>
          <w:szCs w:val="21"/>
          <w:highlight w:val="none"/>
          <w:u w:val="single"/>
        </w:rPr>
        <w:t>原因，导致实际实施的监理范围、监理内容与原合同约定发生了较大变化（主要指缩减规模、建设标准等），委托人、</w:t>
      </w:r>
      <w:r>
        <w:rPr>
          <w:rFonts w:hint="eastAsia" w:ascii="宋体" w:hAnsi="宋体"/>
          <w:szCs w:val="21"/>
          <w:highlight w:val="none"/>
          <w:u w:val="single"/>
        </w:rPr>
        <w:t>监理人</w:t>
      </w:r>
      <w:r>
        <w:rPr>
          <w:rFonts w:ascii="宋体" w:hAnsi="宋体"/>
          <w:szCs w:val="21"/>
          <w:highlight w:val="none"/>
          <w:u w:val="single"/>
        </w:rPr>
        <w:t>遵循实事求是、诚实信用原则，签订相关补充协议，重新约定监理酬金额的结算原则；若因政府决定</w:t>
      </w:r>
      <w:r>
        <w:rPr>
          <w:rFonts w:hint="eastAsia" w:ascii="宋体" w:hAnsi="宋体"/>
          <w:szCs w:val="21"/>
          <w:highlight w:val="none"/>
          <w:u w:val="single"/>
        </w:rPr>
        <w:t>或项目调整原因</w:t>
      </w:r>
      <w:r>
        <w:rPr>
          <w:rFonts w:ascii="宋体" w:hAnsi="宋体"/>
          <w:szCs w:val="21"/>
          <w:highlight w:val="none"/>
          <w:u w:val="single"/>
        </w:rPr>
        <w:t>终止</w:t>
      </w:r>
      <w:r>
        <w:rPr>
          <w:rFonts w:hint="eastAsia" w:ascii="宋体" w:hAnsi="宋体"/>
          <w:szCs w:val="21"/>
          <w:highlight w:val="none"/>
          <w:u w:val="single"/>
        </w:rPr>
        <w:t>或解除</w:t>
      </w:r>
      <w:r>
        <w:rPr>
          <w:rFonts w:ascii="宋体" w:hAnsi="宋体"/>
          <w:szCs w:val="21"/>
          <w:highlight w:val="none"/>
          <w:u w:val="single"/>
        </w:rPr>
        <w:t>本合同工程，而本合同尚未实施的，本合同自动</w:t>
      </w:r>
      <w:r>
        <w:rPr>
          <w:rFonts w:hint="eastAsia" w:ascii="宋体" w:hAnsi="宋体"/>
          <w:szCs w:val="21"/>
          <w:highlight w:val="none"/>
          <w:u w:val="single"/>
        </w:rPr>
        <w:t>终止或</w:t>
      </w:r>
      <w:r>
        <w:rPr>
          <w:rFonts w:ascii="宋体" w:hAnsi="宋体"/>
          <w:szCs w:val="21"/>
          <w:highlight w:val="none"/>
          <w:u w:val="single"/>
        </w:rPr>
        <w:t>解除，合同签订双方均无须承担任何违约责任。本合同已开始实施的，按专用条款第5条酬金的计取与支付结算</w:t>
      </w:r>
      <w:r>
        <w:rPr>
          <w:rFonts w:hint="eastAsia" w:ascii="宋体" w:hAnsi="宋体"/>
          <w:szCs w:val="21"/>
          <w:highlight w:val="none"/>
          <w:u w:val="single"/>
        </w:rPr>
        <w:t>监理人</w:t>
      </w:r>
      <w:r>
        <w:rPr>
          <w:rFonts w:ascii="宋体" w:hAnsi="宋体"/>
          <w:szCs w:val="21"/>
          <w:highlight w:val="none"/>
          <w:u w:val="single"/>
        </w:rPr>
        <w:t>已完成</w:t>
      </w:r>
      <w:r>
        <w:rPr>
          <w:rFonts w:hint="eastAsia" w:ascii="宋体" w:hAnsi="宋体"/>
          <w:szCs w:val="21"/>
          <w:highlight w:val="none"/>
          <w:u w:val="single"/>
        </w:rPr>
        <w:t>且经委托人确认</w:t>
      </w:r>
      <w:r>
        <w:rPr>
          <w:rFonts w:ascii="宋体" w:hAnsi="宋体"/>
          <w:szCs w:val="21"/>
          <w:highlight w:val="none"/>
          <w:u w:val="single"/>
        </w:rPr>
        <w:t>的工作量，且委托人不再</w:t>
      </w:r>
      <w:r>
        <w:rPr>
          <w:rFonts w:hint="eastAsia" w:ascii="宋体" w:hAnsi="宋体"/>
          <w:szCs w:val="21"/>
          <w:highlight w:val="none"/>
          <w:u w:val="single"/>
        </w:rPr>
        <w:t>承担</w:t>
      </w:r>
      <w:r>
        <w:rPr>
          <w:rFonts w:ascii="宋体" w:hAnsi="宋体"/>
          <w:szCs w:val="21"/>
          <w:highlight w:val="none"/>
          <w:u w:val="single"/>
        </w:rPr>
        <w:t>支付任何违约金、赔偿金、补偿金</w:t>
      </w:r>
      <w:r>
        <w:rPr>
          <w:rFonts w:hint="eastAsia" w:ascii="宋体" w:hAnsi="宋体"/>
          <w:szCs w:val="21"/>
          <w:highlight w:val="none"/>
          <w:u w:val="single"/>
        </w:rPr>
        <w:t>等经济责任</w:t>
      </w:r>
      <w:r>
        <w:rPr>
          <w:rFonts w:ascii="宋体" w:hAnsi="宋体"/>
          <w:szCs w:val="21"/>
          <w:highlight w:val="none"/>
          <w:u w:val="single"/>
        </w:rPr>
        <w:t>。</w:t>
      </w:r>
      <w:bookmarkEnd w:id="105"/>
    </w:p>
    <w:p w14:paraId="2B43146C">
      <w:pPr>
        <w:pStyle w:val="170"/>
        <w:spacing w:line="560" w:lineRule="exact"/>
        <w:jc w:val="both"/>
        <w:rPr>
          <w:rFonts w:ascii="宋体"/>
          <w:szCs w:val="21"/>
          <w:highlight w:val="none"/>
          <w:u w:val="single"/>
        </w:rPr>
      </w:pPr>
      <w:r>
        <w:rPr>
          <w:rFonts w:hint="eastAsia" w:ascii="宋体" w:hAnsi="宋体"/>
          <w:szCs w:val="21"/>
          <w:highlight w:val="none"/>
          <w:u w:val="single"/>
        </w:rPr>
        <w:t xml:space="preserve">    </w:t>
      </w:r>
      <w:r>
        <w:rPr>
          <w:rFonts w:ascii="宋体" w:hAnsi="宋体"/>
          <w:szCs w:val="21"/>
          <w:highlight w:val="none"/>
          <w:u w:val="single"/>
        </w:rPr>
        <w:t>8.</w:t>
      </w:r>
      <w:r>
        <w:rPr>
          <w:rFonts w:hint="eastAsia" w:ascii="宋体" w:hAnsi="宋体"/>
          <w:szCs w:val="21"/>
          <w:highlight w:val="none"/>
          <w:u w:val="single"/>
        </w:rPr>
        <w:t>5工程实施过程中，如发生施工承包人违约，监理人应积极配合委托人开展索赔工作，按照工程承包合同的约定，及时向委托人提供向承包人索赔的有效依据，并在工程承包合同约定的时限内提前提示委托人及时向承包人发出相关的答复或要求承包人进一步补充索赔理由和证据等文件。</w:t>
      </w:r>
    </w:p>
    <w:p w14:paraId="505B530E">
      <w:pPr>
        <w:pStyle w:val="170"/>
        <w:spacing w:line="560" w:lineRule="exact"/>
        <w:ind w:firstLine="420" w:firstLineChars="200"/>
        <w:jc w:val="both"/>
        <w:rPr>
          <w:rFonts w:ascii="宋体" w:hAnsi="宋体"/>
          <w:szCs w:val="21"/>
          <w:highlight w:val="none"/>
          <w:u w:val="single"/>
        </w:rPr>
      </w:pPr>
      <w:r>
        <w:rPr>
          <w:rFonts w:ascii="宋体" w:hAnsi="宋体"/>
          <w:szCs w:val="21"/>
          <w:highlight w:val="none"/>
          <w:u w:val="single"/>
        </w:rPr>
        <w:t>8.</w:t>
      </w:r>
      <w:r>
        <w:rPr>
          <w:rFonts w:hint="eastAsia" w:ascii="宋体" w:hAnsi="宋体"/>
          <w:szCs w:val="21"/>
          <w:highlight w:val="none"/>
          <w:u w:val="single"/>
        </w:rPr>
        <w:t>6监理人违约需向委托人支付违约金时，委托人有权从应支付监理人的监理费中直接抵扣。</w:t>
      </w:r>
    </w:p>
    <w:p w14:paraId="0ECB0920">
      <w:pPr>
        <w:pStyle w:val="170"/>
        <w:spacing w:line="560" w:lineRule="exact"/>
        <w:ind w:firstLine="420" w:firstLineChars="200"/>
        <w:jc w:val="both"/>
        <w:rPr>
          <w:rFonts w:ascii="宋体" w:hAnsi="宋体"/>
          <w:szCs w:val="21"/>
          <w:highlight w:val="none"/>
          <w:u w:val="single"/>
        </w:rPr>
      </w:pPr>
      <w:r>
        <w:rPr>
          <w:rFonts w:hint="eastAsia" w:ascii="宋体" w:hAnsi="宋体"/>
          <w:szCs w:val="21"/>
          <w:highlight w:val="none"/>
          <w:u w:val="single"/>
        </w:rPr>
        <w:t>8.7根据本项目可能会产生技术方案评审和方案论证（除由施工单位承担外）、外出考</w:t>
      </w:r>
      <w:r>
        <w:rPr>
          <w:rFonts w:ascii="宋体" w:hAnsi="宋体"/>
          <w:szCs w:val="21"/>
          <w:highlight w:val="none"/>
          <w:u w:val="single"/>
        </w:rPr>
        <w:t>察需要等，</w:t>
      </w:r>
      <w:r>
        <w:rPr>
          <w:rFonts w:hint="eastAsia" w:ascii="宋体" w:hAnsi="宋体"/>
          <w:szCs w:val="21"/>
          <w:highlight w:val="none"/>
          <w:u w:val="single"/>
        </w:rPr>
        <w:t>监理人</w:t>
      </w:r>
      <w:r>
        <w:rPr>
          <w:rFonts w:ascii="宋体" w:hAnsi="宋体"/>
          <w:szCs w:val="21"/>
          <w:highlight w:val="none"/>
          <w:u w:val="single"/>
        </w:rPr>
        <w:t>应组织相关各方进行论证或考察工作，所产生费用包含在合同总价中。</w:t>
      </w:r>
    </w:p>
    <w:p w14:paraId="2251BC07">
      <w:pPr>
        <w:pStyle w:val="170"/>
        <w:spacing w:line="560" w:lineRule="exact"/>
        <w:ind w:firstLine="420" w:firstLineChars="200"/>
        <w:jc w:val="both"/>
        <w:rPr>
          <w:rFonts w:ascii="宋体" w:hAnsi="宋体"/>
          <w:szCs w:val="21"/>
          <w:highlight w:val="none"/>
          <w:u w:val="single"/>
        </w:rPr>
      </w:pPr>
      <w:r>
        <w:rPr>
          <w:rFonts w:ascii="宋体" w:hAnsi="宋体"/>
          <w:szCs w:val="21"/>
          <w:highlight w:val="none"/>
          <w:u w:val="single"/>
        </w:rPr>
        <w:t>8.8项目总监理工程师必须在本项目竣工验收完成后，且项目所有档案资料（含施工单位资料）在城建档案馆及</w:t>
      </w:r>
      <w:r>
        <w:rPr>
          <w:rFonts w:hint="eastAsia" w:ascii="宋体" w:cs="Times New Roman"/>
          <w:bCs/>
          <w:sz w:val="21"/>
          <w:szCs w:val="21"/>
          <w:highlight w:val="none"/>
          <w:u w:val="single"/>
          <w:lang w:val="en-US" w:eastAsia="zh-CN"/>
        </w:rPr>
        <w:t>委托人</w:t>
      </w:r>
      <w:r>
        <w:rPr>
          <w:rFonts w:ascii="宋体" w:hAnsi="宋体"/>
          <w:szCs w:val="21"/>
          <w:highlight w:val="none"/>
          <w:u w:val="single"/>
        </w:rPr>
        <w:t>归档，并取得城建档馆及</w:t>
      </w:r>
      <w:r>
        <w:rPr>
          <w:rFonts w:hint="eastAsia" w:ascii="宋体" w:cs="Times New Roman"/>
          <w:bCs/>
          <w:sz w:val="21"/>
          <w:szCs w:val="21"/>
          <w:highlight w:val="none"/>
          <w:u w:val="single"/>
          <w:lang w:val="en-US" w:eastAsia="zh-CN"/>
        </w:rPr>
        <w:t>委托人</w:t>
      </w:r>
      <w:r>
        <w:rPr>
          <w:rFonts w:ascii="宋体" w:hAnsi="宋体"/>
          <w:szCs w:val="21"/>
          <w:highlight w:val="none"/>
          <w:u w:val="single"/>
        </w:rPr>
        <w:t>档案移交书后方能在住建系统内解锁。</w:t>
      </w:r>
    </w:p>
    <w:p w14:paraId="24618C55">
      <w:pPr>
        <w:pStyle w:val="170"/>
        <w:spacing w:line="560" w:lineRule="exact"/>
        <w:ind w:firstLine="420" w:firstLineChars="200"/>
        <w:jc w:val="both"/>
        <w:rPr>
          <w:rFonts w:ascii="宋体" w:hAnsi="宋体"/>
          <w:szCs w:val="21"/>
          <w:highlight w:val="none"/>
          <w:u w:val="single"/>
        </w:rPr>
      </w:pPr>
    </w:p>
    <w:p w14:paraId="28D38D5C">
      <w:pPr>
        <w:pStyle w:val="170"/>
        <w:spacing w:line="560" w:lineRule="exact"/>
        <w:ind w:firstLine="420" w:firstLineChars="200"/>
        <w:jc w:val="both"/>
        <w:rPr>
          <w:rFonts w:ascii="宋体" w:hAnsi="宋体"/>
          <w:szCs w:val="21"/>
          <w:highlight w:val="none"/>
          <w:u w:val="single"/>
        </w:rPr>
      </w:pPr>
    </w:p>
    <w:p w14:paraId="26ECDAB3">
      <w:pPr>
        <w:pStyle w:val="170"/>
        <w:spacing w:line="560" w:lineRule="exact"/>
        <w:ind w:firstLine="420" w:firstLineChars="200"/>
        <w:jc w:val="both"/>
        <w:rPr>
          <w:rFonts w:ascii="宋体" w:hAnsi="宋体"/>
          <w:szCs w:val="21"/>
          <w:highlight w:val="none"/>
          <w:u w:val="single"/>
        </w:rPr>
      </w:pPr>
    </w:p>
    <w:p w14:paraId="28109B12">
      <w:pPr>
        <w:pStyle w:val="170"/>
        <w:spacing w:line="560" w:lineRule="exact"/>
        <w:ind w:firstLine="420" w:firstLineChars="200"/>
        <w:jc w:val="both"/>
        <w:rPr>
          <w:rFonts w:ascii="宋体" w:hAnsi="宋体"/>
          <w:szCs w:val="21"/>
          <w:highlight w:val="none"/>
          <w:u w:val="single"/>
        </w:rPr>
      </w:pPr>
    </w:p>
    <w:p w14:paraId="5B25518E">
      <w:pPr>
        <w:pStyle w:val="170"/>
        <w:spacing w:line="560" w:lineRule="exact"/>
        <w:ind w:firstLine="420" w:firstLineChars="200"/>
        <w:jc w:val="both"/>
        <w:rPr>
          <w:rFonts w:ascii="宋体" w:hAnsi="宋体"/>
          <w:szCs w:val="21"/>
          <w:highlight w:val="none"/>
          <w:u w:val="single"/>
        </w:rPr>
      </w:pPr>
    </w:p>
    <w:p w14:paraId="536355A2">
      <w:pPr>
        <w:pStyle w:val="170"/>
        <w:spacing w:line="560" w:lineRule="exact"/>
        <w:ind w:firstLine="420" w:firstLineChars="200"/>
        <w:jc w:val="both"/>
        <w:rPr>
          <w:rFonts w:ascii="宋体" w:hAnsi="宋体"/>
          <w:szCs w:val="21"/>
          <w:highlight w:val="none"/>
          <w:u w:val="single"/>
        </w:rPr>
      </w:pPr>
    </w:p>
    <w:p w14:paraId="00831061">
      <w:pPr>
        <w:pStyle w:val="170"/>
        <w:spacing w:line="560" w:lineRule="exact"/>
        <w:ind w:firstLine="420" w:firstLineChars="200"/>
        <w:jc w:val="both"/>
        <w:rPr>
          <w:rFonts w:ascii="宋体" w:hAnsi="宋体"/>
          <w:szCs w:val="21"/>
          <w:highlight w:val="none"/>
          <w:u w:val="single"/>
        </w:rPr>
      </w:pPr>
    </w:p>
    <w:p w14:paraId="76C28C0A">
      <w:pPr>
        <w:pStyle w:val="170"/>
        <w:spacing w:line="560" w:lineRule="exact"/>
        <w:ind w:firstLine="420" w:firstLineChars="200"/>
        <w:jc w:val="both"/>
        <w:rPr>
          <w:rFonts w:ascii="宋体" w:hAnsi="宋体"/>
          <w:szCs w:val="21"/>
          <w:highlight w:val="none"/>
          <w:u w:val="single"/>
        </w:rPr>
      </w:pPr>
    </w:p>
    <w:p w14:paraId="259A8779">
      <w:pPr>
        <w:pStyle w:val="170"/>
        <w:spacing w:line="560" w:lineRule="exact"/>
        <w:ind w:firstLine="420" w:firstLineChars="200"/>
        <w:jc w:val="both"/>
        <w:rPr>
          <w:rFonts w:ascii="宋体" w:hAnsi="宋体"/>
          <w:szCs w:val="21"/>
          <w:highlight w:val="none"/>
          <w:u w:val="single"/>
        </w:rPr>
      </w:pPr>
    </w:p>
    <w:p w14:paraId="6809C0C5">
      <w:pPr>
        <w:pStyle w:val="170"/>
        <w:spacing w:line="560" w:lineRule="exact"/>
        <w:ind w:firstLine="420" w:firstLineChars="200"/>
        <w:jc w:val="both"/>
        <w:rPr>
          <w:rFonts w:ascii="宋体" w:hAnsi="宋体"/>
          <w:szCs w:val="21"/>
          <w:highlight w:val="none"/>
          <w:u w:val="single"/>
        </w:rPr>
      </w:pPr>
    </w:p>
    <w:p w14:paraId="609265DF">
      <w:pPr>
        <w:pStyle w:val="170"/>
        <w:spacing w:line="560" w:lineRule="exact"/>
        <w:ind w:firstLine="420" w:firstLineChars="200"/>
        <w:jc w:val="both"/>
        <w:rPr>
          <w:rFonts w:ascii="宋体" w:hAnsi="宋体"/>
          <w:szCs w:val="21"/>
          <w:highlight w:val="none"/>
          <w:u w:val="single"/>
        </w:rPr>
      </w:pPr>
    </w:p>
    <w:p w14:paraId="2C1148C4">
      <w:pPr>
        <w:pStyle w:val="170"/>
        <w:spacing w:line="560" w:lineRule="exact"/>
        <w:ind w:firstLine="420" w:firstLineChars="200"/>
        <w:jc w:val="both"/>
        <w:rPr>
          <w:rFonts w:ascii="宋体" w:hAnsi="宋体"/>
          <w:szCs w:val="21"/>
          <w:highlight w:val="none"/>
          <w:u w:val="single"/>
        </w:rPr>
      </w:pPr>
    </w:p>
    <w:p w14:paraId="24F0A885">
      <w:pPr>
        <w:pStyle w:val="170"/>
        <w:spacing w:line="560" w:lineRule="exact"/>
        <w:ind w:firstLine="420" w:firstLineChars="200"/>
        <w:jc w:val="both"/>
        <w:rPr>
          <w:rFonts w:ascii="宋体" w:hAnsi="宋体"/>
          <w:szCs w:val="21"/>
          <w:highlight w:val="none"/>
          <w:u w:val="single"/>
        </w:rPr>
      </w:pPr>
    </w:p>
    <w:p w14:paraId="37D82402">
      <w:pPr>
        <w:pStyle w:val="170"/>
        <w:spacing w:line="560" w:lineRule="exact"/>
        <w:ind w:firstLine="420" w:firstLineChars="200"/>
        <w:jc w:val="both"/>
        <w:rPr>
          <w:rFonts w:ascii="宋体" w:hAnsi="宋体"/>
          <w:szCs w:val="21"/>
          <w:highlight w:val="none"/>
          <w:u w:val="single"/>
        </w:rPr>
      </w:pPr>
    </w:p>
    <w:p w14:paraId="6C026092">
      <w:pPr>
        <w:pStyle w:val="170"/>
        <w:spacing w:line="560" w:lineRule="exact"/>
        <w:ind w:firstLine="420" w:firstLineChars="200"/>
        <w:jc w:val="both"/>
        <w:rPr>
          <w:rFonts w:ascii="宋体" w:hAnsi="宋体"/>
          <w:szCs w:val="21"/>
          <w:highlight w:val="none"/>
          <w:u w:val="single"/>
        </w:rPr>
      </w:pPr>
    </w:p>
    <w:p w14:paraId="5AAE8542">
      <w:pPr>
        <w:pStyle w:val="170"/>
        <w:spacing w:line="560" w:lineRule="exact"/>
        <w:ind w:firstLine="420" w:firstLineChars="200"/>
        <w:jc w:val="both"/>
        <w:rPr>
          <w:rFonts w:ascii="宋体" w:hAnsi="宋体"/>
          <w:szCs w:val="21"/>
          <w:highlight w:val="none"/>
          <w:u w:val="single"/>
        </w:rPr>
      </w:pPr>
    </w:p>
    <w:p w14:paraId="1ED3C6DD">
      <w:pPr>
        <w:pStyle w:val="170"/>
        <w:spacing w:line="560" w:lineRule="exact"/>
        <w:ind w:firstLine="420" w:firstLineChars="200"/>
        <w:jc w:val="both"/>
        <w:rPr>
          <w:rFonts w:ascii="宋体" w:hAnsi="宋体"/>
          <w:szCs w:val="21"/>
          <w:highlight w:val="none"/>
          <w:u w:val="single"/>
        </w:rPr>
      </w:pPr>
    </w:p>
    <w:p w14:paraId="70706C97">
      <w:pPr>
        <w:pStyle w:val="170"/>
        <w:spacing w:line="560" w:lineRule="exact"/>
        <w:ind w:firstLine="420" w:firstLineChars="200"/>
        <w:jc w:val="both"/>
        <w:rPr>
          <w:rFonts w:ascii="宋体" w:hAnsi="宋体"/>
          <w:szCs w:val="21"/>
          <w:highlight w:val="none"/>
          <w:u w:val="single"/>
        </w:rPr>
      </w:pPr>
    </w:p>
    <w:p w14:paraId="61CAC1B7">
      <w:pPr>
        <w:pStyle w:val="170"/>
        <w:spacing w:line="560" w:lineRule="exact"/>
        <w:ind w:firstLine="420" w:firstLineChars="200"/>
        <w:jc w:val="both"/>
        <w:rPr>
          <w:rFonts w:ascii="宋体" w:hAnsi="宋体"/>
          <w:szCs w:val="21"/>
          <w:highlight w:val="none"/>
          <w:u w:val="single"/>
        </w:rPr>
      </w:pPr>
    </w:p>
    <w:p w14:paraId="2F11495D">
      <w:pPr>
        <w:pStyle w:val="170"/>
        <w:spacing w:line="560" w:lineRule="exact"/>
        <w:ind w:firstLine="420" w:firstLineChars="200"/>
        <w:jc w:val="both"/>
        <w:rPr>
          <w:rFonts w:ascii="宋体" w:hAnsi="宋体"/>
          <w:szCs w:val="21"/>
          <w:highlight w:val="none"/>
          <w:u w:val="single"/>
        </w:rPr>
      </w:pPr>
    </w:p>
    <w:p w14:paraId="1164C514">
      <w:pPr>
        <w:pStyle w:val="170"/>
        <w:spacing w:line="560" w:lineRule="exact"/>
        <w:jc w:val="both"/>
        <w:rPr>
          <w:rFonts w:hint="eastAsia" w:ascii="宋体" w:hAnsi="宋体"/>
          <w:szCs w:val="21"/>
          <w:highlight w:val="none"/>
          <w:u w:val="single"/>
        </w:rPr>
      </w:pPr>
    </w:p>
    <w:p w14:paraId="7A91B28D">
      <w:pPr>
        <w:pStyle w:val="170"/>
        <w:spacing w:line="560" w:lineRule="exact"/>
        <w:ind w:firstLine="420" w:firstLineChars="200"/>
        <w:jc w:val="both"/>
        <w:rPr>
          <w:rFonts w:hint="eastAsia" w:ascii="宋体" w:hAnsi="宋体"/>
          <w:szCs w:val="21"/>
          <w:highlight w:val="none"/>
          <w:u w:val="single"/>
        </w:rPr>
      </w:pPr>
    </w:p>
    <w:p w14:paraId="29A8D03D">
      <w:pPr>
        <w:pStyle w:val="163"/>
        <w:autoSpaceDE w:val="0"/>
        <w:autoSpaceDN w:val="0"/>
        <w:adjustRightInd w:val="0"/>
        <w:jc w:val="left"/>
        <w:rPr>
          <w:rFonts w:ascii="宋体" w:hAnsi="宋体"/>
          <w:sz w:val="30"/>
          <w:szCs w:val="30"/>
          <w:highlight w:val="none"/>
        </w:rPr>
      </w:pPr>
      <w:r>
        <w:rPr>
          <w:rFonts w:hint="eastAsia" w:ascii="宋体" w:hAnsi="宋体"/>
          <w:sz w:val="30"/>
          <w:szCs w:val="30"/>
          <w:highlight w:val="none"/>
        </w:rPr>
        <w:t>附件1</w:t>
      </w:r>
    </w:p>
    <w:p w14:paraId="1815D8F9">
      <w:pPr>
        <w:pStyle w:val="163"/>
        <w:autoSpaceDE w:val="0"/>
        <w:autoSpaceDN w:val="0"/>
        <w:adjustRightInd w:val="0"/>
        <w:jc w:val="center"/>
        <w:rPr>
          <w:rFonts w:ascii="黑体" w:hAnsi="Arial" w:eastAsia="黑体"/>
          <w:kern w:val="0"/>
          <w:sz w:val="36"/>
          <w:szCs w:val="36"/>
          <w:highlight w:val="none"/>
        </w:rPr>
      </w:pPr>
      <w:r>
        <w:rPr>
          <w:rFonts w:hint="eastAsia" w:ascii="黑体" w:hAnsi="Arial" w:eastAsia="黑体"/>
          <w:kern w:val="0"/>
          <w:sz w:val="36"/>
          <w:szCs w:val="36"/>
          <w:highlight w:val="none"/>
        </w:rPr>
        <w:t>建设工程廉政责任合同</w:t>
      </w:r>
    </w:p>
    <w:p w14:paraId="4D30FC2F">
      <w:pPr>
        <w:pStyle w:val="163"/>
        <w:autoSpaceDE w:val="0"/>
        <w:autoSpaceDN w:val="0"/>
        <w:adjustRightInd w:val="0"/>
        <w:spacing w:line="360" w:lineRule="auto"/>
        <w:jc w:val="left"/>
        <w:rPr>
          <w:rFonts w:ascii="宋体" w:hAnsi="宋体"/>
          <w:szCs w:val="21"/>
          <w:highlight w:val="none"/>
        </w:rPr>
      </w:pPr>
      <w:r>
        <w:rPr>
          <w:rFonts w:hint="eastAsia" w:ascii="宋体" w:hAnsi="宋体"/>
          <w:szCs w:val="21"/>
          <w:highlight w:val="none"/>
        </w:rPr>
        <w:t xml:space="preserve"> </w:t>
      </w:r>
    </w:p>
    <w:p w14:paraId="637F5E5A">
      <w:pPr>
        <w:pStyle w:val="163"/>
        <w:autoSpaceDE w:val="0"/>
        <w:autoSpaceDN w:val="0"/>
        <w:adjustRightInd w:val="0"/>
        <w:spacing w:line="360" w:lineRule="auto"/>
        <w:jc w:val="left"/>
        <w:rPr>
          <w:rFonts w:ascii="宋体" w:hAnsi="宋体"/>
          <w:szCs w:val="21"/>
          <w:highlight w:val="none"/>
        </w:rPr>
      </w:pPr>
      <w:r>
        <w:rPr>
          <w:rFonts w:ascii="宋体" w:hAnsi="宋体"/>
          <w:szCs w:val="21"/>
          <w:highlight w:val="none"/>
        </w:rPr>
        <w:t xml:space="preserve"> </w:t>
      </w:r>
      <w:r>
        <w:rPr>
          <w:rFonts w:hint="eastAsia" w:ascii="宋体" w:hAnsi="宋体"/>
          <w:szCs w:val="21"/>
          <w:highlight w:val="none"/>
        </w:rPr>
        <w:t xml:space="preserve">   委托人</w:t>
      </w:r>
      <w:r>
        <w:rPr>
          <w:rFonts w:ascii="宋体" w:hAnsi="宋体"/>
          <w:szCs w:val="21"/>
          <w:highlight w:val="none"/>
        </w:rPr>
        <w:t>：</w:t>
      </w:r>
      <w:r>
        <w:rPr>
          <w:rFonts w:hint="eastAsia" w:ascii="宋体" w:hAnsi="宋体"/>
          <w:szCs w:val="21"/>
          <w:highlight w:val="none"/>
          <w:u w:val="single"/>
          <w:lang w:val="en-US" w:eastAsia="zh-CN"/>
        </w:rPr>
        <w:t xml:space="preserve">                                          </w:t>
      </w:r>
    </w:p>
    <w:p w14:paraId="4E6168C6">
      <w:pPr>
        <w:pStyle w:val="163"/>
        <w:autoSpaceDE w:val="0"/>
        <w:autoSpaceDN w:val="0"/>
        <w:adjustRightInd w:val="0"/>
        <w:spacing w:line="360" w:lineRule="auto"/>
        <w:ind w:firstLine="420" w:firstLineChars="200"/>
        <w:jc w:val="left"/>
        <w:rPr>
          <w:rFonts w:hint="default" w:ascii="宋体" w:hAnsi="宋体"/>
          <w:szCs w:val="21"/>
          <w:highlight w:val="none"/>
          <w:lang w:val="en-US"/>
        </w:rPr>
      </w:pPr>
      <w:r>
        <w:rPr>
          <w:rFonts w:hint="eastAsia" w:ascii="宋体" w:hAnsi="宋体"/>
          <w:szCs w:val="21"/>
          <w:highlight w:val="none"/>
        </w:rPr>
        <w:t>监理人</w:t>
      </w:r>
      <w:r>
        <w:rPr>
          <w:rFonts w:ascii="宋体" w:hAnsi="宋体"/>
          <w:szCs w:val="21"/>
          <w:highlight w:val="none"/>
        </w:rPr>
        <w:t>：</w:t>
      </w:r>
      <w:r>
        <w:rPr>
          <w:rFonts w:hint="eastAsia" w:ascii="宋体" w:hAnsi="宋体"/>
          <w:szCs w:val="21"/>
          <w:highlight w:val="none"/>
          <w:u w:val="single"/>
          <w:lang w:val="en-US" w:eastAsia="zh-CN"/>
        </w:rPr>
        <w:t xml:space="preserve">                                          </w:t>
      </w:r>
    </w:p>
    <w:p w14:paraId="053DD7ED">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为加强工程建设中的廉政建设，规范工程项目双方的各项活动，防止发生各种谋取不正当利益的违法违纪行为，确保建设项目工程质量达到国家有关规定，根据国家有关工程建设的法律法规和廉政建设规定，特订立本廉政合同。</w:t>
      </w:r>
    </w:p>
    <w:p w14:paraId="70CAEDF7">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第一条　双方的权利和义务</w:t>
      </w:r>
    </w:p>
    <w:p w14:paraId="260C0724">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（一）严格遵守国家关于市场准入、勘测设计、施工监理、招标投标、工程施工、设备安装和市场经营活动等有关法律法规和相关政策，以及廉政建设的各项规定。</w:t>
      </w:r>
    </w:p>
    <w:p w14:paraId="708E322A">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二）业务活动必须坚持公开、公平、公正、诚信、透明的原则（除法律法规认定的商业秘密和合同文件另有规定者外），双方人员不得为获取不正当的利益，就工程费用、材料供应、工程量变动、工程验收、工程质量等问题进行私下商谈或达成默契，不得损害国家和集体利益，违反工程建设管理规章制度。</w:t>
      </w:r>
      <w:r>
        <w:rPr>
          <w:rFonts w:hint="eastAsia" w:ascii="宋体" w:hAnsi="宋体"/>
          <w:szCs w:val="21"/>
          <w:highlight w:val="none"/>
        </w:rPr>
        <w:t xml:space="preserve"> </w:t>
      </w:r>
    </w:p>
    <w:p w14:paraId="064247DB">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三）建立健全廉政制度，开展廉政教育，设立廉政告示牌，公布举报电话，监督违法违纪行为。发现对方在业务活动中有违反本合同行为的，有及时提醒对方纠正的权利和义务。情节严重的，有向有关部门举报、建议给予处理并要求告知处理结果的权利。</w:t>
      </w:r>
    </w:p>
    <w:p w14:paraId="0E0DFD7C">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第二条　</w:t>
      </w:r>
      <w:r>
        <w:rPr>
          <w:rFonts w:hint="eastAsia" w:ascii="宋体" w:hAnsi="宋体"/>
          <w:szCs w:val="21"/>
          <w:highlight w:val="none"/>
        </w:rPr>
        <w:t>委托人</w:t>
      </w:r>
      <w:r>
        <w:rPr>
          <w:rFonts w:ascii="宋体" w:hAnsi="宋体"/>
          <w:szCs w:val="21"/>
          <w:highlight w:val="none"/>
        </w:rPr>
        <w:t>的责任</w:t>
      </w:r>
    </w:p>
    <w:p w14:paraId="6812A472">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委托人</w:t>
      </w:r>
      <w:r>
        <w:rPr>
          <w:rFonts w:ascii="宋体" w:hAnsi="宋体"/>
          <w:szCs w:val="21"/>
          <w:highlight w:val="none"/>
        </w:rPr>
        <w:t>的负责人和从事该工程项目的工作人员，在工程项目的事前、事中、事后应遵守以下规定：</w:t>
      </w:r>
    </w:p>
    <w:p w14:paraId="65E91826">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（一）不得以任何理由向</w:t>
      </w:r>
      <w:r>
        <w:rPr>
          <w:rFonts w:hint="eastAsia" w:ascii="宋体" w:hAnsi="宋体"/>
          <w:szCs w:val="21"/>
          <w:highlight w:val="none"/>
        </w:rPr>
        <w:t>监理人</w:t>
      </w:r>
      <w:r>
        <w:rPr>
          <w:rFonts w:ascii="宋体" w:hAnsi="宋体"/>
          <w:szCs w:val="21"/>
          <w:highlight w:val="none"/>
        </w:rPr>
        <w:t>索要或接受现金、有价证券、通讯工具、交通工具、高档办公用品及其它物品。</w:t>
      </w:r>
    </w:p>
    <w:p w14:paraId="4F122537">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（二）不得在</w:t>
      </w:r>
      <w:r>
        <w:rPr>
          <w:rFonts w:hint="eastAsia" w:ascii="宋体" w:hAnsi="宋体"/>
          <w:szCs w:val="21"/>
          <w:highlight w:val="none"/>
        </w:rPr>
        <w:t>监理人</w:t>
      </w:r>
      <w:r>
        <w:rPr>
          <w:rFonts w:ascii="宋体" w:hAnsi="宋体"/>
          <w:szCs w:val="21"/>
          <w:highlight w:val="none"/>
        </w:rPr>
        <w:t>报销应由</w:t>
      </w:r>
      <w:r>
        <w:rPr>
          <w:rFonts w:hint="eastAsia" w:ascii="宋体" w:hAnsi="宋体"/>
          <w:szCs w:val="21"/>
          <w:highlight w:val="none"/>
        </w:rPr>
        <w:t>委托人</w:t>
      </w:r>
      <w:r>
        <w:rPr>
          <w:rFonts w:ascii="宋体" w:hAnsi="宋体"/>
          <w:szCs w:val="21"/>
          <w:highlight w:val="none"/>
        </w:rPr>
        <w:t>单位或个人支付的费用。</w:t>
      </w:r>
    </w:p>
    <w:p w14:paraId="06CA47DF">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（三）不得参加</w:t>
      </w:r>
      <w:r>
        <w:rPr>
          <w:rFonts w:hint="eastAsia" w:ascii="宋体" w:hAnsi="宋体"/>
          <w:szCs w:val="21"/>
          <w:highlight w:val="none"/>
        </w:rPr>
        <w:t>监理人</w:t>
      </w:r>
      <w:r>
        <w:rPr>
          <w:rFonts w:ascii="宋体" w:hAnsi="宋体"/>
          <w:szCs w:val="21"/>
          <w:highlight w:val="none"/>
        </w:rPr>
        <w:t>安排的宴请及其他消费活动。</w:t>
      </w:r>
    </w:p>
    <w:p w14:paraId="1BCE5F0F">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（四）不得要求、暗示和接受</w:t>
      </w:r>
      <w:r>
        <w:rPr>
          <w:rFonts w:hint="eastAsia" w:ascii="宋体" w:hAnsi="宋体"/>
          <w:szCs w:val="21"/>
          <w:highlight w:val="none"/>
        </w:rPr>
        <w:t>监理人</w:t>
      </w:r>
      <w:r>
        <w:rPr>
          <w:rFonts w:ascii="宋体" w:hAnsi="宋体"/>
          <w:szCs w:val="21"/>
          <w:highlight w:val="none"/>
        </w:rPr>
        <w:t>为个人装修房屋及为配偶子女的工作安排以及本人或亲属旅游等提供方便。</w:t>
      </w:r>
    </w:p>
    <w:p w14:paraId="0882FB48">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（五）其配偶、子女不得从事与</w:t>
      </w:r>
      <w:r>
        <w:rPr>
          <w:rFonts w:hint="eastAsia" w:ascii="宋体" w:hAnsi="宋体"/>
          <w:szCs w:val="21"/>
          <w:highlight w:val="none"/>
        </w:rPr>
        <w:t>监理人</w:t>
      </w:r>
      <w:r>
        <w:rPr>
          <w:rFonts w:ascii="宋体" w:hAnsi="宋体"/>
          <w:szCs w:val="21"/>
          <w:highlight w:val="none"/>
        </w:rPr>
        <w:t>承包工程有关的设备材料供应、工程分包、劳务等经济活动。</w:t>
      </w:r>
    </w:p>
    <w:p w14:paraId="6ED954F8">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（六）不得以任何理由向</w:t>
      </w:r>
      <w:r>
        <w:rPr>
          <w:rFonts w:hint="eastAsia" w:ascii="宋体" w:hAnsi="宋体"/>
          <w:szCs w:val="21"/>
          <w:highlight w:val="none"/>
        </w:rPr>
        <w:t>监理人</w:t>
      </w:r>
      <w:r>
        <w:rPr>
          <w:rFonts w:ascii="宋体" w:hAnsi="宋体"/>
          <w:szCs w:val="21"/>
          <w:highlight w:val="none"/>
        </w:rPr>
        <w:t>推荐分包单位或要求</w:t>
      </w:r>
      <w:r>
        <w:rPr>
          <w:rFonts w:hint="eastAsia" w:ascii="宋体" w:hAnsi="宋体"/>
          <w:szCs w:val="21"/>
          <w:highlight w:val="none"/>
        </w:rPr>
        <w:t>监理人</w:t>
      </w:r>
      <w:r>
        <w:rPr>
          <w:rFonts w:ascii="宋体" w:hAnsi="宋体"/>
          <w:szCs w:val="21"/>
          <w:highlight w:val="none"/>
        </w:rPr>
        <w:t>购买项目合同规定以外的材料、设备和服务等。</w:t>
      </w:r>
    </w:p>
    <w:p w14:paraId="55D681AC">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（七）不得串通</w:t>
      </w:r>
      <w:r>
        <w:rPr>
          <w:rFonts w:hint="eastAsia" w:ascii="宋体" w:hAnsi="宋体"/>
          <w:szCs w:val="21"/>
          <w:highlight w:val="none"/>
        </w:rPr>
        <w:t>监理人</w:t>
      </w:r>
      <w:r>
        <w:rPr>
          <w:rFonts w:ascii="宋体" w:hAnsi="宋体"/>
          <w:szCs w:val="21"/>
          <w:highlight w:val="none"/>
        </w:rPr>
        <w:t>人员在工程质量、工程经济技术签证等方面</w:t>
      </w:r>
      <w:r>
        <w:rPr>
          <w:rFonts w:hint="eastAsia" w:ascii="宋体" w:hAnsi="宋体"/>
          <w:szCs w:val="21"/>
          <w:highlight w:val="none"/>
          <w:lang w:eastAsia="zh-CN"/>
        </w:rPr>
        <w:t>弄虚作假</w:t>
      </w:r>
      <w:r>
        <w:rPr>
          <w:rFonts w:ascii="宋体" w:hAnsi="宋体"/>
          <w:szCs w:val="21"/>
          <w:highlight w:val="none"/>
        </w:rPr>
        <w:t>，牟取私利。</w:t>
      </w:r>
    </w:p>
    <w:p w14:paraId="42D1DE0C">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（八）不得肢解工程、指定工程分包单位。</w:t>
      </w:r>
    </w:p>
    <w:p w14:paraId="501D7FE2">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第三条　</w:t>
      </w:r>
      <w:r>
        <w:rPr>
          <w:rFonts w:hint="eastAsia" w:ascii="宋体" w:hAnsi="宋体"/>
          <w:szCs w:val="21"/>
          <w:highlight w:val="none"/>
        </w:rPr>
        <w:t>监理人</w:t>
      </w:r>
      <w:r>
        <w:rPr>
          <w:rFonts w:ascii="宋体" w:hAnsi="宋体"/>
          <w:szCs w:val="21"/>
          <w:highlight w:val="none"/>
        </w:rPr>
        <w:t>的责任</w:t>
      </w:r>
    </w:p>
    <w:p w14:paraId="29CA4980">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监理人</w:t>
      </w:r>
      <w:r>
        <w:rPr>
          <w:rFonts w:ascii="宋体" w:hAnsi="宋体"/>
          <w:szCs w:val="21"/>
          <w:highlight w:val="none"/>
        </w:rPr>
        <w:t>应与</w:t>
      </w:r>
      <w:r>
        <w:rPr>
          <w:rFonts w:hint="eastAsia" w:ascii="宋体" w:hAnsi="宋体"/>
          <w:szCs w:val="21"/>
          <w:highlight w:val="none"/>
        </w:rPr>
        <w:t>委托人</w:t>
      </w:r>
      <w:r>
        <w:rPr>
          <w:rFonts w:ascii="宋体" w:hAnsi="宋体"/>
          <w:szCs w:val="21"/>
          <w:highlight w:val="none"/>
        </w:rPr>
        <w:t>保持正常的业务交往，按照有关法律法规和程序开展业务活动，严格执行工程建设的有关方针、政策，尤其是有关强制性标准和规范，并遵守以下规定：</w:t>
      </w:r>
    </w:p>
    <w:p w14:paraId="227EE78B">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（一）不得以任何理由向</w:t>
      </w:r>
      <w:r>
        <w:rPr>
          <w:rFonts w:hint="eastAsia" w:ascii="宋体" w:hAnsi="宋体"/>
          <w:szCs w:val="21"/>
          <w:highlight w:val="none"/>
        </w:rPr>
        <w:t>委托人</w:t>
      </w:r>
      <w:r>
        <w:rPr>
          <w:rFonts w:ascii="宋体" w:hAnsi="宋体"/>
          <w:szCs w:val="21"/>
          <w:highlight w:val="none"/>
        </w:rPr>
        <w:t>及其工作人员行贿或赠送现金、有价证券、贵重物品。</w:t>
      </w:r>
    </w:p>
    <w:p w14:paraId="606D0E3F">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（二）不得以任何名义为</w:t>
      </w:r>
      <w:r>
        <w:rPr>
          <w:rFonts w:hint="eastAsia" w:ascii="宋体" w:hAnsi="宋体"/>
          <w:szCs w:val="21"/>
          <w:highlight w:val="none"/>
        </w:rPr>
        <w:t>委托人</w:t>
      </w:r>
      <w:r>
        <w:rPr>
          <w:rFonts w:ascii="宋体" w:hAnsi="宋体"/>
          <w:szCs w:val="21"/>
          <w:highlight w:val="none"/>
        </w:rPr>
        <w:t>及其工作人员报销应由对方支付的费用。</w:t>
      </w:r>
    </w:p>
    <w:p w14:paraId="14A111F8">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（三）不得以任何理由宴请</w:t>
      </w:r>
      <w:r>
        <w:rPr>
          <w:rFonts w:hint="eastAsia" w:ascii="宋体" w:hAnsi="宋体"/>
          <w:szCs w:val="21"/>
          <w:highlight w:val="none"/>
        </w:rPr>
        <w:t>委托人</w:t>
      </w:r>
      <w:r>
        <w:rPr>
          <w:rFonts w:ascii="宋体" w:hAnsi="宋体"/>
          <w:szCs w:val="21"/>
          <w:highlight w:val="none"/>
        </w:rPr>
        <w:t>工作人员或安排其他消费活动。</w:t>
      </w:r>
    </w:p>
    <w:p w14:paraId="635BB1E0">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（四）不为</w:t>
      </w:r>
      <w:r>
        <w:rPr>
          <w:rFonts w:hint="eastAsia" w:ascii="宋体" w:hAnsi="宋体"/>
          <w:szCs w:val="21"/>
          <w:highlight w:val="none"/>
        </w:rPr>
        <w:t>委托人</w:t>
      </w:r>
      <w:r>
        <w:rPr>
          <w:rFonts w:ascii="宋体" w:hAnsi="宋体"/>
          <w:szCs w:val="21"/>
          <w:highlight w:val="none"/>
        </w:rPr>
        <w:t>单位和工作人员购置或提供通讯工具、交通工具、高档办公用品和装修住房等。</w:t>
      </w:r>
    </w:p>
    <w:p w14:paraId="5D0E7591">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（五）不得串通</w:t>
      </w:r>
      <w:r>
        <w:rPr>
          <w:rFonts w:hint="eastAsia" w:ascii="宋体" w:hAnsi="宋体"/>
          <w:szCs w:val="21"/>
          <w:highlight w:val="none"/>
        </w:rPr>
        <w:t>委托人</w:t>
      </w:r>
      <w:r>
        <w:rPr>
          <w:rFonts w:ascii="宋体" w:hAnsi="宋体"/>
          <w:szCs w:val="21"/>
          <w:highlight w:val="none"/>
        </w:rPr>
        <w:t>人员在工程质量、工程隐蔽、工程经济技术签证等方面</w:t>
      </w:r>
      <w:r>
        <w:rPr>
          <w:rFonts w:hint="eastAsia" w:ascii="宋体" w:hAnsi="宋体"/>
          <w:szCs w:val="21"/>
          <w:highlight w:val="none"/>
          <w:lang w:eastAsia="zh-CN"/>
        </w:rPr>
        <w:t>弄虚作假</w:t>
      </w:r>
      <w:r>
        <w:rPr>
          <w:rFonts w:ascii="宋体" w:hAnsi="宋体"/>
          <w:szCs w:val="21"/>
          <w:highlight w:val="none"/>
        </w:rPr>
        <w:t>，牟取私利。</w:t>
      </w:r>
    </w:p>
    <w:p w14:paraId="7A65A878">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（六）不得</w:t>
      </w:r>
      <w:r>
        <w:rPr>
          <w:rFonts w:hint="eastAsia" w:ascii="宋体" w:hAnsi="宋体"/>
          <w:szCs w:val="21"/>
          <w:highlight w:val="none"/>
        </w:rPr>
        <w:t>串通承包人将</w:t>
      </w:r>
      <w:r>
        <w:rPr>
          <w:rFonts w:ascii="宋体" w:hAnsi="宋体"/>
          <w:szCs w:val="21"/>
          <w:highlight w:val="none"/>
        </w:rPr>
        <w:t>承包工程转包，挂靠承包。</w:t>
      </w:r>
    </w:p>
    <w:p w14:paraId="5A12ABF9">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（七）不得违反工程造价管理规定，编制工程预算、决算。</w:t>
      </w:r>
    </w:p>
    <w:p w14:paraId="7F593A8D">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第四条　违约责任</w:t>
      </w:r>
    </w:p>
    <w:p w14:paraId="7743D360">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（一）</w:t>
      </w:r>
      <w:r>
        <w:rPr>
          <w:rFonts w:hint="eastAsia" w:ascii="宋体" w:hAnsi="宋体"/>
          <w:szCs w:val="21"/>
          <w:highlight w:val="none"/>
        </w:rPr>
        <w:t>委托人</w:t>
      </w:r>
      <w:r>
        <w:rPr>
          <w:rFonts w:ascii="宋体" w:hAnsi="宋体"/>
          <w:szCs w:val="21"/>
          <w:highlight w:val="none"/>
        </w:rPr>
        <w:t>工作人员有违反本合同第一、二条责任行为的，按照管理权限，依据有关规定予以处理；涉嫌犯罪的，移交司法机关追究刑事责任；给</w:t>
      </w:r>
      <w:r>
        <w:rPr>
          <w:rFonts w:hint="eastAsia" w:ascii="宋体" w:hAnsi="宋体"/>
          <w:szCs w:val="21"/>
          <w:highlight w:val="none"/>
        </w:rPr>
        <w:t>监理人</w:t>
      </w:r>
      <w:r>
        <w:rPr>
          <w:rFonts w:ascii="宋体" w:hAnsi="宋体"/>
          <w:szCs w:val="21"/>
          <w:highlight w:val="none"/>
        </w:rPr>
        <w:t>单位造成经济损失的，应予赔偿。</w:t>
      </w:r>
    </w:p>
    <w:p w14:paraId="26E0D956">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（二）</w:t>
      </w:r>
      <w:r>
        <w:rPr>
          <w:rFonts w:hint="eastAsia" w:ascii="宋体" w:hAnsi="宋体"/>
          <w:szCs w:val="21"/>
          <w:highlight w:val="none"/>
        </w:rPr>
        <w:t>监理人</w:t>
      </w:r>
      <w:r>
        <w:rPr>
          <w:rFonts w:ascii="宋体" w:hAnsi="宋体"/>
          <w:szCs w:val="21"/>
          <w:highlight w:val="none"/>
        </w:rPr>
        <w:t>工作人员有违反本合同第一、三条责任行为的，按照管理权限，依据有关规定予以处理；涉嫌犯罪的，移交司法机关追究刑事责任；给</w:t>
      </w:r>
      <w:r>
        <w:rPr>
          <w:rFonts w:hint="eastAsia" w:ascii="宋体" w:hAnsi="宋体"/>
          <w:szCs w:val="21"/>
          <w:highlight w:val="none"/>
        </w:rPr>
        <w:t>委托人</w:t>
      </w:r>
      <w:r>
        <w:rPr>
          <w:rFonts w:ascii="宋体" w:hAnsi="宋体"/>
          <w:szCs w:val="21"/>
          <w:highlight w:val="none"/>
        </w:rPr>
        <w:t>单位造成经济损失的，应予赔偿。</w:t>
      </w:r>
    </w:p>
    <w:p w14:paraId="0689737E">
      <w:pPr>
        <w:pStyle w:val="163"/>
        <w:autoSpaceDE w:val="0"/>
        <w:autoSpaceDN w:val="0"/>
        <w:adjustRightInd w:val="0"/>
        <w:spacing w:line="300" w:lineRule="auto"/>
        <w:ind w:firstLine="420" w:firstLineChars="200"/>
        <w:jc w:val="left"/>
        <w:rPr>
          <w:rFonts w:ascii="宋体" w:hAnsi="宋体"/>
          <w:szCs w:val="21"/>
          <w:highlight w:val="none"/>
        </w:rPr>
      </w:pPr>
      <w:r>
        <w:rPr>
          <w:rFonts w:ascii="宋体" w:hAnsi="宋体"/>
          <w:szCs w:val="21"/>
          <w:highlight w:val="none"/>
        </w:rPr>
        <w:t>第五条　双方约定：在自觉履行合同的同时，由</w:t>
      </w:r>
      <w:r>
        <w:rPr>
          <w:rFonts w:hint="eastAsia" w:ascii="宋体" w:hAnsi="宋体"/>
          <w:szCs w:val="21"/>
          <w:highlight w:val="none"/>
        </w:rPr>
        <w:t>委托人</w:t>
      </w:r>
      <w:r>
        <w:rPr>
          <w:rFonts w:ascii="宋体" w:hAnsi="宋体"/>
          <w:szCs w:val="21"/>
          <w:highlight w:val="none"/>
        </w:rPr>
        <w:t>监督单位负责对本合同履行情况进行监督检查。</w:t>
      </w:r>
    </w:p>
    <w:p w14:paraId="403C53E8">
      <w:pPr>
        <w:pStyle w:val="163"/>
        <w:autoSpaceDE w:val="0"/>
        <w:autoSpaceDN w:val="0"/>
        <w:adjustRightInd w:val="0"/>
        <w:spacing w:line="300" w:lineRule="auto"/>
        <w:jc w:val="left"/>
        <w:rPr>
          <w:rFonts w:ascii="宋体" w:hAnsi="宋体"/>
          <w:szCs w:val="21"/>
          <w:highlight w:val="none"/>
        </w:rPr>
      </w:pPr>
    </w:p>
    <w:p w14:paraId="7A4752FC">
      <w:pPr>
        <w:adjustRightInd w:val="0"/>
        <w:snapToGrid w:val="0"/>
        <w:spacing w:line="520" w:lineRule="exact"/>
        <w:rPr>
          <w:rFonts w:ascii="宋体" w:hAnsi="宋体"/>
          <w:szCs w:val="21"/>
          <w:highlight w:val="none"/>
        </w:rPr>
      </w:pPr>
      <w:r>
        <w:rPr>
          <w:rFonts w:hint="eastAsia" w:ascii="宋体" w:hAnsi="宋体"/>
          <w:szCs w:val="21"/>
          <w:highlight w:val="none"/>
        </w:rPr>
        <w:t>委托人</w:t>
      </w:r>
      <w:r>
        <w:rPr>
          <w:rFonts w:ascii="宋体" w:hAnsi="宋体"/>
          <w:szCs w:val="21"/>
          <w:highlight w:val="none"/>
        </w:rPr>
        <w:t xml:space="preserve">单位（盖章）： 　  </w:t>
      </w:r>
      <w:r>
        <w:rPr>
          <w:rFonts w:hint="eastAsia" w:ascii="宋体" w:hAnsi="宋体"/>
          <w:szCs w:val="21"/>
          <w:highlight w:val="none"/>
        </w:rPr>
        <w:t xml:space="preserve">                        监理人</w:t>
      </w:r>
      <w:r>
        <w:rPr>
          <w:rFonts w:ascii="宋体" w:hAnsi="宋体"/>
          <w:szCs w:val="21"/>
          <w:highlight w:val="none"/>
        </w:rPr>
        <w:t>单位（盖章）：</w:t>
      </w:r>
    </w:p>
    <w:p w14:paraId="687F15EB">
      <w:pPr>
        <w:adjustRightInd w:val="0"/>
        <w:snapToGrid w:val="0"/>
        <w:spacing w:line="520" w:lineRule="exact"/>
        <w:ind w:firstLine="2730" w:firstLineChars="1300"/>
        <w:rPr>
          <w:rFonts w:ascii="宋体" w:hAnsi="宋体"/>
          <w:szCs w:val="21"/>
          <w:highlight w:val="none"/>
        </w:rPr>
      </w:pPr>
      <w:r>
        <w:rPr>
          <w:rFonts w:ascii="宋体" w:hAnsi="宋体"/>
          <w:szCs w:val="21"/>
          <w:highlight w:val="none"/>
        </w:rPr>
        <w:t xml:space="preserve">                         </w:t>
      </w:r>
    </w:p>
    <w:p w14:paraId="5B2793DD">
      <w:pPr>
        <w:pStyle w:val="163"/>
        <w:autoSpaceDE w:val="0"/>
        <w:autoSpaceDN w:val="0"/>
        <w:adjustRightInd w:val="0"/>
        <w:spacing w:line="300" w:lineRule="auto"/>
        <w:jc w:val="left"/>
        <w:rPr>
          <w:rFonts w:ascii="宋体" w:hAnsi="宋体"/>
          <w:szCs w:val="21"/>
          <w:highlight w:val="none"/>
        </w:rPr>
      </w:pPr>
    </w:p>
    <w:p w14:paraId="4E4E319F">
      <w:pPr>
        <w:pStyle w:val="163"/>
        <w:autoSpaceDE w:val="0"/>
        <w:autoSpaceDN w:val="0"/>
        <w:adjustRightInd w:val="0"/>
        <w:spacing w:line="300" w:lineRule="auto"/>
        <w:jc w:val="left"/>
        <w:rPr>
          <w:rFonts w:ascii="宋体" w:hAnsi="宋体"/>
          <w:szCs w:val="21"/>
          <w:highlight w:val="none"/>
        </w:rPr>
      </w:pPr>
      <w:r>
        <w:rPr>
          <w:rFonts w:ascii="宋体" w:hAnsi="宋体"/>
          <w:szCs w:val="21"/>
          <w:highlight w:val="none"/>
        </w:rPr>
        <w:t xml:space="preserve">法定代表人：　　　　　　　　　              </w:t>
      </w:r>
      <w:r>
        <w:rPr>
          <w:rFonts w:hint="eastAsia" w:ascii="宋体" w:hAnsi="宋体"/>
          <w:szCs w:val="21"/>
          <w:highlight w:val="none"/>
        </w:rPr>
        <w:t xml:space="preserve">     </w:t>
      </w:r>
      <w:r>
        <w:rPr>
          <w:rFonts w:ascii="宋体" w:hAnsi="宋体"/>
          <w:szCs w:val="21"/>
          <w:highlight w:val="none"/>
        </w:rPr>
        <w:t>法定代表人：</w:t>
      </w:r>
    </w:p>
    <w:p w14:paraId="4192F33B">
      <w:pPr>
        <w:pStyle w:val="163"/>
        <w:autoSpaceDE w:val="0"/>
        <w:autoSpaceDN w:val="0"/>
        <w:adjustRightInd w:val="0"/>
        <w:spacing w:line="300" w:lineRule="auto"/>
        <w:jc w:val="left"/>
        <w:rPr>
          <w:rFonts w:ascii="宋体" w:hAnsi="宋体"/>
          <w:szCs w:val="21"/>
          <w:highlight w:val="none"/>
        </w:rPr>
      </w:pPr>
    </w:p>
    <w:p w14:paraId="514766B7">
      <w:pPr>
        <w:pStyle w:val="163"/>
        <w:autoSpaceDE w:val="0"/>
        <w:autoSpaceDN w:val="0"/>
        <w:adjustRightInd w:val="0"/>
        <w:spacing w:line="300" w:lineRule="auto"/>
        <w:jc w:val="left"/>
        <w:rPr>
          <w:rFonts w:ascii="宋体" w:hAnsi="宋体"/>
          <w:szCs w:val="21"/>
          <w:highlight w:val="none"/>
        </w:rPr>
      </w:pPr>
      <w:r>
        <w:rPr>
          <w:rFonts w:hint="eastAsia" w:ascii="宋体" w:hAnsi="宋体"/>
          <w:szCs w:val="21"/>
          <w:highlight w:val="none"/>
        </w:rPr>
        <w:t>或授权代理人：                               或授权代理人：</w:t>
      </w:r>
    </w:p>
    <w:p w14:paraId="6F1070B1">
      <w:pPr>
        <w:pStyle w:val="163"/>
        <w:autoSpaceDE w:val="0"/>
        <w:autoSpaceDN w:val="0"/>
        <w:adjustRightInd w:val="0"/>
        <w:spacing w:line="300" w:lineRule="auto"/>
        <w:jc w:val="left"/>
        <w:rPr>
          <w:rFonts w:ascii="宋体" w:hAnsi="宋体"/>
          <w:szCs w:val="21"/>
          <w:highlight w:val="none"/>
        </w:rPr>
      </w:pPr>
      <w:r>
        <w:rPr>
          <w:rFonts w:hint="eastAsia" w:ascii="宋体" w:hAnsi="宋体"/>
          <w:szCs w:val="21"/>
          <w:highlight w:val="none"/>
        </w:rPr>
        <w:t xml:space="preserve"> </w:t>
      </w:r>
    </w:p>
    <w:p w14:paraId="57201160">
      <w:pPr>
        <w:pStyle w:val="163"/>
        <w:autoSpaceDE w:val="0"/>
        <w:autoSpaceDN w:val="0"/>
        <w:adjustRightInd w:val="0"/>
        <w:spacing w:line="300" w:lineRule="auto"/>
        <w:jc w:val="left"/>
        <w:rPr>
          <w:rFonts w:ascii="宋体" w:hAnsi="宋体"/>
          <w:szCs w:val="21"/>
          <w:highlight w:val="none"/>
        </w:rPr>
      </w:pPr>
      <w:r>
        <w:rPr>
          <w:rFonts w:ascii="宋体" w:hAnsi="宋体"/>
          <w:szCs w:val="21"/>
          <w:highlight w:val="none"/>
        </w:rPr>
        <w:t xml:space="preserve">监督电话：0755-89890158                   </w:t>
      </w: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 xml:space="preserve">  </w:t>
      </w:r>
      <w:r>
        <w:rPr>
          <w:rFonts w:ascii="宋体" w:hAnsi="宋体"/>
          <w:szCs w:val="21"/>
          <w:highlight w:val="none"/>
        </w:rPr>
        <w:t>监督电话：</w:t>
      </w:r>
    </w:p>
    <w:p w14:paraId="78A29AA1">
      <w:pPr>
        <w:pStyle w:val="163"/>
        <w:autoSpaceDE w:val="0"/>
        <w:autoSpaceDN w:val="0"/>
        <w:adjustRightInd w:val="0"/>
        <w:spacing w:line="300" w:lineRule="auto"/>
        <w:jc w:val="left"/>
        <w:rPr>
          <w:rFonts w:ascii="宋体" w:hAnsi="宋体"/>
          <w:szCs w:val="21"/>
          <w:highlight w:val="none"/>
        </w:rPr>
      </w:pPr>
    </w:p>
    <w:p w14:paraId="2657A239">
      <w:pPr>
        <w:pStyle w:val="147"/>
        <w:autoSpaceDE w:val="0"/>
        <w:autoSpaceDN w:val="0"/>
        <w:adjustRightInd w:val="0"/>
        <w:spacing w:line="300" w:lineRule="auto"/>
        <w:ind w:firstLine="630" w:firstLineChars="300"/>
        <w:jc w:val="left"/>
        <w:rPr>
          <w:rFonts w:ascii="宋体" w:hAnsi="宋体"/>
          <w:szCs w:val="21"/>
          <w:highlight w:val="none"/>
        </w:rPr>
      </w:pPr>
      <w:r>
        <w:rPr>
          <w:rFonts w:ascii="宋体" w:hAnsi="宋体"/>
          <w:szCs w:val="21"/>
          <w:highlight w:val="none"/>
        </w:rPr>
        <w:t>年　　月　　日　　　　　                  　</w:t>
      </w:r>
      <w:r>
        <w:rPr>
          <w:rFonts w:hint="eastAsia" w:ascii="宋体" w:hAnsi="宋体"/>
          <w:szCs w:val="21"/>
          <w:highlight w:val="none"/>
        </w:rPr>
        <w:t xml:space="preserve">      </w:t>
      </w:r>
      <w:r>
        <w:rPr>
          <w:rFonts w:ascii="宋体" w:hAnsi="宋体"/>
          <w:szCs w:val="21"/>
          <w:highlight w:val="none"/>
        </w:rPr>
        <w:t>年　　月　　日</w:t>
      </w:r>
    </w:p>
    <w:p w14:paraId="65788A2D">
      <w:pPr>
        <w:pStyle w:val="163"/>
        <w:rPr>
          <w:rFonts w:ascii="宋体" w:hAnsi="宋体"/>
          <w:szCs w:val="21"/>
          <w:highlight w:val="none"/>
        </w:rPr>
      </w:pPr>
    </w:p>
    <w:p w14:paraId="4F321B1B">
      <w:pPr>
        <w:pStyle w:val="52"/>
        <w:ind w:left="0" w:leftChars="0" w:firstLine="0" w:firstLineChars="0"/>
        <w:rPr>
          <w:rFonts w:ascii="宋体" w:hAnsi="宋体"/>
          <w:sz w:val="24"/>
          <w:szCs w:val="24"/>
          <w:highlight w:val="none"/>
        </w:rPr>
      </w:pPr>
    </w:p>
    <w:p w14:paraId="35CBDA10">
      <w:pPr>
        <w:pStyle w:val="163"/>
        <w:autoSpaceDE w:val="0"/>
        <w:autoSpaceDN w:val="0"/>
        <w:adjustRightInd w:val="0"/>
        <w:jc w:val="left"/>
        <w:rPr>
          <w:rFonts w:ascii="宋体" w:hAnsi="宋体"/>
          <w:sz w:val="30"/>
          <w:szCs w:val="30"/>
          <w:highlight w:val="none"/>
        </w:rPr>
      </w:pPr>
      <w:r>
        <w:rPr>
          <w:rFonts w:hint="eastAsia" w:ascii="宋体" w:hAnsi="宋体"/>
          <w:sz w:val="30"/>
          <w:szCs w:val="30"/>
          <w:highlight w:val="none"/>
        </w:rPr>
        <w:t>附件2</w:t>
      </w:r>
    </w:p>
    <w:p w14:paraId="4EC71F92">
      <w:pPr>
        <w:pStyle w:val="52"/>
        <w:ind w:left="0" w:leftChars="0" w:firstLine="0" w:firstLineChars="0"/>
        <w:rPr>
          <w:rFonts w:ascii="宋体" w:hAnsi="宋体"/>
          <w:sz w:val="24"/>
          <w:szCs w:val="24"/>
          <w:highlight w:val="none"/>
        </w:rPr>
      </w:pPr>
    </w:p>
    <w:p w14:paraId="6475E232">
      <w:pPr>
        <w:pStyle w:val="163"/>
        <w:autoSpaceDE w:val="0"/>
        <w:autoSpaceDN w:val="0"/>
        <w:adjustRightInd w:val="0"/>
        <w:jc w:val="center"/>
        <w:rPr>
          <w:rFonts w:ascii="黑体" w:hAnsi="Arial" w:eastAsia="黑体"/>
          <w:kern w:val="0"/>
          <w:sz w:val="36"/>
          <w:szCs w:val="36"/>
          <w:highlight w:val="none"/>
        </w:rPr>
      </w:pPr>
      <w:r>
        <w:rPr>
          <w:rFonts w:hint="eastAsia" w:ascii="黑体" w:hAnsi="Arial" w:eastAsia="黑体"/>
          <w:kern w:val="0"/>
          <w:sz w:val="36"/>
          <w:szCs w:val="36"/>
          <w:highlight w:val="none"/>
        </w:rPr>
        <w:t>安全生产责任书</w:t>
      </w:r>
    </w:p>
    <w:p w14:paraId="1A920A38">
      <w:pPr>
        <w:pStyle w:val="52"/>
        <w:ind w:left="0" w:leftChars="0" w:firstLine="0" w:firstLineChars="0"/>
        <w:rPr>
          <w:rFonts w:ascii="宋体" w:hAnsi="宋体"/>
          <w:sz w:val="24"/>
          <w:szCs w:val="24"/>
          <w:highlight w:val="none"/>
        </w:rPr>
      </w:pPr>
    </w:p>
    <w:p w14:paraId="7D3B7BDE">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为在</w:t>
      </w:r>
      <w:r>
        <w:rPr>
          <w:rFonts w:hint="eastAsia" w:ascii="宋体" w:hAnsi="宋体"/>
          <w:szCs w:val="21"/>
          <w:highlight w:val="none"/>
          <w:u w:val="single"/>
          <w:lang w:val="en-US" w:eastAsia="zh-CN"/>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szCs w:val="21"/>
          <w:highlight w:val="none"/>
        </w:rPr>
        <w:t>建设过程中创造安全、高效的施工环境，切实搞好本项目的安全管理工作，本项目业主深圳市龙岗区</w:t>
      </w:r>
      <w:r>
        <w:rPr>
          <w:rFonts w:hint="eastAsia" w:ascii="宋体" w:hAnsi="宋体"/>
          <w:szCs w:val="21"/>
          <w:highlight w:val="none"/>
          <w:lang w:val="en-US" w:eastAsia="zh-CN"/>
        </w:rPr>
        <w:t>城投置地开发有限公司</w:t>
      </w:r>
      <w:r>
        <w:rPr>
          <w:rFonts w:hint="eastAsia" w:ascii="宋体" w:hAnsi="宋体"/>
          <w:szCs w:val="21"/>
          <w:highlight w:val="none"/>
        </w:rPr>
        <w:t>（以下简称“委托人”）与监理人__________________________________ （以下简称“监理人”）特此签订安全生产合同：</w:t>
      </w:r>
    </w:p>
    <w:p w14:paraId="3FA55251">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一、委托人职责</w:t>
      </w:r>
    </w:p>
    <w:p w14:paraId="073B6F18">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1．严格遵守国家有关安全生产的法律法规，认真执行工程施工承包合同中的有关安全要求，督促、检查监理人做好安全生产工作。</w:t>
      </w:r>
    </w:p>
    <w:p w14:paraId="04490239">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2．重要的安全设施必须坚持与主体工程“三同时”原则中“同时设计，审批，同时验收，投入使用”两大原则。</w:t>
      </w:r>
    </w:p>
    <w:p w14:paraId="5E4C39CA">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3．传达中央及地方有关安全生产的精神，听取监理人安全生产工作汇报，参与各施工单位安全生产评比。</w:t>
      </w:r>
    </w:p>
    <w:p w14:paraId="64E65804">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二、监理人职责</w:t>
      </w:r>
    </w:p>
    <w:p w14:paraId="48C8DE2A">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施工安全及文明施工监理的主要内容</w:t>
      </w:r>
    </w:p>
    <w:p w14:paraId="64CF5FC2">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1.监理人应贯彻执行</w:t>
      </w:r>
      <w:r>
        <w:rPr>
          <w:rFonts w:hint="eastAsia" w:ascii="宋体" w:hAnsi="宋体"/>
          <w:szCs w:val="21"/>
          <w:highlight w:val="none"/>
          <w:lang w:eastAsia="zh-CN"/>
        </w:rPr>
        <w:t>《中华人民共和国安全生产法》法</w:t>
      </w:r>
      <w:bookmarkStart w:id="107" w:name="_GoBack"/>
      <w:bookmarkEnd w:id="107"/>
      <w:r>
        <w:rPr>
          <w:rFonts w:hint="eastAsia" w:ascii="宋体" w:hAnsi="宋体"/>
          <w:szCs w:val="21"/>
          <w:highlight w:val="none"/>
        </w:rPr>
        <w:t>律、法规、规章和标准，按照深圳市监理管理条例和业主安全管理的有关规定，把施工安全及文明施工监督纳入监理范围，与工程质量、工期和投资控制同步实施。监理规划和监理实施细则中应专门列入施工安全级文明施工监理的内容，制定安全监理方案，建立、健全和完善安全管理制度；</w:t>
      </w:r>
    </w:p>
    <w:p w14:paraId="0CB04909">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2.监理人将对承包商的文明施工、安全检查工作及事故预防工作作为监理的日常工作，掌握标段安全生产状况，对重要的薄弱环节、重大危险点、危险源，进行安全监理旁站；</w:t>
      </w:r>
    </w:p>
    <w:p w14:paraId="279FB797">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3.监理人必须按照有关的施工安全法规、规范及标准的要求对承包商的施工组织设计的安全技术措施进行审查；</w:t>
      </w:r>
    </w:p>
    <w:p w14:paraId="2B393753">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4.监理人员应对施工过程进行有目的巡查，督促承包商建立与完善安全生产、文明施工管理制度及安全技术操作规程，落实安全技术措施；</w:t>
      </w:r>
    </w:p>
    <w:p w14:paraId="33C018AD">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5.监理人应针对施工中的不安全因素与安全工作中的薄弱环节进行研究，书面提出要求并督促承包商改进；</w:t>
      </w:r>
    </w:p>
    <w:p w14:paraId="2E609EA3">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6.监理人应对涉及施工安全的支撑体系、大型垂直运输设备等重要临时设施的施工方案进行审查，确保其符合有关法规、规范及标准的要求，不符合要求的，应向承包商提出改进意见并督促落实；</w:t>
      </w:r>
    </w:p>
    <w:p w14:paraId="7ECFB099">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7.监理人应审查特殊机械和特殊工种的操作人员的资格证、上岗证及年检合格证；</w:t>
      </w:r>
    </w:p>
    <w:p w14:paraId="2045A755">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8.监理人应组织定期和不定期的安全检查，配合深圳市施工安全监督站对标段的监督检查，对检查发现的隐患应立即发出监理通知，按监理通知和深圳市施工安全监督站发出的整改通知书的要求，督促、跟踪承包商“定人、定时、定措施”落实整改。对未按要求整改的承包商，即再发出第二次监理通知。对两次发出整改通知而拒不整改的承包商，监理以书面形式向业主安全管理职能部门报告，并配合业主采取必要的措施，落实整改；</w:t>
      </w:r>
    </w:p>
    <w:p w14:paraId="535F1C53">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9.合同执行期间，监理单位必须接受业主安全管理职能部门的监督，按统一的表格形式（如以标段为单位），逐月向业主安全管理等职能部门递交书面安全监理工作报告，如实反映标段本月的安全生产状况和下月安全监理的工作重点；</w:t>
      </w:r>
    </w:p>
    <w:p w14:paraId="4D310436">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10.一旦发生安全事故，监理单位必须作出快速反映，在一小时以内向业主安全管理职能部门报告，并督促承包商进行事故的及时上报和配合调查、处理与统计工作。</w:t>
      </w:r>
    </w:p>
    <w:p w14:paraId="4B7EBFD5">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11.协助业主做好以下施工安全管理工作：</w:t>
      </w:r>
    </w:p>
    <w:p w14:paraId="62799663">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1)协助业主编制施工安全管理程序及施工安全控制计划，制订安全控制保证措施；</w:t>
      </w:r>
    </w:p>
    <w:p w14:paraId="7B6F3D81">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2)协助业主制定施工安全目标，编制安全、文明施工管理办法；</w:t>
      </w:r>
    </w:p>
    <w:p w14:paraId="07F51629">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3)抽查承包商的安全教育（三级教育）情况，抽验承包商特种工人上岗证，检查承包商的安全保证体系运行情况；</w:t>
      </w:r>
    </w:p>
    <w:p w14:paraId="033374F7">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4)对施工现场进行安全巡视，参加每月定期安全检查，协助业主建立安全工作</w:t>
      </w:r>
      <w:r>
        <w:rPr>
          <w:rFonts w:hint="eastAsia" w:ascii="宋体" w:hAnsi="宋体"/>
          <w:szCs w:val="21"/>
          <w:highlight w:val="none"/>
          <w:lang w:eastAsia="zh-CN"/>
        </w:rPr>
        <w:t>台账</w:t>
      </w:r>
      <w:r>
        <w:rPr>
          <w:rFonts w:hint="eastAsia" w:ascii="宋体" w:hAnsi="宋体"/>
          <w:szCs w:val="21"/>
          <w:highlight w:val="none"/>
        </w:rPr>
        <w:t>，分析安全状况并提出安全预控意见。</w:t>
      </w:r>
    </w:p>
    <w:p w14:paraId="77DCE6AD">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5)参加事故现场调查和安全事故分析会议，协助业主处理安全事故，起草事故调查分析报告；</w:t>
      </w:r>
    </w:p>
    <w:p w14:paraId="36586074">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6)每月提交安全、文明检查报告，协助业主总结每季度的情况是否达到施工安全目标；</w:t>
      </w:r>
    </w:p>
    <w:p w14:paraId="75ABE809">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7)每季度提交安全文明检查评比报告。</w:t>
      </w:r>
    </w:p>
    <w:p w14:paraId="7940B4A4">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12.协助业主组织质量安全文明施工检查考核：</w:t>
      </w:r>
    </w:p>
    <w:p w14:paraId="365C5655">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1)协助业主组织施工监理组、施工单位做好质量安全文明施工检查和合同履约考核；</w:t>
      </w:r>
    </w:p>
    <w:p w14:paraId="673FFE7D">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2)制定巡视和检查制度，制定质量检查评比办法，每季度组织一次质量大检查，奖优罚劣；</w:t>
      </w:r>
    </w:p>
    <w:p w14:paraId="0A99D13B">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3) 根据工程需要组织审核进场工程材料（混凝土、防水材料、石材、钢材等）、构配件、机械设备的质量证明资料，对进场实物按照有关工程质量安全管理的规定按比例抽检或见证取样、送样检验工作；</w:t>
      </w:r>
    </w:p>
    <w:p w14:paraId="7B24DE9C">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4)当施工存在重大质量安全隐患，可能造成质量安全事故或已经造成质量安全事故时，立刻下达工程停工令，责令承包商停工整改并跟踪整改；</w:t>
      </w:r>
    </w:p>
    <w:p w14:paraId="1A62CDD7">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5)及时提交有关质量事故的书面报告，划分质量事故责任，整理质量事故处理记录等资料，并负责归档；</w:t>
      </w:r>
    </w:p>
    <w:p w14:paraId="2FB9130F">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6)编制并提交工程质量安全报告，汇报工程的质量安全情况。</w:t>
      </w:r>
    </w:p>
    <w:p w14:paraId="16D2EEF3">
      <w:pPr>
        <w:pStyle w:val="163"/>
        <w:autoSpaceDE w:val="0"/>
        <w:autoSpaceDN w:val="0"/>
        <w:adjustRightInd w:val="0"/>
        <w:spacing w:line="300" w:lineRule="auto"/>
        <w:ind w:firstLine="420" w:firstLineChars="200"/>
        <w:jc w:val="left"/>
        <w:rPr>
          <w:rFonts w:ascii="宋体" w:hAnsi="宋体"/>
          <w:szCs w:val="21"/>
          <w:highlight w:val="none"/>
        </w:rPr>
      </w:pPr>
      <w:r>
        <w:rPr>
          <w:rFonts w:hint="eastAsia" w:ascii="宋体" w:hAnsi="宋体"/>
          <w:szCs w:val="21"/>
          <w:highlight w:val="none"/>
        </w:rPr>
        <w:t xml:space="preserve">三、违约责任  </w:t>
      </w:r>
    </w:p>
    <w:p w14:paraId="21316BD3">
      <w:pPr>
        <w:pStyle w:val="163"/>
        <w:autoSpaceDE w:val="0"/>
        <w:autoSpaceDN w:val="0"/>
        <w:adjustRightInd w:val="0"/>
        <w:spacing w:line="300" w:lineRule="auto"/>
        <w:ind w:firstLine="420" w:firstLineChars="200"/>
        <w:jc w:val="left"/>
        <w:rPr>
          <w:rFonts w:hint="eastAsia" w:ascii="宋体" w:hAnsi="宋体"/>
          <w:szCs w:val="21"/>
          <w:highlight w:val="none"/>
        </w:rPr>
      </w:pPr>
      <w:r>
        <w:rPr>
          <w:rFonts w:hint="eastAsia" w:ascii="宋体" w:hAnsi="宋体"/>
          <w:szCs w:val="21"/>
          <w:highlight w:val="none"/>
        </w:rPr>
        <w:t xml:space="preserve">如因委托人或监理人违约造成安全事故，将依法追究责任。 </w:t>
      </w:r>
    </w:p>
    <w:p w14:paraId="01DCB090">
      <w:pPr>
        <w:pStyle w:val="163"/>
        <w:autoSpaceDE w:val="0"/>
        <w:autoSpaceDN w:val="0"/>
        <w:adjustRightInd w:val="0"/>
        <w:spacing w:line="300" w:lineRule="auto"/>
        <w:ind w:firstLine="420" w:firstLineChars="200"/>
        <w:jc w:val="left"/>
        <w:rPr>
          <w:rFonts w:hint="eastAsia" w:ascii="宋体" w:hAnsi="宋体"/>
          <w:szCs w:val="21"/>
          <w:highlight w:val="none"/>
        </w:rPr>
      </w:pPr>
    </w:p>
    <w:p w14:paraId="7048CBEB">
      <w:pPr>
        <w:pStyle w:val="163"/>
        <w:autoSpaceDE w:val="0"/>
        <w:autoSpaceDN w:val="0"/>
        <w:adjustRightInd w:val="0"/>
        <w:spacing w:line="300" w:lineRule="auto"/>
        <w:ind w:firstLine="420" w:firstLineChars="200"/>
        <w:jc w:val="left"/>
        <w:rPr>
          <w:rFonts w:hint="eastAsia" w:ascii="宋体" w:hAnsi="宋体"/>
          <w:szCs w:val="21"/>
          <w:highlight w:val="none"/>
        </w:rPr>
      </w:pPr>
    </w:p>
    <w:p w14:paraId="5366E041">
      <w:pPr>
        <w:pStyle w:val="163"/>
        <w:autoSpaceDE w:val="0"/>
        <w:autoSpaceDN w:val="0"/>
        <w:adjustRightInd w:val="0"/>
        <w:spacing w:line="300" w:lineRule="auto"/>
        <w:ind w:firstLine="420" w:firstLineChars="200"/>
        <w:jc w:val="left"/>
        <w:rPr>
          <w:rFonts w:hint="eastAsia" w:ascii="宋体" w:hAnsi="宋体"/>
          <w:szCs w:val="21"/>
          <w:highlight w:val="none"/>
        </w:rPr>
      </w:pPr>
    </w:p>
    <w:p w14:paraId="00D1CEA3">
      <w:pPr>
        <w:pStyle w:val="163"/>
        <w:autoSpaceDE w:val="0"/>
        <w:autoSpaceDN w:val="0"/>
        <w:adjustRightInd w:val="0"/>
        <w:spacing w:line="300" w:lineRule="auto"/>
        <w:ind w:firstLine="420" w:firstLineChars="200"/>
        <w:jc w:val="left"/>
        <w:rPr>
          <w:rFonts w:hint="eastAsia" w:ascii="宋体" w:hAnsi="宋体"/>
          <w:szCs w:val="21"/>
          <w:highlight w:val="none"/>
        </w:rPr>
      </w:pPr>
    </w:p>
    <w:p w14:paraId="33EE8999">
      <w:pPr>
        <w:pStyle w:val="24"/>
        <w:rPr>
          <w:rFonts w:ascii="宋体" w:hAnsi="宋体"/>
          <w:szCs w:val="21"/>
          <w:highlight w:val="none"/>
        </w:rPr>
      </w:pPr>
    </w:p>
    <w:p w14:paraId="129F445E">
      <w:pPr>
        <w:adjustRightInd w:val="0"/>
        <w:snapToGrid w:val="0"/>
        <w:spacing w:line="520" w:lineRule="exact"/>
        <w:rPr>
          <w:rFonts w:ascii="宋体" w:hAnsi="宋体"/>
          <w:szCs w:val="21"/>
          <w:highlight w:val="none"/>
        </w:rPr>
      </w:pPr>
      <w:r>
        <w:rPr>
          <w:rFonts w:hint="eastAsia" w:ascii="宋体" w:hAnsi="宋体"/>
          <w:szCs w:val="21"/>
          <w:highlight w:val="none"/>
        </w:rPr>
        <w:t>委托人</w:t>
      </w:r>
      <w:r>
        <w:rPr>
          <w:rFonts w:ascii="宋体" w:hAnsi="宋体"/>
          <w:szCs w:val="21"/>
          <w:highlight w:val="none"/>
        </w:rPr>
        <w:t xml:space="preserve">单位（盖章）：　  </w:t>
      </w:r>
      <w:r>
        <w:rPr>
          <w:rFonts w:hint="eastAsia" w:ascii="宋体" w:hAnsi="宋体"/>
          <w:szCs w:val="21"/>
          <w:highlight w:val="none"/>
        </w:rPr>
        <w:t xml:space="preserve">                         监理人</w:t>
      </w:r>
      <w:r>
        <w:rPr>
          <w:rFonts w:ascii="宋体" w:hAnsi="宋体"/>
          <w:szCs w:val="21"/>
          <w:highlight w:val="none"/>
        </w:rPr>
        <w:t>单位（盖章）：</w:t>
      </w:r>
      <w:r>
        <w:rPr>
          <w:rFonts w:hint="eastAsia" w:ascii="宋体" w:hAnsi="宋体"/>
          <w:szCs w:val="21"/>
          <w:highlight w:val="none"/>
        </w:rPr>
        <w:t xml:space="preserve"> </w:t>
      </w:r>
    </w:p>
    <w:p w14:paraId="095E4E39">
      <w:pPr>
        <w:adjustRightInd w:val="0"/>
        <w:snapToGrid w:val="0"/>
        <w:spacing w:line="520" w:lineRule="exact"/>
        <w:ind w:firstLine="2310" w:firstLineChars="1100"/>
        <w:rPr>
          <w:rFonts w:ascii="宋体" w:hAnsi="宋体"/>
          <w:szCs w:val="21"/>
          <w:highlight w:val="none"/>
        </w:rPr>
      </w:pPr>
      <w:r>
        <w:rPr>
          <w:rFonts w:ascii="宋体" w:hAnsi="宋体"/>
          <w:szCs w:val="21"/>
          <w:highlight w:val="none"/>
        </w:rPr>
        <w:t xml:space="preserve">                       </w:t>
      </w:r>
    </w:p>
    <w:p w14:paraId="6C7399E7">
      <w:pPr>
        <w:pStyle w:val="163"/>
        <w:autoSpaceDE w:val="0"/>
        <w:autoSpaceDN w:val="0"/>
        <w:adjustRightInd w:val="0"/>
        <w:spacing w:line="300" w:lineRule="auto"/>
        <w:jc w:val="left"/>
        <w:rPr>
          <w:rFonts w:ascii="宋体" w:hAnsi="宋体"/>
          <w:szCs w:val="21"/>
          <w:highlight w:val="none"/>
        </w:rPr>
      </w:pPr>
    </w:p>
    <w:p w14:paraId="6678AA33">
      <w:pPr>
        <w:pStyle w:val="163"/>
        <w:autoSpaceDE w:val="0"/>
        <w:autoSpaceDN w:val="0"/>
        <w:adjustRightInd w:val="0"/>
        <w:spacing w:line="300" w:lineRule="auto"/>
        <w:jc w:val="left"/>
        <w:rPr>
          <w:rFonts w:ascii="宋体" w:hAnsi="宋体"/>
          <w:szCs w:val="21"/>
          <w:highlight w:val="none"/>
        </w:rPr>
      </w:pPr>
      <w:r>
        <w:rPr>
          <w:rFonts w:ascii="宋体" w:hAnsi="宋体"/>
          <w:szCs w:val="21"/>
          <w:highlight w:val="none"/>
        </w:rPr>
        <w:t xml:space="preserve">法定代表人：　　　　　　　　　              </w:t>
      </w:r>
      <w:r>
        <w:rPr>
          <w:rFonts w:hint="eastAsia" w:ascii="宋体" w:hAnsi="宋体"/>
          <w:szCs w:val="21"/>
          <w:highlight w:val="none"/>
        </w:rPr>
        <w:t xml:space="preserve">    </w:t>
      </w:r>
      <w:r>
        <w:rPr>
          <w:rFonts w:ascii="宋体" w:hAnsi="宋体"/>
          <w:szCs w:val="21"/>
          <w:highlight w:val="none"/>
        </w:rPr>
        <w:t>法定代表人：</w:t>
      </w:r>
    </w:p>
    <w:p w14:paraId="0A64C96F">
      <w:pPr>
        <w:pStyle w:val="163"/>
        <w:autoSpaceDE w:val="0"/>
        <w:autoSpaceDN w:val="0"/>
        <w:adjustRightInd w:val="0"/>
        <w:spacing w:line="300" w:lineRule="auto"/>
        <w:jc w:val="left"/>
        <w:rPr>
          <w:rFonts w:ascii="宋体" w:hAnsi="宋体"/>
          <w:szCs w:val="21"/>
          <w:highlight w:val="none"/>
        </w:rPr>
      </w:pPr>
    </w:p>
    <w:p w14:paraId="5CAAB822">
      <w:pPr>
        <w:pStyle w:val="163"/>
        <w:autoSpaceDE w:val="0"/>
        <w:autoSpaceDN w:val="0"/>
        <w:adjustRightInd w:val="0"/>
        <w:spacing w:line="300" w:lineRule="auto"/>
        <w:jc w:val="left"/>
        <w:rPr>
          <w:rFonts w:ascii="宋体" w:hAnsi="宋体"/>
          <w:szCs w:val="21"/>
          <w:highlight w:val="none"/>
        </w:rPr>
      </w:pPr>
      <w:r>
        <w:rPr>
          <w:rFonts w:hint="eastAsia" w:ascii="宋体" w:hAnsi="宋体"/>
          <w:szCs w:val="21"/>
          <w:highlight w:val="none"/>
        </w:rPr>
        <w:t>授权代理人：                                    授权代理人：</w:t>
      </w:r>
    </w:p>
    <w:p w14:paraId="332AC3B1">
      <w:pPr>
        <w:pStyle w:val="163"/>
        <w:autoSpaceDE w:val="0"/>
        <w:autoSpaceDN w:val="0"/>
        <w:adjustRightInd w:val="0"/>
        <w:spacing w:line="300" w:lineRule="auto"/>
        <w:jc w:val="left"/>
        <w:rPr>
          <w:rFonts w:ascii="宋体" w:hAnsi="宋体"/>
          <w:szCs w:val="21"/>
          <w:highlight w:val="none"/>
        </w:rPr>
      </w:pPr>
      <w:r>
        <w:rPr>
          <w:rFonts w:hint="eastAsia" w:ascii="宋体" w:hAnsi="宋体"/>
          <w:szCs w:val="21"/>
          <w:highlight w:val="none"/>
        </w:rPr>
        <w:t xml:space="preserve"> </w:t>
      </w:r>
    </w:p>
    <w:p w14:paraId="41526392">
      <w:pPr>
        <w:pStyle w:val="147"/>
        <w:ind w:firstLine="630" w:firstLineChars="300"/>
        <w:rPr>
          <w:rFonts w:ascii="宋体" w:hAnsi="宋体"/>
          <w:szCs w:val="21"/>
          <w:highlight w:val="none"/>
        </w:rPr>
      </w:pPr>
      <w:r>
        <w:rPr>
          <w:rFonts w:ascii="宋体" w:hAnsi="宋体"/>
          <w:szCs w:val="21"/>
          <w:highlight w:val="none"/>
        </w:rPr>
        <w:t>年　　</w:t>
      </w:r>
      <w:r>
        <w:rPr>
          <w:rFonts w:hint="eastAsia" w:ascii="宋体" w:hAnsi="宋体"/>
          <w:szCs w:val="21"/>
          <w:highlight w:val="none"/>
        </w:rPr>
        <w:t xml:space="preserve"> </w:t>
      </w:r>
      <w:r>
        <w:rPr>
          <w:rFonts w:ascii="宋体" w:hAnsi="宋体"/>
          <w:szCs w:val="21"/>
          <w:highlight w:val="none"/>
        </w:rPr>
        <w:t>月　　日　　　　　                  　</w:t>
      </w:r>
      <w:r>
        <w:rPr>
          <w:rFonts w:hint="eastAsia" w:ascii="宋体" w:hAnsi="宋体"/>
          <w:szCs w:val="21"/>
          <w:highlight w:val="none"/>
        </w:rPr>
        <w:t xml:space="preserve">      </w:t>
      </w:r>
      <w:r>
        <w:rPr>
          <w:rFonts w:ascii="宋体" w:hAnsi="宋体"/>
          <w:szCs w:val="21"/>
          <w:highlight w:val="none"/>
        </w:rPr>
        <w:t>年　　月　　日</w:t>
      </w:r>
    </w:p>
    <w:p w14:paraId="4D6F246E">
      <w:pPr>
        <w:spacing w:line="360" w:lineRule="auto"/>
        <w:ind w:firstLine="440" w:firstLineChars="200"/>
        <w:jc w:val="left"/>
        <w:rPr>
          <w:rFonts w:ascii="宋体" w:hAnsi="宋体"/>
          <w:sz w:val="22"/>
          <w:highlight w:val="none"/>
        </w:rPr>
      </w:pPr>
    </w:p>
    <w:p w14:paraId="19455F5F">
      <w:pPr>
        <w:pStyle w:val="43"/>
        <w:rPr>
          <w:rFonts w:ascii="宋体" w:hAnsi="宋体"/>
          <w:sz w:val="22"/>
          <w:highlight w:val="none"/>
        </w:rPr>
      </w:pPr>
    </w:p>
    <w:p w14:paraId="2186D57B">
      <w:pPr>
        <w:bidi w:val="0"/>
        <w:rPr>
          <w:highlight w:val="none"/>
        </w:rPr>
      </w:pPr>
    </w:p>
    <w:p w14:paraId="1BA6B53E">
      <w:pPr>
        <w:rPr>
          <w:highlight w:val="none"/>
        </w:rPr>
      </w:pPr>
    </w:p>
    <w:p w14:paraId="0FDF47A7">
      <w:pPr>
        <w:pStyle w:val="105"/>
        <w:rPr>
          <w:highlight w:val="none"/>
        </w:rPr>
      </w:pPr>
    </w:p>
    <w:p w14:paraId="0ADF7611">
      <w:pPr>
        <w:pStyle w:val="105"/>
        <w:rPr>
          <w:highlight w:val="none"/>
        </w:rPr>
      </w:pPr>
    </w:p>
    <w:p w14:paraId="4D56F3D1">
      <w:pPr>
        <w:pStyle w:val="105"/>
        <w:rPr>
          <w:highlight w:val="none"/>
        </w:rPr>
      </w:pPr>
    </w:p>
    <w:p w14:paraId="17AF262D">
      <w:pPr>
        <w:pStyle w:val="105"/>
        <w:rPr>
          <w:highlight w:val="none"/>
        </w:rPr>
      </w:pPr>
    </w:p>
    <w:p w14:paraId="3378A4CD">
      <w:pPr>
        <w:pStyle w:val="105"/>
        <w:rPr>
          <w:highlight w:val="none"/>
        </w:rPr>
      </w:pPr>
    </w:p>
    <w:p w14:paraId="3B14E2D9">
      <w:pPr>
        <w:pStyle w:val="105"/>
        <w:rPr>
          <w:highlight w:val="none"/>
        </w:rPr>
      </w:pPr>
    </w:p>
    <w:p w14:paraId="04448EC0">
      <w:pPr>
        <w:pStyle w:val="105"/>
        <w:rPr>
          <w:highlight w:val="none"/>
        </w:rPr>
      </w:pPr>
    </w:p>
    <w:p w14:paraId="3E8AA5C7">
      <w:pPr>
        <w:pStyle w:val="105"/>
        <w:rPr>
          <w:highlight w:val="none"/>
        </w:rPr>
      </w:pPr>
    </w:p>
    <w:p w14:paraId="4F59C15F">
      <w:pPr>
        <w:pStyle w:val="105"/>
        <w:rPr>
          <w:highlight w:val="none"/>
        </w:rPr>
      </w:pPr>
    </w:p>
    <w:p w14:paraId="65A27390">
      <w:pPr>
        <w:pStyle w:val="105"/>
        <w:rPr>
          <w:highlight w:val="none"/>
        </w:rPr>
      </w:pPr>
    </w:p>
    <w:p w14:paraId="7E8CCBD1">
      <w:pPr>
        <w:pStyle w:val="4"/>
        <w:numPr>
          <w:ilvl w:val="0"/>
          <w:numId w:val="0"/>
        </w:numPr>
        <w:tabs>
          <w:tab w:val="clear" w:pos="1080"/>
        </w:tabs>
        <w:spacing w:line="360" w:lineRule="auto"/>
        <w:rPr>
          <w:rFonts w:ascii="宋体" w:hAnsi="宋体" w:cs="宋体"/>
          <w:sz w:val="24"/>
          <w:szCs w:val="24"/>
          <w:highlight w:val="none"/>
        </w:rPr>
      </w:pPr>
      <w:bookmarkStart w:id="106" w:name="_Toc15069"/>
      <w:r>
        <w:rPr>
          <w:rFonts w:hint="eastAsia" w:ascii="宋体" w:hAnsi="宋体" w:eastAsia="宋体" w:cs="Times New Roman"/>
          <w:b w:val="0"/>
          <w:bCs w:val="0"/>
          <w:kern w:val="2"/>
          <w:sz w:val="30"/>
          <w:szCs w:val="30"/>
          <w:highlight w:val="none"/>
          <w:lang w:val="en-US" w:eastAsia="zh-CN" w:bidi="ar-SA"/>
        </w:rPr>
        <w:t>附件3</w:t>
      </w:r>
      <w:bookmarkEnd w:id="106"/>
      <w:r>
        <w:rPr>
          <w:rFonts w:hint="eastAsia" w:ascii="宋体" w:hAnsi="宋体" w:eastAsia="宋体" w:cs="Times New Roman"/>
          <w:b w:val="0"/>
          <w:bCs w:val="0"/>
          <w:kern w:val="2"/>
          <w:sz w:val="30"/>
          <w:szCs w:val="30"/>
          <w:highlight w:val="none"/>
          <w:lang w:val="en-US" w:eastAsia="zh-CN" w:bidi="ar-SA"/>
        </w:rPr>
        <w:t xml:space="preserve"> </w:t>
      </w:r>
      <w:r>
        <w:rPr>
          <w:rFonts w:hint="eastAsia" w:ascii="宋体" w:hAnsi="宋体" w:cs="宋体"/>
          <w:sz w:val="24"/>
          <w:szCs w:val="24"/>
          <w:highlight w:val="none"/>
        </w:rPr>
        <w:t xml:space="preserve">             </w:t>
      </w:r>
    </w:p>
    <w:p w14:paraId="5431FF57">
      <w:pPr>
        <w:pStyle w:val="2"/>
        <w:spacing w:line="520" w:lineRule="exact"/>
        <w:ind w:firstLine="1601" w:firstLineChars="500"/>
        <w:rPr>
          <w:rStyle w:val="150"/>
          <w:rFonts w:ascii="宋体" w:hAnsi="宋体" w:eastAsia="宋体" w:cs="宋体"/>
          <w:sz w:val="24"/>
          <w:szCs w:val="24"/>
          <w:highlight w:val="none"/>
        </w:rPr>
      </w:pPr>
      <w:r>
        <w:rPr>
          <w:rStyle w:val="149"/>
          <w:rFonts w:hint="eastAsia" w:ascii="宋体" w:hAnsi="宋体" w:eastAsia="宋体" w:cs="宋体"/>
          <w:b/>
          <w:bCs/>
          <w:sz w:val="32"/>
          <w:szCs w:val="32"/>
          <w:highlight w:val="none"/>
        </w:rPr>
        <w:t>龙岗区进一步规范政商交往行为告知书</w:t>
      </w:r>
      <w:r>
        <w:rPr>
          <w:rFonts w:hint="eastAsia" w:hAnsi="宋体" w:cs="宋体"/>
          <w:color w:val="000000"/>
          <w:sz w:val="24"/>
          <w:szCs w:val="24"/>
          <w:highlight w:val="none"/>
        </w:rPr>
        <w:br w:type="textWrapping"/>
      </w:r>
      <w:r>
        <w:rPr>
          <w:rFonts w:hint="eastAsia" w:hAnsi="宋体" w:cs="宋体"/>
          <w:color w:val="000000"/>
          <w:sz w:val="24"/>
          <w:szCs w:val="24"/>
          <w:highlight w:val="none"/>
        </w:rPr>
        <w:t xml:space="preserve">    </w:t>
      </w:r>
      <w:r>
        <w:rPr>
          <w:rStyle w:val="150"/>
          <w:rFonts w:hint="eastAsia" w:ascii="宋体" w:hAnsi="宋体" w:eastAsia="宋体" w:cs="宋体"/>
          <w:sz w:val="24"/>
          <w:szCs w:val="24"/>
          <w:highlight w:val="none"/>
        </w:rPr>
        <w:t>为深入构建“亲”“清”新型政商关系， 努力打造尊商、 亲商、 助商、安商良好营商环境</w:t>
      </w:r>
      <w:r>
        <w:rPr>
          <w:rStyle w:val="150"/>
          <w:rFonts w:hint="eastAsia" w:ascii="宋体" w:hAnsi="宋体" w:cs="宋体"/>
          <w:sz w:val="24"/>
          <w:szCs w:val="24"/>
          <w:highlight w:val="none"/>
        </w:rPr>
        <w:t>，</w:t>
      </w:r>
      <w:r>
        <w:rPr>
          <w:rStyle w:val="150"/>
          <w:rFonts w:hint="eastAsia" w:ascii="宋体" w:hAnsi="宋体" w:eastAsia="宋体" w:cs="宋体"/>
          <w:sz w:val="24"/>
          <w:szCs w:val="24"/>
          <w:highlight w:val="none"/>
        </w:rPr>
        <w:t>龙岗区委区政府制定了《龙岗区公职人员政商交往“十个不准” 》 ， 严明公职人员在政商交往中的纪律要求。请参与龙岗建设的广大企业及其从业人员， 严格监督我区公职人员落实“十个不准” ， 并在与我区公职人员交往中切实做到“十个不得”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一、 不得向公职人员赠送礼品、 礼金、 消费卡等财物。</w:t>
      </w:r>
    </w:p>
    <w:p w14:paraId="3D70128B">
      <w:pPr>
        <w:pStyle w:val="2"/>
        <w:numPr>
          <w:ilvl w:val="0"/>
          <w:numId w:val="14"/>
        </w:numPr>
        <w:spacing w:line="520" w:lineRule="exact"/>
        <w:ind w:firstLine="480" w:firstLineChars="200"/>
        <w:rPr>
          <w:rStyle w:val="150"/>
          <w:rFonts w:ascii="宋体" w:hAnsi="宋体" w:eastAsia="宋体" w:cs="宋体"/>
          <w:sz w:val="24"/>
          <w:szCs w:val="24"/>
          <w:highlight w:val="none"/>
        </w:rPr>
      </w:pPr>
      <w:r>
        <w:rPr>
          <w:rStyle w:val="150"/>
          <w:rFonts w:hint="eastAsia" w:ascii="宋体" w:hAnsi="宋体" w:eastAsia="宋体" w:cs="宋体"/>
          <w:sz w:val="24"/>
          <w:szCs w:val="24"/>
          <w:highlight w:val="none"/>
        </w:rPr>
        <w:t>不得违规向公职人员提供宴请、 旅游、 娱乐等安排。</w:t>
      </w:r>
    </w:p>
    <w:p w14:paraId="1C81C859">
      <w:pPr>
        <w:pStyle w:val="2"/>
        <w:numPr>
          <w:ilvl w:val="0"/>
          <w:numId w:val="14"/>
        </w:numPr>
        <w:spacing w:line="520" w:lineRule="exact"/>
        <w:ind w:firstLine="480" w:firstLineChars="200"/>
        <w:rPr>
          <w:rStyle w:val="150"/>
          <w:rFonts w:ascii="宋体" w:hAnsi="宋体" w:eastAsia="宋体" w:cs="宋体"/>
          <w:sz w:val="24"/>
          <w:szCs w:val="24"/>
          <w:highlight w:val="none"/>
        </w:rPr>
      </w:pPr>
      <w:r>
        <w:rPr>
          <w:rStyle w:val="150"/>
          <w:rFonts w:hint="eastAsia" w:ascii="宋体" w:hAnsi="宋体" w:eastAsia="宋体" w:cs="宋体"/>
          <w:sz w:val="24"/>
          <w:szCs w:val="24"/>
          <w:highlight w:val="none"/>
        </w:rPr>
        <w:t>不得通过打麻将等形式向公职人员输送利益。</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四、 不得为公职人员报销应由其个人支付的费用。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五、 不得违规向公职人员及其亲友借贷款。</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六、 不得违规将车辆、 住房等借给公职人员使用。</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七、 不得在招投标中与公职人员搞暗箱操作、 围标串标。</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八、 不得为利益相关人和公职人员牵线搭桥或者代为传递信息、 传递财物。</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九、 不得让公职人员在企业违规兼职取酬。</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r>
        <w:rPr>
          <w:rStyle w:val="150"/>
          <w:rFonts w:hint="eastAsia" w:ascii="宋体" w:hAnsi="宋体" w:eastAsia="宋体" w:cs="宋体"/>
          <w:sz w:val="24"/>
          <w:szCs w:val="24"/>
          <w:highlight w:val="none"/>
        </w:rPr>
        <w:t>十、 不得为公职人员亲友违规承揽业务提供便利。</w:t>
      </w:r>
    </w:p>
    <w:p w14:paraId="2BE0CDBC">
      <w:pPr>
        <w:pStyle w:val="2"/>
        <w:spacing w:line="520" w:lineRule="exact"/>
        <w:ind w:firstLine="480" w:firstLineChars="200"/>
        <w:jc w:val="left"/>
        <w:rPr>
          <w:rStyle w:val="150"/>
          <w:rFonts w:ascii="宋体" w:hAnsi="宋体" w:cs="宋体"/>
          <w:sz w:val="24"/>
          <w:szCs w:val="24"/>
          <w:highlight w:val="none"/>
        </w:rPr>
      </w:pPr>
      <w:r>
        <w:rPr>
          <w:rStyle w:val="150"/>
          <w:rFonts w:hint="eastAsia" w:ascii="宋体" w:hAnsi="宋体" w:eastAsia="宋体" w:cs="宋体"/>
          <w:sz w:val="24"/>
          <w:szCs w:val="24"/>
          <w:highlight w:val="none"/>
        </w:rPr>
        <w:t>上述“十个不得”，请您严格遵守。同时，在政商交往中，如有发现我区公职人员存在违反“十个不准”的问题，请及时通过网络举报平台或者 12388 举报电话等方式，向纪检监察机关反映举报，我们将一律严格保密、一律优先处置、一律严肃查处。</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p>
    <w:p w14:paraId="247C3C2A">
      <w:pPr>
        <w:pStyle w:val="2"/>
        <w:spacing w:line="520" w:lineRule="exact"/>
        <w:ind w:firstLine="480" w:firstLineChars="200"/>
        <w:jc w:val="left"/>
        <w:rPr>
          <w:rStyle w:val="150"/>
          <w:rFonts w:ascii="宋体" w:hAnsi="宋体" w:cs="宋体"/>
          <w:sz w:val="24"/>
          <w:szCs w:val="24"/>
          <w:highlight w:val="none"/>
        </w:rPr>
      </w:pPr>
      <w:r>
        <w:rPr>
          <w:rStyle w:val="150"/>
          <w:rFonts w:hint="eastAsia" w:ascii="宋体" w:hAnsi="宋体" w:eastAsia="宋体" w:cs="宋体"/>
          <w:sz w:val="24"/>
          <w:szCs w:val="24"/>
          <w:highlight w:val="none"/>
        </w:rPr>
        <w:t>本人已知晓上述告知内容， 并愿意遵照执行（签名） ：</w:t>
      </w:r>
      <w:r>
        <w:rPr>
          <w:rStyle w:val="150"/>
          <w:rFonts w:hint="eastAsia" w:ascii="宋体" w:hAnsi="宋体" w:eastAsia="宋体" w:cs="宋体"/>
          <w:sz w:val="24"/>
          <w:szCs w:val="24"/>
          <w:highlight w:val="none"/>
        </w:rPr>
        <w:br w:type="textWrapping"/>
      </w:r>
      <w:r>
        <w:rPr>
          <w:rStyle w:val="150"/>
          <w:rFonts w:hint="eastAsia" w:ascii="宋体" w:hAnsi="宋体" w:cs="宋体"/>
          <w:sz w:val="24"/>
          <w:szCs w:val="24"/>
          <w:highlight w:val="none"/>
        </w:rPr>
        <w:t xml:space="preserve">                                          </w:t>
      </w:r>
    </w:p>
    <w:p w14:paraId="797A8660">
      <w:pPr>
        <w:pStyle w:val="2"/>
        <w:spacing w:line="520" w:lineRule="exact"/>
        <w:ind w:firstLine="5280" w:firstLineChars="2200"/>
        <w:jc w:val="left"/>
        <w:rPr>
          <w:rStyle w:val="150"/>
          <w:rFonts w:ascii="宋体" w:hAnsi="宋体" w:eastAsia="宋体" w:cs="宋体"/>
          <w:sz w:val="24"/>
          <w:szCs w:val="24"/>
          <w:highlight w:val="none"/>
        </w:rPr>
      </w:pPr>
      <w:r>
        <w:rPr>
          <w:rStyle w:val="150"/>
          <w:rFonts w:hint="eastAsia" w:hAnsi="宋体" w:cs="宋体"/>
          <w:sz w:val="24"/>
          <w:szCs w:val="24"/>
          <w:highlight w:val="none"/>
          <w:lang w:val="en-US" w:eastAsia="zh-CN"/>
        </w:rPr>
        <w:t>2026</w:t>
      </w:r>
      <w:r>
        <w:rPr>
          <w:rStyle w:val="150"/>
          <w:rFonts w:hint="eastAsia" w:ascii="宋体" w:hAnsi="宋体" w:eastAsia="宋体" w:cs="宋体"/>
          <w:sz w:val="24"/>
          <w:szCs w:val="24"/>
          <w:highlight w:val="none"/>
          <w:lang w:val="en-US" w:eastAsia="zh-CN"/>
        </w:rPr>
        <w:t xml:space="preserve"> </w:t>
      </w:r>
      <w:r>
        <w:rPr>
          <w:rStyle w:val="150"/>
          <w:rFonts w:hint="eastAsia" w:ascii="宋体" w:hAnsi="宋体" w:eastAsia="宋体" w:cs="宋体"/>
          <w:sz w:val="24"/>
          <w:szCs w:val="24"/>
          <w:highlight w:val="none"/>
        </w:rPr>
        <w:t xml:space="preserve">年 </w:t>
      </w:r>
      <w:r>
        <w:rPr>
          <w:rStyle w:val="150"/>
          <w:rFonts w:hint="eastAsia" w:hAnsi="宋体" w:eastAsia="宋体" w:cs="宋体"/>
          <w:sz w:val="24"/>
          <w:szCs w:val="24"/>
          <w:highlight w:val="none"/>
        </w:rPr>
        <w:t xml:space="preserve">   </w:t>
      </w:r>
      <w:r>
        <w:rPr>
          <w:rStyle w:val="150"/>
          <w:rFonts w:hint="eastAsia" w:ascii="宋体" w:hAnsi="宋体" w:eastAsia="宋体" w:cs="宋体"/>
          <w:sz w:val="24"/>
          <w:szCs w:val="24"/>
          <w:highlight w:val="none"/>
        </w:rPr>
        <w:t>月</w:t>
      </w:r>
      <w:r>
        <w:rPr>
          <w:rStyle w:val="150"/>
          <w:rFonts w:hint="eastAsia" w:hAnsi="宋体" w:eastAsia="宋体" w:cs="宋体"/>
          <w:sz w:val="24"/>
          <w:szCs w:val="24"/>
          <w:highlight w:val="none"/>
        </w:rPr>
        <w:t xml:space="preserve">  </w:t>
      </w:r>
      <w:r>
        <w:rPr>
          <w:rStyle w:val="150"/>
          <w:rFonts w:hint="eastAsia" w:ascii="宋体" w:hAnsi="宋体" w:eastAsia="宋体" w:cs="宋体"/>
          <w:sz w:val="24"/>
          <w:szCs w:val="24"/>
          <w:highlight w:val="none"/>
        </w:rPr>
        <w:t xml:space="preserve"> 日</w:t>
      </w:r>
    </w:p>
    <w:bookmarkEnd w:id="0"/>
    <w:p w14:paraId="0BDE8D97">
      <w:pPr>
        <w:rPr>
          <w:rFonts w:hint="eastAsia" w:hAnsi="宋体"/>
          <w:bCs/>
          <w:sz w:val="24"/>
          <w:highlight w:val="none"/>
        </w:rPr>
      </w:pPr>
    </w:p>
    <w:sectPr>
      <w:pgSz w:w="11906" w:h="16838"/>
      <w:pgMar w:top="1440" w:right="1800" w:bottom="1440" w:left="1800" w:header="850" w:footer="992" w:gutter="0"/>
      <w:pgBorders>
        <w:top w:val="none" w:sz="0" w:space="0"/>
        <w:left w:val="none" w:sz="0" w:space="0"/>
        <w:bottom w:val="none" w:sz="0" w:space="0"/>
        <w:right w:val="none" w:sz="0" w:space="0"/>
      </w:pgBorders>
      <w:pgNumType w:fmt="decimal"/>
      <w:cols w:space="0" w:num="1"/>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roman"/>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方正公文黑体">
    <w:panose1 w:val="02000500000000000000"/>
    <w:charset w:val="86"/>
    <w:family w:val="auto"/>
    <w:pitch w:val="default"/>
    <w:sig w:usb0="A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603F01FF" w:csb1="FFFF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新宋体">
    <w:altName w:val="Noto Sans Mono CJK SC"/>
    <w:panose1 w:val="02010609030101010101"/>
    <w:charset w:val="86"/>
    <w:family w:val="modern"/>
    <w:pitch w:val="default"/>
    <w:sig w:usb0="00000000" w:usb1="00000000" w:usb2="00000006" w:usb3="00000000" w:csb0="00040001" w:csb1="00000000"/>
  </w:font>
  <w:font w:name="Noto Sans Mono CJK SC">
    <w:panose1 w:val="020B0500000000000000"/>
    <w:charset w:val="86"/>
    <w:family w:val="auto"/>
    <w:pitch w:val="default"/>
    <w:sig w:usb0="30000083" w:usb1="2BDF3C10" w:usb2="00000016" w:usb3="00000000" w:csb0="602E0107" w:csb1="00000000"/>
  </w:font>
  <w:font w:name="Wingdings 2">
    <w:panose1 w:val="05020102010507070707"/>
    <w:charset w:val="02"/>
    <w:family w:val="roman"/>
    <w:pitch w:val="default"/>
    <w:sig w:usb0="00000000" w:usb1="00000000" w:usb2="00000000" w:usb3="00000000" w:csb0="80000000" w:csb1="00000000"/>
  </w:font>
  <w:font w:name="Wingdings 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7943B">
    <w:pPr>
      <w:pStyle w:val="3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49C7B">
                          <w:pPr>
                            <w:pStyle w:val="34"/>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E549C7B">
                    <w:pPr>
                      <w:pStyle w:val="34"/>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7CD61CBA">
    <w:pPr>
      <w:pStyle w:val="3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33E30">
    <w:pPr>
      <w:pStyle w:val="3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62FACE"/>
    <w:multiLevelType w:val="singleLevel"/>
    <w:tmpl w:val="9B62FACE"/>
    <w:lvl w:ilvl="0" w:tentative="0">
      <w:start w:val="1"/>
      <w:numFmt w:val="decimal"/>
      <w:suff w:val="nothing"/>
      <w:lvlText w:val="（%1）"/>
      <w:lvlJc w:val="left"/>
    </w:lvl>
  </w:abstractNum>
  <w:abstractNum w:abstractNumId="1">
    <w:nsid w:val="B296676E"/>
    <w:multiLevelType w:val="singleLevel"/>
    <w:tmpl w:val="B296676E"/>
    <w:lvl w:ilvl="0" w:tentative="0">
      <w:start w:val="1"/>
      <w:numFmt w:val="decimal"/>
      <w:suff w:val="nothing"/>
      <w:lvlText w:val="（%1）"/>
      <w:lvlJc w:val="left"/>
    </w:lvl>
  </w:abstractNum>
  <w:abstractNum w:abstractNumId="2">
    <w:nsid w:val="C4C1D28A"/>
    <w:multiLevelType w:val="singleLevel"/>
    <w:tmpl w:val="C4C1D28A"/>
    <w:lvl w:ilvl="0" w:tentative="0">
      <w:start w:val="1"/>
      <w:numFmt w:val="decimal"/>
      <w:suff w:val="nothing"/>
      <w:lvlText w:val="（%1）"/>
      <w:lvlJc w:val="left"/>
    </w:lvl>
  </w:abstractNum>
  <w:abstractNum w:abstractNumId="3">
    <w:nsid w:val="DDEA8227"/>
    <w:multiLevelType w:val="singleLevel"/>
    <w:tmpl w:val="DDEA8227"/>
    <w:lvl w:ilvl="0" w:tentative="0">
      <w:start w:val="1"/>
      <w:numFmt w:val="decimal"/>
      <w:suff w:val="nothing"/>
      <w:lvlText w:val="（%1）"/>
      <w:lvlJc w:val="left"/>
    </w:lvl>
  </w:abstractNum>
  <w:abstractNum w:abstractNumId="4">
    <w:nsid w:val="EA3E1378"/>
    <w:multiLevelType w:val="singleLevel"/>
    <w:tmpl w:val="EA3E1378"/>
    <w:lvl w:ilvl="0" w:tentative="0">
      <w:start w:val="1"/>
      <w:numFmt w:val="decimal"/>
      <w:lvlText w:val="%1."/>
      <w:lvlJc w:val="left"/>
      <w:pPr>
        <w:tabs>
          <w:tab w:val="left" w:pos="312"/>
        </w:tabs>
      </w:pPr>
    </w:lvl>
  </w:abstractNum>
  <w:abstractNum w:abstractNumId="5">
    <w:nsid w:val="EAE01E8C"/>
    <w:multiLevelType w:val="singleLevel"/>
    <w:tmpl w:val="EAE01E8C"/>
    <w:lvl w:ilvl="0" w:tentative="0">
      <w:start w:val="2"/>
      <w:numFmt w:val="chineseCounting"/>
      <w:suff w:val="space"/>
      <w:lvlText w:val="%1、"/>
      <w:lvlJc w:val="left"/>
      <w:rPr>
        <w:rFonts w:hint="eastAsia"/>
      </w:rPr>
    </w:lvl>
  </w:abstractNum>
  <w:abstractNum w:abstractNumId="6">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7">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abstractNum w:abstractNumId="8">
    <w:nsid w:val="2529F2BD"/>
    <w:multiLevelType w:val="singleLevel"/>
    <w:tmpl w:val="2529F2BD"/>
    <w:lvl w:ilvl="0" w:tentative="0">
      <w:start w:val="1"/>
      <w:numFmt w:val="decimal"/>
      <w:suff w:val="nothing"/>
      <w:lvlText w:val="（%1）"/>
      <w:lvlJc w:val="left"/>
    </w:lvl>
  </w:abstractNum>
  <w:abstractNum w:abstractNumId="9">
    <w:nsid w:val="28A2E0E6"/>
    <w:multiLevelType w:val="singleLevel"/>
    <w:tmpl w:val="28A2E0E6"/>
    <w:lvl w:ilvl="0" w:tentative="0">
      <w:start w:val="1"/>
      <w:numFmt w:val="decimal"/>
      <w:lvlText w:val="%1."/>
      <w:lvlJc w:val="left"/>
      <w:pPr>
        <w:tabs>
          <w:tab w:val="left" w:pos="312"/>
        </w:tabs>
      </w:pPr>
    </w:lvl>
  </w:abstractNum>
  <w:abstractNum w:abstractNumId="10">
    <w:nsid w:val="30FF5D2A"/>
    <w:multiLevelType w:val="singleLevel"/>
    <w:tmpl w:val="30FF5D2A"/>
    <w:lvl w:ilvl="0" w:tentative="0">
      <w:start w:val="1"/>
      <w:numFmt w:val="decimal"/>
      <w:lvlText w:val="%1."/>
      <w:lvlJc w:val="left"/>
      <w:pPr>
        <w:tabs>
          <w:tab w:val="left" w:pos="312"/>
        </w:tabs>
      </w:pPr>
    </w:lvl>
  </w:abstractNum>
  <w:abstractNum w:abstractNumId="11">
    <w:nsid w:val="51F02300"/>
    <w:multiLevelType w:val="multilevel"/>
    <w:tmpl w:val="51F02300"/>
    <w:lvl w:ilvl="0" w:tentative="0">
      <w:start w:val="1"/>
      <w:numFmt w:val="decimal"/>
      <w:lvlText w:val="%1."/>
      <w:lvlJc w:val="left"/>
      <w:pPr>
        <w:tabs>
          <w:tab w:val="left" w:pos="312"/>
        </w:tabs>
      </w:pPr>
      <w:rPr>
        <w:rFonts w:hint="default"/>
        <w:b w:val="0"/>
        <w:bCs w:val="0"/>
      </w:r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2">
    <w:nsid w:val="6752D7F2"/>
    <w:multiLevelType w:val="singleLevel"/>
    <w:tmpl w:val="6752D7F2"/>
    <w:lvl w:ilvl="0" w:tentative="0">
      <w:start w:val="1"/>
      <w:numFmt w:val="decimal"/>
      <w:suff w:val="nothing"/>
      <w:lvlText w:val="（%1）"/>
      <w:lvlJc w:val="left"/>
    </w:lvl>
  </w:abstractNum>
  <w:abstractNum w:abstractNumId="13">
    <w:nsid w:val="7BAC1FCF"/>
    <w:multiLevelType w:val="singleLevel"/>
    <w:tmpl w:val="7BAC1FCF"/>
    <w:lvl w:ilvl="0" w:tentative="0">
      <w:start w:val="1"/>
      <w:numFmt w:val="decimal"/>
      <w:suff w:val="nothing"/>
      <w:lvlText w:val="（%1）"/>
      <w:lvlJc w:val="left"/>
    </w:lvl>
  </w:abstractNum>
  <w:num w:numId="1">
    <w:abstractNumId w:val="7"/>
  </w:num>
  <w:num w:numId="2">
    <w:abstractNumId w:val="6"/>
  </w:num>
  <w:num w:numId="3">
    <w:abstractNumId w:val="11"/>
  </w:num>
  <w:num w:numId="4">
    <w:abstractNumId w:val="10"/>
  </w:num>
  <w:num w:numId="5">
    <w:abstractNumId w:val="0"/>
  </w:num>
  <w:num w:numId="6">
    <w:abstractNumId w:val="3"/>
  </w:num>
  <w:num w:numId="7">
    <w:abstractNumId w:val="2"/>
  </w:num>
  <w:num w:numId="8">
    <w:abstractNumId w:val="1"/>
  </w:num>
  <w:num w:numId="9">
    <w:abstractNumId w:val="4"/>
  </w:num>
  <w:num w:numId="10">
    <w:abstractNumId w:val="9"/>
  </w:num>
  <w:num w:numId="11">
    <w:abstractNumId w:val="13"/>
  </w:num>
  <w:num w:numId="12">
    <w:abstractNumId w:val="8"/>
  </w:num>
  <w:num w:numId="13">
    <w:abstractNumId w:val="12"/>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bordersDoNotSurroundHeader w:val="0"/>
  <w:bordersDoNotSurroundFooter w:val="0"/>
  <w:documentProtection w:enforcement="0"/>
  <w:defaultTabStop w:val="420"/>
  <w:drawingGridHorizontalSpacing w:val="210"/>
  <w:drawingGridVerticalSpacing w:val="159"/>
  <w:displayHorizontalDrawingGridEvery w:val="1"/>
  <w:displayVerticalDrawingGridEvery w:val="2"/>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5MTNhNzE5OWFhNDM2OTIzY2M4ZGQyMWE2YzAxNWI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D7635"/>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804A4C"/>
    <w:rsid w:val="018F24C9"/>
    <w:rsid w:val="0195494E"/>
    <w:rsid w:val="0198186C"/>
    <w:rsid w:val="01AC5DF9"/>
    <w:rsid w:val="01DD41C2"/>
    <w:rsid w:val="01E345AE"/>
    <w:rsid w:val="02382A18"/>
    <w:rsid w:val="02790092"/>
    <w:rsid w:val="02FA1195"/>
    <w:rsid w:val="0302618A"/>
    <w:rsid w:val="044429C2"/>
    <w:rsid w:val="04695794"/>
    <w:rsid w:val="04810C52"/>
    <w:rsid w:val="04A05004"/>
    <w:rsid w:val="04AD0239"/>
    <w:rsid w:val="055B7332"/>
    <w:rsid w:val="056A3FE9"/>
    <w:rsid w:val="059F4FD1"/>
    <w:rsid w:val="05BE2B4E"/>
    <w:rsid w:val="05D070DB"/>
    <w:rsid w:val="05DC421B"/>
    <w:rsid w:val="061D0302"/>
    <w:rsid w:val="064F66A3"/>
    <w:rsid w:val="066F200F"/>
    <w:rsid w:val="067C7D80"/>
    <w:rsid w:val="06A00B12"/>
    <w:rsid w:val="06D7755B"/>
    <w:rsid w:val="06E6452A"/>
    <w:rsid w:val="07205F42"/>
    <w:rsid w:val="072D7269"/>
    <w:rsid w:val="073A0A7B"/>
    <w:rsid w:val="074273A6"/>
    <w:rsid w:val="07B77118"/>
    <w:rsid w:val="08254790"/>
    <w:rsid w:val="089963F4"/>
    <w:rsid w:val="08C003FD"/>
    <w:rsid w:val="08F03474"/>
    <w:rsid w:val="09162A16"/>
    <w:rsid w:val="091A7535"/>
    <w:rsid w:val="091D497D"/>
    <w:rsid w:val="092E369A"/>
    <w:rsid w:val="09B14F92"/>
    <w:rsid w:val="09BF626E"/>
    <w:rsid w:val="0A410FC9"/>
    <w:rsid w:val="0A4F76B2"/>
    <w:rsid w:val="0A50402E"/>
    <w:rsid w:val="0A8006E7"/>
    <w:rsid w:val="0A897EA0"/>
    <w:rsid w:val="0AB86C5C"/>
    <w:rsid w:val="0AC34AEB"/>
    <w:rsid w:val="0AD96324"/>
    <w:rsid w:val="0AEF58AD"/>
    <w:rsid w:val="0AF4365F"/>
    <w:rsid w:val="0AFE39F5"/>
    <w:rsid w:val="0AFE687F"/>
    <w:rsid w:val="0B294C31"/>
    <w:rsid w:val="0B7F7677"/>
    <w:rsid w:val="0BA52C8B"/>
    <w:rsid w:val="0BE15BB8"/>
    <w:rsid w:val="0BE307CB"/>
    <w:rsid w:val="0C1F073A"/>
    <w:rsid w:val="0C6101CD"/>
    <w:rsid w:val="0C7C38C4"/>
    <w:rsid w:val="0C940A15"/>
    <w:rsid w:val="0C970A8B"/>
    <w:rsid w:val="0CC83B28"/>
    <w:rsid w:val="0CC87C49"/>
    <w:rsid w:val="0CCA3B52"/>
    <w:rsid w:val="0D344BBB"/>
    <w:rsid w:val="0D567CAA"/>
    <w:rsid w:val="0DC437DB"/>
    <w:rsid w:val="0E1C4090"/>
    <w:rsid w:val="0E1C5AFD"/>
    <w:rsid w:val="0E3E5F3C"/>
    <w:rsid w:val="0E4F3A0A"/>
    <w:rsid w:val="0E572755"/>
    <w:rsid w:val="0E823F28"/>
    <w:rsid w:val="0E8D6C2C"/>
    <w:rsid w:val="0EB36C82"/>
    <w:rsid w:val="0EBE69D9"/>
    <w:rsid w:val="0ECB20BE"/>
    <w:rsid w:val="0EEB113D"/>
    <w:rsid w:val="0F8B77D5"/>
    <w:rsid w:val="0FAC6A08"/>
    <w:rsid w:val="0FBE5D9F"/>
    <w:rsid w:val="0FD36B3B"/>
    <w:rsid w:val="0FD40F52"/>
    <w:rsid w:val="0FD47E3C"/>
    <w:rsid w:val="1018216D"/>
    <w:rsid w:val="102173FB"/>
    <w:rsid w:val="10256C94"/>
    <w:rsid w:val="1028597F"/>
    <w:rsid w:val="1051696C"/>
    <w:rsid w:val="107728F9"/>
    <w:rsid w:val="107C0AD5"/>
    <w:rsid w:val="10AD1231"/>
    <w:rsid w:val="10AD5F68"/>
    <w:rsid w:val="10B306BD"/>
    <w:rsid w:val="10FE73BE"/>
    <w:rsid w:val="111B4AA2"/>
    <w:rsid w:val="113A4C18"/>
    <w:rsid w:val="11497A7D"/>
    <w:rsid w:val="116D5365"/>
    <w:rsid w:val="11D529D4"/>
    <w:rsid w:val="121477AB"/>
    <w:rsid w:val="1227630D"/>
    <w:rsid w:val="125D64CF"/>
    <w:rsid w:val="12B16A9E"/>
    <w:rsid w:val="12CD2E40"/>
    <w:rsid w:val="13272F7A"/>
    <w:rsid w:val="13361405"/>
    <w:rsid w:val="137A2F78"/>
    <w:rsid w:val="13924484"/>
    <w:rsid w:val="13B9577F"/>
    <w:rsid w:val="13D61BD2"/>
    <w:rsid w:val="13E330C9"/>
    <w:rsid w:val="13F028A4"/>
    <w:rsid w:val="1452749D"/>
    <w:rsid w:val="14922F3A"/>
    <w:rsid w:val="14FD2A2E"/>
    <w:rsid w:val="150B2427"/>
    <w:rsid w:val="15296C7A"/>
    <w:rsid w:val="15377BDA"/>
    <w:rsid w:val="153D5CAE"/>
    <w:rsid w:val="153E1AB3"/>
    <w:rsid w:val="15510782"/>
    <w:rsid w:val="158A718E"/>
    <w:rsid w:val="15924585"/>
    <w:rsid w:val="15EA5123"/>
    <w:rsid w:val="16313179"/>
    <w:rsid w:val="16317409"/>
    <w:rsid w:val="165923BB"/>
    <w:rsid w:val="16B56EA5"/>
    <w:rsid w:val="16B8454E"/>
    <w:rsid w:val="16C84A74"/>
    <w:rsid w:val="170610F8"/>
    <w:rsid w:val="17126E39"/>
    <w:rsid w:val="176A56C2"/>
    <w:rsid w:val="176D2C29"/>
    <w:rsid w:val="179C380B"/>
    <w:rsid w:val="17AB0959"/>
    <w:rsid w:val="17B648CC"/>
    <w:rsid w:val="17DE1291"/>
    <w:rsid w:val="18A204CD"/>
    <w:rsid w:val="18AB0FDA"/>
    <w:rsid w:val="18AD553C"/>
    <w:rsid w:val="19480374"/>
    <w:rsid w:val="197039DA"/>
    <w:rsid w:val="197772D6"/>
    <w:rsid w:val="19A67A64"/>
    <w:rsid w:val="19BF0C31"/>
    <w:rsid w:val="19C646A4"/>
    <w:rsid w:val="19D83220"/>
    <w:rsid w:val="19E43962"/>
    <w:rsid w:val="1A501008"/>
    <w:rsid w:val="1A685E2E"/>
    <w:rsid w:val="1A6D597B"/>
    <w:rsid w:val="1ACC2467"/>
    <w:rsid w:val="1ACE4D14"/>
    <w:rsid w:val="1AD027EB"/>
    <w:rsid w:val="1B2C5E4B"/>
    <w:rsid w:val="1B4874D7"/>
    <w:rsid w:val="1BA627B9"/>
    <w:rsid w:val="1BBD64BE"/>
    <w:rsid w:val="1BDA54F2"/>
    <w:rsid w:val="1C2844A0"/>
    <w:rsid w:val="1C525155"/>
    <w:rsid w:val="1C8E406A"/>
    <w:rsid w:val="1C9F0E66"/>
    <w:rsid w:val="1CA7046C"/>
    <w:rsid w:val="1CF27B09"/>
    <w:rsid w:val="1CFF1026"/>
    <w:rsid w:val="1D9B7242"/>
    <w:rsid w:val="1DEA3522"/>
    <w:rsid w:val="1E053181"/>
    <w:rsid w:val="1E2C19A1"/>
    <w:rsid w:val="1E341299"/>
    <w:rsid w:val="1E474BEE"/>
    <w:rsid w:val="1E601647"/>
    <w:rsid w:val="1E7135D0"/>
    <w:rsid w:val="1E7B2E90"/>
    <w:rsid w:val="1E835E6A"/>
    <w:rsid w:val="1EA705ED"/>
    <w:rsid w:val="1EB401AB"/>
    <w:rsid w:val="1EB67161"/>
    <w:rsid w:val="1F302C65"/>
    <w:rsid w:val="1F44792A"/>
    <w:rsid w:val="1F4E6A02"/>
    <w:rsid w:val="1F6670ED"/>
    <w:rsid w:val="1F707F8D"/>
    <w:rsid w:val="1F9A0F77"/>
    <w:rsid w:val="1FD620C2"/>
    <w:rsid w:val="1FE271D5"/>
    <w:rsid w:val="1FE501FD"/>
    <w:rsid w:val="1FEB5623"/>
    <w:rsid w:val="1FEF712E"/>
    <w:rsid w:val="20611216"/>
    <w:rsid w:val="20621FC3"/>
    <w:rsid w:val="20A93735"/>
    <w:rsid w:val="20E35BE9"/>
    <w:rsid w:val="21156A1C"/>
    <w:rsid w:val="21310B1A"/>
    <w:rsid w:val="217001E2"/>
    <w:rsid w:val="218A325D"/>
    <w:rsid w:val="22255D12"/>
    <w:rsid w:val="22696DFA"/>
    <w:rsid w:val="227605BB"/>
    <w:rsid w:val="2281582F"/>
    <w:rsid w:val="22BD7457"/>
    <w:rsid w:val="22DF6310"/>
    <w:rsid w:val="22E36C68"/>
    <w:rsid w:val="22E54743"/>
    <w:rsid w:val="22FB7F7F"/>
    <w:rsid w:val="23197531"/>
    <w:rsid w:val="23476928"/>
    <w:rsid w:val="23550037"/>
    <w:rsid w:val="235E3944"/>
    <w:rsid w:val="235F050E"/>
    <w:rsid w:val="23800F5E"/>
    <w:rsid w:val="23B073D3"/>
    <w:rsid w:val="23E502C6"/>
    <w:rsid w:val="2422296D"/>
    <w:rsid w:val="2426102C"/>
    <w:rsid w:val="24482D50"/>
    <w:rsid w:val="244E349E"/>
    <w:rsid w:val="24666EE4"/>
    <w:rsid w:val="24701946"/>
    <w:rsid w:val="24BA2272"/>
    <w:rsid w:val="24E865E3"/>
    <w:rsid w:val="25280AEE"/>
    <w:rsid w:val="25E42F4C"/>
    <w:rsid w:val="261074AD"/>
    <w:rsid w:val="261C46B1"/>
    <w:rsid w:val="267F4B9F"/>
    <w:rsid w:val="26F42E9C"/>
    <w:rsid w:val="27030F39"/>
    <w:rsid w:val="271D6716"/>
    <w:rsid w:val="278058DE"/>
    <w:rsid w:val="27D87113"/>
    <w:rsid w:val="27E75A20"/>
    <w:rsid w:val="27FA0424"/>
    <w:rsid w:val="280D4269"/>
    <w:rsid w:val="284B0B33"/>
    <w:rsid w:val="28576774"/>
    <w:rsid w:val="289D1723"/>
    <w:rsid w:val="2914325F"/>
    <w:rsid w:val="29613214"/>
    <w:rsid w:val="2A110088"/>
    <w:rsid w:val="2A2B045D"/>
    <w:rsid w:val="2A2F63DF"/>
    <w:rsid w:val="2A536944"/>
    <w:rsid w:val="2A68129C"/>
    <w:rsid w:val="2A703001"/>
    <w:rsid w:val="2ACA0963"/>
    <w:rsid w:val="2ACE5E57"/>
    <w:rsid w:val="2AFE6487"/>
    <w:rsid w:val="2B277B63"/>
    <w:rsid w:val="2B670D75"/>
    <w:rsid w:val="2B874C1C"/>
    <w:rsid w:val="2BC77F30"/>
    <w:rsid w:val="2C1F3615"/>
    <w:rsid w:val="2C4F7C16"/>
    <w:rsid w:val="2C584577"/>
    <w:rsid w:val="2C743B66"/>
    <w:rsid w:val="2CAC008E"/>
    <w:rsid w:val="2CE23E10"/>
    <w:rsid w:val="2D63682A"/>
    <w:rsid w:val="2D7A5FFE"/>
    <w:rsid w:val="2D8F7C42"/>
    <w:rsid w:val="2DE2584A"/>
    <w:rsid w:val="2E49213C"/>
    <w:rsid w:val="2E67006F"/>
    <w:rsid w:val="2E694D3E"/>
    <w:rsid w:val="2E773C34"/>
    <w:rsid w:val="2E7D3F3E"/>
    <w:rsid w:val="2E875C48"/>
    <w:rsid w:val="2E9824AB"/>
    <w:rsid w:val="2E9B4249"/>
    <w:rsid w:val="2E9D17EB"/>
    <w:rsid w:val="2EAC037F"/>
    <w:rsid w:val="2EB81304"/>
    <w:rsid w:val="2ECD6C74"/>
    <w:rsid w:val="2F2B230B"/>
    <w:rsid w:val="2F517B36"/>
    <w:rsid w:val="2F72633A"/>
    <w:rsid w:val="2F893355"/>
    <w:rsid w:val="2FC31341"/>
    <w:rsid w:val="2FD05083"/>
    <w:rsid w:val="305E03E8"/>
    <w:rsid w:val="3069595F"/>
    <w:rsid w:val="30843362"/>
    <w:rsid w:val="30944B3A"/>
    <w:rsid w:val="30C4049D"/>
    <w:rsid w:val="30CD07F3"/>
    <w:rsid w:val="30E365D5"/>
    <w:rsid w:val="30E766F3"/>
    <w:rsid w:val="313E08F3"/>
    <w:rsid w:val="31704514"/>
    <w:rsid w:val="31816DAF"/>
    <w:rsid w:val="31B1462B"/>
    <w:rsid w:val="32290279"/>
    <w:rsid w:val="32527C83"/>
    <w:rsid w:val="325564E5"/>
    <w:rsid w:val="32655415"/>
    <w:rsid w:val="3294292F"/>
    <w:rsid w:val="32DA195F"/>
    <w:rsid w:val="32F07D5C"/>
    <w:rsid w:val="336A55C2"/>
    <w:rsid w:val="338115F3"/>
    <w:rsid w:val="33A06705"/>
    <w:rsid w:val="33D80D3F"/>
    <w:rsid w:val="33EE637D"/>
    <w:rsid w:val="344352E2"/>
    <w:rsid w:val="34624864"/>
    <w:rsid w:val="346D778B"/>
    <w:rsid w:val="34820B55"/>
    <w:rsid w:val="34AE59AA"/>
    <w:rsid w:val="34D90A42"/>
    <w:rsid w:val="353A3B24"/>
    <w:rsid w:val="35746954"/>
    <w:rsid w:val="35A454C9"/>
    <w:rsid w:val="35B629C4"/>
    <w:rsid w:val="35C110CD"/>
    <w:rsid w:val="35F72828"/>
    <w:rsid w:val="3633583B"/>
    <w:rsid w:val="363C359C"/>
    <w:rsid w:val="367B0D86"/>
    <w:rsid w:val="369B06A2"/>
    <w:rsid w:val="36AB2F9F"/>
    <w:rsid w:val="36B27BFF"/>
    <w:rsid w:val="36DE2E4C"/>
    <w:rsid w:val="36F11025"/>
    <w:rsid w:val="377831AA"/>
    <w:rsid w:val="37B52474"/>
    <w:rsid w:val="37C125AD"/>
    <w:rsid w:val="37CB0B6E"/>
    <w:rsid w:val="37FB2519"/>
    <w:rsid w:val="38172D0E"/>
    <w:rsid w:val="38356AC7"/>
    <w:rsid w:val="3860698D"/>
    <w:rsid w:val="386F51CA"/>
    <w:rsid w:val="38C458DA"/>
    <w:rsid w:val="390943B3"/>
    <w:rsid w:val="391D76E1"/>
    <w:rsid w:val="397767E9"/>
    <w:rsid w:val="39AB5E03"/>
    <w:rsid w:val="39C2411A"/>
    <w:rsid w:val="39E24527"/>
    <w:rsid w:val="39F111DE"/>
    <w:rsid w:val="3A1D3D59"/>
    <w:rsid w:val="3AA71527"/>
    <w:rsid w:val="3ACC506C"/>
    <w:rsid w:val="3AD15C6C"/>
    <w:rsid w:val="3B4078AF"/>
    <w:rsid w:val="3B776398"/>
    <w:rsid w:val="3B7E6C11"/>
    <w:rsid w:val="3B96663F"/>
    <w:rsid w:val="3BAA4A5F"/>
    <w:rsid w:val="3BE63D01"/>
    <w:rsid w:val="3C080FAE"/>
    <w:rsid w:val="3C541570"/>
    <w:rsid w:val="3C6E37E5"/>
    <w:rsid w:val="3C7922D7"/>
    <w:rsid w:val="3C9342B0"/>
    <w:rsid w:val="3CAD36D2"/>
    <w:rsid w:val="3CC81535"/>
    <w:rsid w:val="3CD26729"/>
    <w:rsid w:val="3CEA275C"/>
    <w:rsid w:val="3CEC25F5"/>
    <w:rsid w:val="3CF50FF2"/>
    <w:rsid w:val="3D052A2E"/>
    <w:rsid w:val="3D0659AA"/>
    <w:rsid w:val="3D602B13"/>
    <w:rsid w:val="3D8F09E6"/>
    <w:rsid w:val="3DB946E3"/>
    <w:rsid w:val="3DC471C3"/>
    <w:rsid w:val="3DCD3FBA"/>
    <w:rsid w:val="3DCD4884"/>
    <w:rsid w:val="3DFA3042"/>
    <w:rsid w:val="3E0755D2"/>
    <w:rsid w:val="3E105247"/>
    <w:rsid w:val="3E1E236C"/>
    <w:rsid w:val="3EA7555E"/>
    <w:rsid w:val="3EA826CA"/>
    <w:rsid w:val="3EF64E80"/>
    <w:rsid w:val="3EF74D5D"/>
    <w:rsid w:val="3F340649"/>
    <w:rsid w:val="3F6566F9"/>
    <w:rsid w:val="3FE73374"/>
    <w:rsid w:val="40095305"/>
    <w:rsid w:val="401869D9"/>
    <w:rsid w:val="409C69EB"/>
    <w:rsid w:val="40EA2C99"/>
    <w:rsid w:val="41115689"/>
    <w:rsid w:val="411E4CFA"/>
    <w:rsid w:val="41474664"/>
    <w:rsid w:val="422C654A"/>
    <w:rsid w:val="42474BD5"/>
    <w:rsid w:val="42847BD2"/>
    <w:rsid w:val="428739CE"/>
    <w:rsid w:val="42BC3919"/>
    <w:rsid w:val="42F830BA"/>
    <w:rsid w:val="43001D3E"/>
    <w:rsid w:val="43200CFF"/>
    <w:rsid w:val="43207C7D"/>
    <w:rsid w:val="435D7C4C"/>
    <w:rsid w:val="4373669D"/>
    <w:rsid w:val="43A10AE3"/>
    <w:rsid w:val="43A24D63"/>
    <w:rsid w:val="44C21E7F"/>
    <w:rsid w:val="44D409B2"/>
    <w:rsid w:val="44F41584"/>
    <w:rsid w:val="4508749B"/>
    <w:rsid w:val="451A1619"/>
    <w:rsid w:val="4538652E"/>
    <w:rsid w:val="45446C5B"/>
    <w:rsid w:val="455A3BE0"/>
    <w:rsid w:val="458D5E02"/>
    <w:rsid w:val="45B405F8"/>
    <w:rsid w:val="461D5993"/>
    <w:rsid w:val="463E3B5B"/>
    <w:rsid w:val="467542B6"/>
    <w:rsid w:val="46A40348"/>
    <w:rsid w:val="46A42944"/>
    <w:rsid w:val="46EC2FAB"/>
    <w:rsid w:val="46F44C0D"/>
    <w:rsid w:val="47F10090"/>
    <w:rsid w:val="48062F23"/>
    <w:rsid w:val="480A6EB1"/>
    <w:rsid w:val="485C3F8A"/>
    <w:rsid w:val="491178F4"/>
    <w:rsid w:val="494D402D"/>
    <w:rsid w:val="49556057"/>
    <w:rsid w:val="49810EE2"/>
    <w:rsid w:val="4A340D7B"/>
    <w:rsid w:val="4A5F084F"/>
    <w:rsid w:val="4A754721"/>
    <w:rsid w:val="4A83134F"/>
    <w:rsid w:val="4A987CDE"/>
    <w:rsid w:val="4AD621E9"/>
    <w:rsid w:val="4B04790D"/>
    <w:rsid w:val="4B1C5E3D"/>
    <w:rsid w:val="4B3D2633"/>
    <w:rsid w:val="4B3F5C51"/>
    <w:rsid w:val="4B4C5BAB"/>
    <w:rsid w:val="4B513EF9"/>
    <w:rsid w:val="4B8D60C9"/>
    <w:rsid w:val="4B9C4E51"/>
    <w:rsid w:val="4BF50293"/>
    <w:rsid w:val="4C795D79"/>
    <w:rsid w:val="4CA06FAD"/>
    <w:rsid w:val="4CB42DC9"/>
    <w:rsid w:val="4CC01258"/>
    <w:rsid w:val="4CD002D2"/>
    <w:rsid w:val="4D5F0096"/>
    <w:rsid w:val="4D692F51"/>
    <w:rsid w:val="4D823B9B"/>
    <w:rsid w:val="4DC21407"/>
    <w:rsid w:val="4E1D544D"/>
    <w:rsid w:val="4E7E543D"/>
    <w:rsid w:val="4E8F4E02"/>
    <w:rsid w:val="4E927C05"/>
    <w:rsid w:val="4EB3025E"/>
    <w:rsid w:val="4ECF2A79"/>
    <w:rsid w:val="4F174104"/>
    <w:rsid w:val="4F262EAE"/>
    <w:rsid w:val="4F984CFE"/>
    <w:rsid w:val="4FAA5715"/>
    <w:rsid w:val="4FD03A76"/>
    <w:rsid w:val="4FDA6D84"/>
    <w:rsid w:val="4FDD4C36"/>
    <w:rsid w:val="50090FD4"/>
    <w:rsid w:val="502D418B"/>
    <w:rsid w:val="503A0AC9"/>
    <w:rsid w:val="513F6058"/>
    <w:rsid w:val="514F1E89"/>
    <w:rsid w:val="515E6F14"/>
    <w:rsid w:val="5214061D"/>
    <w:rsid w:val="526F6D01"/>
    <w:rsid w:val="52856ABA"/>
    <w:rsid w:val="528F1410"/>
    <w:rsid w:val="52BF6755"/>
    <w:rsid w:val="52C553E8"/>
    <w:rsid w:val="52DA4CAA"/>
    <w:rsid w:val="52FA29CE"/>
    <w:rsid w:val="531269BE"/>
    <w:rsid w:val="53417BDE"/>
    <w:rsid w:val="534326BF"/>
    <w:rsid w:val="535E1B1A"/>
    <w:rsid w:val="538E4E0E"/>
    <w:rsid w:val="53986FA1"/>
    <w:rsid w:val="539B3D11"/>
    <w:rsid w:val="53CE4D8C"/>
    <w:rsid w:val="53FE35C2"/>
    <w:rsid w:val="540168F4"/>
    <w:rsid w:val="54095B7B"/>
    <w:rsid w:val="54652542"/>
    <w:rsid w:val="54A56D92"/>
    <w:rsid w:val="54C55B73"/>
    <w:rsid w:val="54F146CA"/>
    <w:rsid w:val="55056B34"/>
    <w:rsid w:val="55684A1A"/>
    <w:rsid w:val="559521BD"/>
    <w:rsid w:val="55AD43BA"/>
    <w:rsid w:val="55C81083"/>
    <w:rsid w:val="55CA6BD2"/>
    <w:rsid w:val="55DB71CB"/>
    <w:rsid w:val="56231C41"/>
    <w:rsid w:val="56325CFA"/>
    <w:rsid w:val="564163D1"/>
    <w:rsid w:val="56AC2568"/>
    <w:rsid w:val="56C41358"/>
    <w:rsid w:val="572774A3"/>
    <w:rsid w:val="5782519E"/>
    <w:rsid w:val="579B2BBB"/>
    <w:rsid w:val="57A44EC0"/>
    <w:rsid w:val="57DC3357"/>
    <w:rsid w:val="582664D1"/>
    <w:rsid w:val="58310F9B"/>
    <w:rsid w:val="58311772"/>
    <w:rsid w:val="583A6878"/>
    <w:rsid w:val="58461A08"/>
    <w:rsid w:val="58503DB5"/>
    <w:rsid w:val="58754A86"/>
    <w:rsid w:val="587B2CDE"/>
    <w:rsid w:val="588A63B0"/>
    <w:rsid w:val="58E54DF2"/>
    <w:rsid w:val="58F69CE8"/>
    <w:rsid w:val="593475CA"/>
    <w:rsid w:val="59BE55DC"/>
    <w:rsid w:val="59EC5D9C"/>
    <w:rsid w:val="5A1A7162"/>
    <w:rsid w:val="5A265D7B"/>
    <w:rsid w:val="5A2F0903"/>
    <w:rsid w:val="5A3508BF"/>
    <w:rsid w:val="5A565B70"/>
    <w:rsid w:val="5A753690"/>
    <w:rsid w:val="5AC35526"/>
    <w:rsid w:val="5AD230A1"/>
    <w:rsid w:val="5AE50060"/>
    <w:rsid w:val="5AE75489"/>
    <w:rsid w:val="5B0E4680"/>
    <w:rsid w:val="5B543D4B"/>
    <w:rsid w:val="5BA25759"/>
    <w:rsid w:val="5C021D5C"/>
    <w:rsid w:val="5C043BCE"/>
    <w:rsid w:val="5C12484B"/>
    <w:rsid w:val="5C164F06"/>
    <w:rsid w:val="5C864A67"/>
    <w:rsid w:val="5CCF21D9"/>
    <w:rsid w:val="5CD033D2"/>
    <w:rsid w:val="5CD746C6"/>
    <w:rsid w:val="5D02224E"/>
    <w:rsid w:val="5D0B433F"/>
    <w:rsid w:val="5D1F7DEB"/>
    <w:rsid w:val="5D256F17"/>
    <w:rsid w:val="5D566611"/>
    <w:rsid w:val="5D7A3273"/>
    <w:rsid w:val="5D896E22"/>
    <w:rsid w:val="5E0A4A50"/>
    <w:rsid w:val="5F2D0E8F"/>
    <w:rsid w:val="5F3833E6"/>
    <w:rsid w:val="5FAF495A"/>
    <w:rsid w:val="5FEB2BA4"/>
    <w:rsid w:val="60015C3B"/>
    <w:rsid w:val="60481918"/>
    <w:rsid w:val="606426F4"/>
    <w:rsid w:val="609A4BC4"/>
    <w:rsid w:val="60F5158E"/>
    <w:rsid w:val="6104719B"/>
    <w:rsid w:val="6171498D"/>
    <w:rsid w:val="6197259C"/>
    <w:rsid w:val="61EE441B"/>
    <w:rsid w:val="61F20540"/>
    <w:rsid w:val="62091214"/>
    <w:rsid w:val="620D3BAE"/>
    <w:rsid w:val="62483940"/>
    <w:rsid w:val="62756CD8"/>
    <w:rsid w:val="62A321FB"/>
    <w:rsid w:val="62AB5AC9"/>
    <w:rsid w:val="62AD3688"/>
    <w:rsid w:val="62C55526"/>
    <w:rsid w:val="62EE64CA"/>
    <w:rsid w:val="62F30E54"/>
    <w:rsid w:val="63003C41"/>
    <w:rsid w:val="633E3777"/>
    <w:rsid w:val="63922158"/>
    <w:rsid w:val="63CE4319"/>
    <w:rsid w:val="63F7395E"/>
    <w:rsid w:val="64104514"/>
    <w:rsid w:val="642369C3"/>
    <w:rsid w:val="64433C52"/>
    <w:rsid w:val="645C4BBE"/>
    <w:rsid w:val="645D0573"/>
    <w:rsid w:val="64D36728"/>
    <w:rsid w:val="64E35BA2"/>
    <w:rsid w:val="64E533D4"/>
    <w:rsid w:val="65640DB5"/>
    <w:rsid w:val="65DD27C5"/>
    <w:rsid w:val="65EF244B"/>
    <w:rsid w:val="66215B04"/>
    <w:rsid w:val="66266BF4"/>
    <w:rsid w:val="66342560"/>
    <w:rsid w:val="663F469F"/>
    <w:rsid w:val="667E3DD4"/>
    <w:rsid w:val="669B2A1A"/>
    <w:rsid w:val="66BA1864"/>
    <w:rsid w:val="66FD01A0"/>
    <w:rsid w:val="67041B93"/>
    <w:rsid w:val="67893B07"/>
    <w:rsid w:val="67DD08A6"/>
    <w:rsid w:val="67F535C2"/>
    <w:rsid w:val="687C07E7"/>
    <w:rsid w:val="68994EF5"/>
    <w:rsid w:val="68A51D8F"/>
    <w:rsid w:val="68E63001"/>
    <w:rsid w:val="6902695F"/>
    <w:rsid w:val="692D337C"/>
    <w:rsid w:val="69507E77"/>
    <w:rsid w:val="698B5E88"/>
    <w:rsid w:val="69BC5770"/>
    <w:rsid w:val="69CE7367"/>
    <w:rsid w:val="69F57B64"/>
    <w:rsid w:val="6A3A435E"/>
    <w:rsid w:val="6A4B66C3"/>
    <w:rsid w:val="6A8A0AA1"/>
    <w:rsid w:val="6A911D7B"/>
    <w:rsid w:val="6ABE35C7"/>
    <w:rsid w:val="6AD83E93"/>
    <w:rsid w:val="6B3C4D16"/>
    <w:rsid w:val="6B5415A7"/>
    <w:rsid w:val="6B885C3E"/>
    <w:rsid w:val="6B9952A7"/>
    <w:rsid w:val="6BB91871"/>
    <w:rsid w:val="6C0838F4"/>
    <w:rsid w:val="6C0C66AB"/>
    <w:rsid w:val="6C1D5A8D"/>
    <w:rsid w:val="6C506D05"/>
    <w:rsid w:val="6C710D22"/>
    <w:rsid w:val="6CAB3449"/>
    <w:rsid w:val="6CB5299E"/>
    <w:rsid w:val="6CC91D04"/>
    <w:rsid w:val="6CD754CF"/>
    <w:rsid w:val="6CD9476D"/>
    <w:rsid w:val="6D1301ED"/>
    <w:rsid w:val="6D2152F9"/>
    <w:rsid w:val="6D3E54E9"/>
    <w:rsid w:val="6D3F6E6A"/>
    <w:rsid w:val="6D92054D"/>
    <w:rsid w:val="6D953B09"/>
    <w:rsid w:val="6E5626ED"/>
    <w:rsid w:val="6E942999"/>
    <w:rsid w:val="6EB966E9"/>
    <w:rsid w:val="6F241291"/>
    <w:rsid w:val="6F912DCA"/>
    <w:rsid w:val="6FCC795E"/>
    <w:rsid w:val="700A4990"/>
    <w:rsid w:val="7061300B"/>
    <w:rsid w:val="70BF5D5A"/>
    <w:rsid w:val="70E8135D"/>
    <w:rsid w:val="714C49C7"/>
    <w:rsid w:val="717164AD"/>
    <w:rsid w:val="717E329C"/>
    <w:rsid w:val="71EC67DB"/>
    <w:rsid w:val="71FF2E41"/>
    <w:rsid w:val="72221950"/>
    <w:rsid w:val="723A5F10"/>
    <w:rsid w:val="72A252EE"/>
    <w:rsid w:val="72AD02ED"/>
    <w:rsid w:val="73153D6A"/>
    <w:rsid w:val="73C21591"/>
    <w:rsid w:val="74B06E8E"/>
    <w:rsid w:val="74E042F3"/>
    <w:rsid w:val="75001B2D"/>
    <w:rsid w:val="750D1BC6"/>
    <w:rsid w:val="751A6115"/>
    <w:rsid w:val="752F13FF"/>
    <w:rsid w:val="757C314C"/>
    <w:rsid w:val="75CD688F"/>
    <w:rsid w:val="75D67789"/>
    <w:rsid w:val="765242FC"/>
    <w:rsid w:val="766B1D21"/>
    <w:rsid w:val="76A52D81"/>
    <w:rsid w:val="770E5CDE"/>
    <w:rsid w:val="772D017A"/>
    <w:rsid w:val="774F6423"/>
    <w:rsid w:val="775D7768"/>
    <w:rsid w:val="77617526"/>
    <w:rsid w:val="780473EC"/>
    <w:rsid w:val="780B4978"/>
    <w:rsid w:val="781B18E6"/>
    <w:rsid w:val="78252B09"/>
    <w:rsid w:val="790F45F0"/>
    <w:rsid w:val="7919031A"/>
    <w:rsid w:val="7957552B"/>
    <w:rsid w:val="79CE505D"/>
    <w:rsid w:val="7A5B19C1"/>
    <w:rsid w:val="7A5C1D7E"/>
    <w:rsid w:val="7A63795B"/>
    <w:rsid w:val="7A7B5E5C"/>
    <w:rsid w:val="7AC34054"/>
    <w:rsid w:val="7AD6524D"/>
    <w:rsid w:val="7AD71832"/>
    <w:rsid w:val="7B130B37"/>
    <w:rsid w:val="7B8F410F"/>
    <w:rsid w:val="7BF228BD"/>
    <w:rsid w:val="7BF55D0D"/>
    <w:rsid w:val="7C2C1A43"/>
    <w:rsid w:val="7C2C344B"/>
    <w:rsid w:val="7CDE1D01"/>
    <w:rsid w:val="7D1D57F3"/>
    <w:rsid w:val="7D404790"/>
    <w:rsid w:val="7D474D27"/>
    <w:rsid w:val="7D62210E"/>
    <w:rsid w:val="7DA737B9"/>
    <w:rsid w:val="7DCC28A9"/>
    <w:rsid w:val="7DF41070"/>
    <w:rsid w:val="7E412A73"/>
    <w:rsid w:val="7E4160B8"/>
    <w:rsid w:val="7E9140CF"/>
    <w:rsid w:val="7ED42FFD"/>
    <w:rsid w:val="7EF713C2"/>
    <w:rsid w:val="7EFA5574"/>
    <w:rsid w:val="7FB421BD"/>
    <w:rsid w:val="7FE95FF3"/>
    <w:rsid w:val="D2AE19B6"/>
    <w:rsid w:val="DBDEF0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iPriority="35"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3"/>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4"/>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5"/>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6"/>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7"/>
    <w:qFormat/>
    <w:uiPriority w:val="0"/>
    <w:pPr>
      <w:ind w:left="1008" w:hanging="432"/>
      <w:outlineLvl w:val="4"/>
    </w:pPr>
    <w:rPr>
      <w:rFonts w:ascii="Times New Roman" w:hAnsi="Times New Roman"/>
      <w:kern w:val="0"/>
      <w:sz w:val="20"/>
      <w:szCs w:val="20"/>
    </w:rPr>
  </w:style>
  <w:style w:type="paragraph" w:styleId="9">
    <w:name w:val="heading 6"/>
    <w:basedOn w:val="1"/>
    <w:next w:val="1"/>
    <w:link w:val="78"/>
    <w:qFormat/>
    <w:uiPriority w:val="0"/>
    <w:pPr>
      <w:ind w:left="1152" w:hanging="432"/>
      <w:outlineLvl w:val="5"/>
    </w:pPr>
    <w:rPr>
      <w:rFonts w:ascii="Times New Roman" w:hAnsi="Times New Roman"/>
      <w:kern w:val="0"/>
      <w:sz w:val="20"/>
      <w:szCs w:val="20"/>
    </w:rPr>
  </w:style>
  <w:style w:type="paragraph" w:styleId="10">
    <w:name w:val="heading 7"/>
    <w:basedOn w:val="1"/>
    <w:next w:val="1"/>
    <w:link w:val="79"/>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0"/>
    <w:qFormat/>
    <w:uiPriority w:val="0"/>
    <w:pPr>
      <w:ind w:left="1440" w:hanging="432"/>
      <w:outlineLvl w:val="7"/>
    </w:pPr>
    <w:rPr>
      <w:rFonts w:ascii="Times New Roman" w:hAnsi="Times New Roman"/>
      <w:kern w:val="0"/>
      <w:sz w:val="20"/>
      <w:szCs w:val="20"/>
    </w:rPr>
  </w:style>
  <w:style w:type="paragraph" w:styleId="12">
    <w:name w:val="heading 9"/>
    <w:basedOn w:val="1"/>
    <w:next w:val="1"/>
    <w:link w:val="81"/>
    <w:qFormat/>
    <w:uiPriority w:val="0"/>
    <w:pPr>
      <w:ind w:left="1584" w:hanging="144"/>
      <w:outlineLvl w:val="8"/>
    </w:pPr>
    <w:rPr>
      <w:rFonts w:ascii="Times New Roman" w:hAnsi="Times New Roman"/>
      <w:kern w:val="0"/>
      <w:sz w:val="20"/>
      <w:szCs w:val="20"/>
    </w:rPr>
  </w:style>
  <w:style w:type="character" w:default="1" w:styleId="57">
    <w:name w:val="Default Paragraph Font"/>
    <w:semiHidden/>
    <w:unhideWhenUsed/>
    <w:qFormat/>
    <w:uiPriority w:val="1"/>
  </w:style>
  <w:style w:type="table" w:default="1" w:styleId="53">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3"/>
    <w:link w:val="91"/>
    <w:qFormat/>
    <w:uiPriority w:val="0"/>
    <w:rPr>
      <w:rFonts w:ascii="宋体" w:hAnsi="Courier New"/>
      <w:szCs w:val="21"/>
    </w:rPr>
  </w:style>
  <w:style w:type="paragraph" w:styleId="3">
    <w:name w:val="index 8"/>
    <w:basedOn w:val="1"/>
    <w:next w:val="1"/>
    <w:qFormat/>
    <w:uiPriority w:val="0"/>
    <w:pPr>
      <w:ind w:left="1400" w:leftChars="1400"/>
    </w:pPr>
    <w:rPr>
      <w:rFonts w:ascii="Times New Roman" w:hAnsi="Times New Roman"/>
      <w:szCs w:val="24"/>
    </w:rPr>
  </w:style>
  <w:style w:type="paragraph" w:styleId="13">
    <w:name w:val="toc 7"/>
    <w:basedOn w:val="1"/>
    <w:next w:val="1"/>
    <w:unhideWhenUsed/>
    <w:qFormat/>
    <w:uiPriority w:val="0"/>
    <w:pPr>
      <w:ind w:left="2520" w:leftChars="1200"/>
    </w:pPr>
  </w:style>
  <w:style w:type="paragraph" w:styleId="14">
    <w:name w:val="Note Heading"/>
    <w:basedOn w:val="1"/>
    <w:next w:val="1"/>
    <w:link w:val="117"/>
    <w:semiHidden/>
    <w:qFormat/>
    <w:uiPriority w:val="0"/>
    <w:pPr>
      <w:jc w:val="center"/>
    </w:pPr>
    <w:rPr>
      <w:rFonts w:ascii="Times New Roman" w:hAnsi="Times New Roman"/>
      <w:szCs w:val="24"/>
    </w:rPr>
  </w:style>
  <w:style w:type="paragraph" w:styleId="15">
    <w:name w:val="E-mail Signature"/>
    <w:basedOn w:val="1"/>
    <w:link w:val="118"/>
    <w:semiHidden/>
    <w:qFormat/>
    <w:uiPriority w:val="0"/>
    <w:rPr>
      <w:rFonts w:ascii="Times New Roman" w:hAnsi="Times New Roman"/>
      <w:szCs w:val="24"/>
    </w:rPr>
  </w:style>
  <w:style w:type="paragraph" w:styleId="16">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7">
    <w:name w:val="List Bullet"/>
    <w:basedOn w:val="1"/>
    <w:semiHidden/>
    <w:qFormat/>
    <w:uiPriority w:val="0"/>
    <w:pPr>
      <w:tabs>
        <w:tab w:val="left" w:pos="360"/>
      </w:tabs>
      <w:ind w:left="360" w:hanging="360"/>
    </w:pPr>
    <w:rPr>
      <w:rFonts w:ascii="Times New Roman" w:hAnsi="Times New Roman"/>
      <w:szCs w:val="24"/>
    </w:rPr>
  </w:style>
  <w:style w:type="paragraph" w:styleId="18">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19">
    <w:name w:val="Document Map"/>
    <w:basedOn w:val="1"/>
    <w:link w:val="95"/>
    <w:unhideWhenUsed/>
    <w:qFormat/>
    <w:uiPriority w:val="0"/>
    <w:rPr>
      <w:rFonts w:ascii="宋体"/>
      <w:sz w:val="18"/>
      <w:szCs w:val="18"/>
    </w:rPr>
  </w:style>
  <w:style w:type="paragraph" w:styleId="20">
    <w:name w:val="annotation text"/>
    <w:basedOn w:val="1"/>
    <w:link w:val="87"/>
    <w:unhideWhenUsed/>
    <w:qFormat/>
    <w:uiPriority w:val="0"/>
    <w:pPr>
      <w:jc w:val="left"/>
    </w:pPr>
  </w:style>
  <w:style w:type="paragraph" w:styleId="21">
    <w:name w:val="Salutation"/>
    <w:basedOn w:val="1"/>
    <w:next w:val="1"/>
    <w:link w:val="119"/>
    <w:semiHidden/>
    <w:qFormat/>
    <w:uiPriority w:val="0"/>
    <w:rPr>
      <w:rFonts w:ascii="Times New Roman" w:hAnsi="Times New Roman"/>
      <w:szCs w:val="24"/>
    </w:rPr>
  </w:style>
  <w:style w:type="paragraph" w:styleId="22">
    <w:name w:val="Body Text 3"/>
    <w:basedOn w:val="1"/>
    <w:link w:val="120"/>
    <w:semiHidden/>
    <w:qFormat/>
    <w:uiPriority w:val="0"/>
    <w:pPr>
      <w:spacing w:after="120"/>
    </w:pPr>
    <w:rPr>
      <w:rFonts w:ascii="Times New Roman" w:hAnsi="Times New Roman"/>
      <w:sz w:val="16"/>
      <w:szCs w:val="16"/>
    </w:rPr>
  </w:style>
  <w:style w:type="paragraph" w:styleId="23">
    <w:name w:val="Closing"/>
    <w:basedOn w:val="1"/>
    <w:link w:val="121"/>
    <w:semiHidden/>
    <w:qFormat/>
    <w:uiPriority w:val="0"/>
    <w:pPr>
      <w:ind w:left="100" w:leftChars="2100"/>
    </w:pPr>
    <w:rPr>
      <w:rFonts w:ascii="Times New Roman" w:hAnsi="Times New Roman"/>
      <w:szCs w:val="24"/>
    </w:rPr>
  </w:style>
  <w:style w:type="paragraph" w:styleId="24">
    <w:name w:val="Body Text"/>
    <w:basedOn w:val="1"/>
    <w:next w:val="1"/>
    <w:link w:val="88"/>
    <w:qFormat/>
    <w:uiPriority w:val="99"/>
    <w:pPr>
      <w:spacing w:line="360" w:lineRule="auto"/>
    </w:pPr>
    <w:rPr>
      <w:rFonts w:ascii="宋体" w:hAnsi="宋体"/>
      <w:kern w:val="0"/>
      <w:sz w:val="24"/>
      <w:szCs w:val="24"/>
    </w:rPr>
  </w:style>
  <w:style w:type="paragraph" w:styleId="25">
    <w:name w:val="Body Text Indent"/>
    <w:basedOn w:val="1"/>
    <w:link w:val="86"/>
    <w:unhideWhenUsed/>
    <w:qFormat/>
    <w:uiPriority w:val="99"/>
    <w:pPr>
      <w:spacing w:after="120"/>
      <w:ind w:left="420" w:leftChars="200"/>
    </w:pPr>
  </w:style>
  <w:style w:type="paragraph" w:styleId="26">
    <w:name w:val="HTML Address"/>
    <w:basedOn w:val="1"/>
    <w:link w:val="122"/>
    <w:semiHidden/>
    <w:qFormat/>
    <w:uiPriority w:val="0"/>
    <w:rPr>
      <w:rFonts w:ascii="Times New Roman" w:hAnsi="Times New Roman"/>
      <w:i/>
      <w:iCs/>
      <w:szCs w:val="24"/>
    </w:rPr>
  </w:style>
  <w:style w:type="paragraph" w:styleId="27">
    <w:name w:val="toc 5"/>
    <w:basedOn w:val="1"/>
    <w:next w:val="1"/>
    <w:unhideWhenUsed/>
    <w:qFormat/>
    <w:uiPriority w:val="0"/>
    <w:pPr>
      <w:ind w:left="1680" w:leftChars="800"/>
    </w:pPr>
  </w:style>
  <w:style w:type="paragraph" w:styleId="28">
    <w:name w:val="toc 3"/>
    <w:basedOn w:val="1"/>
    <w:next w:val="1"/>
    <w:unhideWhenUsed/>
    <w:qFormat/>
    <w:uiPriority w:val="0"/>
    <w:pPr>
      <w:ind w:left="840" w:leftChars="400"/>
    </w:pPr>
  </w:style>
  <w:style w:type="paragraph" w:styleId="29">
    <w:name w:val="toc 8"/>
    <w:basedOn w:val="1"/>
    <w:next w:val="1"/>
    <w:semiHidden/>
    <w:qFormat/>
    <w:uiPriority w:val="0"/>
    <w:pPr>
      <w:ind w:left="2940" w:leftChars="1400"/>
    </w:pPr>
  </w:style>
  <w:style w:type="paragraph" w:styleId="30">
    <w:name w:val="Date"/>
    <w:basedOn w:val="1"/>
    <w:next w:val="1"/>
    <w:link w:val="123"/>
    <w:unhideWhenUsed/>
    <w:qFormat/>
    <w:uiPriority w:val="0"/>
    <w:pPr>
      <w:ind w:left="100" w:leftChars="2500"/>
    </w:pPr>
    <w:rPr>
      <w:rFonts w:ascii="Times New Roman" w:hAnsi="Times New Roman"/>
      <w:szCs w:val="20"/>
    </w:rPr>
  </w:style>
  <w:style w:type="paragraph" w:styleId="31">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2">
    <w:name w:val="endnote text"/>
    <w:basedOn w:val="1"/>
    <w:link w:val="125"/>
    <w:semiHidden/>
    <w:qFormat/>
    <w:uiPriority w:val="0"/>
    <w:pPr>
      <w:snapToGrid w:val="0"/>
      <w:jc w:val="left"/>
    </w:pPr>
    <w:rPr>
      <w:rFonts w:ascii="Times New Roman" w:hAnsi="Times New Roman"/>
      <w:szCs w:val="24"/>
    </w:rPr>
  </w:style>
  <w:style w:type="paragraph" w:styleId="33">
    <w:name w:val="Balloon Text"/>
    <w:basedOn w:val="1"/>
    <w:link w:val="90"/>
    <w:unhideWhenUsed/>
    <w:qFormat/>
    <w:uiPriority w:val="0"/>
    <w:rPr>
      <w:kern w:val="0"/>
      <w:sz w:val="18"/>
      <w:szCs w:val="18"/>
    </w:rPr>
  </w:style>
  <w:style w:type="paragraph" w:styleId="34">
    <w:name w:val="footer"/>
    <w:basedOn w:val="1"/>
    <w:link w:val="89"/>
    <w:unhideWhenUsed/>
    <w:qFormat/>
    <w:uiPriority w:val="0"/>
    <w:pPr>
      <w:tabs>
        <w:tab w:val="center" w:pos="4153"/>
        <w:tab w:val="right" w:pos="8306"/>
      </w:tabs>
      <w:snapToGrid w:val="0"/>
      <w:jc w:val="left"/>
    </w:pPr>
    <w:rPr>
      <w:kern w:val="0"/>
      <w:sz w:val="18"/>
      <w:szCs w:val="18"/>
    </w:rPr>
  </w:style>
  <w:style w:type="paragraph" w:styleId="35">
    <w:name w:val="header"/>
    <w:basedOn w:val="1"/>
    <w:link w:val="82"/>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6">
    <w:name w:val="Signature"/>
    <w:basedOn w:val="1"/>
    <w:link w:val="126"/>
    <w:semiHidden/>
    <w:qFormat/>
    <w:uiPriority w:val="0"/>
    <w:pPr>
      <w:ind w:left="100" w:leftChars="2100"/>
    </w:pPr>
    <w:rPr>
      <w:rFonts w:ascii="Times New Roman" w:hAnsi="Times New Roman"/>
      <w:szCs w:val="24"/>
    </w:rPr>
  </w:style>
  <w:style w:type="paragraph" w:styleId="37">
    <w:name w:val="toc 1"/>
    <w:basedOn w:val="1"/>
    <w:next w:val="1"/>
    <w:unhideWhenUsed/>
    <w:qFormat/>
    <w:uiPriority w:val="0"/>
  </w:style>
  <w:style w:type="paragraph" w:styleId="38">
    <w:name w:val="toc 4"/>
    <w:basedOn w:val="1"/>
    <w:next w:val="1"/>
    <w:unhideWhenUsed/>
    <w:qFormat/>
    <w:uiPriority w:val="0"/>
    <w:pPr>
      <w:ind w:left="1260" w:leftChars="600"/>
    </w:pPr>
  </w:style>
  <w:style w:type="paragraph" w:styleId="39">
    <w:name w:val="Subtitle"/>
    <w:basedOn w:val="1"/>
    <w:next w:val="1"/>
    <w:link w:val="159"/>
    <w:qFormat/>
    <w:uiPriority w:val="11"/>
    <w:pPr>
      <w:spacing w:before="240" w:after="60" w:line="312" w:lineRule="auto"/>
      <w:jc w:val="center"/>
      <w:outlineLvl w:val="1"/>
    </w:pPr>
    <w:rPr>
      <w:rFonts w:ascii="Cambria" w:hAnsi="Cambria"/>
      <w:b/>
      <w:bCs/>
      <w:kern w:val="28"/>
      <w:sz w:val="32"/>
      <w:szCs w:val="32"/>
    </w:rPr>
  </w:style>
  <w:style w:type="paragraph" w:styleId="40">
    <w:name w:val="List"/>
    <w:basedOn w:val="1"/>
    <w:semiHidden/>
    <w:qFormat/>
    <w:uiPriority w:val="0"/>
    <w:pPr>
      <w:ind w:left="200" w:hanging="200" w:hangingChars="200"/>
    </w:pPr>
    <w:rPr>
      <w:rFonts w:ascii="Times New Roman" w:hAnsi="Times New Roman"/>
      <w:szCs w:val="24"/>
    </w:rPr>
  </w:style>
  <w:style w:type="paragraph" w:styleId="41">
    <w:name w:val="footnote text"/>
    <w:basedOn w:val="1"/>
    <w:link w:val="127"/>
    <w:semiHidden/>
    <w:qFormat/>
    <w:uiPriority w:val="0"/>
    <w:pPr>
      <w:snapToGrid w:val="0"/>
      <w:jc w:val="left"/>
    </w:pPr>
    <w:rPr>
      <w:rFonts w:ascii="Times New Roman" w:hAnsi="Times New Roman"/>
      <w:sz w:val="18"/>
      <w:szCs w:val="20"/>
    </w:rPr>
  </w:style>
  <w:style w:type="paragraph" w:styleId="42">
    <w:name w:val="toc 6"/>
    <w:basedOn w:val="1"/>
    <w:next w:val="1"/>
    <w:unhideWhenUsed/>
    <w:qFormat/>
    <w:uiPriority w:val="0"/>
    <w:pPr>
      <w:ind w:left="2100" w:leftChars="1000"/>
    </w:pPr>
  </w:style>
  <w:style w:type="paragraph" w:styleId="43">
    <w:name w:val="toc 2"/>
    <w:basedOn w:val="1"/>
    <w:next w:val="1"/>
    <w:unhideWhenUsed/>
    <w:qFormat/>
    <w:uiPriority w:val="0"/>
    <w:pPr>
      <w:ind w:left="420" w:leftChars="200"/>
    </w:pPr>
  </w:style>
  <w:style w:type="paragraph" w:styleId="44">
    <w:name w:val="toc 9"/>
    <w:basedOn w:val="1"/>
    <w:next w:val="1"/>
    <w:unhideWhenUsed/>
    <w:qFormat/>
    <w:uiPriority w:val="0"/>
    <w:pPr>
      <w:ind w:left="3360" w:leftChars="1600"/>
    </w:pPr>
  </w:style>
  <w:style w:type="paragraph" w:styleId="45">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6">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7">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48">
    <w:name w:val="index 1"/>
    <w:basedOn w:val="1"/>
    <w:next w:val="1"/>
    <w:unhideWhenUsed/>
    <w:qFormat/>
    <w:uiPriority w:val="0"/>
  </w:style>
  <w:style w:type="paragraph" w:styleId="49">
    <w:name w:val="Title"/>
    <w:basedOn w:val="1"/>
    <w:next w:val="1"/>
    <w:link w:val="158"/>
    <w:qFormat/>
    <w:uiPriority w:val="0"/>
    <w:pPr>
      <w:spacing w:before="240" w:after="60"/>
      <w:jc w:val="center"/>
      <w:outlineLvl w:val="0"/>
    </w:pPr>
    <w:rPr>
      <w:rFonts w:ascii="Cambria" w:hAnsi="Cambria"/>
      <w:b/>
      <w:bCs/>
      <w:sz w:val="32"/>
      <w:szCs w:val="32"/>
    </w:rPr>
  </w:style>
  <w:style w:type="paragraph" w:styleId="50">
    <w:name w:val="annotation subject"/>
    <w:basedOn w:val="20"/>
    <w:next w:val="20"/>
    <w:link w:val="96"/>
    <w:unhideWhenUsed/>
    <w:qFormat/>
    <w:uiPriority w:val="0"/>
    <w:rPr>
      <w:b/>
      <w:bCs/>
    </w:rPr>
  </w:style>
  <w:style w:type="paragraph" w:styleId="51">
    <w:name w:val="Body Text First Indent"/>
    <w:basedOn w:val="24"/>
    <w:link w:val="114"/>
    <w:unhideWhenUsed/>
    <w:qFormat/>
    <w:uiPriority w:val="0"/>
    <w:pPr>
      <w:spacing w:after="120" w:line="240" w:lineRule="auto"/>
      <w:ind w:firstLine="420" w:firstLineChars="100"/>
    </w:pPr>
    <w:rPr>
      <w:rFonts w:ascii="Calibri" w:hAnsi="Calibri"/>
      <w:kern w:val="2"/>
      <w:sz w:val="21"/>
      <w:szCs w:val="22"/>
    </w:rPr>
  </w:style>
  <w:style w:type="paragraph" w:styleId="52">
    <w:name w:val="Body Text First Indent 2"/>
    <w:basedOn w:val="25"/>
    <w:link w:val="85"/>
    <w:unhideWhenUsed/>
    <w:qFormat/>
    <w:uiPriority w:val="0"/>
    <w:pPr>
      <w:ind w:firstLine="420" w:firstLineChars="200"/>
    </w:pPr>
  </w:style>
  <w:style w:type="table" w:styleId="54">
    <w:name w:val="Table Grid"/>
    <w:basedOn w:val="53"/>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5">
    <w:name w:val="Table List 4"/>
    <w:basedOn w:val="53"/>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6">
    <w:name w:val="Table List 5"/>
    <w:basedOn w:val="53"/>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8">
    <w:name w:val="Strong"/>
    <w:basedOn w:val="57"/>
    <w:qFormat/>
    <w:uiPriority w:val="22"/>
    <w:rPr>
      <w:b/>
    </w:rPr>
  </w:style>
  <w:style w:type="character" w:styleId="59">
    <w:name w:val="endnote reference"/>
    <w:semiHidden/>
    <w:qFormat/>
    <w:uiPriority w:val="0"/>
    <w:rPr>
      <w:vertAlign w:val="superscript"/>
    </w:rPr>
  </w:style>
  <w:style w:type="character" w:styleId="60">
    <w:name w:val="page number"/>
    <w:basedOn w:val="57"/>
    <w:unhideWhenUsed/>
    <w:qFormat/>
    <w:uiPriority w:val="99"/>
  </w:style>
  <w:style w:type="character" w:styleId="61">
    <w:name w:val="FollowedHyperlink"/>
    <w:qFormat/>
    <w:uiPriority w:val="99"/>
    <w:rPr>
      <w:color w:val="800080"/>
      <w:u w:val="single"/>
    </w:rPr>
  </w:style>
  <w:style w:type="character" w:styleId="62">
    <w:name w:val="Emphasis"/>
    <w:basedOn w:val="57"/>
    <w:qFormat/>
    <w:uiPriority w:val="20"/>
  </w:style>
  <w:style w:type="character" w:styleId="63">
    <w:name w:val="HTML Definition"/>
    <w:qFormat/>
    <w:uiPriority w:val="0"/>
    <w:rPr>
      <w:i/>
      <w:iCs/>
    </w:rPr>
  </w:style>
  <w:style w:type="character" w:styleId="64">
    <w:name w:val="HTML Typewriter"/>
    <w:semiHidden/>
    <w:qFormat/>
    <w:uiPriority w:val="0"/>
    <w:rPr>
      <w:rFonts w:ascii="Courier New" w:hAnsi="Courier New" w:cs="Courier New"/>
      <w:sz w:val="20"/>
      <w:szCs w:val="20"/>
    </w:rPr>
  </w:style>
  <w:style w:type="character" w:styleId="65">
    <w:name w:val="HTML Variable"/>
    <w:qFormat/>
    <w:uiPriority w:val="0"/>
    <w:rPr>
      <w:i/>
      <w:iCs/>
    </w:rPr>
  </w:style>
  <w:style w:type="character" w:styleId="66">
    <w:name w:val="Hyperlink"/>
    <w:qFormat/>
    <w:uiPriority w:val="0"/>
    <w:rPr>
      <w:color w:val="0000FF"/>
      <w:u w:val="single"/>
    </w:rPr>
  </w:style>
  <w:style w:type="character" w:styleId="67">
    <w:name w:val="HTML Code"/>
    <w:qFormat/>
    <w:uiPriority w:val="0"/>
    <w:rPr>
      <w:rFonts w:ascii="Courier New" w:hAnsi="Courier New" w:cs="Courier New"/>
      <w:sz w:val="20"/>
      <w:szCs w:val="20"/>
    </w:rPr>
  </w:style>
  <w:style w:type="character" w:styleId="68">
    <w:name w:val="annotation reference"/>
    <w:unhideWhenUsed/>
    <w:qFormat/>
    <w:uiPriority w:val="0"/>
    <w:rPr>
      <w:sz w:val="21"/>
      <w:szCs w:val="21"/>
    </w:rPr>
  </w:style>
  <w:style w:type="character" w:styleId="69">
    <w:name w:val="HTML Cite"/>
    <w:qFormat/>
    <w:uiPriority w:val="0"/>
    <w:rPr>
      <w:i/>
      <w:iCs/>
    </w:rPr>
  </w:style>
  <w:style w:type="character" w:styleId="70">
    <w:name w:val="footnote reference"/>
    <w:semiHidden/>
    <w:qFormat/>
    <w:uiPriority w:val="0"/>
    <w:rPr>
      <w:vertAlign w:val="superscript"/>
    </w:rPr>
  </w:style>
  <w:style w:type="character" w:styleId="71">
    <w:name w:val="HTML Keyboard"/>
    <w:qFormat/>
    <w:uiPriority w:val="0"/>
    <w:rPr>
      <w:rFonts w:ascii="Courier New" w:hAnsi="Courier New" w:cs="Courier New"/>
      <w:sz w:val="20"/>
      <w:szCs w:val="20"/>
    </w:rPr>
  </w:style>
  <w:style w:type="character" w:styleId="72">
    <w:name w:val="HTML Sample"/>
    <w:qFormat/>
    <w:uiPriority w:val="0"/>
    <w:rPr>
      <w:rFonts w:ascii="Courier New" w:hAnsi="Courier New" w:cs="Courier New"/>
    </w:rPr>
  </w:style>
  <w:style w:type="character" w:customStyle="1" w:styleId="73">
    <w:name w:val="标题 1 Char"/>
    <w:link w:val="4"/>
    <w:qFormat/>
    <w:uiPriority w:val="0"/>
    <w:rPr>
      <w:b/>
      <w:bCs/>
      <w:kern w:val="44"/>
      <w:sz w:val="44"/>
      <w:szCs w:val="44"/>
    </w:rPr>
  </w:style>
  <w:style w:type="character" w:customStyle="1" w:styleId="74">
    <w:name w:val="标题 2 Char"/>
    <w:link w:val="5"/>
    <w:qFormat/>
    <w:uiPriority w:val="0"/>
    <w:rPr>
      <w:rFonts w:ascii="Cambria" w:hAnsi="Cambria" w:eastAsia="宋体"/>
      <w:b/>
      <w:bCs/>
      <w:kern w:val="2"/>
      <w:sz w:val="32"/>
      <w:szCs w:val="32"/>
      <w:lang w:val="en-US" w:eastAsia="zh-CN" w:bidi="ar-SA"/>
    </w:rPr>
  </w:style>
  <w:style w:type="character" w:customStyle="1" w:styleId="75">
    <w:name w:val="标题 3 Char"/>
    <w:link w:val="6"/>
    <w:qFormat/>
    <w:uiPriority w:val="0"/>
    <w:rPr>
      <w:rFonts w:ascii="Calibri" w:hAnsi="Calibri" w:eastAsia="宋体"/>
      <w:b/>
      <w:bCs/>
      <w:kern w:val="2"/>
      <w:sz w:val="32"/>
      <w:szCs w:val="32"/>
      <w:lang w:val="en-US" w:eastAsia="zh-CN" w:bidi="ar-SA"/>
    </w:rPr>
  </w:style>
  <w:style w:type="character" w:customStyle="1" w:styleId="76">
    <w:name w:val="标题 4 Char"/>
    <w:link w:val="7"/>
    <w:qFormat/>
    <w:uiPriority w:val="0"/>
    <w:rPr>
      <w:rFonts w:ascii="宋体" w:hAnsi="宋体" w:eastAsia="宋体" w:cs="宋体"/>
      <w:b/>
      <w:bCs/>
      <w:sz w:val="24"/>
      <w:szCs w:val="24"/>
      <w:lang w:val="en-US" w:eastAsia="zh-CN" w:bidi="ar-SA"/>
    </w:rPr>
  </w:style>
  <w:style w:type="character" w:customStyle="1" w:styleId="77">
    <w:name w:val="标题 5 Char"/>
    <w:basedOn w:val="57"/>
    <w:link w:val="8"/>
    <w:qFormat/>
    <w:uiPriority w:val="0"/>
    <w:rPr>
      <w:rFonts w:ascii="Times New Roman" w:hAnsi="Times New Roman"/>
    </w:rPr>
  </w:style>
  <w:style w:type="character" w:customStyle="1" w:styleId="78">
    <w:name w:val="标题 6 Char"/>
    <w:basedOn w:val="57"/>
    <w:link w:val="9"/>
    <w:qFormat/>
    <w:uiPriority w:val="0"/>
    <w:rPr>
      <w:rFonts w:ascii="Times New Roman" w:hAnsi="Times New Roman"/>
    </w:rPr>
  </w:style>
  <w:style w:type="character" w:customStyle="1" w:styleId="79">
    <w:name w:val="标题 7 Char"/>
    <w:link w:val="10"/>
    <w:qFormat/>
    <w:uiPriority w:val="0"/>
    <w:rPr>
      <w:rFonts w:ascii="Calibri" w:hAnsi="Calibri" w:eastAsia="宋体"/>
      <w:b/>
      <w:bCs/>
      <w:kern w:val="2"/>
      <w:sz w:val="24"/>
      <w:szCs w:val="24"/>
      <w:lang w:val="en-US" w:eastAsia="zh-CN" w:bidi="ar-SA"/>
    </w:rPr>
  </w:style>
  <w:style w:type="character" w:customStyle="1" w:styleId="80">
    <w:name w:val="标题 8 Char"/>
    <w:basedOn w:val="57"/>
    <w:link w:val="11"/>
    <w:qFormat/>
    <w:uiPriority w:val="0"/>
    <w:rPr>
      <w:rFonts w:ascii="Times New Roman" w:hAnsi="Times New Roman"/>
    </w:rPr>
  </w:style>
  <w:style w:type="character" w:customStyle="1" w:styleId="81">
    <w:name w:val="标题 9 Char"/>
    <w:basedOn w:val="57"/>
    <w:link w:val="12"/>
    <w:qFormat/>
    <w:uiPriority w:val="0"/>
    <w:rPr>
      <w:rFonts w:ascii="Times New Roman" w:hAnsi="Times New Roman"/>
    </w:rPr>
  </w:style>
  <w:style w:type="character" w:customStyle="1" w:styleId="82">
    <w:name w:val="页眉 Char"/>
    <w:link w:val="35"/>
    <w:qFormat/>
    <w:uiPriority w:val="0"/>
    <w:rPr>
      <w:sz w:val="18"/>
      <w:szCs w:val="18"/>
    </w:rPr>
  </w:style>
  <w:style w:type="character" w:styleId="83">
    <w:name w:val="Placeholder Text"/>
    <w:semiHidden/>
    <w:qFormat/>
    <w:uiPriority w:val="99"/>
    <w:rPr>
      <w:color w:val="808080"/>
    </w:rPr>
  </w:style>
  <w:style w:type="character" w:customStyle="1" w:styleId="84">
    <w:name w:val="title"/>
    <w:basedOn w:val="57"/>
    <w:qFormat/>
    <w:uiPriority w:val="0"/>
  </w:style>
  <w:style w:type="character" w:customStyle="1" w:styleId="85">
    <w:name w:val="正文首行缩进 2 Char"/>
    <w:basedOn w:val="86"/>
    <w:link w:val="52"/>
    <w:qFormat/>
    <w:uiPriority w:val="0"/>
  </w:style>
  <w:style w:type="character" w:customStyle="1" w:styleId="86">
    <w:name w:val="正文文本缩进 Char"/>
    <w:basedOn w:val="57"/>
    <w:link w:val="25"/>
    <w:semiHidden/>
    <w:qFormat/>
    <w:uiPriority w:val="99"/>
  </w:style>
  <w:style w:type="character" w:customStyle="1" w:styleId="87">
    <w:name w:val="批注文字 Char"/>
    <w:link w:val="20"/>
    <w:semiHidden/>
    <w:qFormat/>
    <w:uiPriority w:val="0"/>
    <w:rPr>
      <w:kern w:val="2"/>
      <w:sz w:val="21"/>
      <w:szCs w:val="22"/>
    </w:rPr>
  </w:style>
  <w:style w:type="character" w:customStyle="1" w:styleId="88">
    <w:name w:val="正文文本 Char"/>
    <w:link w:val="24"/>
    <w:qFormat/>
    <w:uiPriority w:val="99"/>
    <w:rPr>
      <w:rFonts w:ascii="宋体" w:hAnsi="宋体" w:eastAsia="宋体" w:cs="Times New Roman"/>
      <w:sz w:val="24"/>
      <w:szCs w:val="24"/>
    </w:rPr>
  </w:style>
  <w:style w:type="character" w:customStyle="1" w:styleId="89">
    <w:name w:val="页脚 Char"/>
    <w:link w:val="34"/>
    <w:qFormat/>
    <w:uiPriority w:val="0"/>
    <w:rPr>
      <w:sz w:val="18"/>
      <w:szCs w:val="18"/>
    </w:rPr>
  </w:style>
  <w:style w:type="character" w:customStyle="1" w:styleId="90">
    <w:name w:val="批注框文本 Char"/>
    <w:link w:val="33"/>
    <w:semiHidden/>
    <w:qFormat/>
    <w:uiPriority w:val="0"/>
    <w:rPr>
      <w:sz w:val="18"/>
      <w:szCs w:val="18"/>
    </w:rPr>
  </w:style>
  <w:style w:type="character" w:customStyle="1" w:styleId="91">
    <w:name w:val="纯文本 Char"/>
    <w:link w:val="2"/>
    <w:qFormat/>
    <w:uiPriority w:val="0"/>
    <w:rPr>
      <w:rFonts w:ascii="宋体" w:hAnsi="Courier New" w:cs="Courier New"/>
      <w:kern w:val="2"/>
      <w:sz w:val="21"/>
      <w:szCs w:val="21"/>
    </w:rPr>
  </w:style>
  <w:style w:type="character" w:customStyle="1" w:styleId="92">
    <w:name w:val="标题3 Char"/>
    <w:link w:val="93"/>
    <w:qFormat/>
    <w:uiPriority w:val="0"/>
    <w:rPr>
      <w:rFonts w:ascii="宋体" w:hAnsi="宋体"/>
      <w:color w:val="000000"/>
      <w:sz w:val="24"/>
    </w:rPr>
  </w:style>
  <w:style w:type="paragraph" w:customStyle="1" w:styleId="93">
    <w:name w:val="标题3"/>
    <w:basedOn w:val="6"/>
    <w:link w:val="92"/>
    <w:qFormat/>
    <w:uiPriority w:val="0"/>
    <w:pPr>
      <w:spacing w:line="360" w:lineRule="auto"/>
      <w:ind w:firstLine="472" w:firstLineChars="196"/>
    </w:pPr>
    <w:rPr>
      <w:rFonts w:ascii="宋体" w:hAnsi="宋体"/>
      <w:b w:val="0"/>
      <w:bCs w:val="0"/>
      <w:color w:val="000000"/>
      <w:kern w:val="0"/>
      <w:sz w:val="24"/>
      <w:szCs w:val="20"/>
    </w:rPr>
  </w:style>
  <w:style w:type="character" w:customStyle="1" w:styleId="94">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5">
    <w:name w:val="文档结构图 Char"/>
    <w:link w:val="19"/>
    <w:qFormat/>
    <w:uiPriority w:val="0"/>
    <w:rPr>
      <w:rFonts w:ascii="宋体"/>
      <w:kern w:val="2"/>
      <w:sz w:val="18"/>
      <w:szCs w:val="18"/>
    </w:rPr>
  </w:style>
  <w:style w:type="character" w:customStyle="1" w:styleId="96">
    <w:name w:val="批注主题 Char"/>
    <w:link w:val="50"/>
    <w:semiHidden/>
    <w:qFormat/>
    <w:uiPriority w:val="0"/>
    <w:rPr>
      <w:b/>
      <w:bCs/>
      <w:kern w:val="2"/>
      <w:sz w:val="21"/>
      <w:szCs w:val="22"/>
    </w:rPr>
  </w:style>
  <w:style w:type="paragraph" w:customStyle="1" w:styleId="97">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8">
    <w:name w:val="List Paragraph"/>
    <w:basedOn w:val="99"/>
    <w:qFormat/>
    <w:uiPriority w:val="34"/>
    <w:pPr>
      <w:ind w:firstLine="420" w:firstLineChars="200"/>
    </w:pPr>
  </w:style>
  <w:style w:type="paragraph" w:customStyle="1" w:styleId="99">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00">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5"/>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4"/>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4"/>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8"/>
    <w:link w:val="51"/>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7"/>
    <w:link w:val="14"/>
    <w:semiHidden/>
    <w:qFormat/>
    <w:uiPriority w:val="0"/>
    <w:rPr>
      <w:rFonts w:ascii="Times New Roman" w:hAnsi="Times New Roman"/>
      <w:kern w:val="2"/>
      <w:sz w:val="21"/>
      <w:szCs w:val="24"/>
    </w:rPr>
  </w:style>
  <w:style w:type="character" w:customStyle="1" w:styleId="118">
    <w:name w:val="电子邮件签名 Char"/>
    <w:basedOn w:val="57"/>
    <w:link w:val="15"/>
    <w:semiHidden/>
    <w:qFormat/>
    <w:uiPriority w:val="0"/>
    <w:rPr>
      <w:rFonts w:ascii="Times New Roman" w:hAnsi="Times New Roman"/>
      <w:kern w:val="2"/>
      <w:sz w:val="21"/>
      <w:szCs w:val="24"/>
    </w:rPr>
  </w:style>
  <w:style w:type="character" w:customStyle="1" w:styleId="119">
    <w:name w:val="称呼 Char"/>
    <w:basedOn w:val="57"/>
    <w:link w:val="21"/>
    <w:semiHidden/>
    <w:qFormat/>
    <w:uiPriority w:val="0"/>
    <w:rPr>
      <w:rFonts w:ascii="Times New Roman" w:hAnsi="Times New Roman"/>
      <w:kern w:val="2"/>
      <w:sz w:val="21"/>
      <w:szCs w:val="24"/>
    </w:rPr>
  </w:style>
  <w:style w:type="character" w:customStyle="1" w:styleId="120">
    <w:name w:val="正文文本 3 Char"/>
    <w:basedOn w:val="57"/>
    <w:link w:val="22"/>
    <w:semiHidden/>
    <w:qFormat/>
    <w:uiPriority w:val="0"/>
    <w:rPr>
      <w:rFonts w:ascii="Times New Roman" w:hAnsi="Times New Roman"/>
      <w:kern w:val="2"/>
      <w:sz w:val="16"/>
      <w:szCs w:val="16"/>
    </w:rPr>
  </w:style>
  <w:style w:type="character" w:customStyle="1" w:styleId="121">
    <w:name w:val="结束语 Char"/>
    <w:basedOn w:val="57"/>
    <w:link w:val="23"/>
    <w:semiHidden/>
    <w:qFormat/>
    <w:uiPriority w:val="0"/>
    <w:rPr>
      <w:rFonts w:ascii="Times New Roman" w:hAnsi="Times New Roman"/>
      <w:kern w:val="2"/>
      <w:sz w:val="21"/>
      <w:szCs w:val="24"/>
    </w:rPr>
  </w:style>
  <w:style w:type="character" w:customStyle="1" w:styleId="122">
    <w:name w:val="HTML 地址 Char"/>
    <w:basedOn w:val="57"/>
    <w:link w:val="26"/>
    <w:semiHidden/>
    <w:qFormat/>
    <w:uiPriority w:val="0"/>
    <w:rPr>
      <w:rFonts w:ascii="Times New Roman" w:hAnsi="Times New Roman"/>
      <w:i/>
      <w:iCs/>
      <w:kern w:val="2"/>
      <w:sz w:val="21"/>
      <w:szCs w:val="24"/>
    </w:rPr>
  </w:style>
  <w:style w:type="character" w:customStyle="1" w:styleId="123">
    <w:name w:val="日期 Char"/>
    <w:basedOn w:val="57"/>
    <w:link w:val="30"/>
    <w:qFormat/>
    <w:uiPriority w:val="0"/>
    <w:rPr>
      <w:rFonts w:ascii="Times New Roman" w:hAnsi="Times New Roman"/>
      <w:kern w:val="2"/>
      <w:sz w:val="21"/>
    </w:rPr>
  </w:style>
  <w:style w:type="character" w:customStyle="1" w:styleId="124">
    <w:name w:val="正文文本缩进 2 Char"/>
    <w:basedOn w:val="57"/>
    <w:link w:val="31"/>
    <w:semiHidden/>
    <w:qFormat/>
    <w:uiPriority w:val="0"/>
    <w:rPr>
      <w:rFonts w:ascii="Times New Roman" w:hAnsi="Times New Roman"/>
      <w:kern w:val="2"/>
      <w:sz w:val="21"/>
      <w:szCs w:val="24"/>
    </w:rPr>
  </w:style>
  <w:style w:type="character" w:customStyle="1" w:styleId="125">
    <w:name w:val="尾注文本 Char"/>
    <w:basedOn w:val="57"/>
    <w:link w:val="32"/>
    <w:semiHidden/>
    <w:qFormat/>
    <w:uiPriority w:val="0"/>
    <w:rPr>
      <w:rFonts w:ascii="Times New Roman" w:hAnsi="Times New Roman"/>
      <w:kern w:val="2"/>
      <w:sz w:val="21"/>
      <w:szCs w:val="24"/>
    </w:rPr>
  </w:style>
  <w:style w:type="character" w:customStyle="1" w:styleId="126">
    <w:name w:val="签名 Char"/>
    <w:basedOn w:val="57"/>
    <w:link w:val="36"/>
    <w:semiHidden/>
    <w:qFormat/>
    <w:uiPriority w:val="0"/>
    <w:rPr>
      <w:rFonts w:ascii="Times New Roman" w:hAnsi="Times New Roman"/>
      <w:kern w:val="2"/>
      <w:sz w:val="21"/>
      <w:szCs w:val="24"/>
    </w:rPr>
  </w:style>
  <w:style w:type="character" w:customStyle="1" w:styleId="127">
    <w:name w:val="脚注文本 Char"/>
    <w:basedOn w:val="57"/>
    <w:link w:val="41"/>
    <w:semiHidden/>
    <w:qFormat/>
    <w:uiPriority w:val="0"/>
    <w:rPr>
      <w:rFonts w:ascii="Times New Roman" w:hAnsi="Times New Roman"/>
      <w:kern w:val="2"/>
      <w:sz w:val="18"/>
    </w:rPr>
  </w:style>
  <w:style w:type="character" w:customStyle="1" w:styleId="128">
    <w:name w:val="信息标题 Char"/>
    <w:basedOn w:val="57"/>
    <w:link w:val="45"/>
    <w:semiHidden/>
    <w:qFormat/>
    <w:uiPriority w:val="0"/>
    <w:rPr>
      <w:rFonts w:ascii="Arial" w:hAnsi="Arial" w:cs="Arial"/>
      <w:kern w:val="2"/>
      <w:sz w:val="24"/>
      <w:szCs w:val="24"/>
      <w:shd w:val="pct20" w:color="auto" w:fill="auto"/>
    </w:rPr>
  </w:style>
  <w:style w:type="character" w:customStyle="1" w:styleId="129">
    <w:name w:val="HTML 预设格式 Char"/>
    <w:basedOn w:val="57"/>
    <w:link w:val="46"/>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7"/>
    <w:semiHidden/>
    <w:qFormat/>
    <w:uiPriority w:val="99"/>
    <w:rPr>
      <w:rFonts w:ascii="Times New Roman" w:hAnsi="Times New Roman" w:eastAsia="宋体" w:cs="Times New Roman"/>
      <w:szCs w:val="20"/>
    </w:rPr>
  </w:style>
  <w:style w:type="character" w:customStyle="1" w:styleId="136">
    <w:name w:val="正文文本缩进 2 Char1"/>
    <w:basedOn w:val="57"/>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7"/>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7"/>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99"/>
    <w:qFormat/>
    <w:uiPriority w:val="34"/>
    <w:pPr>
      <w:ind w:firstLine="420" w:firstLineChars="200"/>
    </w:pPr>
  </w:style>
  <w:style w:type="paragraph" w:customStyle="1" w:styleId="147">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8">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9">
    <w:name w:val="fontstyle21"/>
    <w:basedOn w:val="57"/>
    <w:qFormat/>
    <w:uiPriority w:val="0"/>
    <w:rPr>
      <w:rFonts w:ascii="FZXBSJW--GB1-0" w:hAnsi="FZXBSJW--GB1-0" w:eastAsia="FZXBSJW--GB1-0" w:cs="FZXBSJW--GB1-0"/>
      <w:color w:val="000000"/>
      <w:sz w:val="44"/>
      <w:szCs w:val="44"/>
    </w:rPr>
  </w:style>
  <w:style w:type="character" w:customStyle="1" w:styleId="150">
    <w:name w:val="fontstyle31"/>
    <w:basedOn w:val="57"/>
    <w:qFormat/>
    <w:uiPriority w:val="0"/>
    <w:rPr>
      <w:rFonts w:ascii="仿宋_GB2312" w:hAnsi="仿宋_GB2312" w:eastAsia="仿宋_GB2312" w:cs="仿宋_GB2312"/>
      <w:color w:val="000000"/>
      <w:sz w:val="32"/>
      <w:szCs w:val="32"/>
    </w:rPr>
  </w:style>
  <w:style w:type="paragraph" w:customStyle="1" w:styleId="151">
    <w:name w:val="页脚2"/>
    <w:basedOn w:val="99"/>
    <w:unhideWhenUsed/>
    <w:qFormat/>
    <w:uiPriority w:val="0"/>
    <w:pPr>
      <w:tabs>
        <w:tab w:val="center" w:pos="4153"/>
        <w:tab w:val="right" w:pos="8306"/>
      </w:tabs>
      <w:snapToGrid w:val="0"/>
      <w:jc w:val="left"/>
    </w:pPr>
    <w:rPr>
      <w:sz w:val="18"/>
      <w:szCs w:val="18"/>
    </w:rPr>
  </w:style>
  <w:style w:type="character" w:customStyle="1" w:styleId="152">
    <w:name w:val="纯文本 Char2"/>
    <w:qFormat/>
    <w:uiPriority w:val="0"/>
    <w:rPr>
      <w:rFonts w:ascii="宋体" w:hAnsi="Courier New" w:eastAsia="宋体" w:cs="Courier New"/>
      <w:sz w:val="21"/>
      <w:szCs w:val="21"/>
    </w:rPr>
  </w:style>
  <w:style w:type="character" w:customStyle="1" w:styleId="153">
    <w:name w:val="fontstrikethrough"/>
    <w:basedOn w:val="57"/>
    <w:qFormat/>
    <w:uiPriority w:val="0"/>
    <w:rPr>
      <w:strike/>
    </w:rPr>
  </w:style>
  <w:style w:type="character" w:customStyle="1" w:styleId="154">
    <w:name w:val="副标题 Char"/>
    <w:link w:val="39"/>
    <w:qFormat/>
    <w:uiPriority w:val="11"/>
    <w:rPr>
      <w:rFonts w:ascii="Cambria" w:hAnsi="Cambria"/>
      <w:b/>
      <w:bCs/>
      <w:kern w:val="28"/>
      <w:sz w:val="32"/>
      <w:szCs w:val="32"/>
    </w:rPr>
  </w:style>
  <w:style w:type="character" w:customStyle="1" w:styleId="155">
    <w:name w:val="fontborder"/>
    <w:basedOn w:val="57"/>
    <w:qFormat/>
    <w:uiPriority w:val="0"/>
    <w:rPr>
      <w:bdr w:val="single" w:color="000000" w:sz="6" w:space="0"/>
    </w:rPr>
  </w:style>
  <w:style w:type="character" w:customStyle="1" w:styleId="156">
    <w:name w:val="标题 Char1"/>
    <w:qFormat/>
    <w:uiPriority w:val="10"/>
    <w:rPr>
      <w:rFonts w:ascii="Cambria" w:hAnsi="Cambria" w:cs="Times New Roman"/>
      <w:b/>
      <w:bCs/>
      <w:kern w:val="2"/>
      <w:sz w:val="32"/>
      <w:szCs w:val="32"/>
    </w:rPr>
  </w:style>
  <w:style w:type="character" w:customStyle="1" w:styleId="157">
    <w:name w:val="标题 Char"/>
    <w:link w:val="49"/>
    <w:qFormat/>
    <w:uiPriority w:val="0"/>
    <w:rPr>
      <w:rFonts w:ascii="Cambria" w:hAnsi="Cambria"/>
      <w:b/>
      <w:bCs/>
      <w:kern w:val="2"/>
      <w:sz w:val="32"/>
      <w:szCs w:val="32"/>
    </w:rPr>
  </w:style>
  <w:style w:type="character" w:customStyle="1" w:styleId="158">
    <w:name w:val="标题 Char2"/>
    <w:basedOn w:val="57"/>
    <w:link w:val="49"/>
    <w:qFormat/>
    <w:uiPriority w:val="10"/>
    <w:rPr>
      <w:rFonts w:asciiTheme="majorHAnsi" w:hAnsiTheme="majorHAnsi" w:cstheme="majorBidi"/>
      <w:b/>
      <w:bCs/>
      <w:kern w:val="2"/>
      <w:sz w:val="32"/>
      <w:szCs w:val="32"/>
    </w:rPr>
  </w:style>
  <w:style w:type="character" w:customStyle="1" w:styleId="159">
    <w:name w:val="副标题 Char1"/>
    <w:basedOn w:val="57"/>
    <w:link w:val="39"/>
    <w:qFormat/>
    <w:uiPriority w:val="11"/>
    <w:rPr>
      <w:rFonts w:asciiTheme="majorHAnsi" w:hAnsiTheme="majorHAnsi" w:cstheme="majorBidi"/>
      <w:b/>
      <w:bCs/>
      <w:kern w:val="28"/>
      <w:sz w:val="32"/>
      <w:szCs w:val="32"/>
    </w:rPr>
  </w:style>
  <w:style w:type="paragraph" w:customStyle="1" w:styleId="160">
    <w:name w:val="Heading 2_1"/>
    <w:basedOn w:val="147"/>
    <w:next w:val="147"/>
    <w:qFormat/>
    <w:uiPriority w:val="0"/>
    <w:pPr>
      <w:spacing w:before="360" w:after="120" w:line="360" w:lineRule="auto"/>
      <w:outlineLvl w:val="1"/>
    </w:pPr>
    <w:rPr>
      <w:rFonts w:ascii="Cambria" w:hAnsi="Cambria" w:eastAsia="黑体"/>
      <w:b/>
      <w:bCs/>
      <w:sz w:val="32"/>
      <w:szCs w:val="32"/>
    </w:rPr>
  </w:style>
  <w:style w:type="paragraph" w:customStyle="1" w:styleId="161">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2">
    <w:name w:val="常用（宋体，5号，1.25行距）"/>
    <w:basedOn w:val="1"/>
    <w:qFormat/>
    <w:uiPriority w:val="0"/>
    <w:pPr>
      <w:widowControl/>
      <w:spacing w:line="300" w:lineRule="auto"/>
      <w:jc w:val="left"/>
    </w:pPr>
    <w:rPr>
      <w:kern w:val="0"/>
      <w:sz w:val="24"/>
      <w:szCs w:val="21"/>
      <w:lang w:eastAsia="en-US" w:bidi="en-US"/>
    </w:rPr>
  </w:style>
  <w:style w:type="paragraph" w:customStyle="1" w:styleId="163">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4">
    <w:name w:val="Plain Text_0"/>
    <w:basedOn w:val="161"/>
    <w:qFormat/>
    <w:uiPriority w:val="0"/>
    <w:rPr>
      <w:rFonts w:ascii="宋体" w:hAnsi="Courier New" w:cs="Courier New"/>
      <w:szCs w:val="21"/>
    </w:rPr>
  </w:style>
  <w:style w:type="character" w:customStyle="1" w:styleId="165">
    <w:name w:val="_Style 1"/>
    <w:qFormat/>
    <w:uiPriority w:val="19"/>
    <w:rPr>
      <w:rFonts w:eastAsia="宋体"/>
      <w:iCs/>
      <w:color w:val="404040"/>
      <w:sz w:val="30"/>
    </w:rPr>
  </w:style>
  <w:style w:type="paragraph" w:customStyle="1" w:styleId="166">
    <w:name w:val="条款标题"/>
    <w:basedOn w:val="5"/>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68">
    <w:name w:val="样式1"/>
    <w:basedOn w:val="7"/>
    <w:qFormat/>
    <w:uiPriority w:val="0"/>
    <w:pPr>
      <w:keepLines/>
      <w:numPr>
        <w:ilvl w:val="0"/>
        <w:numId w:val="0"/>
      </w:numPr>
      <w:tabs>
        <w:tab w:val="clear" w:pos="864"/>
      </w:tabs>
      <w:spacing w:before="280" w:after="290" w:line="376" w:lineRule="auto"/>
    </w:pPr>
    <w:rPr>
      <w:rFonts w:ascii="Arial" w:hAnsi="Arial" w:cs="Arial"/>
      <w:sz w:val="28"/>
      <w:szCs w:val="28"/>
    </w:rPr>
  </w:style>
  <w:style w:type="paragraph" w:customStyle="1" w:styleId="169">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0">
    <w:name w:val="Normal_0"/>
    <w:qFormat/>
    <w:uiPriority w:val="0"/>
    <w:pPr>
      <w:widowControl w:val="0"/>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48</Pages>
  <Words>31626</Words>
  <Characters>32817</Characters>
  <Lines>137</Lines>
  <Paragraphs>38</Paragraphs>
  <TotalTime>1</TotalTime>
  <ScaleCrop>false</ScaleCrop>
  <LinksUpToDate>false</LinksUpToDate>
  <CharactersWithSpaces>34866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2023-05-25T01:28:00Z</dcterms:created>
  <dc:creator>微软用户</dc:creator>
  <cp:lastModifiedBy>實誠</cp:lastModifiedBy>
  <cp:lastPrinted>2026-09-09T18:33:00Z</cp:lastPrinted>
  <dcterms:modified xsi:type="dcterms:W3CDTF">2026-09-16T09:30:24Z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DC99B9AACCC548E5AB7C50D27C5A1A84_13</vt:lpwstr>
  </property>
  <property fmtid="{D5CDD505-2E9C-101B-9397-08002B2CF9AE}" pid="4" name="KSOTemplateDocerSaveRecord">
    <vt:lpwstr>eyJoZGlkIjoiNWNiYTgzMWFmZTY4ZmY0ZjgwY2E4MGYwYjJjNjg0YTEifQ==</vt:lpwstr>
  </property>
</Properties>
</file>