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55B65">
      <w:pPr>
        <w:spacing w:line="360" w:lineRule="auto"/>
        <w:jc w:val="center"/>
        <w:rPr>
          <w:rFonts w:ascii="宋体" w:hAnsi="宋体"/>
          <w:b/>
          <w:sz w:val="32"/>
          <w:szCs w:val="32"/>
        </w:rPr>
      </w:pPr>
      <w:r>
        <w:rPr>
          <w:rFonts w:hint="eastAsia" w:ascii="宋体" w:hAnsi="宋体"/>
          <w:b/>
          <w:sz w:val="32"/>
          <w:szCs w:val="32"/>
          <w:lang w:val="en-US" w:eastAsia="zh-CN"/>
        </w:rPr>
        <w:t>龙岗区妇幼保健院住院部南栋五楼医用设备带维修服务项目</w:t>
      </w:r>
      <w:r>
        <w:rPr>
          <w:rFonts w:hint="eastAsia" w:ascii="宋体" w:hAnsi="宋体"/>
          <w:b/>
          <w:sz w:val="32"/>
          <w:szCs w:val="32"/>
        </w:rPr>
        <w:t>需求文件</w:t>
      </w:r>
    </w:p>
    <w:p w14:paraId="6ACD41C9">
      <w:pPr>
        <w:pStyle w:val="2"/>
        <w:numPr>
          <w:ilvl w:val="-1"/>
          <w:numId w:val="0"/>
        </w:numPr>
        <w:ind w:left="0" w:firstLine="0"/>
      </w:pPr>
      <w:bookmarkStart w:id="0" w:name="_Toc361780468"/>
    </w:p>
    <w:p w14:paraId="5A08FC45">
      <w:pPr>
        <w:pStyle w:val="4"/>
        <w:numPr>
          <w:ilvl w:val="-1"/>
          <w:numId w:val="0"/>
        </w:numPr>
        <w:spacing w:before="156" w:beforeLines="50" w:after="156" w:afterLines="50"/>
        <w:ind w:firstLine="560" w:firstLineChars="200"/>
        <w:rPr>
          <w:rFonts w:hint="eastAsia" w:cs="宋体"/>
          <w:b/>
          <w:bCs/>
          <w:sz w:val="28"/>
          <w:szCs w:val="28"/>
        </w:rPr>
      </w:pPr>
      <w:r>
        <w:rPr>
          <w:rFonts w:hint="eastAsia" w:cs="宋体"/>
          <w:b/>
          <w:bCs/>
          <w:sz w:val="28"/>
          <w:szCs w:val="28"/>
          <w:lang w:val="en-US" w:eastAsia="zh-CN"/>
        </w:rPr>
        <w:t>一、项目概况</w:t>
      </w:r>
    </w:p>
    <w:p w14:paraId="24C3E1F5">
      <w:pPr>
        <w:pStyle w:val="2"/>
        <w:ind w:firstLine="560" w:firstLineChars="200"/>
        <w:jc w:val="left"/>
        <w:rPr>
          <w:rFonts w:hint="eastAsia" w:asciiTheme="majorEastAsia" w:hAnsiTheme="majorEastAsia"/>
          <w:b w:val="0"/>
          <w:bCs/>
          <w:sz w:val="28"/>
          <w:szCs w:val="28"/>
        </w:rPr>
      </w:pPr>
      <w:r>
        <w:rPr>
          <w:rFonts w:hint="eastAsia" w:asciiTheme="majorEastAsia" w:hAnsiTheme="majorEastAsia"/>
          <w:b w:val="0"/>
          <w:bCs/>
          <w:sz w:val="28"/>
          <w:szCs w:val="28"/>
        </w:rPr>
        <w:t>为保障医疗安全，满足临床治疗及抢救要求，对住院部南栋</w:t>
      </w:r>
      <w:r>
        <w:rPr>
          <w:rFonts w:hint="eastAsia" w:asciiTheme="majorEastAsia" w:hAnsiTheme="majorEastAsia"/>
          <w:b w:val="0"/>
          <w:bCs/>
          <w:sz w:val="28"/>
          <w:szCs w:val="28"/>
          <w:lang w:val="en-US" w:eastAsia="zh-CN"/>
        </w:rPr>
        <w:t>五</w:t>
      </w:r>
      <w:r>
        <w:rPr>
          <w:rFonts w:hint="eastAsia" w:asciiTheme="majorEastAsia" w:hAnsiTheme="majorEastAsia"/>
          <w:b w:val="0"/>
          <w:bCs/>
          <w:sz w:val="28"/>
          <w:szCs w:val="28"/>
        </w:rPr>
        <w:t>楼医用设备带全面检修，更换老旧铜管及气体终端，</w:t>
      </w:r>
      <w:r>
        <w:rPr>
          <w:rFonts w:hint="eastAsia" w:asciiTheme="majorEastAsia" w:hAnsiTheme="majorEastAsia"/>
          <w:b w:val="0"/>
          <w:bCs/>
          <w:sz w:val="28"/>
          <w:szCs w:val="28"/>
          <w:lang w:val="en-US" w:eastAsia="zh-CN"/>
        </w:rPr>
        <w:t>并</w:t>
      </w:r>
      <w:r>
        <w:rPr>
          <w:rFonts w:hint="eastAsia" w:asciiTheme="majorEastAsia" w:hAnsiTheme="majorEastAsia"/>
          <w:b w:val="0"/>
          <w:bCs/>
          <w:sz w:val="28"/>
          <w:szCs w:val="28"/>
        </w:rPr>
        <w:t>对部分性能完好的气体终端予以利旧</w:t>
      </w:r>
      <w:r>
        <w:rPr>
          <w:rFonts w:hint="eastAsia" w:asciiTheme="majorEastAsia" w:hAnsiTheme="majorEastAsia"/>
          <w:b w:val="0"/>
          <w:bCs/>
          <w:sz w:val="28"/>
          <w:szCs w:val="28"/>
          <w:lang w:eastAsia="zh-CN"/>
        </w:rPr>
        <w:t>。</w:t>
      </w:r>
    </w:p>
    <w:tbl>
      <w:tblPr>
        <w:tblStyle w:val="19"/>
        <w:tblpPr w:leftFromText="180" w:rightFromText="180" w:vertAnchor="text" w:horzAnchor="page" w:tblpX="1543" w:tblpY="106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675"/>
        <w:gridCol w:w="867"/>
        <w:gridCol w:w="2550"/>
        <w:gridCol w:w="2044"/>
      </w:tblGrid>
      <w:tr w14:paraId="52EE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4" w:type="dxa"/>
            <w:vAlign w:val="center"/>
          </w:tcPr>
          <w:p w14:paraId="289F6BBE">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3675" w:type="dxa"/>
            <w:vAlign w:val="center"/>
          </w:tcPr>
          <w:p w14:paraId="0CC6A5F6">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lang w:val="en-US" w:eastAsia="zh-CN"/>
              </w:rPr>
              <w:t>项目</w:t>
            </w:r>
            <w:r>
              <w:rPr>
                <w:rFonts w:hint="eastAsia" w:ascii="宋体" w:hAnsi="宋体"/>
                <w:b/>
                <w:color w:val="000000"/>
                <w:kern w:val="0"/>
                <w:szCs w:val="21"/>
              </w:rPr>
              <w:t>名称</w:t>
            </w:r>
          </w:p>
        </w:tc>
        <w:tc>
          <w:tcPr>
            <w:tcW w:w="867" w:type="dxa"/>
            <w:vAlign w:val="center"/>
          </w:tcPr>
          <w:p w14:paraId="3B65DC15">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数量</w:t>
            </w:r>
          </w:p>
        </w:tc>
        <w:tc>
          <w:tcPr>
            <w:tcW w:w="2550" w:type="dxa"/>
            <w:vAlign w:val="center"/>
          </w:tcPr>
          <w:p w14:paraId="43A5CE15">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预算总金额（元）</w:t>
            </w:r>
          </w:p>
        </w:tc>
        <w:tc>
          <w:tcPr>
            <w:tcW w:w="2044" w:type="dxa"/>
            <w:vAlign w:val="center"/>
          </w:tcPr>
          <w:p w14:paraId="6BDC975F">
            <w:pPr>
              <w:widowControl/>
              <w:spacing w:before="120" w:line="360" w:lineRule="auto"/>
              <w:jc w:val="center"/>
              <w:rPr>
                <w:rFonts w:hint="default" w:ascii="宋体" w:hAnsi="宋体" w:eastAsia="宋体"/>
                <w:b/>
                <w:color w:val="000000"/>
                <w:kern w:val="0"/>
                <w:szCs w:val="21"/>
                <w:lang w:val="en-US" w:eastAsia="zh-CN"/>
              </w:rPr>
            </w:pPr>
            <w:r>
              <w:rPr>
                <w:rFonts w:hint="eastAsia" w:ascii="宋体" w:hAnsi="宋体"/>
                <w:b/>
                <w:color w:val="000000"/>
                <w:kern w:val="0"/>
                <w:szCs w:val="21"/>
                <w:lang w:val="en-US" w:eastAsia="zh-CN"/>
              </w:rPr>
              <w:t>完工期</w:t>
            </w:r>
          </w:p>
        </w:tc>
      </w:tr>
      <w:tr w14:paraId="7E6D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04" w:type="dxa"/>
            <w:vAlign w:val="center"/>
          </w:tcPr>
          <w:p w14:paraId="601F0E7B">
            <w:pPr>
              <w:widowControl/>
              <w:spacing w:before="120" w:line="360" w:lineRule="auto"/>
              <w:jc w:val="center"/>
              <w:rPr>
                <w:rFonts w:hint="eastAsia" w:ascii="宋体" w:hAnsi="宋体" w:cs="宋体"/>
                <w:color w:val="000000"/>
                <w:kern w:val="0"/>
                <w:szCs w:val="21"/>
              </w:rPr>
            </w:pPr>
            <w:r>
              <w:rPr>
                <w:rFonts w:hint="eastAsia" w:ascii="宋体" w:hAnsi="宋体" w:cs="宋体"/>
                <w:color w:val="000000"/>
                <w:kern w:val="0"/>
                <w:szCs w:val="21"/>
              </w:rPr>
              <w:t>1</w:t>
            </w:r>
          </w:p>
        </w:tc>
        <w:tc>
          <w:tcPr>
            <w:tcW w:w="3675" w:type="dxa"/>
            <w:vAlign w:val="center"/>
          </w:tcPr>
          <w:p w14:paraId="42A7CF9B">
            <w:pPr>
              <w:widowControl/>
              <w:spacing w:before="120" w:line="360" w:lineRule="auto"/>
              <w:jc w:val="center"/>
              <w:rPr>
                <w:rFonts w:hint="eastAsia" w:ascii="宋体" w:hAnsi="宋体" w:cs="宋体"/>
                <w:szCs w:val="21"/>
              </w:rPr>
            </w:pPr>
            <w:r>
              <w:rPr>
                <w:rFonts w:hint="eastAsia" w:ascii="宋体" w:hAnsi="宋体" w:cs="宋体"/>
                <w:szCs w:val="21"/>
                <w:lang w:val="en-US" w:eastAsia="zh-CN"/>
              </w:rPr>
              <w:t>住院部南栋五楼医用设备带维修服务</w:t>
            </w:r>
          </w:p>
        </w:tc>
        <w:tc>
          <w:tcPr>
            <w:tcW w:w="867" w:type="dxa"/>
            <w:vAlign w:val="center"/>
          </w:tcPr>
          <w:p w14:paraId="74C2C22B">
            <w:pPr>
              <w:widowControl/>
              <w:spacing w:before="120" w:line="360" w:lineRule="auto"/>
              <w:jc w:val="center"/>
              <w:rPr>
                <w:rFonts w:hint="eastAsia" w:ascii="宋体" w:hAnsi="宋体" w:cs="宋体"/>
                <w:szCs w:val="21"/>
              </w:rPr>
            </w:pPr>
            <w:r>
              <w:rPr>
                <w:rFonts w:hint="eastAsia" w:ascii="宋体" w:hAnsi="宋体" w:cs="宋体"/>
                <w:szCs w:val="21"/>
                <w:lang w:val="en-US" w:eastAsia="zh-CN"/>
              </w:rPr>
              <w:t>1</w:t>
            </w:r>
          </w:p>
        </w:tc>
        <w:tc>
          <w:tcPr>
            <w:tcW w:w="2550" w:type="dxa"/>
            <w:vAlign w:val="center"/>
          </w:tcPr>
          <w:p w14:paraId="73389E90">
            <w:pPr>
              <w:widowControl/>
              <w:spacing w:before="120"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52700</w:t>
            </w:r>
          </w:p>
        </w:tc>
        <w:tc>
          <w:tcPr>
            <w:tcW w:w="2044" w:type="dxa"/>
            <w:vAlign w:val="center"/>
          </w:tcPr>
          <w:p w14:paraId="74BE4FD9">
            <w:pPr>
              <w:widowControl/>
              <w:spacing w:before="120" w:line="360" w:lineRule="auto"/>
              <w:jc w:val="center"/>
              <w:rPr>
                <w:rFonts w:hint="default" w:ascii="宋体" w:hAnsi="宋体" w:cs="宋体"/>
                <w:szCs w:val="21"/>
                <w:lang w:val="en-US" w:eastAsia="zh-CN"/>
              </w:rPr>
            </w:pPr>
            <w:r>
              <w:rPr>
                <w:rFonts w:hint="eastAsia" w:ascii="宋体" w:hAnsi="宋体" w:cs="宋体"/>
                <w:szCs w:val="21"/>
                <w:lang w:val="en-US" w:eastAsia="zh-CN"/>
              </w:rPr>
              <w:t>14天</w:t>
            </w:r>
          </w:p>
        </w:tc>
      </w:tr>
    </w:tbl>
    <w:p w14:paraId="7E44916D">
      <w:pPr>
        <w:pStyle w:val="2"/>
        <w:ind w:firstLine="560" w:firstLineChars="200"/>
        <w:jc w:val="left"/>
        <w:rPr>
          <w:rFonts w:asciiTheme="majorEastAsia" w:hAnsiTheme="majorEastAsia"/>
          <w:sz w:val="28"/>
          <w:szCs w:val="28"/>
        </w:rPr>
      </w:pPr>
      <w:r>
        <w:rPr>
          <w:rFonts w:hint="eastAsia" w:asciiTheme="majorEastAsia" w:hAnsiTheme="majorEastAsia"/>
          <w:sz w:val="28"/>
          <w:szCs w:val="28"/>
        </w:rPr>
        <w:t>二、采购清单</w:t>
      </w:r>
    </w:p>
    <w:p w14:paraId="38AEE1B0">
      <w:pPr>
        <w:numPr>
          <w:ilvl w:val="0"/>
          <w:numId w:val="0"/>
        </w:numPr>
        <w:ind w:left="0" w:leftChars="0" w:firstLine="0" w:firstLineChars="0"/>
        <w:jc w:val="left"/>
        <w:rPr>
          <w:rFonts w:hint="eastAsia" w:asciiTheme="majorEastAsia" w:hAnsiTheme="majorEastAsia"/>
          <w:b/>
          <w:bCs/>
          <w:sz w:val="28"/>
          <w:szCs w:val="28"/>
          <w:lang w:val="en-US" w:eastAsia="zh-CN"/>
        </w:rPr>
      </w:pPr>
    </w:p>
    <w:p w14:paraId="396ECC7F">
      <w:pPr>
        <w:numPr>
          <w:ilvl w:val="0"/>
          <w:numId w:val="0"/>
        </w:numPr>
        <w:ind w:left="0" w:leftChars="0" w:firstLine="560" w:firstLineChars="200"/>
        <w:jc w:val="left"/>
        <w:rPr>
          <w:rFonts w:hint="eastAsia" w:asciiTheme="majorEastAsia" w:hAnsiTheme="majorEastAsia"/>
          <w:b/>
          <w:bCs/>
          <w:sz w:val="28"/>
          <w:szCs w:val="28"/>
        </w:rPr>
      </w:pPr>
      <w:r>
        <w:rPr>
          <w:rFonts w:hint="eastAsia" w:asciiTheme="majorEastAsia" w:hAnsiTheme="majorEastAsia"/>
          <w:b/>
          <w:bCs/>
          <w:sz w:val="28"/>
          <w:szCs w:val="28"/>
          <w:lang w:val="en-US" w:eastAsia="zh-CN"/>
        </w:rPr>
        <w:t>三</w:t>
      </w:r>
      <w:r>
        <w:rPr>
          <w:rFonts w:hint="eastAsia" w:asciiTheme="majorEastAsia" w:hAnsiTheme="majorEastAsia"/>
          <w:b/>
          <w:bCs/>
          <w:sz w:val="28"/>
          <w:szCs w:val="28"/>
        </w:rPr>
        <w:t>、</w:t>
      </w:r>
      <w:r>
        <w:rPr>
          <w:rFonts w:hint="eastAsia" w:asciiTheme="majorEastAsia" w:hAnsiTheme="majorEastAsia"/>
          <w:b/>
          <w:bCs/>
          <w:sz w:val="28"/>
          <w:szCs w:val="28"/>
          <w:lang w:val="en-US" w:eastAsia="zh-CN"/>
        </w:rPr>
        <w:t>服务</w:t>
      </w:r>
      <w:r>
        <w:rPr>
          <w:rFonts w:hint="eastAsia" w:asciiTheme="majorEastAsia" w:hAnsiTheme="majorEastAsia"/>
          <w:b/>
          <w:bCs/>
          <w:sz w:val="28"/>
          <w:szCs w:val="28"/>
        </w:rPr>
        <w:t>要求</w:t>
      </w:r>
    </w:p>
    <w:p w14:paraId="22FE5B68">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1、</w:t>
      </w:r>
      <w:r>
        <w:rPr>
          <w:rFonts w:hint="eastAsia" w:ascii="宋体" w:hAnsi="宋体" w:cs="宋体"/>
          <w:b w:val="0"/>
          <w:bCs w:val="0"/>
          <w:sz w:val="28"/>
          <w:szCs w:val="28"/>
          <w:lang w:val="en-US" w:eastAsia="zh-CN"/>
        </w:rPr>
        <w:t>更换设备带里面漏气铜管(原规格空气、氧气8mm、负压10mm)。</w:t>
      </w:r>
    </w:p>
    <w:p w14:paraId="660F17F1">
      <w:pPr>
        <w:numPr>
          <w:ilvl w:val="0"/>
          <w:numId w:val="0"/>
        </w:numPr>
        <w:ind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2、</w:t>
      </w:r>
      <w:r>
        <w:rPr>
          <w:rFonts w:hint="eastAsia" w:ascii="宋体" w:hAnsi="宋体" w:cs="宋体"/>
          <w:b w:val="0"/>
          <w:bCs w:val="0"/>
          <w:sz w:val="28"/>
          <w:szCs w:val="28"/>
          <w:lang w:val="en-US" w:eastAsia="zh-CN"/>
        </w:rPr>
        <w:t>电源线2.5mm</w:t>
      </w:r>
      <w:r>
        <w:rPr>
          <w:rFonts w:hint="eastAsia" w:ascii="宋体" w:hAnsi="宋体" w:cs="宋体"/>
          <w:b w:val="0"/>
          <w:bCs w:val="0"/>
          <w:sz w:val="28"/>
          <w:szCs w:val="28"/>
          <w:vertAlign w:val="superscript"/>
          <w:lang w:val="en-US" w:eastAsia="zh-CN"/>
        </w:rPr>
        <w:t>2</w:t>
      </w:r>
      <w:r>
        <w:rPr>
          <w:rFonts w:hint="eastAsia" w:ascii="宋体" w:hAnsi="宋体" w:cs="宋体"/>
          <w:b w:val="0"/>
          <w:bCs w:val="0"/>
          <w:sz w:val="28"/>
          <w:szCs w:val="28"/>
          <w:lang w:val="en-US" w:eastAsia="zh-CN"/>
        </w:rPr>
        <w:t>、安装插座与床头灯；</w:t>
      </w:r>
    </w:p>
    <w:p w14:paraId="5A4BEEB9">
      <w:pPr>
        <w:numPr>
          <w:ilvl w:val="0"/>
          <w:numId w:val="0"/>
        </w:numPr>
        <w:ind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3、</w:t>
      </w:r>
      <w:r>
        <w:rPr>
          <w:rFonts w:hint="eastAsia" w:ascii="宋体" w:hAnsi="宋体" w:cs="宋体"/>
          <w:b w:val="0"/>
          <w:bCs w:val="0"/>
          <w:sz w:val="28"/>
          <w:szCs w:val="28"/>
          <w:lang w:val="en-US" w:eastAsia="zh-CN"/>
        </w:rPr>
        <w:t>呼叫器电缆线6芯0.75mm</w:t>
      </w:r>
      <w:r>
        <w:rPr>
          <w:rFonts w:hint="eastAsia" w:ascii="宋体" w:hAnsi="宋体" w:cs="宋体"/>
          <w:b w:val="0"/>
          <w:bCs w:val="0"/>
          <w:sz w:val="28"/>
          <w:szCs w:val="28"/>
          <w:vertAlign w:val="superscript"/>
          <w:lang w:val="en-US" w:eastAsia="zh-CN"/>
        </w:rPr>
        <w:t>2</w:t>
      </w:r>
      <w:r>
        <w:rPr>
          <w:rFonts w:hint="eastAsia" w:ascii="宋体" w:hAnsi="宋体" w:cs="宋体"/>
          <w:b w:val="0"/>
          <w:bCs w:val="0"/>
          <w:sz w:val="28"/>
          <w:szCs w:val="28"/>
          <w:lang w:val="en-US" w:eastAsia="zh-CN"/>
        </w:rPr>
        <w:t>；安装呼叫器分机与主机；</w:t>
      </w:r>
    </w:p>
    <w:p w14:paraId="0738780D">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4、</w:t>
      </w:r>
      <w:r>
        <w:rPr>
          <w:rFonts w:hint="eastAsia" w:ascii="宋体" w:hAnsi="宋体" w:cs="宋体"/>
          <w:b w:val="0"/>
          <w:bCs w:val="0"/>
          <w:sz w:val="28"/>
          <w:szCs w:val="28"/>
          <w:lang w:val="en-US" w:eastAsia="zh-CN"/>
        </w:rPr>
        <w:t>呼叫器系统调试；</w:t>
      </w:r>
    </w:p>
    <w:p w14:paraId="6E2DDFBA">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5、</w:t>
      </w:r>
      <w:r>
        <w:rPr>
          <w:rFonts w:hint="eastAsia" w:ascii="宋体" w:hAnsi="宋体" w:cs="宋体"/>
          <w:b w:val="0"/>
          <w:bCs w:val="0"/>
          <w:sz w:val="28"/>
          <w:szCs w:val="28"/>
          <w:lang w:val="en-US" w:eastAsia="zh-CN"/>
        </w:rPr>
        <w:t>设备带气体管道、阀门、接头、走廊主管道等系统试压与查漏；</w:t>
      </w:r>
    </w:p>
    <w:p w14:paraId="00F22E3B">
      <w:pPr>
        <w:numPr>
          <w:ilvl w:val="0"/>
          <w:numId w:val="0"/>
        </w:numPr>
        <w:ind w:left="0" w:leftChars="0" w:firstLine="560" w:firstLineChars="200"/>
        <w:jc w:val="left"/>
        <w:rPr>
          <w:rFonts w:hint="eastAsia" w:ascii="宋体" w:hAnsi="宋体" w:cs="宋体"/>
          <w:b w:val="0"/>
          <w:bCs w:val="0"/>
          <w:sz w:val="28"/>
          <w:szCs w:val="28"/>
          <w:lang w:val="en-US" w:eastAsia="zh-CN"/>
        </w:rPr>
      </w:pPr>
      <w:r>
        <w:rPr>
          <w:rFonts w:hint="eastAsia" w:ascii="宋体" w:hAnsi="宋体" w:cs="宋体"/>
          <w:b w:val="0"/>
          <w:bCs w:val="0"/>
          <w:kern w:val="2"/>
          <w:sz w:val="28"/>
          <w:szCs w:val="28"/>
          <w:lang w:val="en-US" w:eastAsia="zh-CN" w:bidi="ar-SA"/>
        </w:rPr>
        <w:t>6、</w:t>
      </w:r>
      <w:r>
        <w:rPr>
          <w:rFonts w:hint="eastAsia" w:ascii="宋体" w:hAnsi="宋体" w:cs="宋体"/>
          <w:b w:val="0"/>
          <w:bCs w:val="0"/>
          <w:sz w:val="28"/>
          <w:szCs w:val="28"/>
          <w:lang w:val="en-US" w:eastAsia="zh-CN"/>
        </w:rPr>
        <w:t>原有设备带面板、气体终端与接头、呼叫器系统、插座、漏电开关、床头灯等旧件由采购方提供。</w:t>
      </w:r>
    </w:p>
    <w:p w14:paraId="49D25A6C">
      <w:pPr>
        <w:pStyle w:val="24"/>
        <w:keepNext w:val="0"/>
        <w:keepLines w:val="0"/>
        <w:pageBreakBefore w:val="0"/>
        <w:widowControl w:val="0"/>
        <w:kinsoku/>
        <w:wordWrap/>
        <w:overflowPunct/>
        <w:topLinePunct w:val="0"/>
        <w:bidi w:val="0"/>
        <w:snapToGrid/>
        <w:ind w:firstLine="560" w:firstLineChars="200"/>
        <w:textAlignment w:val="auto"/>
        <w:rPr>
          <w:rFonts w:hint="eastAsia" w:ascii="楷体_GB2312" w:hAnsi="楷体_GB2312" w:eastAsia="楷体_GB2312" w:cs="楷体_GB2312"/>
          <w:b/>
          <w:bCs/>
          <w:color w:val="000000"/>
          <w:sz w:val="32"/>
          <w:szCs w:val="32"/>
          <w:lang w:val="en-US" w:eastAsia="zh-CN"/>
        </w:rPr>
      </w:pPr>
      <w:r>
        <w:rPr>
          <w:rFonts w:hint="eastAsia" w:asciiTheme="majorEastAsia" w:hAnsiTheme="majorEastAsia"/>
          <w:b/>
          <w:bCs/>
          <w:sz w:val="28"/>
          <w:szCs w:val="28"/>
          <w:lang w:val="en-US" w:eastAsia="zh-CN"/>
        </w:rPr>
        <w:t>四</w:t>
      </w:r>
      <w:r>
        <w:rPr>
          <w:rFonts w:hint="eastAsia" w:asciiTheme="majorEastAsia" w:hAnsiTheme="majorEastAsia"/>
          <w:b/>
          <w:bCs/>
          <w:sz w:val="28"/>
          <w:szCs w:val="28"/>
        </w:rPr>
        <w:t>、★商务要求</w:t>
      </w:r>
    </w:p>
    <w:p w14:paraId="6FCAE1F3">
      <w:pPr>
        <w:keepNext w:val="0"/>
        <w:keepLines w:val="0"/>
        <w:pageBreakBefore w:val="0"/>
        <w:widowControl w:val="0"/>
        <w:numPr>
          <w:ilvl w:val="-1"/>
          <w:numId w:val="0"/>
        </w:numPr>
        <w:kinsoku/>
        <w:wordWrap/>
        <w:overflowPunct/>
        <w:topLinePunct w:val="0"/>
        <w:autoSpaceDE/>
        <w:autoSpaceDN/>
        <w:bidi w:val="0"/>
        <w:adjustRightInd/>
        <w:snapToGrid/>
        <w:spacing w:line="370" w:lineRule="exact"/>
        <w:ind w:leftChars="0" w:firstLine="560" w:firstLineChars="200"/>
        <w:textAlignment w:val="auto"/>
        <w:outlineLvl w:val="9"/>
        <w:rPr>
          <w:rFonts w:hint="eastAsia"/>
          <w:sz w:val="28"/>
          <w:szCs w:val="28"/>
          <w:lang w:val="en-US" w:eastAsia="zh-CN"/>
        </w:rPr>
      </w:pPr>
      <w:r>
        <w:rPr>
          <w:rFonts w:hint="eastAsia" w:ascii="宋体" w:hAnsi="宋体" w:eastAsia="宋体" w:cs="宋体"/>
          <w:sz w:val="28"/>
          <w:szCs w:val="28"/>
          <w:lang w:val="en-US" w:eastAsia="zh-CN"/>
        </w:rPr>
        <w:t>1、中标价格含维修服务费、配件费、税</w:t>
      </w:r>
      <w:r>
        <w:rPr>
          <w:rFonts w:hint="eastAsia" w:ascii="宋体" w:hAnsi="宋体" w:cs="宋体"/>
          <w:sz w:val="28"/>
          <w:szCs w:val="28"/>
          <w:lang w:val="en-US" w:eastAsia="zh-CN"/>
        </w:rPr>
        <w:t>费</w:t>
      </w:r>
      <w:r>
        <w:rPr>
          <w:rFonts w:hint="eastAsia" w:ascii="宋体" w:hAnsi="宋体" w:eastAsia="宋体" w:cs="宋体"/>
          <w:sz w:val="28"/>
          <w:szCs w:val="28"/>
          <w:lang w:val="en-US" w:eastAsia="zh-CN"/>
        </w:rPr>
        <w:t>等一切费用。</w:t>
      </w:r>
    </w:p>
    <w:p w14:paraId="268AF90A">
      <w:pPr>
        <w:numPr>
          <w:ilvl w:val="-1"/>
          <w:numId w:val="0"/>
        </w:numPr>
        <w:ind w:left="0"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2、修复后保修期不少于6个月。</w:t>
      </w:r>
    </w:p>
    <w:p w14:paraId="662799CC">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3、响应时间要求：响应时间≤4小时，到达现场时间≤24小时。</w:t>
      </w:r>
    </w:p>
    <w:p w14:paraId="3767C3C9">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人员要求：投标人拟派负责本项目的施工人员具有焊工证及特种设备作业人员证书，提供人员资质证书复印件和最近一个月由投标人购买社保的证明复印件。投标人承诺在进行高空作业、带电作业、焊接等特种设备作业时，必须由取得相关证件的专业人员操作，并严格按国家相关规定进行操作。（投标人提供承诺函，格式自拟）</w:t>
      </w:r>
    </w:p>
    <w:p w14:paraId="25D077AA">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eastAsia" w:ascii="宋体" w:hAnsi="宋体" w:eastAsia="宋体" w:cs="宋体"/>
          <w:b/>
          <w:bCs/>
          <w:kern w:val="2"/>
          <w:sz w:val="28"/>
          <w:szCs w:val="28"/>
          <w:lang w:val="en-US" w:eastAsia="zh-CN" w:bidi="ar-SA"/>
        </w:rPr>
      </w:pPr>
      <w:bookmarkStart w:id="1" w:name="_GoBack"/>
      <w:r>
        <w:rPr>
          <w:rFonts w:hint="eastAsia" w:ascii="宋体" w:hAnsi="宋体" w:eastAsia="宋体" w:cs="宋体"/>
          <w:b/>
          <w:bCs/>
          <w:kern w:val="2"/>
          <w:sz w:val="28"/>
          <w:szCs w:val="28"/>
          <w:lang w:val="en-US" w:eastAsia="zh-CN" w:bidi="ar-SA"/>
        </w:rPr>
        <w:t>五、其他要求</w:t>
      </w:r>
    </w:p>
    <w:bookmarkEnd w:id="1"/>
    <w:p w14:paraId="0C75B981">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投标人应在开标前应联系采购人到维修现场实地勘查（联系人：满工，联系方式：13169953246），如因未实地勘查导致无法实施，一切后果由投标人承担。</w:t>
      </w:r>
    </w:p>
    <w:p w14:paraId="06E7ABDD">
      <w:pPr>
        <w:pStyle w:val="10"/>
        <w:keepNext w:val="0"/>
        <w:keepLines w:val="0"/>
        <w:pageBreakBefore w:val="0"/>
        <w:widowControl w:val="0"/>
        <w:numPr>
          <w:ilvl w:val="0"/>
          <w:numId w:val="0"/>
        </w:numPr>
        <w:kinsoku/>
        <w:wordWrap/>
        <w:overflowPunct/>
        <w:topLinePunct w:val="0"/>
        <w:bidi w:val="0"/>
        <w:snapToGrid/>
        <w:ind w:firstLine="560" w:firstLineChars="200"/>
        <w:textAlignment w:val="auto"/>
        <w:rPr>
          <w:rFonts w:hint="eastAsia" w:ascii="楷体_GB2312" w:hAnsi="楷体_GB2312" w:eastAsia="楷体_GB2312" w:cs="楷体_GB2312"/>
          <w:b/>
          <w:bCs w:val="0"/>
          <w:color w:val="000000"/>
          <w:sz w:val="32"/>
          <w:szCs w:val="32"/>
          <w:highlight w:val="none"/>
          <w:lang w:val="en-US" w:eastAsia="zh-CN"/>
        </w:rPr>
      </w:pPr>
      <w:r>
        <w:rPr>
          <w:rFonts w:hint="eastAsia" w:eastAsia="宋体" w:cs="宋体" w:asciiTheme="majorEastAsia" w:hAnsiTheme="majorEastAsia"/>
          <w:b/>
          <w:bCs/>
          <w:kern w:val="0"/>
          <w:sz w:val="28"/>
          <w:szCs w:val="28"/>
          <w:lang w:val="en-US" w:eastAsia="zh-CN" w:bidi="ar-SA"/>
        </w:rPr>
        <w:t>六、</w:t>
      </w:r>
      <w:r>
        <w:rPr>
          <w:rFonts w:hint="eastAsia" w:eastAsia="宋体" w:cs="宋体" w:asciiTheme="majorEastAsia" w:hAnsiTheme="majorEastAsia"/>
          <w:b/>
          <w:bCs/>
          <w:color w:val="000000"/>
          <w:sz w:val="28"/>
          <w:szCs w:val="28"/>
          <w:lang w:val="en-US" w:eastAsia="zh-CN"/>
        </w:rPr>
        <w:t>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19"/>
        <w:tblpPr w:leftFromText="180" w:rightFromText="180" w:vertAnchor="text" w:horzAnchor="page" w:tblpX="1246" w:tblpY="348"/>
        <w:tblOverlap w:val="never"/>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827"/>
        <w:gridCol w:w="668"/>
        <w:gridCol w:w="1687"/>
        <w:gridCol w:w="847"/>
        <w:gridCol w:w="5436"/>
      </w:tblGrid>
      <w:tr w14:paraId="5791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28" w:hRule="atLeast"/>
        </w:trPr>
        <w:tc>
          <w:tcPr>
            <w:tcW w:w="827" w:type="dxa"/>
            <w:shd w:val="clear" w:color="auto" w:fill="E6EFFA"/>
            <w:vAlign w:val="center"/>
          </w:tcPr>
          <w:p w14:paraId="40AD1479">
            <w:pPr>
              <w:widowControl/>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序号</w:t>
            </w:r>
          </w:p>
        </w:tc>
        <w:tc>
          <w:tcPr>
            <w:tcW w:w="3202" w:type="dxa"/>
            <w:gridSpan w:val="3"/>
            <w:shd w:val="clear" w:color="auto" w:fill="E6EFFA"/>
            <w:vAlign w:val="center"/>
          </w:tcPr>
          <w:p w14:paraId="41811945">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评分项</w:t>
            </w:r>
          </w:p>
        </w:tc>
        <w:tc>
          <w:tcPr>
            <w:tcW w:w="5436" w:type="dxa"/>
            <w:shd w:val="clear" w:color="auto" w:fill="E6EFFA"/>
            <w:vAlign w:val="center"/>
          </w:tcPr>
          <w:p w14:paraId="7E316422">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权重(%)</w:t>
            </w:r>
          </w:p>
        </w:tc>
      </w:tr>
      <w:tr w14:paraId="5013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02" w:hRule="atLeast"/>
        </w:trPr>
        <w:tc>
          <w:tcPr>
            <w:tcW w:w="827" w:type="dxa"/>
            <w:vMerge w:val="restart"/>
          </w:tcPr>
          <w:p w14:paraId="19A9DC82">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1</w:t>
            </w:r>
          </w:p>
        </w:tc>
        <w:tc>
          <w:tcPr>
            <w:tcW w:w="3202" w:type="dxa"/>
            <w:gridSpan w:val="3"/>
            <w:vMerge w:val="restart"/>
          </w:tcPr>
          <w:p w14:paraId="1F9D2012">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价格</w:t>
            </w:r>
          </w:p>
        </w:tc>
        <w:tc>
          <w:tcPr>
            <w:tcW w:w="5436" w:type="dxa"/>
          </w:tcPr>
          <w:p w14:paraId="34A0C0AE">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20</w:t>
            </w:r>
          </w:p>
        </w:tc>
      </w:tr>
      <w:tr w14:paraId="3BC3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02" w:hRule="atLeast"/>
        </w:trPr>
        <w:tc>
          <w:tcPr>
            <w:tcW w:w="827" w:type="dxa"/>
            <w:vMerge w:val="continue"/>
          </w:tcPr>
          <w:p w14:paraId="2DBE8555">
            <w:pPr>
              <w:widowControl/>
              <w:wordWrap w:val="0"/>
              <w:spacing w:line="276" w:lineRule="auto"/>
              <w:jc w:val="center"/>
              <w:rPr>
                <w:rFonts w:hint="eastAsia" w:ascii="宋体" w:hAnsi="宋体" w:cs="宋体"/>
                <w:b/>
                <w:bCs/>
                <w:color w:val="0000FF"/>
                <w:kern w:val="0"/>
                <w:szCs w:val="21"/>
              </w:rPr>
            </w:pPr>
          </w:p>
        </w:tc>
        <w:tc>
          <w:tcPr>
            <w:tcW w:w="3202" w:type="dxa"/>
            <w:gridSpan w:val="3"/>
            <w:vMerge w:val="continue"/>
          </w:tcPr>
          <w:p w14:paraId="23F72525">
            <w:pPr>
              <w:widowControl/>
              <w:wordWrap w:val="0"/>
              <w:spacing w:line="276" w:lineRule="auto"/>
              <w:jc w:val="center"/>
              <w:rPr>
                <w:rFonts w:hint="eastAsia" w:ascii="宋体" w:hAnsi="宋体" w:cs="宋体"/>
                <w:b/>
                <w:bCs/>
                <w:color w:val="0000FF"/>
                <w:kern w:val="0"/>
                <w:szCs w:val="21"/>
              </w:rPr>
            </w:pPr>
          </w:p>
        </w:tc>
        <w:tc>
          <w:tcPr>
            <w:tcW w:w="5436" w:type="dxa"/>
          </w:tcPr>
          <w:p w14:paraId="3FF15FDF">
            <w:pPr>
              <w:pStyle w:val="17"/>
              <w:spacing w:line="240" w:lineRule="exact"/>
              <w:rPr>
                <w:rFonts w:hint="eastAsia" w:ascii="宋体" w:hAnsi="宋体" w:cs="宋体"/>
                <w:sz w:val="21"/>
                <w:szCs w:val="21"/>
              </w:rPr>
            </w:pPr>
            <w:r>
              <w:rPr>
                <w:rFonts w:hint="eastAsia" w:ascii="宋体" w:hAnsi="宋体" w:cs="宋体"/>
                <w:sz w:val="21"/>
                <w:szCs w:val="21"/>
              </w:rPr>
              <w:t>采用低价优先法计算，即满足招标文件要求且投标价格最低的投标报价为评标基准价，其价格分为满分。其他投标人的价格分统一按照下列公式计算：</w:t>
            </w:r>
          </w:p>
          <w:p w14:paraId="635A05C7">
            <w:pPr>
              <w:widowControl/>
              <w:wordWrap w:val="0"/>
              <w:spacing w:line="276" w:lineRule="auto"/>
              <w:jc w:val="center"/>
              <w:rPr>
                <w:rFonts w:hint="eastAsia" w:ascii="宋体" w:hAnsi="宋体" w:cs="宋体"/>
                <w:b/>
                <w:bCs/>
                <w:color w:val="0000FF"/>
                <w:kern w:val="0"/>
                <w:szCs w:val="21"/>
              </w:rPr>
            </w:pPr>
            <w:r>
              <w:rPr>
                <w:rFonts w:hint="eastAsia" w:ascii="宋体" w:hAnsi="宋体" w:cs="宋体"/>
                <w:szCs w:val="21"/>
              </w:rPr>
              <w:t>投标报价得分=(评标基准价／投标报价)×价格权重</w:t>
            </w:r>
          </w:p>
        </w:tc>
      </w:tr>
      <w:tr w14:paraId="2BBF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restart"/>
          </w:tcPr>
          <w:p w14:paraId="51B8C15C">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2</w:t>
            </w:r>
          </w:p>
        </w:tc>
        <w:tc>
          <w:tcPr>
            <w:tcW w:w="3202" w:type="dxa"/>
            <w:gridSpan w:val="3"/>
          </w:tcPr>
          <w:p w14:paraId="314766C3">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技术部分</w:t>
            </w:r>
          </w:p>
        </w:tc>
        <w:tc>
          <w:tcPr>
            <w:tcW w:w="5436" w:type="dxa"/>
          </w:tcPr>
          <w:p w14:paraId="584FB347">
            <w:pPr>
              <w:widowControl/>
              <w:wordWrap w:val="0"/>
              <w:spacing w:line="276" w:lineRule="auto"/>
              <w:jc w:val="center"/>
              <w:rPr>
                <w:rFonts w:hint="default" w:ascii="宋体" w:hAnsi="宋体" w:eastAsia="宋体" w:cs="宋体"/>
                <w:b/>
                <w:bCs/>
                <w:color w:val="000000" w:themeColor="text1"/>
                <w:kern w:val="0"/>
                <w:szCs w:val="21"/>
                <w:lang w:val="en-US" w:eastAsia="zh-CN"/>
                <w14:textFill>
                  <w14:solidFill>
                    <w14:schemeClr w14:val="tx1"/>
                  </w14:solidFill>
                </w14:textFill>
              </w:rPr>
            </w:pPr>
            <w:r>
              <w:rPr>
                <w:rFonts w:hint="eastAsia" w:ascii="宋体" w:hAnsi="宋体" w:cs="宋体"/>
                <w:b/>
                <w:bCs/>
                <w:color w:val="0000FF"/>
                <w:kern w:val="0"/>
                <w:szCs w:val="21"/>
                <w:lang w:val="en-US" w:eastAsia="zh-CN"/>
              </w:rPr>
              <w:t>40</w:t>
            </w:r>
          </w:p>
        </w:tc>
      </w:tr>
      <w:tr w14:paraId="6D53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515" w:hRule="atLeast"/>
        </w:trPr>
        <w:tc>
          <w:tcPr>
            <w:tcW w:w="827" w:type="dxa"/>
            <w:vMerge w:val="continue"/>
            <w:shd w:val="clear" w:color="auto" w:fill="E6EFFA"/>
            <w:vAlign w:val="center"/>
          </w:tcPr>
          <w:p w14:paraId="79222BB9">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shd w:val="clear" w:color="auto" w:fill="E6EFFA"/>
            <w:vAlign w:val="center"/>
          </w:tcPr>
          <w:p w14:paraId="332FA50E">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序号</w:t>
            </w:r>
          </w:p>
        </w:tc>
        <w:tc>
          <w:tcPr>
            <w:tcW w:w="1687" w:type="dxa"/>
            <w:shd w:val="clear" w:color="auto" w:fill="E6EFFA"/>
            <w:vAlign w:val="center"/>
          </w:tcPr>
          <w:p w14:paraId="553CBA8A">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评分因素</w:t>
            </w:r>
          </w:p>
        </w:tc>
        <w:tc>
          <w:tcPr>
            <w:tcW w:w="847" w:type="dxa"/>
            <w:shd w:val="clear" w:color="auto" w:fill="E6EFFA"/>
            <w:vAlign w:val="center"/>
          </w:tcPr>
          <w:p w14:paraId="4B758E8B">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权重(%)</w:t>
            </w:r>
          </w:p>
        </w:tc>
        <w:tc>
          <w:tcPr>
            <w:tcW w:w="5436" w:type="dxa"/>
            <w:shd w:val="clear" w:color="auto" w:fill="E6EFFA"/>
            <w:vAlign w:val="center"/>
          </w:tcPr>
          <w:p w14:paraId="25B7CDF5">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评分准则</w:t>
            </w:r>
          </w:p>
        </w:tc>
      </w:tr>
      <w:tr w14:paraId="26F0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19616AD5">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107F692D">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1</w:t>
            </w:r>
          </w:p>
        </w:tc>
        <w:tc>
          <w:tcPr>
            <w:tcW w:w="1687" w:type="dxa"/>
            <w:vAlign w:val="center"/>
          </w:tcPr>
          <w:p w14:paraId="21713344">
            <w:pPr>
              <w:pStyle w:val="40"/>
              <w:spacing w:line="276" w:lineRule="auto"/>
              <w:ind w:left="101"/>
              <w:jc w:val="center"/>
              <w:rPr>
                <w:rFonts w:hint="eastAsia"/>
                <w:color w:val="000000" w:themeColor="text1"/>
                <w:kern w:val="0"/>
                <w:sz w:val="21"/>
                <w:szCs w:val="21"/>
                <w:lang w:eastAsia="zh-CN"/>
                <w14:textFill>
                  <w14:solidFill>
                    <w14:schemeClr w14:val="tx1"/>
                  </w14:solidFill>
                </w14:textFill>
              </w:rPr>
            </w:pPr>
            <w:r>
              <w:rPr>
                <w:rFonts w:hint="eastAsia" w:ascii="宋体" w:hAnsi="宋体" w:eastAsia="宋体" w:cs="宋体"/>
                <w:color w:val="auto"/>
                <w:sz w:val="21"/>
                <w:szCs w:val="21"/>
              </w:rPr>
              <w:t>对用户需求的响应程度</w:t>
            </w:r>
          </w:p>
        </w:tc>
        <w:tc>
          <w:tcPr>
            <w:tcW w:w="847" w:type="dxa"/>
            <w:vAlign w:val="center"/>
          </w:tcPr>
          <w:p w14:paraId="6F3C1936">
            <w:pPr>
              <w:pStyle w:val="40"/>
              <w:spacing w:line="276" w:lineRule="auto"/>
              <w:ind w:left="287"/>
              <w:jc w:val="left"/>
              <w:rPr>
                <w:rFonts w:hint="default"/>
                <w:color w:val="000000" w:themeColor="text1"/>
                <w:kern w:val="0"/>
                <w:sz w:val="21"/>
                <w:szCs w:val="21"/>
                <w:lang w:val="en-US" w:eastAsia="zh-CN"/>
                <w14:textFill>
                  <w14:solidFill>
                    <w14:schemeClr w14:val="tx1"/>
                  </w14:solidFill>
                </w14:textFill>
              </w:rPr>
            </w:pPr>
            <w:r>
              <w:rPr>
                <w:rFonts w:hint="eastAsia"/>
                <w:sz w:val="21"/>
                <w:szCs w:val="21"/>
                <w:lang w:val="en-US" w:eastAsia="zh-CN"/>
              </w:rPr>
              <w:t>40</w:t>
            </w:r>
          </w:p>
        </w:tc>
        <w:tc>
          <w:tcPr>
            <w:tcW w:w="5436" w:type="dxa"/>
            <w:shd w:val="clear" w:color="auto" w:fill="auto"/>
            <w:vAlign w:val="center"/>
          </w:tcPr>
          <w:p w14:paraId="1DD03880">
            <w:pPr>
              <w:spacing w:after="0" w:afterLines="0" w:line="240"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以《</w:t>
            </w:r>
            <w:r>
              <w:rPr>
                <w:rFonts w:hint="eastAsia" w:ascii="宋体" w:hAnsi="宋体" w:cs="宋体"/>
                <w:color w:val="auto"/>
                <w:sz w:val="21"/>
                <w:szCs w:val="21"/>
                <w:lang w:val="en-US" w:eastAsia="zh-CN"/>
              </w:rPr>
              <w:t>项目需求文件-服务要求中1-5条参数</w:t>
            </w:r>
            <w:r>
              <w:rPr>
                <w:rFonts w:hint="eastAsia" w:ascii="宋体" w:hAnsi="宋体" w:eastAsia="宋体" w:cs="宋体"/>
                <w:color w:val="auto"/>
                <w:sz w:val="21"/>
                <w:szCs w:val="21"/>
                <w:lang w:eastAsia="zh-CN"/>
              </w:rPr>
              <w:t>》为评审依据，参数全部满足得</w:t>
            </w:r>
            <w:r>
              <w:rPr>
                <w:rFonts w:hint="eastAsia" w:ascii="宋体" w:hAnsi="宋体" w:eastAsia="宋体" w:cs="宋体"/>
                <w:color w:val="auto"/>
                <w:sz w:val="21"/>
                <w:szCs w:val="21"/>
                <w:lang w:val="en-US" w:eastAsia="zh-CN"/>
              </w:rPr>
              <w:t>满分。参数有负偏离的，每负偏离一条扣8分；扣完为止</w:t>
            </w:r>
            <w:r>
              <w:rPr>
                <w:rFonts w:hint="eastAsia" w:ascii="宋体" w:hAnsi="宋体" w:eastAsia="宋体" w:cs="宋体"/>
                <w:color w:val="auto"/>
                <w:sz w:val="21"/>
                <w:szCs w:val="21"/>
              </w:rPr>
              <w:t>。</w:t>
            </w:r>
          </w:p>
        </w:tc>
      </w:tr>
      <w:tr w14:paraId="3352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restart"/>
          </w:tcPr>
          <w:p w14:paraId="0E20B1DE">
            <w:pPr>
              <w:widowControl/>
              <w:wordWrap w:val="0"/>
              <w:spacing w:line="276" w:lineRule="auto"/>
              <w:jc w:val="center"/>
              <w:rPr>
                <w:rFonts w:hint="eastAsia" w:ascii="宋体" w:hAnsi="宋体" w:cs="宋体"/>
                <w:b/>
                <w:bCs/>
                <w:color w:val="0000FF"/>
                <w:kern w:val="0"/>
                <w:szCs w:val="21"/>
              </w:rPr>
            </w:pPr>
          </w:p>
          <w:p w14:paraId="6388FB05">
            <w:pPr>
              <w:widowControl/>
              <w:wordWrap w:val="0"/>
              <w:spacing w:line="276" w:lineRule="auto"/>
              <w:jc w:val="center"/>
              <w:rPr>
                <w:rFonts w:hint="eastAsia" w:ascii="宋体" w:hAnsi="宋体" w:cs="宋体"/>
                <w:b/>
                <w:bCs/>
                <w:color w:val="0000FF"/>
                <w:kern w:val="0"/>
                <w:szCs w:val="21"/>
              </w:rPr>
            </w:pPr>
          </w:p>
          <w:p w14:paraId="3A1C9D49">
            <w:pPr>
              <w:widowControl/>
              <w:wordWrap w:val="0"/>
              <w:spacing w:line="276" w:lineRule="auto"/>
              <w:jc w:val="center"/>
              <w:rPr>
                <w:rFonts w:hint="eastAsia" w:ascii="宋体" w:hAnsi="宋体" w:cs="宋体"/>
                <w:b/>
                <w:bCs/>
                <w:color w:val="0000FF"/>
                <w:kern w:val="0"/>
                <w:szCs w:val="21"/>
              </w:rPr>
            </w:pPr>
          </w:p>
          <w:p w14:paraId="46C27B07">
            <w:pPr>
              <w:widowControl/>
              <w:wordWrap w:val="0"/>
              <w:spacing w:line="276" w:lineRule="auto"/>
              <w:jc w:val="center"/>
              <w:rPr>
                <w:rFonts w:hint="eastAsia" w:ascii="宋体" w:hAnsi="宋体" w:cs="宋体"/>
                <w:b/>
                <w:bCs/>
                <w:color w:val="0000FF"/>
                <w:kern w:val="0"/>
                <w:szCs w:val="21"/>
              </w:rPr>
            </w:pPr>
          </w:p>
          <w:p w14:paraId="67F31DF0">
            <w:pPr>
              <w:widowControl/>
              <w:wordWrap w:val="0"/>
              <w:spacing w:line="276" w:lineRule="auto"/>
              <w:jc w:val="center"/>
              <w:rPr>
                <w:rFonts w:hint="eastAsia" w:ascii="宋体" w:hAnsi="宋体" w:cs="宋体"/>
                <w:b/>
                <w:bCs/>
                <w:color w:val="0000FF"/>
                <w:kern w:val="0"/>
                <w:szCs w:val="21"/>
              </w:rPr>
            </w:pPr>
          </w:p>
          <w:p w14:paraId="2FCD2B10">
            <w:pPr>
              <w:widowControl/>
              <w:wordWrap w:val="0"/>
              <w:spacing w:line="276" w:lineRule="auto"/>
              <w:jc w:val="center"/>
              <w:rPr>
                <w:rFonts w:hint="eastAsia" w:ascii="宋体" w:hAnsi="宋体" w:cs="宋体"/>
                <w:b/>
                <w:bCs/>
                <w:color w:val="0000FF"/>
                <w:kern w:val="0"/>
                <w:szCs w:val="21"/>
              </w:rPr>
            </w:pPr>
          </w:p>
          <w:p w14:paraId="299F90BE">
            <w:pPr>
              <w:widowControl/>
              <w:wordWrap w:val="0"/>
              <w:spacing w:line="276" w:lineRule="auto"/>
              <w:jc w:val="center"/>
              <w:rPr>
                <w:rFonts w:hint="eastAsia" w:ascii="宋体" w:hAnsi="宋体" w:cs="宋体"/>
                <w:b/>
                <w:bCs/>
                <w:color w:val="0000FF"/>
                <w:kern w:val="0"/>
                <w:szCs w:val="21"/>
              </w:rPr>
            </w:pPr>
          </w:p>
          <w:p w14:paraId="71053732">
            <w:pPr>
              <w:widowControl/>
              <w:wordWrap w:val="0"/>
              <w:spacing w:line="276" w:lineRule="auto"/>
              <w:jc w:val="center"/>
              <w:rPr>
                <w:rFonts w:hint="eastAsia" w:ascii="宋体" w:hAnsi="宋体" w:cs="宋体"/>
                <w:b/>
                <w:bCs/>
                <w:color w:val="0000FF"/>
                <w:kern w:val="0"/>
                <w:szCs w:val="21"/>
              </w:rPr>
            </w:pPr>
          </w:p>
          <w:p w14:paraId="33C9776F">
            <w:pPr>
              <w:widowControl/>
              <w:wordWrap w:val="0"/>
              <w:spacing w:line="276" w:lineRule="auto"/>
              <w:jc w:val="center"/>
              <w:rPr>
                <w:rFonts w:hint="eastAsia" w:ascii="宋体" w:hAnsi="宋体" w:cs="宋体"/>
                <w:b/>
                <w:bCs/>
                <w:color w:val="0000FF"/>
                <w:kern w:val="0"/>
                <w:szCs w:val="21"/>
              </w:rPr>
            </w:pPr>
          </w:p>
          <w:p w14:paraId="4931D177">
            <w:pPr>
              <w:widowControl/>
              <w:wordWrap w:val="0"/>
              <w:spacing w:line="276" w:lineRule="auto"/>
              <w:jc w:val="center"/>
              <w:rPr>
                <w:rFonts w:hint="eastAsia" w:ascii="宋体" w:hAnsi="宋体" w:cs="宋体"/>
                <w:b/>
                <w:bCs/>
                <w:color w:val="0000FF"/>
                <w:kern w:val="0"/>
                <w:szCs w:val="21"/>
              </w:rPr>
            </w:pPr>
          </w:p>
          <w:p w14:paraId="5A1CFF34">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3</w:t>
            </w:r>
          </w:p>
        </w:tc>
        <w:tc>
          <w:tcPr>
            <w:tcW w:w="3202" w:type="dxa"/>
            <w:gridSpan w:val="3"/>
            <w:vAlign w:val="center"/>
          </w:tcPr>
          <w:p w14:paraId="5ABD2B72">
            <w:pPr>
              <w:widowControl/>
              <w:wordWrap w:val="0"/>
              <w:spacing w:line="276"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FF"/>
                <w:kern w:val="0"/>
                <w:szCs w:val="21"/>
              </w:rPr>
              <w:t>商务部分</w:t>
            </w:r>
          </w:p>
        </w:tc>
        <w:tc>
          <w:tcPr>
            <w:tcW w:w="5436" w:type="dxa"/>
          </w:tcPr>
          <w:p w14:paraId="474E5802">
            <w:pPr>
              <w:widowControl/>
              <w:wordWrap w:val="0"/>
              <w:spacing w:line="276" w:lineRule="auto"/>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b/>
                <w:bCs/>
                <w:color w:val="0000FF"/>
                <w:kern w:val="0"/>
                <w:szCs w:val="21"/>
                <w:lang w:val="en-US" w:eastAsia="zh-CN"/>
              </w:rPr>
              <w:t>40</w:t>
            </w:r>
          </w:p>
        </w:tc>
      </w:tr>
      <w:tr w14:paraId="766C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60" w:hRule="exact"/>
        </w:trPr>
        <w:tc>
          <w:tcPr>
            <w:tcW w:w="827" w:type="dxa"/>
            <w:vMerge w:val="continue"/>
            <w:vAlign w:val="center"/>
          </w:tcPr>
          <w:p w14:paraId="73CDFE0D">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shd w:val="clear" w:color="auto" w:fill="E6EFFA"/>
            <w:vAlign w:val="center"/>
          </w:tcPr>
          <w:p w14:paraId="72C7B417">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kern w:val="0"/>
                <w:szCs w:val="21"/>
              </w:rPr>
              <w:t>序号</w:t>
            </w:r>
          </w:p>
        </w:tc>
        <w:tc>
          <w:tcPr>
            <w:tcW w:w="1687" w:type="dxa"/>
            <w:shd w:val="clear" w:color="auto" w:fill="E6EFFA"/>
            <w:vAlign w:val="center"/>
          </w:tcPr>
          <w:p w14:paraId="5B30F4C1">
            <w:pPr>
              <w:widowControl/>
              <w:wordWrap w:val="0"/>
              <w:spacing w:line="276" w:lineRule="auto"/>
              <w:jc w:val="center"/>
              <w:rPr>
                <w:rFonts w:hint="eastAsia" w:ascii="宋体" w:hAnsi="宋体"/>
                <w:color w:val="000000" w:themeColor="text1"/>
                <w:szCs w:val="21"/>
                <w14:textFill>
                  <w14:solidFill>
                    <w14:schemeClr w14:val="tx1"/>
                  </w14:solidFill>
                </w14:textFill>
              </w:rPr>
            </w:pPr>
            <w:r>
              <w:rPr>
                <w:rFonts w:hint="eastAsia" w:ascii="宋体" w:hAnsi="宋体" w:cs="宋体"/>
                <w:kern w:val="0"/>
                <w:szCs w:val="21"/>
              </w:rPr>
              <w:t>评分因素</w:t>
            </w:r>
          </w:p>
        </w:tc>
        <w:tc>
          <w:tcPr>
            <w:tcW w:w="847" w:type="dxa"/>
            <w:shd w:val="clear" w:color="auto" w:fill="E6EFFA"/>
            <w:vAlign w:val="center"/>
          </w:tcPr>
          <w:p w14:paraId="31D1AA1E">
            <w:pPr>
              <w:widowControl/>
              <w:wordWrap w:val="0"/>
              <w:spacing w:line="276" w:lineRule="auto"/>
              <w:jc w:val="center"/>
              <w:rPr>
                <w:rFonts w:hint="eastAsia" w:ascii="宋体" w:hAnsi="宋体"/>
                <w:color w:val="000000" w:themeColor="text1"/>
                <w:szCs w:val="21"/>
                <w14:textFill>
                  <w14:solidFill>
                    <w14:schemeClr w14:val="tx1"/>
                  </w14:solidFill>
                </w14:textFill>
              </w:rPr>
            </w:pPr>
            <w:r>
              <w:rPr>
                <w:rFonts w:hint="eastAsia" w:ascii="宋体" w:hAnsi="宋体" w:cs="宋体"/>
                <w:kern w:val="0"/>
                <w:szCs w:val="21"/>
              </w:rPr>
              <w:t>权重(</w:t>
            </w:r>
            <w:r>
              <w:rPr>
                <w:rFonts w:hint="eastAsia" w:ascii="宋体" w:hAnsi="宋体" w:cs="宋体"/>
                <w:spacing w:val="11"/>
                <w:szCs w:val="21"/>
              </w:rPr>
              <w:t>%</w:t>
            </w:r>
            <w:r>
              <w:rPr>
                <w:rFonts w:hint="eastAsia" w:ascii="宋体" w:hAnsi="宋体" w:cs="宋体"/>
                <w:kern w:val="0"/>
                <w:szCs w:val="21"/>
              </w:rPr>
              <w:t>)</w:t>
            </w:r>
          </w:p>
        </w:tc>
        <w:tc>
          <w:tcPr>
            <w:tcW w:w="5436" w:type="dxa"/>
            <w:shd w:val="clear" w:color="auto" w:fill="E6EFFA"/>
            <w:vAlign w:val="center"/>
          </w:tcPr>
          <w:p w14:paraId="0E19B95F">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kern w:val="0"/>
                <w:szCs w:val="21"/>
              </w:rPr>
              <w:t>评分准则</w:t>
            </w:r>
          </w:p>
        </w:tc>
      </w:tr>
      <w:tr w14:paraId="4E91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rPr>
        <w:tc>
          <w:tcPr>
            <w:tcW w:w="827" w:type="dxa"/>
            <w:vMerge w:val="continue"/>
            <w:shd w:val="clear" w:color="auto" w:fill="E6EFFA"/>
            <w:vAlign w:val="center"/>
          </w:tcPr>
          <w:p w14:paraId="27442E91">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411D66A9">
            <w:pPr>
              <w:pStyle w:val="8"/>
              <w:spacing w:line="276" w:lineRule="auto"/>
              <w:jc w:val="center"/>
              <w:rPr>
                <w:rFonts w:hint="eastAsia" w:hAnsi="宋体" w:cs="宋体"/>
                <w:szCs w:val="21"/>
              </w:rPr>
            </w:pPr>
            <w:r>
              <w:rPr>
                <w:rFonts w:hint="eastAsia" w:hAnsi="宋体" w:cs="宋体"/>
                <w:szCs w:val="21"/>
                <w:lang w:val="en-US" w:eastAsia="zh-CN"/>
              </w:rPr>
              <w:t>1</w:t>
            </w:r>
          </w:p>
        </w:tc>
        <w:tc>
          <w:tcPr>
            <w:tcW w:w="1687" w:type="dxa"/>
            <w:vAlign w:val="center"/>
          </w:tcPr>
          <w:p w14:paraId="157CA593">
            <w:pPr>
              <w:pStyle w:val="8"/>
              <w:spacing w:line="276" w:lineRule="auto"/>
              <w:rPr>
                <w:rFonts w:hint="eastAsia" w:hAnsi="宋体" w:cs="宋体"/>
                <w:szCs w:val="21"/>
              </w:rPr>
            </w:pPr>
            <w:r>
              <w:rPr>
                <w:rFonts w:hint="eastAsia" w:ascii="宋体" w:hAnsi="宋体" w:cs="宋体"/>
                <w:color w:val="auto"/>
                <w:szCs w:val="21"/>
                <w:lang w:val="en-US" w:eastAsia="zh-CN"/>
              </w:rPr>
              <w:t>修复后保修期</w:t>
            </w:r>
          </w:p>
        </w:tc>
        <w:tc>
          <w:tcPr>
            <w:tcW w:w="847" w:type="dxa"/>
            <w:vAlign w:val="center"/>
          </w:tcPr>
          <w:p w14:paraId="086F1F92">
            <w:pPr>
              <w:pStyle w:val="8"/>
              <w:spacing w:line="276" w:lineRule="auto"/>
              <w:jc w:val="center"/>
              <w:rPr>
                <w:rFonts w:hint="eastAsia" w:hAnsi="宋体" w:eastAsia="宋体" w:cs="宋体"/>
                <w:szCs w:val="21"/>
                <w:lang w:eastAsia="zh-CN"/>
              </w:rPr>
            </w:pPr>
            <w:r>
              <w:rPr>
                <w:rFonts w:hint="eastAsia" w:hAnsi="宋体" w:cs="宋体"/>
                <w:szCs w:val="21"/>
              </w:rPr>
              <w:t>1</w:t>
            </w:r>
            <w:r>
              <w:rPr>
                <w:rFonts w:hint="eastAsia" w:hAnsi="宋体" w:cs="宋体"/>
                <w:szCs w:val="21"/>
                <w:lang w:val="en-US" w:eastAsia="zh-CN"/>
              </w:rPr>
              <w:t>2</w:t>
            </w:r>
          </w:p>
        </w:tc>
        <w:tc>
          <w:tcPr>
            <w:tcW w:w="5436" w:type="dxa"/>
            <w:vAlign w:val="center"/>
          </w:tcPr>
          <w:p w14:paraId="13BAE8C8">
            <w:pPr>
              <w:pStyle w:val="8"/>
              <w:spacing w:line="276" w:lineRule="auto"/>
              <w:rPr>
                <w:rFonts w:hint="eastAsia" w:hAnsi="宋体" w:cs="宋体"/>
                <w:szCs w:val="21"/>
              </w:rPr>
            </w:pPr>
            <w:r>
              <w:rPr>
                <w:rFonts w:hint="eastAsia" w:ascii="宋体" w:hAnsi="宋体" w:eastAsia="宋体" w:cs="宋体"/>
                <w:color w:val="auto"/>
                <w:kern w:val="0"/>
                <w:sz w:val="21"/>
                <w:szCs w:val="21"/>
                <w:highlight w:val="none"/>
                <w:lang w:val="en-US" w:eastAsia="zh-CN"/>
              </w:rPr>
              <w:t>修复后保修期在6个月基础上每增加1个月得</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分，最高1</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分。提供承诺书加盖公章，不提供者不得分。</w:t>
            </w:r>
          </w:p>
        </w:tc>
      </w:tr>
      <w:tr w14:paraId="6EA0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0BE3C701">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24B455BC">
            <w:pPr>
              <w:widowControl/>
              <w:wordWrap w:val="0"/>
              <w:spacing w:line="276" w:lineRule="auto"/>
              <w:jc w:val="center"/>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szCs w:val="21"/>
                <w:lang w:val="en-US" w:eastAsia="zh-CN"/>
              </w:rPr>
              <w:t>2</w:t>
            </w:r>
          </w:p>
        </w:tc>
        <w:tc>
          <w:tcPr>
            <w:tcW w:w="1687" w:type="dxa"/>
            <w:vAlign w:val="center"/>
          </w:tcPr>
          <w:p w14:paraId="26D4AB05">
            <w:pPr>
              <w:spacing w:line="276" w:lineRule="auto"/>
              <w:rPr>
                <w:rFonts w:hint="eastAsia" w:ascii="宋体" w:hAnsi="宋体" w:cs="宋体"/>
                <w:color w:val="000000" w:themeColor="text1"/>
                <w:kern w:val="0"/>
                <w:szCs w:val="21"/>
                <w14:textFill>
                  <w14:solidFill>
                    <w14:schemeClr w14:val="tx1"/>
                  </w14:solidFill>
                </w14:textFill>
              </w:rPr>
            </w:pPr>
            <w:r>
              <w:t>售后服务方案</w:t>
            </w:r>
          </w:p>
        </w:tc>
        <w:tc>
          <w:tcPr>
            <w:tcW w:w="847" w:type="dxa"/>
            <w:vAlign w:val="center"/>
          </w:tcPr>
          <w:p w14:paraId="3732386A">
            <w:pPr>
              <w:spacing w:line="276" w:lineRule="auto"/>
              <w:jc w:val="center"/>
              <w:rPr>
                <w:rFonts w:hint="default" w:ascii="宋体" w:hAnsi="宋体" w:eastAsia="宋体" w:cs="宋体"/>
                <w:color w:val="000000" w:themeColor="text1"/>
                <w:spacing w:val="-8"/>
                <w:szCs w:val="21"/>
                <w:lang w:val="en-US"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8</w:t>
            </w:r>
          </w:p>
        </w:tc>
        <w:tc>
          <w:tcPr>
            <w:tcW w:w="5436" w:type="dxa"/>
            <w:vAlign w:val="center"/>
          </w:tcPr>
          <w:p w14:paraId="4A731C8F">
            <w:pPr>
              <w:widowControl/>
              <w:spacing w:line="276" w:lineRule="auto"/>
              <w:jc w:val="left"/>
              <w:rPr>
                <w:rFonts w:hint="eastAsia" w:ascii="宋体" w:hAnsi="宋体" w:cs="宋体"/>
                <w:szCs w:val="21"/>
              </w:rPr>
            </w:pPr>
            <w:r>
              <w:t>对投标人就制定的售后服务方案进行评审： 售后服务计划详细、合理、可行，提供满足本项目采购需求的及时的、专业的售后服务，完全满足且优于采购需求，得</w:t>
            </w:r>
            <w:r>
              <w:rPr>
                <w:rFonts w:hint="eastAsia"/>
                <w:lang w:val="en-US" w:eastAsia="zh-CN"/>
              </w:rPr>
              <w:t>8</w:t>
            </w:r>
            <w:r>
              <w:t>分。 售后服务计划基本合理、可行，得</w:t>
            </w:r>
            <w:r>
              <w:rPr>
                <w:rFonts w:hint="eastAsia"/>
                <w:lang w:val="en-US" w:eastAsia="zh-CN"/>
              </w:rPr>
              <w:t>5</w:t>
            </w:r>
            <w:r>
              <w:t>分。  售后服务计划不详细、可行</w:t>
            </w:r>
            <w:r>
              <w:rPr>
                <w:rFonts w:hint="eastAsia"/>
                <w:lang w:val="en-US" w:eastAsia="zh-CN"/>
              </w:rPr>
              <w:t>性一般</w:t>
            </w:r>
            <w:r>
              <w:t>，得</w:t>
            </w:r>
            <w:r>
              <w:rPr>
                <w:rFonts w:hint="eastAsia"/>
                <w:lang w:val="en-US" w:eastAsia="zh-CN"/>
              </w:rPr>
              <w:t>1</w:t>
            </w:r>
            <w:r>
              <w:t>分。</w:t>
            </w:r>
          </w:p>
        </w:tc>
      </w:tr>
      <w:tr w14:paraId="5E8E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7CFEC000">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71263558">
            <w:pPr>
              <w:widowControl/>
              <w:wordWrap w:val="0"/>
              <w:spacing w:line="276" w:lineRule="auto"/>
              <w:jc w:val="center"/>
              <w:rPr>
                <w:rFonts w:hint="default" w:ascii="宋体" w:hAnsi="宋体" w:cs="宋体"/>
                <w:szCs w:val="21"/>
                <w:lang w:val="en-US" w:eastAsia="zh-CN"/>
              </w:rPr>
            </w:pPr>
            <w:r>
              <w:rPr>
                <w:rFonts w:hint="eastAsia" w:ascii="宋体" w:hAnsi="宋体" w:cs="宋体"/>
                <w:szCs w:val="21"/>
                <w:lang w:val="en-US" w:eastAsia="zh-CN"/>
              </w:rPr>
              <w:t>3</w:t>
            </w:r>
          </w:p>
        </w:tc>
        <w:tc>
          <w:tcPr>
            <w:tcW w:w="1687" w:type="dxa"/>
            <w:vAlign w:val="center"/>
          </w:tcPr>
          <w:p w14:paraId="70C0EE50">
            <w:pPr>
              <w:spacing w:line="276" w:lineRule="auto"/>
              <w:rPr>
                <w:rFonts w:hint="eastAsia" w:ascii="宋体" w:hAnsi="宋体"/>
                <w:szCs w:val="21"/>
              </w:rPr>
            </w:pPr>
            <w:r>
              <w:rPr>
                <w:rFonts w:hint="eastAsia" w:ascii="宋体" w:hAnsi="宋体" w:cs="宋体"/>
                <w:color w:val="auto"/>
                <w:szCs w:val="21"/>
                <w:lang w:eastAsia="zh-CN"/>
              </w:rPr>
              <w:t>同类项目业绩</w:t>
            </w:r>
          </w:p>
        </w:tc>
        <w:tc>
          <w:tcPr>
            <w:tcW w:w="847" w:type="dxa"/>
            <w:vAlign w:val="center"/>
          </w:tcPr>
          <w:p w14:paraId="2732A511">
            <w:pPr>
              <w:spacing w:line="276" w:lineRule="auto"/>
              <w:jc w:val="center"/>
              <w:rPr>
                <w:rFonts w:hint="default" w:ascii="宋体" w:hAnsi="宋体" w:cs="宋体"/>
                <w:color w:val="000000" w:themeColor="text1"/>
                <w:spacing w:val="-8"/>
                <w:szCs w:val="21"/>
                <w:lang w:val="en-US"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15</w:t>
            </w:r>
          </w:p>
        </w:tc>
        <w:tc>
          <w:tcPr>
            <w:tcW w:w="5436" w:type="dxa"/>
            <w:vAlign w:val="center"/>
          </w:tcPr>
          <w:p w14:paraId="4EE7A970">
            <w:pPr>
              <w:widowControl/>
              <w:spacing w:line="276" w:lineRule="auto"/>
              <w:jc w:val="left"/>
              <w:rPr>
                <w:rFonts w:hint="eastAsia" w:ascii="宋体" w:hAnsi="宋体" w:cs="宋体"/>
                <w:szCs w:val="21"/>
              </w:rPr>
            </w:pPr>
            <w:r>
              <w:rPr>
                <w:rFonts w:hint="eastAsia" w:ascii="宋体" w:hAnsi="宋体" w:eastAsia="宋体" w:cs="宋体"/>
                <w:color w:val="auto"/>
                <w:kern w:val="0"/>
                <w:sz w:val="21"/>
                <w:szCs w:val="21"/>
                <w:highlight w:val="none"/>
                <w:lang w:eastAsia="zh-CN"/>
              </w:rPr>
              <w:t>提供</w:t>
            </w:r>
            <w:r>
              <w:rPr>
                <w:rFonts w:hint="eastAsia" w:ascii="宋体" w:hAnsi="宋体" w:eastAsia="宋体" w:cs="宋体"/>
                <w:color w:val="auto"/>
                <w:kern w:val="0"/>
                <w:sz w:val="21"/>
                <w:szCs w:val="21"/>
                <w:highlight w:val="none"/>
                <w:lang w:val="en-US" w:eastAsia="zh-CN"/>
              </w:rPr>
              <w:t>投标人所签订的医用设备带维修、安装合同复印件或中标通知书加盖公章，原件备查，每提供一份得5分，最高得15分。不提供或不清晰者不得分。</w:t>
            </w:r>
            <w:r>
              <w:rPr>
                <w:rFonts w:hint="eastAsia" w:ascii="宋体" w:hAnsi="宋体" w:eastAsia="宋体" w:cs="宋体"/>
                <w:b/>
                <w:bCs/>
                <w:color w:val="auto"/>
                <w:kern w:val="0"/>
                <w:sz w:val="21"/>
                <w:szCs w:val="21"/>
                <w:highlight w:val="none"/>
                <w:lang w:val="en-US" w:eastAsia="zh-CN"/>
              </w:rPr>
              <w:t>（同一家医院算一份）</w:t>
            </w:r>
          </w:p>
        </w:tc>
      </w:tr>
      <w:tr w14:paraId="09C5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463414AA">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25FCA0E1">
            <w:pPr>
              <w:widowControl/>
              <w:wordWrap w:val="0"/>
              <w:spacing w:line="276" w:lineRule="auto"/>
              <w:jc w:val="center"/>
              <w:rPr>
                <w:rFonts w:hint="default" w:ascii="宋体" w:hAnsi="宋体" w:cs="宋体"/>
                <w:szCs w:val="21"/>
                <w:lang w:val="en-US" w:eastAsia="zh-CN"/>
              </w:rPr>
            </w:pPr>
            <w:r>
              <w:rPr>
                <w:rFonts w:hint="eastAsia" w:ascii="宋体" w:hAnsi="宋体" w:cs="宋体"/>
                <w:szCs w:val="21"/>
                <w:lang w:val="en-US" w:eastAsia="zh-CN"/>
              </w:rPr>
              <w:t>4</w:t>
            </w:r>
          </w:p>
        </w:tc>
        <w:tc>
          <w:tcPr>
            <w:tcW w:w="1687" w:type="dxa"/>
            <w:vAlign w:val="center"/>
          </w:tcPr>
          <w:p w14:paraId="40965A0C">
            <w:pPr>
              <w:spacing w:line="276" w:lineRule="auto"/>
              <w:rPr>
                <w:rFonts w:hint="eastAsia" w:ascii="宋体" w:hAnsi="宋体"/>
                <w:szCs w:val="21"/>
              </w:rPr>
            </w:pPr>
            <w:r>
              <w:rPr>
                <w:rFonts w:hint="eastAsia" w:ascii="宋体" w:hAnsi="宋体" w:cs="宋体"/>
                <w:color w:val="auto"/>
                <w:kern w:val="0"/>
                <w:szCs w:val="21"/>
              </w:rPr>
              <w:t>企业诚信</w:t>
            </w:r>
          </w:p>
        </w:tc>
        <w:tc>
          <w:tcPr>
            <w:tcW w:w="847" w:type="dxa"/>
            <w:vAlign w:val="center"/>
          </w:tcPr>
          <w:p w14:paraId="0613EDF6">
            <w:pPr>
              <w:spacing w:line="276" w:lineRule="auto"/>
              <w:jc w:val="center"/>
              <w:rPr>
                <w:rFonts w:hint="default" w:ascii="宋体" w:hAnsi="宋体" w:cs="宋体"/>
                <w:color w:val="000000" w:themeColor="text1"/>
                <w:spacing w:val="-8"/>
                <w:szCs w:val="21"/>
                <w:lang w:val="en-US"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5</w:t>
            </w:r>
          </w:p>
        </w:tc>
        <w:tc>
          <w:tcPr>
            <w:tcW w:w="5436" w:type="dxa"/>
            <w:vAlign w:val="center"/>
          </w:tcPr>
          <w:p w14:paraId="6A5BA638">
            <w:pPr>
              <w:widowControl/>
              <w:spacing w:line="276" w:lineRule="auto"/>
              <w:jc w:val="left"/>
              <w:rPr>
                <w:rFonts w:hint="eastAsia" w:ascii="宋体" w:hAnsi="宋体" w:cs="宋体"/>
                <w:szCs w:val="21"/>
              </w:rPr>
            </w:pPr>
            <w:r>
              <w:rPr>
                <w:rFonts w:hint="eastAsia" w:ascii="宋体" w:hAnsi="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r>
    </w:tbl>
    <w:p w14:paraId="54000214">
      <w:pPr>
        <w:pStyle w:val="2"/>
        <w:jc w:val="left"/>
        <w:rPr>
          <w:rFonts w:hint="eastAsia" w:eastAsia="宋体" w:cs="Times New Roman" w:asciiTheme="majorEastAsia" w:hAnsiTheme="majorEastAsia"/>
          <w:b/>
          <w:bCs w:val="0"/>
          <w:kern w:val="44"/>
          <w:sz w:val="28"/>
          <w:szCs w:val="28"/>
          <w:lang w:val="en-US" w:eastAsia="zh-CN" w:bidi="ar-SA"/>
        </w:rPr>
      </w:pPr>
    </w:p>
    <w:p w14:paraId="503F59C6"/>
    <w:p w14:paraId="06E6F3EE">
      <w:pPr>
        <w:numPr>
          <w:ilvl w:val="-1"/>
          <w:numId w:val="0"/>
        </w:numPr>
        <w:tabs>
          <w:tab w:val="left" w:pos="1260"/>
        </w:tabs>
        <w:spacing w:line="360" w:lineRule="auto"/>
        <w:ind w:firstLine="0" w:firstLineChars="0"/>
        <w:jc w:val="left"/>
        <w:rPr>
          <w:rFonts w:hint="eastAsia" w:ascii="宋体" w:hAnsi="宋体" w:cs="宋体"/>
          <w:sz w:val="24"/>
          <w:lang w:eastAsia="zh-CN"/>
        </w:rPr>
      </w:pPr>
    </w:p>
    <w:p w14:paraId="1ECA41E6">
      <w:pPr>
        <w:pStyle w:val="18"/>
        <w:rPr>
          <w:rFonts w:hint="eastAsia" w:eastAsia="宋体"/>
          <w:lang w:val="en-US" w:eastAsia="zh-CN"/>
        </w:rPr>
      </w:pPr>
    </w:p>
    <w:p w14:paraId="6564E8C6">
      <w:pPr>
        <w:widowControl/>
        <w:ind w:leftChars="0"/>
        <w:jc w:val="left"/>
        <w:rPr>
          <w:rFonts w:hint="eastAsia" w:ascii="宋体" w:hAnsi="宋体" w:eastAsia="宋体"/>
          <w:b w:val="0"/>
          <w:bCs w:val="0"/>
          <w:szCs w:val="21"/>
          <w:lang w:val="en-US" w:eastAsia="zh-CN"/>
        </w:rPr>
      </w:pPr>
      <w:r>
        <w:rPr>
          <w:b/>
          <w:bCs/>
          <w:sz w:val="24"/>
        </w:rPr>
        <w:br w:type="page"/>
      </w:r>
      <w:bookmarkEnd w:id="0"/>
    </w:p>
    <w:sectPr>
      <w:headerReference r:id="rId3" w:type="default"/>
      <w:footerReference r:id="rId4" w:type="default"/>
      <w:pgSz w:w="11850" w:h="16783"/>
      <w:pgMar w:top="1440" w:right="1080" w:bottom="1440" w:left="1080" w:header="737" w:footer="680"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9BE0">
    <w:pPr>
      <w:pStyle w:val="14"/>
    </w:pPr>
    <w:r>
      <w:rPr>
        <w:rFonts w:hint="eastAsia"/>
        <w:b/>
        <w:i/>
      </w:rPr>
      <w:t xml:space="preserve">            </w:t>
    </w:r>
    <w:r>
      <w:rPr>
        <w:rFonts w:hint="eastAsia"/>
      </w:rPr>
      <w:t xml:space="preserve">                       </w:t>
    </w:r>
    <w:r>
      <w:rPr>
        <w:rFonts w:hint="eastAsia"/>
      </w:rPr>
      <w:tab/>
    </w:r>
    <w:r>
      <w:rPr>
        <w:rFonts w:hint="eastAsia"/>
      </w:rPr>
      <w:tab/>
    </w:r>
    <w:r>
      <w:rPr>
        <w:rFonts w:hint="eastAsia"/>
      </w:rPr>
      <w:t xml:space="preserve">   </w:t>
    </w:r>
    <w:r>
      <w:rPr>
        <w:rStyle w:val="22"/>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9487">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45"/>
    <w:rsid w:val="000028F4"/>
    <w:rsid w:val="000042AA"/>
    <w:rsid w:val="00005402"/>
    <w:rsid w:val="00016980"/>
    <w:rsid w:val="00024715"/>
    <w:rsid w:val="00030B9D"/>
    <w:rsid w:val="00040787"/>
    <w:rsid w:val="00062E78"/>
    <w:rsid w:val="00062EB3"/>
    <w:rsid w:val="00063F20"/>
    <w:rsid w:val="000700AB"/>
    <w:rsid w:val="00072352"/>
    <w:rsid w:val="0007283F"/>
    <w:rsid w:val="00074B7F"/>
    <w:rsid w:val="000758D3"/>
    <w:rsid w:val="0007713B"/>
    <w:rsid w:val="000844C3"/>
    <w:rsid w:val="0009436C"/>
    <w:rsid w:val="0009602A"/>
    <w:rsid w:val="000A1397"/>
    <w:rsid w:val="000A68D2"/>
    <w:rsid w:val="000C4E1B"/>
    <w:rsid w:val="000C52DF"/>
    <w:rsid w:val="000E7E1A"/>
    <w:rsid w:val="000F04B3"/>
    <w:rsid w:val="000F2F33"/>
    <w:rsid w:val="0010237A"/>
    <w:rsid w:val="00104408"/>
    <w:rsid w:val="00112C17"/>
    <w:rsid w:val="00114F27"/>
    <w:rsid w:val="00126B57"/>
    <w:rsid w:val="0013046C"/>
    <w:rsid w:val="0013467B"/>
    <w:rsid w:val="001406F5"/>
    <w:rsid w:val="00145BC7"/>
    <w:rsid w:val="001570A4"/>
    <w:rsid w:val="00172EAA"/>
    <w:rsid w:val="00173CCA"/>
    <w:rsid w:val="00184C67"/>
    <w:rsid w:val="001944AA"/>
    <w:rsid w:val="0019573B"/>
    <w:rsid w:val="00195BAC"/>
    <w:rsid w:val="001A47F1"/>
    <w:rsid w:val="001B5488"/>
    <w:rsid w:val="001B7B0A"/>
    <w:rsid w:val="001C0D6C"/>
    <w:rsid w:val="001C0FBC"/>
    <w:rsid w:val="001C19EE"/>
    <w:rsid w:val="001C4B82"/>
    <w:rsid w:val="001C5263"/>
    <w:rsid w:val="001C666E"/>
    <w:rsid w:val="001D6F07"/>
    <w:rsid w:val="001E054C"/>
    <w:rsid w:val="001E5A2C"/>
    <w:rsid w:val="001E7B34"/>
    <w:rsid w:val="001F1D23"/>
    <w:rsid w:val="001F240C"/>
    <w:rsid w:val="00214CC1"/>
    <w:rsid w:val="002301D5"/>
    <w:rsid w:val="00236A84"/>
    <w:rsid w:val="00246FDB"/>
    <w:rsid w:val="0024789C"/>
    <w:rsid w:val="002531BE"/>
    <w:rsid w:val="002575C2"/>
    <w:rsid w:val="002677AF"/>
    <w:rsid w:val="0027245F"/>
    <w:rsid w:val="00277131"/>
    <w:rsid w:val="00280E5D"/>
    <w:rsid w:val="00296612"/>
    <w:rsid w:val="002A4C71"/>
    <w:rsid w:val="002A6F74"/>
    <w:rsid w:val="002B350C"/>
    <w:rsid w:val="002B53BF"/>
    <w:rsid w:val="002B6DFF"/>
    <w:rsid w:val="002C0BD9"/>
    <w:rsid w:val="002C3125"/>
    <w:rsid w:val="002D2421"/>
    <w:rsid w:val="002D47F2"/>
    <w:rsid w:val="002D50CA"/>
    <w:rsid w:val="002E025A"/>
    <w:rsid w:val="002E12A2"/>
    <w:rsid w:val="002F044D"/>
    <w:rsid w:val="002F7557"/>
    <w:rsid w:val="003138C0"/>
    <w:rsid w:val="00322AA7"/>
    <w:rsid w:val="00346706"/>
    <w:rsid w:val="003477A3"/>
    <w:rsid w:val="003536DB"/>
    <w:rsid w:val="00356A22"/>
    <w:rsid w:val="00362293"/>
    <w:rsid w:val="00362CEF"/>
    <w:rsid w:val="00363E4B"/>
    <w:rsid w:val="003651D7"/>
    <w:rsid w:val="0037444A"/>
    <w:rsid w:val="0037746A"/>
    <w:rsid w:val="0038506D"/>
    <w:rsid w:val="00387839"/>
    <w:rsid w:val="003A017A"/>
    <w:rsid w:val="003A058E"/>
    <w:rsid w:val="003B0C3F"/>
    <w:rsid w:val="003B4EBE"/>
    <w:rsid w:val="003C5CA3"/>
    <w:rsid w:val="003D4AF7"/>
    <w:rsid w:val="003E7D05"/>
    <w:rsid w:val="003F7BD5"/>
    <w:rsid w:val="004001D3"/>
    <w:rsid w:val="00413EB2"/>
    <w:rsid w:val="00416833"/>
    <w:rsid w:val="0043529C"/>
    <w:rsid w:val="00436830"/>
    <w:rsid w:val="004518CA"/>
    <w:rsid w:val="00453993"/>
    <w:rsid w:val="004751E7"/>
    <w:rsid w:val="00480984"/>
    <w:rsid w:val="004868A7"/>
    <w:rsid w:val="00486901"/>
    <w:rsid w:val="004874D5"/>
    <w:rsid w:val="0049040D"/>
    <w:rsid w:val="004911B3"/>
    <w:rsid w:val="004927AD"/>
    <w:rsid w:val="004976CF"/>
    <w:rsid w:val="004A09D4"/>
    <w:rsid w:val="004A2D12"/>
    <w:rsid w:val="004A7EBE"/>
    <w:rsid w:val="004B6764"/>
    <w:rsid w:val="004C278A"/>
    <w:rsid w:val="004C5C79"/>
    <w:rsid w:val="004D35C1"/>
    <w:rsid w:val="004D41B2"/>
    <w:rsid w:val="004E2CB6"/>
    <w:rsid w:val="004E4F17"/>
    <w:rsid w:val="004E64D1"/>
    <w:rsid w:val="004E65C5"/>
    <w:rsid w:val="004E7153"/>
    <w:rsid w:val="004E73C4"/>
    <w:rsid w:val="004F2A5D"/>
    <w:rsid w:val="004F46C3"/>
    <w:rsid w:val="004F75BC"/>
    <w:rsid w:val="005057DA"/>
    <w:rsid w:val="00507EEE"/>
    <w:rsid w:val="0053189A"/>
    <w:rsid w:val="0054027C"/>
    <w:rsid w:val="00543121"/>
    <w:rsid w:val="0055508E"/>
    <w:rsid w:val="005675F8"/>
    <w:rsid w:val="00580CA3"/>
    <w:rsid w:val="0058422D"/>
    <w:rsid w:val="0058758F"/>
    <w:rsid w:val="005A46D3"/>
    <w:rsid w:val="005A5D10"/>
    <w:rsid w:val="005B4D5D"/>
    <w:rsid w:val="005C0841"/>
    <w:rsid w:val="005C65D1"/>
    <w:rsid w:val="005D0201"/>
    <w:rsid w:val="005E2013"/>
    <w:rsid w:val="005E7317"/>
    <w:rsid w:val="005E758C"/>
    <w:rsid w:val="005F3B4D"/>
    <w:rsid w:val="005F4C66"/>
    <w:rsid w:val="005F54B9"/>
    <w:rsid w:val="00602EC6"/>
    <w:rsid w:val="0061122A"/>
    <w:rsid w:val="006142E5"/>
    <w:rsid w:val="0062067C"/>
    <w:rsid w:val="00623301"/>
    <w:rsid w:val="0063509C"/>
    <w:rsid w:val="00636F84"/>
    <w:rsid w:val="00665E33"/>
    <w:rsid w:val="006771D8"/>
    <w:rsid w:val="00690C3A"/>
    <w:rsid w:val="00692E7B"/>
    <w:rsid w:val="00695178"/>
    <w:rsid w:val="00695565"/>
    <w:rsid w:val="006A00C6"/>
    <w:rsid w:val="006B0D5E"/>
    <w:rsid w:val="006B2958"/>
    <w:rsid w:val="006B3BDF"/>
    <w:rsid w:val="006B5F33"/>
    <w:rsid w:val="006F4017"/>
    <w:rsid w:val="007114BB"/>
    <w:rsid w:val="00712055"/>
    <w:rsid w:val="00712A40"/>
    <w:rsid w:val="0072018D"/>
    <w:rsid w:val="00727FF5"/>
    <w:rsid w:val="00730B37"/>
    <w:rsid w:val="0073527F"/>
    <w:rsid w:val="007501A5"/>
    <w:rsid w:val="00751E62"/>
    <w:rsid w:val="007538A5"/>
    <w:rsid w:val="00754179"/>
    <w:rsid w:val="00755715"/>
    <w:rsid w:val="007613B4"/>
    <w:rsid w:val="0076252D"/>
    <w:rsid w:val="0077110B"/>
    <w:rsid w:val="00772B09"/>
    <w:rsid w:val="007751E0"/>
    <w:rsid w:val="00777531"/>
    <w:rsid w:val="0078104B"/>
    <w:rsid w:val="007835F4"/>
    <w:rsid w:val="00784F58"/>
    <w:rsid w:val="00786355"/>
    <w:rsid w:val="007956FD"/>
    <w:rsid w:val="007A0871"/>
    <w:rsid w:val="007A18AD"/>
    <w:rsid w:val="007B0D29"/>
    <w:rsid w:val="007C3877"/>
    <w:rsid w:val="007C39C6"/>
    <w:rsid w:val="007C5CDE"/>
    <w:rsid w:val="007C5D1E"/>
    <w:rsid w:val="007D4AE6"/>
    <w:rsid w:val="007D55AC"/>
    <w:rsid w:val="007F5278"/>
    <w:rsid w:val="007F7EF6"/>
    <w:rsid w:val="00815FBB"/>
    <w:rsid w:val="0082149E"/>
    <w:rsid w:val="00823A5E"/>
    <w:rsid w:val="00826A23"/>
    <w:rsid w:val="00827ED7"/>
    <w:rsid w:val="00830AA5"/>
    <w:rsid w:val="00837999"/>
    <w:rsid w:val="00837ECE"/>
    <w:rsid w:val="0084292E"/>
    <w:rsid w:val="00850C72"/>
    <w:rsid w:val="008544DE"/>
    <w:rsid w:val="008614C6"/>
    <w:rsid w:val="008631AF"/>
    <w:rsid w:val="00863F54"/>
    <w:rsid w:val="0087179A"/>
    <w:rsid w:val="00871C97"/>
    <w:rsid w:val="008914B7"/>
    <w:rsid w:val="008937EA"/>
    <w:rsid w:val="008A1555"/>
    <w:rsid w:val="008A28EC"/>
    <w:rsid w:val="008B1858"/>
    <w:rsid w:val="008B30CF"/>
    <w:rsid w:val="008B388C"/>
    <w:rsid w:val="008B38E2"/>
    <w:rsid w:val="008B3AC9"/>
    <w:rsid w:val="008B5660"/>
    <w:rsid w:val="008B7BDA"/>
    <w:rsid w:val="008B7F5F"/>
    <w:rsid w:val="008C0555"/>
    <w:rsid w:val="008C2B39"/>
    <w:rsid w:val="008C67CD"/>
    <w:rsid w:val="008C77C5"/>
    <w:rsid w:val="008C7B45"/>
    <w:rsid w:val="008D01C4"/>
    <w:rsid w:val="008D1B48"/>
    <w:rsid w:val="008E15F6"/>
    <w:rsid w:val="008E79B6"/>
    <w:rsid w:val="008F67AC"/>
    <w:rsid w:val="008F7133"/>
    <w:rsid w:val="00901024"/>
    <w:rsid w:val="009106B5"/>
    <w:rsid w:val="00916D31"/>
    <w:rsid w:val="00923B99"/>
    <w:rsid w:val="009259EC"/>
    <w:rsid w:val="00931422"/>
    <w:rsid w:val="00944495"/>
    <w:rsid w:val="00947DFC"/>
    <w:rsid w:val="009501F4"/>
    <w:rsid w:val="00952DEC"/>
    <w:rsid w:val="00956199"/>
    <w:rsid w:val="00961E75"/>
    <w:rsid w:val="00965A07"/>
    <w:rsid w:val="0097603C"/>
    <w:rsid w:val="009811CD"/>
    <w:rsid w:val="009902EB"/>
    <w:rsid w:val="00995737"/>
    <w:rsid w:val="009A74B7"/>
    <w:rsid w:val="009B176A"/>
    <w:rsid w:val="009B58B9"/>
    <w:rsid w:val="009C1097"/>
    <w:rsid w:val="009C767E"/>
    <w:rsid w:val="009E4A1F"/>
    <w:rsid w:val="009F702C"/>
    <w:rsid w:val="00A046A0"/>
    <w:rsid w:val="00A262BA"/>
    <w:rsid w:val="00A42857"/>
    <w:rsid w:val="00A4446F"/>
    <w:rsid w:val="00A44C62"/>
    <w:rsid w:val="00A45BF4"/>
    <w:rsid w:val="00A478A2"/>
    <w:rsid w:val="00A56D82"/>
    <w:rsid w:val="00A670E4"/>
    <w:rsid w:val="00A700D7"/>
    <w:rsid w:val="00A73311"/>
    <w:rsid w:val="00A911FD"/>
    <w:rsid w:val="00A91776"/>
    <w:rsid w:val="00A91DE5"/>
    <w:rsid w:val="00A94870"/>
    <w:rsid w:val="00AA02C2"/>
    <w:rsid w:val="00AA5FDA"/>
    <w:rsid w:val="00AB1337"/>
    <w:rsid w:val="00AB28EB"/>
    <w:rsid w:val="00AB300C"/>
    <w:rsid w:val="00AB3C59"/>
    <w:rsid w:val="00AC3634"/>
    <w:rsid w:val="00AD12A4"/>
    <w:rsid w:val="00AD24B7"/>
    <w:rsid w:val="00AE40D9"/>
    <w:rsid w:val="00AF4D40"/>
    <w:rsid w:val="00AF5EE3"/>
    <w:rsid w:val="00B119CA"/>
    <w:rsid w:val="00B22E8A"/>
    <w:rsid w:val="00B41163"/>
    <w:rsid w:val="00B469AD"/>
    <w:rsid w:val="00B51014"/>
    <w:rsid w:val="00B55B29"/>
    <w:rsid w:val="00B57A69"/>
    <w:rsid w:val="00B61E45"/>
    <w:rsid w:val="00B649D4"/>
    <w:rsid w:val="00B66838"/>
    <w:rsid w:val="00B76409"/>
    <w:rsid w:val="00B76547"/>
    <w:rsid w:val="00B875C5"/>
    <w:rsid w:val="00B87AA8"/>
    <w:rsid w:val="00B92A3F"/>
    <w:rsid w:val="00B978B4"/>
    <w:rsid w:val="00BB4B7F"/>
    <w:rsid w:val="00BB4FB2"/>
    <w:rsid w:val="00BC659C"/>
    <w:rsid w:val="00BD1835"/>
    <w:rsid w:val="00BD1A31"/>
    <w:rsid w:val="00BD7C0A"/>
    <w:rsid w:val="00BE11F0"/>
    <w:rsid w:val="00BE2155"/>
    <w:rsid w:val="00BE2C55"/>
    <w:rsid w:val="00BF3B4B"/>
    <w:rsid w:val="00BF7BBA"/>
    <w:rsid w:val="00C014FD"/>
    <w:rsid w:val="00C068FA"/>
    <w:rsid w:val="00C07F16"/>
    <w:rsid w:val="00C12B41"/>
    <w:rsid w:val="00C1376F"/>
    <w:rsid w:val="00C20535"/>
    <w:rsid w:val="00C217F5"/>
    <w:rsid w:val="00C23C00"/>
    <w:rsid w:val="00C262CA"/>
    <w:rsid w:val="00C505D0"/>
    <w:rsid w:val="00C52E1C"/>
    <w:rsid w:val="00C72E67"/>
    <w:rsid w:val="00C86271"/>
    <w:rsid w:val="00CA13ED"/>
    <w:rsid w:val="00CA1CDD"/>
    <w:rsid w:val="00CA6AB9"/>
    <w:rsid w:val="00CB0829"/>
    <w:rsid w:val="00CB6EBE"/>
    <w:rsid w:val="00CC2DCC"/>
    <w:rsid w:val="00CC50F1"/>
    <w:rsid w:val="00CE08F3"/>
    <w:rsid w:val="00CE11A3"/>
    <w:rsid w:val="00CE66D4"/>
    <w:rsid w:val="00D061F1"/>
    <w:rsid w:val="00D20361"/>
    <w:rsid w:val="00D332F9"/>
    <w:rsid w:val="00D37D39"/>
    <w:rsid w:val="00D44A76"/>
    <w:rsid w:val="00D453B6"/>
    <w:rsid w:val="00D5060F"/>
    <w:rsid w:val="00D5405E"/>
    <w:rsid w:val="00D54E89"/>
    <w:rsid w:val="00D642EB"/>
    <w:rsid w:val="00D67337"/>
    <w:rsid w:val="00D67A1D"/>
    <w:rsid w:val="00D755F6"/>
    <w:rsid w:val="00D86FD0"/>
    <w:rsid w:val="00D8784F"/>
    <w:rsid w:val="00D91449"/>
    <w:rsid w:val="00DD26D7"/>
    <w:rsid w:val="00DD78E7"/>
    <w:rsid w:val="00DE0037"/>
    <w:rsid w:val="00DE1260"/>
    <w:rsid w:val="00DE3BC9"/>
    <w:rsid w:val="00DE69B1"/>
    <w:rsid w:val="00E019C1"/>
    <w:rsid w:val="00E01E8F"/>
    <w:rsid w:val="00E020C5"/>
    <w:rsid w:val="00E02BAD"/>
    <w:rsid w:val="00E04EDF"/>
    <w:rsid w:val="00E0785C"/>
    <w:rsid w:val="00E1099A"/>
    <w:rsid w:val="00E12E70"/>
    <w:rsid w:val="00E13631"/>
    <w:rsid w:val="00E17FB0"/>
    <w:rsid w:val="00E35A96"/>
    <w:rsid w:val="00E36B93"/>
    <w:rsid w:val="00E457FD"/>
    <w:rsid w:val="00E46475"/>
    <w:rsid w:val="00E50B64"/>
    <w:rsid w:val="00E75FBF"/>
    <w:rsid w:val="00E81509"/>
    <w:rsid w:val="00E83446"/>
    <w:rsid w:val="00E83D10"/>
    <w:rsid w:val="00E862A1"/>
    <w:rsid w:val="00E92BA4"/>
    <w:rsid w:val="00EA09B9"/>
    <w:rsid w:val="00EA3745"/>
    <w:rsid w:val="00EC06C6"/>
    <w:rsid w:val="00EC0889"/>
    <w:rsid w:val="00EC3321"/>
    <w:rsid w:val="00ED55F7"/>
    <w:rsid w:val="00ED68CC"/>
    <w:rsid w:val="00EF49E9"/>
    <w:rsid w:val="00F007D0"/>
    <w:rsid w:val="00F04FB8"/>
    <w:rsid w:val="00F061D7"/>
    <w:rsid w:val="00F06508"/>
    <w:rsid w:val="00F12F06"/>
    <w:rsid w:val="00F1569F"/>
    <w:rsid w:val="00F15C1F"/>
    <w:rsid w:val="00F17D0A"/>
    <w:rsid w:val="00F23BAD"/>
    <w:rsid w:val="00F31CD8"/>
    <w:rsid w:val="00F34256"/>
    <w:rsid w:val="00F411DF"/>
    <w:rsid w:val="00F434E0"/>
    <w:rsid w:val="00F4429A"/>
    <w:rsid w:val="00F475E2"/>
    <w:rsid w:val="00F47A39"/>
    <w:rsid w:val="00F5107B"/>
    <w:rsid w:val="00F52AC3"/>
    <w:rsid w:val="00F5698C"/>
    <w:rsid w:val="00F56DA5"/>
    <w:rsid w:val="00F60773"/>
    <w:rsid w:val="00F62C70"/>
    <w:rsid w:val="00F65BF5"/>
    <w:rsid w:val="00F70CE0"/>
    <w:rsid w:val="00F72C46"/>
    <w:rsid w:val="00F7669D"/>
    <w:rsid w:val="00F77099"/>
    <w:rsid w:val="00F77EB3"/>
    <w:rsid w:val="00F83130"/>
    <w:rsid w:val="00F83470"/>
    <w:rsid w:val="00F94005"/>
    <w:rsid w:val="00F96B60"/>
    <w:rsid w:val="00F97718"/>
    <w:rsid w:val="00F97849"/>
    <w:rsid w:val="00FA186D"/>
    <w:rsid w:val="00FB39C8"/>
    <w:rsid w:val="00FC0694"/>
    <w:rsid w:val="00FC1691"/>
    <w:rsid w:val="00FC753D"/>
    <w:rsid w:val="00FD6BAB"/>
    <w:rsid w:val="00FD730A"/>
    <w:rsid w:val="00FF33F4"/>
    <w:rsid w:val="00FF56BA"/>
    <w:rsid w:val="00FF6634"/>
    <w:rsid w:val="011139C5"/>
    <w:rsid w:val="0159726C"/>
    <w:rsid w:val="02FA082F"/>
    <w:rsid w:val="036443B3"/>
    <w:rsid w:val="049251C3"/>
    <w:rsid w:val="049A08F6"/>
    <w:rsid w:val="05793607"/>
    <w:rsid w:val="06A4180F"/>
    <w:rsid w:val="07666909"/>
    <w:rsid w:val="08070A00"/>
    <w:rsid w:val="08CA54C0"/>
    <w:rsid w:val="0983157E"/>
    <w:rsid w:val="09954E0D"/>
    <w:rsid w:val="09A6526C"/>
    <w:rsid w:val="0A273EFA"/>
    <w:rsid w:val="0B354AFA"/>
    <w:rsid w:val="0C711B61"/>
    <w:rsid w:val="0E63175A"/>
    <w:rsid w:val="0E733A24"/>
    <w:rsid w:val="0FA67D74"/>
    <w:rsid w:val="10702130"/>
    <w:rsid w:val="10A36062"/>
    <w:rsid w:val="10C8622C"/>
    <w:rsid w:val="119500A0"/>
    <w:rsid w:val="11FD7079"/>
    <w:rsid w:val="13767A5D"/>
    <w:rsid w:val="138C102F"/>
    <w:rsid w:val="14074B59"/>
    <w:rsid w:val="1537321C"/>
    <w:rsid w:val="153D4CD7"/>
    <w:rsid w:val="15A72150"/>
    <w:rsid w:val="161E11BC"/>
    <w:rsid w:val="16D276A1"/>
    <w:rsid w:val="17136A14"/>
    <w:rsid w:val="171F1A95"/>
    <w:rsid w:val="180B10BC"/>
    <w:rsid w:val="18445475"/>
    <w:rsid w:val="18845183"/>
    <w:rsid w:val="18BF3C55"/>
    <w:rsid w:val="19940409"/>
    <w:rsid w:val="1A5E5154"/>
    <w:rsid w:val="1B2B55D1"/>
    <w:rsid w:val="1B4F3C69"/>
    <w:rsid w:val="1B7E7DF7"/>
    <w:rsid w:val="1B8429D5"/>
    <w:rsid w:val="1C6665F2"/>
    <w:rsid w:val="1EC71AB5"/>
    <w:rsid w:val="1F8310C6"/>
    <w:rsid w:val="1FA63478"/>
    <w:rsid w:val="1FA94D17"/>
    <w:rsid w:val="20716C85"/>
    <w:rsid w:val="24BF3B68"/>
    <w:rsid w:val="251D3512"/>
    <w:rsid w:val="25AE12D9"/>
    <w:rsid w:val="27E5759F"/>
    <w:rsid w:val="280451E0"/>
    <w:rsid w:val="28093C65"/>
    <w:rsid w:val="2A273408"/>
    <w:rsid w:val="2BC5737C"/>
    <w:rsid w:val="2C7C5EDD"/>
    <w:rsid w:val="2D3B5B48"/>
    <w:rsid w:val="2E1F6B96"/>
    <w:rsid w:val="2E8E45A1"/>
    <w:rsid w:val="2F2E7A55"/>
    <w:rsid w:val="30063EE1"/>
    <w:rsid w:val="3049232A"/>
    <w:rsid w:val="319F53A2"/>
    <w:rsid w:val="31BC6B2B"/>
    <w:rsid w:val="325B0A4C"/>
    <w:rsid w:val="33721193"/>
    <w:rsid w:val="337E678E"/>
    <w:rsid w:val="340500A3"/>
    <w:rsid w:val="3478229F"/>
    <w:rsid w:val="35F745D6"/>
    <w:rsid w:val="36016B7B"/>
    <w:rsid w:val="37686C17"/>
    <w:rsid w:val="37D06A81"/>
    <w:rsid w:val="37F012DD"/>
    <w:rsid w:val="38301DBE"/>
    <w:rsid w:val="38641C50"/>
    <w:rsid w:val="38AF73EA"/>
    <w:rsid w:val="38F372D7"/>
    <w:rsid w:val="39F350B4"/>
    <w:rsid w:val="3AAB598F"/>
    <w:rsid w:val="3B1F2605"/>
    <w:rsid w:val="3BBA232E"/>
    <w:rsid w:val="3C885F88"/>
    <w:rsid w:val="3CF4186F"/>
    <w:rsid w:val="3D644C0E"/>
    <w:rsid w:val="3F782328"/>
    <w:rsid w:val="405451D7"/>
    <w:rsid w:val="40642868"/>
    <w:rsid w:val="40776A3F"/>
    <w:rsid w:val="41CC2DBB"/>
    <w:rsid w:val="43140575"/>
    <w:rsid w:val="437764B0"/>
    <w:rsid w:val="438E7C66"/>
    <w:rsid w:val="44421112"/>
    <w:rsid w:val="44464016"/>
    <w:rsid w:val="4465410B"/>
    <w:rsid w:val="448243AB"/>
    <w:rsid w:val="44F90A89"/>
    <w:rsid w:val="4521777E"/>
    <w:rsid w:val="45317BCE"/>
    <w:rsid w:val="45C25741"/>
    <w:rsid w:val="46724F2F"/>
    <w:rsid w:val="46737CA9"/>
    <w:rsid w:val="46BD2B0D"/>
    <w:rsid w:val="471952E9"/>
    <w:rsid w:val="47F03878"/>
    <w:rsid w:val="49325BF9"/>
    <w:rsid w:val="49425710"/>
    <w:rsid w:val="4B5F673A"/>
    <w:rsid w:val="4B8D6B91"/>
    <w:rsid w:val="4BAB48A6"/>
    <w:rsid w:val="4C255EE1"/>
    <w:rsid w:val="4D19766B"/>
    <w:rsid w:val="4DAE7818"/>
    <w:rsid w:val="4E8056AB"/>
    <w:rsid w:val="4F5935B7"/>
    <w:rsid w:val="50860E67"/>
    <w:rsid w:val="511264FA"/>
    <w:rsid w:val="51200A2D"/>
    <w:rsid w:val="513D513B"/>
    <w:rsid w:val="51F83758"/>
    <w:rsid w:val="52516C94"/>
    <w:rsid w:val="52D60D2E"/>
    <w:rsid w:val="531A3C68"/>
    <w:rsid w:val="541A5CB0"/>
    <w:rsid w:val="5571253B"/>
    <w:rsid w:val="55C73393"/>
    <w:rsid w:val="56701B0F"/>
    <w:rsid w:val="56813D1C"/>
    <w:rsid w:val="57C3726B"/>
    <w:rsid w:val="58404F46"/>
    <w:rsid w:val="588E4FEE"/>
    <w:rsid w:val="598C3104"/>
    <w:rsid w:val="59D06D8E"/>
    <w:rsid w:val="5A68536B"/>
    <w:rsid w:val="5B055AC7"/>
    <w:rsid w:val="5BAE65A3"/>
    <w:rsid w:val="5BF62AB6"/>
    <w:rsid w:val="5D1A4582"/>
    <w:rsid w:val="5D5C4B9B"/>
    <w:rsid w:val="5D63417B"/>
    <w:rsid w:val="5E59732C"/>
    <w:rsid w:val="5E6615F0"/>
    <w:rsid w:val="5EB91099"/>
    <w:rsid w:val="609537BC"/>
    <w:rsid w:val="61244ACF"/>
    <w:rsid w:val="63032F4E"/>
    <w:rsid w:val="630F26B0"/>
    <w:rsid w:val="644A30B6"/>
    <w:rsid w:val="65506306"/>
    <w:rsid w:val="65657A8A"/>
    <w:rsid w:val="65B01354"/>
    <w:rsid w:val="661A1A97"/>
    <w:rsid w:val="674D6D61"/>
    <w:rsid w:val="676A158C"/>
    <w:rsid w:val="68943F59"/>
    <w:rsid w:val="68C73DE6"/>
    <w:rsid w:val="69DB27B6"/>
    <w:rsid w:val="6ADC731B"/>
    <w:rsid w:val="6ADF6E0B"/>
    <w:rsid w:val="6B3410B7"/>
    <w:rsid w:val="6B5B2936"/>
    <w:rsid w:val="6BF40694"/>
    <w:rsid w:val="6C5F1FB2"/>
    <w:rsid w:val="6D757091"/>
    <w:rsid w:val="6E3A0F28"/>
    <w:rsid w:val="6ED547AD"/>
    <w:rsid w:val="6EE36ECA"/>
    <w:rsid w:val="6EEF1D13"/>
    <w:rsid w:val="6F173018"/>
    <w:rsid w:val="6F2D45E9"/>
    <w:rsid w:val="6F5E0C47"/>
    <w:rsid w:val="6FE74798"/>
    <w:rsid w:val="6FED3D79"/>
    <w:rsid w:val="70587444"/>
    <w:rsid w:val="70F42B51"/>
    <w:rsid w:val="716871DC"/>
    <w:rsid w:val="717402AD"/>
    <w:rsid w:val="71B608C6"/>
    <w:rsid w:val="727F33AE"/>
    <w:rsid w:val="72C62D8B"/>
    <w:rsid w:val="73971ED2"/>
    <w:rsid w:val="74212243"/>
    <w:rsid w:val="74C078EA"/>
    <w:rsid w:val="76AA29C3"/>
    <w:rsid w:val="76B03803"/>
    <w:rsid w:val="77147E3D"/>
    <w:rsid w:val="77C836CF"/>
    <w:rsid w:val="781C24E2"/>
    <w:rsid w:val="7855353D"/>
    <w:rsid w:val="789E522D"/>
    <w:rsid w:val="79A87D37"/>
    <w:rsid w:val="79EB757B"/>
    <w:rsid w:val="7B0F7299"/>
    <w:rsid w:val="7B7F61CD"/>
    <w:rsid w:val="7BA23C69"/>
    <w:rsid w:val="7BDD7AD8"/>
    <w:rsid w:val="7BF91BED"/>
    <w:rsid w:val="7CF91FAF"/>
    <w:rsid w:val="7DAE0FEB"/>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link w:val="28"/>
    <w:qFormat/>
    <w:uiPriority w:val="9"/>
    <w:pPr>
      <w:keepNext/>
      <w:keepLines/>
      <w:spacing w:line="360" w:lineRule="auto"/>
      <w:outlineLvl w:val="0"/>
    </w:pPr>
    <w:rPr>
      <w:b/>
      <w:kern w:val="44"/>
      <w:sz w:val="32"/>
    </w:rPr>
  </w:style>
  <w:style w:type="paragraph" w:styleId="4">
    <w:name w:val="heading 2"/>
    <w:basedOn w:val="3"/>
    <w:next w:val="5"/>
    <w:link w:val="31"/>
    <w:unhideWhenUsed/>
    <w:qFormat/>
    <w:uiPriority w:val="0"/>
    <w:pPr>
      <w:keepNext/>
      <w:keepLines/>
      <w:spacing w:before="260" w:after="260" w:line="416" w:lineRule="auto"/>
      <w:outlineLvl w:val="1"/>
    </w:pPr>
    <w:rPr>
      <w:rFonts w:ascii="Cambria" w:hAnsi="Cambria"/>
      <w:sz w:val="32"/>
      <w:szCs w:val="32"/>
    </w:rPr>
  </w:style>
  <w:style w:type="paragraph" w:styleId="3">
    <w:name w:val="heading 3"/>
    <w:basedOn w:val="1"/>
    <w:next w:val="1"/>
    <w:link w:val="34"/>
    <w:unhideWhenUsed/>
    <w:qFormat/>
    <w:uiPriority w:val="9"/>
    <w:pPr>
      <w:keepNext/>
      <w:keepLines/>
      <w:spacing w:before="260" w:after="260" w:line="416" w:lineRule="auto"/>
      <w:outlineLvl w:val="2"/>
    </w:pPr>
    <w:rPr>
      <w:sz w:val="32"/>
      <w:szCs w:val="32"/>
    </w:rPr>
  </w:style>
  <w:style w:type="paragraph" w:styleId="5">
    <w:name w:val="heading 4"/>
    <w:basedOn w:val="1"/>
    <w:next w:val="1"/>
    <w:link w:val="3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qFormat/>
    <w:uiPriority w:val="0"/>
    <w:pPr>
      <w:adjustRightInd w:val="0"/>
      <w:spacing w:line="360" w:lineRule="atLeast"/>
      <w:ind w:firstLine="420"/>
      <w:jc w:val="left"/>
      <w:textAlignment w:val="baseline"/>
    </w:pPr>
    <w:rPr>
      <w:kern w:val="0"/>
      <w:sz w:val="24"/>
    </w:rPr>
  </w:style>
  <w:style w:type="paragraph" w:styleId="8">
    <w:name w:val="annotation text"/>
    <w:basedOn w:val="1"/>
    <w:next w:val="9"/>
    <w:link w:val="29"/>
    <w:unhideWhenUsed/>
    <w:qFormat/>
    <w:uiPriority w:val="99"/>
    <w:pPr>
      <w:jc w:val="left"/>
    </w:pPr>
  </w:style>
  <w:style w:type="paragraph" w:styleId="9">
    <w:name w:val="toc 5"/>
    <w:basedOn w:val="1"/>
    <w:next w:val="1"/>
    <w:semiHidden/>
    <w:qFormat/>
    <w:uiPriority w:val="0"/>
    <w:pPr>
      <w:ind w:left="840"/>
      <w:jc w:val="left"/>
    </w:pPr>
    <w:rPr>
      <w:szCs w:val="21"/>
    </w:rPr>
  </w:style>
  <w:style w:type="paragraph" w:styleId="10">
    <w:name w:val="Body Text"/>
    <w:basedOn w:val="1"/>
    <w:link w:val="36"/>
    <w:semiHidden/>
    <w:unhideWhenUsed/>
    <w:qFormat/>
    <w:uiPriority w:val="99"/>
    <w:pPr>
      <w:spacing w:after="120"/>
    </w:pPr>
    <w:rPr>
      <w:rFonts w:asciiTheme="minorHAnsi" w:hAnsiTheme="minorHAnsi" w:eastAsiaTheme="minorEastAsia" w:cstheme="minorBidi"/>
      <w:szCs w:val="24"/>
    </w:rPr>
  </w:style>
  <w:style w:type="paragraph" w:styleId="11">
    <w:name w:val="Body Text Indent"/>
    <w:basedOn w:val="1"/>
    <w:qFormat/>
    <w:uiPriority w:val="0"/>
    <w:pPr>
      <w:spacing w:line="360" w:lineRule="auto"/>
      <w:ind w:firstLine="420" w:firstLineChars="200"/>
    </w:pPr>
  </w:style>
  <w:style w:type="paragraph" w:styleId="12">
    <w:name w:val="index 4"/>
    <w:basedOn w:val="1"/>
    <w:next w:val="1"/>
    <w:semiHidden/>
    <w:qFormat/>
    <w:uiPriority w:val="0"/>
    <w:pPr>
      <w:ind w:left="1260"/>
    </w:pPr>
  </w:style>
  <w:style w:type="paragraph" w:styleId="13">
    <w:name w:val="Balloon Text"/>
    <w:basedOn w:val="1"/>
    <w:link w:val="30"/>
    <w:semiHidden/>
    <w:unhideWhenUsed/>
    <w:qFormat/>
    <w:uiPriority w:val="99"/>
    <w:rPr>
      <w:sz w:val="18"/>
      <w:szCs w:val="18"/>
    </w:rPr>
  </w:style>
  <w:style w:type="paragraph" w:styleId="14">
    <w:name w:val="footer"/>
    <w:basedOn w:val="1"/>
    <w:link w:val="27"/>
    <w:unhideWhenUsed/>
    <w:qFormat/>
    <w:uiPriority w:val="0"/>
    <w:pPr>
      <w:tabs>
        <w:tab w:val="center" w:pos="4153"/>
        <w:tab w:val="right" w:pos="8306"/>
      </w:tabs>
      <w:snapToGrid w:val="0"/>
      <w:jc w:val="left"/>
    </w:pPr>
    <w:rPr>
      <w:sz w:val="18"/>
      <w:szCs w:val="18"/>
    </w:rPr>
  </w:style>
  <w:style w:type="paragraph" w:styleId="15">
    <w:name w:val="header"/>
    <w:basedOn w:val="1"/>
    <w:link w:val="26"/>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360" w:lineRule="auto"/>
    </w:pPr>
    <w:rPr>
      <w:sz w:val="24"/>
    </w:rPr>
  </w:style>
  <w:style w:type="paragraph" w:styleId="17">
    <w:name w:val="Normal (Web)"/>
    <w:basedOn w:val="1"/>
    <w:qFormat/>
    <w:uiPriority w:val="99"/>
    <w:pPr>
      <w:spacing w:before="0" w:beforeAutospacing="1" w:after="0" w:afterAutospacing="1"/>
      <w:ind w:left="0" w:right="0"/>
      <w:jc w:val="left"/>
    </w:pPr>
    <w:rPr>
      <w:kern w:val="0"/>
      <w:sz w:val="24"/>
      <w:lang w:val="en-US" w:eastAsia="zh-CN" w:bidi="ar"/>
    </w:rPr>
  </w:style>
  <w:style w:type="paragraph" w:styleId="18">
    <w:name w:val="Body Text First Indent 2"/>
    <w:basedOn w:val="11"/>
    <w:qFormat/>
    <w:uiPriority w:val="0"/>
    <w:rPr>
      <w:rFonts w:ascii="Calibri" w:hAnsi="Calibri"/>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unhideWhenUsed/>
    <w:qFormat/>
    <w:uiPriority w:val="99"/>
  </w:style>
  <w:style w:type="character" w:styleId="23">
    <w:name w:val="annotation reference"/>
    <w:qFormat/>
    <w:uiPriority w:val="0"/>
    <w:rPr>
      <w:sz w:val="21"/>
      <w:szCs w:val="21"/>
    </w:rPr>
  </w:style>
  <w:style w:type="paragraph" w:customStyle="1" w:styleId="2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5">
    <w:name w:val="List Paragraph"/>
    <w:basedOn w:val="1"/>
    <w:link w:val="33"/>
    <w:qFormat/>
    <w:uiPriority w:val="34"/>
    <w:pPr>
      <w:ind w:firstLine="420" w:firstLineChars="200"/>
    </w:pPr>
  </w:style>
  <w:style w:type="character" w:customStyle="1" w:styleId="26">
    <w:name w:val="页眉 字符"/>
    <w:basedOn w:val="21"/>
    <w:link w:val="15"/>
    <w:qFormat/>
    <w:uiPriority w:val="99"/>
    <w:rPr>
      <w:sz w:val="18"/>
      <w:szCs w:val="18"/>
    </w:rPr>
  </w:style>
  <w:style w:type="character" w:customStyle="1" w:styleId="27">
    <w:name w:val="页脚 字符"/>
    <w:basedOn w:val="21"/>
    <w:link w:val="14"/>
    <w:qFormat/>
    <w:uiPriority w:val="99"/>
    <w:rPr>
      <w:sz w:val="18"/>
      <w:szCs w:val="18"/>
    </w:rPr>
  </w:style>
  <w:style w:type="character" w:customStyle="1" w:styleId="28">
    <w:name w:val="标题 1 字符"/>
    <w:basedOn w:val="21"/>
    <w:link w:val="2"/>
    <w:qFormat/>
    <w:uiPriority w:val="9"/>
    <w:rPr>
      <w:rFonts w:ascii="Times New Roman" w:hAnsi="Times New Roman" w:eastAsia="宋体" w:cs="Times New Roman"/>
      <w:b/>
      <w:kern w:val="44"/>
      <w:sz w:val="32"/>
      <w:szCs w:val="20"/>
    </w:rPr>
  </w:style>
  <w:style w:type="character" w:customStyle="1" w:styleId="29">
    <w:name w:val="批注文字 字符"/>
    <w:basedOn w:val="21"/>
    <w:link w:val="8"/>
    <w:qFormat/>
    <w:uiPriority w:val="99"/>
    <w:rPr>
      <w:rFonts w:ascii="Times New Roman" w:hAnsi="Times New Roman" w:eastAsia="宋体" w:cs="Times New Roman"/>
      <w:szCs w:val="20"/>
    </w:rPr>
  </w:style>
  <w:style w:type="character" w:customStyle="1" w:styleId="30">
    <w:name w:val="批注框文本 字符"/>
    <w:basedOn w:val="21"/>
    <w:link w:val="13"/>
    <w:semiHidden/>
    <w:qFormat/>
    <w:uiPriority w:val="99"/>
    <w:rPr>
      <w:rFonts w:ascii="Times New Roman" w:hAnsi="Times New Roman" w:eastAsia="宋体" w:cs="Times New Roman"/>
      <w:sz w:val="18"/>
      <w:szCs w:val="18"/>
    </w:rPr>
  </w:style>
  <w:style w:type="character" w:customStyle="1" w:styleId="31">
    <w:name w:val="标题 2 字符"/>
    <w:basedOn w:val="21"/>
    <w:link w:val="4"/>
    <w:qFormat/>
    <w:uiPriority w:val="0"/>
    <w:rPr>
      <w:rFonts w:ascii="Cambria" w:hAnsi="Cambria" w:eastAsia="宋体" w:cs="Times New Roman"/>
      <w:b/>
      <w:bCs/>
      <w:sz w:val="32"/>
      <w:szCs w:val="32"/>
    </w:rPr>
  </w:style>
  <w:style w:type="paragraph" w:customStyle="1" w:styleId="32">
    <w:name w:val="列出段落1"/>
    <w:basedOn w:val="1"/>
    <w:qFormat/>
    <w:uiPriority w:val="34"/>
    <w:pPr>
      <w:ind w:firstLine="420" w:firstLineChars="200"/>
    </w:pPr>
    <w:rPr>
      <w:sz w:val="24"/>
      <w:szCs w:val="24"/>
    </w:rPr>
  </w:style>
  <w:style w:type="character" w:customStyle="1" w:styleId="33">
    <w:name w:val="列表段落 字符"/>
    <w:link w:val="25"/>
    <w:qFormat/>
    <w:uiPriority w:val="34"/>
    <w:rPr>
      <w:rFonts w:ascii="Times New Roman" w:hAnsi="Times New Roman" w:eastAsia="宋体" w:cs="Times New Roman"/>
      <w:szCs w:val="20"/>
    </w:rPr>
  </w:style>
  <w:style w:type="character" w:customStyle="1" w:styleId="34">
    <w:name w:val="标题 3 字符"/>
    <w:basedOn w:val="21"/>
    <w:link w:val="3"/>
    <w:qFormat/>
    <w:uiPriority w:val="9"/>
    <w:rPr>
      <w:rFonts w:ascii="Times New Roman" w:hAnsi="Times New Roman" w:eastAsia="宋体" w:cs="Times New Roman"/>
      <w:b/>
      <w:bCs/>
      <w:sz w:val="32"/>
      <w:szCs w:val="32"/>
    </w:rPr>
  </w:style>
  <w:style w:type="character" w:customStyle="1" w:styleId="35">
    <w:name w:val="标题 4 字符"/>
    <w:basedOn w:val="21"/>
    <w:link w:val="5"/>
    <w:semiHidden/>
    <w:qFormat/>
    <w:uiPriority w:val="9"/>
    <w:rPr>
      <w:rFonts w:asciiTheme="majorHAnsi" w:hAnsiTheme="majorHAnsi" w:eastAsiaTheme="majorEastAsia" w:cstheme="majorBidi"/>
      <w:b/>
      <w:bCs/>
      <w:kern w:val="2"/>
      <w:sz w:val="28"/>
      <w:szCs w:val="28"/>
    </w:rPr>
  </w:style>
  <w:style w:type="character" w:customStyle="1" w:styleId="36">
    <w:name w:val="正文文本 字符"/>
    <w:basedOn w:val="21"/>
    <w:link w:val="10"/>
    <w:semiHidden/>
    <w:qFormat/>
    <w:uiPriority w:val="99"/>
    <w:rPr>
      <w:rFonts w:asciiTheme="minorHAnsi" w:hAnsiTheme="minorHAnsi" w:eastAsiaTheme="minorEastAsia" w:cstheme="minorBidi"/>
      <w:kern w:val="2"/>
      <w:sz w:val="21"/>
      <w:szCs w:val="24"/>
    </w:rPr>
  </w:style>
  <w:style w:type="paragraph" w:customStyle="1" w:styleId="37">
    <w:name w:val="标题1"/>
    <w:basedOn w:val="1"/>
    <w:qFormat/>
    <w:uiPriority w:val="0"/>
    <w:pPr>
      <w:widowControl/>
      <w:spacing w:line="360" w:lineRule="auto"/>
      <w:jc w:val="center"/>
    </w:pPr>
    <w:rPr>
      <w:rFonts w:ascii="黑体" w:eastAsia="黑体"/>
      <w:b/>
      <w:kern w:val="0"/>
      <w:sz w:val="44"/>
      <w:szCs w:val="20"/>
    </w:rPr>
  </w:style>
  <w:style w:type="paragraph" w:customStyle="1" w:styleId="38">
    <w:name w:val="列出段落2"/>
    <w:basedOn w:val="1"/>
    <w:qFormat/>
    <w:uiPriority w:val="34"/>
    <w:pPr>
      <w:ind w:firstLine="420" w:firstLineChars="200"/>
    </w:pPr>
    <w:rPr>
      <w:rFonts w:ascii="等线" w:hAnsi="等线" w:eastAsia="等线"/>
      <w:szCs w:val="22"/>
    </w:rPr>
  </w:style>
  <w:style w:type="paragraph" w:customStyle="1" w:styleId="39">
    <w:name w:val="表格文字"/>
    <w:basedOn w:val="1"/>
    <w:qFormat/>
    <w:uiPriority w:val="0"/>
    <w:pPr>
      <w:spacing w:before="25" w:after="25"/>
      <w:jc w:val="left"/>
    </w:pPr>
    <w:rPr>
      <w:bCs/>
      <w:spacing w:val="10"/>
      <w:kern w:val="0"/>
      <w:sz w:val="24"/>
    </w:rPr>
  </w:style>
  <w:style w:type="paragraph" w:customStyle="1" w:styleId="40">
    <w:name w:val="Table Text"/>
    <w:basedOn w:val="1"/>
    <w:semiHidden/>
    <w:qFormat/>
    <w:uiPriority w:val="0"/>
    <w:rPr>
      <w:rFonts w:ascii="宋体" w:hAnsi="宋体" w:cs="宋体"/>
      <w:sz w:val="20"/>
      <w:lang w:eastAsia="en-US"/>
    </w:rPr>
  </w:style>
  <w:style w:type="paragraph" w:styleId="41">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HaoXiTong.Com</Company>
  <Pages>4</Pages>
  <Words>1186</Words>
  <Characters>1237</Characters>
  <Lines>31</Lines>
  <Paragraphs>8</Paragraphs>
  <TotalTime>3</TotalTime>
  <ScaleCrop>false</ScaleCrop>
  <LinksUpToDate>false</LinksUpToDate>
  <CharactersWithSpaces>1241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2019-04-08T03:41:00Z</dcterms:created>
  <dc:creator>PC</dc:creator>
  <cp:lastModifiedBy>如意</cp:lastModifiedBy>
  <dcterms:modified xsi:type="dcterms:W3CDTF">2026-09-14T03:33:41Z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eyJoZGlkIjoiODg4YmUyZjVkMTRhYjZhNTA5MTQ0YjE5NThhODEwNjUiLCJ1c2VySWQiOiIxMDE4NjkxMTQ2In0=</vt:lpwstr>
  </property>
  <property fmtid="{D5CDD505-2E9C-101B-9397-08002B2CF9AE}" pid="4" name="ICV">
    <vt:lpwstr>32C6E452B8E34AA49E482D3D7E037425_13</vt:lpwstr>
  </property>
</Properties>
</file>