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C462DD">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仿宋_GB2312" w:eastAsia="仿宋_GB2312" w:cs="仿宋_GB2312"/>
          <w:b w:val="0"/>
          <w:bCs/>
          <w:color w:val="000000"/>
          <w:sz w:val="32"/>
          <w:szCs w:val="32"/>
          <w:highlight w:val="none"/>
          <w:lang w:val="en-US" w:eastAsia="zh-CN"/>
        </w:rPr>
      </w:pPr>
      <w:r>
        <w:rPr>
          <w:rFonts w:hint="eastAsia" w:ascii="宋体" w:hAnsi="宋体" w:eastAsia="宋体" w:cs="宋体"/>
          <w:sz w:val="44"/>
          <w:szCs w:val="44"/>
          <w:lang w:val="en-US" w:eastAsia="zh-CN"/>
        </w:rPr>
        <w:t>婴儿床</w:t>
      </w:r>
      <w:r>
        <w:rPr>
          <w:rFonts w:hint="eastAsia" w:ascii="宋体" w:hAnsi="宋体" w:eastAsia="宋体" w:cs="宋体"/>
          <w:sz w:val="44"/>
          <w:szCs w:val="44"/>
          <w:highlight w:val="none"/>
          <w:cs w:val="0"/>
          <w:lang w:val="en-US" w:eastAsia="zh-CN"/>
        </w:rPr>
        <w:t>（含锐器盒安装架）</w:t>
      </w:r>
    </w:p>
    <w:p w14:paraId="37B5DD36">
      <w:pPr>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p>
    <w:p w14:paraId="70187E1A">
      <w:pPr>
        <w:keepNext w:val="0"/>
        <w:keepLines w:val="0"/>
        <w:pageBreakBefore w:val="0"/>
        <w:widowControl w:val="0"/>
        <w:kinsoku/>
        <w:wordWrap/>
        <w:overflowPunct/>
        <w:topLinePunct w:val="0"/>
        <w:bidi w:val="0"/>
        <w:snapToGrid/>
        <w:ind w:firstLine="643" w:firstLineChars="200"/>
        <w:textAlignment w:val="auto"/>
        <w:rPr>
          <w:rFonts w:hint="default" w:ascii="楷体_GB2312" w:hAnsi="楷体_GB2312" w:eastAsia="楷体_GB2312" w:cs="楷体_GB2312"/>
          <w:b/>
          <w:bCs w:val="0"/>
          <w:color w:val="000000"/>
          <w:sz w:val="32"/>
          <w:szCs w:val="32"/>
          <w:lang w:val="en-US" w:eastAsia="zh-CN"/>
        </w:rPr>
      </w:pPr>
      <w:r>
        <w:rPr>
          <w:rFonts w:hint="eastAsia" w:ascii="楷体_GB2312" w:hAnsi="楷体_GB2312" w:eastAsia="楷体_GB2312" w:cs="楷体_GB2312"/>
          <w:b/>
          <w:bCs w:val="0"/>
          <w:color w:val="000000"/>
          <w:sz w:val="32"/>
          <w:szCs w:val="32"/>
          <w:lang w:val="en-US" w:eastAsia="zh-CN"/>
        </w:rPr>
        <w:t>一、项目概况</w:t>
      </w:r>
    </w:p>
    <w:p w14:paraId="681B50D2">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 w:val="0"/>
          <w:bCs/>
          <w:color w:val="000000"/>
          <w:sz w:val="32"/>
          <w:szCs w:val="32"/>
          <w:lang w:val="en-US" w:eastAsia="zh-CN"/>
        </w:rPr>
        <w:t>1.用途：婴儿床用于病房新生儿的日常安置</w:t>
      </w:r>
      <w:r>
        <w:rPr>
          <w:rFonts w:hint="eastAsia" w:ascii="仿宋_GB2312" w:hAnsi="仿宋_GB2312" w:eastAsia="仿宋_GB2312" w:cs="仿宋_GB2312"/>
          <w:bCs/>
          <w:color w:val="000000"/>
          <w:sz w:val="32"/>
          <w:szCs w:val="32"/>
        </w:rPr>
        <w:t>。</w:t>
      </w:r>
    </w:p>
    <w:p w14:paraId="54C8DB4A">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★2.本项目不接受进口产品投标。</w:t>
      </w:r>
    </w:p>
    <w:p w14:paraId="42B5EA2C">
      <w:pPr>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r>
        <w:rPr>
          <w:rFonts w:hint="eastAsia" w:ascii="楷体_GB2312" w:hAnsi="楷体_GB2312" w:eastAsia="楷体_GB2312" w:cs="楷体_GB2312"/>
          <w:b/>
          <w:bCs w:val="0"/>
          <w:color w:val="000000"/>
          <w:sz w:val="32"/>
          <w:szCs w:val="32"/>
          <w:lang w:val="en-US" w:eastAsia="zh-CN"/>
        </w:rPr>
        <w:t>二、主要技术及系统要求</w:t>
      </w:r>
    </w:p>
    <w:p w14:paraId="1909B6C4">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1.规格：床体长≥825mm，宽≥530mm，高≤910mm，全床重量≤18kg；睡盆长≥830mm，宽≥490mm，高≤250mm； </w:t>
      </w:r>
    </w:p>
    <w:p w14:paraId="497C3520">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2.床体采用优质钢材，采用（电泳＋粉末）复式喷涂，经过耐挤压性、耐重物落下性、耐开水性、耐盐水喷雾性（盐雾≥500小时）、耐湿性等相关测试；</w:t>
      </w:r>
      <w:r>
        <w:rPr>
          <w:rFonts w:hint="eastAsia" w:ascii="仿宋_GB2312" w:hAnsi="仿宋_GB2312" w:eastAsia="仿宋_GB2312" w:cs="仿宋_GB2312"/>
          <w:b/>
          <w:bCs w:val="0"/>
          <w:color w:val="000000"/>
          <w:sz w:val="32"/>
          <w:szCs w:val="32"/>
          <w:lang w:val="en-US" w:eastAsia="zh-CN"/>
        </w:rPr>
        <w:t>（提供彩页或说明书证明）</w:t>
      </w:r>
      <w:r>
        <w:rPr>
          <w:rFonts w:hint="eastAsia" w:ascii="仿宋_GB2312" w:hAnsi="仿宋_GB2312" w:eastAsia="仿宋_GB2312" w:cs="仿宋_GB2312"/>
          <w:bCs/>
          <w:color w:val="000000"/>
          <w:sz w:val="32"/>
          <w:szCs w:val="32"/>
          <w:lang w:val="en-US" w:eastAsia="zh-CN"/>
        </w:rPr>
        <w:t xml:space="preserve">； </w:t>
      </w:r>
    </w:p>
    <w:p w14:paraId="3CC34037">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
          <w:bCs w:val="0"/>
          <w:color w:val="000000"/>
          <w:sz w:val="32"/>
          <w:szCs w:val="32"/>
          <w:lang w:val="en-US" w:eastAsia="zh-CN"/>
        </w:rPr>
      </w:pPr>
      <w:r>
        <w:rPr>
          <w:rFonts w:hint="eastAsia" w:ascii="仿宋_GB2312" w:hAnsi="仿宋_GB2312" w:eastAsia="仿宋_GB2312" w:cs="仿宋_GB2312"/>
          <w:bCs/>
          <w:color w:val="000000"/>
          <w:sz w:val="32"/>
          <w:szCs w:val="32"/>
          <w:lang w:val="en-US" w:eastAsia="zh-CN"/>
        </w:rPr>
        <w:t>3. 直径≥100mm的双面树脂脚轮，对角刹车；</w:t>
      </w:r>
      <w:r>
        <w:rPr>
          <w:rFonts w:hint="eastAsia" w:ascii="仿宋_GB2312" w:hAnsi="仿宋_GB2312" w:eastAsia="仿宋_GB2312" w:cs="仿宋_GB2312"/>
          <w:b/>
          <w:bCs w:val="0"/>
          <w:color w:val="000000"/>
          <w:sz w:val="32"/>
          <w:szCs w:val="32"/>
          <w:lang w:val="en-US" w:eastAsia="zh-CN"/>
        </w:rPr>
        <w:t xml:space="preserve">（提供实物测量图片） </w:t>
      </w:r>
    </w:p>
    <w:p w14:paraId="6DB4FE8B">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4.床框四角为圆弧形设计，床垫须防水、抗菌、阻燃、无毒； </w:t>
      </w:r>
    </w:p>
    <w:p w14:paraId="458F542A">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5.采用优质气泵弹簧，有角度调节手柄，可以使睡盆在0°～12°之间进行无极角度调节；睡盆采用全透明食品级ABS材料，环保、无毒、抗腐蚀； </w:t>
      </w:r>
    </w:p>
    <w:p w14:paraId="00AAA1BB">
      <w:pPr>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r>
        <w:rPr>
          <w:rFonts w:hint="eastAsia" w:ascii="黑体" w:hAnsi="黑体" w:eastAsia="黑体" w:cs="黑体"/>
          <w:b/>
          <w:bCs w:val="0"/>
          <w:color w:val="000000"/>
          <w:sz w:val="32"/>
          <w:szCs w:val="32"/>
          <w:lang w:val="en-US" w:eastAsia="zh-CN"/>
        </w:rPr>
        <w:t>★</w:t>
      </w:r>
      <w:r>
        <w:rPr>
          <w:rFonts w:hint="eastAsia" w:ascii="楷体_GB2312" w:hAnsi="楷体_GB2312" w:eastAsia="楷体_GB2312" w:cs="楷体_GB2312"/>
          <w:b/>
          <w:bCs w:val="0"/>
          <w:color w:val="000000"/>
          <w:sz w:val="32"/>
          <w:szCs w:val="32"/>
          <w:lang w:val="en-US" w:eastAsia="zh-CN"/>
        </w:rPr>
        <w:t>三、单台配置要求</w:t>
      </w:r>
    </w:p>
    <w:p w14:paraId="7A7B6999">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1.睡盆                  1 个 </w:t>
      </w:r>
    </w:p>
    <w:p w14:paraId="31D05559">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2.床架                  1 个</w:t>
      </w:r>
    </w:p>
    <w:p w14:paraId="3744F545">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3.床垫                  1 个 </w:t>
      </w:r>
    </w:p>
    <w:p w14:paraId="1CD85591">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4.气压弹簧              1 个 </w:t>
      </w:r>
    </w:p>
    <w:p w14:paraId="5FEC6C11">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5.杂物篮                1 个</w:t>
      </w:r>
    </w:p>
    <w:p w14:paraId="2318737D">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6.脚轮                  4 个</w:t>
      </w:r>
    </w:p>
    <w:p w14:paraId="3DC964B6">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7.中文说明书            1 套（另电子版1份）</w:t>
      </w:r>
    </w:p>
    <w:p w14:paraId="4CDEAFA5">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9.中文操作流程卡(过塑)  1 套</w:t>
      </w:r>
    </w:p>
    <w:p w14:paraId="0227F285">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10.中文维修手册         1 套（另电子版1份）</w:t>
      </w:r>
    </w:p>
    <w:p w14:paraId="49D25A6C">
      <w:pPr>
        <w:pStyle w:val="15"/>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r>
        <w:rPr>
          <w:rFonts w:hint="eastAsia" w:ascii="楷体_GB2312" w:hAnsi="楷体_GB2312" w:eastAsia="楷体_GB2312" w:cs="楷体_GB2312"/>
          <w:b/>
          <w:bCs w:val="0"/>
          <w:color w:val="000000"/>
          <w:sz w:val="32"/>
          <w:szCs w:val="32"/>
          <w:lang w:val="en-US" w:eastAsia="zh-CN"/>
        </w:rPr>
        <w:t>四、商务条款及其他要求</w:t>
      </w:r>
    </w:p>
    <w:p w14:paraId="4C22E17B">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（一）</w:t>
      </w:r>
      <w:r>
        <w:rPr>
          <w:rFonts w:hint="eastAsia" w:ascii="黑体" w:hAnsi="黑体" w:eastAsia="黑体" w:cs="黑体"/>
          <w:b/>
          <w:bCs w:val="0"/>
          <w:color w:val="000000"/>
          <w:sz w:val="32"/>
          <w:szCs w:val="32"/>
          <w:lang w:val="en-US" w:eastAsia="zh-CN"/>
        </w:rPr>
        <w:t>★</w:t>
      </w:r>
      <w:r>
        <w:rPr>
          <w:rFonts w:hint="default" w:ascii="仿宋_GB2312" w:hAnsi="仿宋_GB2312" w:eastAsia="仿宋_GB2312" w:cs="仿宋_GB2312"/>
          <w:bCs/>
          <w:color w:val="000000"/>
          <w:sz w:val="32"/>
          <w:szCs w:val="32"/>
          <w:lang w:val="en-US" w:eastAsia="zh-CN"/>
        </w:rPr>
        <w:t>交货日期：签订合同后，根据采购人实际需求数量分批送货，经采购人通知后30（天）日历日内交货。</w:t>
      </w:r>
    </w:p>
    <w:p w14:paraId="083153F5">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（二）</w:t>
      </w:r>
      <w:r>
        <w:rPr>
          <w:rFonts w:hint="default" w:ascii="仿宋_GB2312" w:hAnsi="仿宋_GB2312" w:eastAsia="仿宋_GB2312" w:cs="仿宋_GB2312"/>
          <w:bCs/>
          <w:color w:val="000000"/>
          <w:sz w:val="32"/>
          <w:szCs w:val="32"/>
          <w:lang w:val="en-US" w:eastAsia="zh-CN"/>
        </w:rPr>
        <w:t>交货地点：采购人指定地点。</w:t>
      </w:r>
    </w:p>
    <w:p w14:paraId="6432ADFC">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（三）</w:t>
      </w:r>
      <w:r>
        <w:rPr>
          <w:rFonts w:hint="default" w:ascii="仿宋_GB2312" w:hAnsi="仿宋_GB2312" w:eastAsia="仿宋_GB2312" w:cs="仿宋_GB2312"/>
          <w:bCs/>
          <w:color w:val="000000"/>
          <w:sz w:val="32"/>
          <w:szCs w:val="32"/>
          <w:lang w:val="en-US" w:eastAsia="zh-CN"/>
        </w:rPr>
        <w:t>报价：人民币报价</w:t>
      </w:r>
      <w:r>
        <w:rPr>
          <w:rFonts w:hint="eastAsia" w:ascii="仿宋_GB2312" w:hAnsi="仿宋_GB2312" w:eastAsia="仿宋_GB2312" w:cs="仿宋_GB2312"/>
          <w:bCs/>
          <w:color w:val="000000"/>
          <w:sz w:val="32"/>
          <w:szCs w:val="32"/>
          <w:lang w:val="en-US" w:eastAsia="zh-CN"/>
        </w:rPr>
        <w:t>；工地交货价</w:t>
      </w:r>
      <w:r>
        <w:rPr>
          <w:rFonts w:hint="default" w:ascii="仿宋_GB2312" w:hAnsi="仿宋_GB2312" w:eastAsia="仿宋_GB2312" w:cs="仿宋_GB2312"/>
          <w:bCs/>
          <w:color w:val="000000"/>
          <w:sz w:val="32"/>
          <w:szCs w:val="32"/>
          <w:lang w:val="en-US" w:eastAsia="zh-CN"/>
        </w:rPr>
        <w:t>。</w:t>
      </w:r>
    </w:p>
    <w:p w14:paraId="3246C944">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（四）</w:t>
      </w:r>
      <w:r>
        <w:rPr>
          <w:rFonts w:hint="default" w:ascii="仿宋_GB2312" w:hAnsi="仿宋_GB2312" w:eastAsia="仿宋_GB2312" w:cs="仿宋_GB2312"/>
          <w:bCs/>
          <w:color w:val="000000"/>
          <w:sz w:val="32"/>
          <w:szCs w:val="32"/>
          <w:lang w:val="en-US" w:eastAsia="zh-CN"/>
        </w:rPr>
        <w:t>付款条件：签订合同之日起两年内，中标人根据采购人需求数量分批送货，总数量不超过合同规定数量，采购人根据每次送货数量据实支付设备款</w:t>
      </w:r>
      <w:r>
        <w:rPr>
          <w:rFonts w:hint="eastAsia" w:ascii="仿宋_GB2312" w:hAnsi="仿宋_GB2312" w:eastAsia="仿宋_GB2312" w:cs="仿宋_GB2312"/>
          <w:bCs/>
          <w:color w:val="000000"/>
          <w:sz w:val="32"/>
          <w:szCs w:val="32"/>
          <w:lang w:val="en-US" w:eastAsia="zh-CN"/>
        </w:rPr>
        <w:t>。</w:t>
      </w:r>
    </w:p>
    <w:p w14:paraId="4F92872A">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（五）如有备品备件、消耗品、零配件，提供备品备件清单，提供消耗品优惠价格，提供零配件优惠价格。</w:t>
      </w:r>
    </w:p>
    <w:p w14:paraId="56C63815">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（六）★免费保修期内售后服务要求</w:t>
      </w:r>
    </w:p>
    <w:p w14:paraId="614AFF9B">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1.在免费保修期内，一旦发生质量问题，投标人保证在接到通知12小时内赶到现场进行修理或更换</w:t>
      </w:r>
      <w:r>
        <w:rPr>
          <w:rFonts w:hint="default" w:ascii="仿宋_GB2312" w:hAnsi="仿宋_GB2312" w:eastAsia="仿宋_GB2312" w:cs="仿宋_GB2312"/>
          <w:bCs/>
          <w:color w:val="000000"/>
          <w:sz w:val="32"/>
          <w:szCs w:val="32"/>
          <w:lang w:val="en-US" w:eastAsia="zh-CN"/>
        </w:rPr>
        <w:t>。</w:t>
      </w:r>
    </w:p>
    <w:p w14:paraId="0DDBB733">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lang w:val="en-US" w:eastAsia="zh-CN"/>
        </w:rPr>
        <w:t>2.对所提供的设备整机质保期（整机全保）：≥5年，保修期3年。质保期时间自最终验收合格并交付使用之日起计算，保修期自质保期满起计算</w:t>
      </w:r>
      <w:r>
        <w:rPr>
          <w:rFonts w:hint="default" w:ascii="仿宋_GB2312" w:hAnsi="仿宋_GB2312" w:eastAsia="仿宋_GB2312" w:cs="仿宋_GB2312"/>
          <w:bCs/>
          <w:color w:val="000000"/>
          <w:sz w:val="32"/>
          <w:szCs w:val="32"/>
          <w:highlight w:val="none"/>
          <w:lang w:val="en-US" w:eastAsia="zh-CN"/>
        </w:rPr>
        <w:t>。</w:t>
      </w:r>
    </w:p>
    <w:p w14:paraId="216DBBCA">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3.免费保修期（质保期）内，所有服务及配件全部免费。</w:t>
      </w:r>
    </w:p>
    <w:p w14:paraId="3FA98600">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4.保修期内，免费维修，用户只承担更换零备件的费用。</w:t>
      </w:r>
    </w:p>
    <w:p w14:paraId="16B9C59C">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5.投标人应提供全套、完整的书面技术资料，包括仪器说明书、操作手册、简单维修说明、图纸等</w:t>
      </w:r>
      <w:r>
        <w:rPr>
          <w:rFonts w:hint="default" w:ascii="仿宋_GB2312" w:hAnsi="仿宋_GB2312" w:eastAsia="仿宋_GB2312" w:cs="仿宋_GB2312"/>
          <w:bCs/>
          <w:color w:val="000000"/>
          <w:sz w:val="32"/>
          <w:szCs w:val="32"/>
          <w:highlight w:val="none"/>
          <w:lang w:val="en-US" w:eastAsia="zh-CN"/>
        </w:rPr>
        <w:t>。</w:t>
      </w:r>
    </w:p>
    <w:p w14:paraId="7FCF2AC3">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6.在质保期内，投标人须保证设备的开机率＞95%；若不能达到此开机率，将作以下处理：（1）90%＜开机率≤95%按一赔二延长质保期；（2）85%＜开机率≤90%按一赔五延长质保期；（3）开机率低于85%，供应商须无条件更换新机，并重新计算质保期，以及赔偿用户的直接经济损失和间接经济损失</w:t>
      </w:r>
      <w:r>
        <w:rPr>
          <w:rFonts w:hint="default" w:ascii="仿宋_GB2312" w:hAnsi="仿宋_GB2312" w:eastAsia="仿宋_GB2312" w:cs="仿宋_GB2312"/>
          <w:bCs/>
          <w:color w:val="000000"/>
          <w:sz w:val="32"/>
          <w:szCs w:val="32"/>
          <w:highlight w:val="none"/>
          <w:lang w:val="en-US" w:eastAsia="zh-CN"/>
        </w:rPr>
        <w:t>。</w:t>
      </w:r>
    </w:p>
    <w:p w14:paraId="6ADD804F">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（七）</w:t>
      </w:r>
      <w:r>
        <w:rPr>
          <w:rFonts w:hint="eastAsia" w:ascii="黑体" w:hAnsi="黑体" w:eastAsia="黑体" w:cs="黑体"/>
          <w:b/>
          <w:bCs w:val="0"/>
          <w:color w:val="000000"/>
          <w:sz w:val="32"/>
          <w:szCs w:val="32"/>
          <w:lang w:val="en-US" w:eastAsia="zh-CN"/>
        </w:rPr>
        <w:t>★</w:t>
      </w:r>
      <w:r>
        <w:rPr>
          <w:rFonts w:hint="eastAsia" w:ascii="仿宋_GB2312" w:hAnsi="仿宋_GB2312" w:eastAsia="仿宋_GB2312" w:cs="仿宋_GB2312"/>
          <w:bCs/>
          <w:color w:val="000000"/>
          <w:sz w:val="32"/>
          <w:szCs w:val="32"/>
          <w:highlight w:val="none"/>
          <w:lang w:val="en-US" w:eastAsia="zh-CN"/>
        </w:rPr>
        <w:t>免费保修期外售后服务要求</w:t>
      </w:r>
    </w:p>
    <w:p w14:paraId="18BF78E0">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highlight w:val="none"/>
          <w:lang w:val="en-US" w:eastAsia="zh-CN"/>
        </w:rPr>
        <w:t>1.由设备制造商提供售后服务，2小时内响应，12小时维修工程师到位，并在24小时内消除故障（不可抗力情况除外）。消耗品和零配件供应及时，特殊情况下可提供备用机</w:t>
      </w:r>
      <w:r>
        <w:rPr>
          <w:rFonts w:hint="default" w:ascii="仿宋_GB2312" w:hAnsi="仿宋_GB2312" w:eastAsia="仿宋_GB2312" w:cs="仿宋_GB2312"/>
          <w:bCs/>
          <w:color w:val="000000"/>
          <w:sz w:val="32"/>
          <w:szCs w:val="32"/>
          <w:lang w:val="en-US" w:eastAsia="zh-CN"/>
        </w:rPr>
        <w:t>。</w:t>
      </w:r>
    </w:p>
    <w:p w14:paraId="25C846C5">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2.投标时，供应商承诺保修期外，能及时为采购人提供备品备件、专用试剂及耗材。</w:t>
      </w:r>
    </w:p>
    <w:p w14:paraId="6FE4CD41">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（八）</w:t>
      </w:r>
      <w:r>
        <w:rPr>
          <w:rFonts w:hint="eastAsia" w:ascii="黑体" w:hAnsi="黑体" w:eastAsia="黑体" w:cs="黑体"/>
          <w:b/>
          <w:bCs w:val="0"/>
          <w:color w:val="000000"/>
          <w:sz w:val="32"/>
          <w:szCs w:val="32"/>
          <w:lang w:val="en-US" w:eastAsia="zh-CN"/>
        </w:rPr>
        <w:t>★</w:t>
      </w:r>
      <w:r>
        <w:rPr>
          <w:rFonts w:hint="eastAsia" w:ascii="仿宋_GB2312" w:hAnsi="仿宋_GB2312" w:eastAsia="仿宋_GB2312" w:cs="仿宋_GB2312"/>
          <w:bCs/>
          <w:color w:val="000000"/>
          <w:sz w:val="32"/>
          <w:szCs w:val="32"/>
          <w:lang w:val="en-US" w:eastAsia="zh-CN"/>
        </w:rPr>
        <w:t>其他服务要求</w:t>
      </w:r>
    </w:p>
    <w:p w14:paraId="1A5D56BE">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1.投标人须在签订合同之日起3天内向采购人提供设备的运行、安装、使用环境要求。</w:t>
      </w:r>
    </w:p>
    <w:p w14:paraId="7961C87C">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2.运输、安装按照仪器说明书要求。</w:t>
      </w:r>
    </w:p>
    <w:p w14:paraId="0E7F6954">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3.投标人应派专业技术人员免费对采购单位指定人员进行定期培训及指导，直至其完全掌握设备的基本故障处理技术。</w:t>
      </w:r>
    </w:p>
    <w:p w14:paraId="03F724E9">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4.现场培训：投标人应提供现场技术培训，保证使用人员正常操作设备的各种功能。</w:t>
      </w:r>
    </w:p>
    <w:p w14:paraId="22DFBEC9">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5.投标人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供应商承担全部责任。 </w:t>
      </w:r>
    </w:p>
    <w:p w14:paraId="66C91BBD">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6.采购人购买产品后，有权对该产品与其他设备进行配套、整合或适当改进，而免受侵犯专利权的起诉。</w:t>
      </w:r>
    </w:p>
    <w:p w14:paraId="7A7DFDCE">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（九）★交货时，设备出厂时间：≤1年。</w:t>
      </w:r>
    </w:p>
    <w:p w14:paraId="6499C4E0">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（十）★配齐满足以上性能且正常使用所需要的所有附件，无需另外购置即可满足临床需求。</w:t>
      </w:r>
    </w:p>
    <w:p w14:paraId="5B2C322A">
      <w:pPr>
        <w:pStyle w:val="15"/>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bookmarkStart w:id="0" w:name="_Toc99727042"/>
      <w:r>
        <w:rPr>
          <w:rFonts w:hint="eastAsia" w:ascii="楷体_GB2312" w:hAnsi="楷体_GB2312" w:eastAsia="楷体_GB2312" w:cs="楷体_GB2312"/>
          <w:b/>
          <w:bCs w:val="0"/>
          <w:color w:val="000000"/>
          <w:sz w:val="32"/>
          <w:szCs w:val="32"/>
          <w:lang w:val="en-US" w:eastAsia="zh-CN"/>
        </w:rPr>
        <w:t>五、综合评分表</w:t>
      </w:r>
      <w:bookmarkEnd w:id="0"/>
      <w:r>
        <w:rPr>
          <w:rFonts w:hint="eastAsia" w:ascii="楷体_GB2312" w:hAnsi="楷体_GB2312" w:eastAsia="楷体_GB2312" w:cs="楷体_GB2312"/>
          <w:b/>
          <w:bCs w:val="0"/>
          <w:color w:val="000000"/>
          <w:sz w:val="32"/>
          <w:szCs w:val="32"/>
          <w:highlight w:val="red"/>
          <w:lang w:val="en-US" w:eastAsia="zh-CN"/>
        </w:rPr>
        <w:t>（综合得分60分以下的视为投标无效）</w:t>
      </w:r>
    </w:p>
    <w:tbl>
      <w:tblPr>
        <w:tblStyle w:val="9"/>
        <w:tblW w:w="8448" w:type="dxa"/>
        <w:tblInd w:w="93"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80"/>
        <w:gridCol w:w="1147"/>
        <w:gridCol w:w="5843"/>
        <w:gridCol w:w="778"/>
      </w:tblGrid>
      <w:tr w14:paraId="4E19976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noWrap w:val="0"/>
            <w:vAlign w:val="center"/>
          </w:tcPr>
          <w:p w14:paraId="3024E07F">
            <w:pPr>
              <w:jc w:val="center"/>
              <w:rPr>
                <w:rFonts w:hint="eastAsia" w:ascii="宋体" w:hAnsi="宋体" w:cs="宋体"/>
                <w:b/>
                <w:szCs w:val="21"/>
              </w:rPr>
            </w:pPr>
            <w:r>
              <w:rPr>
                <w:rFonts w:hint="eastAsia" w:ascii="宋体" w:hAnsi="宋体" w:cs="宋体"/>
                <w:b/>
                <w:szCs w:val="21"/>
              </w:rPr>
              <w:t>评审部分</w:t>
            </w:r>
          </w:p>
        </w:tc>
        <w:tc>
          <w:tcPr>
            <w:tcW w:w="1147" w:type="dxa"/>
            <w:noWrap w:val="0"/>
            <w:vAlign w:val="center"/>
          </w:tcPr>
          <w:p w14:paraId="158155F3">
            <w:pPr>
              <w:jc w:val="center"/>
              <w:rPr>
                <w:rFonts w:hint="eastAsia" w:ascii="宋体" w:hAnsi="宋体" w:cs="宋体"/>
                <w:b/>
                <w:szCs w:val="21"/>
              </w:rPr>
            </w:pPr>
            <w:r>
              <w:rPr>
                <w:rFonts w:hint="eastAsia" w:ascii="宋体" w:hAnsi="宋体" w:cs="宋体"/>
                <w:b/>
                <w:szCs w:val="21"/>
              </w:rPr>
              <w:t>评审因素</w:t>
            </w:r>
          </w:p>
        </w:tc>
        <w:tc>
          <w:tcPr>
            <w:tcW w:w="5843" w:type="dxa"/>
            <w:noWrap w:val="0"/>
            <w:vAlign w:val="center"/>
          </w:tcPr>
          <w:p w14:paraId="2BA21319">
            <w:pPr>
              <w:jc w:val="center"/>
              <w:rPr>
                <w:rFonts w:hint="eastAsia" w:ascii="宋体" w:hAnsi="宋体" w:cs="宋体"/>
                <w:b/>
                <w:szCs w:val="21"/>
              </w:rPr>
            </w:pPr>
            <w:r>
              <w:rPr>
                <w:rFonts w:hint="eastAsia" w:ascii="宋体" w:hAnsi="宋体" w:cs="宋体"/>
                <w:b/>
                <w:szCs w:val="21"/>
              </w:rPr>
              <w:t>评分细则</w:t>
            </w:r>
          </w:p>
        </w:tc>
        <w:tc>
          <w:tcPr>
            <w:tcW w:w="778" w:type="dxa"/>
            <w:tcBorders>
              <w:left w:val="single" w:color="auto" w:sz="4" w:space="0"/>
            </w:tcBorders>
            <w:noWrap w:val="0"/>
            <w:vAlign w:val="center"/>
          </w:tcPr>
          <w:p w14:paraId="0FDF15A1">
            <w:pPr>
              <w:jc w:val="center"/>
              <w:rPr>
                <w:rFonts w:hint="eastAsia" w:ascii="宋体" w:hAnsi="宋体" w:cs="宋体"/>
                <w:b/>
                <w:szCs w:val="21"/>
              </w:rPr>
            </w:pPr>
            <w:r>
              <w:rPr>
                <w:rFonts w:hint="eastAsia" w:ascii="宋体" w:hAnsi="宋体" w:cs="宋体"/>
                <w:b/>
                <w:szCs w:val="21"/>
              </w:rPr>
              <w:t>分值（分）</w:t>
            </w:r>
          </w:p>
        </w:tc>
      </w:tr>
      <w:tr w14:paraId="48D15D2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1" w:hRule="atLeast"/>
        </w:trPr>
        <w:tc>
          <w:tcPr>
            <w:tcW w:w="680" w:type="dxa"/>
            <w:noWrap w:val="0"/>
            <w:vAlign w:val="center"/>
          </w:tcPr>
          <w:p w14:paraId="0A57988C">
            <w:pPr>
              <w:jc w:val="center"/>
              <w:rPr>
                <w:rFonts w:hint="eastAsia" w:ascii="宋体" w:hAnsi="宋体" w:cs="宋体"/>
                <w:b/>
                <w:szCs w:val="21"/>
              </w:rPr>
            </w:pPr>
            <w:r>
              <w:rPr>
                <w:rFonts w:hint="eastAsia" w:ascii="宋体" w:hAnsi="宋体" w:cs="宋体"/>
                <w:b/>
                <w:szCs w:val="21"/>
              </w:rPr>
              <w:t>一</w:t>
            </w:r>
          </w:p>
        </w:tc>
        <w:tc>
          <w:tcPr>
            <w:tcW w:w="7768" w:type="dxa"/>
            <w:gridSpan w:val="3"/>
            <w:noWrap w:val="0"/>
            <w:vAlign w:val="center"/>
          </w:tcPr>
          <w:p w14:paraId="5AD13B9D">
            <w:pPr>
              <w:jc w:val="center"/>
              <w:rPr>
                <w:rFonts w:hint="eastAsia" w:ascii="宋体" w:hAnsi="宋体" w:cs="宋体"/>
                <w:b/>
                <w:szCs w:val="21"/>
              </w:rPr>
            </w:pPr>
            <w:r>
              <w:rPr>
                <w:rFonts w:hint="eastAsia" w:ascii="宋体" w:hAnsi="宋体" w:cs="宋体"/>
                <w:b/>
                <w:szCs w:val="21"/>
              </w:rPr>
              <w:t>技术部分（</w:t>
            </w:r>
            <w:r>
              <w:rPr>
                <w:rFonts w:hint="eastAsia" w:ascii="宋体" w:hAnsi="宋体" w:cs="宋体"/>
                <w:b/>
                <w:szCs w:val="21"/>
                <w:lang w:val="en-US" w:eastAsia="zh-CN"/>
              </w:rPr>
              <w:t>56</w:t>
            </w:r>
            <w:r>
              <w:rPr>
                <w:rFonts w:hint="eastAsia" w:ascii="宋体" w:hAnsi="宋体" w:cs="宋体"/>
                <w:b/>
                <w:szCs w:val="21"/>
              </w:rPr>
              <w:t>分）</w:t>
            </w:r>
          </w:p>
        </w:tc>
      </w:tr>
      <w:tr w14:paraId="6B3F69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bottom w:val="single" w:color="auto" w:sz="4" w:space="0"/>
            </w:tcBorders>
            <w:noWrap w:val="0"/>
            <w:vAlign w:val="center"/>
          </w:tcPr>
          <w:p w14:paraId="74A879E4">
            <w:pPr>
              <w:pStyle w:val="22"/>
              <w:numPr>
                <w:ilvl w:val="0"/>
                <w:numId w:val="1"/>
              </w:numPr>
              <w:ind w:left="0" w:firstLine="0" w:firstLineChars="0"/>
              <w:jc w:val="right"/>
              <w:rPr>
                <w:rFonts w:hint="eastAsia" w:ascii="宋体" w:hAnsi="宋体" w:cs="宋体"/>
                <w:szCs w:val="21"/>
              </w:rPr>
            </w:pPr>
          </w:p>
        </w:tc>
        <w:tc>
          <w:tcPr>
            <w:tcW w:w="1147" w:type="dxa"/>
            <w:noWrap w:val="0"/>
            <w:vAlign w:val="center"/>
          </w:tcPr>
          <w:p w14:paraId="54B627A7">
            <w:pPr>
              <w:jc w:val="center"/>
              <w:rPr>
                <w:rFonts w:hint="eastAsia" w:ascii="宋体" w:hAnsi="宋体" w:cs="宋体"/>
                <w:szCs w:val="21"/>
              </w:rPr>
            </w:pPr>
            <w:r>
              <w:rPr>
                <w:rFonts w:hint="eastAsia" w:ascii="宋体" w:hAnsi="宋体" w:cs="宋体"/>
                <w:szCs w:val="21"/>
              </w:rPr>
              <w:t>所投产品技术参数响应情况评价</w:t>
            </w:r>
          </w:p>
        </w:tc>
        <w:tc>
          <w:tcPr>
            <w:tcW w:w="5843" w:type="dxa"/>
            <w:noWrap w:val="0"/>
            <w:vAlign w:val="center"/>
          </w:tcPr>
          <w:p w14:paraId="56C25D21">
            <w:pPr>
              <w:wordWrap w:val="0"/>
              <w:rPr>
                <w:rFonts w:hint="eastAsia" w:ascii="宋体" w:hAnsi="宋体" w:cs="宋体"/>
                <w:b/>
                <w:bCs/>
                <w:szCs w:val="21"/>
              </w:rPr>
            </w:pPr>
            <w:r>
              <w:rPr>
                <w:rFonts w:hint="eastAsia" w:ascii="宋体" w:hAnsi="宋体" w:cs="宋体"/>
                <w:b/>
                <w:bCs/>
                <w:szCs w:val="21"/>
              </w:rPr>
              <w:t>（一）评分内容：</w:t>
            </w:r>
          </w:p>
          <w:p w14:paraId="150F5130">
            <w:pPr>
              <w:wordWrap w:val="0"/>
              <w:rPr>
                <w:rFonts w:hint="eastAsia" w:ascii="宋体" w:hAnsi="宋体" w:cs="宋体"/>
                <w:szCs w:val="21"/>
              </w:rPr>
            </w:pPr>
            <w:r>
              <w:rPr>
                <w:rFonts w:hint="eastAsia" w:ascii="宋体" w:hAnsi="宋体"/>
                <w:szCs w:val="21"/>
              </w:rPr>
              <w:t>“一、主要技术及系统要求”部分</w:t>
            </w:r>
            <w:r>
              <w:rPr>
                <w:rFonts w:hint="eastAsia" w:ascii="宋体" w:hAnsi="宋体" w:cs="宋体"/>
                <w:szCs w:val="21"/>
              </w:rPr>
              <w:t>技术参数全部满足得</w:t>
            </w:r>
            <w:r>
              <w:rPr>
                <w:rFonts w:hint="eastAsia" w:ascii="宋体" w:hAnsi="宋体" w:cs="宋体"/>
                <w:szCs w:val="21"/>
                <w:lang w:val="en-US" w:eastAsia="zh-CN"/>
              </w:rPr>
              <w:t>40</w:t>
            </w:r>
            <w:r>
              <w:rPr>
                <w:rFonts w:hint="eastAsia" w:ascii="宋体" w:hAnsi="宋体" w:cs="宋体"/>
                <w:szCs w:val="21"/>
              </w:rPr>
              <w:t>分；每负偏离一项扣</w:t>
            </w:r>
            <w:r>
              <w:rPr>
                <w:rFonts w:hint="eastAsia" w:ascii="宋体" w:hAnsi="宋体" w:cs="宋体"/>
                <w:szCs w:val="21"/>
                <w:lang w:val="en-US" w:eastAsia="zh-CN"/>
              </w:rPr>
              <w:t>8</w:t>
            </w:r>
            <w:r>
              <w:rPr>
                <w:rFonts w:hint="eastAsia" w:ascii="宋体" w:hAnsi="宋体" w:cs="宋体"/>
                <w:szCs w:val="21"/>
              </w:rPr>
              <w:t>分，最低0分。</w:t>
            </w:r>
          </w:p>
          <w:p w14:paraId="450203C9">
            <w:pPr>
              <w:jc w:val="left"/>
              <w:rPr>
                <w:rFonts w:hint="eastAsia" w:ascii="宋体" w:hAnsi="宋体" w:cs="宋体"/>
                <w:b/>
                <w:bCs/>
                <w:szCs w:val="21"/>
              </w:rPr>
            </w:pPr>
            <w:r>
              <w:rPr>
                <w:rFonts w:hint="eastAsia" w:ascii="宋体" w:hAnsi="宋体" w:cs="宋体"/>
                <w:b/>
                <w:bCs/>
                <w:szCs w:val="21"/>
              </w:rPr>
              <w:t>（二）评审依据：</w:t>
            </w:r>
          </w:p>
          <w:p w14:paraId="0DB1717E">
            <w:pPr>
              <w:jc w:val="left"/>
              <w:rPr>
                <w:rFonts w:hint="eastAsia" w:ascii="宋体" w:hAnsi="宋体" w:cs="宋体"/>
                <w:szCs w:val="21"/>
              </w:rPr>
            </w:pPr>
            <w:r>
              <w:rPr>
                <w:rFonts w:hint="eastAsia" w:ascii="宋体" w:hAnsi="宋体" w:cs="宋体"/>
                <w:szCs w:val="21"/>
              </w:rPr>
              <w:t>《</w:t>
            </w:r>
            <w:r>
              <w:rPr>
                <w:rFonts w:hint="eastAsia" w:ascii="宋体" w:hAnsi="宋体" w:cs="宋体"/>
                <w:kern w:val="0"/>
                <w:szCs w:val="21"/>
              </w:rPr>
              <w:t>用户需求书条款响应一览表</w:t>
            </w:r>
            <w:r>
              <w:rPr>
                <w:rFonts w:hint="eastAsia" w:ascii="宋体" w:hAnsi="宋体" w:cs="宋体"/>
                <w:szCs w:val="21"/>
              </w:rPr>
              <w:t>》。</w:t>
            </w:r>
          </w:p>
        </w:tc>
        <w:tc>
          <w:tcPr>
            <w:tcW w:w="778" w:type="dxa"/>
            <w:tcBorders>
              <w:left w:val="single" w:color="auto" w:sz="4" w:space="0"/>
            </w:tcBorders>
            <w:noWrap w:val="0"/>
            <w:vAlign w:val="center"/>
          </w:tcPr>
          <w:p w14:paraId="43D3ACD2">
            <w:pPr>
              <w:jc w:val="center"/>
              <w:rPr>
                <w:rFonts w:hint="default" w:ascii="宋体" w:hAnsi="宋体" w:cs="宋体" w:eastAsiaTheme="minorEastAsia"/>
                <w:szCs w:val="21"/>
                <w:lang w:val="en-US" w:eastAsia="zh-CN"/>
              </w:rPr>
            </w:pPr>
            <w:r>
              <w:rPr>
                <w:rFonts w:hint="eastAsia" w:ascii="宋体" w:hAnsi="宋体" w:cs="宋体"/>
                <w:szCs w:val="21"/>
                <w:lang w:val="en-US" w:eastAsia="zh-CN"/>
              </w:rPr>
              <w:t>40</w:t>
            </w:r>
          </w:p>
        </w:tc>
      </w:tr>
      <w:tr w14:paraId="5BE4DB2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bottom w:val="single" w:color="auto" w:sz="4" w:space="0"/>
            </w:tcBorders>
            <w:noWrap w:val="0"/>
            <w:vAlign w:val="center"/>
          </w:tcPr>
          <w:p w14:paraId="6E2F59C1">
            <w:pPr>
              <w:pStyle w:val="22"/>
              <w:numPr>
                <w:ilvl w:val="0"/>
                <w:numId w:val="1"/>
              </w:numPr>
              <w:ind w:left="0" w:firstLine="0" w:firstLineChars="0"/>
              <w:jc w:val="right"/>
              <w:rPr>
                <w:rFonts w:hint="eastAsia" w:ascii="宋体" w:hAnsi="宋体" w:cs="宋体"/>
                <w:szCs w:val="21"/>
              </w:rPr>
            </w:pPr>
          </w:p>
        </w:tc>
        <w:tc>
          <w:tcPr>
            <w:tcW w:w="1147" w:type="dxa"/>
            <w:noWrap w:val="0"/>
            <w:vAlign w:val="center"/>
          </w:tcPr>
          <w:p w14:paraId="1CBAD9D3">
            <w:pPr>
              <w:jc w:val="center"/>
              <w:rPr>
                <w:rFonts w:hint="eastAsia" w:ascii="宋体" w:hAnsi="宋体" w:cs="宋体"/>
                <w:szCs w:val="21"/>
              </w:rPr>
            </w:pPr>
            <w:r>
              <w:rPr>
                <w:rFonts w:hint="eastAsia" w:ascii="宋体" w:hAnsi="宋体" w:cs="宋体"/>
                <w:color w:val="auto"/>
                <w:sz w:val="21"/>
                <w:szCs w:val="21"/>
                <w:lang w:val="en-US" w:eastAsia="zh-CN"/>
              </w:rPr>
              <w:t>样品</w:t>
            </w:r>
          </w:p>
        </w:tc>
        <w:tc>
          <w:tcPr>
            <w:tcW w:w="5843" w:type="dxa"/>
            <w:noWrap w:val="0"/>
            <w:vAlign w:val="center"/>
          </w:tcPr>
          <w:p w14:paraId="19E79553">
            <w:pPr>
              <w:jc w:val="left"/>
              <w:rPr>
                <w:rFonts w:hint="eastAsia" w:ascii="宋体" w:hAnsi="宋体" w:cs="宋体"/>
                <w:b/>
                <w:bCs/>
                <w:szCs w:val="21"/>
              </w:rPr>
            </w:pPr>
            <w:r>
              <w:rPr>
                <w:rFonts w:hint="eastAsia" w:ascii="宋体" w:hAnsi="宋体" w:cs="宋体"/>
                <w:b/>
                <w:bCs/>
                <w:szCs w:val="21"/>
              </w:rPr>
              <w:t>（一）评分内容：</w:t>
            </w:r>
          </w:p>
          <w:p w14:paraId="7E013681">
            <w:pPr>
              <w:jc w:val="left"/>
              <w:rPr>
                <w:rFonts w:hint="eastAsia" w:ascii="宋体" w:hAnsi="宋体" w:cs="宋体"/>
                <w:szCs w:val="21"/>
              </w:rPr>
            </w:pPr>
            <w:r>
              <w:rPr>
                <w:rFonts w:hint="eastAsia" w:ascii="宋体" w:hAnsi="宋体" w:cs="宋体"/>
                <w:szCs w:val="21"/>
              </w:rPr>
              <w:t>评审委员会根据“样品要求”样品清单的内容进行打分。</w:t>
            </w:r>
          </w:p>
          <w:p w14:paraId="045AD895">
            <w:pPr>
              <w:jc w:val="left"/>
              <w:rPr>
                <w:rFonts w:hint="eastAsia" w:ascii="宋体" w:hAnsi="宋体" w:cs="宋体"/>
                <w:b/>
                <w:bCs/>
                <w:szCs w:val="21"/>
              </w:rPr>
            </w:pPr>
            <w:r>
              <w:rPr>
                <w:rFonts w:hint="eastAsia" w:ascii="宋体" w:hAnsi="宋体" w:cs="宋体"/>
                <w:b/>
                <w:bCs/>
                <w:szCs w:val="21"/>
              </w:rPr>
              <w:t>（二）评分依据：</w:t>
            </w:r>
          </w:p>
          <w:p w14:paraId="6A96324E">
            <w:pPr>
              <w:jc w:val="left"/>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w:t>
            </w:r>
            <w:r>
              <w:rPr>
                <w:rFonts w:hint="eastAsia" w:ascii="宋体" w:hAnsi="宋体" w:cs="宋体"/>
                <w:szCs w:val="21"/>
              </w:rPr>
              <w:t>提供符合“样品清单”中技术参数要求的样品得</w:t>
            </w:r>
            <w:r>
              <w:rPr>
                <w:rFonts w:hint="eastAsia" w:ascii="宋体" w:hAnsi="宋体" w:cs="宋体"/>
                <w:szCs w:val="21"/>
                <w:lang w:val="en-US" w:eastAsia="zh-CN"/>
              </w:rPr>
              <w:t>8</w:t>
            </w:r>
            <w:r>
              <w:rPr>
                <w:rFonts w:hint="eastAsia" w:ascii="宋体" w:hAnsi="宋体" w:cs="宋体"/>
                <w:szCs w:val="21"/>
              </w:rPr>
              <w:t>分，未提供或不符合规格要求的不得分。</w:t>
            </w:r>
          </w:p>
          <w:p w14:paraId="7B1FC34F">
            <w:pPr>
              <w:jc w:val="left"/>
              <w:rPr>
                <w:rFonts w:hint="eastAsia" w:ascii="宋体" w:hAnsi="宋体" w:cs="宋体"/>
                <w:szCs w:val="21"/>
              </w:rPr>
            </w:pPr>
            <w:r>
              <w:rPr>
                <w:rFonts w:hint="eastAsia" w:ascii="宋体" w:hAnsi="宋体" w:cs="宋体"/>
                <w:szCs w:val="21"/>
              </w:rPr>
              <w:t>2</w:t>
            </w:r>
            <w:r>
              <w:rPr>
                <w:rFonts w:hint="eastAsia" w:ascii="宋体" w:hAnsi="宋体" w:cs="宋体"/>
                <w:szCs w:val="21"/>
                <w:lang w:val="en-US" w:eastAsia="zh-CN"/>
              </w:rPr>
              <w:t>.</w:t>
            </w:r>
            <w:r>
              <w:rPr>
                <w:rFonts w:hint="eastAsia" w:ascii="宋体" w:hAnsi="宋体" w:cs="宋体"/>
                <w:szCs w:val="21"/>
              </w:rPr>
              <w:t>在此基础上，由评审委员进行评价：</w:t>
            </w:r>
          </w:p>
          <w:p w14:paraId="144FBD7A">
            <w:pPr>
              <w:jc w:val="left"/>
              <w:rPr>
                <w:rFonts w:hint="eastAsia" w:ascii="宋体" w:hAnsi="宋体" w:cs="宋体"/>
                <w:szCs w:val="21"/>
              </w:rPr>
            </w:pPr>
            <w:r>
              <w:rPr>
                <w:rFonts w:hint="eastAsia" w:ascii="宋体" w:hAnsi="宋体" w:cs="宋体"/>
                <w:szCs w:val="21"/>
              </w:rPr>
              <w:t>（1）优：样品制作工艺精湛，外观无缺陷，涂膜无颗粒、无剥落，功能设计符合临床使用习惯，</w:t>
            </w:r>
            <w:r>
              <w:rPr>
                <w:rFonts w:hint="eastAsia" w:ascii="宋体" w:hAnsi="宋体" w:cs="宋体"/>
                <w:szCs w:val="21"/>
                <w:lang w:val="en-US" w:eastAsia="zh-CN"/>
              </w:rPr>
              <w:t>完全</w:t>
            </w:r>
            <w:r>
              <w:rPr>
                <w:rFonts w:hint="eastAsia" w:ascii="宋体" w:hAnsi="宋体" w:cs="宋体"/>
                <w:szCs w:val="21"/>
              </w:rPr>
              <w:t>满足</w:t>
            </w:r>
            <w:r>
              <w:rPr>
                <w:rFonts w:hint="eastAsia" w:ascii="宋体" w:hAnsi="宋体" w:cs="宋体"/>
                <w:szCs w:val="21"/>
                <w:lang w:val="en-US" w:eastAsia="zh-CN"/>
              </w:rPr>
              <w:t>临床使用</w:t>
            </w:r>
            <w:r>
              <w:rPr>
                <w:rFonts w:hint="eastAsia" w:ascii="宋体" w:hAnsi="宋体" w:cs="宋体"/>
                <w:szCs w:val="21"/>
              </w:rPr>
              <w:t>需求的，得</w:t>
            </w:r>
            <w:r>
              <w:rPr>
                <w:rFonts w:hint="eastAsia" w:ascii="宋体" w:hAnsi="宋体" w:cs="宋体"/>
                <w:szCs w:val="21"/>
                <w:lang w:val="en-US" w:eastAsia="zh-CN"/>
              </w:rPr>
              <w:t>8</w:t>
            </w:r>
            <w:r>
              <w:rPr>
                <w:rFonts w:hint="eastAsia" w:ascii="宋体" w:hAnsi="宋体" w:cs="宋体"/>
                <w:szCs w:val="21"/>
              </w:rPr>
              <w:t xml:space="preserve">分； </w:t>
            </w:r>
          </w:p>
          <w:p w14:paraId="23298142">
            <w:pPr>
              <w:jc w:val="left"/>
              <w:rPr>
                <w:rFonts w:hint="eastAsia" w:ascii="宋体" w:hAnsi="宋体" w:cs="宋体"/>
                <w:szCs w:val="21"/>
              </w:rPr>
            </w:pPr>
            <w:r>
              <w:rPr>
                <w:rFonts w:hint="eastAsia" w:ascii="宋体" w:hAnsi="宋体" w:cs="宋体"/>
                <w:szCs w:val="21"/>
              </w:rPr>
              <w:t>（2）良：样品制作工艺良好，外观无明显缺陷，涂膜无明显颗粒、无明显剥落迹象，功能设计比较符合临床使用习惯</w:t>
            </w:r>
            <w:r>
              <w:rPr>
                <w:rFonts w:hint="eastAsia" w:ascii="宋体" w:hAnsi="宋体" w:cs="宋体"/>
                <w:szCs w:val="21"/>
                <w:lang w:eastAsia="zh-CN"/>
              </w:rPr>
              <w:t>，</w:t>
            </w:r>
            <w:r>
              <w:rPr>
                <w:rFonts w:hint="eastAsia" w:ascii="宋体" w:hAnsi="宋体" w:cs="宋体"/>
                <w:szCs w:val="21"/>
                <w:lang w:val="en-US" w:eastAsia="zh-CN"/>
              </w:rPr>
              <w:t>较能</w:t>
            </w:r>
            <w:r>
              <w:rPr>
                <w:rFonts w:hint="eastAsia" w:ascii="宋体" w:hAnsi="宋体" w:cs="宋体"/>
                <w:szCs w:val="21"/>
              </w:rPr>
              <w:t>满足</w:t>
            </w:r>
            <w:r>
              <w:rPr>
                <w:rFonts w:hint="eastAsia" w:ascii="宋体" w:hAnsi="宋体" w:cs="宋体"/>
                <w:szCs w:val="21"/>
                <w:lang w:val="en-US" w:eastAsia="zh-CN"/>
              </w:rPr>
              <w:t>临床使用</w:t>
            </w:r>
            <w:r>
              <w:rPr>
                <w:rFonts w:hint="eastAsia" w:ascii="宋体" w:hAnsi="宋体" w:cs="宋体"/>
                <w:szCs w:val="21"/>
              </w:rPr>
              <w:t>需求的，得</w:t>
            </w:r>
            <w:r>
              <w:rPr>
                <w:rFonts w:hint="eastAsia" w:ascii="宋体" w:hAnsi="宋体" w:cs="宋体"/>
                <w:szCs w:val="21"/>
                <w:lang w:val="en-US" w:eastAsia="zh-CN"/>
              </w:rPr>
              <w:t>4</w:t>
            </w:r>
            <w:r>
              <w:rPr>
                <w:rFonts w:hint="eastAsia" w:ascii="宋体" w:hAnsi="宋体" w:cs="宋体"/>
                <w:szCs w:val="21"/>
              </w:rPr>
              <w:t xml:space="preserve">分； </w:t>
            </w:r>
          </w:p>
          <w:p w14:paraId="781F9695">
            <w:pPr>
              <w:jc w:val="left"/>
              <w:rPr>
                <w:rFonts w:hint="eastAsia" w:ascii="宋体" w:hAnsi="宋体" w:cs="宋体"/>
                <w:szCs w:val="21"/>
              </w:rPr>
            </w:pPr>
            <w:r>
              <w:rPr>
                <w:rFonts w:hint="eastAsia" w:ascii="宋体" w:hAnsi="宋体" w:cs="宋体"/>
                <w:szCs w:val="21"/>
              </w:rPr>
              <w:t>（3）中：样品制作工艺一般，外观无明显缺陷，涂膜无明显颗粒、无明显剥落迹象，功能设计基本符合临床使用习惯，部分满足</w:t>
            </w:r>
            <w:r>
              <w:rPr>
                <w:rFonts w:hint="eastAsia" w:ascii="宋体" w:hAnsi="宋体" w:cs="宋体"/>
                <w:szCs w:val="21"/>
                <w:lang w:val="en-US" w:eastAsia="zh-CN"/>
              </w:rPr>
              <w:t>临床使用</w:t>
            </w:r>
            <w:r>
              <w:rPr>
                <w:rFonts w:hint="eastAsia" w:ascii="宋体" w:hAnsi="宋体" w:cs="宋体"/>
                <w:szCs w:val="21"/>
              </w:rPr>
              <w:t>需求的，得</w:t>
            </w:r>
            <w:r>
              <w:rPr>
                <w:rFonts w:hint="eastAsia" w:ascii="宋体" w:hAnsi="宋体" w:cs="宋体"/>
                <w:szCs w:val="21"/>
                <w:lang w:val="en-US" w:eastAsia="zh-CN"/>
              </w:rPr>
              <w:t>1</w:t>
            </w:r>
            <w:r>
              <w:rPr>
                <w:rFonts w:hint="eastAsia" w:ascii="宋体" w:hAnsi="宋体" w:cs="宋体"/>
                <w:szCs w:val="21"/>
              </w:rPr>
              <w:t xml:space="preserve">分； </w:t>
            </w:r>
          </w:p>
          <w:p w14:paraId="52C2757C">
            <w:pPr>
              <w:jc w:val="left"/>
              <w:rPr>
                <w:rFonts w:hint="eastAsia" w:ascii="宋体" w:hAnsi="宋体" w:cs="宋体"/>
                <w:szCs w:val="21"/>
              </w:rPr>
            </w:pPr>
            <w:r>
              <w:rPr>
                <w:rFonts w:hint="eastAsia" w:ascii="宋体" w:hAnsi="宋体" w:cs="宋体"/>
                <w:szCs w:val="21"/>
              </w:rPr>
              <w:t>（4）差：样品制作工艺差</w:t>
            </w:r>
            <w:r>
              <w:rPr>
                <w:rFonts w:hint="eastAsia" w:ascii="宋体" w:hAnsi="宋体" w:cs="宋体"/>
                <w:szCs w:val="21"/>
                <w:lang w:eastAsia="zh-CN"/>
              </w:rPr>
              <w:t>，</w:t>
            </w:r>
            <w:r>
              <w:rPr>
                <w:rFonts w:hint="eastAsia" w:ascii="宋体" w:hAnsi="宋体" w:cs="宋体"/>
                <w:szCs w:val="21"/>
              </w:rPr>
              <w:t>或外观有明显缺陷，或涂膜有明显颗粒或有明显剥落迹象，或功能设计不符合临床使用习惯的，不加分。若评审为差，需书面说明理由并记录在档。</w:t>
            </w:r>
          </w:p>
          <w:p w14:paraId="4E5F489D">
            <w:pPr>
              <w:ind w:firstLine="420" w:firstLineChars="200"/>
              <w:jc w:val="left"/>
              <w:rPr>
                <w:rFonts w:hint="eastAsia" w:ascii="宋体" w:hAnsi="宋体" w:cs="宋体"/>
                <w:szCs w:val="21"/>
              </w:rPr>
            </w:pPr>
            <w:r>
              <w:rPr>
                <w:rFonts w:hint="eastAsia" w:ascii="宋体" w:hAnsi="宋体" w:cs="宋体"/>
                <w:szCs w:val="21"/>
              </w:rPr>
              <w:t>未按要求提供或提供的材料不能证明相关情况的或提供不清晰导致专家无法判断的不得分。</w:t>
            </w:r>
          </w:p>
        </w:tc>
        <w:tc>
          <w:tcPr>
            <w:tcW w:w="778" w:type="dxa"/>
            <w:tcBorders>
              <w:left w:val="single" w:color="auto" w:sz="4" w:space="0"/>
            </w:tcBorders>
            <w:noWrap w:val="0"/>
            <w:vAlign w:val="center"/>
          </w:tcPr>
          <w:p w14:paraId="711AC673">
            <w:pPr>
              <w:jc w:val="center"/>
              <w:rPr>
                <w:rFonts w:hint="default" w:ascii="宋体" w:hAnsi="宋体" w:cs="宋体"/>
                <w:szCs w:val="21"/>
                <w:lang w:val="en-US" w:eastAsia="zh-CN"/>
              </w:rPr>
            </w:pPr>
            <w:r>
              <w:rPr>
                <w:rFonts w:hint="eastAsia" w:ascii="宋体" w:hAnsi="宋体" w:cs="宋体"/>
                <w:szCs w:val="21"/>
                <w:lang w:val="en-US" w:eastAsia="zh-CN"/>
              </w:rPr>
              <w:t>16</w:t>
            </w:r>
          </w:p>
        </w:tc>
      </w:tr>
      <w:tr w14:paraId="0D115D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7" w:hRule="atLeast"/>
        </w:trPr>
        <w:tc>
          <w:tcPr>
            <w:tcW w:w="680" w:type="dxa"/>
            <w:tcBorders>
              <w:top w:val="single" w:color="auto" w:sz="4" w:space="0"/>
            </w:tcBorders>
            <w:noWrap w:val="0"/>
            <w:vAlign w:val="center"/>
          </w:tcPr>
          <w:p w14:paraId="10F3D5A1">
            <w:pPr>
              <w:jc w:val="center"/>
              <w:rPr>
                <w:rFonts w:hint="eastAsia" w:ascii="宋体" w:hAnsi="宋体" w:cs="宋体"/>
                <w:b/>
                <w:szCs w:val="21"/>
              </w:rPr>
            </w:pPr>
            <w:r>
              <w:rPr>
                <w:rFonts w:hint="eastAsia" w:ascii="宋体" w:hAnsi="宋体" w:cs="宋体"/>
                <w:b/>
                <w:szCs w:val="21"/>
              </w:rPr>
              <w:t>二</w:t>
            </w:r>
          </w:p>
        </w:tc>
        <w:tc>
          <w:tcPr>
            <w:tcW w:w="7768" w:type="dxa"/>
            <w:gridSpan w:val="3"/>
            <w:noWrap w:val="0"/>
            <w:vAlign w:val="center"/>
          </w:tcPr>
          <w:p w14:paraId="4042CEE6">
            <w:pPr>
              <w:jc w:val="center"/>
              <w:rPr>
                <w:rFonts w:hint="eastAsia" w:ascii="宋体" w:hAnsi="宋体" w:cs="宋体"/>
                <w:b/>
                <w:szCs w:val="21"/>
              </w:rPr>
            </w:pPr>
            <w:r>
              <w:rPr>
                <w:rFonts w:hint="eastAsia" w:ascii="宋体" w:hAnsi="宋体" w:cs="宋体"/>
                <w:b/>
                <w:szCs w:val="21"/>
              </w:rPr>
              <w:t>商务部分（1</w:t>
            </w:r>
            <w:r>
              <w:rPr>
                <w:rFonts w:hint="eastAsia" w:ascii="宋体" w:hAnsi="宋体" w:cs="宋体"/>
                <w:b/>
                <w:szCs w:val="21"/>
                <w:lang w:val="en-US" w:eastAsia="zh-CN"/>
              </w:rPr>
              <w:t>4</w:t>
            </w:r>
            <w:r>
              <w:rPr>
                <w:rFonts w:hint="eastAsia" w:ascii="宋体" w:hAnsi="宋体" w:cs="宋体"/>
                <w:b/>
                <w:szCs w:val="21"/>
              </w:rPr>
              <w:t>分）</w:t>
            </w:r>
          </w:p>
        </w:tc>
      </w:tr>
      <w:tr w14:paraId="354917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bottom w:val="single" w:color="auto" w:sz="4" w:space="0"/>
            </w:tcBorders>
            <w:noWrap w:val="0"/>
            <w:vAlign w:val="center"/>
          </w:tcPr>
          <w:p w14:paraId="0413AFD2">
            <w:pPr>
              <w:pStyle w:val="22"/>
              <w:numPr>
                <w:ilvl w:val="0"/>
                <w:numId w:val="2"/>
              </w:numPr>
              <w:ind w:left="0" w:firstLine="0" w:firstLineChars="0"/>
              <w:jc w:val="center"/>
              <w:rPr>
                <w:rFonts w:hint="eastAsia" w:ascii="宋体" w:hAnsi="宋体" w:cs="宋体"/>
                <w:szCs w:val="21"/>
              </w:rPr>
            </w:pPr>
          </w:p>
        </w:tc>
        <w:tc>
          <w:tcPr>
            <w:tcW w:w="1147" w:type="dxa"/>
            <w:noWrap w:val="0"/>
            <w:vAlign w:val="center"/>
          </w:tcPr>
          <w:p w14:paraId="1DC239DA">
            <w:pPr>
              <w:jc w:val="center"/>
              <w:rPr>
                <w:rFonts w:hint="eastAsia" w:ascii="宋体" w:hAnsi="宋体" w:cs="宋体"/>
                <w:szCs w:val="21"/>
              </w:rPr>
            </w:pPr>
            <w:r>
              <w:rPr>
                <w:rFonts w:hint="eastAsia" w:ascii="宋体" w:hAnsi="宋体" w:cs="宋体"/>
                <w:kern w:val="0"/>
                <w:szCs w:val="21"/>
              </w:rPr>
              <w:t>项目实施方案</w:t>
            </w:r>
          </w:p>
        </w:tc>
        <w:tc>
          <w:tcPr>
            <w:tcW w:w="5843" w:type="dxa"/>
            <w:noWrap w:val="0"/>
            <w:vAlign w:val="top"/>
          </w:tcPr>
          <w:p w14:paraId="77220B47">
            <w:pPr>
              <w:wordWrap w:val="0"/>
              <w:rPr>
                <w:rFonts w:hint="eastAsia" w:ascii="宋体" w:hAnsi="宋体" w:cs="宋体"/>
                <w:b/>
                <w:bCs/>
                <w:szCs w:val="21"/>
              </w:rPr>
            </w:pPr>
            <w:r>
              <w:rPr>
                <w:rFonts w:hint="eastAsia" w:ascii="宋体" w:hAnsi="宋体" w:cs="宋体"/>
                <w:b/>
                <w:bCs/>
                <w:szCs w:val="21"/>
              </w:rPr>
              <w:t>（一）评分内容：</w:t>
            </w:r>
          </w:p>
          <w:p w14:paraId="4BB5C749">
            <w:pPr>
              <w:wordWrap w:val="0"/>
              <w:rPr>
                <w:rFonts w:hint="eastAsia" w:ascii="宋体" w:hAnsi="宋体" w:cs="宋体"/>
                <w:szCs w:val="21"/>
              </w:rPr>
            </w:pPr>
            <w:r>
              <w:rPr>
                <w:rFonts w:hint="eastAsia" w:ascii="宋体" w:hAnsi="宋体" w:cs="宋体"/>
                <w:szCs w:val="21"/>
              </w:rPr>
              <w:t>投标人针对本项目提供的项目实施方案，包括但不限于以下内容：</w:t>
            </w:r>
          </w:p>
          <w:p w14:paraId="41D20B37">
            <w:pPr>
              <w:wordWrap w:val="0"/>
              <w:rPr>
                <w:rFonts w:hint="eastAsia" w:ascii="宋体" w:hAnsi="宋体" w:cs="宋体"/>
                <w:szCs w:val="21"/>
              </w:rPr>
            </w:pPr>
            <w:r>
              <w:rPr>
                <w:rFonts w:hint="eastAsia" w:ascii="宋体" w:hAnsi="宋体" w:cs="宋体"/>
                <w:szCs w:val="21"/>
              </w:rPr>
              <w:t>1</w:t>
            </w:r>
            <w:r>
              <w:rPr>
                <w:rFonts w:hint="eastAsia" w:ascii="宋体" w:hAnsi="宋体" w:cs="宋体"/>
                <w:szCs w:val="21"/>
                <w:lang w:eastAsia="zh-CN"/>
              </w:rPr>
              <w:t>、</w:t>
            </w:r>
            <w:r>
              <w:rPr>
                <w:rFonts w:hint="eastAsia" w:ascii="宋体" w:hAnsi="宋体" w:cs="宋体"/>
                <w:szCs w:val="21"/>
              </w:rPr>
              <w:t>项目到货计划；</w:t>
            </w:r>
          </w:p>
          <w:p w14:paraId="19EB38FA">
            <w:pPr>
              <w:wordWrap w:val="0"/>
              <w:rPr>
                <w:rFonts w:hint="eastAsia" w:ascii="宋体" w:hAnsi="宋体" w:cs="宋体"/>
                <w:szCs w:val="21"/>
              </w:rPr>
            </w:pPr>
            <w:r>
              <w:rPr>
                <w:rFonts w:hint="eastAsia" w:ascii="宋体" w:hAnsi="宋体" w:cs="宋体"/>
                <w:szCs w:val="21"/>
              </w:rPr>
              <w:t>2</w:t>
            </w:r>
            <w:r>
              <w:rPr>
                <w:rFonts w:hint="eastAsia" w:ascii="宋体" w:hAnsi="宋体" w:cs="宋体"/>
                <w:szCs w:val="21"/>
                <w:lang w:eastAsia="zh-CN"/>
              </w:rPr>
              <w:t>、</w:t>
            </w:r>
            <w:r>
              <w:rPr>
                <w:rFonts w:hint="eastAsia" w:ascii="宋体" w:hAnsi="宋体" w:cs="宋体"/>
                <w:szCs w:val="21"/>
              </w:rPr>
              <w:t>项目实施计划；</w:t>
            </w:r>
          </w:p>
          <w:p w14:paraId="2F75A38E">
            <w:pPr>
              <w:wordWrap w:val="0"/>
              <w:rPr>
                <w:rFonts w:hint="eastAsia" w:ascii="宋体" w:hAnsi="宋体" w:cs="宋体"/>
                <w:szCs w:val="21"/>
              </w:rPr>
            </w:pPr>
            <w:r>
              <w:rPr>
                <w:rFonts w:hint="eastAsia" w:ascii="宋体" w:hAnsi="宋体" w:cs="宋体"/>
                <w:szCs w:val="21"/>
              </w:rPr>
              <w:t>3</w:t>
            </w:r>
            <w:r>
              <w:rPr>
                <w:rFonts w:hint="eastAsia" w:ascii="宋体" w:hAnsi="宋体" w:cs="宋体"/>
                <w:szCs w:val="21"/>
                <w:lang w:eastAsia="zh-CN"/>
              </w:rPr>
              <w:t>、</w:t>
            </w:r>
            <w:r>
              <w:rPr>
                <w:rFonts w:hint="eastAsia" w:ascii="宋体" w:hAnsi="宋体" w:cs="宋体"/>
                <w:szCs w:val="21"/>
              </w:rPr>
              <w:t>项目运输保障；</w:t>
            </w:r>
          </w:p>
          <w:p w14:paraId="0C6D778E">
            <w:pPr>
              <w:wordWrap w:val="0"/>
              <w:rPr>
                <w:rFonts w:hint="eastAsia" w:ascii="宋体" w:hAnsi="宋体" w:cs="宋体"/>
                <w:szCs w:val="21"/>
              </w:rPr>
            </w:pPr>
            <w:r>
              <w:rPr>
                <w:rFonts w:hint="eastAsia" w:ascii="宋体" w:hAnsi="宋体" w:cs="宋体"/>
                <w:szCs w:val="21"/>
              </w:rPr>
              <w:t>4</w:t>
            </w:r>
            <w:r>
              <w:rPr>
                <w:rFonts w:hint="eastAsia" w:ascii="宋体" w:hAnsi="宋体" w:cs="宋体"/>
                <w:szCs w:val="21"/>
                <w:lang w:eastAsia="zh-CN"/>
              </w:rPr>
              <w:t>、</w:t>
            </w:r>
            <w:r>
              <w:rPr>
                <w:rFonts w:hint="eastAsia" w:ascii="宋体" w:hAnsi="宋体" w:cs="宋体"/>
                <w:szCs w:val="21"/>
              </w:rPr>
              <w:t>安装调试（如计划步骤、人员安排等）。</w:t>
            </w:r>
          </w:p>
          <w:p w14:paraId="4CD2002A">
            <w:pPr>
              <w:wordWrap w:val="0"/>
              <w:rPr>
                <w:rFonts w:hint="eastAsia" w:ascii="宋体" w:hAnsi="宋体" w:cs="宋体"/>
                <w:b/>
                <w:bCs/>
                <w:szCs w:val="21"/>
              </w:rPr>
            </w:pPr>
            <w:r>
              <w:rPr>
                <w:rFonts w:hint="eastAsia" w:ascii="宋体" w:hAnsi="宋体" w:cs="宋体"/>
                <w:b/>
                <w:bCs/>
                <w:szCs w:val="21"/>
              </w:rPr>
              <w:t>（二）评分依据：</w:t>
            </w:r>
          </w:p>
          <w:p w14:paraId="57AA43AD">
            <w:pPr>
              <w:wordWrap w:val="0"/>
              <w:rPr>
                <w:rFonts w:hint="eastAsia" w:ascii="宋体" w:hAnsi="宋体" w:cs="宋体"/>
                <w:szCs w:val="21"/>
              </w:rPr>
            </w:pPr>
            <w:r>
              <w:rPr>
                <w:rFonts w:hint="eastAsia" w:ascii="宋体" w:hAnsi="宋体" w:cs="宋体"/>
                <w:szCs w:val="21"/>
              </w:rPr>
              <w:t>以上内容，每提供一点得</w:t>
            </w:r>
            <w:r>
              <w:rPr>
                <w:rFonts w:hint="eastAsia" w:ascii="宋体" w:hAnsi="宋体" w:cs="宋体"/>
                <w:szCs w:val="21"/>
                <w:lang w:val="en-US" w:eastAsia="zh-CN"/>
              </w:rPr>
              <w:t>1.5</w:t>
            </w:r>
            <w:r>
              <w:rPr>
                <w:rFonts w:hint="eastAsia" w:ascii="宋体" w:hAnsi="宋体" w:cs="宋体"/>
                <w:szCs w:val="21"/>
              </w:rPr>
              <w:t>分，最高得</w:t>
            </w:r>
            <w:r>
              <w:rPr>
                <w:rFonts w:hint="eastAsia" w:ascii="宋体" w:hAnsi="宋体" w:cs="宋体"/>
                <w:szCs w:val="21"/>
                <w:lang w:val="en-US" w:eastAsia="zh-CN"/>
              </w:rPr>
              <w:t>6</w:t>
            </w:r>
            <w:r>
              <w:rPr>
                <w:rFonts w:hint="eastAsia" w:ascii="宋体" w:hAnsi="宋体" w:cs="宋体"/>
                <w:szCs w:val="21"/>
              </w:rPr>
              <w:t>分。</w:t>
            </w:r>
          </w:p>
          <w:p w14:paraId="027D1D5C">
            <w:pPr>
              <w:wordWrap w:val="0"/>
              <w:rPr>
                <w:rFonts w:hint="eastAsia" w:ascii="宋体" w:hAnsi="宋体" w:cs="宋体"/>
                <w:szCs w:val="21"/>
              </w:rPr>
            </w:pPr>
            <w:r>
              <w:rPr>
                <w:rFonts w:hint="eastAsia" w:ascii="宋体" w:hAnsi="宋体" w:cs="宋体"/>
                <w:szCs w:val="21"/>
              </w:rPr>
              <w:t>在此基础上，专家根据各供应商的具体响应内容按照量化的评审因素指标进一步评审：</w:t>
            </w:r>
          </w:p>
          <w:p w14:paraId="6260810C">
            <w:pPr>
              <w:wordWrap w:val="0"/>
              <w:rPr>
                <w:rFonts w:hint="eastAsia" w:ascii="宋体" w:hAnsi="宋体" w:cs="宋体"/>
                <w:szCs w:val="21"/>
              </w:rPr>
            </w:pPr>
            <w:r>
              <w:rPr>
                <w:rFonts w:hint="eastAsia" w:ascii="宋体" w:hAnsi="宋体" w:cs="宋体"/>
                <w:szCs w:val="21"/>
              </w:rPr>
              <w:t>（1）投标文件响应内容全面；</w:t>
            </w:r>
          </w:p>
          <w:p w14:paraId="6EDF9BD1">
            <w:pPr>
              <w:wordWrap w:val="0"/>
              <w:rPr>
                <w:rFonts w:hint="eastAsia" w:ascii="宋体" w:hAnsi="宋体" w:cs="宋体"/>
                <w:szCs w:val="21"/>
              </w:rPr>
            </w:pPr>
            <w:r>
              <w:rPr>
                <w:rFonts w:hint="eastAsia" w:ascii="宋体" w:hAnsi="宋体" w:cs="宋体"/>
                <w:szCs w:val="21"/>
              </w:rPr>
              <w:t>（2）投标文件响应内容具体；</w:t>
            </w:r>
          </w:p>
          <w:p w14:paraId="2038EEF3">
            <w:pPr>
              <w:wordWrap w:val="0"/>
              <w:rPr>
                <w:rFonts w:hint="eastAsia" w:ascii="宋体" w:hAnsi="宋体" w:cs="宋体"/>
                <w:szCs w:val="21"/>
              </w:rPr>
            </w:pPr>
            <w:r>
              <w:rPr>
                <w:rFonts w:hint="eastAsia" w:ascii="宋体" w:hAnsi="宋体" w:cs="宋体"/>
                <w:szCs w:val="21"/>
              </w:rPr>
              <w:t>（3）投标文件响应内容针对性强；</w:t>
            </w:r>
          </w:p>
          <w:p w14:paraId="49650785">
            <w:pPr>
              <w:wordWrap w:val="0"/>
              <w:rPr>
                <w:rFonts w:hint="eastAsia" w:ascii="宋体" w:hAnsi="宋体" w:cs="宋体"/>
                <w:szCs w:val="21"/>
              </w:rPr>
            </w:pPr>
            <w:r>
              <w:rPr>
                <w:rFonts w:hint="eastAsia" w:ascii="宋体" w:hAnsi="宋体" w:cs="宋体"/>
                <w:szCs w:val="21"/>
              </w:rPr>
              <w:t>（4）投标文件响应内容科学合理；</w:t>
            </w:r>
          </w:p>
          <w:p w14:paraId="0D1E8609">
            <w:pPr>
              <w:wordWrap w:val="0"/>
              <w:rPr>
                <w:rFonts w:hint="eastAsia" w:ascii="宋体" w:hAnsi="宋体" w:cs="宋体"/>
                <w:szCs w:val="21"/>
              </w:rPr>
            </w:pPr>
            <w:r>
              <w:rPr>
                <w:rFonts w:hint="eastAsia" w:ascii="宋体" w:hAnsi="宋体" w:cs="宋体"/>
                <w:szCs w:val="21"/>
              </w:rPr>
              <w:t>（5）投标文件响应内容可操作性强。</w:t>
            </w:r>
          </w:p>
          <w:p w14:paraId="280681CF">
            <w:pPr>
              <w:wordWrap w:val="0"/>
              <w:rPr>
                <w:rFonts w:hint="eastAsia" w:ascii="宋体" w:hAnsi="宋体" w:cs="宋体"/>
                <w:szCs w:val="21"/>
              </w:rPr>
            </w:pPr>
            <w:r>
              <w:rPr>
                <w:rFonts w:hint="eastAsia" w:ascii="宋体" w:hAnsi="宋体" w:cs="宋体"/>
                <w:szCs w:val="21"/>
              </w:rPr>
              <w:t>满足以上五项要求的评价为优,加</w:t>
            </w:r>
            <w:r>
              <w:rPr>
                <w:rFonts w:hint="eastAsia" w:ascii="宋体" w:hAnsi="宋体" w:cs="宋体"/>
                <w:szCs w:val="21"/>
                <w:lang w:val="en-US" w:eastAsia="zh-CN"/>
              </w:rPr>
              <w:t>6</w:t>
            </w:r>
            <w:r>
              <w:rPr>
                <w:rFonts w:hint="eastAsia" w:ascii="宋体" w:hAnsi="宋体" w:cs="宋体"/>
                <w:szCs w:val="21"/>
              </w:rPr>
              <w:t>分；</w:t>
            </w:r>
          </w:p>
          <w:p w14:paraId="25CFC7CB">
            <w:pPr>
              <w:wordWrap w:val="0"/>
              <w:rPr>
                <w:rFonts w:hint="eastAsia" w:ascii="宋体" w:hAnsi="宋体" w:cs="宋体"/>
                <w:szCs w:val="21"/>
              </w:rPr>
            </w:pPr>
            <w:r>
              <w:rPr>
                <w:rFonts w:hint="eastAsia" w:ascii="宋体" w:hAnsi="宋体" w:cs="宋体"/>
                <w:szCs w:val="21"/>
              </w:rPr>
              <w:t>满足以上四项要求的评价为良,加</w:t>
            </w:r>
            <w:r>
              <w:rPr>
                <w:rFonts w:hint="eastAsia" w:ascii="宋体" w:hAnsi="宋体" w:cs="宋体"/>
                <w:szCs w:val="21"/>
                <w:lang w:val="en-US" w:eastAsia="zh-CN"/>
              </w:rPr>
              <w:t>3</w:t>
            </w:r>
            <w:r>
              <w:rPr>
                <w:rFonts w:hint="eastAsia" w:ascii="宋体" w:hAnsi="宋体" w:cs="宋体"/>
                <w:szCs w:val="21"/>
              </w:rPr>
              <w:t>分；</w:t>
            </w:r>
          </w:p>
          <w:p w14:paraId="6BEE8F94">
            <w:pPr>
              <w:wordWrap w:val="0"/>
              <w:rPr>
                <w:rFonts w:hint="eastAsia" w:ascii="宋体" w:hAnsi="宋体" w:cs="宋体"/>
                <w:szCs w:val="21"/>
              </w:rPr>
            </w:pPr>
            <w:r>
              <w:rPr>
                <w:rFonts w:hint="eastAsia" w:ascii="宋体" w:hAnsi="宋体" w:cs="宋体"/>
                <w:szCs w:val="21"/>
              </w:rPr>
              <w:t>满足以上三项要求的评价为中,加1分；</w:t>
            </w:r>
          </w:p>
          <w:p w14:paraId="6F322C93">
            <w:pPr>
              <w:wordWrap w:val="0"/>
              <w:rPr>
                <w:rFonts w:hint="eastAsia" w:ascii="宋体" w:hAnsi="宋体" w:cs="宋体"/>
                <w:szCs w:val="21"/>
              </w:rPr>
            </w:pPr>
            <w:r>
              <w:rPr>
                <w:rFonts w:hint="eastAsia" w:ascii="宋体" w:hAnsi="宋体" w:cs="宋体"/>
                <w:szCs w:val="21"/>
              </w:rPr>
              <w:t>其他情况评价为差,不加分。如果评价为差，要求专家书面说明理由，并记录存档。</w:t>
            </w:r>
          </w:p>
        </w:tc>
        <w:tc>
          <w:tcPr>
            <w:tcW w:w="778" w:type="dxa"/>
            <w:tcBorders>
              <w:left w:val="single" w:color="auto" w:sz="4" w:space="0"/>
            </w:tcBorders>
            <w:noWrap w:val="0"/>
            <w:vAlign w:val="center"/>
          </w:tcPr>
          <w:p w14:paraId="6B9EACC8">
            <w:pPr>
              <w:wordWrap w:val="0"/>
              <w:jc w:val="center"/>
              <w:rPr>
                <w:rFonts w:ascii="宋体" w:hAnsi="宋体" w:cs="宋体"/>
                <w:szCs w:val="21"/>
              </w:rPr>
            </w:pPr>
            <w:r>
              <w:rPr>
                <w:rFonts w:hint="eastAsia" w:ascii="宋体" w:hAnsi="宋体" w:cs="宋体"/>
                <w:szCs w:val="21"/>
                <w:lang w:val="en-US" w:eastAsia="zh-CN"/>
              </w:rPr>
              <w:t>1</w:t>
            </w:r>
            <w:r>
              <w:rPr>
                <w:rFonts w:hint="eastAsia" w:ascii="宋体" w:hAnsi="宋体" w:cs="宋体"/>
                <w:szCs w:val="21"/>
              </w:rPr>
              <w:t>2</w:t>
            </w:r>
          </w:p>
        </w:tc>
      </w:tr>
      <w:tr w14:paraId="07268B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5" w:hRule="atLeast"/>
        </w:trPr>
        <w:tc>
          <w:tcPr>
            <w:tcW w:w="680" w:type="dxa"/>
            <w:tcBorders>
              <w:top w:val="single" w:color="auto" w:sz="4" w:space="0"/>
            </w:tcBorders>
            <w:noWrap w:val="0"/>
            <w:vAlign w:val="center"/>
          </w:tcPr>
          <w:p w14:paraId="64CE913C">
            <w:pPr>
              <w:pStyle w:val="22"/>
              <w:numPr>
                <w:ilvl w:val="0"/>
                <w:numId w:val="2"/>
              </w:numPr>
              <w:ind w:left="0" w:firstLine="0" w:firstLineChars="0"/>
              <w:jc w:val="center"/>
              <w:rPr>
                <w:rFonts w:hint="eastAsia" w:ascii="宋体" w:hAnsi="宋体" w:cs="宋体"/>
                <w:szCs w:val="21"/>
              </w:rPr>
            </w:pPr>
          </w:p>
        </w:tc>
        <w:tc>
          <w:tcPr>
            <w:tcW w:w="1147" w:type="dxa"/>
            <w:noWrap w:val="0"/>
            <w:vAlign w:val="center"/>
          </w:tcPr>
          <w:p w14:paraId="48C336A0">
            <w:pPr>
              <w:jc w:val="center"/>
              <w:rPr>
                <w:rFonts w:hint="eastAsia" w:ascii="宋体" w:hAnsi="宋体" w:cs="宋体"/>
                <w:bCs/>
                <w:szCs w:val="21"/>
                <w:highlight w:val="green"/>
              </w:rPr>
            </w:pPr>
            <w:r>
              <w:rPr>
                <w:rFonts w:hint="eastAsia" w:ascii="宋体" w:hAnsi="宋体" w:cs="宋体"/>
                <w:szCs w:val="21"/>
              </w:rPr>
              <w:t>诚信</w:t>
            </w:r>
          </w:p>
        </w:tc>
        <w:tc>
          <w:tcPr>
            <w:tcW w:w="5843" w:type="dxa"/>
            <w:noWrap w:val="0"/>
            <w:vAlign w:val="center"/>
          </w:tcPr>
          <w:p w14:paraId="624CC169">
            <w:pPr>
              <w:jc w:val="left"/>
              <w:rPr>
                <w:rFonts w:hint="eastAsia" w:ascii="宋体" w:hAnsi="宋体" w:cs="宋体"/>
                <w:szCs w:val="21"/>
                <w:highlight w:val="yellow"/>
              </w:rPr>
            </w:pPr>
            <w:r>
              <w:rPr>
                <w:rFonts w:hint="eastAsia" w:ascii="宋体" w:hAnsi="宋体" w:cs="宋体"/>
                <w:szCs w:val="21"/>
              </w:rPr>
              <w:t>投标人在参与政府采购活动中存在诚信相关问题且在主管部门相关处理措施实施期限内的，本项不得分，否则得满分。投标人无需提供任何证明材料，由工作人员查询后向评审委员会提供相关信息。</w:t>
            </w:r>
          </w:p>
        </w:tc>
        <w:tc>
          <w:tcPr>
            <w:tcW w:w="778" w:type="dxa"/>
            <w:tcBorders>
              <w:left w:val="single" w:color="auto" w:sz="4" w:space="0"/>
            </w:tcBorders>
            <w:noWrap w:val="0"/>
            <w:vAlign w:val="center"/>
          </w:tcPr>
          <w:p w14:paraId="24415D10">
            <w:pPr>
              <w:jc w:val="center"/>
              <w:rPr>
                <w:rFonts w:hint="eastAsia" w:ascii="宋体" w:hAnsi="宋体" w:cs="宋体" w:eastAsiaTheme="minorEastAsia"/>
                <w:szCs w:val="21"/>
                <w:lang w:val="en-US" w:eastAsia="zh-CN"/>
              </w:rPr>
            </w:pPr>
            <w:r>
              <w:rPr>
                <w:rFonts w:hint="eastAsia" w:ascii="宋体" w:hAnsi="宋体" w:cs="宋体"/>
                <w:szCs w:val="21"/>
                <w:lang w:val="en-US" w:eastAsia="zh-CN"/>
              </w:rPr>
              <w:t>2</w:t>
            </w:r>
          </w:p>
        </w:tc>
      </w:tr>
      <w:tr w14:paraId="2F38DC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7" w:hRule="atLeast"/>
        </w:trPr>
        <w:tc>
          <w:tcPr>
            <w:tcW w:w="680" w:type="dxa"/>
            <w:tcBorders>
              <w:top w:val="single" w:color="auto" w:sz="4" w:space="0"/>
            </w:tcBorders>
            <w:noWrap w:val="0"/>
            <w:vAlign w:val="center"/>
          </w:tcPr>
          <w:p w14:paraId="35D6131B">
            <w:pPr>
              <w:jc w:val="center"/>
              <w:rPr>
                <w:rFonts w:hint="eastAsia" w:ascii="宋体" w:hAnsi="宋体" w:cs="宋体"/>
                <w:b/>
                <w:szCs w:val="21"/>
              </w:rPr>
            </w:pPr>
            <w:r>
              <w:rPr>
                <w:rFonts w:hint="eastAsia" w:ascii="宋体" w:hAnsi="宋体" w:cs="宋体"/>
                <w:b/>
                <w:szCs w:val="21"/>
              </w:rPr>
              <w:t>三</w:t>
            </w:r>
          </w:p>
        </w:tc>
        <w:tc>
          <w:tcPr>
            <w:tcW w:w="7768" w:type="dxa"/>
            <w:gridSpan w:val="3"/>
            <w:noWrap w:val="0"/>
            <w:vAlign w:val="center"/>
          </w:tcPr>
          <w:p w14:paraId="4717881E">
            <w:pPr>
              <w:jc w:val="center"/>
              <w:rPr>
                <w:rFonts w:hint="eastAsia" w:ascii="宋体" w:hAnsi="宋体" w:cs="宋体"/>
                <w:b/>
                <w:szCs w:val="21"/>
              </w:rPr>
            </w:pPr>
            <w:r>
              <w:rPr>
                <w:rFonts w:hint="eastAsia" w:ascii="宋体" w:hAnsi="宋体" w:cs="宋体"/>
                <w:b/>
                <w:szCs w:val="21"/>
              </w:rPr>
              <w:t>价格部分（30分）</w:t>
            </w:r>
          </w:p>
        </w:tc>
      </w:tr>
      <w:tr w14:paraId="1F04CE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trPr>
        <w:tc>
          <w:tcPr>
            <w:tcW w:w="680" w:type="dxa"/>
            <w:noWrap w:val="0"/>
            <w:vAlign w:val="center"/>
          </w:tcPr>
          <w:p w14:paraId="28B03B6D">
            <w:pPr>
              <w:jc w:val="center"/>
              <w:rPr>
                <w:rFonts w:hint="eastAsia" w:ascii="宋体" w:hAnsi="宋体" w:cs="宋体"/>
                <w:szCs w:val="21"/>
              </w:rPr>
            </w:pPr>
            <w:r>
              <w:rPr>
                <w:rFonts w:hint="eastAsia" w:ascii="宋体" w:hAnsi="宋体" w:cs="宋体"/>
                <w:szCs w:val="21"/>
              </w:rPr>
              <w:t>1</w:t>
            </w:r>
          </w:p>
        </w:tc>
        <w:tc>
          <w:tcPr>
            <w:tcW w:w="1147" w:type="dxa"/>
            <w:noWrap w:val="0"/>
            <w:vAlign w:val="center"/>
          </w:tcPr>
          <w:p w14:paraId="3CC1BC1D">
            <w:pPr>
              <w:jc w:val="center"/>
              <w:rPr>
                <w:rFonts w:hint="eastAsia" w:ascii="宋体" w:hAnsi="宋体" w:cs="宋体"/>
                <w:szCs w:val="21"/>
              </w:rPr>
            </w:pPr>
            <w:r>
              <w:rPr>
                <w:rFonts w:hint="eastAsia" w:ascii="宋体" w:hAnsi="宋体" w:cs="宋体"/>
                <w:szCs w:val="21"/>
              </w:rPr>
              <w:t>投标报价</w:t>
            </w:r>
          </w:p>
        </w:tc>
        <w:tc>
          <w:tcPr>
            <w:tcW w:w="5843" w:type="dxa"/>
            <w:noWrap w:val="0"/>
            <w:vAlign w:val="center"/>
          </w:tcPr>
          <w:p w14:paraId="7498363C">
            <w:pPr>
              <w:autoSpaceDE w:val="0"/>
              <w:autoSpaceDN w:val="0"/>
              <w:rPr>
                <w:rFonts w:hint="eastAsia" w:ascii="宋体" w:hAnsi="宋体" w:cs="宋体"/>
                <w:kern w:val="0"/>
                <w:szCs w:val="21"/>
              </w:rPr>
            </w:pPr>
            <w:r>
              <w:rPr>
                <w:rFonts w:hint="eastAsia" w:ascii="宋体" w:hAnsi="宋体" w:cs="宋体"/>
                <w:kern w:val="0"/>
                <w:szCs w:val="21"/>
              </w:rPr>
              <w:t>价格分应当采用低价优先法计算，即满足招标文件要求且投标价格最低的投标报价为评标基准价，其价格分为满分。其他投标人的价格分统一按照下列公式计算：</w:t>
            </w:r>
          </w:p>
          <w:p w14:paraId="0269F136">
            <w:pPr>
              <w:widowControl/>
              <w:jc w:val="left"/>
              <w:rPr>
                <w:rFonts w:hint="eastAsia" w:ascii="宋体" w:hAnsi="宋体" w:cs="宋体"/>
                <w:kern w:val="0"/>
                <w:szCs w:val="21"/>
              </w:rPr>
            </w:pPr>
            <w:r>
              <w:rPr>
                <w:rFonts w:hint="eastAsia" w:ascii="宋体" w:hAnsi="宋体" w:cs="宋体"/>
                <w:kern w:val="0"/>
                <w:szCs w:val="21"/>
              </w:rPr>
              <w:t>投标报价得分=(评标基准价／投标报价)×</w:t>
            </w:r>
            <w:r>
              <w:rPr>
                <w:rFonts w:hint="eastAsia" w:ascii="宋体" w:hAnsi="宋体" w:cs="宋体"/>
                <w:kern w:val="0"/>
                <w:szCs w:val="21"/>
                <w:highlight w:val="none"/>
              </w:rPr>
              <w:t>100</w:t>
            </w:r>
            <w:r>
              <w:rPr>
                <w:rFonts w:hint="eastAsia" w:ascii="宋体" w:hAnsi="宋体" w:cs="宋体"/>
                <w:kern w:val="0"/>
                <w:szCs w:val="21"/>
              </w:rPr>
              <w:t>×权重</w:t>
            </w:r>
          </w:p>
          <w:p w14:paraId="117D26E1">
            <w:pPr>
              <w:widowControl/>
              <w:jc w:val="left"/>
              <w:rPr>
                <w:rFonts w:hint="eastAsia" w:ascii="宋体" w:hAnsi="宋体" w:cs="宋体"/>
                <w:bCs/>
                <w:szCs w:val="21"/>
              </w:rPr>
            </w:pPr>
            <w:r>
              <w:rPr>
                <w:rFonts w:hint="eastAsia" w:ascii="宋体" w:hAnsi="宋体" w:cs="宋体"/>
                <w:bCs/>
                <w:szCs w:val="21"/>
              </w:rPr>
              <w:t>备注：</w:t>
            </w:r>
          </w:p>
          <w:p w14:paraId="27AE4119">
            <w:pPr>
              <w:widowControl/>
              <w:jc w:val="left"/>
              <w:rPr>
                <w:rFonts w:hint="eastAsia" w:ascii="宋体" w:hAnsi="宋体" w:cs="宋体"/>
                <w:bCs/>
                <w:szCs w:val="21"/>
              </w:rPr>
            </w:pPr>
            <w:r>
              <w:rPr>
                <w:rFonts w:hint="eastAsia" w:ascii="宋体" w:hAnsi="宋体" w:cs="宋体"/>
                <w:bCs/>
                <w:szCs w:val="21"/>
              </w:rPr>
              <w:t>1、投标报价得分四舍五入后，</w:t>
            </w:r>
            <w:r>
              <w:rPr>
                <w:rFonts w:hint="eastAsia" w:ascii="宋体" w:hAnsi="宋体" w:cs="宋体"/>
                <w:szCs w:val="21"/>
              </w:rPr>
              <w:t>小数点后保留两位有效数</w:t>
            </w:r>
            <w:r>
              <w:rPr>
                <w:rFonts w:hint="eastAsia" w:ascii="宋体" w:hAnsi="宋体" w:cs="宋体"/>
                <w:bCs/>
                <w:szCs w:val="21"/>
              </w:rPr>
              <w:t>。</w:t>
            </w:r>
          </w:p>
          <w:p w14:paraId="6114E904">
            <w:pPr>
              <w:rPr>
                <w:rStyle w:val="14"/>
                <w:rFonts w:hint="eastAsia" w:ascii="宋体" w:hAnsi="宋体" w:cs="宋体"/>
              </w:rPr>
            </w:pPr>
            <w:r>
              <w:rPr>
                <w:rStyle w:val="14"/>
                <w:rFonts w:hint="eastAsia" w:ascii="宋体" w:hAnsi="宋体" w:cs="宋体"/>
              </w:rPr>
              <w:t>2、因落实政府采购政策进行价格调整的，以调整后的价格计算评标基准价和投标报价,详见《价格扣除》。</w:t>
            </w:r>
          </w:p>
        </w:tc>
        <w:tc>
          <w:tcPr>
            <w:tcW w:w="778" w:type="dxa"/>
            <w:tcBorders>
              <w:left w:val="single" w:color="auto" w:sz="4" w:space="0"/>
            </w:tcBorders>
            <w:noWrap w:val="0"/>
            <w:vAlign w:val="center"/>
          </w:tcPr>
          <w:p w14:paraId="3AD790D9">
            <w:pPr>
              <w:adjustRightInd w:val="0"/>
              <w:snapToGrid w:val="0"/>
              <w:jc w:val="center"/>
              <w:rPr>
                <w:rFonts w:hint="eastAsia" w:ascii="宋体" w:hAnsi="宋体" w:cs="宋体"/>
                <w:szCs w:val="21"/>
              </w:rPr>
            </w:pPr>
            <w:r>
              <w:rPr>
                <w:rFonts w:hint="eastAsia" w:ascii="宋体" w:hAnsi="宋体" w:cs="宋体"/>
                <w:szCs w:val="21"/>
              </w:rPr>
              <w:t>30</w:t>
            </w:r>
          </w:p>
        </w:tc>
      </w:tr>
      <w:tr w14:paraId="07C9DC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trPr>
        <w:tc>
          <w:tcPr>
            <w:tcW w:w="7670" w:type="dxa"/>
            <w:gridSpan w:val="3"/>
            <w:noWrap w:val="0"/>
            <w:vAlign w:val="center"/>
          </w:tcPr>
          <w:p w14:paraId="0779E87A">
            <w:pPr>
              <w:jc w:val="center"/>
              <w:rPr>
                <w:rStyle w:val="14"/>
                <w:rFonts w:hint="default" w:ascii="宋体" w:hAnsi="宋体" w:cs="宋体" w:eastAsiaTheme="minorEastAsia"/>
                <w:lang w:val="en-US" w:eastAsia="zh-CN"/>
              </w:rPr>
            </w:pPr>
            <w:r>
              <w:rPr>
                <w:rStyle w:val="14"/>
                <w:rFonts w:hint="eastAsia" w:ascii="宋体" w:hAnsi="宋体" w:cs="宋体"/>
                <w:lang w:val="en-US" w:eastAsia="zh-CN"/>
              </w:rPr>
              <w:t>合计</w:t>
            </w:r>
          </w:p>
        </w:tc>
        <w:tc>
          <w:tcPr>
            <w:tcW w:w="778" w:type="dxa"/>
            <w:tcBorders>
              <w:left w:val="single" w:color="auto" w:sz="4" w:space="0"/>
            </w:tcBorders>
            <w:noWrap w:val="0"/>
            <w:vAlign w:val="center"/>
          </w:tcPr>
          <w:p w14:paraId="62FF93DB">
            <w:pPr>
              <w:adjustRightInd w:val="0"/>
              <w:snapToGrid w:val="0"/>
              <w:jc w:val="center"/>
              <w:rPr>
                <w:rFonts w:hint="default" w:ascii="宋体" w:hAnsi="宋体" w:cs="宋体" w:eastAsiaTheme="minorEastAsia"/>
                <w:szCs w:val="21"/>
                <w:lang w:val="en-US" w:eastAsia="zh-CN"/>
              </w:rPr>
            </w:pPr>
            <w:r>
              <w:rPr>
                <w:rFonts w:hint="eastAsia" w:ascii="宋体" w:hAnsi="宋体" w:cs="宋体"/>
                <w:szCs w:val="21"/>
                <w:lang w:val="en-US" w:eastAsia="zh-CN"/>
              </w:rPr>
              <w:t>100</w:t>
            </w:r>
          </w:p>
        </w:tc>
      </w:tr>
    </w:tbl>
    <w:p w14:paraId="1527F2CC">
      <w:pPr>
        <w:rPr>
          <w:rFonts w:hint="eastAsia"/>
          <w:lang w:val="en-US" w:eastAsia="zh-CN"/>
        </w:rPr>
      </w:pPr>
      <w:r>
        <w:rPr>
          <w:rFonts w:hint="eastAsia"/>
          <w:lang w:val="en-US" w:eastAsia="zh-CN"/>
        </w:rPr>
        <w:t xml:space="preserve"> </w:t>
      </w:r>
    </w:p>
    <w:p w14:paraId="362D53EE">
      <w:pPr>
        <w:spacing w:line="320" w:lineRule="exact"/>
        <w:rPr>
          <w:rFonts w:hint="eastAsia"/>
          <w:lang w:val="en-US" w:eastAsia="zh-CN"/>
        </w:rPr>
      </w:pPr>
      <w:r>
        <w:rPr>
          <w:rFonts w:hint="eastAsia" w:ascii="宋体" w:hAnsi="宋体" w:eastAsia="宋体" w:cs="宋体"/>
          <w:b/>
          <w:bCs/>
          <w:sz w:val="21"/>
          <w:szCs w:val="21"/>
        </w:rPr>
        <w:t>样品</w:t>
      </w:r>
      <w:r>
        <w:rPr>
          <w:rFonts w:hint="eastAsia" w:ascii="宋体" w:hAnsi="宋体" w:eastAsia="宋体" w:cs="宋体"/>
          <w:b/>
          <w:bCs/>
          <w:sz w:val="21"/>
          <w:szCs w:val="21"/>
          <w:lang w:val="en-US" w:eastAsia="zh-CN"/>
        </w:rPr>
        <w:t>要求</w:t>
      </w:r>
      <w:r>
        <w:rPr>
          <w:rFonts w:hint="eastAsia" w:ascii="宋体" w:hAnsi="宋体" w:eastAsia="宋体" w:cs="宋体"/>
          <w:b/>
          <w:bCs/>
          <w:sz w:val="21"/>
          <w:szCs w:val="21"/>
        </w:rPr>
        <w:t>：</w:t>
      </w:r>
    </w:p>
    <w:tbl>
      <w:tblPr>
        <w:tblStyle w:val="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128"/>
        <w:gridCol w:w="700"/>
        <w:gridCol w:w="783"/>
        <w:gridCol w:w="1616"/>
        <w:gridCol w:w="3624"/>
      </w:tblGrid>
      <w:tr w14:paraId="29D5B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noWrap w:val="0"/>
            <w:vAlign w:val="center"/>
          </w:tcPr>
          <w:p w14:paraId="2D315C89">
            <w:pPr>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val="0"/>
                <w:snapToGrid w:val="0"/>
                <w:color w:val="000000"/>
                <w:kern w:val="0"/>
                <w:szCs w:val="21"/>
                <w:lang w:eastAsia="zh-CN"/>
              </w:rPr>
            </w:pPr>
            <w:r>
              <w:rPr>
                <w:rFonts w:hint="eastAsia" w:ascii="宋体" w:hAnsi="宋体" w:cs="宋体"/>
                <w:b/>
                <w:bCs w:val="0"/>
                <w:snapToGrid w:val="0"/>
                <w:color w:val="000000"/>
                <w:kern w:val="0"/>
                <w:szCs w:val="21"/>
                <w:lang w:val="en-US" w:eastAsia="zh-CN"/>
              </w:rPr>
              <w:t>序号</w:t>
            </w:r>
          </w:p>
        </w:tc>
        <w:tc>
          <w:tcPr>
            <w:tcW w:w="662" w:type="pct"/>
            <w:noWrap w:val="0"/>
            <w:vAlign w:val="center"/>
          </w:tcPr>
          <w:p w14:paraId="3C8663A5">
            <w:pPr>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b/>
                <w:bCs w:val="0"/>
                <w:snapToGrid w:val="0"/>
                <w:color w:val="000000"/>
                <w:kern w:val="0"/>
                <w:szCs w:val="21"/>
              </w:rPr>
            </w:pPr>
            <w:r>
              <w:rPr>
                <w:rFonts w:hint="eastAsia" w:ascii="宋体" w:hAnsi="宋体" w:cs="宋体"/>
                <w:b/>
                <w:bCs w:val="0"/>
                <w:snapToGrid w:val="0"/>
                <w:color w:val="000000"/>
                <w:kern w:val="0"/>
                <w:szCs w:val="21"/>
              </w:rPr>
              <w:t>样品名称</w:t>
            </w:r>
          </w:p>
        </w:tc>
        <w:tc>
          <w:tcPr>
            <w:tcW w:w="410" w:type="pct"/>
            <w:noWrap w:val="0"/>
            <w:vAlign w:val="center"/>
          </w:tcPr>
          <w:p w14:paraId="3DBD251C">
            <w:pPr>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b/>
                <w:bCs w:val="0"/>
                <w:snapToGrid w:val="0"/>
                <w:color w:val="000000"/>
                <w:kern w:val="0"/>
                <w:szCs w:val="21"/>
              </w:rPr>
            </w:pPr>
            <w:r>
              <w:rPr>
                <w:rFonts w:hint="eastAsia" w:ascii="宋体" w:hAnsi="宋体" w:cs="宋体"/>
                <w:b/>
                <w:bCs w:val="0"/>
                <w:snapToGrid w:val="0"/>
                <w:color w:val="000000"/>
                <w:kern w:val="0"/>
                <w:szCs w:val="21"/>
              </w:rPr>
              <w:t>数量</w:t>
            </w:r>
          </w:p>
        </w:tc>
        <w:tc>
          <w:tcPr>
            <w:tcW w:w="460" w:type="pct"/>
            <w:noWrap w:val="0"/>
            <w:vAlign w:val="center"/>
          </w:tcPr>
          <w:p w14:paraId="5D325A5B">
            <w:pPr>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b/>
                <w:bCs w:val="0"/>
                <w:snapToGrid w:val="0"/>
                <w:color w:val="000000"/>
                <w:kern w:val="0"/>
                <w:szCs w:val="21"/>
              </w:rPr>
            </w:pPr>
            <w:r>
              <w:rPr>
                <w:rFonts w:hint="eastAsia" w:ascii="宋体" w:hAnsi="宋体" w:cs="宋体"/>
                <w:b/>
                <w:bCs w:val="0"/>
                <w:snapToGrid w:val="0"/>
                <w:color w:val="000000"/>
                <w:kern w:val="0"/>
                <w:szCs w:val="21"/>
              </w:rPr>
              <w:t>单位</w:t>
            </w:r>
          </w:p>
        </w:tc>
        <w:tc>
          <w:tcPr>
            <w:tcW w:w="949" w:type="pct"/>
            <w:noWrap w:val="0"/>
            <w:vAlign w:val="center"/>
          </w:tcPr>
          <w:p w14:paraId="098EA437">
            <w:pPr>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b/>
                <w:bCs w:val="0"/>
                <w:snapToGrid w:val="0"/>
                <w:color w:val="000000"/>
                <w:kern w:val="0"/>
                <w:szCs w:val="21"/>
              </w:rPr>
            </w:pPr>
            <w:r>
              <w:rPr>
                <w:rFonts w:hint="eastAsia" w:ascii="宋体" w:hAnsi="宋体" w:cs="宋体"/>
                <w:b/>
                <w:bCs w:val="0"/>
                <w:snapToGrid w:val="0"/>
                <w:color w:val="000000"/>
                <w:kern w:val="0"/>
                <w:szCs w:val="21"/>
              </w:rPr>
              <w:t>样品规格</w:t>
            </w:r>
          </w:p>
        </w:tc>
        <w:tc>
          <w:tcPr>
            <w:tcW w:w="2128" w:type="pct"/>
            <w:noWrap w:val="0"/>
            <w:vAlign w:val="center"/>
          </w:tcPr>
          <w:p w14:paraId="732D7F6E">
            <w:pPr>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b/>
                <w:bCs w:val="0"/>
                <w:snapToGrid w:val="0"/>
                <w:color w:val="000000"/>
                <w:kern w:val="0"/>
                <w:szCs w:val="21"/>
              </w:rPr>
            </w:pPr>
            <w:r>
              <w:rPr>
                <w:rFonts w:hint="eastAsia" w:ascii="宋体" w:hAnsi="宋体" w:cs="宋体"/>
                <w:b/>
                <w:bCs w:val="0"/>
                <w:snapToGrid w:val="0"/>
                <w:color w:val="000000"/>
                <w:kern w:val="0"/>
                <w:szCs w:val="21"/>
              </w:rPr>
              <w:t>要求</w:t>
            </w:r>
          </w:p>
        </w:tc>
      </w:tr>
      <w:tr w14:paraId="7A288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388" w:type="pct"/>
            <w:noWrap w:val="0"/>
            <w:vAlign w:val="center"/>
          </w:tcPr>
          <w:p w14:paraId="367AF639">
            <w:pPr>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b w:val="0"/>
                <w:bCs/>
                <w:snapToGrid w:val="0"/>
                <w:color w:val="000000"/>
                <w:kern w:val="0"/>
                <w:szCs w:val="21"/>
              </w:rPr>
            </w:pPr>
            <w:r>
              <w:rPr>
                <w:rFonts w:hint="eastAsia" w:ascii="宋体" w:hAnsi="宋体" w:cs="宋体"/>
                <w:b w:val="0"/>
                <w:bCs/>
                <w:snapToGrid w:val="0"/>
                <w:color w:val="000000"/>
                <w:kern w:val="0"/>
                <w:szCs w:val="21"/>
              </w:rPr>
              <w:t>1</w:t>
            </w:r>
          </w:p>
        </w:tc>
        <w:tc>
          <w:tcPr>
            <w:tcW w:w="662" w:type="pct"/>
            <w:noWrap w:val="0"/>
            <w:vAlign w:val="center"/>
          </w:tcPr>
          <w:p w14:paraId="1C087DA9">
            <w:pPr>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b w:val="0"/>
                <w:bCs/>
                <w:snapToGrid w:val="0"/>
                <w:color w:val="000000"/>
                <w:kern w:val="0"/>
                <w:szCs w:val="21"/>
                <w:lang w:val="en-US" w:eastAsia="zh-CN"/>
              </w:rPr>
            </w:pPr>
            <w:r>
              <w:rPr>
                <w:rFonts w:hint="eastAsia" w:ascii="宋体" w:hAnsi="宋体" w:eastAsia="宋体" w:cs="宋体"/>
                <w:b w:val="0"/>
                <w:bCs/>
                <w:snapToGrid w:val="0"/>
                <w:color w:val="000000"/>
                <w:kern w:val="0"/>
                <w:szCs w:val="21"/>
                <w:lang w:val="en-US" w:eastAsia="zh-CN"/>
              </w:rPr>
              <w:t>婴儿床整床样品</w:t>
            </w:r>
          </w:p>
        </w:tc>
        <w:tc>
          <w:tcPr>
            <w:tcW w:w="410" w:type="pct"/>
            <w:noWrap w:val="0"/>
            <w:vAlign w:val="center"/>
          </w:tcPr>
          <w:p w14:paraId="48E7597D">
            <w:pPr>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b w:val="0"/>
                <w:bCs/>
                <w:snapToGrid w:val="0"/>
                <w:color w:val="000000"/>
                <w:kern w:val="0"/>
                <w:szCs w:val="21"/>
              </w:rPr>
            </w:pPr>
            <w:r>
              <w:rPr>
                <w:rFonts w:hint="eastAsia" w:ascii="宋体" w:hAnsi="宋体" w:cs="宋体"/>
                <w:b w:val="0"/>
                <w:bCs/>
                <w:snapToGrid w:val="0"/>
                <w:color w:val="000000"/>
                <w:kern w:val="0"/>
                <w:szCs w:val="21"/>
              </w:rPr>
              <w:t>1</w:t>
            </w:r>
          </w:p>
        </w:tc>
        <w:tc>
          <w:tcPr>
            <w:tcW w:w="460" w:type="pct"/>
            <w:noWrap w:val="0"/>
            <w:vAlign w:val="center"/>
          </w:tcPr>
          <w:p w14:paraId="288B7FB8">
            <w:pPr>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b w:val="0"/>
                <w:bCs/>
                <w:snapToGrid w:val="0"/>
                <w:color w:val="000000"/>
                <w:kern w:val="0"/>
                <w:szCs w:val="21"/>
                <w:lang w:val="en-US" w:eastAsia="zh-CN"/>
              </w:rPr>
            </w:pPr>
            <w:r>
              <w:rPr>
                <w:rFonts w:hint="eastAsia" w:ascii="宋体" w:hAnsi="宋体" w:eastAsia="宋体" w:cs="宋体"/>
                <w:b w:val="0"/>
                <w:bCs/>
                <w:snapToGrid w:val="0"/>
                <w:color w:val="000000"/>
                <w:kern w:val="0"/>
                <w:szCs w:val="21"/>
                <w:lang w:val="en-US" w:eastAsia="zh-CN"/>
              </w:rPr>
              <w:t>张</w:t>
            </w:r>
          </w:p>
        </w:tc>
        <w:tc>
          <w:tcPr>
            <w:tcW w:w="949" w:type="pct"/>
            <w:noWrap w:val="0"/>
            <w:vAlign w:val="center"/>
          </w:tcPr>
          <w:p w14:paraId="7A004A1E">
            <w:pPr>
              <w:pageBreakBefore w:val="0"/>
              <w:widowControl w:val="0"/>
              <w:kinsoku/>
              <w:wordWrap/>
              <w:overflowPunct/>
              <w:topLinePunct w:val="0"/>
              <w:autoSpaceDE/>
              <w:autoSpaceDN/>
              <w:bidi w:val="0"/>
              <w:adjustRightInd/>
              <w:snapToGrid/>
              <w:spacing w:line="360" w:lineRule="exact"/>
              <w:jc w:val="left"/>
              <w:textAlignment w:val="auto"/>
              <w:rPr>
                <w:rFonts w:hint="default" w:ascii="宋体" w:hAnsi="宋体" w:eastAsia="宋体" w:cs="宋体"/>
                <w:b w:val="0"/>
                <w:bCs/>
                <w:i w:val="0"/>
                <w:iCs w:val="0"/>
                <w:color w:val="000000"/>
                <w:kern w:val="0"/>
                <w:sz w:val="22"/>
                <w:szCs w:val="22"/>
                <w:u w:val="none"/>
                <w:lang w:val="en-US" w:eastAsia="zh-CN" w:bidi="ar"/>
              </w:rPr>
            </w:pPr>
            <w:r>
              <w:rPr>
                <w:rFonts w:hint="default" w:ascii="宋体" w:hAnsi="宋体" w:eastAsia="宋体" w:cs="宋体"/>
                <w:b w:val="0"/>
                <w:bCs/>
                <w:i w:val="0"/>
                <w:iCs w:val="0"/>
                <w:color w:val="000000"/>
                <w:kern w:val="0"/>
                <w:sz w:val="22"/>
                <w:szCs w:val="22"/>
                <w:u w:val="none"/>
                <w:lang w:val="en-US" w:eastAsia="zh-CN" w:bidi="ar"/>
              </w:rPr>
              <w:t>床体长≥825mm，宽≥530mm，高≤910mm</w:t>
            </w:r>
          </w:p>
          <w:p w14:paraId="153175D1">
            <w:pPr>
              <w:pageBreakBefore w:val="0"/>
              <w:widowControl w:val="0"/>
              <w:kinsoku/>
              <w:wordWrap/>
              <w:overflowPunct/>
              <w:topLinePunct w:val="0"/>
              <w:autoSpaceDE/>
              <w:autoSpaceDN/>
              <w:bidi w:val="0"/>
              <w:adjustRightInd/>
              <w:snapToGrid/>
              <w:spacing w:line="360" w:lineRule="exact"/>
              <w:jc w:val="left"/>
              <w:textAlignment w:val="auto"/>
              <w:rPr>
                <w:rFonts w:hint="default" w:ascii="宋体" w:hAnsi="宋体" w:eastAsia="宋体" w:cs="宋体"/>
                <w:b w:val="0"/>
                <w:bCs/>
                <w:i w:val="0"/>
                <w:iCs w:val="0"/>
                <w:color w:val="000000"/>
                <w:kern w:val="0"/>
                <w:sz w:val="22"/>
                <w:szCs w:val="22"/>
                <w:u w:val="none"/>
                <w:lang w:val="en-US" w:eastAsia="zh-CN" w:bidi="ar"/>
              </w:rPr>
            </w:pPr>
            <w:r>
              <w:rPr>
                <w:rFonts w:hint="default" w:ascii="宋体" w:hAnsi="宋体" w:eastAsia="宋体" w:cs="宋体"/>
                <w:b w:val="0"/>
                <w:bCs/>
                <w:i w:val="0"/>
                <w:iCs w:val="0"/>
                <w:color w:val="000000"/>
                <w:kern w:val="0"/>
                <w:sz w:val="22"/>
                <w:szCs w:val="22"/>
                <w:u w:val="none"/>
                <w:lang w:val="en-US" w:eastAsia="zh-CN" w:bidi="ar"/>
              </w:rPr>
              <w:t>睡盆长≥830mm，宽≥490mm，高≤250mm</w:t>
            </w:r>
          </w:p>
        </w:tc>
        <w:tc>
          <w:tcPr>
            <w:tcW w:w="2128" w:type="pct"/>
            <w:noWrap w:val="0"/>
            <w:vAlign w:val="center"/>
          </w:tcPr>
          <w:p w14:paraId="6F4961E9">
            <w:pPr>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cs="宋体"/>
                <w:b w:val="0"/>
                <w:bCs/>
                <w:snapToGrid w:val="0"/>
                <w:color w:val="000000"/>
                <w:kern w:val="0"/>
                <w:szCs w:val="21"/>
              </w:rPr>
            </w:pPr>
            <w:r>
              <w:rPr>
                <w:rFonts w:hint="eastAsia"/>
                <w:lang w:val="en-US" w:eastAsia="zh-CN"/>
              </w:rPr>
              <w:t>床体采用优质钢材，采用（电泳＋粉末）复式喷涂。</w:t>
            </w:r>
          </w:p>
        </w:tc>
      </w:tr>
    </w:tbl>
    <w:p w14:paraId="0719C833">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Cs/>
          <w:color w:val="000000"/>
          <w:sz w:val="32"/>
          <w:szCs w:val="32"/>
          <w:lang w:val="en-US" w:eastAsia="zh-CN"/>
        </w:rPr>
        <w:br w:type="page"/>
      </w:r>
      <w:r>
        <w:rPr>
          <w:rFonts w:hint="eastAsia" w:ascii="宋体" w:hAnsi="宋体" w:eastAsia="宋体" w:cs="宋体"/>
          <w:sz w:val="44"/>
          <w:szCs w:val="44"/>
          <w:lang w:val="en-US" w:eastAsia="zh-CN"/>
        </w:rPr>
        <w:t>麻醉车</w:t>
      </w:r>
    </w:p>
    <w:p w14:paraId="2DF8C8F4">
      <w:pPr>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p>
    <w:p w14:paraId="32946E8B">
      <w:pPr>
        <w:keepNext w:val="0"/>
        <w:keepLines w:val="0"/>
        <w:pageBreakBefore w:val="0"/>
        <w:widowControl w:val="0"/>
        <w:kinsoku/>
        <w:wordWrap/>
        <w:overflowPunct/>
        <w:topLinePunct w:val="0"/>
        <w:bidi w:val="0"/>
        <w:snapToGrid/>
        <w:ind w:firstLine="643" w:firstLineChars="200"/>
        <w:textAlignment w:val="auto"/>
        <w:rPr>
          <w:rFonts w:hint="default" w:ascii="楷体_GB2312" w:hAnsi="楷体_GB2312" w:eastAsia="楷体_GB2312" w:cs="楷体_GB2312"/>
          <w:b/>
          <w:bCs w:val="0"/>
          <w:color w:val="000000"/>
          <w:sz w:val="32"/>
          <w:szCs w:val="32"/>
          <w:lang w:val="en-US" w:eastAsia="zh-CN"/>
        </w:rPr>
      </w:pPr>
      <w:r>
        <w:rPr>
          <w:rFonts w:hint="eastAsia" w:ascii="楷体_GB2312" w:hAnsi="楷体_GB2312" w:eastAsia="楷体_GB2312" w:cs="楷体_GB2312"/>
          <w:b/>
          <w:bCs w:val="0"/>
          <w:color w:val="000000"/>
          <w:sz w:val="32"/>
          <w:szCs w:val="32"/>
          <w:lang w:val="en-US" w:eastAsia="zh-CN"/>
        </w:rPr>
        <w:t>一、项目概况</w:t>
      </w:r>
    </w:p>
    <w:p w14:paraId="4BC71762">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 w:val="0"/>
          <w:bCs/>
          <w:color w:val="000000"/>
          <w:sz w:val="32"/>
          <w:szCs w:val="32"/>
          <w:lang w:val="en-US" w:eastAsia="zh-CN"/>
        </w:rPr>
        <w:t>1.用途：用于手术室麻醉药品器械存放，辅助麻醉操作，保障术中抢救物资取用。不作医疗器械管理</w:t>
      </w:r>
      <w:r>
        <w:rPr>
          <w:rFonts w:hint="eastAsia" w:ascii="仿宋_GB2312" w:hAnsi="仿宋_GB2312" w:eastAsia="仿宋_GB2312" w:cs="仿宋_GB2312"/>
          <w:bCs/>
          <w:color w:val="000000"/>
          <w:sz w:val="32"/>
          <w:szCs w:val="32"/>
        </w:rPr>
        <w:t>。</w:t>
      </w:r>
    </w:p>
    <w:p w14:paraId="68A04CFD">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★2.本项目不接受进口产品投标。</w:t>
      </w:r>
    </w:p>
    <w:p w14:paraId="01D5183E">
      <w:pPr>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r>
        <w:rPr>
          <w:rFonts w:hint="eastAsia" w:ascii="楷体_GB2312" w:hAnsi="楷体_GB2312" w:eastAsia="楷体_GB2312" w:cs="楷体_GB2312"/>
          <w:b/>
          <w:bCs w:val="0"/>
          <w:color w:val="000000"/>
          <w:sz w:val="32"/>
          <w:szCs w:val="32"/>
          <w:lang w:val="en-US" w:eastAsia="zh-CN"/>
        </w:rPr>
        <w:t>二、主要技术及系统要求</w:t>
      </w:r>
    </w:p>
    <w:p w14:paraId="58015E10">
      <w:pPr>
        <w:keepNext w:val="0"/>
        <w:keepLines w:val="0"/>
        <w:pageBreakBefore w:val="0"/>
        <w:widowControl w:val="0"/>
        <w:kinsoku/>
        <w:wordWrap/>
        <w:overflowPunct/>
        <w:topLinePunct w:val="0"/>
        <w:bidi w:val="0"/>
        <w:snapToGrid/>
        <w:ind w:firstLine="643" w:firstLineChars="200"/>
        <w:textAlignment w:val="auto"/>
        <w:rPr>
          <w:rFonts w:hint="default" w:ascii="仿宋_GB2312" w:hAnsi="仿宋_GB2312" w:eastAsia="仿宋_GB2312" w:cs="仿宋_GB2312"/>
          <w:b/>
          <w:bCs w:val="0"/>
          <w:color w:val="000000"/>
          <w:sz w:val="32"/>
          <w:szCs w:val="32"/>
          <w:lang w:val="en-US" w:eastAsia="zh-CN"/>
        </w:rPr>
      </w:pPr>
      <w:r>
        <w:rPr>
          <w:rFonts w:hint="eastAsia" w:ascii="仿宋_GB2312" w:hAnsi="仿宋_GB2312" w:eastAsia="仿宋_GB2312" w:cs="仿宋_GB2312"/>
          <w:b/>
          <w:bCs w:val="0"/>
          <w:color w:val="000000"/>
          <w:sz w:val="32"/>
          <w:szCs w:val="32"/>
          <w:lang w:val="en-US" w:eastAsia="zh-CN"/>
        </w:rPr>
        <w:t>（一）麻醉车A</w:t>
      </w:r>
    </w:p>
    <w:p w14:paraId="19403FF4">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1.规格尺寸要求: 650*480*950mm±10mm；</w:t>
      </w:r>
    </w:p>
    <w:p w14:paraId="55DA3493">
      <w:pPr>
        <w:keepNext w:val="0"/>
        <w:keepLines w:val="0"/>
        <w:pageBreakBefore w:val="0"/>
        <w:widowControl w:val="0"/>
        <w:kinsoku/>
        <w:wordWrap/>
        <w:overflowPunct/>
        <w:topLinePunct w:val="0"/>
        <w:bidi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2.车体主要材质采用冷钢喷塑件，板材厚度≥1.0mm; </w:t>
      </w:r>
    </w:p>
    <w:p w14:paraId="3719DED8">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3.喷涂冷轧钢材料，经过微生物测试试验，大肠杆菌和金黄色葡萄球的抗菌效果，符合以下要求：大肠杆菌AS1.90（抗菌样品24h后平均回收菌数（cfu/片）＜20，抗（细）菌率(%)≥99.99）；金黄色葡萄球菌AS1.89（抗菌样品24h后平均回收菌数（cfu/片）＜20，抗（细）菌率(%)≥99.99；</w:t>
      </w:r>
    </w:p>
    <w:p w14:paraId="3449B12B">
      <w:pPr>
        <w:keepNext w:val="0"/>
        <w:keepLines w:val="0"/>
        <w:pageBreakBefore w:val="0"/>
        <w:widowControl w:val="0"/>
        <w:kinsoku/>
        <w:wordWrap/>
        <w:overflowPunct/>
        <w:topLinePunct w:val="0"/>
        <w:bidi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4.正面:备≥5层抽屉（2小抽、2中抽、1大抽），带不锈钢护栏; </w:t>
      </w:r>
    </w:p>
    <w:p w14:paraId="338AACDD">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5.左侧：配有副工作台、网篮、洗手液支架; </w:t>
      </w:r>
    </w:p>
    <w:p w14:paraId="025EDED4">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6.右侧：中控锁，3L锐器盒，分色污物桶；</w:t>
      </w:r>
    </w:p>
    <w:p w14:paraId="30EB0F1F">
      <w:pPr>
        <w:keepNext w:val="0"/>
        <w:keepLines w:val="0"/>
        <w:pageBreakBefore w:val="0"/>
        <w:widowControl w:val="0"/>
        <w:kinsoku/>
        <w:wordWrap/>
        <w:overflowPunct/>
        <w:topLinePunct w:val="0"/>
        <w:bidi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7.背后：≥双排可伸缩十联置器盒; </w:t>
      </w:r>
    </w:p>
    <w:p w14:paraId="10B38A66">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8.底部：车体四周安装有防撞装置；≥4寸万向轻音轮（其中≥2只带刹车功能）。</w:t>
      </w:r>
    </w:p>
    <w:p w14:paraId="3312632E">
      <w:pPr>
        <w:keepNext w:val="0"/>
        <w:keepLines w:val="0"/>
        <w:pageBreakBefore w:val="0"/>
        <w:widowControl w:val="0"/>
        <w:kinsoku/>
        <w:wordWrap/>
        <w:overflowPunct/>
        <w:topLinePunct w:val="0"/>
        <w:bidi w:val="0"/>
        <w:snapToGrid/>
        <w:ind w:firstLine="643" w:firstLineChars="200"/>
        <w:textAlignment w:val="auto"/>
        <w:rPr>
          <w:rFonts w:hint="default" w:ascii="仿宋_GB2312" w:hAnsi="仿宋_GB2312" w:eastAsia="仿宋_GB2312" w:cs="仿宋_GB2312"/>
          <w:b/>
          <w:bCs w:val="0"/>
          <w:color w:val="000000"/>
          <w:sz w:val="32"/>
          <w:szCs w:val="32"/>
          <w:lang w:val="en-US" w:eastAsia="zh-CN"/>
        </w:rPr>
      </w:pPr>
      <w:r>
        <w:rPr>
          <w:rFonts w:hint="eastAsia" w:ascii="仿宋_GB2312" w:hAnsi="仿宋_GB2312" w:eastAsia="仿宋_GB2312" w:cs="仿宋_GB2312"/>
          <w:b/>
          <w:bCs w:val="0"/>
          <w:color w:val="000000"/>
          <w:sz w:val="32"/>
          <w:szCs w:val="32"/>
          <w:lang w:val="en-US" w:eastAsia="zh-CN"/>
        </w:rPr>
        <w:t>（二）麻醉车B</w:t>
      </w:r>
    </w:p>
    <w:p w14:paraId="0A9AA9C3">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1.规格尺寸要求: 710*450*880mm±10mm；</w:t>
      </w:r>
    </w:p>
    <w:p w14:paraId="1AF2DB03">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2.车体主要材质由ABS工程塑料与冷钢结构组成；</w:t>
      </w:r>
    </w:p>
    <w:p w14:paraId="74E3EFE3">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3.ABS工程塑料面板材料，经过抗菌试验，符合以下要求：大肠杆菌ATCC 8739（U0≤4.11，Ut≤6.00，At≤1.60，抗菌活性值R≥4.4，抗菌率(%)≥99.9）；金黄色葡萄球菌ATCC 6538P（U0≤4.18，Ut≤6.08，At≤1.33，抗菌活性值R≥4.8，抗菌率(%)≥99.9）；</w:t>
      </w:r>
    </w:p>
    <w:p w14:paraId="391F2D8A">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4.台面：ABS面板注塑工艺成型，凹陷设计可防止物品滑落，配不锈钢护栏；台面上配透明软玻璃；</w:t>
      </w:r>
    </w:p>
    <w:p w14:paraId="19D0171B">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5.正面：配备并列≥2个中抽屉；抽屉为ABS材料；下部两只ABS旋转式污物桶分类存放垃圾；</w:t>
      </w:r>
    </w:p>
    <w:p w14:paraId="418241F0">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6.左侧：配备≥2个不锈钢挂钩；</w:t>
      </w:r>
    </w:p>
    <w:p w14:paraId="6485462A">
      <w:pPr>
        <w:keepNext w:val="0"/>
        <w:keepLines w:val="0"/>
        <w:pageBreakBefore w:val="0"/>
        <w:widowControl w:val="0"/>
        <w:kinsoku/>
        <w:wordWrap/>
        <w:overflowPunct/>
        <w:topLinePunct w:val="0"/>
        <w:bidi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7.底部：车体四周安装有防撞装置；≥4寸万向轻音轮（其中≥2只带刹车功能）。</w:t>
      </w:r>
    </w:p>
    <w:p w14:paraId="4DF68262">
      <w:pPr>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r>
        <w:rPr>
          <w:rFonts w:hint="eastAsia" w:ascii="黑体" w:hAnsi="黑体" w:eastAsia="黑体" w:cs="黑体"/>
          <w:b/>
          <w:bCs w:val="0"/>
          <w:color w:val="000000"/>
          <w:sz w:val="32"/>
          <w:szCs w:val="32"/>
          <w:lang w:val="en-US" w:eastAsia="zh-CN"/>
        </w:rPr>
        <w:t>★</w:t>
      </w:r>
      <w:r>
        <w:rPr>
          <w:rFonts w:hint="eastAsia" w:ascii="楷体_GB2312" w:hAnsi="楷体_GB2312" w:eastAsia="楷体_GB2312" w:cs="楷体_GB2312"/>
          <w:b/>
          <w:bCs w:val="0"/>
          <w:color w:val="000000"/>
          <w:sz w:val="32"/>
          <w:szCs w:val="32"/>
          <w:lang w:val="en-US" w:eastAsia="zh-CN"/>
        </w:rPr>
        <w:t>三、配置要求</w:t>
      </w:r>
    </w:p>
    <w:p w14:paraId="5A167791">
      <w:pPr>
        <w:pStyle w:val="15"/>
        <w:keepNext w:val="0"/>
        <w:keepLines w:val="0"/>
        <w:pageBreakBefore w:val="0"/>
        <w:widowControl w:val="0"/>
        <w:kinsoku/>
        <w:wordWrap/>
        <w:overflowPunct/>
        <w:topLinePunct w:val="0"/>
        <w:autoSpaceDE w:val="0"/>
        <w:autoSpaceDN w:val="0"/>
        <w:bidi w:val="0"/>
        <w:adjustRightInd w:val="0"/>
        <w:snapToGrid/>
        <w:ind w:firstLine="643" w:firstLineChars="200"/>
        <w:textAlignment w:val="auto"/>
        <w:rPr>
          <w:rFonts w:hint="eastAsia" w:ascii="仿宋_GB2312" w:hAnsi="仿宋_GB2312" w:eastAsia="仿宋_GB2312" w:cs="仿宋_GB2312"/>
          <w:b/>
          <w:bCs w:val="0"/>
          <w:color w:val="000000"/>
          <w:sz w:val="32"/>
          <w:szCs w:val="32"/>
          <w:lang w:val="en-US" w:eastAsia="zh-CN"/>
        </w:rPr>
      </w:pPr>
      <w:r>
        <w:rPr>
          <w:rFonts w:hint="eastAsia" w:ascii="仿宋_GB2312" w:hAnsi="仿宋_GB2312" w:eastAsia="仿宋_GB2312" w:cs="仿宋_GB2312"/>
          <w:b/>
          <w:bCs w:val="0"/>
          <w:color w:val="000000"/>
          <w:sz w:val="32"/>
          <w:szCs w:val="32"/>
          <w:lang w:val="en-US" w:eastAsia="zh-CN"/>
        </w:rPr>
        <w:t>（一）麻醉车A</w:t>
      </w:r>
    </w:p>
    <w:p w14:paraId="69E48094">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1.车主体</w:t>
      </w:r>
      <w:r>
        <w:rPr>
          <w:rFonts w:hint="eastAsia" w:ascii="仿宋_GB2312" w:hAnsi="仿宋_GB2312" w:eastAsia="仿宋_GB2312" w:cs="仿宋_GB2312"/>
          <w:bCs/>
          <w:color w:val="000000"/>
          <w:sz w:val="32"/>
          <w:szCs w:val="32"/>
          <w:lang w:val="en-US" w:eastAsia="zh-CN"/>
        </w:rPr>
        <w:tab/>
      </w:r>
      <w:r>
        <w:rPr>
          <w:rFonts w:hint="eastAsia" w:ascii="仿宋_GB2312" w:hAnsi="仿宋_GB2312" w:eastAsia="仿宋_GB2312" w:cs="仿宋_GB2312"/>
          <w:bCs/>
          <w:color w:val="000000"/>
          <w:sz w:val="32"/>
          <w:szCs w:val="32"/>
          <w:lang w:val="en-US" w:eastAsia="zh-CN"/>
        </w:rPr>
        <w:t xml:space="preserve">       14个</w:t>
      </w:r>
    </w:p>
    <w:p w14:paraId="19B74A39">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2.抽屉</w:t>
      </w:r>
      <w:r>
        <w:rPr>
          <w:rFonts w:hint="eastAsia" w:ascii="仿宋_GB2312" w:hAnsi="仿宋_GB2312" w:eastAsia="仿宋_GB2312" w:cs="仿宋_GB2312"/>
          <w:bCs/>
          <w:color w:val="000000"/>
          <w:sz w:val="32"/>
          <w:szCs w:val="32"/>
          <w:lang w:val="en-US" w:eastAsia="zh-CN"/>
        </w:rPr>
        <w:tab/>
      </w:r>
      <w:r>
        <w:rPr>
          <w:rFonts w:hint="eastAsia" w:ascii="仿宋_GB2312" w:hAnsi="仿宋_GB2312" w:eastAsia="仿宋_GB2312" w:cs="仿宋_GB2312"/>
          <w:bCs/>
          <w:color w:val="000000"/>
          <w:sz w:val="32"/>
          <w:szCs w:val="32"/>
          <w:lang w:val="en-US" w:eastAsia="zh-CN"/>
        </w:rPr>
        <w:t xml:space="preserve">          70个</w:t>
      </w:r>
    </w:p>
    <w:p w14:paraId="1A09F439">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3.副工作台       14个</w:t>
      </w:r>
    </w:p>
    <w:p w14:paraId="4D6C260C">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4.网篮         </w:t>
      </w:r>
      <w:r>
        <w:rPr>
          <w:rFonts w:hint="eastAsia" w:ascii="仿宋_GB2312" w:hAnsi="仿宋_GB2312" w:eastAsia="仿宋_GB2312" w:cs="仿宋_GB2312"/>
          <w:bCs/>
          <w:color w:val="000000"/>
          <w:sz w:val="32"/>
          <w:szCs w:val="32"/>
          <w:lang w:val="en-US" w:eastAsia="zh-CN"/>
        </w:rPr>
        <w:tab/>
      </w:r>
      <w:r>
        <w:rPr>
          <w:rFonts w:hint="eastAsia" w:ascii="仿宋_GB2312" w:hAnsi="仿宋_GB2312" w:eastAsia="仿宋_GB2312" w:cs="仿宋_GB2312"/>
          <w:bCs/>
          <w:color w:val="000000"/>
          <w:sz w:val="32"/>
          <w:szCs w:val="32"/>
          <w:lang w:val="en-US" w:eastAsia="zh-CN"/>
        </w:rPr>
        <w:t>14个</w:t>
      </w:r>
    </w:p>
    <w:p w14:paraId="10F31242">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5.洗手液支架</w:t>
      </w:r>
      <w:r>
        <w:rPr>
          <w:rFonts w:hint="eastAsia" w:ascii="仿宋_GB2312" w:hAnsi="仿宋_GB2312" w:eastAsia="仿宋_GB2312" w:cs="仿宋_GB2312"/>
          <w:bCs/>
          <w:color w:val="000000"/>
          <w:sz w:val="32"/>
          <w:szCs w:val="32"/>
          <w:lang w:val="en-US" w:eastAsia="zh-CN"/>
        </w:rPr>
        <w:tab/>
      </w:r>
      <w:r>
        <w:rPr>
          <w:rFonts w:hint="eastAsia" w:ascii="仿宋_GB2312" w:hAnsi="仿宋_GB2312" w:eastAsia="仿宋_GB2312" w:cs="仿宋_GB2312"/>
          <w:bCs/>
          <w:color w:val="000000"/>
          <w:sz w:val="32"/>
          <w:szCs w:val="32"/>
          <w:lang w:val="en-US" w:eastAsia="zh-CN"/>
        </w:rPr>
        <w:t xml:space="preserve">   14个</w:t>
      </w:r>
    </w:p>
    <w:p w14:paraId="0EF37D0A">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6.中控锁</w:t>
      </w:r>
      <w:r>
        <w:rPr>
          <w:rFonts w:hint="eastAsia" w:ascii="仿宋_GB2312" w:hAnsi="仿宋_GB2312" w:eastAsia="仿宋_GB2312" w:cs="仿宋_GB2312"/>
          <w:bCs/>
          <w:color w:val="000000"/>
          <w:sz w:val="32"/>
          <w:szCs w:val="32"/>
          <w:lang w:val="en-US" w:eastAsia="zh-CN"/>
        </w:rPr>
        <w:tab/>
      </w:r>
      <w:r>
        <w:rPr>
          <w:rFonts w:hint="eastAsia" w:ascii="仿宋_GB2312" w:hAnsi="仿宋_GB2312" w:eastAsia="仿宋_GB2312" w:cs="仿宋_GB2312"/>
          <w:bCs/>
          <w:color w:val="000000"/>
          <w:sz w:val="32"/>
          <w:szCs w:val="32"/>
          <w:lang w:val="en-US" w:eastAsia="zh-CN"/>
        </w:rPr>
        <w:t xml:space="preserve">         14个</w:t>
      </w:r>
    </w:p>
    <w:p w14:paraId="0BF07D55">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7.锐器盒          14个</w:t>
      </w:r>
    </w:p>
    <w:p w14:paraId="4DCA9768">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8.污物桶          28个</w:t>
      </w:r>
    </w:p>
    <w:p w14:paraId="2D350088">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9.双排麻醉架      14个</w:t>
      </w:r>
    </w:p>
    <w:p w14:paraId="77E0C4BA">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10.脚轮           56个</w:t>
      </w:r>
    </w:p>
    <w:p w14:paraId="11F0E24E">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11.过床易         5个</w:t>
      </w:r>
    </w:p>
    <w:p w14:paraId="6594F7C8">
      <w:pPr>
        <w:pStyle w:val="15"/>
        <w:keepNext w:val="0"/>
        <w:keepLines w:val="0"/>
        <w:pageBreakBefore w:val="0"/>
        <w:widowControl w:val="0"/>
        <w:kinsoku/>
        <w:wordWrap/>
        <w:overflowPunct/>
        <w:topLinePunct w:val="0"/>
        <w:autoSpaceDE w:val="0"/>
        <w:autoSpaceDN w:val="0"/>
        <w:bidi w:val="0"/>
        <w:adjustRightInd w:val="0"/>
        <w:snapToGrid/>
        <w:ind w:firstLine="640"/>
        <w:textAlignment w:val="auto"/>
        <w:rPr>
          <w:rFonts w:hint="eastAsia" w:ascii="仿宋_GB2312" w:hAnsi="仿宋_GB2312" w:eastAsia="仿宋_GB2312" w:cs="仿宋_GB2312"/>
          <w:b/>
          <w:bCs w:val="0"/>
          <w:color w:val="000000"/>
          <w:sz w:val="32"/>
          <w:szCs w:val="32"/>
          <w:lang w:val="en-US" w:eastAsia="zh-CN"/>
        </w:rPr>
      </w:pPr>
      <w:r>
        <w:rPr>
          <w:rFonts w:hint="eastAsia" w:ascii="仿宋_GB2312" w:hAnsi="仿宋_GB2312" w:eastAsia="仿宋_GB2312" w:cs="仿宋_GB2312"/>
          <w:b/>
          <w:bCs w:val="0"/>
          <w:color w:val="000000"/>
          <w:sz w:val="32"/>
          <w:szCs w:val="32"/>
          <w:lang w:val="en-US" w:eastAsia="zh-CN"/>
        </w:rPr>
        <w:t>（二）麻醉车 B</w:t>
      </w:r>
    </w:p>
    <w:p w14:paraId="207969CD">
      <w:pPr>
        <w:pStyle w:val="15"/>
        <w:keepNext w:val="0"/>
        <w:keepLines w:val="0"/>
        <w:pageBreakBefore w:val="0"/>
        <w:widowControl w:val="0"/>
        <w:kinsoku/>
        <w:wordWrap/>
        <w:overflowPunct/>
        <w:topLinePunct w:val="0"/>
        <w:autoSpaceDE w:val="0"/>
        <w:autoSpaceDN w:val="0"/>
        <w:bidi w:val="0"/>
        <w:adjustRightInd w:val="0"/>
        <w:snapToGrid/>
        <w:ind w:firstLine="640"/>
        <w:textAlignment w:val="auto"/>
        <w:rPr>
          <w:rFonts w:hint="default" w:ascii="仿宋_GB2312" w:hAnsi="仿宋_GB2312" w:eastAsia="仿宋_GB2312" w:cs="仿宋_GB2312"/>
          <w:b w:val="0"/>
          <w:bCs/>
          <w:color w:val="000000"/>
          <w:sz w:val="32"/>
          <w:szCs w:val="32"/>
          <w:lang w:val="en-US" w:eastAsia="zh-CN"/>
        </w:rPr>
      </w:pPr>
      <w:r>
        <w:rPr>
          <w:rFonts w:hint="default" w:ascii="仿宋_GB2312" w:hAnsi="仿宋_GB2312" w:eastAsia="仿宋_GB2312" w:cs="仿宋_GB2312"/>
          <w:b w:val="0"/>
          <w:bCs/>
          <w:color w:val="000000"/>
          <w:sz w:val="32"/>
          <w:szCs w:val="32"/>
          <w:lang w:val="en-US" w:eastAsia="zh-CN"/>
        </w:rPr>
        <w:t>1</w:t>
      </w:r>
      <w:r>
        <w:rPr>
          <w:rFonts w:hint="eastAsia" w:ascii="仿宋_GB2312" w:hAnsi="仿宋_GB2312" w:eastAsia="仿宋_GB2312" w:cs="仿宋_GB2312"/>
          <w:b w:val="0"/>
          <w:bCs/>
          <w:color w:val="000000"/>
          <w:sz w:val="32"/>
          <w:szCs w:val="32"/>
          <w:lang w:val="en-US" w:eastAsia="zh-CN"/>
        </w:rPr>
        <w:t>.</w:t>
      </w:r>
      <w:r>
        <w:rPr>
          <w:rFonts w:hint="default" w:ascii="仿宋_GB2312" w:hAnsi="仿宋_GB2312" w:eastAsia="仿宋_GB2312" w:cs="仿宋_GB2312"/>
          <w:b w:val="0"/>
          <w:bCs/>
          <w:color w:val="000000"/>
          <w:sz w:val="32"/>
          <w:szCs w:val="32"/>
          <w:lang w:val="en-US" w:eastAsia="zh-CN"/>
        </w:rPr>
        <w:t>车主体</w:t>
      </w:r>
      <w:r>
        <w:rPr>
          <w:rFonts w:hint="eastAsia" w:ascii="仿宋_GB2312" w:hAnsi="仿宋_GB2312" w:eastAsia="仿宋_GB2312" w:cs="仿宋_GB2312"/>
          <w:b w:val="0"/>
          <w:bCs/>
          <w:color w:val="000000"/>
          <w:sz w:val="32"/>
          <w:szCs w:val="32"/>
          <w:lang w:val="en-US" w:eastAsia="zh-CN"/>
        </w:rPr>
        <w:t xml:space="preserve">          </w:t>
      </w:r>
      <w:r>
        <w:rPr>
          <w:rFonts w:hint="default" w:ascii="仿宋_GB2312" w:hAnsi="仿宋_GB2312" w:eastAsia="仿宋_GB2312" w:cs="仿宋_GB2312"/>
          <w:b w:val="0"/>
          <w:bCs/>
          <w:color w:val="000000"/>
          <w:sz w:val="32"/>
          <w:szCs w:val="32"/>
          <w:lang w:val="en-US" w:eastAsia="zh-CN"/>
        </w:rPr>
        <w:t>11个</w:t>
      </w:r>
    </w:p>
    <w:p w14:paraId="332E1C2E">
      <w:pPr>
        <w:pStyle w:val="15"/>
        <w:keepNext w:val="0"/>
        <w:keepLines w:val="0"/>
        <w:pageBreakBefore w:val="0"/>
        <w:widowControl w:val="0"/>
        <w:kinsoku/>
        <w:wordWrap/>
        <w:overflowPunct/>
        <w:topLinePunct w:val="0"/>
        <w:autoSpaceDE w:val="0"/>
        <w:autoSpaceDN w:val="0"/>
        <w:bidi w:val="0"/>
        <w:adjustRightInd w:val="0"/>
        <w:snapToGrid/>
        <w:ind w:firstLine="640"/>
        <w:textAlignment w:val="auto"/>
        <w:rPr>
          <w:rFonts w:hint="default" w:ascii="仿宋_GB2312" w:hAnsi="仿宋_GB2312" w:eastAsia="仿宋_GB2312" w:cs="仿宋_GB2312"/>
          <w:b w:val="0"/>
          <w:bCs/>
          <w:color w:val="000000"/>
          <w:sz w:val="32"/>
          <w:szCs w:val="32"/>
          <w:lang w:val="en-US" w:eastAsia="zh-CN"/>
        </w:rPr>
      </w:pPr>
      <w:r>
        <w:rPr>
          <w:rFonts w:hint="default" w:ascii="仿宋_GB2312" w:hAnsi="仿宋_GB2312" w:eastAsia="仿宋_GB2312" w:cs="仿宋_GB2312"/>
          <w:b w:val="0"/>
          <w:bCs/>
          <w:color w:val="000000"/>
          <w:sz w:val="32"/>
          <w:szCs w:val="32"/>
          <w:lang w:val="en-US" w:eastAsia="zh-CN"/>
        </w:rPr>
        <w:t>2</w:t>
      </w:r>
      <w:r>
        <w:rPr>
          <w:rFonts w:hint="eastAsia" w:ascii="仿宋_GB2312" w:hAnsi="仿宋_GB2312" w:eastAsia="仿宋_GB2312" w:cs="仿宋_GB2312"/>
          <w:b w:val="0"/>
          <w:bCs/>
          <w:color w:val="000000"/>
          <w:sz w:val="32"/>
          <w:szCs w:val="32"/>
          <w:lang w:val="en-US" w:eastAsia="zh-CN"/>
        </w:rPr>
        <w:t>.</w:t>
      </w:r>
      <w:r>
        <w:rPr>
          <w:rFonts w:hint="default" w:ascii="仿宋_GB2312" w:hAnsi="仿宋_GB2312" w:eastAsia="仿宋_GB2312" w:cs="仿宋_GB2312"/>
          <w:b w:val="0"/>
          <w:bCs/>
          <w:color w:val="000000"/>
          <w:sz w:val="32"/>
          <w:szCs w:val="32"/>
          <w:lang w:val="en-US" w:eastAsia="zh-CN"/>
        </w:rPr>
        <w:t>抽屉</w:t>
      </w:r>
      <w:r>
        <w:rPr>
          <w:rFonts w:hint="eastAsia" w:ascii="仿宋_GB2312" w:hAnsi="仿宋_GB2312" w:eastAsia="仿宋_GB2312" w:cs="仿宋_GB2312"/>
          <w:b w:val="0"/>
          <w:bCs/>
          <w:color w:val="000000"/>
          <w:sz w:val="32"/>
          <w:szCs w:val="32"/>
          <w:lang w:val="en-US" w:eastAsia="zh-CN"/>
        </w:rPr>
        <w:t xml:space="preserve">            </w:t>
      </w:r>
      <w:r>
        <w:rPr>
          <w:rFonts w:hint="default" w:ascii="仿宋_GB2312" w:hAnsi="仿宋_GB2312" w:eastAsia="仿宋_GB2312" w:cs="仿宋_GB2312"/>
          <w:b w:val="0"/>
          <w:bCs/>
          <w:color w:val="000000"/>
          <w:sz w:val="32"/>
          <w:szCs w:val="32"/>
          <w:lang w:val="en-US" w:eastAsia="zh-CN"/>
        </w:rPr>
        <w:t>22个</w:t>
      </w:r>
    </w:p>
    <w:p w14:paraId="5D3DC211">
      <w:pPr>
        <w:pStyle w:val="15"/>
        <w:keepNext w:val="0"/>
        <w:keepLines w:val="0"/>
        <w:pageBreakBefore w:val="0"/>
        <w:widowControl w:val="0"/>
        <w:kinsoku/>
        <w:wordWrap/>
        <w:overflowPunct/>
        <w:topLinePunct w:val="0"/>
        <w:autoSpaceDE w:val="0"/>
        <w:autoSpaceDN w:val="0"/>
        <w:bidi w:val="0"/>
        <w:adjustRightInd w:val="0"/>
        <w:snapToGrid/>
        <w:ind w:firstLine="640"/>
        <w:textAlignment w:val="auto"/>
        <w:rPr>
          <w:rFonts w:hint="default" w:ascii="仿宋_GB2312" w:hAnsi="仿宋_GB2312" w:eastAsia="仿宋_GB2312" w:cs="仿宋_GB2312"/>
          <w:b w:val="0"/>
          <w:bCs/>
          <w:color w:val="000000"/>
          <w:sz w:val="32"/>
          <w:szCs w:val="32"/>
          <w:lang w:val="en-US" w:eastAsia="zh-CN"/>
        </w:rPr>
      </w:pPr>
      <w:r>
        <w:rPr>
          <w:rFonts w:hint="default" w:ascii="仿宋_GB2312" w:hAnsi="仿宋_GB2312" w:eastAsia="仿宋_GB2312" w:cs="仿宋_GB2312"/>
          <w:b w:val="0"/>
          <w:bCs/>
          <w:color w:val="000000"/>
          <w:sz w:val="32"/>
          <w:szCs w:val="32"/>
          <w:lang w:val="en-US" w:eastAsia="zh-CN"/>
        </w:rPr>
        <w:t>3</w:t>
      </w:r>
      <w:r>
        <w:rPr>
          <w:rFonts w:hint="eastAsia" w:ascii="仿宋_GB2312" w:hAnsi="仿宋_GB2312" w:eastAsia="仿宋_GB2312" w:cs="仿宋_GB2312"/>
          <w:b w:val="0"/>
          <w:bCs/>
          <w:color w:val="000000"/>
          <w:sz w:val="32"/>
          <w:szCs w:val="32"/>
          <w:lang w:val="en-US" w:eastAsia="zh-CN"/>
        </w:rPr>
        <w:t>.</w:t>
      </w:r>
      <w:r>
        <w:rPr>
          <w:rFonts w:hint="default" w:ascii="仿宋_GB2312" w:hAnsi="仿宋_GB2312" w:eastAsia="仿宋_GB2312" w:cs="仿宋_GB2312"/>
          <w:b w:val="0"/>
          <w:bCs/>
          <w:color w:val="000000"/>
          <w:sz w:val="32"/>
          <w:szCs w:val="32"/>
          <w:lang w:val="en-US" w:eastAsia="zh-CN"/>
        </w:rPr>
        <w:t>旋转污物桶</w:t>
      </w:r>
      <w:r>
        <w:rPr>
          <w:rFonts w:hint="eastAsia" w:ascii="仿宋_GB2312" w:hAnsi="仿宋_GB2312" w:eastAsia="仿宋_GB2312" w:cs="仿宋_GB2312"/>
          <w:b w:val="0"/>
          <w:bCs/>
          <w:color w:val="000000"/>
          <w:sz w:val="32"/>
          <w:szCs w:val="32"/>
          <w:lang w:val="en-US" w:eastAsia="zh-CN"/>
        </w:rPr>
        <w:t xml:space="preserve">      </w:t>
      </w:r>
      <w:r>
        <w:rPr>
          <w:rFonts w:hint="default" w:ascii="仿宋_GB2312" w:hAnsi="仿宋_GB2312" w:eastAsia="仿宋_GB2312" w:cs="仿宋_GB2312"/>
          <w:b w:val="0"/>
          <w:bCs/>
          <w:color w:val="000000"/>
          <w:sz w:val="32"/>
          <w:szCs w:val="32"/>
          <w:lang w:val="en-US" w:eastAsia="zh-CN"/>
        </w:rPr>
        <w:t>22个</w:t>
      </w:r>
    </w:p>
    <w:p w14:paraId="200CCCE7">
      <w:pPr>
        <w:pStyle w:val="15"/>
        <w:keepNext w:val="0"/>
        <w:keepLines w:val="0"/>
        <w:pageBreakBefore w:val="0"/>
        <w:widowControl w:val="0"/>
        <w:kinsoku/>
        <w:wordWrap/>
        <w:overflowPunct/>
        <w:topLinePunct w:val="0"/>
        <w:autoSpaceDE w:val="0"/>
        <w:autoSpaceDN w:val="0"/>
        <w:bidi w:val="0"/>
        <w:adjustRightInd w:val="0"/>
        <w:snapToGrid/>
        <w:ind w:firstLine="640"/>
        <w:textAlignment w:val="auto"/>
        <w:rPr>
          <w:rFonts w:hint="default" w:ascii="仿宋_GB2312" w:hAnsi="仿宋_GB2312" w:eastAsia="仿宋_GB2312" w:cs="仿宋_GB2312"/>
          <w:b w:val="0"/>
          <w:bCs/>
          <w:color w:val="000000"/>
          <w:sz w:val="32"/>
          <w:szCs w:val="32"/>
          <w:lang w:val="en-US" w:eastAsia="zh-CN"/>
        </w:rPr>
      </w:pPr>
      <w:r>
        <w:rPr>
          <w:rFonts w:hint="default" w:ascii="仿宋_GB2312" w:hAnsi="仿宋_GB2312" w:eastAsia="仿宋_GB2312" w:cs="仿宋_GB2312"/>
          <w:b w:val="0"/>
          <w:bCs/>
          <w:color w:val="000000"/>
          <w:sz w:val="32"/>
          <w:szCs w:val="32"/>
          <w:lang w:val="en-US" w:eastAsia="zh-CN"/>
        </w:rPr>
        <w:t>4</w:t>
      </w:r>
      <w:r>
        <w:rPr>
          <w:rFonts w:hint="eastAsia" w:ascii="仿宋_GB2312" w:hAnsi="仿宋_GB2312" w:eastAsia="仿宋_GB2312" w:cs="仿宋_GB2312"/>
          <w:b w:val="0"/>
          <w:bCs/>
          <w:color w:val="000000"/>
          <w:sz w:val="32"/>
          <w:szCs w:val="32"/>
          <w:lang w:val="en-US" w:eastAsia="zh-CN"/>
        </w:rPr>
        <w:t>.</w:t>
      </w:r>
      <w:r>
        <w:rPr>
          <w:rFonts w:hint="default" w:ascii="仿宋_GB2312" w:hAnsi="仿宋_GB2312" w:eastAsia="仿宋_GB2312" w:cs="仿宋_GB2312"/>
          <w:b w:val="0"/>
          <w:bCs/>
          <w:color w:val="000000"/>
          <w:sz w:val="32"/>
          <w:szCs w:val="32"/>
          <w:lang w:val="en-US" w:eastAsia="zh-CN"/>
        </w:rPr>
        <w:t>脚轮</w:t>
      </w:r>
      <w:r>
        <w:rPr>
          <w:rFonts w:hint="eastAsia" w:ascii="仿宋_GB2312" w:hAnsi="仿宋_GB2312" w:eastAsia="仿宋_GB2312" w:cs="仿宋_GB2312"/>
          <w:b w:val="0"/>
          <w:bCs/>
          <w:color w:val="000000"/>
          <w:sz w:val="32"/>
          <w:szCs w:val="32"/>
          <w:lang w:val="en-US" w:eastAsia="zh-CN"/>
        </w:rPr>
        <w:t xml:space="preserve">            </w:t>
      </w:r>
      <w:r>
        <w:rPr>
          <w:rFonts w:hint="default" w:ascii="仿宋_GB2312" w:hAnsi="仿宋_GB2312" w:eastAsia="仿宋_GB2312" w:cs="仿宋_GB2312"/>
          <w:b w:val="0"/>
          <w:bCs/>
          <w:color w:val="000000"/>
          <w:sz w:val="32"/>
          <w:szCs w:val="32"/>
          <w:lang w:val="en-US" w:eastAsia="zh-CN"/>
        </w:rPr>
        <w:t>44个</w:t>
      </w:r>
    </w:p>
    <w:p w14:paraId="7FC18632">
      <w:pPr>
        <w:pStyle w:val="15"/>
        <w:keepNext w:val="0"/>
        <w:keepLines w:val="0"/>
        <w:pageBreakBefore w:val="0"/>
        <w:widowControl w:val="0"/>
        <w:kinsoku/>
        <w:wordWrap/>
        <w:overflowPunct/>
        <w:topLinePunct w:val="0"/>
        <w:autoSpaceDE w:val="0"/>
        <w:autoSpaceDN w:val="0"/>
        <w:bidi w:val="0"/>
        <w:adjustRightInd w:val="0"/>
        <w:snapToGrid/>
        <w:ind w:firstLine="640"/>
        <w:textAlignment w:val="auto"/>
        <w:rPr>
          <w:rFonts w:hint="default" w:ascii="仿宋_GB2312" w:hAnsi="仿宋_GB2312" w:eastAsia="仿宋_GB2312" w:cs="仿宋_GB2312"/>
          <w:b w:val="0"/>
          <w:bCs/>
          <w:color w:val="000000"/>
          <w:sz w:val="32"/>
          <w:szCs w:val="32"/>
          <w:lang w:val="en-US" w:eastAsia="zh-CN"/>
        </w:rPr>
      </w:pPr>
      <w:r>
        <w:rPr>
          <w:rFonts w:hint="default" w:ascii="仿宋_GB2312" w:hAnsi="仿宋_GB2312" w:eastAsia="仿宋_GB2312" w:cs="仿宋_GB2312"/>
          <w:b w:val="0"/>
          <w:bCs/>
          <w:color w:val="000000"/>
          <w:sz w:val="32"/>
          <w:szCs w:val="32"/>
          <w:lang w:val="en-US" w:eastAsia="zh-CN"/>
        </w:rPr>
        <w:t>5</w:t>
      </w:r>
      <w:r>
        <w:rPr>
          <w:rFonts w:hint="eastAsia" w:ascii="仿宋_GB2312" w:hAnsi="仿宋_GB2312" w:eastAsia="仿宋_GB2312" w:cs="仿宋_GB2312"/>
          <w:b w:val="0"/>
          <w:bCs/>
          <w:color w:val="000000"/>
          <w:sz w:val="32"/>
          <w:szCs w:val="32"/>
          <w:lang w:val="en-US" w:eastAsia="zh-CN"/>
        </w:rPr>
        <w:t>.</w:t>
      </w:r>
      <w:r>
        <w:rPr>
          <w:rFonts w:hint="default" w:ascii="仿宋_GB2312" w:hAnsi="仿宋_GB2312" w:eastAsia="仿宋_GB2312" w:cs="仿宋_GB2312"/>
          <w:b w:val="0"/>
          <w:bCs/>
          <w:color w:val="000000"/>
          <w:sz w:val="32"/>
          <w:szCs w:val="32"/>
          <w:lang w:val="en-US" w:eastAsia="zh-CN"/>
        </w:rPr>
        <w:t>过床易</w:t>
      </w:r>
      <w:r>
        <w:rPr>
          <w:rFonts w:hint="eastAsia" w:ascii="仿宋_GB2312" w:hAnsi="仿宋_GB2312" w:eastAsia="仿宋_GB2312" w:cs="仿宋_GB2312"/>
          <w:b w:val="0"/>
          <w:bCs/>
          <w:color w:val="000000"/>
          <w:sz w:val="32"/>
          <w:szCs w:val="32"/>
          <w:lang w:val="en-US" w:eastAsia="zh-CN"/>
        </w:rPr>
        <w:t xml:space="preserve">          </w:t>
      </w:r>
      <w:r>
        <w:rPr>
          <w:rFonts w:hint="default" w:ascii="仿宋_GB2312" w:hAnsi="仿宋_GB2312" w:eastAsia="仿宋_GB2312" w:cs="仿宋_GB2312"/>
          <w:b w:val="0"/>
          <w:bCs/>
          <w:color w:val="000000"/>
          <w:sz w:val="32"/>
          <w:szCs w:val="32"/>
          <w:lang w:val="en-US" w:eastAsia="zh-CN"/>
        </w:rPr>
        <w:t>5个</w:t>
      </w:r>
    </w:p>
    <w:p w14:paraId="1EDB3B97">
      <w:pPr>
        <w:pStyle w:val="15"/>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r>
        <w:rPr>
          <w:rFonts w:hint="eastAsia" w:ascii="楷体_GB2312" w:hAnsi="楷体_GB2312" w:eastAsia="楷体_GB2312" w:cs="楷体_GB2312"/>
          <w:b/>
          <w:bCs w:val="0"/>
          <w:color w:val="000000"/>
          <w:sz w:val="32"/>
          <w:szCs w:val="32"/>
          <w:lang w:val="en-US" w:eastAsia="zh-CN"/>
        </w:rPr>
        <w:t>四、商务条款及其他要求</w:t>
      </w:r>
    </w:p>
    <w:p w14:paraId="0981ECBB">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（一）</w:t>
      </w:r>
      <w:r>
        <w:rPr>
          <w:rFonts w:hint="eastAsia" w:ascii="黑体" w:hAnsi="黑体" w:eastAsia="黑体" w:cs="黑体"/>
          <w:b/>
          <w:bCs w:val="0"/>
          <w:color w:val="000000"/>
          <w:sz w:val="32"/>
          <w:szCs w:val="32"/>
          <w:lang w:val="en-US" w:eastAsia="zh-CN"/>
        </w:rPr>
        <w:t>★</w:t>
      </w:r>
      <w:r>
        <w:rPr>
          <w:rFonts w:hint="default" w:ascii="仿宋_GB2312" w:hAnsi="仿宋_GB2312" w:eastAsia="仿宋_GB2312" w:cs="仿宋_GB2312"/>
          <w:bCs/>
          <w:color w:val="000000"/>
          <w:sz w:val="32"/>
          <w:szCs w:val="32"/>
          <w:lang w:val="en-US" w:eastAsia="zh-CN"/>
        </w:rPr>
        <w:t>交货日期：签订合同后，经采购人通知后30（天）日历日内。</w:t>
      </w:r>
    </w:p>
    <w:p w14:paraId="34118E31">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（二）</w:t>
      </w:r>
      <w:r>
        <w:rPr>
          <w:rFonts w:hint="default" w:ascii="仿宋_GB2312" w:hAnsi="仿宋_GB2312" w:eastAsia="仿宋_GB2312" w:cs="仿宋_GB2312"/>
          <w:bCs/>
          <w:color w:val="000000"/>
          <w:sz w:val="32"/>
          <w:szCs w:val="32"/>
          <w:lang w:val="en-US" w:eastAsia="zh-CN"/>
        </w:rPr>
        <w:t>交货地点：采购人指定地点。</w:t>
      </w:r>
    </w:p>
    <w:p w14:paraId="430B3AAD">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（三）</w:t>
      </w:r>
      <w:r>
        <w:rPr>
          <w:rFonts w:hint="default" w:ascii="仿宋_GB2312" w:hAnsi="仿宋_GB2312" w:eastAsia="仿宋_GB2312" w:cs="仿宋_GB2312"/>
          <w:bCs/>
          <w:color w:val="000000"/>
          <w:sz w:val="32"/>
          <w:szCs w:val="32"/>
          <w:lang w:val="en-US" w:eastAsia="zh-CN"/>
        </w:rPr>
        <w:t>报价：人民币报价</w:t>
      </w:r>
      <w:r>
        <w:rPr>
          <w:rFonts w:hint="eastAsia" w:ascii="仿宋_GB2312" w:hAnsi="仿宋_GB2312" w:eastAsia="仿宋_GB2312" w:cs="仿宋_GB2312"/>
          <w:bCs/>
          <w:color w:val="000000"/>
          <w:sz w:val="32"/>
          <w:szCs w:val="32"/>
          <w:lang w:val="en-US" w:eastAsia="zh-CN"/>
        </w:rPr>
        <w:t>；工地交货价</w:t>
      </w:r>
      <w:r>
        <w:rPr>
          <w:rFonts w:hint="default" w:ascii="仿宋_GB2312" w:hAnsi="仿宋_GB2312" w:eastAsia="仿宋_GB2312" w:cs="仿宋_GB2312"/>
          <w:bCs/>
          <w:color w:val="000000"/>
          <w:sz w:val="32"/>
          <w:szCs w:val="32"/>
          <w:lang w:val="en-US" w:eastAsia="zh-CN"/>
        </w:rPr>
        <w:t>。</w:t>
      </w:r>
    </w:p>
    <w:p w14:paraId="770E6E3E">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（四）</w:t>
      </w:r>
      <w:r>
        <w:rPr>
          <w:rFonts w:hint="default" w:ascii="仿宋_GB2312" w:hAnsi="仿宋_GB2312" w:eastAsia="仿宋_GB2312" w:cs="仿宋_GB2312"/>
          <w:bCs/>
          <w:color w:val="000000"/>
          <w:sz w:val="32"/>
          <w:szCs w:val="32"/>
          <w:lang w:val="en-US" w:eastAsia="zh-CN"/>
        </w:rPr>
        <w:t>付款条件：（1）签订合同和财政资金到位后，采购人支付中标人不超过合同金额70%的预付款；（2）财政资金到位后，设备送货至采购人指定地点后，可支付不超过合同总额95%的设备款；（3）财政资金到位后，设备验收合格后可支付剩余验收款（若资金不足以支付尾款，可据实支付部分款项，待资金到位后支付余款）；（4）若资金到位后且设备验收合格，可一次性支付100%验收款。当采购人2026年的资金预算不足以支付项目款项时，则需顺延至2027年支付</w:t>
      </w:r>
      <w:r>
        <w:rPr>
          <w:rFonts w:hint="eastAsia" w:ascii="仿宋_GB2312" w:hAnsi="仿宋_GB2312" w:eastAsia="仿宋_GB2312" w:cs="仿宋_GB2312"/>
          <w:bCs/>
          <w:color w:val="000000"/>
          <w:sz w:val="32"/>
          <w:szCs w:val="32"/>
          <w:lang w:val="en-US" w:eastAsia="zh-CN"/>
        </w:rPr>
        <w:t>。</w:t>
      </w:r>
    </w:p>
    <w:p w14:paraId="55A3E1A0">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（五）如有备品备件、消耗品、零配件，提供备品备件清单，提供消耗品优惠价格，提供零配件优惠价格。</w:t>
      </w:r>
    </w:p>
    <w:p w14:paraId="59FC54BC">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（六）★免费保修期内售后服务要求</w:t>
      </w:r>
    </w:p>
    <w:p w14:paraId="5F7D6458">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1.在免费保修期内，一旦发生质量问题，投标人保证在接到通知12小时内赶到现场进行修理或更换。</w:t>
      </w:r>
    </w:p>
    <w:p w14:paraId="17F7D544">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lang w:val="en-US" w:eastAsia="zh-CN"/>
        </w:rPr>
        <w:t>2.对所提供的设备整机质保期（整机全保）：≥3年，保修期3年。质保期时间自最终验收合格并交付使用之日起计算，保修期自质保期满起计算</w:t>
      </w:r>
      <w:r>
        <w:rPr>
          <w:rFonts w:hint="default" w:ascii="仿宋_GB2312" w:hAnsi="仿宋_GB2312" w:eastAsia="仿宋_GB2312" w:cs="仿宋_GB2312"/>
          <w:bCs/>
          <w:color w:val="000000"/>
          <w:sz w:val="32"/>
          <w:szCs w:val="32"/>
          <w:highlight w:val="none"/>
          <w:lang w:val="en-US" w:eastAsia="zh-CN"/>
        </w:rPr>
        <w:t>。</w:t>
      </w:r>
    </w:p>
    <w:p w14:paraId="740AE302">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3.免费保修期（质保期）内，所有服务及配件全部免费。</w:t>
      </w:r>
    </w:p>
    <w:p w14:paraId="64F2F675">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4.保修期内，免费维修，用户只承担更换零备件的费用。</w:t>
      </w:r>
    </w:p>
    <w:p w14:paraId="420EC267">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5.</w:t>
      </w:r>
      <w:r>
        <w:rPr>
          <w:rFonts w:hint="default" w:ascii="仿宋_GB2312" w:hAnsi="仿宋_GB2312" w:eastAsia="仿宋_GB2312" w:cs="仿宋_GB2312"/>
          <w:bCs/>
          <w:color w:val="000000"/>
          <w:sz w:val="32"/>
          <w:szCs w:val="32"/>
          <w:highlight w:val="none"/>
          <w:lang w:val="en-US" w:eastAsia="zh-CN"/>
        </w:rPr>
        <w:t>投标人应提供全套、完整的书面技术资料，包括仪器说明书、操作手册、简单维修说明、图纸等。</w:t>
      </w:r>
    </w:p>
    <w:p w14:paraId="6159AC2E">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6.在质保期内，投标人须保证设备的开机率＞95%；若不能达到此开机率，将作以下处理：（1）90%＜开机率≤95%按一赔二延长质保期；（2）85%＜开机率≤90%按一赔五延长质保期；（3）开机率低于85%，供应商须无条件更换新机，并重新计算质保期，以及赔偿用户的直接经济损失和间接经济损失</w:t>
      </w:r>
      <w:r>
        <w:rPr>
          <w:rFonts w:hint="default" w:ascii="仿宋_GB2312" w:hAnsi="仿宋_GB2312" w:eastAsia="仿宋_GB2312" w:cs="仿宋_GB2312"/>
          <w:bCs/>
          <w:color w:val="000000"/>
          <w:sz w:val="32"/>
          <w:szCs w:val="32"/>
          <w:highlight w:val="none"/>
          <w:lang w:val="en-US" w:eastAsia="zh-CN"/>
        </w:rPr>
        <w:t>。</w:t>
      </w:r>
    </w:p>
    <w:p w14:paraId="2F2ACD66">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（七）</w:t>
      </w:r>
      <w:r>
        <w:rPr>
          <w:rFonts w:hint="eastAsia" w:ascii="黑体" w:hAnsi="黑体" w:eastAsia="黑体" w:cs="黑体"/>
          <w:b/>
          <w:bCs w:val="0"/>
          <w:color w:val="000000"/>
          <w:sz w:val="32"/>
          <w:szCs w:val="32"/>
          <w:lang w:val="en-US" w:eastAsia="zh-CN"/>
        </w:rPr>
        <w:t>★</w:t>
      </w:r>
      <w:r>
        <w:rPr>
          <w:rFonts w:hint="eastAsia" w:ascii="仿宋_GB2312" w:hAnsi="仿宋_GB2312" w:eastAsia="仿宋_GB2312" w:cs="仿宋_GB2312"/>
          <w:bCs/>
          <w:color w:val="000000"/>
          <w:sz w:val="32"/>
          <w:szCs w:val="32"/>
          <w:highlight w:val="none"/>
          <w:lang w:val="en-US" w:eastAsia="zh-CN"/>
        </w:rPr>
        <w:t>免费保修期外售后服务要求</w:t>
      </w:r>
    </w:p>
    <w:p w14:paraId="1A496EEE">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highlight w:val="none"/>
          <w:lang w:val="en-US" w:eastAsia="zh-CN"/>
        </w:rPr>
        <w:t>1.由设备制造商提供售后服务，2小时内响应，12小时维修工程师到位，并在24小时内消除故障（不可抗力情况除外）。消耗品和零配件供应及时，特殊情况下可提供备用机</w:t>
      </w:r>
      <w:r>
        <w:rPr>
          <w:rFonts w:hint="default" w:ascii="仿宋_GB2312" w:hAnsi="仿宋_GB2312" w:eastAsia="仿宋_GB2312" w:cs="仿宋_GB2312"/>
          <w:bCs/>
          <w:color w:val="000000"/>
          <w:sz w:val="32"/>
          <w:szCs w:val="32"/>
          <w:lang w:val="en-US" w:eastAsia="zh-CN"/>
        </w:rPr>
        <w:t>。</w:t>
      </w:r>
    </w:p>
    <w:p w14:paraId="31CFEA38">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2.投标时，供应商承诺保修期外，能及时为采购人提供备品备件、专用试剂及耗材。</w:t>
      </w:r>
    </w:p>
    <w:p w14:paraId="50EFC927">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3.质保期满之日起3年内免费提供软件升级、终身软件备份。</w:t>
      </w:r>
    </w:p>
    <w:p w14:paraId="4CEA8426">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（八）</w:t>
      </w:r>
      <w:r>
        <w:rPr>
          <w:rFonts w:hint="eastAsia" w:ascii="黑体" w:hAnsi="黑体" w:eastAsia="黑体" w:cs="黑体"/>
          <w:b/>
          <w:bCs w:val="0"/>
          <w:color w:val="000000"/>
          <w:sz w:val="32"/>
          <w:szCs w:val="32"/>
          <w:lang w:val="en-US" w:eastAsia="zh-CN"/>
        </w:rPr>
        <w:t>★</w:t>
      </w:r>
      <w:r>
        <w:rPr>
          <w:rFonts w:hint="eastAsia" w:ascii="仿宋_GB2312" w:hAnsi="仿宋_GB2312" w:eastAsia="仿宋_GB2312" w:cs="仿宋_GB2312"/>
          <w:bCs/>
          <w:color w:val="000000"/>
          <w:sz w:val="32"/>
          <w:szCs w:val="32"/>
          <w:lang w:val="en-US" w:eastAsia="zh-CN"/>
        </w:rPr>
        <w:t>其他服务要求</w:t>
      </w:r>
    </w:p>
    <w:p w14:paraId="4C765B9D">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1.投标人须在签订合同之日起3天内向采购人提供设备的运行、安装、使用环境要求。</w:t>
      </w:r>
    </w:p>
    <w:p w14:paraId="6FAF7857">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2.运输、安装按照仪器说明书要求。</w:t>
      </w:r>
    </w:p>
    <w:p w14:paraId="411E1C84">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3.投标人应派专业技术人员免费对采购单位指定人员进行定期培训及指导，直至其完全掌握设备的基本故障处理技术。</w:t>
      </w:r>
    </w:p>
    <w:p w14:paraId="420404CF">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4.现场培训：投标人应提供现场技术培训，保证使用人员正常操作设备的各种功能。</w:t>
      </w:r>
    </w:p>
    <w:p w14:paraId="2C3BB0C4">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5.投标人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供应商承担全部责任。 </w:t>
      </w:r>
    </w:p>
    <w:p w14:paraId="0E8F8A9A">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6.采购人购买产品后，有权对该产品与其他设备进行配套、整合或适当改进，而免受侵犯专利权的起诉。</w:t>
      </w:r>
    </w:p>
    <w:p w14:paraId="0403A838">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（九）★交货时，设备出厂时间：≤1年（以合同签订日期为准）。</w:t>
      </w:r>
    </w:p>
    <w:p w14:paraId="0A5F8877">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（十）★配齐满足以上性能且正常使用所需要的所有附件，无需另外购置即可满足临床需求。</w:t>
      </w:r>
    </w:p>
    <w:p w14:paraId="05773B0D">
      <w:pPr>
        <w:pStyle w:val="15"/>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r>
        <w:rPr>
          <w:rFonts w:hint="eastAsia" w:ascii="楷体_GB2312" w:hAnsi="楷体_GB2312" w:eastAsia="楷体_GB2312" w:cs="楷体_GB2312"/>
          <w:b/>
          <w:bCs w:val="0"/>
          <w:color w:val="000000"/>
          <w:sz w:val="32"/>
          <w:szCs w:val="32"/>
          <w:lang w:val="en-US" w:eastAsia="zh-CN"/>
        </w:rPr>
        <w:t>五、综合评分表</w:t>
      </w:r>
      <w:r>
        <w:rPr>
          <w:rFonts w:hint="eastAsia" w:ascii="楷体_GB2312" w:hAnsi="楷体_GB2312" w:eastAsia="楷体_GB2312" w:cs="楷体_GB2312"/>
          <w:b/>
          <w:bCs w:val="0"/>
          <w:color w:val="000000"/>
          <w:sz w:val="32"/>
          <w:szCs w:val="32"/>
          <w:highlight w:val="red"/>
          <w:lang w:val="en-US" w:eastAsia="zh-CN"/>
        </w:rPr>
        <w:t>（综合得分60分以下的视为投标无效）</w:t>
      </w:r>
    </w:p>
    <w:tbl>
      <w:tblPr>
        <w:tblStyle w:val="9"/>
        <w:tblW w:w="8448" w:type="dxa"/>
        <w:tblInd w:w="93"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80"/>
        <w:gridCol w:w="1147"/>
        <w:gridCol w:w="5843"/>
        <w:gridCol w:w="778"/>
      </w:tblGrid>
      <w:tr w14:paraId="7F3493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noWrap w:val="0"/>
            <w:vAlign w:val="center"/>
          </w:tcPr>
          <w:p w14:paraId="2F32DB1A">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评审部分</w:t>
            </w:r>
          </w:p>
        </w:tc>
        <w:tc>
          <w:tcPr>
            <w:tcW w:w="1147" w:type="dxa"/>
            <w:noWrap w:val="0"/>
            <w:vAlign w:val="center"/>
          </w:tcPr>
          <w:p w14:paraId="4059A002">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评审因素</w:t>
            </w:r>
          </w:p>
        </w:tc>
        <w:tc>
          <w:tcPr>
            <w:tcW w:w="5843" w:type="dxa"/>
            <w:noWrap w:val="0"/>
            <w:vAlign w:val="center"/>
          </w:tcPr>
          <w:p w14:paraId="3CB481EC">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评分细则</w:t>
            </w:r>
          </w:p>
        </w:tc>
        <w:tc>
          <w:tcPr>
            <w:tcW w:w="778" w:type="dxa"/>
            <w:tcBorders>
              <w:left w:val="single" w:color="auto" w:sz="4" w:space="0"/>
            </w:tcBorders>
            <w:noWrap w:val="0"/>
            <w:vAlign w:val="center"/>
          </w:tcPr>
          <w:p w14:paraId="4E3A88C0">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分值（分）</w:t>
            </w:r>
          </w:p>
        </w:tc>
      </w:tr>
      <w:tr w14:paraId="0A6481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1" w:hRule="atLeast"/>
        </w:trPr>
        <w:tc>
          <w:tcPr>
            <w:tcW w:w="680" w:type="dxa"/>
            <w:noWrap w:val="0"/>
            <w:vAlign w:val="center"/>
          </w:tcPr>
          <w:p w14:paraId="1A1BED1F">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一</w:t>
            </w:r>
          </w:p>
        </w:tc>
        <w:tc>
          <w:tcPr>
            <w:tcW w:w="7768" w:type="dxa"/>
            <w:gridSpan w:val="3"/>
            <w:noWrap w:val="0"/>
            <w:vAlign w:val="center"/>
          </w:tcPr>
          <w:p w14:paraId="6CB0BC6F">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技术部分（</w:t>
            </w:r>
            <w:r>
              <w:rPr>
                <w:rFonts w:hint="eastAsia" w:ascii="宋体" w:hAnsi="宋体" w:eastAsia="宋体" w:cs="宋体"/>
                <w:b/>
                <w:color w:val="auto"/>
                <w:sz w:val="21"/>
                <w:szCs w:val="21"/>
                <w:lang w:val="en-US" w:eastAsia="zh-CN"/>
              </w:rPr>
              <w:t>56</w:t>
            </w:r>
            <w:r>
              <w:rPr>
                <w:rFonts w:hint="eastAsia" w:ascii="宋体" w:hAnsi="宋体" w:eastAsia="宋体" w:cs="宋体"/>
                <w:b/>
                <w:color w:val="auto"/>
                <w:sz w:val="21"/>
                <w:szCs w:val="21"/>
              </w:rPr>
              <w:t>分）</w:t>
            </w:r>
          </w:p>
        </w:tc>
      </w:tr>
      <w:tr w14:paraId="53BE6F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bottom w:val="single" w:color="auto" w:sz="4" w:space="0"/>
            </w:tcBorders>
            <w:noWrap w:val="0"/>
            <w:vAlign w:val="center"/>
          </w:tcPr>
          <w:p w14:paraId="280A5A14">
            <w:pPr>
              <w:pStyle w:val="22"/>
              <w:keepNext w:val="0"/>
              <w:keepLines w:val="0"/>
              <w:pageBreakBefore w:val="0"/>
              <w:numPr>
                <w:ilvl w:val="0"/>
                <w:numId w:val="0"/>
              </w:numPr>
              <w:kinsoku/>
              <w:overflowPunct/>
              <w:topLinePunct w:val="0"/>
              <w:bidi w:val="0"/>
              <w:adjustRightInd/>
              <w:snapToGrid/>
              <w:spacing w:line="240" w:lineRule="auto"/>
              <w:ind w:right="0" w:rightChars="0" w:firstLine="210" w:firstLineChars="100"/>
              <w:jc w:val="both"/>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1147" w:type="dxa"/>
            <w:noWrap w:val="0"/>
            <w:vAlign w:val="center"/>
          </w:tcPr>
          <w:p w14:paraId="53C216D7">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所投产品技术参数响应情况评价</w:t>
            </w:r>
          </w:p>
        </w:tc>
        <w:tc>
          <w:tcPr>
            <w:tcW w:w="5843" w:type="dxa"/>
            <w:noWrap w:val="0"/>
            <w:vAlign w:val="center"/>
          </w:tcPr>
          <w:p w14:paraId="2735B9DB">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（一）评分内容：</w:t>
            </w:r>
          </w:p>
          <w:p w14:paraId="36051BF3">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sz w:val="21"/>
                <w:szCs w:val="21"/>
              </w:rPr>
            </w:pPr>
            <w:r>
              <w:rPr>
                <w:rFonts w:hint="eastAsia" w:ascii="宋体" w:hAnsi="宋体"/>
                <w:szCs w:val="21"/>
                <w:lang w:eastAsia="zh-CN"/>
              </w:rPr>
              <w:t>“</w:t>
            </w:r>
            <w:r>
              <w:rPr>
                <w:rFonts w:hint="eastAsia" w:ascii="宋体" w:hAnsi="宋体"/>
                <w:szCs w:val="21"/>
              </w:rPr>
              <w:t>一、主要技术及系统要求</w:t>
            </w:r>
            <w:r>
              <w:rPr>
                <w:rFonts w:hint="eastAsia" w:ascii="宋体" w:hAnsi="宋体"/>
                <w:szCs w:val="21"/>
                <w:lang w:eastAsia="zh-CN"/>
              </w:rPr>
              <w:t>”</w:t>
            </w:r>
            <w:r>
              <w:rPr>
                <w:rFonts w:hint="eastAsia" w:ascii="宋体" w:hAnsi="宋体"/>
                <w:szCs w:val="21"/>
                <w:lang w:val="en-US" w:eastAsia="zh-CN"/>
              </w:rPr>
              <w:t>部分</w:t>
            </w:r>
            <w:r>
              <w:rPr>
                <w:rFonts w:hint="eastAsia" w:ascii="宋体" w:hAnsi="宋体" w:eastAsia="宋体" w:cs="宋体"/>
                <w:color w:val="auto"/>
                <w:sz w:val="21"/>
                <w:szCs w:val="21"/>
              </w:rPr>
              <w:t>技术参数全部满足得</w:t>
            </w:r>
            <w:r>
              <w:rPr>
                <w:rFonts w:hint="eastAsia" w:ascii="宋体" w:hAnsi="宋体" w:eastAsia="宋体" w:cs="宋体"/>
                <w:color w:val="auto"/>
                <w:sz w:val="21"/>
                <w:szCs w:val="21"/>
                <w:lang w:val="en-US" w:eastAsia="zh-CN"/>
              </w:rPr>
              <w:t>38</w:t>
            </w:r>
            <w:r>
              <w:rPr>
                <w:rFonts w:hint="eastAsia" w:ascii="宋体" w:hAnsi="宋体" w:eastAsia="宋体" w:cs="宋体"/>
                <w:color w:val="auto"/>
                <w:sz w:val="21"/>
                <w:szCs w:val="21"/>
              </w:rPr>
              <w:t>分；每负偏离一项扣</w:t>
            </w:r>
            <w:r>
              <w:rPr>
                <w:rFonts w:hint="eastAsia" w:ascii="宋体" w:hAnsi="宋体" w:eastAsia="宋体" w:cs="宋体"/>
                <w:color w:val="auto"/>
                <w:sz w:val="21"/>
                <w:szCs w:val="21"/>
                <w:highlight w:val="none"/>
                <w:lang w:val="en-US" w:eastAsia="zh-CN"/>
              </w:rPr>
              <w:t>2.6</w:t>
            </w:r>
            <w:r>
              <w:rPr>
                <w:rFonts w:hint="eastAsia" w:ascii="宋体" w:hAnsi="宋体" w:eastAsia="宋体" w:cs="宋体"/>
                <w:color w:val="auto"/>
                <w:sz w:val="21"/>
                <w:szCs w:val="21"/>
              </w:rPr>
              <w:t>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最低0分</w:t>
            </w:r>
            <w:r>
              <w:rPr>
                <w:rFonts w:hint="eastAsia" w:ascii="宋体" w:hAnsi="宋体" w:eastAsia="宋体" w:cs="宋体"/>
                <w:color w:val="auto"/>
                <w:sz w:val="21"/>
                <w:szCs w:val="21"/>
              </w:rPr>
              <w:t>。</w:t>
            </w:r>
          </w:p>
          <w:p w14:paraId="3A4BB11B">
            <w:pPr>
              <w:keepNext w:val="0"/>
              <w:keepLines w:val="0"/>
              <w:pageBreakBefore w:val="0"/>
              <w:kinsoku/>
              <w:overflowPunct/>
              <w:topLinePunct w:val="0"/>
              <w:bidi w:val="0"/>
              <w:adjustRightInd/>
              <w:snapToGrid/>
              <w:spacing w:line="240" w:lineRule="auto"/>
              <w:ind w:left="0" w:leftChars="0" w:right="0" w:rightChars="0" w:firstLine="0" w:firstLineChars="0"/>
              <w:jc w:val="left"/>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（二）评审依据：</w:t>
            </w:r>
          </w:p>
          <w:p w14:paraId="6222AFB6">
            <w:pPr>
              <w:keepNext w:val="0"/>
              <w:keepLines w:val="0"/>
              <w:pageBreakBefore w:val="0"/>
              <w:kinsoku/>
              <w:overflowPunct/>
              <w:topLinePunct w:val="0"/>
              <w:bidi w:val="0"/>
              <w:adjustRightInd/>
              <w:snapToGrid/>
              <w:spacing w:line="240" w:lineRule="auto"/>
              <w:ind w:left="0" w:leftChars="0" w:right="0" w:rightChars="0" w:firstLine="0" w:firstLineChars="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kern w:val="0"/>
                <w:sz w:val="21"/>
                <w:szCs w:val="21"/>
                <w:lang w:val="en-US" w:eastAsia="zh-CN" w:bidi="ar-SA"/>
              </w:rPr>
              <w:t>用户需求书条款响应一览表</w:t>
            </w:r>
            <w:r>
              <w:rPr>
                <w:rFonts w:hint="eastAsia" w:ascii="宋体" w:hAnsi="宋体" w:eastAsia="宋体" w:cs="宋体"/>
                <w:color w:val="auto"/>
                <w:sz w:val="21"/>
                <w:szCs w:val="21"/>
              </w:rPr>
              <w:t>》。</w:t>
            </w:r>
          </w:p>
        </w:tc>
        <w:tc>
          <w:tcPr>
            <w:tcW w:w="778" w:type="dxa"/>
            <w:tcBorders>
              <w:left w:val="single" w:color="auto" w:sz="4" w:space="0"/>
            </w:tcBorders>
            <w:noWrap w:val="0"/>
            <w:vAlign w:val="center"/>
          </w:tcPr>
          <w:p w14:paraId="0AE21E71">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38</w:t>
            </w:r>
          </w:p>
        </w:tc>
      </w:tr>
      <w:tr w14:paraId="472CD5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bottom w:val="single" w:color="auto" w:sz="4" w:space="0"/>
            </w:tcBorders>
            <w:noWrap w:val="0"/>
            <w:vAlign w:val="center"/>
          </w:tcPr>
          <w:p w14:paraId="30A883AA">
            <w:pPr>
              <w:pStyle w:val="22"/>
              <w:keepNext w:val="0"/>
              <w:keepLines w:val="0"/>
              <w:pageBreakBefore w:val="0"/>
              <w:numPr>
                <w:ilvl w:val="0"/>
                <w:numId w:val="0"/>
              </w:numPr>
              <w:kinsoku/>
              <w:overflowPunct/>
              <w:topLinePunct w:val="0"/>
              <w:bidi w:val="0"/>
              <w:adjustRightInd/>
              <w:snapToGrid/>
              <w:spacing w:line="240" w:lineRule="auto"/>
              <w:ind w:leftChars="0" w:right="0" w:rightChars="0"/>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c>
          <w:tcPr>
            <w:tcW w:w="1147" w:type="dxa"/>
            <w:noWrap w:val="0"/>
            <w:vAlign w:val="center"/>
          </w:tcPr>
          <w:p w14:paraId="725BFDAD">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样品</w:t>
            </w:r>
          </w:p>
        </w:tc>
        <w:tc>
          <w:tcPr>
            <w:tcW w:w="5843" w:type="dxa"/>
            <w:noWrap w:val="0"/>
            <w:vAlign w:val="center"/>
          </w:tcPr>
          <w:p w14:paraId="42AB9FD6">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（一）评分内容：</w:t>
            </w:r>
          </w:p>
          <w:p w14:paraId="5986875A">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评审委员会根据“样品要求”样品清单的内容进行打分。</w:t>
            </w:r>
          </w:p>
          <w:p w14:paraId="6F669CFB">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（二）评分依据：</w:t>
            </w:r>
          </w:p>
          <w:p w14:paraId="3B15B4EA">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1、提供符合“样品清单”中技术参数要求的样品</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提供样品得9</w:t>
            </w:r>
            <w:r>
              <w:rPr>
                <w:rFonts w:hint="eastAsia" w:ascii="宋体" w:hAnsi="宋体" w:eastAsia="宋体" w:cs="宋体"/>
                <w:b w:val="0"/>
                <w:bCs w:val="0"/>
                <w:color w:val="auto"/>
                <w:sz w:val="21"/>
                <w:szCs w:val="21"/>
              </w:rPr>
              <w:t>分，未提供或不符合规格要求的不得分。</w:t>
            </w:r>
          </w:p>
          <w:p w14:paraId="5BB6E748">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2、在此基础上，由评审委员进行评价：</w:t>
            </w:r>
          </w:p>
          <w:p w14:paraId="651477A0">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（1）优：</w:t>
            </w:r>
            <w:r>
              <w:rPr>
                <w:rFonts w:hint="eastAsia" w:ascii="宋体" w:hAnsi="宋体" w:cs="宋体"/>
                <w:kern w:val="0"/>
                <w:szCs w:val="21"/>
              </w:rPr>
              <w:t>样品制作工艺精湛，外观无缺陷，涂膜无颗粒、无剥落</w:t>
            </w:r>
            <w:r>
              <w:rPr>
                <w:rFonts w:hint="eastAsia" w:ascii="宋体" w:hAnsi="宋体" w:cs="宋体"/>
                <w:szCs w:val="21"/>
              </w:rPr>
              <w:t>，功能设计符合临床使用习惯，</w:t>
            </w:r>
            <w:r>
              <w:rPr>
                <w:rFonts w:hint="eastAsia" w:ascii="宋体" w:hAnsi="宋体" w:cs="宋体"/>
                <w:szCs w:val="21"/>
                <w:lang w:val="en-US" w:eastAsia="zh-CN"/>
              </w:rPr>
              <w:t>完全</w:t>
            </w:r>
            <w:r>
              <w:rPr>
                <w:rFonts w:hint="eastAsia" w:ascii="宋体" w:hAnsi="宋体" w:cs="宋体"/>
                <w:szCs w:val="21"/>
              </w:rPr>
              <w:t>满足</w:t>
            </w:r>
            <w:r>
              <w:rPr>
                <w:rFonts w:hint="eastAsia" w:ascii="宋体" w:hAnsi="宋体" w:cs="宋体"/>
                <w:szCs w:val="21"/>
                <w:lang w:val="en-US" w:eastAsia="zh-CN"/>
              </w:rPr>
              <w:t>临床使用</w:t>
            </w:r>
            <w:r>
              <w:rPr>
                <w:rFonts w:hint="eastAsia" w:ascii="宋体" w:hAnsi="宋体" w:cs="宋体"/>
                <w:szCs w:val="21"/>
              </w:rPr>
              <w:t>需求的</w:t>
            </w:r>
            <w:r>
              <w:rPr>
                <w:rFonts w:hint="eastAsia" w:ascii="宋体" w:hAnsi="宋体" w:eastAsia="宋体" w:cs="宋体"/>
                <w:b w:val="0"/>
                <w:bCs w:val="0"/>
                <w:color w:val="auto"/>
                <w:sz w:val="21"/>
                <w:szCs w:val="21"/>
              </w:rPr>
              <w:t>，得</w:t>
            </w:r>
            <w:r>
              <w:rPr>
                <w:rFonts w:hint="eastAsia" w:ascii="宋体" w:hAnsi="宋体" w:eastAsia="宋体" w:cs="宋体"/>
                <w:b w:val="0"/>
                <w:bCs w:val="0"/>
                <w:color w:val="auto"/>
                <w:sz w:val="21"/>
                <w:szCs w:val="21"/>
                <w:lang w:val="en-US" w:eastAsia="zh-CN"/>
              </w:rPr>
              <w:t>9</w:t>
            </w:r>
            <w:r>
              <w:rPr>
                <w:rFonts w:hint="eastAsia" w:ascii="宋体" w:hAnsi="宋体" w:eastAsia="宋体" w:cs="宋体"/>
                <w:b w:val="0"/>
                <w:bCs w:val="0"/>
                <w:color w:val="auto"/>
                <w:sz w:val="21"/>
                <w:szCs w:val="21"/>
              </w:rPr>
              <w:t xml:space="preserve">分； </w:t>
            </w:r>
          </w:p>
          <w:p w14:paraId="52F5F264">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（2）良：</w:t>
            </w:r>
            <w:r>
              <w:rPr>
                <w:rFonts w:hint="eastAsia" w:ascii="宋体" w:hAnsi="宋体" w:cs="宋体"/>
                <w:szCs w:val="21"/>
              </w:rPr>
              <w:t>样品</w:t>
            </w:r>
            <w:r>
              <w:rPr>
                <w:rFonts w:hint="eastAsia" w:ascii="宋体" w:hAnsi="宋体" w:cs="宋体"/>
                <w:kern w:val="0"/>
                <w:szCs w:val="21"/>
              </w:rPr>
              <w:t>制作工艺良好，外观无明显缺陷，涂膜无明显颗粒、无明显剥落迹象</w:t>
            </w:r>
            <w:r>
              <w:rPr>
                <w:rFonts w:hint="eastAsia" w:ascii="宋体" w:hAnsi="宋体" w:cs="宋体"/>
                <w:szCs w:val="21"/>
              </w:rPr>
              <w:t>，功能设计比较符合临床使用习惯</w:t>
            </w:r>
            <w:r>
              <w:rPr>
                <w:rFonts w:hint="eastAsia" w:ascii="宋体" w:hAnsi="宋体" w:cs="宋体"/>
                <w:szCs w:val="21"/>
                <w:lang w:eastAsia="zh-CN"/>
              </w:rPr>
              <w:t>，</w:t>
            </w:r>
            <w:r>
              <w:rPr>
                <w:rFonts w:hint="eastAsia" w:ascii="宋体" w:hAnsi="宋体" w:cs="宋体"/>
                <w:szCs w:val="21"/>
                <w:lang w:val="en-US" w:eastAsia="zh-CN"/>
              </w:rPr>
              <w:t>较能</w:t>
            </w:r>
            <w:r>
              <w:rPr>
                <w:rFonts w:hint="eastAsia" w:ascii="宋体" w:hAnsi="宋体" w:cs="宋体"/>
                <w:szCs w:val="21"/>
              </w:rPr>
              <w:t>满足</w:t>
            </w:r>
            <w:r>
              <w:rPr>
                <w:rFonts w:hint="eastAsia" w:ascii="宋体" w:hAnsi="宋体" w:cs="宋体"/>
                <w:szCs w:val="21"/>
                <w:lang w:val="en-US" w:eastAsia="zh-CN"/>
              </w:rPr>
              <w:t>临床使用</w:t>
            </w:r>
            <w:r>
              <w:rPr>
                <w:rFonts w:hint="eastAsia" w:ascii="宋体" w:hAnsi="宋体" w:cs="宋体"/>
                <w:szCs w:val="21"/>
              </w:rPr>
              <w:t>需求的</w:t>
            </w:r>
            <w:r>
              <w:rPr>
                <w:rFonts w:hint="eastAsia" w:ascii="宋体" w:hAnsi="宋体" w:eastAsia="宋体" w:cs="宋体"/>
                <w:b w:val="0"/>
                <w:bCs w:val="0"/>
                <w:color w:val="auto"/>
                <w:sz w:val="21"/>
                <w:szCs w:val="21"/>
              </w:rPr>
              <w:t>，得</w:t>
            </w:r>
            <w:r>
              <w:rPr>
                <w:rFonts w:hint="eastAsia" w:ascii="宋体" w:hAnsi="宋体" w:eastAsia="宋体" w:cs="宋体"/>
                <w:b w:val="0"/>
                <w:bCs w:val="0"/>
                <w:color w:val="auto"/>
                <w:sz w:val="21"/>
                <w:szCs w:val="21"/>
                <w:lang w:val="en-US" w:eastAsia="zh-CN"/>
              </w:rPr>
              <w:t>5</w:t>
            </w:r>
            <w:r>
              <w:rPr>
                <w:rFonts w:hint="eastAsia" w:ascii="宋体" w:hAnsi="宋体" w:eastAsia="宋体" w:cs="宋体"/>
                <w:b w:val="0"/>
                <w:bCs w:val="0"/>
                <w:color w:val="auto"/>
                <w:sz w:val="21"/>
                <w:szCs w:val="21"/>
              </w:rPr>
              <w:t xml:space="preserve">分； </w:t>
            </w:r>
          </w:p>
          <w:p w14:paraId="471082C7">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（3）中：</w:t>
            </w:r>
            <w:r>
              <w:rPr>
                <w:rFonts w:hint="eastAsia" w:ascii="宋体" w:hAnsi="宋体" w:cs="宋体"/>
                <w:szCs w:val="21"/>
              </w:rPr>
              <w:t>样品</w:t>
            </w:r>
            <w:r>
              <w:rPr>
                <w:rFonts w:hint="eastAsia" w:ascii="宋体" w:hAnsi="宋体" w:cs="宋体"/>
                <w:kern w:val="0"/>
                <w:szCs w:val="21"/>
              </w:rPr>
              <w:t>制作工艺一般，外观无明显缺陷，涂膜无明显颗粒、无明显剥落迹象</w:t>
            </w:r>
            <w:r>
              <w:rPr>
                <w:rFonts w:hint="eastAsia" w:ascii="宋体" w:hAnsi="宋体" w:cs="宋体"/>
                <w:szCs w:val="21"/>
              </w:rPr>
              <w:t>，功能设计基本符合临床使用习惯，部分满足</w:t>
            </w:r>
            <w:r>
              <w:rPr>
                <w:rFonts w:hint="eastAsia" w:ascii="宋体" w:hAnsi="宋体" w:cs="宋体"/>
                <w:szCs w:val="21"/>
                <w:lang w:val="en-US" w:eastAsia="zh-CN"/>
              </w:rPr>
              <w:t>临床使用</w:t>
            </w:r>
            <w:r>
              <w:rPr>
                <w:rFonts w:hint="eastAsia" w:ascii="宋体" w:hAnsi="宋体" w:cs="宋体"/>
                <w:szCs w:val="21"/>
              </w:rPr>
              <w:t>需求的</w:t>
            </w:r>
            <w:r>
              <w:rPr>
                <w:rFonts w:hint="eastAsia" w:ascii="宋体" w:hAnsi="宋体" w:eastAsia="宋体" w:cs="宋体"/>
                <w:b w:val="0"/>
                <w:bCs w:val="0"/>
                <w:color w:val="auto"/>
                <w:sz w:val="21"/>
                <w:szCs w:val="21"/>
              </w:rPr>
              <w:t>，得</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 xml:space="preserve">分； </w:t>
            </w:r>
          </w:p>
          <w:p w14:paraId="4DDC9386">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（4）差：</w:t>
            </w:r>
            <w:r>
              <w:rPr>
                <w:rFonts w:hint="eastAsia" w:ascii="宋体" w:hAnsi="宋体" w:cs="宋体"/>
                <w:szCs w:val="21"/>
              </w:rPr>
              <w:t>样品</w:t>
            </w:r>
            <w:r>
              <w:rPr>
                <w:rFonts w:hint="eastAsia" w:ascii="宋体" w:hAnsi="宋体" w:cs="宋体"/>
                <w:kern w:val="0"/>
                <w:szCs w:val="21"/>
              </w:rPr>
              <w:t>制作工艺差</w:t>
            </w:r>
            <w:r>
              <w:rPr>
                <w:rFonts w:hint="eastAsia" w:ascii="宋体" w:hAnsi="宋体" w:cs="宋体"/>
                <w:kern w:val="0"/>
                <w:szCs w:val="21"/>
                <w:lang w:eastAsia="zh-CN"/>
              </w:rPr>
              <w:t>，</w:t>
            </w:r>
            <w:r>
              <w:rPr>
                <w:rFonts w:hint="eastAsia" w:ascii="宋体" w:hAnsi="宋体" w:cs="宋体"/>
                <w:kern w:val="0"/>
                <w:szCs w:val="21"/>
              </w:rPr>
              <w:t>或外观有明显缺陷，或涂膜有明显颗粒或有明显剥落迹象</w:t>
            </w:r>
            <w:r>
              <w:rPr>
                <w:rFonts w:hint="eastAsia" w:ascii="宋体" w:hAnsi="宋体" w:cs="宋体"/>
                <w:szCs w:val="21"/>
              </w:rPr>
              <w:t>，或功能设计不符合临床使用习惯的，不加分。若评审为差，需书面说明理由并记录在档。</w:t>
            </w:r>
          </w:p>
          <w:p w14:paraId="524026C0">
            <w:pPr>
              <w:keepNext w:val="0"/>
              <w:keepLines w:val="0"/>
              <w:pageBreakBefore w:val="0"/>
              <w:kinsoku/>
              <w:overflowPunct/>
              <w:topLinePunct w:val="0"/>
              <w:bidi w:val="0"/>
              <w:adjustRightInd/>
              <w:snapToGrid/>
              <w:spacing w:line="240" w:lineRule="auto"/>
              <w:ind w:left="0" w:leftChars="0" w:right="0" w:rightChars="0" w:firstLine="0" w:firstLineChars="0"/>
              <w:jc w:val="left"/>
              <w:textAlignment w:val="auto"/>
              <w:rPr>
                <w:rFonts w:hint="eastAsia" w:ascii="宋体" w:hAnsi="宋体" w:eastAsia="宋体" w:cs="宋体"/>
                <w:color w:val="auto"/>
                <w:sz w:val="21"/>
                <w:szCs w:val="21"/>
              </w:rPr>
            </w:pPr>
            <w:r>
              <w:rPr>
                <w:rFonts w:hint="eastAsia" w:ascii="宋体" w:hAnsi="宋体" w:eastAsia="宋体" w:cs="宋体"/>
                <w:b w:val="0"/>
                <w:bCs w:val="0"/>
                <w:color w:val="auto"/>
                <w:sz w:val="21"/>
                <w:szCs w:val="21"/>
              </w:rPr>
              <w:t>未按要求提供或提供的材料不能证明相关情况的或提供不清晰导致专家无法判断的不得分。</w:t>
            </w:r>
          </w:p>
        </w:tc>
        <w:tc>
          <w:tcPr>
            <w:tcW w:w="778" w:type="dxa"/>
            <w:tcBorders>
              <w:left w:val="single" w:color="auto" w:sz="4" w:space="0"/>
            </w:tcBorders>
            <w:noWrap w:val="0"/>
            <w:vAlign w:val="center"/>
          </w:tcPr>
          <w:p w14:paraId="6C7C0608">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18</w:t>
            </w:r>
          </w:p>
        </w:tc>
      </w:tr>
      <w:tr w14:paraId="7FE3CF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7" w:hRule="atLeast"/>
        </w:trPr>
        <w:tc>
          <w:tcPr>
            <w:tcW w:w="680" w:type="dxa"/>
            <w:tcBorders>
              <w:top w:val="single" w:color="auto" w:sz="4" w:space="0"/>
            </w:tcBorders>
            <w:noWrap w:val="0"/>
            <w:vAlign w:val="center"/>
          </w:tcPr>
          <w:p w14:paraId="03232438">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二</w:t>
            </w:r>
          </w:p>
        </w:tc>
        <w:tc>
          <w:tcPr>
            <w:tcW w:w="7768" w:type="dxa"/>
            <w:gridSpan w:val="3"/>
            <w:noWrap w:val="0"/>
            <w:vAlign w:val="center"/>
          </w:tcPr>
          <w:p w14:paraId="5323BFAD">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商务部分（</w:t>
            </w:r>
            <w:r>
              <w:rPr>
                <w:rFonts w:hint="eastAsia" w:ascii="宋体" w:hAnsi="宋体" w:cs="宋体"/>
                <w:b/>
                <w:color w:val="auto"/>
                <w:sz w:val="21"/>
                <w:szCs w:val="21"/>
                <w:lang w:val="en-US" w:eastAsia="zh-CN"/>
              </w:rPr>
              <w:t>14</w:t>
            </w:r>
            <w:r>
              <w:rPr>
                <w:rFonts w:hint="eastAsia" w:ascii="宋体" w:hAnsi="宋体" w:eastAsia="宋体" w:cs="宋体"/>
                <w:b/>
                <w:color w:val="auto"/>
                <w:sz w:val="21"/>
                <w:szCs w:val="21"/>
              </w:rPr>
              <w:t>分）</w:t>
            </w:r>
          </w:p>
        </w:tc>
      </w:tr>
      <w:tr w14:paraId="6D846A3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top w:val="single" w:color="auto" w:sz="4" w:space="0"/>
              <w:bottom w:val="single" w:color="auto" w:sz="4" w:space="0"/>
            </w:tcBorders>
            <w:noWrap w:val="0"/>
            <w:vAlign w:val="center"/>
          </w:tcPr>
          <w:p w14:paraId="228D46EC">
            <w:pPr>
              <w:pStyle w:val="22"/>
              <w:keepNext w:val="0"/>
              <w:keepLines w:val="0"/>
              <w:pageBreakBefore w:val="0"/>
              <w:numPr>
                <w:ilvl w:val="0"/>
                <w:numId w:val="0"/>
              </w:numPr>
              <w:kinsoku/>
              <w:overflowPunct/>
              <w:topLinePunct w:val="0"/>
              <w:bidi w:val="0"/>
              <w:adjustRightInd/>
              <w:snapToGrid/>
              <w:spacing w:line="240" w:lineRule="auto"/>
              <w:ind w:leftChars="0" w:right="0" w:rightChars="0"/>
              <w:jc w:val="both"/>
              <w:textAlignment w:val="auto"/>
              <w:rPr>
                <w:rFonts w:hint="default" w:ascii="宋体" w:hAnsi="宋体" w:eastAsia="宋体" w:cs="宋体"/>
                <w:color w:val="auto"/>
                <w:sz w:val="21"/>
                <w:szCs w:val="21"/>
                <w:lang w:val="en-US"/>
              </w:rPr>
            </w:pPr>
            <w:r>
              <w:rPr>
                <w:rFonts w:hint="eastAsia" w:ascii="宋体" w:hAnsi="宋体" w:eastAsia="宋体" w:cs="宋体"/>
                <w:color w:val="auto"/>
                <w:sz w:val="21"/>
                <w:szCs w:val="21"/>
                <w:lang w:val="en-US" w:eastAsia="zh-CN"/>
              </w:rPr>
              <w:t>1.</w:t>
            </w:r>
          </w:p>
        </w:tc>
        <w:tc>
          <w:tcPr>
            <w:tcW w:w="1147" w:type="dxa"/>
            <w:noWrap w:val="0"/>
            <w:vAlign w:val="center"/>
          </w:tcPr>
          <w:p w14:paraId="0DCA7A11">
            <w:pPr>
              <w:keepNext w:val="0"/>
              <w:keepLines w:val="0"/>
              <w:pageBreakBefore w:val="0"/>
              <w:kinsoku/>
              <w:wordWrap w:val="0"/>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项目实施方案</w:t>
            </w:r>
          </w:p>
        </w:tc>
        <w:tc>
          <w:tcPr>
            <w:tcW w:w="5843" w:type="dxa"/>
            <w:noWrap w:val="0"/>
            <w:vAlign w:val="top"/>
          </w:tcPr>
          <w:p w14:paraId="26434C0B">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（一）评分内容：</w:t>
            </w:r>
          </w:p>
          <w:p w14:paraId="5DD6C1D3">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投标人针对本项目提供的项目实施方案，包括但不限于以下内容： </w:t>
            </w:r>
          </w:p>
          <w:p w14:paraId="6B6C0880">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1.项目到货计划； </w:t>
            </w:r>
          </w:p>
          <w:p w14:paraId="16B82D85">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2.项目实施计划； </w:t>
            </w:r>
          </w:p>
          <w:p w14:paraId="19730D8A">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3.项目运输保障； </w:t>
            </w:r>
          </w:p>
          <w:p w14:paraId="5C7CA4EB">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4.安装调试（如计划步骤、人员安排等）。 </w:t>
            </w:r>
          </w:p>
          <w:p w14:paraId="3703B1AB">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（二）评分依据：</w:t>
            </w:r>
          </w:p>
          <w:p w14:paraId="674FBDC1">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1.以上内容，每提供一点得1.5分，最高得6分。 </w:t>
            </w:r>
          </w:p>
          <w:p w14:paraId="65D71F1C">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2.在此基础上，专家根据各供应商的具体响应内容按照量化的评审因素指标进一步评审： </w:t>
            </w:r>
          </w:p>
          <w:p w14:paraId="4A8727F2">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（1）投标文件响应内容全面； </w:t>
            </w:r>
          </w:p>
          <w:p w14:paraId="42696843">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（2）投标文件响应内容具体； </w:t>
            </w:r>
          </w:p>
          <w:p w14:paraId="5BDB7500">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（3）投标文件响应内容针对性强； </w:t>
            </w:r>
          </w:p>
          <w:p w14:paraId="3A7EC2B4">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（4）投标文件响应内容科学合理； </w:t>
            </w:r>
          </w:p>
          <w:p w14:paraId="54A36A50">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（5）投标文件响应内容可操作性强。 </w:t>
            </w:r>
          </w:p>
          <w:p w14:paraId="73B55980">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满足以上五项要求的评价为优,加6分； 满足以上四项要求的评价为良,加3分； 满足以上三项要求的评价为中,加1分； 其他情况评价为差,不加分。</w:t>
            </w:r>
          </w:p>
        </w:tc>
        <w:tc>
          <w:tcPr>
            <w:tcW w:w="778" w:type="dxa"/>
            <w:tcBorders>
              <w:left w:val="single" w:color="auto" w:sz="4" w:space="0"/>
            </w:tcBorders>
            <w:noWrap w:val="0"/>
            <w:vAlign w:val="center"/>
          </w:tcPr>
          <w:p w14:paraId="46D48926">
            <w:pPr>
              <w:keepNext w:val="0"/>
              <w:keepLines w:val="0"/>
              <w:pageBreakBefore w:val="0"/>
              <w:kinsoku/>
              <w:wordWrap w:val="0"/>
              <w:overflowPunct/>
              <w:topLinePunct w:val="0"/>
              <w:bidi w:val="0"/>
              <w:adjustRightInd/>
              <w:snapToGrid/>
              <w:spacing w:line="240" w:lineRule="auto"/>
              <w:ind w:left="0" w:leftChars="0" w:right="0" w:rightChars="0" w:firstLine="0" w:firstLineChars="0"/>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12</w:t>
            </w:r>
          </w:p>
        </w:tc>
      </w:tr>
      <w:tr w14:paraId="14E80D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5" w:hRule="atLeast"/>
        </w:trPr>
        <w:tc>
          <w:tcPr>
            <w:tcW w:w="680" w:type="dxa"/>
            <w:tcBorders>
              <w:top w:val="single" w:color="auto" w:sz="4" w:space="0"/>
            </w:tcBorders>
            <w:noWrap w:val="0"/>
            <w:vAlign w:val="center"/>
          </w:tcPr>
          <w:p w14:paraId="6A652018">
            <w:pPr>
              <w:pStyle w:val="22"/>
              <w:keepNext w:val="0"/>
              <w:keepLines w:val="0"/>
              <w:pageBreakBefore w:val="0"/>
              <w:numPr>
                <w:ilvl w:val="0"/>
                <w:numId w:val="0"/>
              </w:numPr>
              <w:kinsoku/>
              <w:overflowPunct/>
              <w:topLinePunct w:val="0"/>
              <w:bidi w:val="0"/>
              <w:adjustRightInd/>
              <w:snapToGrid/>
              <w:spacing w:line="240" w:lineRule="auto"/>
              <w:ind w:leftChars="0" w:right="0" w:rightChars="0"/>
              <w:jc w:val="both"/>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c>
          <w:tcPr>
            <w:tcW w:w="1147" w:type="dxa"/>
            <w:noWrap w:val="0"/>
            <w:vAlign w:val="center"/>
          </w:tcPr>
          <w:p w14:paraId="31307208">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质保期</w:t>
            </w:r>
          </w:p>
        </w:tc>
        <w:tc>
          <w:tcPr>
            <w:tcW w:w="5843" w:type="dxa"/>
            <w:noWrap w:val="0"/>
            <w:vAlign w:val="center"/>
          </w:tcPr>
          <w:p w14:paraId="73BDBE96">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（一）评分内容：</w:t>
            </w:r>
          </w:p>
          <w:p w14:paraId="550AB991">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必须满足用户质保要求的情况下，质保期每增加</w:t>
            </w:r>
            <w:r>
              <w:rPr>
                <w:rFonts w:hint="eastAsia" w:ascii="宋体" w:hAnsi="宋体" w:cs="宋体"/>
                <w:color w:val="auto"/>
                <w:sz w:val="21"/>
                <w:szCs w:val="21"/>
                <w:lang w:val="en-US" w:eastAsia="zh-CN"/>
              </w:rPr>
              <w:t>一年</w:t>
            </w:r>
            <w:r>
              <w:rPr>
                <w:rFonts w:hint="eastAsia" w:ascii="宋体" w:hAnsi="宋体" w:eastAsia="宋体" w:cs="宋体"/>
                <w:color w:val="auto"/>
                <w:sz w:val="21"/>
                <w:szCs w:val="21"/>
              </w:rPr>
              <w:t>得</w:t>
            </w:r>
            <w:r>
              <w:rPr>
                <w:rFonts w:hint="eastAsia" w:ascii="宋体" w:hAnsi="宋体" w:cs="宋体"/>
                <w:color w:val="auto"/>
                <w:sz w:val="21"/>
                <w:szCs w:val="21"/>
                <w:lang w:val="en-US" w:eastAsia="zh-CN"/>
              </w:rPr>
              <w:t>0.5</w:t>
            </w:r>
            <w:r>
              <w:rPr>
                <w:rFonts w:hint="eastAsia" w:ascii="宋体" w:hAnsi="宋体" w:eastAsia="宋体" w:cs="宋体"/>
                <w:color w:val="auto"/>
                <w:sz w:val="21"/>
                <w:szCs w:val="21"/>
              </w:rPr>
              <w:t>分，满分</w:t>
            </w: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分。</w:t>
            </w:r>
          </w:p>
          <w:p w14:paraId="6BAD5F08">
            <w:pPr>
              <w:keepNext w:val="0"/>
              <w:keepLines w:val="0"/>
              <w:pageBreakBefore w:val="0"/>
              <w:kinsoku/>
              <w:wordWrap w:val="0"/>
              <w:overflowPunct/>
              <w:topLinePunct w:val="0"/>
              <w:bidi w:val="0"/>
              <w:adjustRightInd/>
              <w:snapToGrid/>
              <w:spacing w:line="240" w:lineRule="auto"/>
              <w:ind w:left="0" w:leftChars="0" w:right="0" w:rightChars="0" w:firstLine="0" w:firstLineChars="0"/>
              <w:textAlignment w:val="auto"/>
              <w:rPr>
                <w:rFonts w:hint="eastAsia" w:ascii="宋体" w:hAnsi="宋体" w:eastAsia="宋体" w:cs="宋体"/>
                <w:color w:val="auto"/>
                <w:sz w:val="21"/>
                <w:szCs w:val="21"/>
              </w:rPr>
            </w:pPr>
            <w:r>
              <w:rPr>
                <w:rFonts w:hint="eastAsia" w:ascii="宋体" w:hAnsi="宋体" w:eastAsia="宋体" w:cs="宋体"/>
                <w:b/>
                <w:color w:val="auto"/>
                <w:sz w:val="21"/>
                <w:szCs w:val="21"/>
              </w:rPr>
              <w:t>（二）评分依据：</w:t>
            </w:r>
          </w:p>
          <w:p w14:paraId="598471F7">
            <w:pPr>
              <w:keepNext w:val="0"/>
              <w:keepLines w:val="0"/>
              <w:pageBreakBefore w:val="0"/>
              <w:kinsoku/>
              <w:overflowPunct/>
              <w:topLinePunct w:val="0"/>
              <w:bidi w:val="0"/>
              <w:adjustRightInd/>
              <w:snapToGrid/>
              <w:spacing w:line="240" w:lineRule="auto"/>
              <w:ind w:left="0" w:leftChars="0" w:right="0" w:rightChars="0" w:firstLine="0" w:firstLineChars="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kern w:val="0"/>
                <w:sz w:val="21"/>
                <w:szCs w:val="21"/>
                <w:lang w:val="en-US" w:eastAsia="zh-CN" w:bidi="ar-SA"/>
              </w:rPr>
              <w:t>用户需求书条款响应一览表</w:t>
            </w:r>
            <w:r>
              <w:rPr>
                <w:rFonts w:hint="eastAsia" w:ascii="宋体" w:hAnsi="宋体" w:eastAsia="宋体" w:cs="宋体"/>
                <w:color w:val="auto"/>
                <w:sz w:val="21"/>
                <w:szCs w:val="21"/>
              </w:rPr>
              <w:t>》</w:t>
            </w:r>
          </w:p>
        </w:tc>
        <w:tc>
          <w:tcPr>
            <w:tcW w:w="778" w:type="dxa"/>
            <w:tcBorders>
              <w:left w:val="single" w:color="auto" w:sz="4" w:space="0"/>
            </w:tcBorders>
            <w:noWrap w:val="0"/>
            <w:vAlign w:val="center"/>
          </w:tcPr>
          <w:p w14:paraId="6DFD539F">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r>
      <w:tr w14:paraId="397E66B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5" w:hRule="atLeast"/>
        </w:trPr>
        <w:tc>
          <w:tcPr>
            <w:tcW w:w="680" w:type="dxa"/>
            <w:tcBorders>
              <w:top w:val="single" w:color="auto" w:sz="4" w:space="0"/>
            </w:tcBorders>
            <w:noWrap w:val="0"/>
            <w:vAlign w:val="center"/>
          </w:tcPr>
          <w:p w14:paraId="3273A0DF">
            <w:pPr>
              <w:pStyle w:val="22"/>
              <w:keepNext w:val="0"/>
              <w:keepLines w:val="0"/>
              <w:pageBreakBefore w:val="0"/>
              <w:numPr>
                <w:ilvl w:val="0"/>
                <w:numId w:val="2"/>
              </w:numPr>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1"/>
                <w:szCs w:val="21"/>
              </w:rPr>
            </w:pPr>
          </w:p>
        </w:tc>
        <w:tc>
          <w:tcPr>
            <w:tcW w:w="1147" w:type="dxa"/>
            <w:noWrap w:val="0"/>
            <w:vAlign w:val="center"/>
          </w:tcPr>
          <w:p w14:paraId="252AF627">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bCs/>
                <w:color w:val="auto"/>
                <w:sz w:val="21"/>
                <w:szCs w:val="21"/>
                <w:highlight w:val="green"/>
              </w:rPr>
            </w:pPr>
            <w:r>
              <w:rPr>
                <w:rFonts w:hint="eastAsia" w:ascii="宋体" w:hAnsi="宋体" w:eastAsia="宋体" w:cs="宋体"/>
                <w:color w:val="auto"/>
                <w:sz w:val="21"/>
                <w:szCs w:val="21"/>
              </w:rPr>
              <w:t>诚信</w:t>
            </w:r>
          </w:p>
        </w:tc>
        <w:tc>
          <w:tcPr>
            <w:tcW w:w="5843" w:type="dxa"/>
            <w:noWrap w:val="0"/>
            <w:vAlign w:val="center"/>
          </w:tcPr>
          <w:p w14:paraId="676BC166">
            <w:pPr>
              <w:keepNext w:val="0"/>
              <w:keepLines w:val="0"/>
              <w:pageBreakBefore w:val="0"/>
              <w:kinsoku/>
              <w:overflowPunct/>
              <w:topLinePunct w:val="0"/>
              <w:bidi w:val="0"/>
              <w:adjustRightInd/>
              <w:snapToGrid/>
              <w:spacing w:line="240" w:lineRule="auto"/>
              <w:ind w:left="0" w:leftChars="0" w:right="0" w:rightChars="0" w:firstLine="0" w:firstLineChars="0"/>
              <w:jc w:val="left"/>
              <w:textAlignment w:val="auto"/>
              <w:rPr>
                <w:rFonts w:hint="eastAsia" w:ascii="宋体" w:hAnsi="宋体" w:eastAsia="宋体" w:cs="宋体"/>
                <w:color w:val="auto"/>
                <w:sz w:val="21"/>
                <w:szCs w:val="21"/>
                <w:highlight w:val="yellow"/>
              </w:rPr>
            </w:pPr>
            <w:r>
              <w:rPr>
                <w:rFonts w:hint="eastAsia" w:ascii="宋体" w:hAnsi="宋体" w:eastAsia="宋体" w:cs="宋体"/>
                <w:color w:val="auto"/>
                <w:sz w:val="21"/>
                <w:szCs w:val="21"/>
              </w:rPr>
              <w:t>投标人在参与政府采购活动中存在诚信相关问题且在主管部门相关处理措施实施期限内的，本项不得分，否则得满分。投标人无需提供任何证明材料，由工作人员查询后向评审委员会提供相关信息。</w:t>
            </w:r>
          </w:p>
        </w:tc>
        <w:tc>
          <w:tcPr>
            <w:tcW w:w="778" w:type="dxa"/>
            <w:tcBorders>
              <w:left w:val="single" w:color="auto" w:sz="4" w:space="0"/>
            </w:tcBorders>
            <w:noWrap w:val="0"/>
            <w:vAlign w:val="center"/>
          </w:tcPr>
          <w:p w14:paraId="61944F98">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r>
      <w:tr w14:paraId="547777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7" w:hRule="atLeast"/>
        </w:trPr>
        <w:tc>
          <w:tcPr>
            <w:tcW w:w="680" w:type="dxa"/>
            <w:tcBorders>
              <w:top w:val="single" w:color="auto" w:sz="4" w:space="0"/>
            </w:tcBorders>
            <w:noWrap w:val="0"/>
            <w:vAlign w:val="center"/>
          </w:tcPr>
          <w:p w14:paraId="3430EA11">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三</w:t>
            </w:r>
          </w:p>
        </w:tc>
        <w:tc>
          <w:tcPr>
            <w:tcW w:w="7768" w:type="dxa"/>
            <w:gridSpan w:val="3"/>
            <w:noWrap w:val="0"/>
            <w:vAlign w:val="center"/>
          </w:tcPr>
          <w:p w14:paraId="2B0A3B51">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价格部分（</w:t>
            </w:r>
            <w:r>
              <w:rPr>
                <w:rFonts w:hint="eastAsia" w:ascii="宋体" w:hAnsi="宋体" w:cs="宋体"/>
                <w:b/>
                <w:color w:val="auto"/>
                <w:sz w:val="21"/>
                <w:szCs w:val="21"/>
                <w:lang w:val="en-US" w:eastAsia="zh-CN"/>
              </w:rPr>
              <w:t>30</w:t>
            </w:r>
            <w:r>
              <w:rPr>
                <w:rFonts w:hint="eastAsia" w:ascii="宋体" w:hAnsi="宋体" w:eastAsia="宋体" w:cs="宋体"/>
                <w:b/>
                <w:color w:val="auto"/>
                <w:sz w:val="21"/>
                <w:szCs w:val="21"/>
              </w:rPr>
              <w:t>分）</w:t>
            </w:r>
          </w:p>
        </w:tc>
      </w:tr>
      <w:tr w14:paraId="1EBE47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trPr>
        <w:tc>
          <w:tcPr>
            <w:tcW w:w="680" w:type="dxa"/>
            <w:noWrap w:val="0"/>
            <w:vAlign w:val="center"/>
          </w:tcPr>
          <w:p w14:paraId="59BD2543">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147" w:type="dxa"/>
            <w:noWrap w:val="0"/>
            <w:vAlign w:val="center"/>
          </w:tcPr>
          <w:p w14:paraId="366784FC">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投标报价</w:t>
            </w:r>
          </w:p>
        </w:tc>
        <w:tc>
          <w:tcPr>
            <w:tcW w:w="5843" w:type="dxa"/>
            <w:noWrap w:val="0"/>
            <w:vAlign w:val="center"/>
          </w:tcPr>
          <w:p w14:paraId="4BEBF026">
            <w:pPr>
              <w:keepNext w:val="0"/>
              <w:keepLines w:val="0"/>
              <w:pageBreakBefore w:val="0"/>
              <w:kinsoku/>
              <w:overflowPunct/>
              <w:topLinePunct w:val="0"/>
              <w:autoSpaceDE w:val="0"/>
              <w:autoSpaceDN w:val="0"/>
              <w:bidi w:val="0"/>
              <w:adjustRightInd/>
              <w:snapToGrid/>
              <w:spacing w:line="240" w:lineRule="auto"/>
              <w:ind w:left="0" w:leftChars="0" w:right="0" w:rightChars="0" w:firstLine="0" w:firstLineChars="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价格分应当采用低价优先法计算，即满足招标文件要求且投标价格最低的投标报价为评标基准价，其价格分为满分。其他投标人的价格分统一按照下列公式计算：</w:t>
            </w:r>
          </w:p>
          <w:p w14:paraId="5F178A55">
            <w:pPr>
              <w:keepNext w:val="0"/>
              <w:keepLines w:val="0"/>
              <w:pageBreakBefore w:val="0"/>
              <w:widowControl/>
              <w:kinsoku/>
              <w:overflowPunct/>
              <w:topLinePunct w:val="0"/>
              <w:bidi w:val="0"/>
              <w:adjustRightInd/>
              <w:snapToGrid/>
              <w:spacing w:line="240" w:lineRule="auto"/>
              <w:ind w:left="0" w:leftChars="0" w:right="0" w:rightChars="0" w:firstLine="0" w:firstLineChars="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投标报价得分=(评标基准价／投标报价)×</w:t>
            </w:r>
            <w:r>
              <w:rPr>
                <w:rFonts w:hint="eastAsia" w:ascii="宋体" w:hAnsi="宋体" w:eastAsia="宋体" w:cs="宋体"/>
                <w:color w:val="auto"/>
                <w:kern w:val="0"/>
                <w:sz w:val="21"/>
                <w:szCs w:val="21"/>
                <w:highlight w:val="none"/>
              </w:rPr>
              <w:t>100×</w:t>
            </w:r>
            <w:r>
              <w:rPr>
                <w:rFonts w:hint="eastAsia" w:ascii="宋体" w:hAnsi="宋体" w:eastAsia="宋体" w:cs="宋体"/>
                <w:color w:val="auto"/>
                <w:kern w:val="0"/>
                <w:sz w:val="21"/>
                <w:szCs w:val="21"/>
              </w:rPr>
              <w:t>权重</w:t>
            </w:r>
          </w:p>
          <w:p w14:paraId="3496037B">
            <w:pPr>
              <w:keepNext w:val="0"/>
              <w:keepLines w:val="0"/>
              <w:pageBreakBefore w:val="0"/>
              <w:widowControl/>
              <w:kinsoku/>
              <w:overflowPunct/>
              <w:topLinePunct w:val="0"/>
              <w:bidi w:val="0"/>
              <w:adjustRightInd/>
              <w:snapToGrid/>
              <w:spacing w:line="240" w:lineRule="auto"/>
              <w:ind w:left="0" w:leftChars="0" w:right="0" w:rightChars="0" w:firstLine="0" w:firstLineChars="0"/>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备注：</w:t>
            </w:r>
          </w:p>
          <w:p w14:paraId="1A3193F7">
            <w:pPr>
              <w:keepNext w:val="0"/>
              <w:keepLines w:val="0"/>
              <w:pageBreakBefore w:val="0"/>
              <w:widowControl/>
              <w:kinsoku/>
              <w:overflowPunct/>
              <w:topLinePunct w:val="0"/>
              <w:bidi w:val="0"/>
              <w:adjustRightInd/>
              <w:snapToGrid/>
              <w:spacing w:line="240" w:lineRule="auto"/>
              <w:ind w:left="0" w:leftChars="0" w:right="0" w:rightChars="0" w:firstLine="0" w:firstLineChars="0"/>
              <w:jc w:val="left"/>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1、投标报价得分四舍五入后，</w:t>
            </w:r>
            <w:r>
              <w:rPr>
                <w:rFonts w:hint="eastAsia" w:ascii="宋体" w:hAnsi="宋体" w:eastAsia="宋体" w:cs="宋体"/>
                <w:color w:val="auto"/>
                <w:sz w:val="21"/>
                <w:szCs w:val="21"/>
              </w:rPr>
              <w:t>小数点后保留两位有效数</w:t>
            </w:r>
            <w:r>
              <w:rPr>
                <w:rFonts w:hint="eastAsia" w:ascii="宋体" w:hAnsi="宋体" w:eastAsia="宋体" w:cs="宋体"/>
                <w:bCs/>
                <w:color w:val="auto"/>
                <w:sz w:val="21"/>
                <w:szCs w:val="21"/>
              </w:rPr>
              <w:t>。</w:t>
            </w:r>
          </w:p>
          <w:p w14:paraId="5C20D9F7">
            <w:pPr>
              <w:keepNext w:val="0"/>
              <w:keepLines w:val="0"/>
              <w:pageBreakBefore w:val="0"/>
              <w:kinsoku/>
              <w:overflowPunct/>
              <w:topLinePunct w:val="0"/>
              <w:bidi w:val="0"/>
              <w:adjustRightInd/>
              <w:snapToGrid/>
              <w:spacing w:line="240" w:lineRule="auto"/>
              <w:ind w:left="0" w:leftChars="0" w:right="0" w:rightChars="0" w:firstLine="0" w:firstLineChars="0"/>
              <w:textAlignment w:val="auto"/>
              <w:rPr>
                <w:rStyle w:val="14"/>
                <w:rFonts w:hint="eastAsia" w:ascii="宋体" w:hAnsi="宋体" w:eastAsia="宋体" w:cs="宋体"/>
                <w:color w:val="auto"/>
                <w:sz w:val="21"/>
                <w:szCs w:val="21"/>
              </w:rPr>
            </w:pPr>
            <w:r>
              <w:rPr>
                <w:rStyle w:val="14"/>
                <w:rFonts w:hint="eastAsia" w:ascii="宋体" w:hAnsi="宋体" w:eastAsia="宋体" w:cs="宋体"/>
                <w:color w:val="auto"/>
                <w:sz w:val="21"/>
                <w:szCs w:val="21"/>
                <w:lang w:val="en-US" w:eastAsia="zh-CN"/>
              </w:rPr>
              <w:t>2</w:t>
            </w:r>
            <w:r>
              <w:rPr>
                <w:rStyle w:val="14"/>
                <w:rFonts w:hint="eastAsia" w:ascii="宋体" w:hAnsi="宋体" w:eastAsia="宋体" w:cs="宋体"/>
                <w:color w:val="auto"/>
                <w:sz w:val="21"/>
                <w:szCs w:val="21"/>
              </w:rPr>
              <w:t>、因落实政府采购政策进行价格调整的，以调整后的价格计算评标基准价和投标报价,详见《价格扣除》。</w:t>
            </w:r>
          </w:p>
        </w:tc>
        <w:tc>
          <w:tcPr>
            <w:tcW w:w="778" w:type="dxa"/>
            <w:tcBorders>
              <w:left w:val="single" w:color="auto" w:sz="4" w:space="0"/>
            </w:tcBorders>
            <w:noWrap w:val="0"/>
            <w:vAlign w:val="center"/>
          </w:tcPr>
          <w:p w14:paraId="3DA7F14D">
            <w:pPr>
              <w:keepNext w:val="0"/>
              <w:keepLines w:val="0"/>
              <w:pageBreakBefore w:val="0"/>
              <w:kinsoku/>
              <w:overflowPunct/>
              <w:topLinePunct w:val="0"/>
              <w:bidi w:val="0"/>
              <w:adjustRightInd w:val="0"/>
              <w:snapToGrid w:val="0"/>
              <w:spacing w:line="240" w:lineRule="auto"/>
              <w:ind w:left="0" w:leftChars="0" w:right="0" w:rightChars="0"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30</w:t>
            </w:r>
          </w:p>
        </w:tc>
      </w:tr>
      <w:tr w14:paraId="62456A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3" w:hRule="atLeast"/>
        </w:trPr>
        <w:tc>
          <w:tcPr>
            <w:tcW w:w="7670" w:type="dxa"/>
            <w:gridSpan w:val="3"/>
            <w:noWrap w:val="0"/>
            <w:vAlign w:val="center"/>
          </w:tcPr>
          <w:p w14:paraId="608BBC74">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合计</w:t>
            </w:r>
          </w:p>
        </w:tc>
        <w:tc>
          <w:tcPr>
            <w:tcW w:w="778" w:type="dxa"/>
            <w:tcBorders>
              <w:left w:val="single" w:color="auto" w:sz="4" w:space="0"/>
            </w:tcBorders>
            <w:noWrap w:val="0"/>
            <w:vAlign w:val="center"/>
          </w:tcPr>
          <w:p w14:paraId="1D00235A">
            <w:pPr>
              <w:keepNext w:val="0"/>
              <w:keepLines w:val="0"/>
              <w:pageBreakBefore w:val="0"/>
              <w:kinsoku/>
              <w:overflowPunct/>
              <w:topLinePunct w:val="0"/>
              <w:bidi w:val="0"/>
              <w:adjustRightInd/>
              <w:snapToGrid/>
              <w:spacing w:line="240" w:lineRule="auto"/>
              <w:ind w:left="0" w:leftChars="0" w:right="0" w:rightChars="0"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100</w:t>
            </w:r>
          </w:p>
        </w:tc>
      </w:tr>
    </w:tbl>
    <w:p w14:paraId="76D769FA">
      <w:pPr>
        <w:rPr>
          <w:rFonts w:hint="default" w:ascii="仿宋_GB2312" w:hAnsi="仿宋_GB2312" w:eastAsia="仿宋_GB2312" w:cs="仿宋_GB2312"/>
          <w:bCs/>
          <w:color w:val="000000"/>
          <w:sz w:val="32"/>
          <w:szCs w:val="32"/>
          <w:lang w:val="en-US" w:eastAsia="zh-CN"/>
        </w:rPr>
      </w:pPr>
      <w:r>
        <w:rPr>
          <w:rFonts w:hint="eastAsia"/>
          <w:b/>
          <w:sz w:val="24"/>
          <w:szCs w:val="24"/>
        </w:rPr>
        <w:t>样品要求：</w:t>
      </w:r>
    </w:p>
    <w:tbl>
      <w:tblPr>
        <w:tblStyle w:val="9"/>
        <w:tblW w:w="505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1"/>
        <w:gridCol w:w="1276"/>
        <w:gridCol w:w="568"/>
        <w:gridCol w:w="568"/>
        <w:gridCol w:w="5808"/>
      </w:tblGrid>
      <w:tr w14:paraId="33BB3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226" w:type="pct"/>
            <w:noWrap w:val="0"/>
            <w:vAlign w:val="center"/>
          </w:tcPr>
          <w:p w14:paraId="2B5DAB6E">
            <w:pPr>
              <w:jc w:val="center"/>
              <w:rPr>
                <w:rFonts w:ascii="宋体" w:hAnsi="宋体" w:eastAsia="宋体" w:cs="宋体"/>
                <w:b/>
                <w:snapToGrid w:val="0"/>
                <w:kern w:val="0"/>
                <w:szCs w:val="21"/>
              </w:rPr>
            </w:pPr>
            <w:r>
              <w:rPr>
                <w:rFonts w:hint="eastAsia" w:ascii="宋体" w:hAnsi="宋体" w:eastAsia="宋体" w:cs="宋体"/>
                <w:b/>
                <w:snapToGrid w:val="0"/>
                <w:kern w:val="0"/>
                <w:szCs w:val="21"/>
              </w:rPr>
              <w:t>序号</w:t>
            </w:r>
          </w:p>
        </w:tc>
        <w:tc>
          <w:tcPr>
            <w:tcW w:w="740" w:type="pct"/>
            <w:noWrap w:val="0"/>
            <w:vAlign w:val="center"/>
          </w:tcPr>
          <w:p w14:paraId="577DB23E">
            <w:pPr>
              <w:jc w:val="center"/>
              <w:rPr>
                <w:rFonts w:ascii="宋体" w:hAnsi="宋体" w:eastAsia="宋体" w:cs="宋体"/>
                <w:b/>
                <w:snapToGrid w:val="0"/>
                <w:kern w:val="0"/>
                <w:szCs w:val="21"/>
              </w:rPr>
            </w:pPr>
            <w:r>
              <w:rPr>
                <w:rFonts w:hint="eastAsia" w:ascii="宋体" w:hAnsi="宋体" w:eastAsia="宋体" w:cs="宋体"/>
                <w:b/>
                <w:snapToGrid w:val="0"/>
                <w:kern w:val="0"/>
                <w:szCs w:val="21"/>
              </w:rPr>
              <w:t>样品名称</w:t>
            </w:r>
          </w:p>
        </w:tc>
        <w:tc>
          <w:tcPr>
            <w:tcW w:w="329" w:type="pct"/>
            <w:noWrap w:val="0"/>
            <w:vAlign w:val="center"/>
          </w:tcPr>
          <w:p w14:paraId="7D36D910">
            <w:pPr>
              <w:jc w:val="center"/>
              <w:rPr>
                <w:rFonts w:ascii="宋体" w:hAnsi="宋体" w:eastAsia="宋体" w:cs="宋体"/>
                <w:b/>
                <w:snapToGrid w:val="0"/>
                <w:kern w:val="0"/>
                <w:szCs w:val="21"/>
              </w:rPr>
            </w:pPr>
            <w:r>
              <w:rPr>
                <w:rFonts w:hint="eastAsia" w:ascii="宋体" w:hAnsi="宋体" w:eastAsia="宋体" w:cs="宋体"/>
                <w:b/>
                <w:snapToGrid w:val="0"/>
                <w:kern w:val="0"/>
                <w:szCs w:val="21"/>
              </w:rPr>
              <w:t>数量</w:t>
            </w:r>
          </w:p>
        </w:tc>
        <w:tc>
          <w:tcPr>
            <w:tcW w:w="329" w:type="pct"/>
            <w:noWrap w:val="0"/>
            <w:vAlign w:val="center"/>
          </w:tcPr>
          <w:p w14:paraId="20A4C74B">
            <w:pPr>
              <w:jc w:val="center"/>
              <w:rPr>
                <w:rFonts w:ascii="宋体" w:hAnsi="宋体" w:eastAsia="宋体" w:cs="宋体"/>
                <w:b/>
                <w:snapToGrid w:val="0"/>
                <w:kern w:val="0"/>
                <w:szCs w:val="21"/>
              </w:rPr>
            </w:pPr>
            <w:r>
              <w:rPr>
                <w:rFonts w:hint="eastAsia" w:ascii="宋体" w:hAnsi="宋体" w:eastAsia="宋体" w:cs="宋体"/>
                <w:b/>
                <w:snapToGrid w:val="0"/>
                <w:kern w:val="0"/>
                <w:szCs w:val="21"/>
              </w:rPr>
              <w:t>单位</w:t>
            </w:r>
          </w:p>
        </w:tc>
        <w:tc>
          <w:tcPr>
            <w:tcW w:w="3373" w:type="pct"/>
            <w:noWrap w:val="0"/>
            <w:vAlign w:val="center"/>
          </w:tcPr>
          <w:p w14:paraId="44C4FC48">
            <w:pPr>
              <w:jc w:val="center"/>
              <w:rPr>
                <w:rFonts w:ascii="宋体" w:hAnsi="宋体" w:eastAsia="宋体" w:cs="宋体"/>
                <w:b/>
                <w:snapToGrid w:val="0"/>
                <w:kern w:val="0"/>
                <w:szCs w:val="21"/>
              </w:rPr>
            </w:pPr>
            <w:r>
              <w:rPr>
                <w:rFonts w:hint="eastAsia" w:ascii="宋体" w:hAnsi="宋体" w:eastAsia="宋体" w:cs="宋体"/>
                <w:b/>
                <w:snapToGrid w:val="0"/>
                <w:kern w:val="0"/>
                <w:szCs w:val="21"/>
              </w:rPr>
              <w:t>要求</w:t>
            </w:r>
          </w:p>
        </w:tc>
      </w:tr>
      <w:tr w14:paraId="210EB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26" w:type="pct"/>
            <w:noWrap w:val="0"/>
            <w:vAlign w:val="center"/>
          </w:tcPr>
          <w:p w14:paraId="5240B647">
            <w:pPr>
              <w:jc w:val="center"/>
              <w:rPr>
                <w:rFonts w:ascii="宋体" w:hAnsi="宋体" w:eastAsia="宋体" w:cs="宋体"/>
                <w:bCs/>
                <w:snapToGrid w:val="0"/>
                <w:kern w:val="0"/>
                <w:szCs w:val="21"/>
              </w:rPr>
            </w:pPr>
            <w:r>
              <w:rPr>
                <w:rFonts w:hint="eastAsia" w:ascii="宋体" w:hAnsi="宋体" w:eastAsia="宋体" w:cs="宋体"/>
                <w:bCs/>
                <w:snapToGrid w:val="0"/>
                <w:kern w:val="0"/>
                <w:szCs w:val="21"/>
              </w:rPr>
              <w:t>1</w:t>
            </w:r>
          </w:p>
        </w:tc>
        <w:tc>
          <w:tcPr>
            <w:tcW w:w="740" w:type="pct"/>
            <w:noWrap w:val="0"/>
            <w:vAlign w:val="center"/>
          </w:tcPr>
          <w:p w14:paraId="691374C9">
            <w:pPr>
              <w:jc w:val="center"/>
              <w:rPr>
                <w:rFonts w:ascii="宋体" w:hAnsi="宋体" w:eastAsia="宋体" w:cs="宋体"/>
                <w:bCs/>
                <w:snapToGrid w:val="0"/>
                <w:kern w:val="0"/>
                <w:szCs w:val="21"/>
              </w:rPr>
            </w:pPr>
            <w:r>
              <w:rPr>
                <w:rFonts w:hint="eastAsia" w:ascii="宋体" w:hAnsi="宋体" w:eastAsia="宋体" w:cs="宋体"/>
                <w:bCs/>
                <w:snapToGrid w:val="0"/>
                <w:kern w:val="0"/>
                <w:szCs w:val="21"/>
              </w:rPr>
              <w:t>麻醉车A</w:t>
            </w:r>
          </w:p>
        </w:tc>
        <w:tc>
          <w:tcPr>
            <w:tcW w:w="329" w:type="pct"/>
            <w:noWrap w:val="0"/>
            <w:vAlign w:val="center"/>
          </w:tcPr>
          <w:p w14:paraId="7B1D2F32">
            <w:pPr>
              <w:jc w:val="center"/>
              <w:rPr>
                <w:rFonts w:ascii="宋体" w:hAnsi="宋体" w:eastAsia="宋体" w:cs="宋体"/>
                <w:bCs/>
                <w:snapToGrid w:val="0"/>
                <w:kern w:val="0"/>
                <w:szCs w:val="21"/>
              </w:rPr>
            </w:pPr>
            <w:r>
              <w:rPr>
                <w:rFonts w:hint="eastAsia" w:ascii="宋体" w:hAnsi="宋体" w:eastAsia="宋体" w:cs="宋体"/>
                <w:bCs/>
                <w:snapToGrid w:val="0"/>
                <w:kern w:val="0"/>
                <w:szCs w:val="21"/>
              </w:rPr>
              <w:t>1</w:t>
            </w:r>
          </w:p>
        </w:tc>
        <w:tc>
          <w:tcPr>
            <w:tcW w:w="329" w:type="pct"/>
            <w:noWrap w:val="0"/>
            <w:vAlign w:val="center"/>
          </w:tcPr>
          <w:p w14:paraId="55F6DE9A">
            <w:pPr>
              <w:jc w:val="center"/>
              <w:rPr>
                <w:rFonts w:ascii="宋体" w:hAnsi="宋体" w:eastAsia="宋体" w:cs="宋体"/>
                <w:bCs/>
                <w:snapToGrid w:val="0"/>
                <w:kern w:val="0"/>
                <w:szCs w:val="21"/>
              </w:rPr>
            </w:pPr>
            <w:r>
              <w:rPr>
                <w:rFonts w:hint="eastAsia" w:ascii="宋体" w:hAnsi="宋体" w:eastAsia="宋体" w:cs="宋体"/>
                <w:bCs/>
                <w:snapToGrid w:val="0"/>
                <w:kern w:val="0"/>
                <w:szCs w:val="21"/>
              </w:rPr>
              <w:t>套</w:t>
            </w:r>
          </w:p>
        </w:tc>
        <w:tc>
          <w:tcPr>
            <w:tcW w:w="3373" w:type="pct"/>
            <w:noWrap w:val="0"/>
            <w:vAlign w:val="center"/>
          </w:tcPr>
          <w:p w14:paraId="2D013CBB">
            <w:pPr>
              <w:jc w:val="left"/>
              <w:rPr>
                <w:rFonts w:ascii="宋体" w:hAnsi="宋体" w:eastAsia="宋体" w:cs="宋体"/>
                <w:kern w:val="0"/>
                <w:szCs w:val="21"/>
                <w:lang w:bidi="ar"/>
              </w:rPr>
            </w:pPr>
            <w:r>
              <w:rPr>
                <w:rFonts w:hint="eastAsia" w:ascii="宋体" w:hAnsi="宋体" w:eastAsia="宋体" w:cs="宋体"/>
                <w:kern w:val="0"/>
                <w:szCs w:val="21"/>
                <w:lang w:bidi="ar"/>
              </w:rPr>
              <w:t>1</w:t>
            </w:r>
            <w:r>
              <w:rPr>
                <w:rFonts w:hint="eastAsia" w:ascii="宋体" w:hAnsi="宋体" w:eastAsia="宋体" w:cs="宋体"/>
                <w:kern w:val="0"/>
                <w:szCs w:val="21"/>
                <w:lang w:val="en-US" w:eastAsia="zh-CN" w:bidi="ar"/>
              </w:rPr>
              <w:t>.</w:t>
            </w:r>
            <w:r>
              <w:rPr>
                <w:rFonts w:hint="eastAsia" w:ascii="宋体" w:hAnsi="宋体" w:eastAsia="宋体" w:cs="宋体"/>
                <w:kern w:val="0"/>
                <w:szCs w:val="21"/>
                <w:lang w:bidi="ar"/>
              </w:rPr>
              <w:t>规格尺寸要求: 650*480*950mm±10mm</w:t>
            </w:r>
          </w:p>
          <w:p w14:paraId="4632F2EA">
            <w:pPr>
              <w:jc w:val="left"/>
              <w:rPr>
                <w:rFonts w:hint="eastAsia" w:ascii="宋体" w:hAnsi="宋体" w:eastAsia="宋体" w:cs="宋体"/>
                <w:bCs/>
                <w:szCs w:val="21"/>
                <w:lang w:eastAsia="zh-CN"/>
              </w:rPr>
            </w:pPr>
            <w:r>
              <w:rPr>
                <w:rFonts w:hint="eastAsia" w:ascii="宋体" w:hAnsi="宋体" w:eastAsia="宋体" w:cs="宋体"/>
                <w:kern w:val="0"/>
                <w:szCs w:val="21"/>
                <w:lang w:val="en-US" w:eastAsia="zh-CN" w:bidi="ar"/>
              </w:rPr>
              <w:t>2.</w:t>
            </w:r>
            <w:r>
              <w:rPr>
                <w:rFonts w:hint="eastAsia" w:ascii="宋体" w:hAnsi="宋体" w:eastAsia="宋体" w:cs="宋体"/>
                <w:kern w:val="0"/>
                <w:szCs w:val="21"/>
                <w:lang w:bidi="ar"/>
              </w:rPr>
              <w:t>正面:配5层抽屉（2小抽、2中抽、1大抽），带不锈钢护栏</w:t>
            </w:r>
            <w:r>
              <w:rPr>
                <w:rFonts w:hint="eastAsia" w:ascii="宋体" w:hAnsi="宋体" w:eastAsia="宋体" w:cs="宋体"/>
                <w:kern w:val="0"/>
                <w:szCs w:val="21"/>
                <w:lang w:eastAsia="zh-CN" w:bidi="ar"/>
              </w:rPr>
              <w:t>；</w:t>
            </w:r>
            <w:r>
              <w:rPr>
                <w:rFonts w:hint="eastAsia" w:ascii="宋体" w:hAnsi="宋体" w:eastAsia="宋体" w:cs="宋体"/>
                <w:kern w:val="0"/>
                <w:szCs w:val="21"/>
                <w:lang w:bidi="ar"/>
              </w:rPr>
              <w:t>左侧：配有副工作台、网篮、洗手液支架；右侧：中控锁，3L锐器盒，分色污物桶；背后：双排可伸缩十联置器盒</w:t>
            </w:r>
            <w:r>
              <w:rPr>
                <w:rFonts w:hint="eastAsia" w:ascii="宋体" w:hAnsi="宋体" w:eastAsia="宋体" w:cs="宋体"/>
                <w:kern w:val="0"/>
                <w:szCs w:val="21"/>
                <w:lang w:eastAsia="zh-CN" w:bidi="ar"/>
              </w:rPr>
              <w:t>。</w:t>
            </w:r>
          </w:p>
        </w:tc>
      </w:tr>
    </w:tbl>
    <w:p w14:paraId="1D418175">
      <w:pPr>
        <w:rPr>
          <w:rFonts w:hint="default" w:ascii="仿宋_GB2312" w:hAnsi="仿宋_GB2312" w:eastAsia="仿宋_GB2312" w:cs="仿宋_GB2312"/>
          <w:bCs/>
          <w:color w:val="000000"/>
          <w:sz w:val="32"/>
          <w:szCs w:val="32"/>
          <w:lang w:val="en-US" w:eastAsia="zh-CN"/>
        </w:rPr>
      </w:pPr>
    </w:p>
    <w:p w14:paraId="63DEEAE2">
      <w:pPr>
        <w:rPr>
          <w:rFonts w:hint="default" w:ascii="仿宋_GB2312" w:hAnsi="仿宋_GB2312" w:eastAsia="仿宋_GB2312" w:cs="仿宋_GB2312"/>
          <w:bCs/>
          <w:color w:val="000000"/>
          <w:sz w:val="32"/>
          <w:szCs w:val="32"/>
          <w:lang w:val="en-US" w:eastAsia="zh-CN"/>
        </w:rPr>
      </w:pPr>
    </w:p>
    <w:p w14:paraId="47F139BC">
      <w:pPr>
        <w:rPr>
          <w:rFonts w:hint="default" w:ascii="仿宋_GB2312" w:hAnsi="仿宋_GB2312" w:eastAsia="仿宋_GB2312" w:cs="仿宋_GB2312"/>
          <w:bCs/>
          <w:color w:val="000000"/>
          <w:sz w:val="32"/>
          <w:szCs w:val="32"/>
          <w:lang w:val="en-US" w:eastAsia="zh-CN"/>
        </w:rPr>
      </w:pPr>
    </w:p>
    <w:p w14:paraId="57274F51">
      <w:pPr>
        <w:jc w:val="center"/>
        <w:rPr>
          <w:rFonts w:hint="eastAsia" w:ascii="宋体" w:hAnsi="宋体" w:eastAsia="宋体" w:cs="宋体"/>
          <w:bCs/>
          <w:color w:val="000000"/>
          <w:sz w:val="44"/>
          <w:szCs w:val="44"/>
          <w:cs w:val="0"/>
          <w:lang w:val="en-US" w:eastAsia="zh-CN"/>
        </w:rPr>
      </w:pPr>
      <w:r>
        <w:rPr>
          <w:rFonts w:hint="eastAsia" w:ascii="宋体" w:hAnsi="宋体" w:eastAsia="宋体" w:cs="宋体"/>
          <w:bCs/>
          <w:color w:val="000000"/>
          <w:sz w:val="44"/>
          <w:szCs w:val="44"/>
          <w:cs w:val="0"/>
          <w:lang w:val="en-US" w:eastAsia="zh-CN"/>
        </w:rPr>
        <w:t>麻醉呼吸回路消毒机</w:t>
      </w:r>
    </w:p>
    <w:p w14:paraId="544CAA33">
      <w:pPr>
        <w:jc w:val="center"/>
        <w:rPr>
          <w:rFonts w:hint="eastAsia" w:ascii="宋体" w:hAnsi="宋体" w:eastAsia="宋体" w:cs="宋体"/>
          <w:bCs/>
          <w:color w:val="000000"/>
          <w:sz w:val="44"/>
          <w:szCs w:val="44"/>
          <w:cs w:val="0"/>
          <w:lang w:val="en-US" w:eastAsia="zh-CN"/>
        </w:rPr>
      </w:pPr>
    </w:p>
    <w:p w14:paraId="0EB28E23">
      <w:pPr>
        <w:keepNext w:val="0"/>
        <w:keepLines w:val="0"/>
        <w:pageBreakBefore w:val="0"/>
        <w:widowControl w:val="0"/>
        <w:kinsoku/>
        <w:wordWrap/>
        <w:overflowPunct/>
        <w:topLinePunct w:val="0"/>
        <w:bidi w:val="0"/>
        <w:snapToGrid/>
        <w:ind w:firstLine="643" w:firstLineChars="200"/>
        <w:textAlignment w:val="auto"/>
        <w:rPr>
          <w:rFonts w:hint="default" w:ascii="楷体_GB2312" w:hAnsi="楷体_GB2312" w:eastAsia="楷体_GB2312" w:cs="楷体_GB2312"/>
          <w:b/>
          <w:bCs w:val="0"/>
          <w:color w:val="000000"/>
          <w:sz w:val="32"/>
          <w:szCs w:val="32"/>
          <w:lang w:val="en-US" w:eastAsia="zh-CN"/>
        </w:rPr>
      </w:pPr>
      <w:r>
        <w:rPr>
          <w:rFonts w:hint="eastAsia" w:ascii="楷体_GB2312" w:hAnsi="楷体_GB2312" w:eastAsia="楷体_GB2312" w:cs="楷体_GB2312"/>
          <w:b/>
          <w:bCs w:val="0"/>
          <w:color w:val="000000"/>
          <w:sz w:val="32"/>
          <w:szCs w:val="32"/>
          <w:lang w:val="en-US" w:eastAsia="zh-CN"/>
        </w:rPr>
        <w:t>一、项目概况</w:t>
      </w:r>
    </w:p>
    <w:p w14:paraId="52BA46D6">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 w:val="0"/>
          <w:bCs/>
          <w:color w:val="000000"/>
          <w:sz w:val="32"/>
          <w:szCs w:val="32"/>
          <w:lang w:val="en-US" w:eastAsia="zh-CN"/>
        </w:rPr>
        <w:t>1.用途：用于麻醉机、呼吸机等设备回路内部消毒。需提供医疗器械注册证及消毒产品生产企业卫生许可证</w:t>
      </w:r>
      <w:r>
        <w:rPr>
          <w:rFonts w:hint="eastAsia" w:ascii="仿宋_GB2312" w:hAnsi="仿宋_GB2312" w:eastAsia="仿宋_GB2312" w:cs="仿宋_GB2312"/>
          <w:bCs/>
          <w:color w:val="000000"/>
          <w:sz w:val="32"/>
          <w:szCs w:val="32"/>
        </w:rPr>
        <w:t>。</w:t>
      </w:r>
    </w:p>
    <w:p w14:paraId="0D9D976F">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★2.本项目不接受进口产品投标。</w:t>
      </w:r>
    </w:p>
    <w:p w14:paraId="3CAC0107">
      <w:pPr>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r>
        <w:rPr>
          <w:rFonts w:hint="eastAsia" w:ascii="楷体_GB2312" w:hAnsi="楷体_GB2312" w:eastAsia="楷体_GB2312" w:cs="楷体_GB2312"/>
          <w:b/>
          <w:bCs w:val="0"/>
          <w:color w:val="000000"/>
          <w:sz w:val="32"/>
          <w:szCs w:val="32"/>
          <w:lang w:val="en-US" w:eastAsia="zh-CN"/>
        </w:rPr>
        <w:t>二、主要技术及系统要求</w:t>
      </w:r>
    </w:p>
    <w:p w14:paraId="7FE54A2E">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1.采用臭氧（</w:t>
      </w:r>
      <w:r>
        <w:rPr>
          <w:rFonts w:hint="eastAsia" w:ascii="宋体" w:hAnsi="宋体" w:eastAsia="宋体" w:cs="宋体"/>
          <w:b w:val="0"/>
          <w:bCs/>
          <w:sz w:val="32"/>
          <w:szCs w:val="32"/>
          <w:highlight w:val="none"/>
        </w:rPr>
        <w:t>O</w:t>
      </w:r>
      <w:r>
        <w:rPr>
          <w:rFonts w:hint="eastAsia" w:ascii="宋体" w:hAnsi="宋体" w:eastAsia="宋体" w:cs="宋体"/>
          <w:b w:val="0"/>
          <w:bCs/>
          <w:sz w:val="32"/>
          <w:szCs w:val="32"/>
          <w:highlight w:val="none"/>
          <w:vertAlign w:val="subscript"/>
        </w:rPr>
        <w:t>3</w:t>
      </w:r>
      <w:r>
        <w:rPr>
          <w:rFonts w:hint="eastAsia" w:ascii="仿宋_GB2312" w:hAnsi="仿宋_GB2312" w:eastAsia="仿宋_GB2312" w:cs="仿宋_GB2312"/>
          <w:bCs/>
          <w:color w:val="000000"/>
          <w:sz w:val="32"/>
          <w:szCs w:val="32"/>
          <w:lang w:val="en-US" w:eastAsia="zh-CN"/>
        </w:rPr>
        <w:t>）和过氧化氢（</w:t>
      </w:r>
      <w:r>
        <w:rPr>
          <w:rFonts w:hint="eastAsia" w:ascii="宋体" w:hAnsi="宋体" w:eastAsia="宋体" w:cs="宋体"/>
          <w:b w:val="0"/>
          <w:bCs/>
          <w:sz w:val="32"/>
          <w:szCs w:val="32"/>
          <w:highlight w:val="none"/>
        </w:rPr>
        <w:t>H</w:t>
      </w:r>
      <w:r>
        <w:rPr>
          <w:rFonts w:hint="eastAsia" w:ascii="宋体" w:hAnsi="宋体" w:eastAsia="宋体" w:cs="宋体"/>
          <w:b w:val="0"/>
          <w:bCs/>
          <w:sz w:val="32"/>
          <w:szCs w:val="32"/>
          <w:highlight w:val="none"/>
          <w:vertAlign w:val="subscript"/>
        </w:rPr>
        <w:t>2</w:t>
      </w:r>
      <w:r>
        <w:rPr>
          <w:rFonts w:hint="eastAsia" w:ascii="宋体" w:hAnsi="宋体" w:eastAsia="宋体" w:cs="宋体"/>
          <w:b w:val="0"/>
          <w:bCs/>
          <w:sz w:val="32"/>
          <w:szCs w:val="32"/>
          <w:highlight w:val="none"/>
        </w:rPr>
        <w:t>O</w:t>
      </w:r>
      <w:r>
        <w:rPr>
          <w:rFonts w:hint="eastAsia" w:ascii="宋体" w:hAnsi="宋体" w:eastAsia="宋体" w:cs="宋体"/>
          <w:b w:val="0"/>
          <w:bCs/>
          <w:sz w:val="32"/>
          <w:szCs w:val="32"/>
          <w:highlight w:val="none"/>
          <w:vertAlign w:val="subscript"/>
        </w:rPr>
        <w:t>2</w:t>
      </w:r>
      <w:r>
        <w:rPr>
          <w:rFonts w:hint="eastAsia" w:ascii="仿宋_GB2312" w:hAnsi="仿宋_GB2312" w:eastAsia="仿宋_GB2312" w:cs="仿宋_GB2312"/>
          <w:bCs/>
          <w:color w:val="000000"/>
          <w:sz w:val="32"/>
          <w:szCs w:val="32"/>
          <w:lang w:val="en-US" w:eastAsia="zh-CN"/>
        </w:rPr>
        <w:t>）或者复合醇消毒液两种消毒因子对麻醉机、呼吸机回路内外面进行消毒灭菌。醇类复合消毒液有效成份明确：乙醇、异丙醇（乙醇含量（63.0±6）%（v/v）；异丙醇（15±1.5）%（v/v））。消毒剂使用说明应适用于麻醉机内部回路、呼吸机内部回路消毒机，避免不当使用消毒液导致麻醉机损坏；</w:t>
      </w:r>
      <w:r>
        <w:rPr>
          <w:rFonts w:hint="eastAsia" w:ascii="仿宋_GB2312" w:hAnsi="仿宋_GB2312" w:eastAsia="仿宋_GB2312" w:cs="仿宋_GB2312"/>
          <w:b/>
          <w:bCs w:val="0"/>
          <w:color w:val="000000"/>
          <w:sz w:val="32"/>
          <w:szCs w:val="32"/>
          <w:lang w:val="en-US" w:eastAsia="zh-CN"/>
        </w:rPr>
        <w:t xml:space="preserve">（提供产品说明书、消毒液产品安全评价报告佐证，佐证材料需提供完整页面） </w:t>
      </w:r>
      <w:r>
        <w:rPr>
          <w:rFonts w:hint="eastAsia" w:ascii="仿宋_GB2312" w:hAnsi="仿宋_GB2312" w:eastAsia="仿宋_GB2312" w:cs="仿宋_GB2312"/>
          <w:bCs/>
          <w:color w:val="000000"/>
          <w:sz w:val="32"/>
          <w:szCs w:val="32"/>
          <w:lang w:val="en-US" w:eastAsia="zh-CN"/>
        </w:rPr>
        <w:t xml:space="preserve"> </w:t>
      </w:r>
    </w:p>
    <w:p w14:paraId="1ED62D83">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2.消毒机采用≥5.7英寸彩色触摸液晶显示屏； </w:t>
      </w:r>
      <w:r>
        <w:rPr>
          <w:rFonts w:hint="eastAsia" w:ascii="仿宋_GB2312" w:hAnsi="仿宋_GB2312" w:eastAsia="仿宋_GB2312" w:cs="仿宋_GB2312"/>
          <w:b/>
          <w:bCs w:val="0"/>
          <w:color w:val="000000"/>
          <w:sz w:val="32"/>
          <w:szCs w:val="32"/>
          <w:lang w:val="en-US" w:eastAsia="zh-CN"/>
        </w:rPr>
        <w:t>(提供产品说明书证明，佐证材料需提供完整页面）</w:t>
      </w:r>
      <w:r>
        <w:rPr>
          <w:rFonts w:hint="eastAsia" w:ascii="仿宋_GB2312" w:hAnsi="仿宋_GB2312" w:eastAsia="仿宋_GB2312" w:cs="仿宋_GB2312"/>
          <w:bCs/>
          <w:color w:val="000000"/>
          <w:sz w:val="32"/>
          <w:szCs w:val="32"/>
          <w:lang w:val="en-US" w:eastAsia="zh-CN"/>
        </w:rPr>
        <w:t xml:space="preserve"> </w:t>
      </w:r>
    </w:p>
    <w:p w14:paraId="4470D05B">
      <w:pPr>
        <w:keepNext w:val="0"/>
        <w:keepLines w:val="0"/>
        <w:pageBreakBefore w:val="0"/>
        <w:widowControl w:val="0"/>
        <w:kinsoku/>
        <w:wordWrap/>
        <w:overflowPunct/>
        <w:topLinePunct w:val="0"/>
        <w:bidi w:val="0"/>
        <w:snapToGrid/>
        <w:ind w:firstLine="640" w:firstLineChars="200"/>
        <w:textAlignment w:val="auto"/>
        <w:rPr>
          <w:rFonts w:hint="default" w:ascii="仿宋_GB2312" w:hAnsi="仿宋_GB2312" w:eastAsia="仿宋_GB2312" w:cs="仿宋_GB2312"/>
          <w:b/>
          <w:bCs w:val="0"/>
          <w:color w:val="000000"/>
          <w:sz w:val="32"/>
          <w:szCs w:val="32"/>
          <w:lang w:val="en-US" w:eastAsia="zh-CN"/>
        </w:rPr>
      </w:pPr>
      <w:r>
        <w:rPr>
          <w:rFonts w:hint="eastAsia" w:ascii="仿宋_GB2312" w:hAnsi="仿宋_GB2312" w:eastAsia="仿宋_GB2312" w:cs="仿宋_GB2312"/>
          <w:bCs/>
          <w:color w:val="000000"/>
          <w:sz w:val="32"/>
          <w:szCs w:val="32"/>
          <w:lang w:val="en-US" w:eastAsia="zh-CN"/>
        </w:rPr>
        <w:t>3.消毒工作模式：≥2个程序模式（至少包含麻醉机、呼吸机）；麻醉机程序模式包括但不限于：15min雾化、60min消毒灭菌、30min干燥；呼吸机程序模式包括但不限于：15min雾化、60min消毒灭菌、30min干燥</w:t>
      </w:r>
      <w:r>
        <w:rPr>
          <w:rFonts w:hint="eastAsia" w:ascii="仿宋_GB2312" w:hAnsi="仿宋_GB2312" w:eastAsia="仿宋_GB2312" w:cs="仿宋_GB2312"/>
          <w:b/>
          <w:bCs w:val="0"/>
          <w:color w:val="000000"/>
          <w:sz w:val="32"/>
          <w:szCs w:val="32"/>
          <w:lang w:val="en-US" w:eastAsia="zh-CN"/>
        </w:rPr>
        <w:t xml:space="preserve"> ；</w:t>
      </w:r>
    </w:p>
    <w:p w14:paraId="31D34760">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4.雾化程序：工作时间范围包含10min-60min可选，步进值≤5min；消毒程序：工作时间范围包含</w:t>
      </w:r>
      <w:r>
        <w:rPr>
          <w:rFonts w:hint="eastAsia" w:ascii="仿宋_GB2312" w:hAnsi="仿宋_GB2312" w:eastAsia="仿宋_GB2312" w:cs="仿宋_GB2312"/>
          <w:bCs/>
          <w:color w:val="000000"/>
          <w:sz w:val="32"/>
          <w:szCs w:val="32"/>
          <w:highlight w:val="none"/>
          <w:lang w:val="en-US" w:eastAsia="zh-CN"/>
        </w:rPr>
        <w:t>10min-60min、30min-120min</w:t>
      </w:r>
      <w:r>
        <w:rPr>
          <w:rFonts w:hint="eastAsia" w:ascii="仿宋_GB2312" w:hAnsi="仿宋_GB2312" w:eastAsia="仿宋_GB2312" w:cs="仿宋_GB2312"/>
          <w:bCs/>
          <w:color w:val="000000"/>
          <w:sz w:val="32"/>
          <w:szCs w:val="32"/>
          <w:lang w:val="en-US" w:eastAsia="zh-CN"/>
        </w:rPr>
        <w:t xml:space="preserve">可选，步进值≤5min；干燥程序：工作时间范围包含10min-60min可选，步进值5min；雾化量(ml/min)范围包含0.2-0.5； </w:t>
      </w:r>
    </w:p>
    <w:p w14:paraId="7E25BCDC">
      <w:pPr>
        <w:pStyle w:val="5"/>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leftChars="0" w:firstLine="640" w:firstLineChars="200"/>
        <w:textAlignment w:val="auto"/>
        <w:rPr>
          <w:rFonts w:hint="eastAsia" w:ascii="仿宋_GB2312" w:hAnsi="仿宋_GB2312" w:eastAsia="仿宋_GB2312" w:cs="仿宋_GB2312"/>
          <w:bCs/>
          <w:color w:val="000000"/>
          <w:kern w:val="2"/>
          <w:sz w:val="32"/>
          <w:szCs w:val="32"/>
          <w:lang w:val="en-US" w:eastAsia="zh-CN" w:bidi="ar-SA"/>
        </w:rPr>
      </w:pPr>
      <w:r>
        <w:rPr>
          <w:rFonts w:hint="eastAsia" w:ascii="仿宋_GB2312" w:hAnsi="仿宋_GB2312" w:eastAsia="仿宋_GB2312" w:cs="仿宋_GB2312"/>
          <w:bCs/>
          <w:color w:val="000000"/>
          <w:kern w:val="2"/>
          <w:sz w:val="32"/>
          <w:szCs w:val="32"/>
          <w:lang w:val="en-US" w:eastAsia="zh-CN" w:bidi="ar-SA"/>
        </w:rPr>
        <w:t>5.</w:t>
      </w:r>
      <w:r>
        <w:rPr>
          <w:rFonts w:hint="eastAsia" w:ascii="宋体" w:hAnsi="宋体" w:eastAsia="宋体" w:cs="宋体"/>
          <w:b w:val="0"/>
          <w:bCs/>
          <w:kern w:val="0"/>
          <w:sz w:val="32"/>
          <w:szCs w:val="32"/>
          <w:highlight w:val="none"/>
        </w:rPr>
        <w:t>O</w:t>
      </w:r>
      <w:r>
        <w:rPr>
          <w:rFonts w:hint="eastAsia" w:ascii="宋体" w:hAnsi="宋体" w:eastAsia="宋体" w:cs="宋体"/>
          <w:b w:val="0"/>
          <w:bCs/>
          <w:kern w:val="0"/>
          <w:sz w:val="32"/>
          <w:szCs w:val="32"/>
          <w:highlight w:val="none"/>
          <w:vertAlign w:val="subscript"/>
        </w:rPr>
        <w:t>3</w:t>
      </w:r>
      <w:r>
        <w:rPr>
          <w:rFonts w:hint="eastAsia" w:ascii="仿宋_GB2312" w:hAnsi="仿宋_GB2312" w:eastAsia="仿宋_GB2312" w:cs="仿宋_GB2312"/>
          <w:bCs/>
          <w:color w:val="000000"/>
          <w:kern w:val="2"/>
          <w:sz w:val="32"/>
          <w:szCs w:val="32"/>
          <w:lang w:val="en-US" w:eastAsia="zh-CN" w:bidi="ar-SA"/>
        </w:rPr>
        <w:t>浓度检测：消毒运行中随时通过传感器检测</w:t>
      </w:r>
      <w:r>
        <w:rPr>
          <w:rFonts w:hint="eastAsia" w:ascii="宋体" w:hAnsi="宋体" w:eastAsia="宋体" w:cs="宋体"/>
          <w:b w:val="0"/>
          <w:bCs/>
          <w:kern w:val="0"/>
          <w:sz w:val="32"/>
          <w:szCs w:val="32"/>
          <w:highlight w:val="none"/>
        </w:rPr>
        <w:t>O</w:t>
      </w:r>
      <w:r>
        <w:rPr>
          <w:rFonts w:hint="eastAsia" w:ascii="宋体" w:hAnsi="宋体" w:eastAsia="宋体" w:cs="宋体"/>
          <w:b w:val="0"/>
          <w:bCs/>
          <w:kern w:val="0"/>
          <w:sz w:val="32"/>
          <w:szCs w:val="32"/>
          <w:highlight w:val="none"/>
          <w:vertAlign w:val="subscript"/>
        </w:rPr>
        <w:t>3</w:t>
      </w:r>
      <w:r>
        <w:rPr>
          <w:rFonts w:hint="eastAsia" w:ascii="仿宋_GB2312" w:hAnsi="仿宋_GB2312" w:eastAsia="仿宋_GB2312" w:cs="仿宋_GB2312"/>
          <w:bCs/>
          <w:color w:val="000000"/>
          <w:kern w:val="2"/>
          <w:sz w:val="32"/>
          <w:szCs w:val="32"/>
          <w:lang w:val="en-US" w:eastAsia="zh-CN" w:bidi="ar-SA"/>
        </w:rPr>
        <w:t>浓度，</w:t>
      </w:r>
      <w:bookmarkStart w:id="1" w:name="_GoBack"/>
      <w:bookmarkEnd w:id="1"/>
      <w:r>
        <w:rPr>
          <w:rFonts w:hint="eastAsia" w:ascii="仿宋_GB2312" w:hAnsi="仿宋_GB2312" w:eastAsia="仿宋_GB2312" w:cs="仿宋_GB2312"/>
          <w:bCs/>
          <w:color w:val="000000"/>
          <w:kern w:val="2"/>
          <w:sz w:val="32"/>
          <w:szCs w:val="32"/>
          <w:lang w:val="en-US" w:eastAsia="zh-CN" w:bidi="ar-SA"/>
        </w:rPr>
        <w:t>排气口的</w:t>
      </w:r>
      <w:r>
        <w:rPr>
          <w:rFonts w:hint="eastAsia" w:ascii="宋体" w:hAnsi="宋体" w:eastAsia="宋体" w:cs="宋体"/>
          <w:b w:val="0"/>
          <w:bCs/>
          <w:kern w:val="0"/>
          <w:sz w:val="32"/>
          <w:szCs w:val="32"/>
          <w:highlight w:val="none"/>
        </w:rPr>
        <w:t>O</w:t>
      </w:r>
      <w:r>
        <w:rPr>
          <w:rFonts w:hint="eastAsia" w:ascii="宋体" w:hAnsi="宋体" w:eastAsia="宋体" w:cs="宋体"/>
          <w:b w:val="0"/>
          <w:bCs/>
          <w:kern w:val="0"/>
          <w:sz w:val="32"/>
          <w:szCs w:val="32"/>
          <w:highlight w:val="none"/>
          <w:vertAlign w:val="subscript"/>
        </w:rPr>
        <w:t>3</w:t>
      </w:r>
      <w:r>
        <w:rPr>
          <w:rFonts w:hint="eastAsia" w:ascii="仿宋_GB2312" w:hAnsi="仿宋_GB2312" w:eastAsia="仿宋_GB2312" w:cs="仿宋_GB2312"/>
          <w:bCs/>
          <w:color w:val="000000"/>
          <w:kern w:val="2"/>
          <w:sz w:val="32"/>
          <w:szCs w:val="32"/>
          <w:lang w:val="en-US" w:eastAsia="zh-CN" w:bidi="ar-SA"/>
        </w:rPr>
        <w:t>浓度：100mg/</w:t>
      </w:r>
      <w:r>
        <w:rPr>
          <w:rFonts w:hint="eastAsia" w:ascii="宋体" w:hAnsi="宋体" w:eastAsia="宋体" w:cs="宋体"/>
          <w:b w:val="0"/>
          <w:bCs/>
          <w:sz w:val="32"/>
          <w:szCs w:val="32"/>
          <w:highlight w:val="none"/>
        </w:rPr>
        <w:t>m</w:t>
      </w:r>
      <w:r>
        <w:rPr>
          <w:rFonts w:hint="eastAsia" w:ascii="宋体" w:hAnsi="宋体" w:eastAsia="宋体" w:cs="宋体"/>
          <w:b w:val="0"/>
          <w:bCs/>
          <w:sz w:val="32"/>
          <w:szCs w:val="32"/>
          <w:highlight w:val="none"/>
          <w:vertAlign w:val="superscript"/>
        </w:rPr>
        <w:t>3</w:t>
      </w:r>
      <w:r>
        <w:rPr>
          <w:rFonts w:hint="eastAsia" w:ascii="仿宋_GB2312" w:hAnsi="仿宋_GB2312" w:eastAsia="仿宋_GB2312" w:cs="仿宋_GB2312"/>
          <w:bCs/>
          <w:color w:val="000000"/>
          <w:kern w:val="2"/>
          <w:sz w:val="32"/>
          <w:szCs w:val="32"/>
          <w:lang w:val="en-US" w:eastAsia="zh-CN" w:bidi="ar-SA"/>
        </w:rPr>
        <w:t>-187.1mg/</w:t>
      </w:r>
      <w:r>
        <w:rPr>
          <w:rFonts w:hint="eastAsia" w:ascii="宋体" w:hAnsi="宋体" w:eastAsia="宋体" w:cs="宋体"/>
          <w:b w:val="0"/>
          <w:bCs/>
          <w:sz w:val="32"/>
          <w:szCs w:val="32"/>
          <w:highlight w:val="none"/>
        </w:rPr>
        <w:t>m</w:t>
      </w:r>
      <w:r>
        <w:rPr>
          <w:rFonts w:hint="eastAsia" w:ascii="宋体" w:hAnsi="宋体" w:eastAsia="宋体" w:cs="宋体"/>
          <w:b w:val="0"/>
          <w:bCs/>
          <w:sz w:val="32"/>
          <w:szCs w:val="32"/>
          <w:highlight w:val="none"/>
          <w:vertAlign w:val="superscript"/>
        </w:rPr>
        <w:t>3</w:t>
      </w:r>
      <w:r>
        <w:rPr>
          <w:rFonts w:hint="eastAsia" w:ascii="仿宋_GB2312" w:hAnsi="仿宋_GB2312" w:eastAsia="仿宋_GB2312" w:cs="仿宋_GB2312"/>
          <w:bCs/>
          <w:color w:val="000000"/>
          <w:kern w:val="2"/>
          <w:sz w:val="32"/>
          <w:szCs w:val="32"/>
          <w:lang w:val="en-US" w:eastAsia="zh-CN" w:bidi="ar-SA"/>
        </w:rPr>
        <w:t>；</w:t>
      </w:r>
      <w:r>
        <w:rPr>
          <w:rFonts w:hint="eastAsia" w:ascii="宋体" w:hAnsi="宋体" w:eastAsia="宋体" w:cs="宋体"/>
          <w:b w:val="0"/>
          <w:bCs/>
          <w:sz w:val="28"/>
          <w:szCs w:val="28"/>
          <w:highlight w:val="none"/>
        </w:rPr>
        <w:t>H</w:t>
      </w:r>
      <w:r>
        <w:rPr>
          <w:rFonts w:hint="eastAsia" w:ascii="宋体" w:hAnsi="宋体" w:eastAsia="宋体" w:cs="宋体"/>
          <w:b w:val="0"/>
          <w:bCs/>
          <w:sz w:val="28"/>
          <w:szCs w:val="28"/>
          <w:highlight w:val="none"/>
          <w:vertAlign w:val="subscript"/>
        </w:rPr>
        <w:t>2</w:t>
      </w:r>
      <w:r>
        <w:rPr>
          <w:rFonts w:hint="eastAsia" w:ascii="宋体" w:hAnsi="宋体" w:eastAsia="宋体" w:cs="宋体"/>
          <w:b w:val="0"/>
          <w:bCs/>
          <w:sz w:val="28"/>
          <w:szCs w:val="28"/>
          <w:highlight w:val="none"/>
        </w:rPr>
        <w:t>O</w:t>
      </w:r>
      <w:r>
        <w:rPr>
          <w:rFonts w:hint="eastAsia" w:ascii="宋体" w:hAnsi="宋体" w:eastAsia="宋体" w:cs="宋体"/>
          <w:b w:val="0"/>
          <w:bCs/>
          <w:sz w:val="28"/>
          <w:szCs w:val="28"/>
          <w:highlight w:val="none"/>
          <w:vertAlign w:val="subscript"/>
        </w:rPr>
        <w:t>2</w:t>
      </w:r>
      <w:r>
        <w:rPr>
          <w:rFonts w:hint="eastAsia" w:ascii="仿宋_GB2312" w:hAnsi="仿宋_GB2312" w:eastAsia="仿宋_GB2312" w:cs="仿宋_GB2312"/>
          <w:bCs/>
          <w:color w:val="000000"/>
          <w:kern w:val="2"/>
          <w:sz w:val="32"/>
          <w:szCs w:val="32"/>
          <w:lang w:val="en-US" w:eastAsia="zh-CN" w:bidi="ar-SA"/>
        </w:rPr>
        <w:t xml:space="preserve">浓度：≤12.46% (w/w)； </w:t>
      </w:r>
    </w:p>
    <w:p w14:paraId="7066F76C">
      <w:pPr>
        <w:pStyle w:val="5"/>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leftChars="0" w:firstLine="640" w:firstLineChars="200"/>
        <w:textAlignment w:val="auto"/>
        <w:rPr>
          <w:rFonts w:hint="eastAsia" w:ascii="仿宋_GB2312" w:hAnsi="仿宋_GB2312" w:eastAsia="仿宋_GB2312" w:cs="仿宋_GB2312"/>
          <w:bCs/>
          <w:color w:val="000000"/>
          <w:kern w:val="2"/>
          <w:sz w:val="32"/>
          <w:szCs w:val="32"/>
          <w:lang w:val="en-US" w:eastAsia="zh-CN" w:bidi="ar-SA"/>
        </w:rPr>
      </w:pPr>
      <w:r>
        <w:rPr>
          <w:rFonts w:hint="eastAsia" w:ascii="仿宋_GB2312" w:hAnsi="仿宋_GB2312" w:eastAsia="仿宋_GB2312" w:cs="仿宋_GB2312"/>
          <w:bCs/>
          <w:color w:val="000000"/>
          <w:kern w:val="2"/>
          <w:sz w:val="32"/>
          <w:szCs w:val="32"/>
          <w:lang w:val="en-US" w:eastAsia="zh-CN" w:bidi="ar-SA"/>
        </w:rPr>
        <w:t>6.消毒过程中，无需使用一次性过滤装置，内回路外环境</w:t>
      </w:r>
      <w:r>
        <w:rPr>
          <w:rFonts w:hint="eastAsia" w:ascii="宋体" w:hAnsi="宋体" w:eastAsia="宋体" w:cs="宋体"/>
          <w:b w:val="0"/>
          <w:bCs/>
          <w:kern w:val="0"/>
          <w:sz w:val="32"/>
          <w:szCs w:val="32"/>
          <w:highlight w:val="none"/>
        </w:rPr>
        <w:t>O</w:t>
      </w:r>
      <w:r>
        <w:rPr>
          <w:rFonts w:hint="eastAsia" w:ascii="宋体" w:hAnsi="宋体" w:eastAsia="宋体" w:cs="宋体"/>
          <w:b w:val="0"/>
          <w:bCs/>
          <w:kern w:val="0"/>
          <w:sz w:val="32"/>
          <w:szCs w:val="32"/>
          <w:highlight w:val="none"/>
          <w:vertAlign w:val="subscript"/>
        </w:rPr>
        <w:t>3</w:t>
      </w:r>
      <w:r>
        <w:rPr>
          <w:rFonts w:hint="eastAsia" w:ascii="仿宋_GB2312" w:hAnsi="仿宋_GB2312" w:eastAsia="仿宋_GB2312" w:cs="仿宋_GB2312"/>
          <w:bCs/>
          <w:color w:val="000000"/>
          <w:kern w:val="2"/>
          <w:sz w:val="32"/>
          <w:szCs w:val="32"/>
          <w:lang w:val="en-US" w:eastAsia="zh-CN" w:bidi="ar-SA"/>
        </w:rPr>
        <w:t>浓度为≤0.06 mg/</w:t>
      </w:r>
      <w:r>
        <w:rPr>
          <w:rFonts w:hint="eastAsia" w:ascii="宋体" w:hAnsi="宋体" w:eastAsia="宋体" w:cs="宋体"/>
          <w:b w:val="0"/>
          <w:bCs/>
          <w:sz w:val="32"/>
          <w:szCs w:val="32"/>
          <w:highlight w:val="none"/>
        </w:rPr>
        <w:t>m</w:t>
      </w:r>
      <w:r>
        <w:rPr>
          <w:rFonts w:hint="eastAsia" w:ascii="宋体" w:hAnsi="宋体" w:eastAsia="宋体" w:cs="宋体"/>
          <w:b w:val="0"/>
          <w:bCs/>
          <w:sz w:val="32"/>
          <w:szCs w:val="32"/>
          <w:highlight w:val="none"/>
          <w:vertAlign w:val="superscript"/>
        </w:rPr>
        <w:t>3</w:t>
      </w:r>
      <w:r>
        <w:rPr>
          <w:rFonts w:hint="eastAsia" w:ascii="仿宋_GB2312" w:hAnsi="仿宋_GB2312" w:eastAsia="仿宋_GB2312" w:cs="仿宋_GB2312"/>
          <w:bCs/>
          <w:color w:val="000000"/>
          <w:kern w:val="2"/>
          <w:sz w:val="32"/>
          <w:szCs w:val="32"/>
          <w:lang w:val="en-US" w:eastAsia="zh-CN" w:bidi="ar-SA"/>
        </w:rPr>
        <w:t>，可人机共存，无消毒场所面积大小要求；</w:t>
      </w:r>
    </w:p>
    <w:p w14:paraId="09451291">
      <w:pPr>
        <w:pStyle w:val="5"/>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leftChars="0" w:firstLine="640" w:firstLineChars="200"/>
        <w:textAlignment w:val="auto"/>
        <w:rPr>
          <w:rFonts w:hint="eastAsia" w:ascii="仿宋_GB2312" w:hAnsi="仿宋_GB2312" w:eastAsia="仿宋_GB2312" w:cs="仿宋_GB2312"/>
          <w:bCs/>
          <w:color w:val="000000"/>
          <w:kern w:val="2"/>
          <w:sz w:val="32"/>
          <w:szCs w:val="32"/>
          <w:lang w:val="en-US" w:eastAsia="zh-CN" w:bidi="ar-SA"/>
        </w:rPr>
      </w:pPr>
      <w:r>
        <w:rPr>
          <w:rFonts w:hint="eastAsia" w:ascii="仿宋_GB2312" w:hAnsi="仿宋_GB2312" w:eastAsia="仿宋_GB2312" w:cs="仿宋_GB2312"/>
          <w:bCs/>
          <w:color w:val="000000"/>
          <w:kern w:val="2"/>
          <w:sz w:val="32"/>
          <w:szCs w:val="32"/>
          <w:lang w:val="en-US" w:eastAsia="zh-CN" w:bidi="ar-SA"/>
        </w:rPr>
        <w:t>7.消毒级别：能够杀灭细菌芽孢；</w:t>
      </w:r>
    </w:p>
    <w:p w14:paraId="06BEB04F">
      <w:pPr>
        <w:pStyle w:val="5"/>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leftChars="0" w:firstLine="640" w:firstLineChars="200"/>
        <w:textAlignment w:val="auto"/>
        <w:rPr>
          <w:rFonts w:hint="eastAsia" w:ascii="仿宋_GB2312" w:hAnsi="仿宋_GB2312" w:eastAsia="仿宋_GB2312" w:cs="仿宋_GB2312"/>
          <w:bCs/>
          <w:color w:val="000000"/>
          <w:kern w:val="2"/>
          <w:sz w:val="32"/>
          <w:szCs w:val="32"/>
          <w:lang w:val="en-US" w:eastAsia="zh-CN" w:bidi="ar-SA"/>
        </w:rPr>
      </w:pPr>
      <w:r>
        <w:rPr>
          <w:rFonts w:hint="eastAsia" w:ascii="仿宋_GB2312" w:hAnsi="仿宋_GB2312" w:eastAsia="仿宋_GB2312" w:cs="仿宋_GB2312"/>
          <w:bCs/>
          <w:color w:val="000000"/>
          <w:kern w:val="2"/>
          <w:sz w:val="32"/>
          <w:szCs w:val="32"/>
          <w:lang w:val="en-US" w:eastAsia="zh-CN" w:bidi="ar-SA"/>
        </w:rPr>
        <w:t>8.消毒效果：枯草杆菌黑色变种芽孢平均杀灭对数值为≥5.7，金黄色葡萄球菌、大肠杆菌和铜绿假单胞菌的杀灭对数值均＞3.0；</w:t>
      </w:r>
    </w:p>
    <w:p w14:paraId="1BDF650A">
      <w:pPr>
        <w:pStyle w:val="5"/>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leftChars="0" w:firstLine="640" w:firstLineChars="200"/>
        <w:textAlignment w:val="auto"/>
        <w:rPr>
          <w:rFonts w:hint="eastAsia" w:ascii="仿宋_GB2312" w:hAnsi="仿宋_GB2312" w:eastAsia="仿宋_GB2312" w:cs="仿宋_GB2312"/>
          <w:b/>
          <w:bCs w:val="0"/>
          <w:color w:val="000000"/>
          <w:kern w:val="2"/>
          <w:sz w:val="32"/>
          <w:szCs w:val="32"/>
          <w:lang w:val="en-US" w:eastAsia="zh-CN" w:bidi="ar-SA"/>
        </w:rPr>
      </w:pPr>
      <w:r>
        <w:rPr>
          <w:rFonts w:hint="eastAsia" w:ascii="仿宋_GB2312" w:hAnsi="仿宋_GB2312" w:eastAsia="仿宋_GB2312" w:cs="仿宋_GB2312"/>
          <w:bCs/>
          <w:color w:val="000000"/>
          <w:kern w:val="2"/>
          <w:sz w:val="32"/>
          <w:szCs w:val="32"/>
          <w:lang w:val="en-US" w:eastAsia="zh-CN" w:bidi="ar-SA"/>
        </w:rPr>
        <w:t>9.机身带有消毒仓，可消毒包含但不限于呼吸机配件、螺纹管、手术室手术器械、袖带；</w:t>
      </w:r>
      <w:r>
        <w:rPr>
          <w:rFonts w:hint="eastAsia" w:ascii="仿宋_GB2312" w:hAnsi="仿宋_GB2312" w:eastAsia="仿宋_GB2312" w:cs="仿宋_GB2312"/>
          <w:b/>
          <w:bCs w:val="0"/>
          <w:color w:val="000000"/>
          <w:kern w:val="2"/>
          <w:sz w:val="32"/>
          <w:szCs w:val="32"/>
          <w:lang w:val="en-US" w:eastAsia="zh-CN" w:bidi="ar-SA"/>
        </w:rPr>
        <w:t>(提供产品说明书证明，佐证材料需提供完整页面）</w:t>
      </w:r>
    </w:p>
    <w:p w14:paraId="1D21C6E9">
      <w:pPr>
        <w:pStyle w:val="5"/>
        <w:keepNext w:val="0"/>
        <w:keepLines w:val="0"/>
        <w:pageBreakBefore w:val="0"/>
        <w:widowControl w:val="0"/>
        <w:numPr>
          <w:ilvl w:val="0"/>
          <w:numId w:val="0"/>
        </w:numPr>
        <w:kinsoku/>
        <w:wordWrap/>
        <w:overflowPunct/>
        <w:topLinePunct w:val="0"/>
        <w:autoSpaceDE/>
        <w:autoSpaceDN/>
        <w:bidi w:val="0"/>
        <w:adjustRightInd/>
        <w:snapToGrid/>
        <w:spacing w:after="157" w:afterLines="50" w:line="240" w:lineRule="auto"/>
        <w:ind w:leftChars="0" w:firstLine="640" w:firstLineChars="200"/>
        <w:textAlignment w:val="auto"/>
        <w:rPr>
          <w:rFonts w:hint="default" w:ascii="仿宋_GB2312" w:hAnsi="仿宋_GB2312" w:eastAsia="仿宋_GB2312" w:cs="仿宋_GB2312"/>
          <w:bCs/>
          <w:color w:val="000000"/>
          <w:kern w:val="2"/>
          <w:sz w:val="32"/>
          <w:szCs w:val="32"/>
          <w:lang w:val="en-US" w:eastAsia="zh-CN" w:bidi="ar-SA"/>
        </w:rPr>
      </w:pPr>
      <w:r>
        <w:rPr>
          <w:rFonts w:hint="eastAsia" w:ascii="仿宋_GB2312" w:hAnsi="仿宋_GB2312" w:eastAsia="仿宋_GB2312" w:cs="仿宋_GB2312"/>
          <w:b w:val="0"/>
          <w:bCs/>
          <w:color w:val="000000"/>
          <w:kern w:val="2"/>
          <w:sz w:val="32"/>
          <w:szCs w:val="32"/>
          <w:lang w:val="en-US" w:eastAsia="zh-CN" w:bidi="ar-SA"/>
        </w:rPr>
        <w:t>10.打印消毒记录：消毒结束后，可打印消毒记录。无键触摸屏操作实现雾化、消毒、干燥的全自动消毒灭菌程序。</w:t>
      </w:r>
    </w:p>
    <w:p w14:paraId="6E73C572">
      <w:pPr>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r>
        <w:rPr>
          <w:rFonts w:hint="eastAsia" w:ascii="黑体" w:hAnsi="黑体" w:eastAsia="黑体" w:cs="黑体"/>
          <w:b/>
          <w:bCs w:val="0"/>
          <w:color w:val="000000"/>
          <w:sz w:val="32"/>
          <w:szCs w:val="32"/>
          <w:lang w:val="en-US" w:eastAsia="zh-CN"/>
        </w:rPr>
        <w:t>★</w:t>
      </w:r>
      <w:r>
        <w:rPr>
          <w:rFonts w:hint="eastAsia" w:ascii="楷体_GB2312" w:hAnsi="楷体_GB2312" w:eastAsia="楷体_GB2312" w:cs="楷体_GB2312"/>
          <w:b/>
          <w:bCs w:val="0"/>
          <w:color w:val="000000"/>
          <w:sz w:val="32"/>
          <w:szCs w:val="32"/>
          <w:lang w:val="en-US" w:eastAsia="zh-CN"/>
        </w:rPr>
        <w:t>三、配置要求</w:t>
      </w:r>
    </w:p>
    <w:p w14:paraId="369A222B">
      <w:pPr>
        <w:pStyle w:val="15"/>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1.主机                          1台</w:t>
      </w:r>
    </w:p>
    <w:p w14:paraId="1801083B">
      <w:pPr>
        <w:pStyle w:val="15"/>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2.φ22螺纹管（1.1m）            2根</w:t>
      </w:r>
    </w:p>
    <w:p w14:paraId="1ED5D808">
      <w:pPr>
        <w:pStyle w:val="15"/>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3.φ22硅胶堵头                  2个</w:t>
      </w:r>
    </w:p>
    <w:p w14:paraId="6FD04E0D">
      <w:pPr>
        <w:pStyle w:val="15"/>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4.打印模块                      1台</w:t>
      </w:r>
    </w:p>
    <w:p w14:paraId="6FCEA7CC">
      <w:pPr>
        <w:pStyle w:val="15"/>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5.专用转接头                    1套</w:t>
      </w:r>
    </w:p>
    <w:p w14:paraId="371F9A28">
      <w:pPr>
        <w:pStyle w:val="15"/>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6.复合醇消毒液或者过氧化氢溶液  1瓶</w:t>
      </w:r>
    </w:p>
    <w:p w14:paraId="4B63EC23">
      <w:pPr>
        <w:pStyle w:val="15"/>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7.中文说明书                    1套（另电子版1份）</w:t>
      </w:r>
    </w:p>
    <w:p w14:paraId="5D28B0C9">
      <w:pPr>
        <w:pStyle w:val="15"/>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8.中文操作流程卡(过塑)          1套</w:t>
      </w:r>
    </w:p>
    <w:p w14:paraId="00AC0F45">
      <w:pPr>
        <w:pStyle w:val="15"/>
        <w:keepNext w:val="0"/>
        <w:keepLines w:val="0"/>
        <w:pageBreakBefore w:val="0"/>
        <w:widowControl w:val="0"/>
        <w:kinsoku/>
        <w:wordWrap/>
        <w:overflowPunct/>
        <w:topLinePunct w:val="0"/>
        <w:bidi w:val="0"/>
        <w:snapToGrid/>
        <w:ind w:firstLine="640" w:firstLineChars="200"/>
        <w:textAlignment w:val="auto"/>
        <w:rPr>
          <w:rFonts w:hint="eastAsia" w:ascii="楷体_GB2312" w:hAnsi="楷体_GB2312" w:eastAsia="楷体_GB2312" w:cs="楷体_GB2312"/>
          <w:b/>
          <w:bCs w:val="0"/>
          <w:color w:val="000000"/>
          <w:sz w:val="32"/>
          <w:szCs w:val="32"/>
          <w:lang w:val="en-US" w:eastAsia="zh-CN"/>
        </w:rPr>
      </w:pPr>
      <w:r>
        <w:rPr>
          <w:rFonts w:hint="eastAsia" w:ascii="仿宋_GB2312" w:hAnsi="仿宋_GB2312" w:eastAsia="仿宋_GB2312" w:cs="仿宋_GB2312"/>
          <w:bCs/>
          <w:color w:val="000000"/>
          <w:sz w:val="32"/>
          <w:szCs w:val="32"/>
          <w:lang w:val="en-US" w:eastAsia="zh-CN"/>
        </w:rPr>
        <w:t>9.中文维修手册                  1套（另电子版1份）</w:t>
      </w:r>
      <w:r>
        <w:rPr>
          <w:rFonts w:hint="eastAsia" w:ascii="楷体_GB2312" w:hAnsi="楷体_GB2312" w:eastAsia="楷体_GB2312" w:cs="楷体_GB2312"/>
          <w:b/>
          <w:bCs w:val="0"/>
          <w:color w:val="000000"/>
          <w:sz w:val="32"/>
          <w:szCs w:val="32"/>
          <w:lang w:val="en-US" w:eastAsia="zh-CN"/>
        </w:rPr>
        <w:t>四、商务条款及其他要求</w:t>
      </w:r>
    </w:p>
    <w:p w14:paraId="034CBEC1">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（一）</w:t>
      </w:r>
      <w:r>
        <w:rPr>
          <w:rFonts w:hint="eastAsia" w:ascii="黑体" w:hAnsi="黑体" w:eastAsia="黑体" w:cs="黑体"/>
          <w:b/>
          <w:bCs w:val="0"/>
          <w:color w:val="000000"/>
          <w:sz w:val="32"/>
          <w:szCs w:val="32"/>
          <w:lang w:val="en-US" w:eastAsia="zh-CN"/>
        </w:rPr>
        <w:t>★</w:t>
      </w:r>
      <w:r>
        <w:rPr>
          <w:rFonts w:hint="default" w:ascii="仿宋_GB2312" w:hAnsi="仿宋_GB2312" w:eastAsia="仿宋_GB2312" w:cs="仿宋_GB2312"/>
          <w:bCs/>
          <w:color w:val="000000"/>
          <w:sz w:val="32"/>
          <w:szCs w:val="32"/>
          <w:lang w:val="en-US" w:eastAsia="zh-CN"/>
        </w:rPr>
        <w:t>交货日期：签订合同后30（天）日历日内。</w:t>
      </w:r>
    </w:p>
    <w:p w14:paraId="772D1191">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（二）</w:t>
      </w:r>
      <w:r>
        <w:rPr>
          <w:rFonts w:hint="default" w:ascii="仿宋_GB2312" w:hAnsi="仿宋_GB2312" w:eastAsia="仿宋_GB2312" w:cs="仿宋_GB2312"/>
          <w:bCs/>
          <w:color w:val="000000"/>
          <w:sz w:val="32"/>
          <w:szCs w:val="32"/>
          <w:lang w:val="en-US" w:eastAsia="zh-CN"/>
        </w:rPr>
        <w:t>交货地点：采购人指定地点。</w:t>
      </w:r>
    </w:p>
    <w:p w14:paraId="35A97961">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（三）</w:t>
      </w:r>
      <w:r>
        <w:rPr>
          <w:rFonts w:hint="default" w:ascii="仿宋_GB2312" w:hAnsi="仿宋_GB2312" w:eastAsia="仿宋_GB2312" w:cs="仿宋_GB2312"/>
          <w:bCs/>
          <w:color w:val="000000"/>
          <w:sz w:val="32"/>
          <w:szCs w:val="32"/>
          <w:lang w:val="en-US" w:eastAsia="zh-CN"/>
        </w:rPr>
        <w:t>报价：人民币报价</w:t>
      </w:r>
      <w:r>
        <w:rPr>
          <w:rFonts w:hint="eastAsia" w:ascii="仿宋_GB2312" w:hAnsi="仿宋_GB2312" w:eastAsia="仿宋_GB2312" w:cs="仿宋_GB2312"/>
          <w:bCs/>
          <w:color w:val="000000"/>
          <w:sz w:val="32"/>
          <w:szCs w:val="32"/>
          <w:lang w:val="en-US" w:eastAsia="zh-CN"/>
        </w:rPr>
        <w:t>；工地交货价</w:t>
      </w:r>
      <w:r>
        <w:rPr>
          <w:rFonts w:hint="default" w:ascii="仿宋_GB2312" w:hAnsi="仿宋_GB2312" w:eastAsia="仿宋_GB2312" w:cs="仿宋_GB2312"/>
          <w:bCs/>
          <w:color w:val="000000"/>
          <w:sz w:val="32"/>
          <w:szCs w:val="32"/>
          <w:lang w:val="en-US" w:eastAsia="zh-CN"/>
        </w:rPr>
        <w:t>。</w:t>
      </w:r>
    </w:p>
    <w:p w14:paraId="6D5829D3">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（四）</w:t>
      </w:r>
      <w:r>
        <w:rPr>
          <w:rFonts w:hint="default" w:ascii="仿宋_GB2312" w:hAnsi="仿宋_GB2312" w:eastAsia="仿宋_GB2312" w:cs="仿宋_GB2312"/>
          <w:bCs/>
          <w:color w:val="000000"/>
          <w:sz w:val="32"/>
          <w:szCs w:val="32"/>
          <w:lang w:val="en-US" w:eastAsia="zh-CN"/>
        </w:rPr>
        <w:t>付款条件：若资金到位且设备验收合格，可一次性支付100%验收款。当采购人2026年的资金预算不足以支付项目款项时，则需顺延至2027年支付</w:t>
      </w:r>
      <w:r>
        <w:rPr>
          <w:rFonts w:hint="eastAsia" w:ascii="仿宋_GB2312" w:hAnsi="仿宋_GB2312" w:eastAsia="仿宋_GB2312" w:cs="仿宋_GB2312"/>
          <w:bCs/>
          <w:color w:val="000000"/>
          <w:sz w:val="32"/>
          <w:szCs w:val="32"/>
          <w:lang w:val="en-US" w:eastAsia="zh-CN"/>
        </w:rPr>
        <w:t>。</w:t>
      </w:r>
    </w:p>
    <w:p w14:paraId="5340FECD">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（五）如有备品备件、消耗品、零配件，提供备品备件清单，提供消耗品优惠价格，提供零配件优惠价格。</w:t>
      </w:r>
    </w:p>
    <w:p w14:paraId="487D5DE9">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（六）★免费保修期内售后服务要求</w:t>
      </w:r>
    </w:p>
    <w:p w14:paraId="36682A53">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1.在免费保修期内，一旦发生质量问题，投标人保证在接到通知12小时内赶到现场进行修理或更换</w:t>
      </w:r>
      <w:r>
        <w:rPr>
          <w:rFonts w:hint="default" w:ascii="仿宋_GB2312" w:hAnsi="仿宋_GB2312" w:eastAsia="仿宋_GB2312" w:cs="仿宋_GB2312"/>
          <w:bCs/>
          <w:color w:val="000000"/>
          <w:sz w:val="32"/>
          <w:szCs w:val="32"/>
          <w:lang w:val="en-US" w:eastAsia="zh-CN"/>
        </w:rPr>
        <w:t>。</w:t>
      </w:r>
    </w:p>
    <w:p w14:paraId="17132009">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lang w:val="en-US" w:eastAsia="zh-CN"/>
        </w:rPr>
        <w:t>2.对所提供的设备整机质保期（整机全保）：≥5年，保修期3年。质保期时间自最终验收合格并交付使用之日起计算，保修期自质保期满起计算</w:t>
      </w:r>
      <w:r>
        <w:rPr>
          <w:rFonts w:hint="default" w:ascii="仿宋_GB2312" w:hAnsi="仿宋_GB2312" w:eastAsia="仿宋_GB2312" w:cs="仿宋_GB2312"/>
          <w:bCs/>
          <w:color w:val="000000"/>
          <w:sz w:val="32"/>
          <w:szCs w:val="32"/>
          <w:highlight w:val="none"/>
          <w:lang w:val="en-US" w:eastAsia="zh-CN"/>
        </w:rPr>
        <w:t>。</w:t>
      </w:r>
    </w:p>
    <w:p w14:paraId="11770E85">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3.免费保修期（质保期）内，所有服务及配件全部免费。</w:t>
      </w:r>
    </w:p>
    <w:p w14:paraId="5AC8B688">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4.保修期内，免费维修，用户只承担更换零备件的费用。</w:t>
      </w:r>
    </w:p>
    <w:p w14:paraId="75B1A9AB">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5.质保期内保证每年有2次或以上预防性维护保养。</w:t>
      </w:r>
    </w:p>
    <w:p w14:paraId="3ABD8027">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6.投标人应提供全套、完整的书面技术资料，包括仪器说明书、操作手册、简单维修说明、图纸等</w:t>
      </w:r>
      <w:r>
        <w:rPr>
          <w:rFonts w:hint="default" w:ascii="仿宋_GB2312" w:hAnsi="仿宋_GB2312" w:eastAsia="仿宋_GB2312" w:cs="仿宋_GB2312"/>
          <w:bCs/>
          <w:color w:val="000000"/>
          <w:sz w:val="32"/>
          <w:szCs w:val="32"/>
          <w:highlight w:val="none"/>
          <w:lang w:val="en-US" w:eastAsia="zh-CN"/>
        </w:rPr>
        <w:t>。</w:t>
      </w:r>
    </w:p>
    <w:p w14:paraId="630CCB10">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7.在质保期内，投标人须保证设备的开机率＞95%；若不能达到此开机率，将作以下处理：（1）90%＜开机率≤95%按一赔二延长质保期；（2）85%＜开机率≤90%按一赔五延长质保期；（3）开机率低于85%，供应商须无条件更换新机，并重新计算质保期，以及赔偿用户的直接经济损失和间接经济损失</w:t>
      </w:r>
      <w:r>
        <w:rPr>
          <w:rFonts w:hint="default" w:ascii="仿宋_GB2312" w:hAnsi="仿宋_GB2312" w:eastAsia="仿宋_GB2312" w:cs="仿宋_GB2312"/>
          <w:bCs/>
          <w:color w:val="000000"/>
          <w:sz w:val="32"/>
          <w:szCs w:val="32"/>
          <w:highlight w:val="none"/>
          <w:lang w:val="en-US" w:eastAsia="zh-CN"/>
        </w:rPr>
        <w:t>。</w:t>
      </w:r>
    </w:p>
    <w:p w14:paraId="105C2DDE">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highlight w:val="none"/>
          <w:lang w:val="en-US" w:eastAsia="zh-CN"/>
        </w:rPr>
      </w:pPr>
      <w:r>
        <w:rPr>
          <w:rFonts w:hint="eastAsia" w:ascii="仿宋_GB2312" w:hAnsi="仿宋_GB2312" w:eastAsia="仿宋_GB2312" w:cs="仿宋_GB2312"/>
          <w:bCs/>
          <w:color w:val="000000"/>
          <w:sz w:val="32"/>
          <w:szCs w:val="32"/>
          <w:highlight w:val="none"/>
          <w:lang w:val="en-US" w:eastAsia="zh-CN"/>
        </w:rPr>
        <w:t>（七）</w:t>
      </w:r>
      <w:r>
        <w:rPr>
          <w:rFonts w:hint="eastAsia" w:ascii="黑体" w:hAnsi="黑体" w:eastAsia="黑体" w:cs="黑体"/>
          <w:b/>
          <w:bCs w:val="0"/>
          <w:color w:val="000000"/>
          <w:sz w:val="32"/>
          <w:szCs w:val="32"/>
          <w:lang w:val="en-US" w:eastAsia="zh-CN"/>
        </w:rPr>
        <w:t>★</w:t>
      </w:r>
      <w:r>
        <w:rPr>
          <w:rFonts w:hint="eastAsia" w:ascii="仿宋_GB2312" w:hAnsi="仿宋_GB2312" w:eastAsia="仿宋_GB2312" w:cs="仿宋_GB2312"/>
          <w:bCs/>
          <w:color w:val="000000"/>
          <w:sz w:val="32"/>
          <w:szCs w:val="32"/>
          <w:highlight w:val="none"/>
          <w:lang w:val="en-US" w:eastAsia="zh-CN"/>
        </w:rPr>
        <w:t>免费保修期外售后服务要求</w:t>
      </w:r>
    </w:p>
    <w:p w14:paraId="3C3C1EC0">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highlight w:val="none"/>
          <w:lang w:val="en-US" w:eastAsia="zh-CN"/>
        </w:rPr>
        <w:t>1.由设备制造商提供售后服务，2小时内响应，12小时维修工程师到位，并在24小时内消除故障（不可抗力情况除外）。消耗品和零配件供应及时，特殊情况下可提供备用机</w:t>
      </w:r>
      <w:r>
        <w:rPr>
          <w:rFonts w:hint="default" w:ascii="仿宋_GB2312" w:hAnsi="仿宋_GB2312" w:eastAsia="仿宋_GB2312" w:cs="仿宋_GB2312"/>
          <w:bCs/>
          <w:color w:val="000000"/>
          <w:sz w:val="32"/>
          <w:szCs w:val="32"/>
          <w:lang w:val="en-US" w:eastAsia="zh-CN"/>
        </w:rPr>
        <w:t>。</w:t>
      </w:r>
    </w:p>
    <w:p w14:paraId="471A9784">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2.投标时，供应商承诺保修期外，能及时为采购人提供备品备件、专用试剂及耗材。</w:t>
      </w:r>
    </w:p>
    <w:p w14:paraId="478E6BB7">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3.质保期满之日起3年内免费提供软件升级、终身软件备份。</w:t>
      </w:r>
    </w:p>
    <w:p w14:paraId="17D060A9">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（八）</w:t>
      </w:r>
      <w:r>
        <w:rPr>
          <w:rFonts w:hint="eastAsia" w:ascii="黑体" w:hAnsi="黑体" w:eastAsia="黑体" w:cs="黑体"/>
          <w:b/>
          <w:bCs w:val="0"/>
          <w:color w:val="000000"/>
          <w:sz w:val="32"/>
          <w:szCs w:val="32"/>
          <w:lang w:val="en-US" w:eastAsia="zh-CN"/>
        </w:rPr>
        <w:t>★</w:t>
      </w:r>
      <w:r>
        <w:rPr>
          <w:rFonts w:hint="eastAsia" w:ascii="仿宋_GB2312" w:hAnsi="仿宋_GB2312" w:eastAsia="仿宋_GB2312" w:cs="仿宋_GB2312"/>
          <w:bCs/>
          <w:color w:val="000000"/>
          <w:sz w:val="32"/>
          <w:szCs w:val="32"/>
          <w:lang w:val="en-US" w:eastAsia="zh-CN"/>
        </w:rPr>
        <w:t>其他服务要求</w:t>
      </w:r>
    </w:p>
    <w:p w14:paraId="2CA37390">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1.投标人须在签订合同之日起3天内向采购人提供设备的运行、安装、使用环境要求。</w:t>
      </w:r>
    </w:p>
    <w:p w14:paraId="6A4B0D08">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2.运输、安装按照仪器说明书要求。</w:t>
      </w:r>
    </w:p>
    <w:p w14:paraId="2E5F1F95">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3.投标人应派专业技术人员免费对采购单位指定人员进行定期培训及指导，直至其完全掌握设备的基本故障处理技术。</w:t>
      </w:r>
    </w:p>
    <w:p w14:paraId="52C6C26A">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4.现场培训：投标人应提供现场技术培训，保证使用人员正常操作设备的各种功能。</w:t>
      </w:r>
    </w:p>
    <w:p w14:paraId="706C8863">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 xml:space="preserve">5.投标人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供应商承担全部责任。 </w:t>
      </w:r>
    </w:p>
    <w:p w14:paraId="3FF2A117">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6.采购人购买产品后，有权对该产品与其他设备进行配套、整合或适当改进，而免受侵犯专利权的起诉。</w:t>
      </w:r>
    </w:p>
    <w:p w14:paraId="7D88467A">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（九）★交货时，设备出厂时间：≤1年。</w:t>
      </w:r>
    </w:p>
    <w:p w14:paraId="3E9C40C4">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（十）★配齐满足以上性能且正常使用所需要的所有附件，与医院数据传输系统的接口等，负责系统接口费，保证数据安全，无需另外购置即可满足临床需求。</w:t>
      </w:r>
    </w:p>
    <w:p w14:paraId="7E9C79DD">
      <w:pPr>
        <w:pStyle w:val="15"/>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（十一）★网络安全：所提供产品或服务满足国家网络安全管理要求，遵守医疗行业和医院网络安全管理规范，保护医院和患者信息安全。</w:t>
      </w:r>
    </w:p>
    <w:p w14:paraId="27C57C12">
      <w:pPr>
        <w:pStyle w:val="15"/>
        <w:keepNext w:val="0"/>
        <w:keepLines w:val="0"/>
        <w:pageBreakBefore w:val="0"/>
        <w:widowControl w:val="0"/>
        <w:kinsoku/>
        <w:wordWrap/>
        <w:overflowPunct/>
        <w:topLinePunct w:val="0"/>
        <w:bidi w:val="0"/>
        <w:snapToGrid/>
        <w:ind w:firstLine="643" w:firstLineChars="200"/>
        <w:textAlignment w:val="auto"/>
        <w:rPr>
          <w:rFonts w:hint="eastAsia" w:ascii="楷体_GB2312" w:hAnsi="楷体_GB2312" w:eastAsia="楷体_GB2312" w:cs="楷体_GB2312"/>
          <w:b/>
          <w:bCs w:val="0"/>
          <w:color w:val="000000"/>
          <w:sz w:val="32"/>
          <w:szCs w:val="32"/>
          <w:lang w:val="en-US" w:eastAsia="zh-CN"/>
        </w:rPr>
      </w:pPr>
      <w:r>
        <w:rPr>
          <w:rFonts w:hint="eastAsia" w:ascii="楷体_GB2312" w:hAnsi="楷体_GB2312" w:eastAsia="楷体_GB2312" w:cs="楷体_GB2312"/>
          <w:b/>
          <w:bCs w:val="0"/>
          <w:color w:val="000000"/>
          <w:sz w:val="32"/>
          <w:szCs w:val="32"/>
          <w:lang w:val="en-US" w:eastAsia="zh-CN"/>
        </w:rPr>
        <w:t>五、综合评分表</w:t>
      </w:r>
      <w:r>
        <w:rPr>
          <w:rFonts w:hint="eastAsia" w:ascii="楷体_GB2312" w:hAnsi="楷体_GB2312" w:eastAsia="楷体_GB2312" w:cs="楷体_GB2312"/>
          <w:b/>
          <w:bCs w:val="0"/>
          <w:color w:val="000000"/>
          <w:sz w:val="32"/>
          <w:szCs w:val="32"/>
          <w:highlight w:val="red"/>
          <w:lang w:val="en-US" w:eastAsia="zh-CN"/>
        </w:rPr>
        <w:t>（综合得分60分以下的视为投标无效）</w:t>
      </w:r>
    </w:p>
    <w:tbl>
      <w:tblPr>
        <w:tblStyle w:val="9"/>
        <w:tblW w:w="8448" w:type="dxa"/>
        <w:tblInd w:w="93"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80"/>
        <w:gridCol w:w="1147"/>
        <w:gridCol w:w="5843"/>
        <w:gridCol w:w="778"/>
      </w:tblGrid>
      <w:tr w14:paraId="605F57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noWrap w:val="0"/>
            <w:vAlign w:val="center"/>
          </w:tcPr>
          <w:p w14:paraId="0DCE7DE3">
            <w:pPr>
              <w:jc w:val="center"/>
              <w:rPr>
                <w:rFonts w:hint="eastAsia" w:ascii="宋体" w:hAnsi="宋体" w:cs="宋体"/>
                <w:b/>
                <w:szCs w:val="21"/>
              </w:rPr>
            </w:pPr>
            <w:r>
              <w:rPr>
                <w:rFonts w:hint="eastAsia" w:ascii="宋体" w:hAnsi="宋体" w:cs="宋体"/>
                <w:b/>
                <w:szCs w:val="21"/>
              </w:rPr>
              <w:t>评审部分</w:t>
            </w:r>
          </w:p>
        </w:tc>
        <w:tc>
          <w:tcPr>
            <w:tcW w:w="1147" w:type="dxa"/>
            <w:noWrap w:val="0"/>
            <w:vAlign w:val="center"/>
          </w:tcPr>
          <w:p w14:paraId="55E477FC">
            <w:pPr>
              <w:jc w:val="center"/>
              <w:rPr>
                <w:rFonts w:hint="eastAsia" w:ascii="宋体" w:hAnsi="宋体" w:cs="宋体"/>
                <w:b/>
                <w:szCs w:val="21"/>
              </w:rPr>
            </w:pPr>
            <w:r>
              <w:rPr>
                <w:rFonts w:hint="eastAsia" w:ascii="宋体" w:hAnsi="宋体" w:cs="宋体"/>
                <w:b/>
                <w:szCs w:val="21"/>
              </w:rPr>
              <w:t>评审因素</w:t>
            </w:r>
          </w:p>
        </w:tc>
        <w:tc>
          <w:tcPr>
            <w:tcW w:w="5843" w:type="dxa"/>
            <w:noWrap w:val="0"/>
            <w:vAlign w:val="center"/>
          </w:tcPr>
          <w:p w14:paraId="1D04A29E">
            <w:pPr>
              <w:jc w:val="center"/>
              <w:rPr>
                <w:rFonts w:hint="eastAsia" w:ascii="宋体" w:hAnsi="宋体" w:cs="宋体"/>
                <w:b/>
                <w:szCs w:val="21"/>
              </w:rPr>
            </w:pPr>
            <w:r>
              <w:rPr>
                <w:rFonts w:hint="eastAsia" w:ascii="宋体" w:hAnsi="宋体" w:cs="宋体"/>
                <w:b/>
                <w:szCs w:val="21"/>
              </w:rPr>
              <w:t>评分细则</w:t>
            </w:r>
          </w:p>
        </w:tc>
        <w:tc>
          <w:tcPr>
            <w:tcW w:w="778" w:type="dxa"/>
            <w:tcBorders>
              <w:left w:val="single" w:color="auto" w:sz="4" w:space="0"/>
            </w:tcBorders>
            <w:noWrap w:val="0"/>
            <w:vAlign w:val="center"/>
          </w:tcPr>
          <w:p w14:paraId="04552E4B">
            <w:pPr>
              <w:jc w:val="center"/>
              <w:rPr>
                <w:rFonts w:hint="eastAsia" w:ascii="宋体" w:hAnsi="宋体" w:cs="宋体"/>
                <w:b/>
                <w:szCs w:val="21"/>
              </w:rPr>
            </w:pPr>
            <w:r>
              <w:rPr>
                <w:rFonts w:hint="eastAsia" w:ascii="宋体" w:hAnsi="宋体" w:cs="宋体"/>
                <w:b/>
                <w:szCs w:val="21"/>
              </w:rPr>
              <w:t>分值（分）</w:t>
            </w:r>
          </w:p>
        </w:tc>
      </w:tr>
      <w:tr w14:paraId="0C2886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1" w:hRule="atLeast"/>
        </w:trPr>
        <w:tc>
          <w:tcPr>
            <w:tcW w:w="680" w:type="dxa"/>
            <w:noWrap w:val="0"/>
            <w:vAlign w:val="center"/>
          </w:tcPr>
          <w:p w14:paraId="3174CE67">
            <w:pPr>
              <w:jc w:val="center"/>
              <w:rPr>
                <w:rFonts w:hint="eastAsia" w:ascii="宋体" w:hAnsi="宋体" w:cs="宋体"/>
                <w:b/>
                <w:szCs w:val="21"/>
              </w:rPr>
            </w:pPr>
            <w:r>
              <w:rPr>
                <w:rFonts w:hint="eastAsia" w:ascii="宋体" w:hAnsi="宋体" w:cs="宋体"/>
                <w:b/>
                <w:szCs w:val="21"/>
              </w:rPr>
              <w:t>一</w:t>
            </w:r>
          </w:p>
        </w:tc>
        <w:tc>
          <w:tcPr>
            <w:tcW w:w="7768" w:type="dxa"/>
            <w:gridSpan w:val="3"/>
            <w:noWrap w:val="0"/>
            <w:vAlign w:val="center"/>
          </w:tcPr>
          <w:p w14:paraId="33C26D3A">
            <w:pPr>
              <w:jc w:val="center"/>
              <w:rPr>
                <w:rFonts w:hint="eastAsia" w:ascii="宋体" w:hAnsi="宋体" w:cs="宋体"/>
                <w:b/>
                <w:szCs w:val="21"/>
              </w:rPr>
            </w:pPr>
            <w:r>
              <w:rPr>
                <w:rFonts w:hint="eastAsia" w:ascii="宋体" w:hAnsi="宋体" w:cs="宋体"/>
                <w:b/>
                <w:szCs w:val="21"/>
              </w:rPr>
              <w:t>技术部分（</w:t>
            </w:r>
            <w:r>
              <w:rPr>
                <w:rFonts w:hint="eastAsia" w:ascii="宋体" w:hAnsi="宋体" w:cs="宋体"/>
                <w:b/>
                <w:szCs w:val="21"/>
                <w:lang w:val="en-US" w:eastAsia="zh-CN"/>
              </w:rPr>
              <w:t>60</w:t>
            </w:r>
            <w:r>
              <w:rPr>
                <w:rFonts w:hint="eastAsia" w:ascii="宋体" w:hAnsi="宋体" w:cs="宋体"/>
                <w:b/>
                <w:szCs w:val="21"/>
              </w:rPr>
              <w:t>分）</w:t>
            </w:r>
          </w:p>
        </w:tc>
      </w:tr>
      <w:tr w14:paraId="50574B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bottom w:val="single" w:color="auto" w:sz="4" w:space="0"/>
            </w:tcBorders>
            <w:noWrap w:val="0"/>
            <w:vAlign w:val="center"/>
          </w:tcPr>
          <w:p w14:paraId="6FBC6449">
            <w:pPr>
              <w:pStyle w:val="22"/>
              <w:numPr>
                <w:ilvl w:val="0"/>
                <w:numId w:val="0"/>
              </w:numPr>
              <w:ind w:leftChars="0"/>
              <w:jc w:val="right"/>
              <w:rPr>
                <w:rFonts w:hint="default" w:ascii="宋体" w:hAnsi="宋体" w:cs="宋体" w:eastAsiaTheme="minorEastAsia"/>
                <w:szCs w:val="21"/>
                <w:lang w:val="en-US" w:eastAsia="zh-CN"/>
              </w:rPr>
            </w:pPr>
            <w:r>
              <w:rPr>
                <w:rFonts w:hint="eastAsia" w:ascii="宋体" w:hAnsi="宋体" w:cs="宋体"/>
                <w:szCs w:val="21"/>
                <w:lang w:val="en-US" w:eastAsia="zh-CN"/>
              </w:rPr>
              <w:t>1.</w:t>
            </w:r>
          </w:p>
        </w:tc>
        <w:tc>
          <w:tcPr>
            <w:tcW w:w="1147" w:type="dxa"/>
            <w:noWrap w:val="0"/>
            <w:vAlign w:val="center"/>
          </w:tcPr>
          <w:p w14:paraId="2762132C">
            <w:pPr>
              <w:jc w:val="center"/>
              <w:rPr>
                <w:rFonts w:hint="eastAsia" w:ascii="宋体" w:hAnsi="宋体" w:cs="宋体"/>
                <w:szCs w:val="21"/>
              </w:rPr>
            </w:pPr>
            <w:r>
              <w:rPr>
                <w:rFonts w:hint="eastAsia" w:ascii="宋体" w:hAnsi="宋体" w:cs="宋体"/>
                <w:szCs w:val="21"/>
              </w:rPr>
              <w:t>所投产品技术参数响应情况评价</w:t>
            </w:r>
          </w:p>
        </w:tc>
        <w:tc>
          <w:tcPr>
            <w:tcW w:w="5843" w:type="dxa"/>
            <w:noWrap w:val="0"/>
            <w:vAlign w:val="center"/>
          </w:tcPr>
          <w:p w14:paraId="5FFBAED0">
            <w:pPr>
              <w:wordWrap w:val="0"/>
              <w:rPr>
                <w:rFonts w:hint="eastAsia" w:ascii="宋体" w:hAnsi="宋体" w:cs="宋体"/>
                <w:b/>
                <w:bCs/>
                <w:szCs w:val="21"/>
              </w:rPr>
            </w:pPr>
            <w:r>
              <w:rPr>
                <w:rFonts w:hint="eastAsia" w:ascii="宋体" w:hAnsi="宋体" w:cs="宋体"/>
                <w:b/>
                <w:bCs/>
                <w:szCs w:val="21"/>
              </w:rPr>
              <w:t>（一）评分内容：</w:t>
            </w:r>
          </w:p>
          <w:p w14:paraId="1DFB9A2D">
            <w:pPr>
              <w:wordWrap w:val="0"/>
              <w:rPr>
                <w:rFonts w:hint="eastAsia" w:ascii="宋体" w:hAnsi="宋体" w:cs="宋体"/>
                <w:szCs w:val="21"/>
              </w:rPr>
            </w:pPr>
            <w:r>
              <w:rPr>
                <w:rFonts w:hint="eastAsia" w:ascii="宋体" w:hAnsi="宋体"/>
                <w:szCs w:val="21"/>
              </w:rPr>
              <w:t>“一、主要技术及系统要求”部分</w:t>
            </w:r>
            <w:r>
              <w:rPr>
                <w:rFonts w:hint="eastAsia" w:ascii="宋体" w:hAnsi="宋体" w:cs="宋体"/>
                <w:szCs w:val="21"/>
              </w:rPr>
              <w:t>技术参数全部满足得</w:t>
            </w:r>
            <w:r>
              <w:rPr>
                <w:rFonts w:hint="eastAsia" w:ascii="宋体" w:hAnsi="宋体" w:cs="宋体"/>
                <w:szCs w:val="21"/>
                <w:lang w:val="en-US" w:eastAsia="zh-CN"/>
              </w:rPr>
              <w:t>60</w:t>
            </w:r>
            <w:r>
              <w:rPr>
                <w:rFonts w:hint="eastAsia" w:ascii="宋体" w:hAnsi="宋体" w:cs="宋体"/>
                <w:szCs w:val="21"/>
              </w:rPr>
              <w:t>分；每负偏离一项扣</w:t>
            </w:r>
            <w:r>
              <w:rPr>
                <w:rFonts w:hint="eastAsia" w:ascii="宋体" w:hAnsi="宋体" w:cs="宋体"/>
                <w:szCs w:val="21"/>
                <w:lang w:val="en-US" w:eastAsia="zh-CN"/>
              </w:rPr>
              <w:t>6</w:t>
            </w:r>
            <w:r>
              <w:rPr>
                <w:rFonts w:hint="eastAsia" w:ascii="宋体" w:hAnsi="宋体" w:cs="宋体"/>
                <w:szCs w:val="21"/>
              </w:rPr>
              <w:t>分，最低0分。</w:t>
            </w:r>
          </w:p>
          <w:p w14:paraId="5D7E60F6">
            <w:pPr>
              <w:jc w:val="left"/>
              <w:rPr>
                <w:rFonts w:hint="eastAsia" w:ascii="宋体" w:hAnsi="宋体" w:cs="宋体"/>
                <w:b/>
                <w:bCs/>
                <w:szCs w:val="21"/>
              </w:rPr>
            </w:pPr>
            <w:r>
              <w:rPr>
                <w:rFonts w:hint="eastAsia" w:ascii="宋体" w:hAnsi="宋体" w:cs="宋体"/>
                <w:b/>
                <w:bCs/>
                <w:szCs w:val="21"/>
              </w:rPr>
              <w:t>（二）评审依据：</w:t>
            </w:r>
          </w:p>
          <w:p w14:paraId="5B2972BB">
            <w:pPr>
              <w:jc w:val="left"/>
              <w:rPr>
                <w:rFonts w:hint="eastAsia" w:ascii="宋体" w:hAnsi="宋体" w:cs="宋体"/>
                <w:szCs w:val="21"/>
              </w:rPr>
            </w:pPr>
            <w:r>
              <w:rPr>
                <w:rFonts w:hint="eastAsia" w:ascii="宋体" w:hAnsi="宋体" w:cs="宋体"/>
                <w:szCs w:val="21"/>
              </w:rPr>
              <w:t>《</w:t>
            </w:r>
            <w:r>
              <w:rPr>
                <w:rFonts w:hint="eastAsia" w:ascii="宋体" w:hAnsi="宋体" w:cs="宋体"/>
                <w:kern w:val="0"/>
                <w:szCs w:val="21"/>
              </w:rPr>
              <w:t>用户需求书条款响应一览表</w:t>
            </w:r>
            <w:r>
              <w:rPr>
                <w:rFonts w:hint="eastAsia" w:ascii="宋体" w:hAnsi="宋体" w:cs="宋体"/>
                <w:szCs w:val="21"/>
              </w:rPr>
              <w:t>》。</w:t>
            </w:r>
          </w:p>
        </w:tc>
        <w:tc>
          <w:tcPr>
            <w:tcW w:w="778" w:type="dxa"/>
            <w:tcBorders>
              <w:left w:val="single" w:color="auto" w:sz="4" w:space="0"/>
            </w:tcBorders>
            <w:noWrap w:val="0"/>
            <w:vAlign w:val="center"/>
          </w:tcPr>
          <w:p w14:paraId="3CE5E8EB">
            <w:pPr>
              <w:jc w:val="center"/>
              <w:rPr>
                <w:rFonts w:hint="default" w:ascii="宋体" w:hAnsi="宋体" w:cs="宋体" w:eastAsiaTheme="minorEastAsia"/>
                <w:szCs w:val="21"/>
                <w:lang w:val="en-US" w:eastAsia="zh-CN"/>
              </w:rPr>
            </w:pPr>
            <w:r>
              <w:rPr>
                <w:rFonts w:hint="eastAsia" w:ascii="宋体" w:hAnsi="宋体" w:cs="宋体"/>
                <w:szCs w:val="21"/>
                <w:lang w:val="en-US" w:eastAsia="zh-CN"/>
              </w:rPr>
              <w:t>60</w:t>
            </w:r>
          </w:p>
        </w:tc>
      </w:tr>
      <w:tr w14:paraId="13C8CC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7" w:hRule="atLeast"/>
        </w:trPr>
        <w:tc>
          <w:tcPr>
            <w:tcW w:w="680" w:type="dxa"/>
            <w:tcBorders>
              <w:top w:val="single" w:color="auto" w:sz="4" w:space="0"/>
            </w:tcBorders>
            <w:noWrap w:val="0"/>
            <w:vAlign w:val="center"/>
          </w:tcPr>
          <w:p w14:paraId="6086F9FE">
            <w:pPr>
              <w:jc w:val="center"/>
              <w:rPr>
                <w:rFonts w:hint="eastAsia" w:ascii="宋体" w:hAnsi="宋体" w:cs="宋体"/>
                <w:b/>
                <w:szCs w:val="21"/>
              </w:rPr>
            </w:pPr>
            <w:r>
              <w:rPr>
                <w:rFonts w:hint="eastAsia" w:ascii="宋体" w:hAnsi="宋体" w:cs="宋体"/>
                <w:b/>
                <w:szCs w:val="21"/>
              </w:rPr>
              <w:t>二</w:t>
            </w:r>
          </w:p>
        </w:tc>
        <w:tc>
          <w:tcPr>
            <w:tcW w:w="7768" w:type="dxa"/>
            <w:gridSpan w:val="3"/>
            <w:noWrap w:val="0"/>
            <w:vAlign w:val="center"/>
          </w:tcPr>
          <w:p w14:paraId="6F0B9424">
            <w:pPr>
              <w:jc w:val="center"/>
              <w:rPr>
                <w:rFonts w:hint="eastAsia" w:ascii="宋体" w:hAnsi="宋体" w:cs="宋体"/>
                <w:b/>
                <w:szCs w:val="21"/>
              </w:rPr>
            </w:pPr>
            <w:r>
              <w:rPr>
                <w:rFonts w:hint="eastAsia" w:ascii="宋体" w:hAnsi="宋体" w:cs="宋体"/>
                <w:b/>
                <w:szCs w:val="21"/>
              </w:rPr>
              <w:t>商务部分（1</w:t>
            </w:r>
            <w:r>
              <w:rPr>
                <w:rFonts w:hint="eastAsia" w:ascii="宋体" w:hAnsi="宋体" w:cs="宋体"/>
                <w:b/>
                <w:szCs w:val="21"/>
                <w:lang w:val="en-US" w:eastAsia="zh-CN"/>
              </w:rPr>
              <w:t>0</w:t>
            </w:r>
            <w:r>
              <w:rPr>
                <w:rFonts w:hint="eastAsia" w:ascii="宋体" w:hAnsi="宋体" w:cs="宋体"/>
                <w:b/>
                <w:szCs w:val="21"/>
              </w:rPr>
              <w:t>分）</w:t>
            </w:r>
          </w:p>
        </w:tc>
      </w:tr>
      <w:tr w14:paraId="6CA153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bottom w:val="single" w:color="auto" w:sz="4" w:space="0"/>
            </w:tcBorders>
            <w:noWrap w:val="0"/>
            <w:vAlign w:val="center"/>
          </w:tcPr>
          <w:p w14:paraId="411E461F">
            <w:pPr>
              <w:pStyle w:val="22"/>
              <w:numPr>
                <w:ilvl w:val="0"/>
                <w:numId w:val="2"/>
              </w:numPr>
              <w:ind w:left="0" w:firstLine="0" w:firstLineChars="0"/>
              <w:jc w:val="center"/>
              <w:rPr>
                <w:rFonts w:hint="eastAsia" w:ascii="宋体" w:hAnsi="宋体" w:cs="宋体"/>
                <w:szCs w:val="21"/>
              </w:rPr>
            </w:pPr>
          </w:p>
        </w:tc>
        <w:tc>
          <w:tcPr>
            <w:tcW w:w="1147" w:type="dxa"/>
            <w:noWrap w:val="0"/>
            <w:vAlign w:val="center"/>
          </w:tcPr>
          <w:p w14:paraId="550BE611">
            <w:pPr>
              <w:jc w:val="center"/>
              <w:rPr>
                <w:rFonts w:hint="eastAsia" w:ascii="宋体" w:hAnsi="宋体" w:cs="宋体"/>
                <w:szCs w:val="21"/>
              </w:rPr>
            </w:pPr>
            <w:r>
              <w:rPr>
                <w:rFonts w:hint="eastAsia" w:ascii="宋体" w:hAnsi="宋体" w:cs="宋体"/>
                <w:kern w:val="0"/>
                <w:szCs w:val="21"/>
              </w:rPr>
              <w:t>项目实施方案</w:t>
            </w:r>
          </w:p>
        </w:tc>
        <w:tc>
          <w:tcPr>
            <w:tcW w:w="5843" w:type="dxa"/>
            <w:noWrap w:val="0"/>
            <w:vAlign w:val="top"/>
          </w:tcPr>
          <w:p w14:paraId="54774134">
            <w:pPr>
              <w:wordWrap w:val="0"/>
              <w:rPr>
                <w:rFonts w:hint="eastAsia" w:ascii="宋体" w:hAnsi="宋体" w:cs="宋体"/>
                <w:b/>
                <w:bCs/>
                <w:szCs w:val="21"/>
              </w:rPr>
            </w:pPr>
            <w:r>
              <w:rPr>
                <w:rFonts w:hint="eastAsia" w:ascii="宋体" w:hAnsi="宋体" w:cs="宋体"/>
                <w:b/>
                <w:bCs/>
                <w:szCs w:val="21"/>
              </w:rPr>
              <w:t>（一）评分内容：</w:t>
            </w:r>
          </w:p>
          <w:p w14:paraId="6EC21FC4">
            <w:pPr>
              <w:wordWrap w:val="0"/>
              <w:rPr>
                <w:rFonts w:hint="eastAsia" w:ascii="宋体" w:hAnsi="宋体" w:cs="宋体"/>
                <w:szCs w:val="21"/>
              </w:rPr>
            </w:pPr>
            <w:r>
              <w:rPr>
                <w:rFonts w:hint="eastAsia" w:ascii="宋体" w:hAnsi="宋体" w:cs="宋体"/>
                <w:szCs w:val="21"/>
              </w:rPr>
              <w:t>投标人针对本项目提供的项目实施方案，包括但不限于以下内容：</w:t>
            </w:r>
          </w:p>
          <w:p w14:paraId="016500DA">
            <w:pPr>
              <w:wordWrap w:val="0"/>
              <w:rPr>
                <w:rFonts w:hint="eastAsia" w:ascii="宋体" w:hAnsi="宋体" w:cs="宋体"/>
                <w:szCs w:val="21"/>
              </w:rPr>
            </w:pPr>
            <w:r>
              <w:rPr>
                <w:rFonts w:hint="eastAsia" w:ascii="宋体" w:hAnsi="宋体" w:cs="宋体"/>
                <w:szCs w:val="21"/>
              </w:rPr>
              <w:t>1</w:t>
            </w:r>
            <w:r>
              <w:rPr>
                <w:rFonts w:hint="eastAsia" w:ascii="宋体" w:hAnsi="宋体" w:cs="宋体"/>
                <w:szCs w:val="21"/>
                <w:lang w:eastAsia="zh-CN"/>
              </w:rPr>
              <w:t>、</w:t>
            </w:r>
            <w:r>
              <w:rPr>
                <w:rFonts w:hint="eastAsia" w:ascii="宋体" w:hAnsi="宋体" w:cs="宋体"/>
                <w:szCs w:val="21"/>
              </w:rPr>
              <w:t>项目到货计划；</w:t>
            </w:r>
          </w:p>
          <w:p w14:paraId="2FF1B55F">
            <w:pPr>
              <w:wordWrap w:val="0"/>
              <w:rPr>
                <w:rFonts w:hint="eastAsia" w:ascii="宋体" w:hAnsi="宋体" w:cs="宋体"/>
                <w:szCs w:val="21"/>
              </w:rPr>
            </w:pPr>
            <w:r>
              <w:rPr>
                <w:rFonts w:hint="eastAsia" w:ascii="宋体" w:hAnsi="宋体" w:cs="宋体"/>
                <w:szCs w:val="21"/>
              </w:rPr>
              <w:t>2</w:t>
            </w:r>
            <w:r>
              <w:rPr>
                <w:rFonts w:hint="eastAsia" w:ascii="宋体" w:hAnsi="宋体" w:cs="宋体"/>
                <w:szCs w:val="21"/>
                <w:lang w:eastAsia="zh-CN"/>
              </w:rPr>
              <w:t>、</w:t>
            </w:r>
            <w:r>
              <w:rPr>
                <w:rFonts w:hint="eastAsia" w:ascii="宋体" w:hAnsi="宋体" w:cs="宋体"/>
                <w:szCs w:val="21"/>
              </w:rPr>
              <w:t>项目实施计划；</w:t>
            </w:r>
          </w:p>
          <w:p w14:paraId="249527FE">
            <w:pPr>
              <w:wordWrap w:val="0"/>
              <w:rPr>
                <w:rFonts w:hint="eastAsia" w:ascii="宋体" w:hAnsi="宋体" w:cs="宋体"/>
                <w:szCs w:val="21"/>
              </w:rPr>
            </w:pPr>
            <w:r>
              <w:rPr>
                <w:rFonts w:hint="eastAsia" w:ascii="宋体" w:hAnsi="宋体" w:cs="宋体"/>
                <w:szCs w:val="21"/>
              </w:rPr>
              <w:t>3</w:t>
            </w:r>
            <w:r>
              <w:rPr>
                <w:rFonts w:hint="eastAsia" w:ascii="宋体" w:hAnsi="宋体" w:cs="宋体"/>
                <w:szCs w:val="21"/>
                <w:lang w:eastAsia="zh-CN"/>
              </w:rPr>
              <w:t>、</w:t>
            </w:r>
            <w:r>
              <w:rPr>
                <w:rFonts w:hint="eastAsia" w:ascii="宋体" w:hAnsi="宋体" w:cs="宋体"/>
                <w:szCs w:val="21"/>
              </w:rPr>
              <w:t>项目运输保障；</w:t>
            </w:r>
          </w:p>
          <w:p w14:paraId="4AEEC4C6">
            <w:pPr>
              <w:wordWrap w:val="0"/>
              <w:rPr>
                <w:rFonts w:hint="eastAsia" w:ascii="宋体" w:hAnsi="宋体" w:cs="宋体"/>
                <w:szCs w:val="21"/>
              </w:rPr>
            </w:pPr>
            <w:r>
              <w:rPr>
                <w:rFonts w:hint="eastAsia" w:ascii="宋体" w:hAnsi="宋体" w:cs="宋体"/>
                <w:szCs w:val="21"/>
              </w:rPr>
              <w:t>4</w:t>
            </w:r>
            <w:r>
              <w:rPr>
                <w:rFonts w:hint="eastAsia" w:ascii="宋体" w:hAnsi="宋体" w:cs="宋体"/>
                <w:szCs w:val="21"/>
                <w:lang w:eastAsia="zh-CN"/>
              </w:rPr>
              <w:t>、</w:t>
            </w:r>
            <w:r>
              <w:rPr>
                <w:rFonts w:hint="eastAsia" w:ascii="宋体" w:hAnsi="宋体" w:cs="宋体"/>
                <w:szCs w:val="21"/>
              </w:rPr>
              <w:t>安装调试（如计划步骤、人员安排等）。</w:t>
            </w:r>
          </w:p>
          <w:p w14:paraId="25FB12E7">
            <w:pPr>
              <w:wordWrap w:val="0"/>
              <w:rPr>
                <w:rFonts w:hint="eastAsia" w:ascii="宋体" w:hAnsi="宋体" w:cs="宋体"/>
                <w:b/>
                <w:bCs/>
                <w:szCs w:val="21"/>
              </w:rPr>
            </w:pPr>
            <w:r>
              <w:rPr>
                <w:rFonts w:hint="eastAsia" w:ascii="宋体" w:hAnsi="宋体" w:cs="宋体"/>
                <w:b/>
                <w:bCs/>
                <w:szCs w:val="21"/>
              </w:rPr>
              <w:t>（二）评分依据：</w:t>
            </w:r>
          </w:p>
          <w:p w14:paraId="0E96FFBD">
            <w:pPr>
              <w:wordWrap w:val="0"/>
              <w:rPr>
                <w:rFonts w:hint="eastAsia" w:ascii="宋体" w:hAnsi="宋体" w:cs="宋体"/>
                <w:szCs w:val="21"/>
              </w:rPr>
            </w:pPr>
            <w:r>
              <w:rPr>
                <w:rFonts w:hint="eastAsia" w:ascii="宋体" w:hAnsi="宋体" w:cs="宋体"/>
                <w:szCs w:val="21"/>
              </w:rPr>
              <w:t>以上内容，每提供一点得</w:t>
            </w:r>
            <w:r>
              <w:rPr>
                <w:rFonts w:hint="eastAsia" w:ascii="宋体" w:hAnsi="宋体" w:cs="宋体"/>
                <w:szCs w:val="21"/>
                <w:lang w:val="en-US" w:eastAsia="zh-CN"/>
              </w:rPr>
              <w:t>1</w:t>
            </w:r>
            <w:r>
              <w:rPr>
                <w:rFonts w:hint="eastAsia" w:ascii="宋体" w:hAnsi="宋体" w:cs="宋体"/>
                <w:szCs w:val="21"/>
              </w:rPr>
              <w:t>分，最高得</w:t>
            </w:r>
            <w:r>
              <w:rPr>
                <w:rFonts w:hint="eastAsia" w:ascii="宋体" w:hAnsi="宋体" w:cs="宋体"/>
                <w:szCs w:val="21"/>
                <w:lang w:val="en-US" w:eastAsia="zh-CN"/>
              </w:rPr>
              <w:t>4</w:t>
            </w:r>
            <w:r>
              <w:rPr>
                <w:rFonts w:hint="eastAsia" w:ascii="宋体" w:hAnsi="宋体" w:cs="宋体"/>
                <w:szCs w:val="21"/>
              </w:rPr>
              <w:t>分。</w:t>
            </w:r>
          </w:p>
          <w:p w14:paraId="6009B7F5">
            <w:pPr>
              <w:wordWrap w:val="0"/>
              <w:rPr>
                <w:rFonts w:hint="eastAsia" w:ascii="宋体" w:hAnsi="宋体" w:cs="宋体"/>
                <w:szCs w:val="21"/>
              </w:rPr>
            </w:pPr>
            <w:r>
              <w:rPr>
                <w:rFonts w:hint="eastAsia" w:ascii="宋体" w:hAnsi="宋体" w:cs="宋体"/>
                <w:szCs w:val="21"/>
              </w:rPr>
              <w:t>在此基础上，专家根据各供应商的具体响应内容按照量化的评审因素指标进一步评审：</w:t>
            </w:r>
          </w:p>
          <w:p w14:paraId="214A0E24">
            <w:pPr>
              <w:wordWrap w:val="0"/>
              <w:rPr>
                <w:rFonts w:hint="eastAsia" w:ascii="宋体" w:hAnsi="宋体" w:cs="宋体"/>
                <w:szCs w:val="21"/>
              </w:rPr>
            </w:pPr>
            <w:r>
              <w:rPr>
                <w:rFonts w:hint="eastAsia" w:ascii="宋体" w:hAnsi="宋体" w:cs="宋体"/>
                <w:szCs w:val="21"/>
              </w:rPr>
              <w:t>（1）投标文件响应内容全面；</w:t>
            </w:r>
          </w:p>
          <w:p w14:paraId="74159EE1">
            <w:pPr>
              <w:wordWrap w:val="0"/>
              <w:rPr>
                <w:rFonts w:hint="eastAsia" w:ascii="宋体" w:hAnsi="宋体" w:cs="宋体"/>
                <w:szCs w:val="21"/>
              </w:rPr>
            </w:pPr>
            <w:r>
              <w:rPr>
                <w:rFonts w:hint="eastAsia" w:ascii="宋体" w:hAnsi="宋体" w:cs="宋体"/>
                <w:szCs w:val="21"/>
              </w:rPr>
              <w:t>（2）投标文件响应内容具体；</w:t>
            </w:r>
          </w:p>
          <w:p w14:paraId="6007B223">
            <w:pPr>
              <w:wordWrap w:val="0"/>
              <w:rPr>
                <w:rFonts w:hint="eastAsia" w:ascii="宋体" w:hAnsi="宋体" w:cs="宋体"/>
                <w:szCs w:val="21"/>
              </w:rPr>
            </w:pPr>
            <w:r>
              <w:rPr>
                <w:rFonts w:hint="eastAsia" w:ascii="宋体" w:hAnsi="宋体" w:cs="宋体"/>
                <w:szCs w:val="21"/>
              </w:rPr>
              <w:t>（3）投标文件响应内容针对性强；</w:t>
            </w:r>
          </w:p>
          <w:p w14:paraId="0159703B">
            <w:pPr>
              <w:wordWrap w:val="0"/>
              <w:rPr>
                <w:rFonts w:hint="eastAsia" w:ascii="宋体" w:hAnsi="宋体" w:cs="宋体"/>
                <w:szCs w:val="21"/>
              </w:rPr>
            </w:pPr>
            <w:r>
              <w:rPr>
                <w:rFonts w:hint="eastAsia" w:ascii="宋体" w:hAnsi="宋体" w:cs="宋体"/>
                <w:szCs w:val="21"/>
              </w:rPr>
              <w:t>（4）投标文件响应内容科学合理；</w:t>
            </w:r>
          </w:p>
          <w:p w14:paraId="788C8ACF">
            <w:pPr>
              <w:wordWrap w:val="0"/>
              <w:rPr>
                <w:rFonts w:hint="eastAsia" w:ascii="宋体" w:hAnsi="宋体" w:cs="宋体"/>
                <w:szCs w:val="21"/>
              </w:rPr>
            </w:pPr>
            <w:r>
              <w:rPr>
                <w:rFonts w:hint="eastAsia" w:ascii="宋体" w:hAnsi="宋体" w:cs="宋体"/>
                <w:szCs w:val="21"/>
              </w:rPr>
              <w:t>（5）投标文件响应内容可操作性强。</w:t>
            </w:r>
          </w:p>
          <w:p w14:paraId="4EA7633B">
            <w:pPr>
              <w:wordWrap w:val="0"/>
              <w:rPr>
                <w:rFonts w:hint="eastAsia" w:ascii="宋体" w:hAnsi="宋体" w:cs="宋体"/>
                <w:szCs w:val="21"/>
              </w:rPr>
            </w:pPr>
            <w:r>
              <w:rPr>
                <w:rFonts w:hint="eastAsia" w:ascii="宋体" w:hAnsi="宋体" w:cs="宋体"/>
                <w:szCs w:val="21"/>
              </w:rPr>
              <w:t>满足以上五项要求的评价为优,加</w:t>
            </w:r>
            <w:r>
              <w:rPr>
                <w:rFonts w:hint="eastAsia" w:ascii="宋体" w:hAnsi="宋体" w:cs="宋体"/>
                <w:szCs w:val="21"/>
                <w:lang w:val="en-US" w:eastAsia="zh-CN"/>
              </w:rPr>
              <w:t>4</w:t>
            </w:r>
            <w:r>
              <w:rPr>
                <w:rFonts w:hint="eastAsia" w:ascii="宋体" w:hAnsi="宋体" w:cs="宋体"/>
                <w:szCs w:val="21"/>
              </w:rPr>
              <w:t>分；</w:t>
            </w:r>
          </w:p>
          <w:p w14:paraId="62C5C6EB">
            <w:pPr>
              <w:wordWrap w:val="0"/>
              <w:rPr>
                <w:rFonts w:hint="eastAsia" w:ascii="宋体" w:hAnsi="宋体" w:cs="宋体"/>
                <w:szCs w:val="21"/>
              </w:rPr>
            </w:pPr>
            <w:r>
              <w:rPr>
                <w:rFonts w:hint="eastAsia" w:ascii="宋体" w:hAnsi="宋体" w:cs="宋体"/>
                <w:szCs w:val="21"/>
              </w:rPr>
              <w:t>满足以上四项要求的评价为良,加</w:t>
            </w:r>
            <w:r>
              <w:rPr>
                <w:rFonts w:hint="eastAsia" w:ascii="宋体" w:hAnsi="宋体" w:cs="宋体"/>
                <w:szCs w:val="21"/>
                <w:lang w:val="en-US" w:eastAsia="zh-CN"/>
              </w:rPr>
              <w:t>2</w:t>
            </w:r>
            <w:r>
              <w:rPr>
                <w:rFonts w:hint="eastAsia" w:ascii="宋体" w:hAnsi="宋体" w:cs="宋体"/>
                <w:szCs w:val="21"/>
              </w:rPr>
              <w:t>分；</w:t>
            </w:r>
          </w:p>
          <w:p w14:paraId="15C6F099">
            <w:pPr>
              <w:wordWrap w:val="0"/>
              <w:rPr>
                <w:rFonts w:hint="eastAsia" w:ascii="宋体" w:hAnsi="宋体" w:cs="宋体"/>
                <w:szCs w:val="21"/>
              </w:rPr>
            </w:pPr>
            <w:r>
              <w:rPr>
                <w:rFonts w:hint="eastAsia" w:ascii="宋体" w:hAnsi="宋体" w:cs="宋体"/>
                <w:szCs w:val="21"/>
              </w:rPr>
              <w:t>满足以上三项要求的评价为中,加1分；</w:t>
            </w:r>
          </w:p>
          <w:p w14:paraId="0C26C03D">
            <w:pPr>
              <w:wordWrap w:val="0"/>
              <w:rPr>
                <w:rFonts w:hint="eastAsia" w:ascii="宋体" w:hAnsi="宋体" w:cs="宋体"/>
                <w:szCs w:val="21"/>
              </w:rPr>
            </w:pPr>
            <w:r>
              <w:rPr>
                <w:rFonts w:hint="eastAsia" w:ascii="宋体" w:hAnsi="宋体" w:cs="宋体"/>
                <w:szCs w:val="21"/>
              </w:rPr>
              <w:t>其他情况评价为差,不加分。</w:t>
            </w:r>
          </w:p>
        </w:tc>
        <w:tc>
          <w:tcPr>
            <w:tcW w:w="778" w:type="dxa"/>
            <w:tcBorders>
              <w:left w:val="single" w:color="auto" w:sz="4" w:space="0"/>
            </w:tcBorders>
            <w:noWrap w:val="0"/>
            <w:vAlign w:val="center"/>
          </w:tcPr>
          <w:p w14:paraId="091A8212">
            <w:pPr>
              <w:wordWrap w:val="0"/>
              <w:jc w:val="center"/>
              <w:rPr>
                <w:rFonts w:hint="eastAsia" w:ascii="宋体" w:hAnsi="宋体" w:cs="宋体" w:eastAsiaTheme="minorEastAsia"/>
                <w:szCs w:val="21"/>
                <w:lang w:val="en-US" w:eastAsia="zh-CN"/>
              </w:rPr>
            </w:pPr>
            <w:r>
              <w:rPr>
                <w:rFonts w:hint="eastAsia" w:ascii="宋体" w:hAnsi="宋体" w:cs="宋体"/>
                <w:szCs w:val="21"/>
                <w:lang w:val="en-US" w:eastAsia="zh-CN"/>
              </w:rPr>
              <w:t>8</w:t>
            </w:r>
          </w:p>
        </w:tc>
      </w:tr>
      <w:tr w14:paraId="4AADA4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5" w:hRule="atLeast"/>
        </w:trPr>
        <w:tc>
          <w:tcPr>
            <w:tcW w:w="680" w:type="dxa"/>
            <w:tcBorders>
              <w:top w:val="single" w:color="auto" w:sz="4" w:space="0"/>
            </w:tcBorders>
            <w:noWrap w:val="0"/>
            <w:vAlign w:val="center"/>
          </w:tcPr>
          <w:p w14:paraId="266642C7">
            <w:pPr>
              <w:pStyle w:val="22"/>
              <w:numPr>
                <w:ilvl w:val="0"/>
                <w:numId w:val="2"/>
              </w:numPr>
              <w:ind w:left="0" w:firstLine="0" w:firstLineChars="0"/>
              <w:jc w:val="center"/>
              <w:rPr>
                <w:rFonts w:hint="eastAsia" w:ascii="宋体" w:hAnsi="宋体" w:cs="宋体"/>
                <w:szCs w:val="21"/>
              </w:rPr>
            </w:pPr>
          </w:p>
        </w:tc>
        <w:tc>
          <w:tcPr>
            <w:tcW w:w="1147" w:type="dxa"/>
            <w:noWrap w:val="0"/>
            <w:vAlign w:val="center"/>
          </w:tcPr>
          <w:p w14:paraId="3523E725">
            <w:pPr>
              <w:jc w:val="center"/>
              <w:rPr>
                <w:rFonts w:hint="eastAsia" w:ascii="宋体" w:hAnsi="宋体" w:cs="宋体"/>
                <w:bCs/>
                <w:szCs w:val="21"/>
                <w:highlight w:val="green"/>
              </w:rPr>
            </w:pPr>
            <w:r>
              <w:rPr>
                <w:rFonts w:hint="eastAsia" w:ascii="宋体" w:hAnsi="宋体" w:cs="宋体"/>
                <w:szCs w:val="21"/>
              </w:rPr>
              <w:t>诚信</w:t>
            </w:r>
          </w:p>
        </w:tc>
        <w:tc>
          <w:tcPr>
            <w:tcW w:w="5843" w:type="dxa"/>
            <w:noWrap w:val="0"/>
            <w:vAlign w:val="center"/>
          </w:tcPr>
          <w:p w14:paraId="115B7296">
            <w:pPr>
              <w:jc w:val="left"/>
              <w:rPr>
                <w:rFonts w:hint="eastAsia" w:ascii="宋体" w:hAnsi="宋体" w:cs="宋体"/>
                <w:szCs w:val="21"/>
                <w:highlight w:val="yellow"/>
              </w:rPr>
            </w:pPr>
            <w:r>
              <w:rPr>
                <w:rFonts w:hint="eastAsia" w:ascii="宋体" w:hAnsi="宋体" w:cs="宋体"/>
                <w:szCs w:val="21"/>
              </w:rPr>
              <w:t>投标人在参与政府采购活动中存在诚信相关问题且在主管部门相关处理措施实施期限内的，本项不得分，否则得满分。投标人无需提供任何证明材料，由工作人员查询后向评审委员会提供相关信息。</w:t>
            </w:r>
          </w:p>
        </w:tc>
        <w:tc>
          <w:tcPr>
            <w:tcW w:w="778" w:type="dxa"/>
            <w:tcBorders>
              <w:left w:val="single" w:color="auto" w:sz="4" w:space="0"/>
            </w:tcBorders>
            <w:noWrap w:val="0"/>
            <w:vAlign w:val="center"/>
          </w:tcPr>
          <w:p w14:paraId="65A9AF1F">
            <w:pPr>
              <w:jc w:val="center"/>
              <w:rPr>
                <w:rFonts w:hint="eastAsia" w:ascii="宋体" w:hAnsi="宋体" w:cs="宋体" w:eastAsiaTheme="minorEastAsia"/>
                <w:szCs w:val="21"/>
                <w:lang w:val="en-US" w:eastAsia="zh-CN"/>
              </w:rPr>
            </w:pPr>
            <w:r>
              <w:rPr>
                <w:rFonts w:hint="eastAsia" w:ascii="宋体" w:hAnsi="宋体" w:cs="宋体"/>
                <w:szCs w:val="21"/>
                <w:lang w:val="en-US" w:eastAsia="zh-CN"/>
              </w:rPr>
              <w:t>2</w:t>
            </w:r>
          </w:p>
        </w:tc>
      </w:tr>
      <w:tr w14:paraId="2BE2A3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7" w:hRule="atLeast"/>
        </w:trPr>
        <w:tc>
          <w:tcPr>
            <w:tcW w:w="680" w:type="dxa"/>
            <w:tcBorders>
              <w:top w:val="single" w:color="auto" w:sz="4" w:space="0"/>
            </w:tcBorders>
            <w:noWrap w:val="0"/>
            <w:vAlign w:val="center"/>
          </w:tcPr>
          <w:p w14:paraId="79B0BAAB">
            <w:pPr>
              <w:jc w:val="center"/>
              <w:rPr>
                <w:rFonts w:hint="eastAsia" w:ascii="宋体" w:hAnsi="宋体" w:cs="宋体"/>
                <w:b/>
                <w:szCs w:val="21"/>
              </w:rPr>
            </w:pPr>
            <w:r>
              <w:rPr>
                <w:rFonts w:hint="eastAsia" w:ascii="宋体" w:hAnsi="宋体" w:cs="宋体"/>
                <w:b/>
                <w:szCs w:val="21"/>
              </w:rPr>
              <w:t>三</w:t>
            </w:r>
          </w:p>
        </w:tc>
        <w:tc>
          <w:tcPr>
            <w:tcW w:w="7768" w:type="dxa"/>
            <w:gridSpan w:val="3"/>
            <w:noWrap w:val="0"/>
            <w:vAlign w:val="center"/>
          </w:tcPr>
          <w:p w14:paraId="59289CF7">
            <w:pPr>
              <w:jc w:val="center"/>
              <w:rPr>
                <w:rFonts w:hint="eastAsia" w:ascii="宋体" w:hAnsi="宋体" w:cs="宋体"/>
                <w:b/>
                <w:szCs w:val="21"/>
              </w:rPr>
            </w:pPr>
            <w:r>
              <w:rPr>
                <w:rFonts w:hint="eastAsia" w:ascii="宋体" w:hAnsi="宋体" w:cs="宋体"/>
                <w:b/>
                <w:szCs w:val="21"/>
              </w:rPr>
              <w:t>价格部分（30分）</w:t>
            </w:r>
          </w:p>
        </w:tc>
      </w:tr>
      <w:tr w14:paraId="3201EF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trPr>
        <w:tc>
          <w:tcPr>
            <w:tcW w:w="680" w:type="dxa"/>
            <w:noWrap w:val="0"/>
            <w:vAlign w:val="center"/>
          </w:tcPr>
          <w:p w14:paraId="17D2044B">
            <w:pPr>
              <w:jc w:val="center"/>
              <w:rPr>
                <w:rFonts w:hint="eastAsia" w:ascii="宋体" w:hAnsi="宋体" w:cs="宋体"/>
                <w:szCs w:val="21"/>
              </w:rPr>
            </w:pPr>
            <w:r>
              <w:rPr>
                <w:rFonts w:hint="eastAsia" w:ascii="宋体" w:hAnsi="宋体" w:cs="宋体"/>
                <w:szCs w:val="21"/>
              </w:rPr>
              <w:t>1</w:t>
            </w:r>
          </w:p>
        </w:tc>
        <w:tc>
          <w:tcPr>
            <w:tcW w:w="1147" w:type="dxa"/>
            <w:noWrap w:val="0"/>
            <w:vAlign w:val="center"/>
          </w:tcPr>
          <w:p w14:paraId="24642E85">
            <w:pPr>
              <w:jc w:val="center"/>
              <w:rPr>
                <w:rFonts w:hint="eastAsia" w:ascii="宋体" w:hAnsi="宋体" w:cs="宋体"/>
                <w:szCs w:val="21"/>
              </w:rPr>
            </w:pPr>
            <w:r>
              <w:rPr>
                <w:rFonts w:hint="eastAsia" w:ascii="宋体" w:hAnsi="宋体" w:cs="宋体"/>
                <w:szCs w:val="21"/>
              </w:rPr>
              <w:t>投标报价</w:t>
            </w:r>
          </w:p>
        </w:tc>
        <w:tc>
          <w:tcPr>
            <w:tcW w:w="5843" w:type="dxa"/>
            <w:noWrap w:val="0"/>
            <w:vAlign w:val="center"/>
          </w:tcPr>
          <w:p w14:paraId="0415F4F1">
            <w:pPr>
              <w:autoSpaceDE w:val="0"/>
              <w:autoSpaceDN w:val="0"/>
              <w:rPr>
                <w:rFonts w:hint="eastAsia" w:ascii="宋体" w:hAnsi="宋体" w:cs="宋体"/>
                <w:kern w:val="0"/>
                <w:szCs w:val="21"/>
              </w:rPr>
            </w:pPr>
            <w:r>
              <w:rPr>
                <w:rFonts w:hint="eastAsia" w:ascii="宋体" w:hAnsi="宋体" w:cs="宋体"/>
                <w:kern w:val="0"/>
                <w:szCs w:val="21"/>
              </w:rPr>
              <w:t>价格分应当采用低价优先法计算，即满足招标文件要求且投标价格最低的投标报价为评标基准价，其价格分为满分。其他投标人的价格分统一按照下列公式计算：</w:t>
            </w:r>
          </w:p>
          <w:p w14:paraId="14638468">
            <w:pPr>
              <w:widowControl/>
              <w:jc w:val="left"/>
              <w:rPr>
                <w:rFonts w:hint="eastAsia" w:ascii="宋体" w:hAnsi="宋体" w:cs="宋体"/>
                <w:kern w:val="0"/>
                <w:szCs w:val="21"/>
              </w:rPr>
            </w:pPr>
            <w:r>
              <w:rPr>
                <w:rFonts w:hint="eastAsia" w:ascii="宋体" w:hAnsi="宋体" w:cs="宋体"/>
                <w:kern w:val="0"/>
                <w:szCs w:val="21"/>
              </w:rPr>
              <w:t>投标报价得分=(评标基准价／投标报价)×</w:t>
            </w:r>
            <w:r>
              <w:rPr>
                <w:rFonts w:hint="eastAsia" w:ascii="宋体" w:hAnsi="宋体" w:cs="宋体"/>
                <w:kern w:val="0"/>
                <w:szCs w:val="21"/>
                <w:highlight w:val="yellow"/>
              </w:rPr>
              <w:t>100</w:t>
            </w:r>
            <w:r>
              <w:rPr>
                <w:rFonts w:hint="eastAsia" w:ascii="宋体" w:hAnsi="宋体" w:cs="宋体"/>
                <w:kern w:val="0"/>
                <w:szCs w:val="21"/>
              </w:rPr>
              <w:t>×权重</w:t>
            </w:r>
          </w:p>
          <w:p w14:paraId="76D28642">
            <w:pPr>
              <w:widowControl/>
              <w:jc w:val="left"/>
              <w:rPr>
                <w:rFonts w:hint="eastAsia" w:ascii="宋体" w:hAnsi="宋体" w:cs="宋体"/>
                <w:bCs/>
                <w:szCs w:val="21"/>
              </w:rPr>
            </w:pPr>
            <w:r>
              <w:rPr>
                <w:rFonts w:hint="eastAsia" w:ascii="宋体" w:hAnsi="宋体" w:cs="宋体"/>
                <w:bCs/>
                <w:szCs w:val="21"/>
              </w:rPr>
              <w:t>备注：</w:t>
            </w:r>
          </w:p>
          <w:p w14:paraId="125B2069">
            <w:pPr>
              <w:widowControl/>
              <w:jc w:val="left"/>
              <w:rPr>
                <w:rFonts w:hint="eastAsia" w:ascii="宋体" w:hAnsi="宋体" w:cs="宋体"/>
                <w:bCs/>
                <w:szCs w:val="21"/>
              </w:rPr>
            </w:pPr>
            <w:r>
              <w:rPr>
                <w:rFonts w:hint="eastAsia" w:ascii="宋体" w:hAnsi="宋体" w:cs="宋体"/>
                <w:bCs/>
                <w:szCs w:val="21"/>
              </w:rPr>
              <w:t>1、投标报价得分四舍五入后，</w:t>
            </w:r>
            <w:r>
              <w:rPr>
                <w:rFonts w:hint="eastAsia" w:ascii="宋体" w:hAnsi="宋体" w:cs="宋体"/>
                <w:szCs w:val="21"/>
              </w:rPr>
              <w:t>小数点后保留两位有效数</w:t>
            </w:r>
            <w:r>
              <w:rPr>
                <w:rFonts w:hint="eastAsia" w:ascii="宋体" w:hAnsi="宋体" w:cs="宋体"/>
                <w:bCs/>
                <w:szCs w:val="21"/>
              </w:rPr>
              <w:t>。</w:t>
            </w:r>
          </w:p>
          <w:p w14:paraId="0E7EF7AD">
            <w:pPr>
              <w:rPr>
                <w:rStyle w:val="14"/>
                <w:rFonts w:hint="eastAsia" w:ascii="宋体" w:hAnsi="宋体" w:cs="宋体"/>
              </w:rPr>
            </w:pPr>
            <w:r>
              <w:rPr>
                <w:rStyle w:val="14"/>
                <w:rFonts w:hint="eastAsia" w:ascii="宋体" w:hAnsi="宋体" w:cs="宋体"/>
              </w:rPr>
              <w:t>2、因落实政府采购政策进行价格调整的，以调整后的价格计算评标基准价和投标报价,详见《价格扣除》。</w:t>
            </w:r>
          </w:p>
        </w:tc>
        <w:tc>
          <w:tcPr>
            <w:tcW w:w="778" w:type="dxa"/>
            <w:tcBorders>
              <w:left w:val="single" w:color="auto" w:sz="4" w:space="0"/>
            </w:tcBorders>
            <w:noWrap w:val="0"/>
            <w:vAlign w:val="center"/>
          </w:tcPr>
          <w:p w14:paraId="0BF84A2B">
            <w:pPr>
              <w:adjustRightInd w:val="0"/>
              <w:snapToGrid w:val="0"/>
              <w:jc w:val="center"/>
              <w:rPr>
                <w:rFonts w:hint="eastAsia" w:ascii="宋体" w:hAnsi="宋体" w:cs="宋体"/>
                <w:szCs w:val="21"/>
              </w:rPr>
            </w:pPr>
            <w:r>
              <w:rPr>
                <w:rFonts w:hint="eastAsia" w:ascii="宋体" w:hAnsi="宋体" w:cs="宋体"/>
                <w:szCs w:val="21"/>
              </w:rPr>
              <w:t>30</w:t>
            </w:r>
          </w:p>
        </w:tc>
      </w:tr>
      <w:tr w14:paraId="5E27EA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trPr>
        <w:tc>
          <w:tcPr>
            <w:tcW w:w="7670" w:type="dxa"/>
            <w:gridSpan w:val="3"/>
            <w:noWrap w:val="0"/>
            <w:vAlign w:val="center"/>
          </w:tcPr>
          <w:p w14:paraId="1CBB6C59">
            <w:pPr>
              <w:jc w:val="center"/>
              <w:rPr>
                <w:rStyle w:val="14"/>
                <w:rFonts w:hint="default" w:ascii="宋体" w:hAnsi="宋体" w:cs="宋体" w:eastAsiaTheme="minorEastAsia"/>
                <w:lang w:val="en-US" w:eastAsia="zh-CN"/>
              </w:rPr>
            </w:pPr>
            <w:r>
              <w:rPr>
                <w:rStyle w:val="14"/>
                <w:rFonts w:hint="eastAsia" w:ascii="宋体" w:hAnsi="宋体" w:cs="宋体"/>
                <w:lang w:val="en-US" w:eastAsia="zh-CN"/>
              </w:rPr>
              <w:t>合计</w:t>
            </w:r>
          </w:p>
        </w:tc>
        <w:tc>
          <w:tcPr>
            <w:tcW w:w="778" w:type="dxa"/>
            <w:tcBorders>
              <w:left w:val="single" w:color="auto" w:sz="4" w:space="0"/>
            </w:tcBorders>
            <w:noWrap w:val="0"/>
            <w:vAlign w:val="center"/>
          </w:tcPr>
          <w:p w14:paraId="6969EC9C">
            <w:pPr>
              <w:adjustRightInd w:val="0"/>
              <w:snapToGrid w:val="0"/>
              <w:jc w:val="center"/>
              <w:rPr>
                <w:rFonts w:hint="default" w:ascii="宋体" w:hAnsi="宋体" w:cs="宋体" w:eastAsiaTheme="minorEastAsia"/>
                <w:szCs w:val="21"/>
                <w:lang w:val="en-US" w:eastAsia="zh-CN"/>
              </w:rPr>
            </w:pPr>
            <w:r>
              <w:rPr>
                <w:rFonts w:hint="eastAsia" w:ascii="宋体" w:hAnsi="宋体" w:cs="宋体"/>
                <w:szCs w:val="21"/>
                <w:lang w:val="en-US" w:eastAsia="zh-CN"/>
              </w:rPr>
              <w:t>100</w:t>
            </w:r>
          </w:p>
        </w:tc>
      </w:tr>
    </w:tbl>
    <w:p w14:paraId="7529050B">
      <w:pPr>
        <w:rPr>
          <w:rFonts w:hint="eastAsia"/>
          <w:lang w:val="en-US" w:eastAsia="zh-CN"/>
        </w:rPr>
      </w:pPr>
      <w:r>
        <w:rPr>
          <w:rFonts w:hint="eastAsia"/>
          <w:lang w:val="en-US" w:eastAsia="zh-CN"/>
        </w:rPr>
        <w:t xml:space="preserve"> </w:t>
      </w:r>
    </w:p>
    <w:p w14:paraId="378EA180">
      <w:pPr>
        <w:spacing w:line="320" w:lineRule="exact"/>
        <w:rPr>
          <w:rFonts w:hint="eastAsia"/>
          <w:lang w:val="en-US" w:eastAsia="zh-CN"/>
        </w:rPr>
      </w:pPr>
    </w:p>
    <w:p w14:paraId="2501C9B2">
      <w:pPr>
        <w:jc w:val="center"/>
        <w:rPr>
          <w:rFonts w:hint="eastAsia" w:ascii="宋体" w:hAnsi="宋体" w:eastAsia="宋体" w:cs="宋体"/>
          <w:bCs/>
          <w:color w:val="000000"/>
          <w:sz w:val="44"/>
          <w:szCs w:val="44"/>
          <w:cs w:val="0"/>
          <w:lang w:val="en-US" w:eastAsia="zh-CN"/>
        </w:rPr>
      </w:pPr>
      <w:r>
        <w:rPr>
          <w:rFonts w:hint="eastAsia" w:ascii="仿宋_GB2312" w:hAnsi="仿宋_GB2312" w:eastAsia="仿宋_GB2312" w:cs="仿宋_GB2312"/>
          <w:bCs/>
          <w:color w:val="000000"/>
          <w:sz w:val="32"/>
          <w:szCs w:val="32"/>
          <w:lang w:val="en-US" w:eastAsia="zh-CN"/>
        </w:rPr>
        <w:br w:type="page"/>
      </w:r>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714A5A"/>
    <w:multiLevelType w:val="multilevel"/>
    <w:tmpl w:val="24714A5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C2D25F0"/>
    <w:multiLevelType w:val="multilevel"/>
    <w:tmpl w:val="7C2D25F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3MjcxZDViYjgyMzVhMmYxZmUyOGViZWI2ZmIyMWEifQ=="/>
  </w:docVars>
  <w:rsids>
    <w:rsidRoot w:val="00000000"/>
    <w:rsid w:val="003D4FC9"/>
    <w:rsid w:val="007F6C6F"/>
    <w:rsid w:val="00D638EE"/>
    <w:rsid w:val="00E77D93"/>
    <w:rsid w:val="00F27441"/>
    <w:rsid w:val="00F37DEA"/>
    <w:rsid w:val="01115B19"/>
    <w:rsid w:val="01CC7C92"/>
    <w:rsid w:val="025142C8"/>
    <w:rsid w:val="0273635F"/>
    <w:rsid w:val="028265A2"/>
    <w:rsid w:val="029638CF"/>
    <w:rsid w:val="02F92D08"/>
    <w:rsid w:val="032F6F45"/>
    <w:rsid w:val="03972392"/>
    <w:rsid w:val="04185410"/>
    <w:rsid w:val="04265F2E"/>
    <w:rsid w:val="046E3282"/>
    <w:rsid w:val="05313B1A"/>
    <w:rsid w:val="05E77D3B"/>
    <w:rsid w:val="06113578"/>
    <w:rsid w:val="0627193B"/>
    <w:rsid w:val="0633208D"/>
    <w:rsid w:val="07261BF2"/>
    <w:rsid w:val="07972754"/>
    <w:rsid w:val="079E79DA"/>
    <w:rsid w:val="08BA3290"/>
    <w:rsid w:val="08BA4CE8"/>
    <w:rsid w:val="08C452ED"/>
    <w:rsid w:val="08D4742C"/>
    <w:rsid w:val="08E66B26"/>
    <w:rsid w:val="093D1D41"/>
    <w:rsid w:val="09573E9A"/>
    <w:rsid w:val="09677D59"/>
    <w:rsid w:val="096E162E"/>
    <w:rsid w:val="09A45050"/>
    <w:rsid w:val="09D26061"/>
    <w:rsid w:val="09FC4E8C"/>
    <w:rsid w:val="0A122902"/>
    <w:rsid w:val="0A3208AE"/>
    <w:rsid w:val="0A913826"/>
    <w:rsid w:val="0AB539B9"/>
    <w:rsid w:val="0AE465EC"/>
    <w:rsid w:val="0B23477F"/>
    <w:rsid w:val="0B9A481D"/>
    <w:rsid w:val="0BAD28E2"/>
    <w:rsid w:val="0C37664F"/>
    <w:rsid w:val="0C796C68"/>
    <w:rsid w:val="0CB52383"/>
    <w:rsid w:val="0D22141A"/>
    <w:rsid w:val="0D4E1EA3"/>
    <w:rsid w:val="0D7F5F30"/>
    <w:rsid w:val="0D8628FC"/>
    <w:rsid w:val="0DBF4B4E"/>
    <w:rsid w:val="0E19425F"/>
    <w:rsid w:val="0E2A13FA"/>
    <w:rsid w:val="0E415563"/>
    <w:rsid w:val="0F954423"/>
    <w:rsid w:val="0FAC491B"/>
    <w:rsid w:val="0FE80FB7"/>
    <w:rsid w:val="0FEF171B"/>
    <w:rsid w:val="1002041D"/>
    <w:rsid w:val="10F36FE9"/>
    <w:rsid w:val="112F0C3F"/>
    <w:rsid w:val="11E10EBE"/>
    <w:rsid w:val="126971CF"/>
    <w:rsid w:val="129B4EF2"/>
    <w:rsid w:val="13E363E1"/>
    <w:rsid w:val="141717F9"/>
    <w:rsid w:val="143B16C4"/>
    <w:rsid w:val="15123D9E"/>
    <w:rsid w:val="15724254"/>
    <w:rsid w:val="158C2D9C"/>
    <w:rsid w:val="159233F2"/>
    <w:rsid w:val="163C4F8E"/>
    <w:rsid w:val="163F4A7E"/>
    <w:rsid w:val="16D43419"/>
    <w:rsid w:val="16DD6825"/>
    <w:rsid w:val="173B6FF4"/>
    <w:rsid w:val="17BD3EAD"/>
    <w:rsid w:val="182F6239"/>
    <w:rsid w:val="186662F2"/>
    <w:rsid w:val="192621C4"/>
    <w:rsid w:val="19F62B74"/>
    <w:rsid w:val="1B087C4B"/>
    <w:rsid w:val="1B950C9D"/>
    <w:rsid w:val="1B966EEF"/>
    <w:rsid w:val="1BC11A92"/>
    <w:rsid w:val="1BCA6B98"/>
    <w:rsid w:val="1C2C7853"/>
    <w:rsid w:val="1C965990"/>
    <w:rsid w:val="1CF245F9"/>
    <w:rsid w:val="1D0122B7"/>
    <w:rsid w:val="1D8C5449"/>
    <w:rsid w:val="1F132604"/>
    <w:rsid w:val="1F745799"/>
    <w:rsid w:val="1FD75D28"/>
    <w:rsid w:val="206550E2"/>
    <w:rsid w:val="20D03689"/>
    <w:rsid w:val="20DF30E6"/>
    <w:rsid w:val="215058A1"/>
    <w:rsid w:val="21696E53"/>
    <w:rsid w:val="220A5F40"/>
    <w:rsid w:val="2210107D"/>
    <w:rsid w:val="22244B28"/>
    <w:rsid w:val="23337719"/>
    <w:rsid w:val="247F6D7D"/>
    <w:rsid w:val="24D32F62"/>
    <w:rsid w:val="24D91964"/>
    <w:rsid w:val="24EA1BB2"/>
    <w:rsid w:val="25A052FA"/>
    <w:rsid w:val="26133E87"/>
    <w:rsid w:val="26296BB1"/>
    <w:rsid w:val="265E2CFF"/>
    <w:rsid w:val="26A34050"/>
    <w:rsid w:val="270C275B"/>
    <w:rsid w:val="270E5883"/>
    <w:rsid w:val="27C83FC7"/>
    <w:rsid w:val="27C923FA"/>
    <w:rsid w:val="283C0E1E"/>
    <w:rsid w:val="28B9093F"/>
    <w:rsid w:val="28F45255"/>
    <w:rsid w:val="290217FA"/>
    <w:rsid w:val="29C25D11"/>
    <w:rsid w:val="29DA21BB"/>
    <w:rsid w:val="29F13DA9"/>
    <w:rsid w:val="29F3375E"/>
    <w:rsid w:val="2A141E18"/>
    <w:rsid w:val="2A5306A1"/>
    <w:rsid w:val="2AFE685E"/>
    <w:rsid w:val="2B8853B7"/>
    <w:rsid w:val="2C693825"/>
    <w:rsid w:val="2C8E59C0"/>
    <w:rsid w:val="2CA70830"/>
    <w:rsid w:val="2CE40EE6"/>
    <w:rsid w:val="2D5E3AFE"/>
    <w:rsid w:val="2DBD030B"/>
    <w:rsid w:val="2DF67CC1"/>
    <w:rsid w:val="2E2A44CC"/>
    <w:rsid w:val="2E7D5CEC"/>
    <w:rsid w:val="2EC4434D"/>
    <w:rsid w:val="2EDF2CF6"/>
    <w:rsid w:val="2EE53C70"/>
    <w:rsid w:val="30191A45"/>
    <w:rsid w:val="30744ECD"/>
    <w:rsid w:val="309A0DD7"/>
    <w:rsid w:val="3106646D"/>
    <w:rsid w:val="310F3573"/>
    <w:rsid w:val="31336B36"/>
    <w:rsid w:val="31611710"/>
    <w:rsid w:val="318A0E4C"/>
    <w:rsid w:val="320E5F2E"/>
    <w:rsid w:val="3269445D"/>
    <w:rsid w:val="33353039"/>
    <w:rsid w:val="33BC72B7"/>
    <w:rsid w:val="33C85C5B"/>
    <w:rsid w:val="33E800AC"/>
    <w:rsid w:val="343432F1"/>
    <w:rsid w:val="346C2A8B"/>
    <w:rsid w:val="34781C01"/>
    <w:rsid w:val="34806536"/>
    <w:rsid w:val="348F0527"/>
    <w:rsid w:val="34C04B85"/>
    <w:rsid w:val="351729F7"/>
    <w:rsid w:val="35675000"/>
    <w:rsid w:val="3578720D"/>
    <w:rsid w:val="358341DF"/>
    <w:rsid w:val="359A3628"/>
    <w:rsid w:val="35AB6B9C"/>
    <w:rsid w:val="36363350"/>
    <w:rsid w:val="36BD137C"/>
    <w:rsid w:val="380534F8"/>
    <w:rsid w:val="384E5BCA"/>
    <w:rsid w:val="39072D1B"/>
    <w:rsid w:val="39567866"/>
    <w:rsid w:val="3A1F234D"/>
    <w:rsid w:val="3A3951BD"/>
    <w:rsid w:val="3A96260F"/>
    <w:rsid w:val="3AD44EE6"/>
    <w:rsid w:val="3B2C6AD0"/>
    <w:rsid w:val="3B90705F"/>
    <w:rsid w:val="3CDC4526"/>
    <w:rsid w:val="3D515C28"/>
    <w:rsid w:val="3D5B3C99"/>
    <w:rsid w:val="3DA52B6A"/>
    <w:rsid w:val="3DBB413B"/>
    <w:rsid w:val="3DCE0312"/>
    <w:rsid w:val="3DFC60C1"/>
    <w:rsid w:val="3E4203B8"/>
    <w:rsid w:val="3EB5502E"/>
    <w:rsid w:val="3EB92FAC"/>
    <w:rsid w:val="3EE54071"/>
    <w:rsid w:val="3F0B2EA0"/>
    <w:rsid w:val="3F595FFD"/>
    <w:rsid w:val="3FF676AC"/>
    <w:rsid w:val="40232EE2"/>
    <w:rsid w:val="405A40DF"/>
    <w:rsid w:val="40B11C99"/>
    <w:rsid w:val="40EA138C"/>
    <w:rsid w:val="411D4F24"/>
    <w:rsid w:val="41872CB2"/>
    <w:rsid w:val="4191768D"/>
    <w:rsid w:val="41967399"/>
    <w:rsid w:val="41A01FC6"/>
    <w:rsid w:val="41BD66D4"/>
    <w:rsid w:val="4281117C"/>
    <w:rsid w:val="42BD2703"/>
    <w:rsid w:val="42BD668F"/>
    <w:rsid w:val="42BE6BA7"/>
    <w:rsid w:val="42C35F6C"/>
    <w:rsid w:val="42D068DB"/>
    <w:rsid w:val="43093EE9"/>
    <w:rsid w:val="438A4CDB"/>
    <w:rsid w:val="438D76DD"/>
    <w:rsid w:val="43DF5027"/>
    <w:rsid w:val="44231643"/>
    <w:rsid w:val="44E83FF6"/>
    <w:rsid w:val="45652D44"/>
    <w:rsid w:val="457C65AF"/>
    <w:rsid w:val="459C0CF6"/>
    <w:rsid w:val="45DE4351"/>
    <w:rsid w:val="46190610"/>
    <w:rsid w:val="463902F3"/>
    <w:rsid w:val="46A75BA4"/>
    <w:rsid w:val="46B143CD"/>
    <w:rsid w:val="47282607"/>
    <w:rsid w:val="47490A0A"/>
    <w:rsid w:val="4791488A"/>
    <w:rsid w:val="47B27760"/>
    <w:rsid w:val="47E86474"/>
    <w:rsid w:val="48C97EF9"/>
    <w:rsid w:val="49263F6F"/>
    <w:rsid w:val="493B1131"/>
    <w:rsid w:val="496540B6"/>
    <w:rsid w:val="497612C2"/>
    <w:rsid w:val="49AE1470"/>
    <w:rsid w:val="4A3B6D2F"/>
    <w:rsid w:val="4AE24779"/>
    <w:rsid w:val="4AFC15E2"/>
    <w:rsid w:val="4B0C7002"/>
    <w:rsid w:val="4B383175"/>
    <w:rsid w:val="4B4F0B9C"/>
    <w:rsid w:val="4C2832E3"/>
    <w:rsid w:val="4C540200"/>
    <w:rsid w:val="4CE52F83"/>
    <w:rsid w:val="4D137AF0"/>
    <w:rsid w:val="4D7E765F"/>
    <w:rsid w:val="4DC91F90"/>
    <w:rsid w:val="4E651F3E"/>
    <w:rsid w:val="4EC45545"/>
    <w:rsid w:val="4ECA68D4"/>
    <w:rsid w:val="4ECC264C"/>
    <w:rsid w:val="4F0E4A13"/>
    <w:rsid w:val="4F381A8F"/>
    <w:rsid w:val="4F562B56"/>
    <w:rsid w:val="50FE2865"/>
    <w:rsid w:val="51181B78"/>
    <w:rsid w:val="517F33F6"/>
    <w:rsid w:val="5181369F"/>
    <w:rsid w:val="52CD0741"/>
    <w:rsid w:val="52D25D57"/>
    <w:rsid w:val="52F32C2E"/>
    <w:rsid w:val="53254F3F"/>
    <w:rsid w:val="533D6E69"/>
    <w:rsid w:val="53890B0C"/>
    <w:rsid w:val="53A21BCD"/>
    <w:rsid w:val="53D77AC9"/>
    <w:rsid w:val="53D911DB"/>
    <w:rsid w:val="53DF697E"/>
    <w:rsid w:val="5400226A"/>
    <w:rsid w:val="5455279C"/>
    <w:rsid w:val="548C4F43"/>
    <w:rsid w:val="55410F72"/>
    <w:rsid w:val="55452810"/>
    <w:rsid w:val="554E6B03"/>
    <w:rsid w:val="55777604"/>
    <w:rsid w:val="56892BD1"/>
    <w:rsid w:val="5696479C"/>
    <w:rsid w:val="56BD287A"/>
    <w:rsid w:val="56D93B58"/>
    <w:rsid w:val="57007337"/>
    <w:rsid w:val="5717791D"/>
    <w:rsid w:val="57315742"/>
    <w:rsid w:val="5737087F"/>
    <w:rsid w:val="573E7E5F"/>
    <w:rsid w:val="57E00F16"/>
    <w:rsid w:val="58160210"/>
    <w:rsid w:val="58712EA8"/>
    <w:rsid w:val="58FF0405"/>
    <w:rsid w:val="59103CAB"/>
    <w:rsid w:val="5A1841F7"/>
    <w:rsid w:val="5A44753A"/>
    <w:rsid w:val="5B215ACE"/>
    <w:rsid w:val="5B2D7FCE"/>
    <w:rsid w:val="5B9444F1"/>
    <w:rsid w:val="5C2A09B2"/>
    <w:rsid w:val="5C55332E"/>
    <w:rsid w:val="5C8E7D50"/>
    <w:rsid w:val="5D177188"/>
    <w:rsid w:val="5D2E6280"/>
    <w:rsid w:val="5D342504"/>
    <w:rsid w:val="5D83037A"/>
    <w:rsid w:val="5DCC30C8"/>
    <w:rsid w:val="5DD96B38"/>
    <w:rsid w:val="5E4C10B3"/>
    <w:rsid w:val="5EE74938"/>
    <w:rsid w:val="5F2142EE"/>
    <w:rsid w:val="5F797E33"/>
    <w:rsid w:val="5FB962D5"/>
    <w:rsid w:val="5FC30F01"/>
    <w:rsid w:val="5FF11EAE"/>
    <w:rsid w:val="601B50B8"/>
    <w:rsid w:val="6142679E"/>
    <w:rsid w:val="614E0C9F"/>
    <w:rsid w:val="61572249"/>
    <w:rsid w:val="61EA4E6B"/>
    <w:rsid w:val="624F2E59"/>
    <w:rsid w:val="62C92CD3"/>
    <w:rsid w:val="62DD677E"/>
    <w:rsid w:val="62EA2C49"/>
    <w:rsid w:val="63017740"/>
    <w:rsid w:val="63770981"/>
    <w:rsid w:val="64412728"/>
    <w:rsid w:val="64740A1C"/>
    <w:rsid w:val="648768D4"/>
    <w:rsid w:val="657302CB"/>
    <w:rsid w:val="664F1741"/>
    <w:rsid w:val="665E1984"/>
    <w:rsid w:val="665E7BD6"/>
    <w:rsid w:val="666F1DE3"/>
    <w:rsid w:val="667473F9"/>
    <w:rsid w:val="66A870A3"/>
    <w:rsid w:val="67203EB0"/>
    <w:rsid w:val="68264723"/>
    <w:rsid w:val="683669EA"/>
    <w:rsid w:val="68844214"/>
    <w:rsid w:val="689F6284"/>
    <w:rsid w:val="694A61CA"/>
    <w:rsid w:val="69696A7E"/>
    <w:rsid w:val="697214D7"/>
    <w:rsid w:val="69C07DA6"/>
    <w:rsid w:val="69E5460A"/>
    <w:rsid w:val="69E64411"/>
    <w:rsid w:val="6A184540"/>
    <w:rsid w:val="6A65441C"/>
    <w:rsid w:val="6AE54422"/>
    <w:rsid w:val="6B637A3C"/>
    <w:rsid w:val="6B95409A"/>
    <w:rsid w:val="6BC8789F"/>
    <w:rsid w:val="6C111246"/>
    <w:rsid w:val="6C6E4708"/>
    <w:rsid w:val="6CB542D7"/>
    <w:rsid w:val="6CCB17B2"/>
    <w:rsid w:val="6CCC2977"/>
    <w:rsid w:val="6D1F7993"/>
    <w:rsid w:val="6D2B458A"/>
    <w:rsid w:val="6D733121"/>
    <w:rsid w:val="6E0E1EE1"/>
    <w:rsid w:val="6E861B75"/>
    <w:rsid w:val="6F2F26C3"/>
    <w:rsid w:val="6F3516F0"/>
    <w:rsid w:val="6F6124E5"/>
    <w:rsid w:val="6FA50623"/>
    <w:rsid w:val="6FDF5799"/>
    <w:rsid w:val="70335C2F"/>
    <w:rsid w:val="7075422F"/>
    <w:rsid w:val="70AB4EF0"/>
    <w:rsid w:val="70DF1913"/>
    <w:rsid w:val="70F94D0A"/>
    <w:rsid w:val="71956476"/>
    <w:rsid w:val="71AC0BC7"/>
    <w:rsid w:val="71EA67C2"/>
    <w:rsid w:val="727177C1"/>
    <w:rsid w:val="72A801AB"/>
    <w:rsid w:val="72BF4312"/>
    <w:rsid w:val="731B600A"/>
    <w:rsid w:val="733345EA"/>
    <w:rsid w:val="735F6D3B"/>
    <w:rsid w:val="73E3796C"/>
    <w:rsid w:val="74257F85"/>
    <w:rsid w:val="74463A57"/>
    <w:rsid w:val="747619DF"/>
    <w:rsid w:val="74980757"/>
    <w:rsid w:val="74F92AB7"/>
    <w:rsid w:val="75410DEE"/>
    <w:rsid w:val="75944076"/>
    <w:rsid w:val="75956A44"/>
    <w:rsid w:val="764F3097"/>
    <w:rsid w:val="767D654E"/>
    <w:rsid w:val="76C7558D"/>
    <w:rsid w:val="76D161A2"/>
    <w:rsid w:val="76E063E5"/>
    <w:rsid w:val="77040325"/>
    <w:rsid w:val="77570615"/>
    <w:rsid w:val="78454752"/>
    <w:rsid w:val="787D5FEB"/>
    <w:rsid w:val="78986F77"/>
    <w:rsid w:val="78AC2A23"/>
    <w:rsid w:val="78AF64EE"/>
    <w:rsid w:val="792D0AE3"/>
    <w:rsid w:val="795A5FDB"/>
    <w:rsid w:val="79880773"/>
    <w:rsid w:val="79BC6C95"/>
    <w:rsid w:val="79C42B56"/>
    <w:rsid w:val="7A320D06"/>
    <w:rsid w:val="7AAF05A8"/>
    <w:rsid w:val="7D1C27B8"/>
    <w:rsid w:val="7D755AD9"/>
    <w:rsid w:val="7D767238"/>
    <w:rsid w:val="7DD935F2"/>
    <w:rsid w:val="7DEB5981"/>
    <w:rsid w:val="7E102A72"/>
    <w:rsid w:val="7E176B90"/>
    <w:rsid w:val="7E590F57"/>
    <w:rsid w:val="7E5F22E5"/>
    <w:rsid w:val="7E68119A"/>
    <w:rsid w:val="7E9520BA"/>
    <w:rsid w:val="7EA67F14"/>
    <w:rsid w:val="7EE54599"/>
    <w:rsid w:val="7F066EF6"/>
    <w:rsid w:val="7F2344FC"/>
    <w:rsid w:val="7F623D8C"/>
    <w:rsid w:val="7F7122D0"/>
    <w:rsid w:val="7FD50AB1"/>
    <w:rsid w:val="7FFC4290"/>
    <w:rsid w:val="7FFC5B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0"/>
    <w:pPr>
      <w:widowControl w:val="0"/>
      <w:spacing w:before="0" w:after="120"/>
      <w:ind w:left="0" w:right="0"/>
      <w:jc w:val="both"/>
    </w:pPr>
    <w:rPr>
      <w:rFonts w:ascii="宋体" w:hAnsi="Times New Roman" w:eastAsia="Times New Roman" w:cs="Times New Roman"/>
      <w:kern w:val="0"/>
      <w:sz w:val="34"/>
      <w:szCs w:val="22"/>
      <w:lang w:bidi="ar-SA"/>
    </w:rPr>
  </w:style>
  <w:style w:type="paragraph" w:styleId="5">
    <w:name w:val="Body Text Indent"/>
    <w:basedOn w:val="1"/>
    <w:qFormat/>
    <w:uiPriority w:val="0"/>
    <w:pPr>
      <w:spacing w:line="360" w:lineRule="auto"/>
      <w:ind w:firstLine="480" w:firstLineChars="200"/>
    </w:pPr>
    <w:rPr>
      <w:rFonts w:ascii="宋体" w:hAnsi="宋体" w:eastAsia="宋体" w:cs="Times New Roman"/>
      <w:sz w:val="24"/>
    </w:rPr>
  </w:style>
  <w:style w:type="paragraph" w:styleId="6">
    <w:name w:val="List 2"/>
    <w:basedOn w:val="1"/>
    <w:next w:val="7"/>
    <w:qFormat/>
    <w:uiPriority w:val="0"/>
    <w:pPr>
      <w:adjustRightInd w:val="0"/>
      <w:spacing w:line="312" w:lineRule="atLeast"/>
      <w:ind w:left="100" w:leftChars="200" w:hanging="200" w:hangingChars="200"/>
      <w:textAlignment w:val="baseline"/>
    </w:pPr>
    <w:rPr>
      <w:rFonts w:ascii="Calibri" w:hAnsi="Calibri" w:eastAsia="仿宋" w:cs="Times New Roman"/>
      <w:kern w:val="0"/>
      <w:sz w:val="32"/>
      <w:szCs w:val="20"/>
    </w:rPr>
  </w:style>
  <w:style w:type="paragraph" w:styleId="7">
    <w:name w:val="Plain Text"/>
    <w:basedOn w:val="1"/>
    <w:qFormat/>
    <w:uiPriority w:val="99"/>
    <w:pPr>
      <w:widowControl w:val="0"/>
      <w:adjustRightInd/>
      <w:snapToGrid/>
      <w:spacing w:after="0"/>
      <w:jc w:val="both"/>
    </w:pPr>
    <w:rPr>
      <w:rFonts w:ascii="宋体" w:hAnsi="Courier New"/>
      <w:sz w:val="21"/>
      <w:szCs w:val="21"/>
    </w:rPr>
  </w:style>
  <w:style w:type="paragraph" w:styleId="8">
    <w:name w:val="Normal (Web)"/>
    <w:basedOn w:val="1"/>
    <w:qFormat/>
    <w:uiPriority w:val="99"/>
    <w:pPr>
      <w:spacing w:beforeAutospacing="1" w:afterAutospacing="1"/>
      <w:jc w:val="left"/>
    </w:pPr>
    <w:rPr>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FollowedHyperlink"/>
    <w:basedOn w:val="11"/>
    <w:qFormat/>
    <w:uiPriority w:val="0"/>
    <w:rPr>
      <w:color w:val="223399"/>
      <w:u w:val="none"/>
    </w:rPr>
  </w:style>
  <w:style w:type="character" w:styleId="13">
    <w:name w:val="Hyperlink"/>
    <w:basedOn w:val="11"/>
    <w:qFormat/>
    <w:uiPriority w:val="0"/>
    <w:rPr>
      <w:color w:val="223399"/>
      <w:u w:val="none"/>
    </w:rPr>
  </w:style>
  <w:style w:type="character" w:styleId="14">
    <w:name w:val="annotation reference"/>
    <w:qFormat/>
    <w:uiPriority w:val="0"/>
    <w:rPr>
      <w:sz w:val="21"/>
      <w:szCs w:val="21"/>
    </w:rPr>
  </w:style>
  <w:style w:type="paragraph" w:customStyle="1" w:styleId="15">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6">
    <w:name w:val="BodyText"/>
    <w:basedOn w:val="1"/>
    <w:next w:val="1"/>
    <w:qFormat/>
    <w:uiPriority w:val="0"/>
    <w:pPr>
      <w:spacing w:after="120"/>
      <w:jc w:val="both"/>
      <w:textAlignment w:val="baseline"/>
    </w:pPr>
    <w:rPr>
      <w:rFonts w:ascii="Times New Roman" w:hAnsi="Times New Roman" w:eastAsia="宋体"/>
      <w:kern w:val="2"/>
      <w:sz w:val="21"/>
      <w:szCs w:val="24"/>
      <w:lang w:val="en-US" w:eastAsia="zh-CN" w:bidi="ar-SA"/>
    </w:rPr>
  </w:style>
  <w:style w:type="paragraph" w:customStyle="1" w:styleId="17">
    <w:name w:val="表格文字"/>
    <w:basedOn w:val="1"/>
    <w:qFormat/>
    <w:uiPriority w:val="0"/>
    <w:pPr>
      <w:spacing w:before="25" w:after="25" w:line="240" w:lineRule="auto"/>
      <w:ind w:firstLine="0"/>
      <w:jc w:val="left"/>
    </w:pPr>
    <w:rPr>
      <w:bCs/>
      <w:spacing w:val="10"/>
      <w:kern w:val="0"/>
      <w:sz w:val="24"/>
    </w:rPr>
  </w:style>
  <w:style w:type="paragraph" w:styleId="18">
    <w:name w:val="List Paragraph"/>
    <w:basedOn w:val="1"/>
    <w:qFormat/>
    <w:uiPriority w:val="34"/>
    <w:pPr>
      <w:ind w:firstLine="420" w:firstLineChars="200"/>
    </w:pPr>
    <w:rPr>
      <w:rFonts w:ascii="Calibri" w:hAnsi="Calibri"/>
      <w:szCs w:val="22"/>
    </w:rPr>
  </w:style>
  <w:style w:type="character" w:customStyle="1" w:styleId="19">
    <w:name w:val="NormalCharacter"/>
    <w:qFormat/>
    <w:uiPriority w:val="0"/>
    <w:rPr>
      <w:kern w:val="2"/>
      <w:sz w:val="21"/>
      <w:szCs w:val="24"/>
      <w:lang w:val="en-US" w:eastAsia="zh-CN" w:bidi="ar-SA"/>
    </w:rPr>
  </w:style>
  <w:style w:type="paragraph" w:customStyle="1" w:styleId="20">
    <w:name w:val="UserStyle_0"/>
    <w:qFormat/>
    <w:uiPriority w:val="0"/>
    <w:pPr>
      <w:jc w:val="both"/>
      <w:textAlignment w:val="baseline"/>
    </w:pPr>
    <w:rPr>
      <w:rFonts w:ascii="宋体" w:hAnsi="宋体" w:eastAsia="宋体" w:cs="Times New Roman"/>
      <w:kern w:val="2"/>
      <w:sz w:val="21"/>
      <w:szCs w:val="21"/>
      <w:lang w:val="en-US" w:eastAsia="zh-CN" w:bidi="ar-SA"/>
    </w:rPr>
  </w:style>
  <w:style w:type="character" w:customStyle="1" w:styleId="21">
    <w:name w:val="trans"/>
    <w:basedOn w:val="11"/>
    <w:qFormat/>
    <w:uiPriority w:val="0"/>
  </w:style>
  <w:style w:type="paragraph" w:customStyle="1" w:styleId="22">
    <w:name w:val="列出段落1"/>
    <w:basedOn w:val="1"/>
    <w:qFormat/>
    <w:uiPriority w:val="34"/>
    <w:pPr>
      <w:ind w:firstLine="420" w:firstLineChars="200"/>
    </w:pPr>
  </w:style>
  <w:style w:type="paragraph" w:customStyle="1" w:styleId="23">
    <w:name w:val="_Style 2"/>
    <w:qFormat/>
    <w:uiPriority w:val="1"/>
    <w:pPr>
      <w:adjustRightInd w:val="0"/>
      <w:snapToGrid w:val="0"/>
    </w:pPr>
    <w:rPr>
      <w:rFonts w:ascii="Tahoma" w:hAnsi="Tahoma" w:eastAsia="宋体" w:cs="Times New Roman"/>
      <w:sz w:val="22"/>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5768</Words>
  <Characters>6141</Characters>
  <Lines>0</Lines>
  <Paragraphs>0</Paragraphs>
  <TotalTime>17</TotalTime>
  <ScaleCrop>false</ScaleCrop>
  <LinksUpToDate>false</LinksUpToDate>
  <CharactersWithSpaces>6463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Administrator.DESKTOP-KKTAIDL</dc:creator>
  <cp:lastModifiedBy>如意</cp:lastModifiedBy>
  <dcterms:modified xsi:type="dcterms:W3CDTF">2026-09-10T06:47:14Z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7329EC7C712B453F85FCEC16DA64ED4A</vt:lpwstr>
  </property>
  <property fmtid="{D5CDD505-2E9C-101B-9397-08002B2CF9AE}" pid="4" name="KSOTemplateDocerSaveRecord">
    <vt:lpwstr>eyJoZGlkIjoiODg4YmUyZjVkMTRhYjZhNTA5MTQ0YjE5NThhODEwNjUiLCJ1c2VySWQiOiIxMDE4NjkxMTQ2In0=</vt:lpwstr>
  </property>
</Properties>
</file>