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3A402">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rPr>
        <w:t>关于收购保障性租赁住房项目（2026）</w:t>
      </w:r>
    </w:p>
    <w:p w14:paraId="7B640625">
      <w:pPr>
        <w:keepNext w:val="0"/>
        <w:keepLines w:val="0"/>
        <w:pageBreakBefore w:val="0"/>
        <w:kinsoku/>
        <w:wordWrap/>
        <w:overflowPunct/>
        <w:topLinePunct w:val="0"/>
        <w:autoSpaceDE/>
        <w:autoSpaceDN/>
        <w:bidi w:val="0"/>
        <w:spacing w:line="560" w:lineRule="exact"/>
        <w:jc w:val="center"/>
        <w:textAlignment w:val="auto"/>
        <w:rPr>
          <w:rFonts w:hint="eastAsia" w:ascii="华文仿宋" w:hAnsi="华文仿宋" w:eastAsia="华文仿宋" w:cs="华文仿宋"/>
          <w:b/>
          <w:bCs/>
          <w:color w:val="auto"/>
          <w:sz w:val="44"/>
          <w:szCs w:val="44"/>
          <w:highlight w:val="none"/>
        </w:rPr>
      </w:pPr>
      <w:r>
        <w:rPr>
          <w:rFonts w:hint="eastAsia" w:ascii="方正小标宋简体" w:hAnsi="方正小标宋简体" w:eastAsia="方正小标宋简体" w:cs="方正小标宋简体"/>
          <w:b w:val="0"/>
          <w:bCs w:val="0"/>
          <w:color w:val="auto"/>
          <w:sz w:val="44"/>
          <w:szCs w:val="44"/>
          <w:lang w:val="en-US" w:eastAsia="zh-CN"/>
        </w:rPr>
        <w:t>可行性研究</w:t>
      </w:r>
      <w:r>
        <w:rPr>
          <w:rFonts w:hint="eastAsia" w:ascii="方正小标宋简体" w:hAnsi="方正小标宋简体" w:eastAsia="方正小标宋简体" w:cs="方正小标宋简体"/>
          <w:b w:val="0"/>
          <w:bCs w:val="0"/>
          <w:color w:val="auto"/>
          <w:sz w:val="44"/>
          <w:szCs w:val="44"/>
        </w:rPr>
        <w:t>报告编制服务采购</w:t>
      </w:r>
      <w:r>
        <w:rPr>
          <w:rFonts w:hint="eastAsia" w:ascii="方正小标宋简体" w:hAnsi="方正小标宋简体" w:eastAsia="方正小标宋简体" w:cs="方正小标宋简体"/>
          <w:b w:val="0"/>
          <w:bCs w:val="0"/>
          <w:color w:val="auto"/>
          <w:sz w:val="44"/>
          <w:szCs w:val="44"/>
          <w:highlight w:val="none"/>
        </w:rPr>
        <w:t>公告</w:t>
      </w:r>
    </w:p>
    <w:p w14:paraId="401F75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0"/>
        <w:jc w:val="left"/>
        <w:textAlignment w:val="auto"/>
        <w:rPr>
          <w:rFonts w:hint="eastAsia" w:ascii="仿宋_GB2312" w:hAnsi="仿宋_GB2312" w:eastAsia="仿宋_GB2312" w:cs="仿宋_GB2312"/>
          <w:b w:val="0"/>
          <w:bCs/>
          <w:i w:val="0"/>
          <w:iCs w:val="0"/>
          <w:caps w:val="0"/>
          <w:color w:val="auto"/>
          <w:spacing w:val="0"/>
          <w:sz w:val="32"/>
          <w:szCs w:val="32"/>
          <w:shd w:val="clear" w:fill="FFFFFF"/>
          <w:lang w:val="en-US" w:eastAsia="zh-CN"/>
        </w:rPr>
      </w:pPr>
    </w:p>
    <w:p w14:paraId="57908B76">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rPr>
        <w:t>项目概况</w:t>
      </w:r>
    </w:p>
    <w:p w14:paraId="403D37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napToGrid w:val="0"/>
          <w:color w:val="auto"/>
          <w:kern w:val="0"/>
          <w:sz w:val="32"/>
          <w:szCs w:val="32"/>
          <w:lang w:val="en-US" w:eastAsia="zh-CN" w:bidi="ar-SA"/>
        </w:rPr>
        <w:t>根据国家规划纲要及相关文件精神，深圳市制定了明确的保障性租赁住房发展目标。为落实国家“房住不炒”定位，推动建立多主体供给、多渠道保障、租购并举的住房制度，拟由区保障房公司作为实施主体，收购阳光新都荟花园、景云上辰花园共2个楼盘88套房源，总面积约6,319.42平方米，将其转化为权属清晰、管理规范、租金优惠的保障性租赁住房。为确保工作如期推进，拟开展项目可行性研究报告编制服务采购工作，为上述2个项目形成完整的《收购保障性租赁住房项目（2026）可行性研究报告》。</w:t>
      </w:r>
    </w:p>
    <w:p w14:paraId="082C7E2F">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主要工作内容</w:t>
      </w:r>
    </w:p>
    <w:p w14:paraId="0943C2C0">
      <w:pPr>
        <w:pStyle w:val="7"/>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可行性研究报告内容</w:t>
      </w:r>
    </w:p>
    <w:p w14:paraId="24648C43">
      <w:pPr>
        <w:pStyle w:val="2"/>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本项目共包含2个保障性租赁住房楼盘（阳光新都荟花园、景云上辰花园），总房源数为88套，总面积约6,319.42平方米，服务机构需通过对2个项目的政策环境、市场需求、房源状况、融资方案、财务效益及潜在风险的系统性分析，整体论证本项目实施的可行性，为项目决策提供全面、客观、翔实的依据，并最终形成一份符合国家相关规定和项目审批要求的《收购保障性租赁住房项目（2026）可行性研究报告》，报告具体内容如下（包括但不限于以下内容）：</w:t>
      </w:r>
    </w:p>
    <w:p w14:paraId="144C6CF1">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政策合规性</w:t>
      </w:r>
    </w:p>
    <w:p w14:paraId="27E6370F">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必要性分析</w:t>
      </w:r>
    </w:p>
    <w:p w14:paraId="05A78C18">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需求分析</w:t>
      </w:r>
    </w:p>
    <w:p w14:paraId="7E2DA5F9">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房源调查</w:t>
      </w:r>
    </w:p>
    <w:p w14:paraId="1F6E5725">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财务评价</w:t>
      </w:r>
    </w:p>
    <w:p w14:paraId="2F667EAC">
      <w:pPr>
        <w:keepNext w:val="0"/>
        <w:keepLines w:val="0"/>
        <w:pageBreakBefore w:val="0"/>
        <w:widowControl/>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风险分析及对策</w:t>
      </w:r>
    </w:p>
    <w:p w14:paraId="0B34C7A4">
      <w:pPr>
        <w:pStyle w:val="7"/>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成果要求</w:t>
      </w:r>
    </w:p>
    <w:p w14:paraId="13561D0A">
      <w:pPr>
        <w:pStyle w:val="2"/>
        <w:keepNext w:val="0"/>
        <w:keepLines w:val="0"/>
        <w:pageBreakBefore w:val="0"/>
        <w:kinsoku/>
        <w:wordWrap/>
        <w:overflowPunct/>
        <w:topLinePunct w:val="0"/>
        <w:autoSpaceDE/>
        <w:autoSpaceDN/>
        <w:bidi w:val="0"/>
        <w:spacing w:line="560" w:lineRule="exact"/>
        <w:ind w:left="0" w:leftChars="0"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研究需基于一手和二手数据，数据来源应权威可靠。分析方法应科学严谨，符合国家关于项目可行性研究的规范。</w:t>
      </w:r>
    </w:p>
    <w:p w14:paraId="1F49F86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华文仿宋" w:hAnsi="华文仿宋" w:eastAsia="华文仿宋" w:cs="华文仿宋"/>
          <w:bCs/>
          <w:color w:val="auto"/>
          <w:sz w:val="28"/>
          <w:szCs w:val="28"/>
          <w:highlight w:val="none"/>
          <w:lang w:val="en-US" w:eastAsia="zh-CN"/>
        </w:rPr>
      </w:pPr>
      <w:r>
        <w:rPr>
          <w:rFonts w:hint="eastAsia" w:ascii="仿宋_GB2312" w:hAnsi="仿宋_GB2312" w:eastAsia="仿宋_GB2312" w:cs="仿宋_GB2312"/>
          <w:color w:val="auto"/>
          <w:kern w:val="0"/>
          <w:sz w:val="32"/>
          <w:szCs w:val="32"/>
        </w:rPr>
        <w:t>受托机构需在合同签订后10个自然日内，提交《可行性研究报告》初稿，并根据评审意见在2个工作日内完成修改，提交最终报告。</w:t>
      </w:r>
    </w:p>
    <w:p w14:paraId="479061F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华文仿宋" w:hAnsi="华文仿宋" w:eastAsia="华文仿宋" w:cs="华文仿宋"/>
          <w:bCs/>
          <w:color w:val="auto"/>
          <w:sz w:val="28"/>
          <w:szCs w:val="28"/>
          <w:highlight w:val="none"/>
          <w:lang w:val="en-US" w:eastAsia="zh-CN"/>
        </w:rPr>
      </w:pPr>
      <w:r>
        <w:rPr>
          <w:rFonts w:hint="eastAsia" w:ascii="仿宋_GB2312" w:hAnsi="仿宋_GB2312" w:eastAsia="仿宋_GB2312" w:cs="仿宋_GB2312"/>
          <w:color w:val="auto"/>
          <w:kern w:val="0"/>
          <w:sz w:val="32"/>
          <w:szCs w:val="32"/>
        </w:rPr>
        <w:t>最终成果需通过我方组织的专家评审会验收。</w:t>
      </w:r>
    </w:p>
    <w:p w14:paraId="38ED028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华文仿宋" w:hAnsi="华文仿宋" w:eastAsia="华文仿宋" w:cs="华文仿宋"/>
          <w:bCs/>
          <w:color w:val="auto"/>
          <w:sz w:val="28"/>
          <w:szCs w:val="28"/>
          <w:highlight w:val="none"/>
          <w:lang w:val="en-US" w:eastAsia="zh-CN"/>
        </w:rPr>
      </w:pPr>
      <w:r>
        <w:rPr>
          <w:rFonts w:hint="eastAsia" w:ascii="仿宋_GB2312" w:hAnsi="仿宋_GB2312" w:eastAsia="仿宋_GB2312" w:cs="仿宋_GB2312"/>
          <w:color w:val="auto"/>
          <w:kern w:val="0"/>
          <w:sz w:val="32"/>
          <w:szCs w:val="32"/>
        </w:rPr>
        <w:t>交付形式为盖章纸质版3份、电子扫描件1份。</w:t>
      </w:r>
    </w:p>
    <w:p w14:paraId="56EA26EE">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合同期限</w:t>
      </w:r>
    </w:p>
    <w:p w14:paraId="15DB60D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自合同签订之日起至</w:t>
      </w:r>
      <w:r>
        <w:rPr>
          <w:rFonts w:hint="eastAsia" w:ascii="仿宋_GB2312" w:hAnsi="仿宋_GB2312" w:eastAsia="仿宋_GB2312" w:cs="仿宋_GB2312"/>
          <w:color w:val="auto"/>
          <w:kern w:val="0"/>
          <w:sz w:val="32"/>
          <w:szCs w:val="32"/>
          <w:lang w:val="en-US" w:eastAsia="zh-CN"/>
        </w:rPr>
        <w:t>完成本项目收购协议签订之日止。</w:t>
      </w:r>
    </w:p>
    <w:p w14:paraId="26D3DEC2">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采购上限价</w:t>
      </w:r>
    </w:p>
    <w:p w14:paraId="4894784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本次采购含税控制价（最高限价）为11.33万元（最高限价含有响应单位支付的专家评审费（如有））。</w:t>
      </w:r>
    </w:p>
    <w:p w14:paraId="5223C01D">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报价要求</w:t>
      </w:r>
    </w:p>
    <w:p w14:paraId="3E58E0C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响应单位在此限额下自行报价；成交供应商的响应报价即为最终合同价，根据合同节点阶段支付。</w:t>
      </w:r>
    </w:p>
    <w:p w14:paraId="48ED8649">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响应单位资质要求</w:t>
      </w:r>
    </w:p>
    <w:p w14:paraId="4F9DA00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（一）在中华人民共和国境内注册，具有独立法人资格。</w:t>
      </w:r>
    </w:p>
    <w:p w14:paraId="5237BFF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（二）具有建设行政主管部门颁发的房地产估价机构备案证书（备案等级为壹级）。</w:t>
      </w:r>
    </w:p>
    <w:p w14:paraId="6E532CF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（三）具有土地评估机构备案与信用等级证书。</w:t>
      </w:r>
    </w:p>
    <w:p w14:paraId="4ACC8E0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（四）具有资产评估机构备案证书。</w:t>
      </w:r>
    </w:p>
    <w:p w14:paraId="36C3962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（五）公司在全国投资项目在线审批监管平台备案。</w:t>
      </w:r>
    </w:p>
    <w:p w14:paraId="0F62CC9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（六）本项目不接受联合体投标，投标方不得将项目转包或分包给其他单位或个人；对于单位负责人为同一人或者存在直接控股、管理关系的不同供应商，均作无效响应处理，不得进入比选程序。</w:t>
      </w:r>
    </w:p>
    <w:p w14:paraId="08D2306C">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评审方法</w:t>
      </w:r>
    </w:p>
    <w:p w14:paraId="3ADE65BE">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采用</w:t>
      </w:r>
      <w:r>
        <w:rPr>
          <w:rFonts w:hint="eastAsia" w:ascii="仿宋_GB2312" w:hAnsi="仿宋_GB2312" w:eastAsia="仿宋_GB2312" w:cs="仿宋_GB2312"/>
          <w:color w:val="auto"/>
          <w:kern w:val="0"/>
          <w:sz w:val="32"/>
          <w:szCs w:val="32"/>
        </w:rPr>
        <w:t>综合评分法</w:t>
      </w:r>
      <w:r>
        <w:rPr>
          <w:rFonts w:hint="eastAsia" w:ascii="仿宋_GB2312" w:hAnsi="仿宋_GB2312" w:eastAsia="仿宋_GB2312" w:cs="仿宋_GB2312"/>
          <w:color w:val="auto"/>
          <w:kern w:val="0"/>
          <w:sz w:val="32"/>
          <w:szCs w:val="32"/>
          <w:lang w:val="en-US" w:eastAsia="zh-CN"/>
        </w:rPr>
        <w:t>评审</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经评审小组在有效响应单位中比选，评审人员在分别对响应供应商进行打分后推荐得票最高的为成交候选供应商</w:t>
      </w:r>
      <w:r>
        <w:rPr>
          <w:rFonts w:hint="eastAsia" w:ascii="仿宋_GB2312" w:hAnsi="仿宋_GB2312" w:eastAsia="仿宋_GB2312" w:cs="仿宋_GB2312"/>
          <w:color w:val="auto"/>
          <w:kern w:val="0"/>
          <w:sz w:val="32"/>
          <w:szCs w:val="32"/>
          <w:lang w:eastAsia="zh-CN"/>
        </w:rPr>
        <w:t>。</w:t>
      </w:r>
    </w:p>
    <w:p w14:paraId="2505BB77">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合同支付方式</w:t>
      </w:r>
    </w:p>
    <w:p w14:paraId="0680F3E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eastAsia="仿宋_GB2312" w:cs="仿宋_GB2312"/>
          <w:bCs/>
          <w:color w:val="auto"/>
          <w:sz w:val="32"/>
          <w:szCs w:val="32"/>
        </w:rPr>
      </w:pPr>
      <w:r>
        <w:rPr>
          <w:rFonts w:hint="eastAsia" w:eastAsia="仿宋_GB2312" w:cs="仿宋_GB2312"/>
          <w:bCs/>
          <w:color w:val="auto"/>
          <w:sz w:val="32"/>
          <w:szCs w:val="32"/>
        </w:rPr>
        <w:t>合同签订之日起10个日历天内，乙方提交可行性研究初步成果报告，经甲方或政府部门（如有）审核通过且乙方提供符合甲方要求的等额发票后支付合同总金额的50%；乙方按合同约定提交可行性研究最终成果报告，经甲方或政府部门（如有）审核通过且乙方提供符合甲方要求的等额发票后支付合同总金额的40%；剩余10%为履约评价考核费，经甲方履约评价考核且乙方提供符合甲方要求的等额发票后根据履约评价考核结果支付。</w:t>
      </w:r>
    </w:p>
    <w:p w14:paraId="12F0645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eastAsia="仿宋_GB2312" w:cs="仿宋_GB2312"/>
          <w:bCs/>
          <w:color w:val="auto"/>
          <w:sz w:val="32"/>
          <w:szCs w:val="32"/>
        </w:rPr>
      </w:pPr>
      <w:r>
        <w:rPr>
          <w:rFonts w:hint="eastAsia" w:eastAsia="仿宋_GB2312" w:cs="仿宋_GB2312"/>
          <w:bCs/>
          <w:color w:val="auto"/>
          <w:sz w:val="32"/>
          <w:szCs w:val="32"/>
        </w:rPr>
        <w:t>履约评价考核结果为优秀的【90分及以上的（含90分）】支付全部履约评价考核费用（即合同总金额的10%），结果为合格【60分以上（含60分）至90分以下】的支付50%的履约评价考核费用（即合同总金额的5%），结果为不合格【60分以下（不含60分）】的，剩余10%的履约评价考核费用（即合同总金额的10%）全部不予支付。</w:t>
      </w:r>
    </w:p>
    <w:p w14:paraId="54F9065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eastAsia="仿宋_GB2312" w:cs="仿宋_GB2312"/>
          <w:bCs/>
          <w:color w:val="auto"/>
          <w:sz w:val="32"/>
          <w:szCs w:val="32"/>
        </w:rPr>
      </w:pPr>
      <w:r>
        <w:rPr>
          <w:rFonts w:hint="eastAsia" w:eastAsia="仿宋_GB2312" w:cs="仿宋_GB2312"/>
          <w:bCs/>
          <w:color w:val="auto"/>
          <w:sz w:val="32"/>
          <w:szCs w:val="32"/>
        </w:rPr>
        <w:t>非因乙方原因导致项目终止的，甲方有权单方解除合同，根据上述付款节点结算款项，剩余付款节点对应的款项及履约评价考核费用不予支付，甲方不承担其他违约责任。</w:t>
      </w:r>
    </w:p>
    <w:p w14:paraId="33A014B3">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响应文件要求</w:t>
      </w:r>
    </w:p>
    <w:p w14:paraId="434FD93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1.本次公告时间从2026年9月11日—9月17日止</w:t>
      </w:r>
      <w:r>
        <w:rPr>
          <w:rFonts w:hint="eastAsia" w:ascii="仿宋_GB2312" w:hAnsi="仿宋_GB2312" w:eastAsia="仿宋_GB2312" w:cs="仿宋_GB2312"/>
          <w:color w:val="auto"/>
          <w:kern w:val="0"/>
          <w:sz w:val="32"/>
          <w:szCs w:val="32"/>
          <w:highlight w:val="none"/>
          <w:lang w:val="en-US" w:eastAsia="zh-CN"/>
        </w:rPr>
        <w:t>，响应供应商</w:t>
      </w:r>
      <w:r>
        <w:rPr>
          <w:rFonts w:hint="eastAsia" w:ascii="仿宋_GB2312" w:hAnsi="仿宋_GB2312" w:eastAsia="仿宋_GB2312" w:cs="仿宋_GB2312"/>
          <w:color w:val="auto"/>
          <w:kern w:val="0"/>
          <w:sz w:val="32"/>
          <w:szCs w:val="32"/>
          <w:lang w:val="en-US" w:eastAsia="zh-CN"/>
        </w:rPr>
        <w:t>应于2026年9月17日17:00前将响应文件1正4副密封（统一密封，密封处加盖公章；项目名称必须注明具体的标段，如“收购保障性租赁住房项目（2026）可行性研究报告编制服务采购”送交或邮寄（不接受到付）到深圳市龙岗区龙城街道腾飞路创投大厦22楼2201（联系人：曾女士，</w:t>
      </w:r>
      <w:r>
        <w:rPr>
          <w:rFonts w:hint="eastAsia" w:ascii="仿宋_GB2312" w:hAnsi="仿宋_GB2312" w:eastAsia="仿宋_GB2312" w:cs="仿宋_GB2312"/>
          <w:color w:val="auto"/>
          <w:kern w:val="0"/>
          <w:sz w:val="32"/>
          <w:szCs w:val="32"/>
          <w:highlight w:val="none"/>
          <w:lang w:val="en-US" w:eastAsia="zh-CN"/>
        </w:rPr>
        <w:t>89890169</w:t>
      </w:r>
      <w:r>
        <w:rPr>
          <w:rFonts w:hint="eastAsia" w:ascii="仿宋_GB2312" w:hAnsi="仿宋_GB2312" w:eastAsia="仿宋_GB2312" w:cs="仿宋_GB2312"/>
          <w:color w:val="auto"/>
          <w:kern w:val="0"/>
          <w:sz w:val="32"/>
          <w:szCs w:val="32"/>
          <w:lang w:val="en-US" w:eastAsia="zh-CN"/>
        </w:rPr>
        <w:t>），逾期送达或未按要求密封将予以拒收或原封退回。</w:t>
      </w:r>
    </w:p>
    <w:p w14:paraId="59B2DE1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响应文件包含承诺函、采购人要求提供的资料等，详见附件。</w:t>
      </w:r>
    </w:p>
    <w:p w14:paraId="371FC9C2">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公告期满后，若有效响应单位不足3家的，应发布二次公告（原则不少于一次公告发布时间的50%），若二次公告期满后，有效响应单位仅有2家的，可选择继续评审或组织谈判，有效响应单位仅有1家的，可直接选定成交单位。</w:t>
      </w:r>
    </w:p>
    <w:p w14:paraId="2FB6B429">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采购结果公示</w:t>
      </w:r>
    </w:p>
    <w:p w14:paraId="0F01A03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递交响应文件截止后，采购人将自行组织响应文件开启、评审等工作，确定成交服务单位后将在龙岗区城投企业网站进行公示（不少于3个日历天），公示内容包括采购项目、采购方式、合同金额、供应商名称等信息。</w:t>
      </w:r>
    </w:p>
    <w:p w14:paraId="0876334B">
      <w:pPr>
        <w:keepNext w:val="0"/>
        <w:keepLines w:val="0"/>
        <w:pageBreakBefore w:val="0"/>
        <w:kinsoku/>
        <w:wordWrap/>
        <w:overflowPunct/>
        <w:topLinePunct w:val="0"/>
        <w:autoSpaceDE/>
        <w:autoSpaceDN/>
        <w:bidi w:val="0"/>
        <w:spacing w:line="560" w:lineRule="exact"/>
        <w:ind w:left="1687" w:hanging="1682" w:hangingChars="600"/>
        <w:textAlignment w:val="auto"/>
        <w:rPr>
          <w:rFonts w:hint="eastAsia" w:ascii="华文仿宋" w:hAnsi="华文仿宋" w:eastAsia="华文仿宋" w:cs="华文仿宋"/>
          <w:b/>
          <w:bCs/>
          <w:color w:val="auto"/>
          <w:sz w:val="28"/>
          <w:szCs w:val="28"/>
          <w:highlight w:val="none"/>
        </w:rPr>
      </w:pPr>
    </w:p>
    <w:p w14:paraId="34274F8C">
      <w:pPr>
        <w:keepNext w:val="0"/>
        <w:keepLines w:val="0"/>
        <w:pageBreakBefore w:val="0"/>
        <w:kinsoku/>
        <w:wordWrap/>
        <w:overflowPunct/>
        <w:topLinePunct w:val="0"/>
        <w:autoSpaceDE/>
        <w:autoSpaceDN/>
        <w:bidi w:val="0"/>
        <w:spacing w:line="560" w:lineRule="exact"/>
        <w:ind w:left="1687" w:hanging="1682" w:hangingChars="600"/>
        <w:textAlignment w:val="auto"/>
        <w:rPr>
          <w:rFonts w:hint="eastAsia" w:ascii="华文仿宋" w:hAnsi="华文仿宋" w:eastAsia="华文仿宋" w:cs="华文仿宋"/>
          <w:b/>
          <w:bCs/>
          <w:color w:val="auto"/>
          <w:sz w:val="28"/>
          <w:szCs w:val="28"/>
          <w:highlight w:val="none"/>
        </w:rPr>
      </w:pPr>
      <w:r>
        <w:rPr>
          <w:rFonts w:hint="eastAsia" w:ascii="华文仿宋" w:hAnsi="华文仿宋" w:eastAsia="华文仿宋" w:cs="华文仿宋"/>
          <w:b/>
          <w:bCs/>
          <w:color w:val="auto"/>
          <w:sz w:val="28"/>
          <w:szCs w:val="28"/>
          <w:highlight w:val="none"/>
        </w:rPr>
        <w:t>特别说明：</w:t>
      </w:r>
      <w:r>
        <w:rPr>
          <w:rFonts w:hint="eastAsia" w:ascii="华文仿宋" w:hAnsi="华文仿宋" w:eastAsia="华文仿宋" w:cs="华文仿宋"/>
          <w:b/>
          <w:bCs/>
          <w:color w:val="auto"/>
          <w:sz w:val="28"/>
          <w:szCs w:val="28"/>
          <w:highlight w:val="none"/>
          <w:lang w:val="en-US" w:eastAsia="zh-CN"/>
        </w:rPr>
        <w:t>1.响应单位</w:t>
      </w:r>
      <w:r>
        <w:rPr>
          <w:rFonts w:hint="eastAsia" w:ascii="华文仿宋" w:hAnsi="华文仿宋" w:eastAsia="华文仿宋" w:cs="华文仿宋"/>
          <w:b/>
          <w:bCs/>
          <w:color w:val="auto"/>
          <w:sz w:val="28"/>
          <w:szCs w:val="28"/>
          <w:highlight w:val="none"/>
        </w:rPr>
        <w:t>资格不符合要求的供应商不能进入比选程序。</w:t>
      </w:r>
    </w:p>
    <w:p w14:paraId="5F5D513C">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rPr>
      </w:pPr>
      <w:r>
        <w:rPr>
          <w:rFonts w:hint="eastAsia" w:ascii="华文仿宋" w:hAnsi="华文仿宋" w:eastAsia="华文仿宋" w:cs="华文仿宋"/>
          <w:b/>
          <w:bCs/>
          <w:color w:val="auto"/>
          <w:sz w:val="28"/>
          <w:szCs w:val="28"/>
          <w:highlight w:val="none"/>
        </w:rPr>
        <w:t>2.所有响应单位视为同意上述公告内容，确定为成交服务单位后按公告约定与采购人签署合同。</w:t>
      </w:r>
    </w:p>
    <w:p w14:paraId="7B0A325B">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rPr>
      </w:pPr>
    </w:p>
    <w:p w14:paraId="0CFD872A">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rPr>
      </w:pPr>
    </w:p>
    <w:p w14:paraId="2A90F423">
      <w:pPr>
        <w:keepNext w:val="0"/>
        <w:keepLines w:val="0"/>
        <w:pageBreakBefore w:val="0"/>
        <w:kinsoku/>
        <w:wordWrap/>
        <w:overflowPunct/>
        <w:topLinePunct w:val="0"/>
        <w:autoSpaceDE/>
        <w:autoSpaceDN/>
        <w:bidi w:val="0"/>
        <w:spacing w:line="560" w:lineRule="exact"/>
        <w:ind w:firstLine="480"/>
        <w:jc w:val="right"/>
        <w:textAlignment w:val="auto"/>
        <w:rPr>
          <w:rFonts w:hint="default" w:ascii="华文仿宋" w:hAnsi="华文仿宋" w:eastAsia="华文仿宋" w:cs="华文仿宋"/>
          <w:color w:val="auto"/>
          <w:sz w:val="28"/>
          <w:szCs w:val="28"/>
          <w:highlight w:val="none"/>
          <w:lang w:val="en-US" w:eastAsia="zh-CN"/>
        </w:rPr>
      </w:pPr>
      <w:r>
        <w:rPr>
          <w:rFonts w:hint="eastAsia" w:ascii="华文仿宋" w:hAnsi="华文仿宋" w:eastAsia="华文仿宋" w:cs="华文仿宋"/>
          <w:color w:val="auto"/>
          <w:sz w:val="28"/>
          <w:szCs w:val="28"/>
          <w:highlight w:val="none"/>
        </w:rPr>
        <w:t xml:space="preserve">          </w:t>
      </w:r>
      <w:r>
        <w:rPr>
          <w:rFonts w:hint="eastAsia" w:ascii="华文仿宋" w:hAnsi="华文仿宋" w:eastAsia="华文仿宋" w:cs="华文仿宋"/>
          <w:color w:val="auto"/>
          <w:sz w:val="28"/>
          <w:szCs w:val="28"/>
          <w:highlight w:val="none"/>
          <w:lang w:val="en-US" w:eastAsia="zh-CN"/>
        </w:rPr>
        <w:t xml:space="preserve">  </w:t>
      </w:r>
      <w:r>
        <w:rPr>
          <w:rFonts w:hint="eastAsia" w:ascii="华文仿宋" w:hAnsi="华文仿宋" w:eastAsia="华文仿宋" w:cs="华文仿宋"/>
          <w:b/>
          <w:bCs/>
          <w:color w:val="auto"/>
          <w:sz w:val="28"/>
          <w:szCs w:val="28"/>
          <w:highlight w:val="none"/>
          <w:lang w:val="en-US" w:eastAsia="zh-CN"/>
        </w:rPr>
        <w:t>采购人：深圳市龙岗区保障性住房投资有限公司</w:t>
      </w:r>
    </w:p>
    <w:p w14:paraId="665A20DC">
      <w:pPr>
        <w:keepNext w:val="0"/>
        <w:keepLines w:val="0"/>
        <w:pageBreakBefore w:val="0"/>
        <w:kinsoku/>
        <w:wordWrap/>
        <w:overflowPunct/>
        <w:topLinePunct w:val="0"/>
        <w:autoSpaceDE/>
        <w:autoSpaceDN/>
        <w:bidi w:val="0"/>
        <w:spacing w:line="560" w:lineRule="exact"/>
        <w:ind w:firstLine="480"/>
        <w:jc w:val="right"/>
        <w:textAlignment w:val="auto"/>
        <w:rPr>
          <w:rFonts w:hint="eastAsia" w:ascii="华文仿宋" w:hAnsi="华文仿宋" w:eastAsia="华文仿宋" w:cs="华文仿宋"/>
          <w:b/>
          <w:bCs/>
          <w:color w:val="auto"/>
          <w:sz w:val="28"/>
          <w:szCs w:val="28"/>
          <w:highlight w:val="none"/>
        </w:rPr>
        <w:sectPr>
          <w:footerReference r:id="rId3" w:type="default"/>
          <w:pgSz w:w="11906" w:h="16838"/>
          <w:pgMar w:top="2098" w:right="1474" w:bottom="1984" w:left="1587" w:header="851" w:footer="992" w:gutter="0"/>
          <w:pgNumType w:fmt="decimal"/>
          <w:cols w:space="425" w:num="1"/>
          <w:docGrid w:type="lines" w:linePitch="312" w:charSpace="0"/>
        </w:sectPr>
      </w:pPr>
      <w:r>
        <w:rPr>
          <w:rFonts w:hint="eastAsia" w:ascii="华文仿宋" w:hAnsi="华文仿宋" w:eastAsia="华文仿宋" w:cs="华文仿宋"/>
          <w:color w:val="auto"/>
          <w:sz w:val="28"/>
          <w:szCs w:val="28"/>
          <w:highlight w:val="none"/>
        </w:rPr>
        <w:t xml:space="preserve">                                   </w:t>
      </w:r>
      <w:r>
        <w:rPr>
          <w:rFonts w:hint="eastAsia" w:ascii="华文仿宋" w:hAnsi="华文仿宋" w:eastAsia="华文仿宋" w:cs="华文仿宋"/>
          <w:b/>
          <w:bCs/>
          <w:color w:val="auto"/>
          <w:sz w:val="28"/>
          <w:szCs w:val="28"/>
        </w:rPr>
        <w:t>2026年</w:t>
      </w:r>
      <w:r>
        <w:rPr>
          <w:rFonts w:hint="eastAsia" w:ascii="华文仿宋" w:hAnsi="华文仿宋" w:eastAsia="华文仿宋" w:cs="华文仿宋"/>
          <w:b/>
          <w:bCs/>
          <w:color w:val="auto"/>
          <w:sz w:val="28"/>
          <w:szCs w:val="28"/>
          <w:lang w:val="en-US" w:eastAsia="zh-CN"/>
        </w:rPr>
        <w:t>9</w:t>
      </w:r>
      <w:r>
        <w:rPr>
          <w:rFonts w:hint="eastAsia" w:ascii="华文仿宋" w:hAnsi="华文仿宋" w:eastAsia="华文仿宋" w:cs="华文仿宋"/>
          <w:b/>
          <w:bCs/>
          <w:color w:val="auto"/>
          <w:sz w:val="28"/>
          <w:szCs w:val="28"/>
        </w:rPr>
        <w:t>月</w:t>
      </w:r>
      <w:r>
        <w:rPr>
          <w:rFonts w:hint="eastAsia" w:ascii="华文仿宋" w:hAnsi="华文仿宋" w:eastAsia="华文仿宋" w:cs="华文仿宋"/>
          <w:b/>
          <w:bCs/>
          <w:color w:val="auto"/>
          <w:sz w:val="28"/>
          <w:szCs w:val="28"/>
          <w:lang w:val="en-US" w:eastAsia="zh-CN"/>
        </w:rPr>
        <w:t>11</w:t>
      </w:r>
      <w:bookmarkStart w:id="1" w:name="_GoBack"/>
      <w:bookmarkEnd w:id="1"/>
      <w:r>
        <w:rPr>
          <w:rFonts w:hint="eastAsia" w:ascii="华文仿宋" w:hAnsi="华文仿宋" w:eastAsia="华文仿宋" w:cs="华文仿宋"/>
          <w:b/>
          <w:bCs/>
          <w:color w:val="auto"/>
          <w:sz w:val="28"/>
          <w:szCs w:val="28"/>
        </w:rPr>
        <w:t>日</w:t>
      </w:r>
    </w:p>
    <w:p w14:paraId="01A04310">
      <w:pPr>
        <w:spacing w:line="500" w:lineRule="exact"/>
        <w:rPr>
          <w:rFonts w:hint="eastAsia" w:ascii="华文仿宋" w:hAnsi="华文仿宋" w:eastAsia="华文仿宋" w:cs="华文仿宋"/>
          <w:b/>
          <w:bCs/>
          <w:color w:val="000000"/>
          <w:sz w:val="30"/>
          <w:szCs w:val="30"/>
          <w:highlight w:val="none"/>
        </w:rPr>
      </w:pPr>
      <w:r>
        <w:rPr>
          <w:rFonts w:hint="eastAsia" w:ascii="华文仿宋" w:hAnsi="华文仿宋" w:eastAsia="华文仿宋" w:cs="华文仿宋"/>
          <w:b/>
          <w:bCs/>
          <w:color w:val="000000"/>
          <w:sz w:val="30"/>
          <w:szCs w:val="30"/>
          <w:highlight w:val="none"/>
        </w:rPr>
        <w:t>附件一：响应文件一览表</w:t>
      </w:r>
    </w:p>
    <w:p w14:paraId="5F2B63E6">
      <w:pPr>
        <w:pStyle w:val="15"/>
        <w:widowControl/>
        <w:spacing w:line="560" w:lineRule="exact"/>
        <w:rPr>
          <w:rFonts w:hint="eastAsia" w:ascii="华文仿宋" w:hAnsi="华文仿宋" w:eastAsia="华文仿宋" w:cs="华文仿宋"/>
          <w:b/>
          <w:color w:val="000000"/>
          <w:sz w:val="30"/>
          <w:szCs w:val="30"/>
          <w:highlight w:val="none"/>
        </w:rPr>
      </w:pPr>
    </w:p>
    <w:p w14:paraId="61243061">
      <w:pPr>
        <w:pStyle w:val="15"/>
        <w:widowControl/>
        <w:spacing w:line="560" w:lineRule="exact"/>
        <w:rPr>
          <w:rFonts w:hint="eastAsia" w:ascii="华文仿宋" w:hAnsi="华文仿宋" w:eastAsia="华文仿宋" w:cs="华文仿宋"/>
          <w:color w:val="000000"/>
          <w:sz w:val="30"/>
          <w:szCs w:val="30"/>
          <w:highlight w:val="none"/>
        </w:rPr>
      </w:pPr>
      <w:r>
        <w:rPr>
          <w:rFonts w:hint="eastAsia" w:ascii="华文仿宋" w:hAnsi="华文仿宋" w:eastAsia="华文仿宋" w:cs="华文仿宋"/>
          <w:b/>
          <w:color w:val="000000"/>
          <w:sz w:val="30"/>
          <w:szCs w:val="30"/>
          <w:highlight w:val="none"/>
        </w:rPr>
        <w:t>响应文件要求一览表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2164"/>
        <w:gridCol w:w="5860"/>
      </w:tblGrid>
      <w:tr w14:paraId="7521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71" w:type="pct"/>
            <w:vAlign w:val="center"/>
          </w:tcPr>
          <w:p w14:paraId="56EA8129">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序号</w:t>
            </w:r>
          </w:p>
        </w:tc>
        <w:tc>
          <w:tcPr>
            <w:tcW w:w="1194" w:type="pct"/>
            <w:vAlign w:val="center"/>
          </w:tcPr>
          <w:p w14:paraId="684B430B">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文件名称</w:t>
            </w:r>
          </w:p>
        </w:tc>
        <w:tc>
          <w:tcPr>
            <w:tcW w:w="3233" w:type="pct"/>
            <w:vAlign w:val="center"/>
          </w:tcPr>
          <w:p w14:paraId="33AB0930">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要求说明</w:t>
            </w:r>
          </w:p>
        </w:tc>
      </w:tr>
      <w:tr w14:paraId="153A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trPr>
        <w:tc>
          <w:tcPr>
            <w:tcW w:w="571" w:type="pct"/>
            <w:vAlign w:val="center"/>
          </w:tcPr>
          <w:p w14:paraId="2E5CE507">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1</w:t>
            </w:r>
          </w:p>
        </w:tc>
        <w:tc>
          <w:tcPr>
            <w:tcW w:w="1194" w:type="pct"/>
            <w:vAlign w:val="center"/>
          </w:tcPr>
          <w:p w14:paraId="1519FF6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基本情况资料</w:t>
            </w:r>
          </w:p>
        </w:tc>
        <w:tc>
          <w:tcPr>
            <w:tcW w:w="3233" w:type="pct"/>
            <w:vAlign w:val="center"/>
          </w:tcPr>
          <w:p w14:paraId="2AC5CB1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提供营业执照复印件、</w:t>
            </w:r>
            <w:r>
              <w:rPr>
                <w:rFonts w:hint="eastAsia" w:ascii="华文仿宋" w:hAnsi="华文仿宋" w:eastAsia="华文仿宋" w:cs="华文仿宋"/>
                <w:color w:val="000000"/>
                <w:szCs w:val="21"/>
                <w:highlight w:val="none"/>
                <w:lang w:val="en-US" w:eastAsia="zh-CN"/>
              </w:rPr>
              <w:t>资质证书备案证明文件、资信证明文件复印件、全国投资项目在线审批监管平台备案打印文件、</w:t>
            </w:r>
            <w:r>
              <w:rPr>
                <w:rFonts w:hint="eastAsia" w:ascii="华文仿宋" w:hAnsi="华文仿宋" w:eastAsia="华文仿宋" w:cs="华文仿宋"/>
                <w:color w:val="000000"/>
                <w:szCs w:val="21"/>
                <w:highlight w:val="none"/>
              </w:rPr>
              <w:t>相关业绩合同复印件（根据</w:t>
            </w:r>
            <w:r>
              <w:rPr>
                <w:rFonts w:hint="eastAsia" w:ascii="华文仿宋" w:hAnsi="华文仿宋" w:eastAsia="华文仿宋" w:cs="华文仿宋"/>
                <w:color w:val="000000"/>
                <w:szCs w:val="21"/>
                <w:highlight w:val="none"/>
                <w:lang w:val="en-US" w:eastAsia="zh-CN"/>
              </w:rPr>
              <w:t>详细评审表</w:t>
            </w:r>
            <w:r>
              <w:rPr>
                <w:rFonts w:hint="eastAsia" w:ascii="华文仿宋" w:hAnsi="华文仿宋" w:eastAsia="华文仿宋" w:cs="华文仿宋"/>
                <w:color w:val="000000"/>
                <w:szCs w:val="21"/>
                <w:highlight w:val="none"/>
              </w:rPr>
              <w:t>提供）、法定代表人证明书及身份证复印件、法定代表人授权委托书及身份证复印件。</w:t>
            </w:r>
          </w:p>
        </w:tc>
      </w:tr>
      <w:tr w14:paraId="5ABE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25AC1819">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2</w:t>
            </w:r>
          </w:p>
        </w:tc>
        <w:tc>
          <w:tcPr>
            <w:tcW w:w="1194" w:type="pct"/>
            <w:vAlign w:val="center"/>
          </w:tcPr>
          <w:p w14:paraId="618FCF7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承诺函</w:t>
            </w:r>
          </w:p>
        </w:tc>
        <w:tc>
          <w:tcPr>
            <w:tcW w:w="3233" w:type="pct"/>
            <w:vAlign w:val="center"/>
          </w:tcPr>
          <w:p w14:paraId="3AF7C1FE">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报价不得超过遴选上限价，保留小数点后</w:t>
            </w:r>
            <w:r>
              <w:rPr>
                <w:rFonts w:hint="eastAsia" w:ascii="华文仿宋" w:hAnsi="华文仿宋" w:eastAsia="华文仿宋" w:cs="华文仿宋"/>
                <w:color w:val="000000"/>
                <w:szCs w:val="21"/>
                <w:highlight w:val="none"/>
                <w:lang w:val="en-US" w:eastAsia="zh-CN"/>
              </w:rPr>
              <w:t>2</w:t>
            </w:r>
            <w:r>
              <w:rPr>
                <w:rFonts w:hint="eastAsia" w:ascii="华文仿宋" w:hAnsi="华文仿宋" w:eastAsia="华文仿宋" w:cs="华文仿宋"/>
                <w:color w:val="000000"/>
                <w:szCs w:val="21"/>
                <w:highlight w:val="none"/>
              </w:rPr>
              <w:t>位，格式后附。</w:t>
            </w:r>
          </w:p>
        </w:tc>
      </w:tr>
      <w:tr w14:paraId="43E3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trPr>
        <w:tc>
          <w:tcPr>
            <w:tcW w:w="571" w:type="pct"/>
            <w:vAlign w:val="center"/>
          </w:tcPr>
          <w:p w14:paraId="10F7C185">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lang w:eastAsia="zh-CN"/>
              </w:rPr>
            </w:pPr>
            <w:r>
              <w:rPr>
                <w:rFonts w:hint="eastAsia" w:ascii="华文仿宋" w:hAnsi="华文仿宋" w:eastAsia="华文仿宋" w:cs="华文仿宋"/>
                <w:color w:val="000000"/>
                <w:szCs w:val="21"/>
                <w:highlight w:val="none"/>
                <w:lang w:val="en-US" w:eastAsia="zh-CN"/>
              </w:rPr>
              <w:t>3</w:t>
            </w:r>
          </w:p>
        </w:tc>
        <w:tc>
          <w:tcPr>
            <w:tcW w:w="1194" w:type="pct"/>
            <w:vAlign w:val="center"/>
          </w:tcPr>
          <w:p w14:paraId="5A84D12B">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kern w:val="0"/>
                <w:szCs w:val="21"/>
                <w:highlight w:val="none"/>
              </w:rPr>
            </w:pPr>
            <w:r>
              <w:rPr>
                <w:rFonts w:hint="eastAsia" w:ascii="华文仿宋" w:hAnsi="华文仿宋" w:eastAsia="华文仿宋" w:cs="华文仿宋"/>
                <w:color w:val="000000"/>
                <w:kern w:val="0"/>
                <w:szCs w:val="21"/>
                <w:highlight w:val="none"/>
              </w:rPr>
              <w:t>拟派遣团队</w:t>
            </w:r>
          </w:p>
        </w:tc>
        <w:tc>
          <w:tcPr>
            <w:tcW w:w="3233" w:type="pct"/>
            <w:vAlign w:val="center"/>
          </w:tcPr>
          <w:p w14:paraId="4105D981">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提供项目负责人及团队成员</w:t>
            </w:r>
            <w:r>
              <w:rPr>
                <w:rFonts w:hint="eastAsia" w:ascii="华文仿宋" w:hAnsi="华文仿宋" w:eastAsia="华文仿宋" w:cs="华文仿宋"/>
                <w:color w:val="000000"/>
                <w:szCs w:val="21"/>
                <w:highlight w:val="none"/>
                <w:lang w:val="en-US" w:eastAsia="zh-CN"/>
              </w:rPr>
              <w:t>执业资格证书等相关证书复印件，</w:t>
            </w:r>
            <w:r>
              <w:rPr>
                <w:rFonts w:hint="eastAsia" w:ascii="华文仿宋" w:hAnsi="华文仿宋" w:eastAsia="华文仿宋" w:cs="华文仿宋"/>
                <w:color w:val="000000"/>
                <w:szCs w:val="21"/>
                <w:highlight w:val="none"/>
              </w:rPr>
              <w:t>工作</w:t>
            </w:r>
            <w:r>
              <w:rPr>
                <w:rFonts w:hint="eastAsia" w:ascii="华文仿宋" w:hAnsi="华文仿宋" w:eastAsia="华文仿宋" w:cs="华文仿宋"/>
                <w:color w:val="000000"/>
                <w:szCs w:val="21"/>
                <w:highlight w:val="none"/>
                <w:lang w:val="en-US" w:eastAsia="zh-CN"/>
              </w:rPr>
              <w:t>经验证明</w:t>
            </w:r>
            <w:r>
              <w:rPr>
                <w:rFonts w:hint="eastAsia" w:ascii="华文仿宋" w:hAnsi="华文仿宋" w:eastAsia="华文仿宋" w:cs="华文仿宋"/>
                <w:color w:val="000000"/>
                <w:szCs w:val="21"/>
                <w:highlight w:val="none"/>
              </w:rPr>
              <w:t>、</w:t>
            </w:r>
            <w:r>
              <w:rPr>
                <w:rFonts w:hint="eastAsia" w:ascii="华文仿宋" w:hAnsi="华文仿宋" w:eastAsia="华文仿宋" w:cs="华文仿宋"/>
                <w:color w:val="000000"/>
                <w:szCs w:val="21"/>
                <w:highlight w:val="none"/>
                <w:lang w:val="en-US" w:eastAsia="zh-CN"/>
              </w:rPr>
              <w:t>学历</w:t>
            </w:r>
            <w:r>
              <w:rPr>
                <w:rFonts w:hint="eastAsia" w:ascii="华文仿宋" w:hAnsi="华文仿宋" w:eastAsia="华文仿宋" w:cs="华文仿宋"/>
                <w:color w:val="000000"/>
                <w:szCs w:val="21"/>
                <w:highlight w:val="none"/>
              </w:rPr>
              <w:t>证书（根据</w:t>
            </w:r>
            <w:r>
              <w:rPr>
                <w:rFonts w:hint="eastAsia" w:ascii="华文仿宋" w:hAnsi="华文仿宋" w:eastAsia="华文仿宋" w:cs="华文仿宋"/>
                <w:color w:val="000000"/>
                <w:szCs w:val="21"/>
                <w:highlight w:val="none"/>
                <w:lang w:val="en-US" w:eastAsia="zh-CN"/>
              </w:rPr>
              <w:t>详细评审表</w:t>
            </w:r>
            <w:r>
              <w:rPr>
                <w:rFonts w:hint="eastAsia" w:ascii="华文仿宋" w:hAnsi="华文仿宋" w:eastAsia="华文仿宋" w:cs="华文仿宋"/>
                <w:color w:val="000000"/>
                <w:szCs w:val="21"/>
                <w:highlight w:val="none"/>
              </w:rPr>
              <w:t>提供）复印件。</w:t>
            </w:r>
          </w:p>
        </w:tc>
      </w:tr>
      <w:tr w14:paraId="36AC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45F9B67D">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lang w:val="en-US" w:eastAsia="zh-CN"/>
              </w:rPr>
            </w:pPr>
            <w:r>
              <w:rPr>
                <w:rFonts w:hint="eastAsia" w:ascii="华文仿宋" w:hAnsi="华文仿宋" w:eastAsia="华文仿宋" w:cs="华文仿宋"/>
                <w:color w:val="000000"/>
                <w:szCs w:val="21"/>
                <w:highlight w:val="none"/>
                <w:lang w:val="en-US" w:eastAsia="zh-CN"/>
              </w:rPr>
              <w:t>4</w:t>
            </w:r>
          </w:p>
        </w:tc>
        <w:tc>
          <w:tcPr>
            <w:tcW w:w="1194" w:type="pct"/>
            <w:vAlign w:val="center"/>
          </w:tcPr>
          <w:p w14:paraId="5A775B8F">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kern w:val="0"/>
                <w:szCs w:val="21"/>
                <w:highlight w:val="none"/>
              </w:rPr>
            </w:pPr>
            <w:r>
              <w:rPr>
                <w:rFonts w:hint="eastAsia" w:ascii="华文仿宋" w:hAnsi="华文仿宋" w:eastAsia="华文仿宋" w:cs="华文仿宋"/>
                <w:color w:val="000000"/>
                <w:kern w:val="0"/>
                <w:szCs w:val="21"/>
                <w:highlight w:val="none"/>
              </w:rPr>
              <w:t>项目服务方案</w:t>
            </w:r>
          </w:p>
        </w:tc>
        <w:tc>
          <w:tcPr>
            <w:tcW w:w="3233" w:type="pct"/>
            <w:vAlign w:val="center"/>
          </w:tcPr>
          <w:p w14:paraId="382A6B6D">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根据本公告</w:t>
            </w:r>
            <w:r>
              <w:rPr>
                <w:rFonts w:hint="eastAsia" w:ascii="华文仿宋" w:hAnsi="华文仿宋" w:eastAsia="华文仿宋" w:cs="华文仿宋"/>
                <w:color w:val="000000"/>
                <w:szCs w:val="21"/>
                <w:highlight w:val="none"/>
                <w:lang w:val="en-US" w:eastAsia="zh-CN"/>
              </w:rPr>
              <w:t>附件二中技术方案评审</w:t>
            </w:r>
            <w:r>
              <w:rPr>
                <w:rFonts w:hint="eastAsia" w:ascii="华文仿宋" w:hAnsi="华文仿宋" w:eastAsia="华文仿宋" w:cs="华文仿宋"/>
                <w:color w:val="000000"/>
                <w:szCs w:val="21"/>
                <w:highlight w:val="none"/>
              </w:rPr>
              <w:t>，出具</w:t>
            </w:r>
            <w:r>
              <w:rPr>
                <w:rFonts w:hint="eastAsia" w:ascii="华文仿宋" w:hAnsi="华文仿宋" w:eastAsia="华文仿宋" w:cs="华文仿宋"/>
                <w:color w:val="000000"/>
                <w:szCs w:val="21"/>
                <w:highlight w:val="none"/>
                <w:lang w:val="en-US" w:eastAsia="zh-CN"/>
              </w:rPr>
              <w:t>服务方案</w:t>
            </w:r>
            <w:r>
              <w:rPr>
                <w:rFonts w:hint="eastAsia" w:ascii="华文仿宋" w:hAnsi="华文仿宋" w:eastAsia="华文仿宋" w:cs="华文仿宋"/>
                <w:color w:val="000000"/>
                <w:szCs w:val="21"/>
                <w:highlight w:val="none"/>
              </w:rPr>
              <w:t>，包括不限于对本项目的理解、</w:t>
            </w:r>
            <w:r>
              <w:rPr>
                <w:rFonts w:hint="eastAsia" w:ascii="华文仿宋" w:hAnsi="华文仿宋" w:eastAsia="华文仿宋" w:cs="华文仿宋"/>
                <w:color w:val="000000"/>
                <w:szCs w:val="21"/>
                <w:highlight w:val="none"/>
                <w:lang w:val="en-US" w:eastAsia="zh-CN"/>
              </w:rPr>
              <w:t>工作计划</w:t>
            </w:r>
            <w:r>
              <w:rPr>
                <w:rFonts w:hint="eastAsia" w:ascii="华文仿宋" w:hAnsi="华文仿宋" w:eastAsia="华文仿宋" w:cs="华文仿宋"/>
                <w:color w:val="000000"/>
                <w:szCs w:val="21"/>
                <w:highlight w:val="none"/>
              </w:rPr>
              <w:t>及相关服务保证措施等</w:t>
            </w:r>
            <w:r>
              <w:rPr>
                <w:rFonts w:hint="eastAsia" w:ascii="华文仿宋" w:hAnsi="华文仿宋" w:eastAsia="华文仿宋" w:cs="华文仿宋"/>
                <w:color w:val="000000"/>
                <w:szCs w:val="21"/>
                <w:highlight w:val="none"/>
                <w:lang w:eastAsia="zh-CN"/>
              </w:rPr>
              <w:t>。</w:t>
            </w:r>
          </w:p>
        </w:tc>
      </w:tr>
    </w:tbl>
    <w:p w14:paraId="0BF658C7">
      <w:pP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备注：以上提供资料均须加盖公章，未加盖公章资料视为无效资料。</w:t>
      </w:r>
    </w:p>
    <w:p w14:paraId="0AEABC70">
      <w:pPr>
        <w:rPr>
          <w:rFonts w:hint="eastAsia" w:ascii="华文仿宋" w:hAnsi="华文仿宋" w:eastAsia="华文仿宋" w:cs="华文仿宋"/>
          <w:b/>
          <w:bCs/>
          <w:color w:val="000000"/>
          <w:sz w:val="30"/>
          <w:szCs w:val="30"/>
          <w:highlight w:val="none"/>
        </w:rPr>
      </w:pPr>
    </w:p>
    <w:p w14:paraId="260CD702">
      <w:pPr>
        <w:rPr>
          <w:rFonts w:hint="eastAsia" w:ascii="华文仿宋" w:hAnsi="华文仿宋" w:eastAsia="华文仿宋" w:cs="华文仿宋"/>
          <w:b/>
          <w:bCs/>
          <w:color w:val="000000"/>
          <w:sz w:val="30"/>
          <w:szCs w:val="30"/>
          <w:highlight w:val="none"/>
        </w:rPr>
      </w:pPr>
    </w:p>
    <w:p w14:paraId="3A9FA41F">
      <w:pPr>
        <w:rPr>
          <w:rFonts w:hint="eastAsia" w:ascii="华文仿宋" w:hAnsi="华文仿宋" w:eastAsia="华文仿宋" w:cs="华文仿宋"/>
          <w:b/>
          <w:bCs/>
          <w:color w:val="000000"/>
          <w:sz w:val="30"/>
          <w:szCs w:val="30"/>
          <w:highlight w:val="none"/>
        </w:rPr>
      </w:pPr>
    </w:p>
    <w:p w14:paraId="74FECFF4">
      <w:pPr>
        <w:rPr>
          <w:rFonts w:hint="eastAsia" w:ascii="华文仿宋" w:hAnsi="华文仿宋" w:eastAsia="华文仿宋" w:cs="华文仿宋"/>
          <w:b/>
          <w:bCs/>
          <w:color w:val="000000"/>
          <w:sz w:val="30"/>
          <w:szCs w:val="30"/>
          <w:highlight w:val="none"/>
        </w:rPr>
      </w:pPr>
    </w:p>
    <w:p w14:paraId="3B3A08FD">
      <w:pPr>
        <w:pStyle w:val="3"/>
        <w:rPr>
          <w:rFonts w:hint="eastAsia" w:ascii="华文仿宋" w:hAnsi="华文仿宋" w:eastAsia="华文仿宋" w:cs="华文仿宋"/>
          <w:highlight w:val="none"/>
        </w:rPr>
      </w:pPr>
    </w:p>
    <w:p w14:paraId="469D14C1">
      <w:pPr>
        <w:rPr>
          <w:rFonts w:hint="eastAsia" w:ascii="华文仿宋" w:hAnsi="华文仿宋" w:eastAsia="华文仿宋" w:cs="华文仿宋"/>
          <w:b/>
          <w:bCs/>
          <w:color w:val="000000"/>
          <w:sz w:val="30"/>
          <w:szCs w:val="30"/>
          <w:highlight w:val="none"/>
        </w:rPr>
      </w:pPr>
      <w:r>
        <w:rPr>
          <w:rFonts w:hint="eastAsia" w:ascii="华文仿宋" w:hAnsi="华文仿宋" w:eastAsia="华文仿宋" w:cs="华文仿宋"/>
          <w:b/>
          <w:bCs/>
          <w:color w:val="000000"/>
          <w:sz w:val="30"/>
          <w:szCs w:val="30"/>
          <w:highlight w:val="none"/>
        </w:rPr>
        <w:br w:type="page"/>
      </w:r>
    </w:p>
    <w:p w14:paraId="27DCFB8D">
      <w:pP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附件二：详细评审表</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122"/>
        <w:gridCol w:w="3401"/>
        <w:gridCol w:w="2771"/>
        <w:gridCol w:w="1158"/>
      </w:tblGrid>
      <w:tr w14:paraId="6D04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blHeader/>
          <w:jc w:val="center"/>
        </w:trPr>
        <w:tc>
          <w:tcPr>
            <w:tcW w:w="335" w:type="pct"/>
            <w:shd w:val="clear" w:color="auto" w:fill="DEEAF6"/>
            <w:vAlign w:val="center"/>
          </w:tcPr>
          <w:p w14:paraId="1086792B">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bookmarkStart w:id="0" w:name="_Hlk17297611"/>
            <w:r>
              <w:rPr>
                <w:rFonts w:hint="eastAsia" w:asciiTheme="minorEastAsia" w:hAnsiTheme="minorEastAsia" w:eastAsiaTheme="minorEastAsia" w:cstheme="minorEastAsia"/>
                <w:b/>
                <w:color w:val="000000"/>
                <w:sz w:val="21"/>
                <w:szCs w:val="21"/>
                <w:highlight w:val="none"/>
              </w:rPr>
              <w:t>序号</w:t>
            </w:r>
          </w:p>
        </w:tc>
        <w:tc>
          <w:tcPr>
            <w:tcW w:w="619" w:type="pct"/>
            <w:shd w:val="clear" w:color="auto" w:fill="DEEAF6"/>
            <w:vAlign w:val="center"/>
          </w:tcPr>
          <w:p w14:paraId="3C64532F">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评审</w:t>
            </w:r>
          </w:p>
          <w:p w14:paraId="22255220">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项目</w:t>
            </w:r>
          </w:p>
        </w:tc>
        <w:tc>
          <w:tcPr>
            <w:tcW w:w="3406" w:type="pct"/>
            <w:gridSpan w:val="2"/>
            <w:shd w:val="clear" w:color="auto" w:fill="DEEAF6"/>
            <w:vAlign w:val="center"/>
          </w:tcPr>
          <w:p w14:paraId="294845C6">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评审标准</w:t>
            </w:r>
          </w:p>
        </w:tc>
        <w:tc>
          <w:tcPr>
            <w:tcW w:w="639" w:type="pct"/>
            <w:shd w:val="clear" w:color="auto" w:fill="DEEAF6"/>
            <w:vAlign w:val="center"/>
          </w:tcPr>
          <w:p w14:paraId="133A8188">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分值</w:t>
            </w:r>
          </w:p>
        </w:tc>
      </w:tr>
      <w:tr w14:paraId="3947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4" w:hRule="atLeast"/>
          <w:jc w:val="center"/>
        </w:trPr>
        <w:tc>
          <w:tcPr>
            <w:tcW w:w="335" w:type="pct"/>
            <w:vAlign w:val="center"/>
          </w:tcPr>
          <w:p w14:paraId="0BCC8442">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w:t>
            </w:r>
          </w:p>
        </w:tc>
        <w:tc>
          <w:tcPr>
            <w:tcW w:w="619" w:type="pct"/>
            <w:vAlign w:val="center"/>
          </w:tcPr>
          <w:p w14:paraId="4714BB6C">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同类业绩情况</w:t>
            </w:r>
          </w:p>
        </w:tc>
        <w:tc>
          <w:tcPr>
            <w:tcW w:w="3406" w:type="pct"/>
            <w:gridSpan w:val="2"/>
            <w:vAlign w:val="center"/>
          </w:tcPr>
          <w:p w14:paraId="658BC14D">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34D5FA93">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1.2023年1月1日至本项目公告截止之日止，具有可行性项目研究业绩，每个得2分，最多得10分；</w:t>
            </w:r>
          </w:p>
          <w:p w14:paraId="5BF4D27E">
            <w:pPr>
              <w:numPr>
                <w:ilvl w:val="0"/>
                <w:numId w:val="0"/>
              </w:numPr>
              <w:spacing w:line="0" w:lineRule="atLeast"/>
              <w:rPr>
                <w:color w:val="auto"/>
                <w:highlight w:val="none"/>
              </w:rPr>
            </w:pPr>
            <w:r>
              <w:rPr>
                <w:rFonts w:hint="eastAsia" w:ascii="华文仿宋" w:hAnsi="华文仿宋" w:eastAsia="华文仿宋" w:cs="华文仿宋"/>
                <w:color w:val="auto"/>
                <w:sz w:val="24"/>
                <w:szCs w:val="24"/>
                <w:highlight w:val="none"/>
                <w:lang w:val="en-US" w:eastAsia="zh-CN"/>
              </w:rPr>
              <w:t>2.2</w:t>
            </w:r>
            <w:r>
              <w:rPr>
                <w:rFonts w:hint="eastAsia" w:ascii="华文仿宋" w:hAnsi="华文仿宋" w:eastAsia="华文仿宋" w:cs="华文仿宋"/>
                <w:color w:val="auto"/>
                <w:kern w:val="2"/>
                <w:sz w:val="24"/>
                <w:szCs w:val="24"/>
                <w:highlight w:val="none"/>
                <w:lang w:val="en-US" w:eastAsia="zh-CN" w:bidi="ar-SA"/>
              </w:rPr>
              <w:t>023年1月1日至本项目公告截止之日止，</w:t>
            </w:r>
            <w:r>
              <w:rPr>
                <w:rFonts w:hint="eastAsia" w:ascii="华文仿宋" w:hAnsi="华文仿宋" w:eastAsia="华文仿宋" w:cs="华文仿宋"/>
                <w:color w:val="auto"/>
                <w:sz w:val="24"/>
                <w:szCs w:val="24"/>
                <w:highlight w:val="none"/>
              </w:rPr>
              <w:t>如具有</w:t>
            </w:r>
            <w:r>
              <w:rPr>
                <w:rFonts w:hint="eastAsia" w:ascii="华文仿宋" w:hAnsi="华文仿宋" w:eastAsia="华文仿宋" w:cs="华文仿宋"/>
                <w:color w:val="auto"/>
                <w:sz w:val="24"/>
                <w:szCs w:val="24"/>
                <w:highlight w:val="none"/>
                <w:lang w:val="en-US" w:eastAsia="zh-CN"/>
              </w:rPr>
              <w:t>保障性住房项目可行性</w:t>
            </w:r>
            <w:r>
              <w:rPr>
                <w:rFonts w:hint="eastAsia" w:ascii="华文仿宋" w:hAnsi="华文仿宋" w:eastAsia="华文仿宋" w:cs="华文仿宋"/>
                <w:color w:val="auto"/>
                <w:sz w:val="24"/>
                <w:szCs w:val="24"/>
                <w:highlight w:val="none"/>
              </w:rPr>
              <w:t>研究</w:t>
            </w:r>
            <w:r>
              <w:rPr>
                <w:rFonts w:hint="eastAsia" w:ascii="华文仿宋" w:hAnsi="华文仿宋" w:eastAsia="华文仿宋" w:cs="华文仿宋"/>
                <w:color w:val="auto"/>
                <w:sz w:val="24"/>
                <w:szCs w:val="24"/>
                <w:highlight w:val="none"/>
                <w:lang w:val="en-US" w:eastAsia="zh-CN"/>
              </w:rPr>
              <w:t>业绩</w:t>
            </w:r>
            <w:r>
              <w:rPr>
                <w:rFonts w:hint="eastAsia" w:ascii="华文仿宋" w:hAnsi="华文仿宋" w:eastAsia="华文仿宋" w:cs="华文仿宋"/>
                <w:color w:val="auto"/>
                <w:sz w:val="24"/>
                <w:szCs w:val="24"/>
                <w:highlight w:val="none"/>
              </w:rPr>
              <w:t>，</w:t>
            </w:r>
            <w:r>
              <w:rPr>
                <w:rFonts w:hint="eastAsia" w:ascii="华文仿宋" w:hAnsi="华文仿宋" w:eastAsia="华文仿宋" w:cs="华文仿宋"/>
                <w:color w:val="auto"/>
                <w:sz w:val="24"/>
                <w:szCs w:val="24"/>
                <w:highlight w:val="none"/>
                <w:lang w:val="en-US" w:eastAsia="zh-CN"/>
              </w:rPr>
              <w:t>每项得5</w:t>
            </w:r>
            <w:r>
              <w:rPr>
                <w:rFonts w:hint="eastAsia" w:ascii="华文仿宋" w:hAnsi="华文仿宋" w:eastAsia="华文仿宋" w:cs="华文仿宋"/>
                <w:color w:val="auto"/>
                <w:sz w:val="24"/>
                <w:szCs w:val="24"/>
                <w:highlight w:val="none"/>
              </w:rPr>
              <w:t>分，最多</w:t>
            </w:r>
            <w:r>
              <w:rPr>
                <w:rFonts w:hint="eastAsia" w:ascii="华文仿宋" w:hAnsi="华文仿宋" w:eastAsia="华文仿宋" w:cs="华文仿宋"/>
                <w:color w:val="auto"/>
                <w:sz w:val="24"/>
                <w:szCs w:val="24"/>
                <w:highlight w:val="none"/>
                <w:lang w:val="en-US" w:eastAsia="zh-CN"/>
              </w:rPr>
              <w:t>得15</w:t>
            </w:r>
            <w:r>
              <w:rPr>
                <w:rFonts w:hint="eastAsia" w:ascii="华文仿宋" w:hAnsi="华文仿宋" w:eastAsia="华文仿宋" w:cs="华文仿宋"/>
                <w:color w:val="auto"/>
                <w:sz w:val="24"/>
                <w:szCs w:val="24"/>
                <w:highlight w:val="none"/>
              </w:rPr>
              <w:t xml:space="preserve">分； </w:t>
            </w:r>
          </w:p>
          <w:p w14:paraId="1AE1E8BE">
            <w:pPr>
              <w:spacing w:line="400" w:lineRule="exact"/>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szCs w:val="21"/>
                <w:highlight w:val="none"/>
                <w:lang w:val="en-US" w:eastAsia="zh-CN"/>
              </w:rPr>
              <w:t>证明材料</w:t>
            </w:r>
            <w:r>
              <w:rPr>
                <w:rFonts w:hint="eastAsia" w:asciiTheme="minorEastAsia" w:hAnsiTheme="minorEastAsia" w:eastAsiaTheme="minorEastAsia" w:cstheme="minorEastAsia"/>
                <w:b/>
                <w:color w:val="auto"/>
                <w:szCs w:val="21"/>
                <w:highlight w:val="none"/>
              </w:rPr>
              <w:t>：</w:t>
            </w:r>
          </w:p>
          <w:p w14:paraId="5F257D7C">
            <w:pPr>
              <w:numPr>
                <w:ilvl w:val="0"/>
                <w:numId w:val="0"/>
              </w:numPr>
              <w:spacing w:line="0" w:lineRule="atLeast"/>
              <w:rPr>
                <w:rFonts w:hint="eastAsia"/>
              </w:rPr>
            </w:pPr>
            <w:r>
              <w:rPr>
                <w:rFonts w:hint="eastAsia" w:ascii="华文仿宋" w:hAnsi="华文仿宋" w:eastAsia="华文仿宋" w:cs="华文仿宋"/>
                <w:color w:val="000000"/>
                <w:sz w:val="24"/>
                <w:szCs w:val="24"/>
                <w:highlight w:val="none"/>
                <w:lang w:val="en-US" w:eastAsia="zh-CN"/>
              </w:rPr>
              <w:t>提供相应合同文件复印件，并加盖公章</w:t>
            </w:r>
          </w:p>
        </w:tc>
        <w:tc>
          <w:tcPr>
            <w:tcW w:w="639" w:type="pct"/>
            <w:vAlign w:val="center"/>
          </w:tcPr>
          <w:p w14:paraId="0E57EB41">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25分</w:t>
            </w:r>
          </w:p>
        </w:tc>
      </w:tr>
      <w:tr w14:paraId="7E6C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8" w:hRule="atLeast"/>
          <w:jc w:val="center"/>
        </w:trPr>
        <w:tc>
          <w:tcPr>
            <w:tcW w:w="335" w:type="pct"/>
            <w:vAlign w:val="center"/>
          </w:tcPr>
          <w:p w14:paraId="6AA35105">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w:t>
            </w:r>
          </w:p>
        </w:tc>
        <w:tc>
          <w:tcPr>
            <w:tcW w:w="619" w:type="pct"/>
            <w:vAlign w:val="center"/>
          </w:tcPr>
          <w:p w14:paraId="4CB1A533">
            <w:pPr>
              <w:numPr>
                <w:ilvl w:val="0"/>
                <w:numId w:val="0"/>
              </w:numPr>
              <w:spacing w:line="0" w:lineRule="atLeast"/>
              <w:jc w:val="center"/>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项目负责人（仅限1人）</w:t>
            </w:r>
          </w:p>
        </w:tc>
        <w:tc>
          <w:tcPr>
            <w:tcW w:w="3406" w:type="pct"/>
            <w:gridSpan w:val="2"/>
            <w:vAlign w:val="center"/>
          </w:tcPr>
          <w:p w14:paraId="0387F59E">
            <w:pPr>
              <w:spacing w:line="400" w:lineRule="exac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
                <w:color w:val="auto"/>
                <w:szCs w:val="21"/>
              </w:rPr>
              <w:t>评审内容：</w:t>
            </w:r>
          </w:p>
          <w:p w14:paraId="4C445450">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1.持有下列任一证书的，得5分：房地产估价师注册证书、土地估价师注册证书、资产评估师注册证书；</w:t>
            </w:r>
          </w:p>
          <w:p w14:paraId="4A0A97CA">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2.在满足第 1 项的前提下，该人员另具备高级职称证书的，加 5 分。</w:t>
            </w:r>
          </w:p>
          <w:p w14:paraId="6B402B65">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3.本项最高得 10 分；未持有第 1 项所列任一证书的，本项得 0 分，且不参与第 2 项加分。</w:t>
            </w:r>
          </w:p>
          <w:p w14:paraId="72506049">
            <w:pPr>
              <w:spacing w:line="400" w:lineRule="exact"/>
              <w:rPr>
                <w:rFonts w:hint="eastAsia" w:asciiTheme="minorEastAsia" w:hAnsiTheme="minorEastAsia" w:cstheme="minorEastAsia"/>
                <w:b/>
                <w:color w:val="auto"/>
                <w:szCs w:val="21"/>
                <w:lang w:val="en-US" w:eastAsia="zh-CN"/>
              </w:rPr>
            </w:pPr>
            <w:r>
              <w:rPr>
                <w:rFonts w:hint="eastAsia" w:asciiTheme="minorEastAsia" w:hAnsiTheme="minorEastAsia" w:cstheme="minorEastAsia"/>
                <w:b/>
                <w:color w:val="auto"/>
                <w:szCs w:val="21"/>
                <w:lang w:val="en-US" w:eastAsia="zh-CN"/>
              </w:rPr>
              <w:t>证明材料：</w:t>
            </w:r>
          </w:p>
          <w:p w14:paraId="5B825A1A">
            <w:pPr>
              <w:numPr>
                <w:ilvl w:val="0"/>
                <w:numId w:val="0"/>
              </w:numPr>
              <w:spacing w:line="0" w:lineRule="atLeast"/>
              <w:rPr>
                <w:rFonts w:hint="eastAsia" w:asciiTheme="minorEastAsia" w:hAnsiTheme="minorEastAsia" w:eastAsiaTheme="minorEastAsia" w:cstheme="minorEastAsia"/>
                <w:color w:val="auto"/>
                <w:sz w:val="21"/>
                <w:szCs w:val="21"/>
                <w:highlight w:val="none"/>
                <w:lang w:val="en-US" w:eastAsia="zh-CN"/>
              </w:rPr>
            </w:pPr>
            <w:r>
              <w:rPr>
                <w:rFonts w:hint="eastAsia" w:ascii="华文仿宋" w:hAnsi="华文仿宋" w:eastAsia="华文仿宋" w:cs="华文仿宋"/>
                <w:color w:val="auto"/>
                <w:sz w:val="24"/>
                <w:szCs w:val="24"/>
                <w:highlight w:val="none"/>
                <w:lang w:val="en-US" w:eastAsia="zh-CN"/>
              </w:rPr>
              <w:t>提供证书扫描件及行业协会网站查询截图；</w:t>
            </w:r>
          </w:p>
        </w:tc>
        <w:tc>
          <w:tcPr>
            <w:tcW w:w="639" w:type="pct"/>
            <w:vAlign w:val="center"/>
          </w:tcPr>
          <w:p w14:paraId="4DA12551">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10分</w:t>
            </w:r>
          </w:p>
        </w:tc>
      </w:tr>
      <w:tr w14:paraId="10E9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35" w:type="pct"/>
            <w:vAlign w:val="center"/>
          </w:tcPr>
          <w:p w14:paraId="0836811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3</w:t>
            </w:r>
          </w:p>
        </w:tc>
        <w:tc>
          <w:tcPr>
            <w:tcW w:w="619" w:type="pct"/>
            <w:vAlign w:val="center"/>
          </w:tcPr>
          <w:p w14:paraId="0AC5B29D">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团队成员配置评分</w:t>
            </w:r>
          </w:p>
        </w:tc>
        <w:tc>
          <w:tcPr>
            <w:tcW w:w="3406" w:type="pct"/>
            <w:gridSpan w:val="2"/>
            <w:vAlign w:val="center"/>
          </w:tcPr>
          <w:p w14:paraId="1746AF05">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22A023E5">
            <w:pPr>
              <w:spacing w:line="400" w:lineRule="exact"/>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项目团队成员中有注册房地产估价师或土地估价师或资产评估师证的之一，每个得2分，最多得10分；</w:t>
            </w:r>
          </w:p>
          <w:p w14:paraId="19656AE7">
            <w:pPr>
              <w:spacing w:line="40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证明材料：</w:t>
            </w:r>
          </w:p>
          <w:p w14:paraId="340D58B4">
            <w:pPr>
              <w:spacing w:line="0" w:lineRule="atLeast"/>
              <w:rPr>
                <w:rFonts w:hint="eastAsia" w:asciiTheme="minorEastAsia" w:hAnsiTheme="minorEastAsia" w:eastAsiaTheme="minorEastAsia" w:cstheme="minorEastAsia"/>
                <w:color w:val="000000"/>
                <w:sz w:val="21"/>
                <w:szCs w:val="21"/>
                <w:highlight w:val="none"/>
                <w:lang w:val="en-US" w:eastAsia="zh-CN"/>
              </w:rPr>
            </w:pPr>
            <w:r>
              <w:rPr>
                <w:rFonts w:hint="eastAsia" w:ascii="华文仿宋" w:hAnsi="华文仿宋" w:eastAsia="华文仿宋" w:cs="华文仿宋"/>
                <w:color w:val="000000"/>
                <w:sz w:val="24"/>
                <w:szCs w:val="24"/>
                <w:highlight w:val="none"/>
                <w:lang w:val="en-US" w:eastAsia="zh-CN"/>
              </w:rPr>
              <w:t>提供团队成员相关证书复印件，工作经验证明（持证人员可用持证时间证明）加盖公章</w:t>
            </w:r>
          </w:p>
        </w:tc>
        <w:tc>
          <w:tcPr>
            <w:tcW w:w="639" w:type="pct"/>
            <w:vAlign w:val="center"/>
          </w:tcPr>
          <w:p w14:paraId="59F83018">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10分</w:t>
            </w:r>
          </w:p>
        </w:tc>
      </w:tr>
      <w:tr w14:paraId="64F5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335" w:type="pct"/>
            <w:vAlign w:val="center"/>
          </w:tcPr>
          <w:p w14:paraId="1F9C63F8">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4</w:t>
            </w:r>
          </w:p>
        </w:tc>
        <w:tc>
          <w:tcPr>
            <w:tcW w:w="619" w:type="pct"/>
            <w:vAlign w:val="center"/>
          </w:tcPr>
          <w:p w14:paraId="762D8C59">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技术服务方案评审</w:t>
            </w:r>
          </w:p>
        </w:tc>
        <w:tc>
          <w:tcPr>
            <w:tcW w:w="3406" w:type="pct"/>
            <w:gridSpan w:val="2"/>
            <w:vAlign w:val="center"/>
          </w:tcPr>
          <w:p w14:paraId="5A231310">
            <w:pPr>
              <w:spacing w:line="400" w:lineRule="exact"/>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
                <w:szCs w:val="21"/>
                <w:highlight w:val="none"/>
              </w:rPr>
              <w:t>评审内容：</w:t>
            </w:r>
          </w:p>
          <w:p w14:paraId="6E00B34C">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1、</w:t>
            </w:r>
            <w:r>
              <w:rPr>
                <w:rFonts w:hint="eastAsia" w:ascii="华文仿宋" w:hAnsi="华文仿宋" w:eastAsia="华文仿宋" w:cs="华文仿宋"/>
                <w:color w:val="000000"/>
                <w:sz w:val="24"/>
                <w:szCs w:val="24"/>
                <w:highlight w:val="none"/>
                <w:lang w:eastAsia="zh-CN"/>
              </w:rPr>
              <w:t>针对</w:t>
            </w:r>
            <w:r>
              <w:rPr>
                <w:rFonts w:hint="eastAsia" w:ascii="华文仿宋" w:hAnsi="华文仿宋" w:eastAsia="华文仿宋" w:cs="华文仿宋"/>
                <w:color w:val="000000"/>
                <w:sz w:val="24"/>
                <w:szCs w:val="24"/>
                <w:highlight w:val="none"/>
              </w:rPr>
              <w:t>本项目工作内容的理解是否全面、准确</w:t>
            </w:r>
            <w:r>
              <w:rPr>
                <w:rFonts w:hint="eastAsia" w:ascii="华文仿宋" w:hAnsi="华文仿宋" w:eastAsia="华文仿宋" w:cs="华文仿宋"/>
                <w:color w:val="000000"/>
                <w:sz w:val="24"/>
                <w:szCs w:val="24"/>
                <w:highlight w:val="none"/>
                <w:lang w:eastAsia="zh-CN"/>
              </w:rPr>
              <w:t>；</w:t>
            </w:r>
          </w:p>
          <w:p w14:paraId="34A9C755">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2、项目的难点及应对措施是否与项目相符；</w:t>
            </w:r>
          </w:p>
          <w:p w14:paraId="628CBB01">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3、</w:t>
            </w:r>
            <w:r>
              <w:rPr>
                <w:rFonts w:hint="eastAsia" w:ascii="华文仿宋" w:hAnsi="华文仿宋" w:eastAsia="华文仿宋" w:cs="华文仿宋"/>
                <w:color w:val="000000"/>
                <w:sz w:val="24"/>
                <w:szCs w:val="24"/>
                <w:highlight w:val="none"/>
              </w:rPr>
              <w:t>提出的</w:t>
            </w:r>
            <w:r>
              <w:rPr>
                <w:rFonts w:hint="eastAsia" w:ascii="华文仿宋" w:hAnsi="华文仿宋" w:eastAsia="华文仿宋" w:cs="华文仿宋"/>
                <w:color w:val="000000"/>
                <w:sz w:val="24"/>
                <w:szCs w:val="24"/>
                <w:highlight w:val="none"/>
                <w:lang w:val="en-US" w:eastAsia="zh-CN"/>
              </w:rPr>
              <w:t>可行性研究方案是否全面、详尽</w:t>
            </w:r>
            <w:r>
              <w:rPr>
                <w:rFonts w:hint="eastAsia" w:ascii="华文仿宋" w:hAnsi="华文仿宋" w:eastAsia="华文仿宋" w:cs="华文仿宋"/>
                <w:color w:val="000000"/>
                <w:sz w:val="24"/>
                <w:szCs w:val="24"/>
                <w:highlight w:val="none"/>
                <w:lang w:eastAsia="zh-CN"/>
              </w:rPr>
              <w:t>。</w:t>
            </w:r>
          </w:p>
          <w:p w14:paraId="3AB00F8F">
            <w:pPr>
              <w:spacing w:line="400" w:lineRule="exact"/>
              <w:rPr>
                <w:highlight w:val="none"/>
              </w:rPr>
            </w:pPr>
            <w:r>
              <w:rPr>
                <w:rFonts w:hint="eastAsia" w:ascii="华文仿宋" w:hAnsi="华文仿宋" w:eastAsia="华文仿宋" w:cs="华文仿宋"/>
                <w:color w:val="000000"/>
                <w:sz w:val="24"/>
                <w:szCs w:val="24"/>
                <w:highlight w:val="none"/>
              </w:rPr>
              <w:t>进行横向比较评分</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rPr>
              <w:t>优得</w:t>
            </w:r>
            <w:r>
              <w:rPr>
                <w:rFonts w:hint="eastAsia" w:ascii="华文仿宋" w:hAnsi="华文仿宋" w:eastAsia="华文仿宋" w:cs="华文仿宋"/>
                <w:color w:val="000000"/>
                <w:sz w:val="24"/>
                <w:szCs w:val="24"/>
                <w:highlight w:val="none"/>
                <w:lang w:val="en-US" w:eastAsia="zh-CN"/>
              </w:rPr>
              <w:t>20～15</w:t>
            </w:r>
            <w:r>
              <w:rPr>
                <w:rFonts w:hint="eastAsia" w:ascii="华文仿宋" w:hAnsi="华文仿宋" w:eastAsia="华文仿宋" w:cs="华文仿宋"/>
                <w:color w:val="000000"/>
                <w:sz w:val="24"/>
                <w:szCs w:val="24"/>
                <w:highlight w:val="none"/>
              </w:rPr>
              <w:t>分、中得</w:t>
            </w:r>
            <w:r>
              <w:rPr>
                <w:rFonts w:hint="eastAsia" w:ascii="华文仿宋" w:hAnsi="华文仿宋" w:eastAsia="华文仿宋" w:cs="华文仿宋"/>
                <w:color w:val="000000"/>
                <w:sz w:val="24"/>
                <w:szCs w:val="24"/>
                <w:highlight w:val="none"/>
                <w:lang w:val="en-US" w:eastAsia="zh-CN"/>
              </w:rPr>
              <w:t>14～10</w:t>
            </w:r>
            <w:r>
              <w:rPr>
                <w:rFonts w:hint="eastAsia" w:ascii="华文仿宋" w:hAnsi="华文仿宋" w:eastAsia="华文仿宋" w:cs="华文仿宋"/>
                <w:color w:val="000000"/>
                <w:sz w:val="24"/>
                <w:szCs w:val="24"/>
                <w:highlight w:val="none"/>
              </w:rPr>
              <w:t>分、差得</w:t>
            </w:r>
            <w:r>
              <w:rPr>
                <w:rFonts w:hint="eastAsia" w:ascii="华文仿宋" w:hAnsi="华文仿宋" w:eastAsia="华文仿宋" w:cs="华文仿宋"/>
                <w:color w:val="000000"/>
                <w:sz w:val="24"/>
                <w:szCs w:val="24"/>
                <w:highlight w:val="none"/>
                <w:lang w:val="en-US" w:eastAsia="zh-CN"/>
              </w:rPr>
              <w:t>9～0</w:t>
            </w:r>
            <w:r>
              <w:rPr>
                <w:rFonts w:hint="eastAsia" w:ascii="华文仿宋" w:hAnsi="华文仿宋" w:eastAsia="华文仿宋" w:cs="华文仿宋"/>
                <w:color w:val="000000"/>
                <w:sz w:val="24"/>
                <w:szCs w:val="24"/>
                <w:highlight w:val="none"/>
              </w:rPr>
              <w:t>分；</w:t>
            </w:r>
          </w:p>
          <w:p w14:paraId="3117770F">
            <w:pPr>
              <w:spacing w:line="400" w:lineRule="exact"/>
              <w:rPr>
                <w:rFonts w:hint="eastAsia" w:asciiTheme="minorEastAsia" w:hAnsiTheme="minorEastAsia" w:cstheme="minorEastAsia"/>
                <w:b/>
                <w:szCs w:val="21"/>
                <w:highlight w:val="none"/>
                <w:lang w:val="en-US" w:eastAsia="zh-CN"/>
              </w:rPr>
            </w:pPr>
            <w:r>
              <w:rPr>
                <w:rFonts w:hint="eastAsia" w:asciiTheme="minorEastAsia" w:hAnsiTheme="minorEastAsia" w:cstheme="minorEastAsia"/>
                <w:b/>
                <w:szCs w:val="21"/>
                <w:highlight w:val="none"/>
                <w:lang w:val="en-US" w:eastAsia="zh-CN"/>
              </w:rPr>
              <w:t>证明材料：</w:t>
            </w:r>
          </w:p>
          <w:p w14:paraId="20C62C7B">
            <w:pPr>
              <w:spacing w:line="0" w:lineRule="atLeast"/>
              <w:rPr>
                <w:rFonts w:hint="eastAsia" w:asciiTheme="minorEastAsia" w:hAnsiTheme="minorEastAsia" w:eastAsiaTheme="minorEastAsia" w:cstheme="minorEastAsia"/>
                <w:color w:val="000000"/>
                <w:sz w:val="21"/>
                <w:szCs w:val="21"/>
                <w:highlight w:val="none"/>
                <w:lang w:val="en-US" w:eastAsia="zh-CN"/>
              </w:rPr>
            </w:pPr>
            <w:r>
              <w:rPr>
                <w:rFonts w:hint="eastAsia" w:ascii="华文仿宋" w:hAnsi="华文仿宋" w:eastAsia="华文仿宋" w:cs="华文仿宋"/>
                <w:color w:val="000000"/>
                <w:sz w:val="24"/>
                <w:szCs w:val="24"/>
                <w:highlight w:val="none"/>
                <w:lang w:val="en-US" w:eastAsia="zh-CN"/>
              </w:rPr>
              <w:t>提供服务方案，并加盖公章</w:t>
            </w:r>
          </w:p>
        </w:tc>
        <w:tc>
          <w:tcPr>
            <w:tcW w:w="639" w:type="pct"/>
            <w:vAlign w:val="center"/>
          </w:tcPr>
          <w:p w14:paraId="5345AE6C">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20分</w:t>
            </w:r>
          </w:p>
        </w:tc>
      </w:tr>
      <w:tr w14:paraId="25A0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335" w:type="pct"/>
            <w:vAlign w:val="center"/>
          </w:tcPr>
          <w:p w14:paraId="47D835B9">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5</w:t>
            </w:r>
          </w:p>
        </w:tc>
        <w:tc>
          <w:tcPr>
            <w:tcW w:w="619" w:type="pct"/>
            <w:vAlign w:val="center"/>
          </w:tcPr>
          <w:p w14:paraId="7E495E49">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服务质量保障方案</w:t>
            </w:r>
          </w:p>
        </w:tc>
        <w:tc>
          <w:tcPr>
            <w:tcW w:w="3406" w:type="pct"/>
            <w:gridSpan w:val="2"/>
            <w:vAlign w:val="center"/>
          </w:tcPr>
          <w:p w14:paraId="66E2937A">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3374BCB2">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供应商针对本项目提供服务</w:t>
            </w:r>
            <w:r>
              <w:rPr>
                <w:rFonts w:hint="eastAsia" w:ascii="华文仿宋" w:hAnsi="华文仿宋" w:eastAsia="华文仿宋" w:cs="华文仿宋"/>
                <w:color w:val="000000"/>
                <w:sz w:val="24"/>
                <w:szCs w:val="24"/>
                <w:highlight w:val="none"/>
                <w:lang w:val="en-US" w:eastAsia="zh-CN"/>
              </w:rPr>
              <w:t>质量保障</w:t>
            </w:r>
            <w:r>
              <w:rPr>
                <w:rFonts w:hint="eastAsia" w:ascii="华文仿宋" w:hAnsi="华文仿宋" w:eastAsia="华文仿宋" w:cs="华文仿宋"/>
                <w:color w:val="000000"/>
                <w:sz w:val="24"/>
                <w:szCs w:val="24"/>
                <w:highlight w:val="none"/>
              </w:rPr>
              <w:t>方案，方案</w:t>
            </w:r>
            <w:r>
              <w:rPr>
                <w:rFonts w:hint="eastAsia" w:ascii="华文仿宋" w:hAnsi="华文仿宋" w:eastAsia="华文仿宋" w:cs="华文仿宋"/>
                <w:color w:val="000000"/>
                <w:sz w:val="24"/>
                <w:szCs w:val="24"/>
                <w:highlight w:val="none"/>
                <w:lang w:val="en-US" w:eastAsia="zh-CN"/>
              </w:rPr>
              <w:t>至少应包括</w:t>
            </w:r>
            <w:r>
              <w:rPr>
                <w:rFonts w:hint="eastAsia" w:ascii="华文仿宋" w:hAnsi="华文仿宋" w:eastAsia="华文仿宋" w:cs="华文仿宋"/>
                <w:color w:val="000000"/>
                <w:sz w:val="24"/>
                <w:szCs w:val="24"/>
                <w:highlight w:val="none"/>
              </w:rPr>
              <w:t>①项目组织机构</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lang w:val="en-US" w:eastAsia="zh-CN"/>
              </w:rPr>
              <w:t>评估人员工作调动等风险的应对方案</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rPr>
              <w:t>②</w:t>
            </w:r>
            <w:r>
              <w:rPr>
                <w:rFonts w:hint="eastAsia" w:ascii="华文仿宋" w:hAnsi="华文仿宋" w:eastAsia="华文仿宋" w:cs="华文仿宋"/>
                <w:color w:val="000000"/>
                <w:sz w:val="24"/>
                <w:szCs w:val="24"/>
                <w:highlight w:val="none"/>
                <w:lang w:val="en-US" w:eastAsia="zh-CN"/>
              </w:rPr>
              <w:t>特殊情况下加快评估工作进度的方案</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rPr>
              <w:t>③团队人员职责分工</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rPr>
              <w:t>④评估成果质量保障</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lang w:val="en-US" w:eastAsia="zh-CN"/>
              </w:rPr>
              <w:t>⑤争议解决方式方法。</w:t>
            </w:r>
            <w:r>
              <w:rPr>
                <w:rFonts w:hint="eastAsia" w:ascii="华文仿宋" w:hAnsi="华文仿宋" w:eastAsia="华文仿宋" w:cs="华文仿宋"/>
                <w:color w:val="000000"/>
                <w:sz w:val="24"/>
                <w:szCs w:val="24"/>
                <w:highlight w:val="none"/>
              </w:rPr>
              <w:t>方案包含以上</w:t>
            </w:r>
            <w:r>
              <w:rPr>
                <w:rFonts w:hint="eastAsia" w:ascii="华文仿宋" w:hAnsi="华文仿宋" w:eastAsia="华文仿宋" w:cs="华文仿宋"/>
                <w:color w:val="000000"/>
                <w:sz w:val="24"/>
                <w:szCs w:val="24"/>
                <w:highlight w:val="none"/>
                <w:lang w:val="en-US" w:eastAsia="zh-CN"/>
              </w:rPr>
              <w:t>5</w:t>
            </w:r>
            <w:r>
              <w:rPr>
                <w:rFonts w:hint="eastAsia" w:ascii="华文仿宋" w:hAnsi="华文仿宋" w:eastAsia="华文仿宋" w:cs="华文仿宋"/>
                <w:color w:val="000000"/>
                <w:sz w:val="24"/>
                <w:szCs w:val="24"/>
                <w:highlight w:val="none"/>
              </w:rPr>
              <w:t>项得</w:t>
            </w:r>
            <w:r>
              <w:rPr>
                <w:rFonts w:hint="eastAsia" w:ascii="华文仿宋" w:hAnsi="华文仿宋" w:eastAsia="华文仿宋" w:cs="华文仿宋"/>
                <w:color w:val="000000"/>
                <w:sz w:val="24"/>
                <w:szCs w:val="24"/>
                <w:highlight w:val="none"/>
                <w:lang w:val="en-US" w:eastAsia="zh-CN"/>
              </w:rPr>
              <w:t>10</w:t>
            </w:r>
            <w:r>
              <w:rPr>
                <w:rFonts w:hint="eastAsia" w:ascii="华文仿宋" w:hAnsi="华文仿宋" w:eastAsia="华文仿宋" w:cs="华文仿宋"/>
                <w:color w:val="000000"/>
                <w:sz w:val="24"/>
                <w:szCs w:val="24"/>
                <w:highlight w:val="none"/>
              </w:rPr>
              <w:t>分；每缺少一项内容扣</w:t>
            </w:r>
            <w:r>
              <w:rPr>
                <w:rFonts w:hint="eastAsia" w:ascii="华文仿宋" w:hAnsi="华文仿宋" w:eastAsia="华文仿宋" w:cs="华文仿宋"/>
                <w:color w:val="000000"/>
                <w:sz w:val="24"/>
                <w:szCs w:val="24"/>
                <w:highlight w:val="none"/>
                <w:lang w:val="en-US" w:eastAsia="zh-CN"/>
              </w:rPr>
              <w:t>2</w:t>
            </w:r>
            <w:r>
              <w:rPr>
                <w:rFonts w:hint="eastAsia" w:ascii="华文仿宋" w:hAnsi="华文仿宋" w:eastAsia="华文仿宋" w:cs="华文仿宋"/>
                <w:color w:val="000000"/>
                <w:sz w:val="24"/>
                <w:szCs w:val="24"/>
                <w:highlight w:val="none"/>
              </w:rPr>
              <w:t>分；</w:t>
            </w:r>
            <w:r>
              <w:rPr>
                <w:rFonts w:hint="eastAsia" w:ascii="华文仿宋" w:hAnsi="华文仿宋" w:eastAsia="华文仿宋" w:cs="华文仿宋"/>
                <w:color w:val="000000"/>
                <w:sz w:val="24"/>
                <w:szCs w:val="24"/>
                <w:highlight w:val="none"/>
              </w:rPr>
              <w:br w:type="textWrapping"/>
            </w:r>
            <w:r>
              <w:rPr>
                <w:rFonts w:hint="eastAsia" w:ascii="华文仿宋" w:hAnsi="华文仿宋" w:eastAsia="华文仿宋" w:cs="华文仿宋"/>
                <w:color w:val="000000"/>
                <w:sz w:val="24"/>
                <w:szCs w:val="24"/>
                <w:highlight w:val="none"/>
              </w:rPr>
              <w:t xml:space="preserve">在以上基础上，根据投标人的具体响应内容按照量化的评审因素指标进一步评审： </w:t>
            </w:r>
          </w:p>
          <w:p w14:paraId="1A58BA1C">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（1）</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实施可行性好，工作安排科学合理，评审为优，加</w:t>
            </w:r>
            <w:r>
              <w:rPr>
                <w:rFonts w:hint="eastAsia" w:ascii="华文仿宋" w:hAnsi="华文仿宋" w:eastAsia="华文仿宋" w:cs="华文仿宋"/>
                <w:color w:val="000000"/>
                <w:sz w:val="24"/>
                <w:szCs w:val="24"/>
                <w:highlight w:val="none"/>
                <w:lang w:val="en-US" w:eastAsia="zh-CN"/>
              </w:rPr>
              <w:t>5</w:t>
            </w:r>
            <w:r>
              <w:rPr>
                <w:rFonts w:hint="eastAsia" w:ascii="华文仿宋" w:hAnsi="华文仿宋" w:eastAsia="华文仿宋" w:cs="华文仿宋"/>
                <w:color w:val="000000"/>
                <w:sz w:val="24"/>
                <w:szCs w:val="24"/>
                <w:highlight w:val="none"/>
              </w:rPr>
              <w:t xml:space="preserve">分； </w:t>
            </w:r>
          </w:p>
          <w:p w14:paraId="58FAE4C5">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（2）</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实施比较准确，可行性较好，工作安排较清晰，评审为良，加</w:t>
            </w:r>
            <w:r>
              <w:rPr>
                <w:rFonts w:hint="eastAsia" w:ascii="华文仿宋" w:hAnsi="华文仿宋" w:eastAsia="华文仿宋" w:cs="华文仿宋"/>
                <w:color w:val="000000"/>
                <w:sz w:val="24"/>
                <w:szCs w:val="24"/>
                <w:highlight w:val="none"/>
                <w:lang w:val="en-US" w:eastAsia="zh-CN"/>
              </w:rPr>
              <w:t>3</w:t>
            </w:r>
            <w:r>
              <w:rPr>
                <w:rFonts w:hint="eastAsia" w:ascii="华文仿宋" w:hAnsi="华文仿宋" w:eastAsia="华文仿宋" w:cs="华文仿宋"/>
                <w:color w:val="000000"/>
                <w:sz w:val="24"/>
                <w:szCs w:val="24"/>
                <w:highlight w:val="none"/>
              </w:rPr>
              <w:t xml:space="preserve">分； </w:t>
            </w:r>
          </w:p>
          <w:p w14:paraId="123F28AC">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（3）</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 xml:space="preserve">实施较不准确，可行性一般，工作安排较不合理，评审为中，加2分。 </w:t>
            </w:r>
          </w:p>
          <w:p w14:paraId="77458CDC">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 xml:space="preserve">（4）项目规划实施不准确，可行性差，工作安排不合理，评审为差，加1分。 </w:t>
            </w:r>
          </w:p>
          <w:p w14:paraId="3C5F7232">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（5）未提供方案不得分。</w:t>
            </w:r>
          </w:p>
          <w:p w14:paraId="1D760C49">
            <w:pPr>
              <w:spacing w:line="40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证明材料：</w:t>
            </w:r>
          </w:p>
          <w:p w14:paraId="61EBABDA">
            <w:pPr>
              <w:numPr>
                <w:ilvl w:val="0"/>
                <w:numId w:val="0"/>
              </w:numPr>
              <w:spacing w:line="0" w:lineRule="atLeast"/>
              <w:rPr>
                <w:rFonts w:hint="eastAsia" w:asciiTheme="minorEastAsia" w:hAnsiTheme="minorEastAsia" w:eastAsiaTheme="minorEastAsia" w:cstheme="minorEastAsia"/>
                <w:color w:val="auto"/>
                <w:sz w:val="21"/>
                <w:szCs w:val="21"/>
                <w:highlight w:val="none"/>
              </w:rPr>
            </w:pPr>
            <w:r>
              <w:rPr>
                <w:rFonts w:hint="eastAsia" w:ascii="华文仿宋" w:hAnsi="华文仿宋" w:eastAsia="华文仿宋" w:cs="华文仿宋"/>
                <w:color w:val="000000"/>
                <w:sz w:val="24"/>
                <w:szCs w:val="24"/>
                <w:highlight w:val="none"/>
                <w:lang w:val="en-US" w:eastAsia="zh-CN"/>
              </w:rPr>
              <w:t>提供服务质量保障方案，并加盖公章</w:t>
            </w:r>
          </w:p>
        </w:tc>
        <w:tc>
          <w:tcPr>
            <w:tcW w:w="639" w:type="pct"/>
            <w:vAlign w:val="center"/>
          </w:tcPr>
          <w:p w14:paraId="5C210B63">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15分</w:t>
            </w:r>
          </w:p>
        </w:tc>
      </w:tr>
      <w:tr w14:paraId="6DC2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6" w:hRule="atLeast"/>
          <w:jc w:val="center"/>
        </w:trPr>
        <w:tc>
          <w:tcPr>
            <w:tcW w:w="335" w:type="pct"/>
            <w:vAlign w:val="center"/>
          </w:tcPr>
          <w:p w14:paraId="004281AC">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6</w:t>
            </w:r>
          </w:p>
        </w:tc>
        <w:tc>
          <w:tcPr>
            <w:tcW w:w="619" w:type="pct"/>
            <w:vAlign w:val="center"/>
          </w:tcPr>
          <w:p w14:paraId="46C4FF2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报价</w:t>
            </w:r>
          </w:p>
          <w:p w14:paraId="46030426">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得分</w:t>
            </w:r>
          </w:p>
        </w:tc>
        <w:tc>
          <w:tcPr>
            <w:tcW w:w="3406" w:type="pct"/>
            <w:gridSpan w:val="2"/>
            <w:vAlign w:val="center"/>
          </w:tcPr>
          <w:p w14:paraId="7BA6C731">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4BD585BF">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采用低价优先法计算，投标总价最低的投标报价为评标基准价，其价格分为满分。</w:t>
            </w:r>
          </w:p>
          <w:p w14:paraId="20110E0A">
            <w:pPr>
              <w:numPr>
                <w:ilvl w:val="0"/>
                <w:numId w:val="0"/>
              </w:numPr>
              <w:spacing w:line="0" w:lineRule="atLeast"/>
              <w:rPr>
                <w:rFonts w:hint="default"/>
                <w:lang w:val="en-US"/>
              </w:rPr>
            </w:pPr>
            <w:r>
              <w:rPr>
                <w:rFonts w:hint="eastAsia" w:ascii="华文仿宋" w:hAnsi="华文仿宋" w:eastAsia="华文仿宋" w:cs="华文仿宋"/>
                <w:color w:val="000000"/>
                <w:sz w:val="24"/>
                <w:szCs w:val="24"/>
                <w:highlight w:val="none"/>
              </w:rPr>
              <w:t>其他投标人的价格分统一按照下列公式计算：投标报价得分=(评标基准价／投标总价)×</w:t>
            </w:r>
            <w:r>
              <w:rPr>
                <w:rFonts w:hint="eastAsia" w:ascii="华文仿宋" w:hAnsi="华文仿宋" w:eastAsia="华文仿宋" w:cs="华文仿宋"/>
                <w:color w:val="000000"/>
                <w:sz w:val="24"/>
                <w:szCs w:val="24"/>
                <w:highlight w:val="none"/>
                <w:lang w:val="en-US" w:eastAsia="zh-CN"/>
              </w:rPr>
              <w:t>20</w:t>
            </w:r>
          </w:p>
          <w:p w14:paraId="18C5A1D8">
            <w:pPr>
              <w:spacing w:line="40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证明材料：</w:t>
            </w:r>
          </w:p>
          <w:p w14:paraId="27E67F4D">
            <w:pPr>
              <w:numPr>
                <w:ilvl w:val="0"/>
                <w:numId w:val="0"/>
              </w:numPr>
              <w:spacing w:line="0" w:lineRule="atLeast"/>
              <w:rPr>
                <w:rFonts w:hint="eastAsia" w:asciiTheme="minorEastAsia" w:hAnsiTheme="minorEastAsia" w:eastAsiaTheme="minorEastAsia" w:cstheme="minorEastAsia"/>
                <w:color w:val="000000"/>
                <w:sz w:val="21"/>
                <w:szCs w:val="21"/>
                <w:highlight w:val="none"/>
              </w:rPr>
            </w:pPr>
            <w:r>
              <w:rPr>
                <w:rFonts w:hint="eastAsia" w:ascii="华文仿宋" w:hAnsi="华文仿宋" w:eastAsia="华文仿宋" w:cs="华文仿宋"/>
                <w:color w:val="000000"/>
                <w:sz w:val="24"/>
                <w:szCs w:val="24"/>
                <w:highlight w:val="none"/>
                <w:lang w:val="en-US" w:eastAsia="zh-CN"/>
              </w:rPr>
              <w:t>提供响应报价，并加盖公章</w:t>
            </w:r>
          </w:p>
        </w:tc>
        <w:tc>
          <w:tcPr>
            <w:tcW w:w="639" w:type="pct"/>
            <w:vAlign w:val="center"/>
          </w:tcPr>
          <w:p w14:paraId="4106E20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20分</w:t>
            </w:r>
          </w:p>
        </w:tc>
      </w:tr>
      <w:tr w14:paraId="368D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4360" w:type="pct"/>
            <w:gridSpan w:val="4"/>
            <w:vAlign w:val="center"/>
          </w:tcPr>
          <w:p w14:paraId="5629324C">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Theme="minorEastAsia" w:hAnsiTheme="minorEastAsia" w:eastAsiaTheme="minorEastAsia" w:cstheme="minorEastAsia"/>
                <w:b/>
                <w:bCs/>
                <w:color w:val="000000"/>
                <w:sz w:val="21"/>
                <w:szCs w:val="21"/>
                <w:highlight w:val="none"/>
              </w:rPr>
              <w:t>合计</w:t>
            </w:r>
          </w:p>
        </w:tc>
        <w:tc>
          <w:tcPr>
            <w:tcW w:w="639" w:type="pct"/>
            <w:vAlign w:val="center"/>
          </w:tcPr>
          <w:p w14:paraId="6750AF6B">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100分</w:t>
            </w:r>
          </w:p>
        </w:tc>
      </w:tr>
      <w:tr w14:paraId="286B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2831" w:type="pct"/>
            <w:gridSpan w:val="3"/>
            <w:vAlign w:val="center"/>
          </w:tcPr>
          <w:p w14:paraId="15F06A76">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Theme="minorEastAsia" w:hAnsiTheme="minorEastAsia" w:eastAsiaTheme="minorEastAsia" w:cstheme="minorEastAsia"/>
                <w:b/>
                <w:bCs/>
                <w:color w:val="000000"/>
                <w:sz w:val="21"/>
                <w:szCs w:val="21"/>
                <w:highlight w:val="none"/>
              </w:rPr>
              <w:t>拟推荐成交候选供应商（原则推荐评审综合得分最高的单位）</w:t>
            </w:r>
          </w:p>
        </w:tc>
        <w:tc>
          <w:tcPr>
            <w:tcW w:w="2168" w:type="pct"/>
            <w:gridSpan w:val="2"/>
            <w:vAlign w:val="center"/>
          </w:tcPr>
          <w:p w14:paraId="5B04E48D">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p>
        </w:tc>
      </w:tr>
      <w:bookmarkEnd w:id="0"/>
    </w:tbl>
    <w:p w14:paraId="0CC81547">
      <w:pPr>
        <w:ind w:firstLine="420" w:firstLineChars="200"/>
        <w:rPr>
          <w:rFonts w:hint="eastAsia" w:ascii="华文仿宋" w:hAnsi="华文仿宋" w:eastAsia="华文仿宋" w:cs="华文仿宋"/>
          <w:color w:val="000000"/>
          <w:szCs w:val="21"/>
          <w:highlight w:val="none"/>
        </w:rPr>
      </w:pPr>
    </w:p>
    <w:p w14:paraId="5EB347C6">
      <w:pPr>
        <w:ind w:firstLine="420" w:firstLineChars="200"/>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备注：1.各项评审打分按照四舍五入，小数点后保留2位进行计算；</w:t>
      </w:r>
    </w:p>
    <w:p w14:paraId="257FC9DD">
      <w:pPr>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 xml:space="preserve">          2.若出现拟推荐成交候选供应商</w:t>
      </w:r>
      <w:r>
        <w:rPr>
          <w:rFonts w:hint="eastAsia" w:ascii="华文仿宋" w:hAnsi="华文仿宋" w:eastAsia="华文仿宋" w:cs="华文仿宋"/>
          <w:color w:val="000000"/>
          <w:szCs w:val="21"/>
          <w:highlight w:val="none"/>
          <w:lang w:val="en-US" w:eastAsia="zh-CN"/>
        </w:rPr>
        <w:t>得分</w:t>
      </w:r>
      <w:r>
        <w:rPr>
          <w:rFonts w:hint="eastAsia" w:ascii="华文仿宋" w:hAnsi="华文仿宋" w:eastAsia="华文仿宋" w:cs="华文仿宋"/>
          <w:color w:val="000000"/>
          <w:szCs w:val="21"/>
          <w:highlight w:val="none"/>
        </w:rPr>
        <w:t>相同的情况，</w:t>
      </w:r>
      <w:r>
        <w:rPr>
          <w:rFonts w:hint="eastAsia" w:ascii="华文仿宋" w:hAnsi="华文仿宋" w:eastAsia="华文仿宋" w:cs="华文仿宋"/>
          <w:color w:val="000000"/>
          <w:szCs w:val="21"/>
          <w:highlight w:val="none"/>
          <w:lang w:val="en-US" w:eastAsia="zh-CN"/>
        </w:rPr>
        <w:t>抽签确定成交候选供应商</w:t>
      </w:r>
      <w:r>
        <w:rPr>
          <w:rFonts w:hint="eastAsia" w:ascii="华文仿宋" w:hAnsi="华文仿宋" w:eastAsia="华文仿宋" w:cs="华文仿宋"/>
          <w:color w:val="000000"/>
          <w:szCs w:val="21"/>
          <w:highlight w:val="none"/>
        </w:rPr>
        <w:t>。</w:t>
      </w:r>
    </w:p>
    <w:p w14:paraId="01799FA7">
      <w:pPr>
        <w:ind w:firstLine="1050" w:firstLineChars="500"/>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3.不同响应单位的响应文件载明的拟派遣团队成员出现同一人的，双方涉及团队评分项均为0分。</w:t>
      </w:r>
    </w:p>
    <w:p w14:paraId="73C25D2F"/>
    <w:p w14:paraId="0C22604B">
      <w:pPr>
        <w:pStyle w:val="2"/>
        <w:rPr>
          <w:rFonts w:hint="eastAsia"/>
          <w:color w:val="auto"/>
        </w:rPr>
      </w:pPr>
    </w:p>
    <w:p w14:paraId="6B4E572A">
      <w:pPr>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
          <w:bCs/>
          <w:color w:val="auto"/>
          <w:sz w:val="30"/>
          <w:szCs w:val="30"/>
          <w:highlight w:val="none"/>
        </w:rPr>
      </w:pPr>
      <w:r>
        <w:rPr>
          <w:rFonts w:hint="eastAsia" w:ascii="华文仿宋" w:hAnsi="华文仿宋" w:eastAsia="华文仿宋" w:cs="华文仿宋"/>
          <w:b/>
          <w:bCs/>
          <w:color w:val="auto"/>
          <w:sz w:val="30"/>
          <w:szCs w:val="30"/>
          <w:highlight w:val="none"/>
        </w:rPr>
        <w:br w:type="page"/>
      </w:r>
    </w:p>
    <w:p w14:paraId="0C8961E8">
      <w:pPr>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
          <w:bCs/>
          <w:color w:val="auto"/>
          <w:sz w:val="30"/>
          <w:szCs w:val="30"/>
          <w:highlight w:val="none"/>
        </w:rPr>
      </w:pPr>
      <w:r>
        <w:rPr>
          <w:rFonts w:hint="eastAsia" w:ascii="华文仿宋" w:hAnsi="华文仿宋" w:eastAsia="华文仿宋" w:cs="华文仿宋"/>
          <w:b/>
          <w:bCs/>
          <w:color w:val="auto"/>
          <w:sz w:val="30"/>
          <w:szCs w:val="30"/>
          <w:highlight w:val="none"/>
        </w:rPr>
        <w:t>附件三：承诺函</w:t>
      </w:r>
    </w:p>
    <w:p w14:paraId="27F1E61B">
      <w:pPr>
        <w:pStyle w:val="2"/>
        <w:keepNext w:val="0"/>
        <w:keepLines w:val="0"/>
        <w:pageBreakBefore w:val="0"/>
        <w:kinsoku/>
        <w:wordWrap/>
        <w:overflowPunct/>
        <w:topLinePunct w:val="0"/>
        <w:autoSpaceDE/>
        <w:autoSpaceDN/>
        <w:bidi w:val="0"/>
        <w:spacing w:line="560" w:lineRule="exact"/>
        <w:jc w:val="center"/>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color w:val="auto"/>
          <w:sz w:val="36"/>
          <w:szCs w:val="36"/>
          <w:highlight w:val="none"/>
        </w:rPr>
        <w:t>承诺函</w:t>
      </w:r>
    </w:p>
    <w:p w14:paraId="20234DBA">
      <w:pPr>
        <w:pStyle w:val="2"/>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Cs/>
          <w:color w:val="auto"/>
          <w:sz w:val="24"/>
          <w:szCs w:val="24"/>
          <w:highlight w:val="none"/>
        </w:rPr>
      </w:pPr>
    </w:p>
    <w:p w14:paraId="687967E9">
      <w:pPr>
        <w:pStyle w:val="2"/>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华文仿宋" w:hAnsi="华文仿宋" w:eastAsia="华文仿宋" w:cs="华文仿宋"/>
          <w:bCs/>
          <w:color w:val="auto"/>
          <w:sz w:val="24"/>
          <w:szCs w:val="24"/>
          <w:highlight w:val="none"/>
          <w:u w:val="single"/>
          <w:lang w:eastAsia="zh-CN"/>
        </w:rPr>
      </w:pPr>
      <w:r>
        <w:rPr>
          <w:rFonts w:hint="eastAsia" w:ascii="华文仿宋" w:hAnsi="华文仿宋" w:eastAsia="华文仿宋" w:cs="华文仿宋"/>
          <w:bCs/>
          <w:color w:val="auto"/>
          <w:sz w:val="24"/>
          <w:szCs w:val="24"/>
          <w:highlight w:val="none"/>
        </w:rPr>
        <w:t>致采购人</w:t>
      </w:r>
      <w:r>
        <w:rPr>
          <w:rFonts w:hint="eastAsia" w:ascii="华文仿宋" w:hAnsi="华文仿宋" w:eastAsia="华文仿宋" w:cs="华文仿宋"/>
          <w:bCs/>
          <w:color w:val="auto"/>
          <w:sz w:val="24"/>
          <w:szCs w:val="24"/>
          <w:highlight w:val="none"/>
          <w:lang w:eastAsia="zh-CN"/>
        </w:rPr>
        <w:t>：</w:t>
      </w:r>
      <w:r>
        <w:rPr>
          <w:rFonts w:hint="eastAsia" w:ascii="华文仿宋" w:hAnsi="华文仿宋" w:eastAsia="华文仿宋" w:cs="华文仿宋"/>
          <w:color w:val="auto"/>
          <w:sz w:val="24"/>
          <w:szCs w:val="24"/>
          <w:highlight w:val="none"/>
          <w:u w:val="single"/>
        </w:rPr>
        <w:t xml:space="preserve"> </w:t>
      </w:r>
      <w:r>
        <w:rPr>
          <w:rFonts w:hint="eastAsia" w:ascii="华文仿宋" w:hAnsi="华文仿宋" w:eastAsia="华文仿宋" w:cs="华文仿宋"/>
          <w:color w:val="auto"/>
          <w:sz w:val="24"/>
          <w:szCs w:val="24"/>
          <w:highlight w:val="none"/>
          <w:u w:val="single"/>
          <w:lang w:eastAsia="zh-CN"/>
        </w:rPr>
        <w:t>深圳市龙岗区保障性住房投资有限公司</w:t>
      </w:r>
    </w:p>
    <w:p w14:paraId="218D755A">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为了确保本项目</w:t>
      </w:r>
      <w:r>
        <w:rPr>
          <w:rFonts w:hint="eastAsia" w:ascii="华文仿宋" w:hAnsi="华文仿宋" w:eastAsia="华文仿宋" w:cs="华文仿宋"/>
          <w:bCs/>
          <w:color w:val="auto"/>
          <w:sz w:val="24"/>
          <w:szCs w:val="24"/>
          <w:u w:val="single"/>
        </w:rPr>
        <w:t>收购保障性租赁住房项目（2026）</w:t>
      </w:r>
      <w:r>
        <w:rPr>
          <w:rFonts w:hint="eastAsia" w:ascii="华文仿宋" w:hAnsi="华文仿宋" w:eastAsia="华文仿宋" w:cs="华文仿宋"/>
          <w:bCs/>
          <w:color w:val="auto"/>
          <w:sz w:val="24"/>
          <w:szCs w:val="24"/>
          <w:highlight w:val="none"/>
          <w:u w:val="single"/>
        </w:rPr>
        <w:t>可行性研究</w:t>
      </w:r>
      <w:r>
        <w:rPr>
          <w:rFonts w:hint="eastAsia" w:ascii="华文仿宋" w:hAnsi="华文仿宋" w:eastAsia="华文仿宋" w:cs="华文仿宋"/>
          <w:bCs/>
          <w:color w:val="auto"/>
          <w:sz w:val="24"/>
          <w:szCs w:val="24"/>
          <w:highlight w:val="none"/>
          <w:u w:val="single"/>
          <w:lang w:val="en-US" w:eastAsia="zh-CN"/>
        </w:rPr>
        <w:t>报告编制服务</w:t>
      </w:r>
      <w:r>
        <w:rPr>
          <w:rFonts w:hint="eastAsia" w:ascii="华文仿宋" w:hAnsi="华文仿宋" w:eastAsia="华文仿宋" w:cs="华文仿宋"/>
          <w:bCs/>
          <w:color w:val="auto"/>
          <w:sz w:val="24"/>
          <w:szCs w:val="24"/>
          <w:highlight w:val="none"/>
        </w:rPr>
        <w:t>工作顺利进行，我方将严格执行建设工程招标投标管理的法律法规，并完全接受</w:t>
      </w:r>
      <w:r>
        <w:rPr>
          <w:rFonts w:hint="eastAsia" w:ascii="华文仿宋" w:hAnsi="华文仿宋" w:eastAsia="华文仿宋" w:cs="华文仿宋"/>
          <w:bCs/>
          <w:color w:val="auto"/>
          <w:sz w:val="24"/>
          <w:szCs w:val="24"/>
          <w:u w:val="single"/>
        </w:rPr>
        <w:t>收购保障性租赁住房项目（2026）</w:t>
      </w:r>
      <w:r>
        <w:rPr>
          <w:rFonts w:hint="eastAsia" w:ascii="华文仿宋" w:hAnsi="华文仿宋" w:eastAsia="华文仿宋" w:cs="华文仿宋"/>
          <w:bCs/>
          <w:color w:val="auto"/>
          <w:sz w:val="24"/>
          <w:szCs w:val="24"/>
          <w:highlight w:val="none"/>
          <w:u w:val="single"/>
          <w:lang w:val="en-US" w:eastAsia="zh-CN"/>
        </w:rPr>
        <w:t>的可行性研究</w:t>
      </w:r>
      <w:r>
        <w:rPr>
          <w:rFonts w:hint="eastAsia" w:ascii="华文仿宋" w:hAnsi="华文仿宋" w:eastAsia="华文仿宋" w:cs="华文仿宋"/>
          <w:bCs/>
          <w:color w:val="auto"/>
          <w:sz w:val="24"/>
          <w:szCs w:val="24"/>
          <w:highlight w:val="none"/>
          <w:u w:val="single"/>
        </w:rPr>
        <w:t>报告编制</w:t>
      </w:r>
      <w:r>
        <w:rPr>
          <w:rFonts w:hint="eastAsia" w:ascii="华文仿宋" w:hAnsi="华文仿宋" w:eastAsia="华文仿宋" w:cs="华文仿宋"/>
          <w:bCs/>
          <w:color w:val="auto"/>
          <w:sz w:val="24"/>
          <w:szCs w:val="24"/>
          <w:highlight w:val="none"/>
          <w:u w:val="single"/>
          <w:lang w:val="en-US" w:eastAsia="zh-CN"/>
        </w:rPr>
        <w:t>服务</w:t>
      </w:r>
      <w:r>
        <w:rPr>
          <w:rFonts w:hint="eastAsia" w:ascii="华文仿宋" w:hAnsi="华文仿宋" w:eastAsia="华文仿宋" w:cs="华文仿宋"/>
          <w:bCs/>
          <w:color w:val="auto"/>
          <w:sz w:val="24"/>
          <w:szCs w:val="24"/>
          <w:u w:val="single"/>
          <w:lang w:val="en-US" w:eastAsia="zh-CN"/>
        </w:rPr>
        <w:t>采购公告</w:t>
      </w:r>
      <w:r>
        <w:rPr>
          <w:rFonts w:hint="eastAsia" w:ascii="华文仿宋" w:hAnsi="华文仿宋" w:eastAsia="华文仿宋" w:cs="华文仿宋"/>
          <w:bCs/>
          <w:color w:val="auto"/>
          <w:sz w:val="24"/>
          <w:szCs w:val="24"/>
          <w:highlight w:val="none"/>
        </w:rPr>
        <w:t>的所有内容及要求，为此作出如下承诺：</w:t>
      </w:r>
    </w:p>
    <w:p w14:paraId="015E3C30">
      <w:pPr>
        <w:pStyle w:val="2"/>
        <w:keepNext w:val="0"/>
        <w:keepLines w:val="0"/>
        <w:pageBreakBefore w:val="0"/>
        <w:widowControl w:val="0"/>
        <w:numPr>
          <w:ilvl w:val="0"/>
          <w:numId w:val="4"/>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
          <w:color w:val="auto"/>
          <w:sz w:val="24"/>
          <w:szCs w:val="24"/>
          <w:highlight w:val="none"/>
        </w:rPr>
      </w:pPr>
      <w:r>
        <w:rPr>
          <w:rFonts w:hint="eastAsia" w:ascii="华文仿宋" w:hAnsi="华文仿宋" w:eastAsia="华文仿宋" w:cs="华文仿宋"/>
          <w:b/>
          <w:bCs/>
          <w:color w:val="auto"/>
          <w:sz w:val="24"/>
          <w:szCs w:val="24"/>
          <w:highlight w:val="none"/>
        </w:rPr>
        <w:t>根</w:t>
      </w:r>
      <w:r>
        <w:rPr>
          <w:rFonts w:hint="eastAsia" w:ascii="华文仿宋" w:hAnsi="华文仿宋" w:eastAsia="华文仿宋" w:cs="华文仿宋"/>
          <w:b/>
          <w:color w:val="auto"/>
          <w:sz w:val="24"/>
          <w:szCs w:val="24"/>
          <w:highlight w:val="none"/>
        </w:rPr>
        <w:t>据企业自身情况，理性报价，不会以低于成本的报价竞标，并愿以</w:t>
      </w:r>
      <w:r>
        <w:rPr>
          <w:rFonts w:hint="eastAsia" w:ascii="华文仿宋" w:hAnsi="华文仿宋" w:eastAsia="华文仿宋" w:cs="华文仿宋"/>
          <w:b/>
          <w:color w:val="auto"/>
          <w:sz w:val="24"/>
          <w:szCs w:val="24"/>
          <w:highlight w:val="none"/>
          <w:u w:val="single"/>
        </w:rPr>
        <w:t xml:space="preserve">       </w:t>
      </w:r>
      <w:r>
        <w:rPr>
          <w:rFonts w:hint="eastAsia" w:ascii="华文仿宋" w:hAnsi="华文仿宋" w:eastAsia="华文仿宋" w:cs="华文仿宋"/>
          <w:b/>
          <w:color w:val="auto"/>
          <w:sz w:val="24"/>
          <w:szCs w:val="24"/>
          <w:highlight w:val="none"/>
          <w:u w:val="single"/>
          <w:lang w:val="en-US" w:eastAsia="zh-CN"/>
        </w:rPr>
        <w:t xml:space="preserve">  </w:t>
      </w:r>
      <w:r>
        <w:rPr>
          <w:rFonts w:hint="eastAsia" w:ascii="华文仿宋" w:hAnsi="华文仿宋" w:eastAsia="华文仿宋" w:cs="华文仿宋"/>
          <w:b/>
          <w:color w:val="auto"/>
          <w:sz w:val="24"/>
          <w:szCs w:val="24"/>
          <w:highlight w:val="none"/>
        </w:rPr>
        <w:t>万元，按照采购人要求承包本项目工作，并签署服务合同。否则，我方愿意承担任何风险。（响应供应商填写）</w:t>
      </w:r>
    </w:p>
    <w:p w14:paraId="5BEB5231">
      <w:pPr>
        <w:pStyle w:val="2"/>
        <w:keepNext w:val="0"/>
        <w:keepLines w:val="0"/>
        <w:pageBreakBefore w:val="0"/>
        <w:widowControl w:val="0"/>
        <w:numPr>
          <w:ilvl w:val="0"/>
          <w:numId w:val="4"/>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20FD150E">
      <w:pPr>
        <w:pStyle w:val="2"/>
        <w:keepNext w:val="0"/>
        <w:keepLines w:val="0"/>
        <w:pageBreakBefore w:val="0"/>
        <w:widowControl w:val="0"/>
        <w:numPr>
          <w:ilvl w:val="0"/>
          <w:numId w:val="4"/>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我方承诺履行项目管理班子配备义务，不擅自更换</w:t>
      </w:r>
      <w:r>
        <w:rPr>
          <w:rFonts w:hint="eastAsia" w:ascii="华文仿宋" w:hAnsi="华文仿宋" w:eastAsia="华文仿宋" w:cs="华文仿宋"/>
          <w:bCs/>
          <w:color w:val="auto"/>
          <w:sz w:val="24"/>
          <w:szCs w:val="24"/>
          <w:highlight w:val="none"/>
          <w:lang w:eastAsia="zh-CN"/>
        </w:rPr>
        <w:t>采购</w:t>
      </w:r>
      <w:r>
        <w:rPr>
          <w:rFonts w:hint="eastAsia" w:ascii="华文仿宋" w:hAnsi="华文仿宋" w:eastAsia="华文仿宋" w:cs="华文仿宋"/>
          <w:bCs/>
          <w:color w:val="auto"/>
          <w:sz w:val="24"/>
          <w:szCs w:val="24"/>
          <w:highlight w:val="none"/>
        </w:rPr>
        <w:t>时的项目团队（注册执业人员），如不能继续履行职责确需更换的，所更换人员为我单位职工，其从业资格不低于</w:t>
      </w:r>
      <w:r>
        <w:rPr>
          <w:rFonts w:hint="eastAsia" w:ascii="华文仿宋" w:hAnsi="华文仿宋" w:eastAsia="华文仿宋" w:cs="华文仿宋"/>
          <w:bCs/>
          <w:color w:val="auto"/>
          <w:sz w:val="24"/>
          <w:szCs w:val="24"/>
          <w:highlight w:val="none"/>
          <w:lang w:eastAsia="zh-CN"/>
        </w:rPr>
        <w:t>采购</w:t>
      </w:r>
      <w:r>
        <w:rPr>
          <w:rFonts w:hint="eastAsia" w:ascii="华文仿宋" w:hAnsi="华文仿宋" w:eastAsia="华文仿宋" w:cs="华文仿宋"/>
          <w:bCs/>
          <w:color w:val="auto"/>
          <w:sz w:val="24"/>
          <w:szCs w:val="24"/>
          <w:highlight w:val="none"/>
        </w:rPr>
        <w:t>时承诺条件。</w:t>
      </w:r>
    </w:p>
    <w:p w14:paraId="2C077E98">
      <w:pPr>
        <w:pStyle w:val="2"/>
        <w:keepNext w:val="0"/>
        <w:keepLines w:val="0"/>
        <w:pageBreakBefore w:val="0"/>
        <w:widowControl w:val="0"/>
        <w:numPr>
          <w:ilvl w:val="0"/>
          <w:numId w:val="4"/>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如果违反本承诺书中任何条款，我方愿意接受：</w:t>
      </w:r>
    </w:p>
    <w:p w14:paraId="0FF8FD1C">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（1）视作我方单方面违约，并按照合同规定向贵方支付违约金或解除合同；</w:t>
      </w:r>
    </w:p>
    <w:p w14:paraId="3BA85A7F">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（2）履约评价评定为合格及以下；</w:t>
      </w:r>
    </w:p>
    <w:p w14:paraId="4EADAA5C">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（3）贵方今后可拒绝我方参与投标；</w:t>
      </w:r>
    </w:p>
    <w:p w14:paraId="1D9E5191">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（4）建设行政主管部门或相关主管部门的不良行为记录、行政处罚。</w:t>
      </w:r>
    </w:p>
    <w:p w14:paraId="57B10D4C">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华文仿宋" w:hAnsi="华文仿宋" w:eastAsia="华文仿宋" w:cs="华文仿宋"/>
          <w:bCs/>
          <w:color w:val="auto"/>
          <w:sz w:val="24"/>
          <w:highlight w:val="none"/>
        </w:rPr>
      </w:pPr>
    </w:p>
    <w:p w14:paraId="26585E0B">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承诺单位（盖章）：</w:t>
      </w:r>
    </w:p>
    <w:p w14:paraId="6A8100F0">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法定代表人或授权委托人（签字或盖私章）：</w:t>
      </w:r>
    </w:p>
    <w:p w14:paraId="2F3F2E14">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lang w:val="en-US" w:eastAsia="zh-CN"/>
        </w:rPr>
      </w:pPr>
      <w:r>
        <w:rPr>
          <w:rFonts w:hint="eastAsia" w:ascii="华文仿宋" w:hAnsi="华文仿宋" w:eastAsia="华文仿宋" w:cs="华文仿宋"/>
          <w:bCs/>
          <w:color w:val="auto"/>
          <w:sz w:val="24"/>
          <w:highlight w:val="none"/>
        </w:rPr>
        <w:t>签署日期：    年    月    日</w:t>
      </w: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方正书宋_GBK">
    <w:altName w:val="方正小标宋简体"/>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default"/>
    <w:sig w:usb0="00000287" w:usb1="080F0000" w:usb2="00000000" w:usb3="00000000" w:csb0="0004009F" w:csb1="DFD70000"/>
  </w:font>
  <w:font w:name="方正公文黑体">
    <w:panose1 w:val="02000500000000000000"/>
    <w:charset w:val="86"/>
    <w:family w:val="auto"/>
    <w:pitch w:val="default"/>
    <w:sig w:usb0="A00002BF" w:usb1="38CF7CFA" w:usb2="00000016" w:usb3="00000000" w:csb0="00040001" w:csb1="00000000"/>
  </w:font>
  <w:font w:name="方正黑体_GBK">
    <w:altName w:val="方正公文黑体"/>
    <w:panose1 w:val="02000000000000000000"/>
    <w:charset w:val="86"/>
    <w:family w:val="auto"/>
    <w:pitch w:val="default"/>
    <w:sig w:usb0="00000000" w:usb1="00000000" w:usb2="00000000" w:usb3="00000000" w:csb0="00040000" w:csb1="00000000"/>
  </w:font>
  <w:font w:name="国标楷体">
    <w:panose1 w:val="02000500000000000000"/>
    <w:charset w:val="86"/>
    <w:family w:val="auto"/>
    <w:pitch w:val="default"/>
    <w:sig w:usb0="00000001" w:usb1="0800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altName w:val="楷体_GB2312"/>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4334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848DB">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5848DB">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F71EA30A"/>
    <w:multiLevelType w:val="singleLevel"/>
    <w:tmpl w:val="F71EA30A"/>
    <w:lvl w:ilvl="0" w:tentative="0">
      <w:start w:val="1"/>
      <w:numFmt w:val="chineseCounting"/>
      <w:suff w:val="nothing"/>
      <w:lvlText w:val="%1、"/>
      <w:lvlJc w:val="left"/>
      <w:rPr>
        <w:rFonts w:hint="eastAsia"/>
      </w:rPr>
    </w:lvl>
  </w:abstractNum>
  <w:abstractNum w:abstractNumId="2">
    <w:nsid w:val="F9F30709"/>
    <w:multiLevelType w:val="singleLevel"/>
    <w:tmpl w:val="F9F30709"/>
    <w:lvl w:ilvl="0" w:tentative="0">
      <w:start w:val="1"/>
      <w:numFmt w:val="decimal"/>
      <w:lvlText w:val="%1."/>
      <w:lvlJc w:val="left"/>
      <w:pPr>
        <w:ind w:left="425" w:hanging="425"/>
      </w:pPr>
      <w:rPr>
        <w:rFonts w:hint="default"/>
      </w:rPr>
    </w:lvl>
  </w:abstractNum>
  <w:abstractNum w:abstractNumId="3">
    <w:nsid w:val="02A4149A"/>
    <w:multiLevelType w:val="singleLevel"/>
    <w:tmpl w:val="02A4149A"/>
    <w:lvl w:ilvl="0" w:tentative="0">
      <w:start w:val="1"/>
      <w:numFmt w:val="chineseCounting"/>
      <w:suff w:val="nothing"/>
      <w:lvlText w:val="（%1）"/>
      <w:lvlJc w:val="left"/>
      <w:pPr>
        <w:ind w:left="0" w:firstLine="420"/>
      </w:pPr>
      <w:rPr>
        <w:rFonts w:hint="eastAsia" w:ascii="国标楷体" w:hAnsi="国标楷体" w:eastAsia="国标楷体" w:cs="国标楷体"/>
        <w:b w:val="0"/>
        <w:bCs w:val="0"/>
        <w:sz w:val="32"/>
        <w:szCs w:val="32"/>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D4"/>
    <w:rsid w:val="001B61D4"/>
    <w:rsid w:val="00270BE1"/>
    <w:rsid w:val="00472568"/>
    <w:rsid w:val="00601F86"/>
    <w:rsid w:val="00FE39EE"/>
    <w:rsid w:val="00FE504B"/>
    <w:rsid w:val="017E6B98"/>
    <w:rsid w:val="02672D80"/>
    <w:rsid w:val="03632ED3"/>
    <w:rsid w:val="06C61153"/>
    <w:rsid w:val="07C33824"/>
    <w:rsid w:val="08E7715F"/>
    <w:rsid w:val="08EC5790"/>
    <w:rsid w:val="094F7A3B"/>
    <w:rsid w:val="0BDD38FC"/>
    <w:rsid w:val="0BE04A65"/>
    <w:rsid w:val="0CE6207D"/>
    <w:rsid w:val="0D05510F"/>
    <w:rsid w:val="1355733F"/>
    <w:rsid w:val="13FA79DB"/>
    <w:rsid w:val="14B06F9F"/>
    <w:rsid w:val="15625A92"/>
    <w:rsid w:val="156E5EA0"/>
    <w:rsid w:val="161E0D86"/>
    <w:rsid w:val="16EB6EA7"/>
    <w:rsid w:val="17712A16"/>
    <w:rsid w:val="17957055"/>
    <w:rsid w:val="18145287"/>
    <w:rsid w:val="195C14A3"/>
    <w:rsid w:val="19FD26B3"/>
    <w:rsid w:val="1B471B2B"/>
    <w:rsid w:val="1BF260EF"/>
    <w:rsid w:val="1D793DCC"/>
    <w:rsid w:val="1DAC0C4B"/>
    <w:rsid w:val="1E1E4F79"/>
    <w:rsid w:val="1E301693"/>
    <w:rsid w:val="1E6054EA"/>
    <w:rsid w:val="1F0C330F"/>
    <w:rsid w:val="21973D3E"/>
    <w:rsid w:val="241F3477"/>
    <w:rsid w:val="24E8008F"/>
    <w:rsid w:val="253F60B9"/>
    <w:rsid w:val="258E6E89"/>
    <w:rsid w:val="29420CFC"/>
    <w:rsid w:val="298F7F39"/>
    <w:rsid w:val="29F64FFC"/>
    <w:rsid w:val="2C2E0A7D"/>
    <w:rsid w:val="2E946D80"/>
    <w:rsid w:val="2EA93FB1"/>
    <w:rsid w:val="2F77273B"/>
    <w:rsid w:val="30B07EC0"/>
    <w:rsid w:val="34254B2D"/>
    <w:rsid w:val="35402B48"/>
    <w:rsid w:val="36BCE001"/>
    <w:rsid w:val="37BB0E0D"/>
    <w:rsid w:val="3A824DB6"/>
    <w:rsid w:val="3C210D18"/>
    <w:rsid w:val="3F653C17"/>
    <w:rsid w:val="40073668"/>
    <w:rsid w:val="40474DA3"/>
    <w:rsid w:val="43593652"/>
    <w:rsid w:val="47592B00"/>
    <w:rsid w:val="4AA54CE9"/>
    <w:rsid w:val="4AB84C14"/>
    <w:rsid w:val="4BA269C6"/>
    <w:rsid w:val="4FDC68BF"/>
    <w:rsid w:val="51A4340C"/>
    <w:rsid w:val="524544CD"/>
    <w:rsid w:val="52622653"/>
    <w:rsid w:val="535C2A6C"/>
    <w:rsid w:val="54CD2C7A"/>
    <w:rsid w:val="56BBC6D2"/>
    <w:rsid w:val="58564D34"/>
    <w:rsid w:val="58A813FE"/>
    <w:rsid w:val="58AA02FB"/>
    <w:rsid w:val="59F31D20"/>
    <w:rsid w:val="5B3C46B5"/>
    <w:rsid w:val="5D877AF5"/>
    <w:rsid w:val="5EEF668F"/>
    <w:rsid w:val="5FA50C5D"/>
    <w:rsid w:val="5FC44C79"/>
    <w:rsid w:val="5FEC2BED"/>
    <w:rsid w:val="61FC434E"/>
    <w:rsid w:val="63D60DF0"/>
    <w:rsid w:val="678A728B"/>
    <w:rsid w:val="67FE44DF"/>
    <w:rsid w:val="68604F7A"/>
    <w:rsid w:val="68D66288"/>
    <w:rsid w:val="69201173"/>
    <w:rsid w:val="6A1D6BDC"/>
    <w:rsid w:val="6AC663B1"/>
    <w:rsid w:val="6B5B8D31"/>
    <w:rsid w:val="6C6C46CF"/>
    <w:rsid w:val="6D06662C"/>
    <w:rsid w:val="6DB079B5"/>
    <w:rsid w:val="6F7259B2"/>
    <w:rsid w:val="6FAB550E"/>
    <w:rsid w:val="6FB875FF"/>
    <w:rsid w:val="70DE78BA"/>
    <w:rsid w:val="710C3657"/>
    <w:rsid w:val="717F78E2"/>
    <w:rsid w:val="719321BA"/>
    <w:rsid w:val="722B72BA"/>
    <w:rsid w:val="748257C6"/>
    <w:rsid w:val="75976C60"/>
    <w:rsid w:val="76452454"/>
    <w:rsid w:val="76EF156E"/>
    <w:rsid w:val="77BCD6A2"/>
    <w:rsid w:val="78C67542"/>
    <w:rsid w:val="7A1D73A4"/>
    <w:rsid w:val="7A4533F2"/>
    <w:rsid w:val="7B00738C"/>
    <w:rsid w:val="7BDF8713"/>
    <w:rsid w:val="7C9A7950"/>
    <w:rsid w:val="7CE87F00"/>
    <w:rsid w:val="7EFDF617"/>
    <w:rsid w:val="7F8200BB"/>
    <w:rsid w:val="7F8C7D9C"/>
    <w:rsid w:val="D8762723"/>
    <w:rsid w:val="EDBF5601"/>
    <w:rsid w:val="EFDF1BAB"/>
    <w:rsid w:val="EFFD3F2C"/>
    <w:rsid w:val="FEBB6CC4"/>
    <w:rsid w:val="FFF628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1"/>
    </w:rPr>
  </w:style>
  <w:style w:type="paragraph" w:styleId="3">
    <w:name w:val="index 8"/>
    <w:basedOn w:val="1"/>
    <w:next w:val="1"/>
    <w:unhideWhenUsed/>
    <w:qFormat/>
    <w:uiPriority w:val="99"/>
    <w:pPr>
      <w:ind w:left="1400" w:leftChars="1400"/>
    </w:pPr>
  </w:style>
  <w:style w:type="paragraph" w:styleId="4">
    <w:name w:val="annotation text"/>
    <w:basedOn w:val="1"/>
    <w:unhideWhenUsed/>
    <w:qFormat/>
    <w:uiPriority w:val="0"/>
    <w:pPr>
      <w:jc w:val="left"/>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spacing w:line="600" w:lineRule="exact"/>
      <w:ind w:firstLine="880" w:firstLineChars="200"/>
    </w:pPr>
    <w:rPr>
      <w:rFonts w:eastAsia="仿宋_GB2312"/>
      <w:sz w:val="32"/>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customStyle="1" w:styleId="14">
    <w:name w:val="页脚 字符"/>
    <w:basedOn w:val="11"/>
    <w:link w:val="5"/>
    <w:qFormat/>
    <w:uiPriority w:val="0"/>
    <w:rPr>
      <w:rFonts w:asciiTheme="minorHAnsi" w:hAnsiTheme="minorHAnsi" w:eastAsiaTheme="minorEastAsia" w:cstheme="minorBidi"/>
      <w:kern w:val="2"/>
      <w:sz w:val="18"/>
      <w:szCs w:val="18"/>
    </w:rPr>
  </w:style>
  <w:style w:type="paragraph" w:customStyle="1" w:styleId="15">
    <w:name w:val="p3"/>
    <w:basedOn w:val="1"/>
    <w:qFormat/>
    <w:uiPriority w:val="0"/>
    <w:pPr>
      <w:spacing w:line="30" w:lineRule="atLeast"/>
      <w:jc w:val="center"/>
    </w:pPr>
    <w:rPr>
      <w:rFonts w:hint="eastAsia" w:ascii="宋体" w:hAnsi="宋体" w:cs="宋体"/>
      <w:kern w:val="0"/>
      <w:sz w:val="36"/>
      <w:szCs w:val="36"/>
    </w:rPr>
  </w:style>
  <w:style w:type="paragraph" w:styleId="16">
    <w:name w:val="List Paragraph"/>
    <w:basedOn w:val="1"/>
    <w:qFormat/>
    <w:uiPriority w:val="34"/>
    <w:pPr>
      <w:ind w:firstLine="420" w:firstLineChars="200"/>
    </w:pPr>
  </w:style>
  <w:style w:type="character" w:customStyle="1" w:styleId="17">
    <w:name w:val="页眉 字符"/>
    <w:basedOn w:val="11"/>
    <w:link w:val="6"/>
    <w:qFormat/>
    <w:uiPriority w:val="0"/>
    <w:rPr>
      <w:rFonts w:asciiTheme="minorHAnsi" w:hAnsiTheme="minorHAnsi" w:eastAsiaTheme="minorEastAsia" w:cstheme="minorBidi"/>
      <w:kern w:val="2"/>
      <w:sz w:val="18"/>
      <w:szCs w:val="18"/>
    </w:rPr>
  </w:style>
  <w:style w:type="paragraph" w:customStyle="1" w:styleId="18">
    <w:name w:val="BodyText"/>
    <w:basedOn w:val="1"/>
    <w:qFormat/>
    <w:uiPriority w:val="0"/>
    <w:pPr>
      <w:spacing w:before="15"/>
      <w:ind w:left="120"/>
      <w:textAlignment w:val="baseline"/>
    </w:pPr>
    <w:rPr>
      <w:rFonts w:ascii="Arial Unicode MS" w:hAnsi="Arial Unicode MS" w:eastAsia="Arial Unicode M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TotalTime>6</TotalTime>
  <ScaleCrop>false</ScaleCrop>
  <LinksUpToDate>false</LinksUpToDate>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2026-09-06T16:28:00Z</dcterms:created>
  <dc:creator>Ct09</dc:creator>
  <cp:lastModifiedBy>實誠</cp:lastModifiedBy>
  <dcterms:modified xsi:type="dcterms:W3CDTF">2026-09-11T09:07:36Z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FCF8E97B916E4833D48D9A6AAB845688_42</vt:lpwstr>
  </property>
</Properties>
</file>