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3C8E6">
      <w:pPr>
        <w:spacing w:line="500" w:lineRule="exact"/>
        <w:jc w:val="both"/>
        <w:rPr>
          <w:rFonts w:hint="eastAsia" w:ascii="仿宋_GB2312" w:hAnsi="Times New Roman" w:eastAsia="仿宋_GB2312" w:cs="Times New Roman"/>
          <w:b/>
          <w:bCs/>
          <w:color w:val="auto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Times New Roman" w:eastAsia="仿宋_GB2312" w:cs="Times New Roman"/>
          <w:b/>
          <w:bCs/>
          <w:color w:val="auto"/>
          <w:sz w:val="30"/>
          <w:szCs w:val="30"/>
          <w:highlight w:val="none"/>
          <w:lang w:val="en-US" w:eastAsia="zh-CN"/>
        </w:rPr>
        <w:t>附件</w:t>
      </w:r>
      <w:r>
        <w:rPr>
          <w:rFonts w:hint="eastAsia" w:ascii="仿宋_GB2312" w:eastAsia="仿宋_GB2312" w:cs="Times New Roman"/>
          <w:b/>
          <w:bCs/>
          <w:color w:val="auto"/>
          <w:sz w:val="30"/>
          <w:szCs w:val="30"/>
          <w:highlight w:val="none"/>
          <w:lang w:val="en-US" w:eastAsia="zh-CN"/>
        </w:rPr>
        <w:t>5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b/>
          <w:bCs/>
          <w:color w:val="auto"/>
          <w:sz w:val="30"/>
          <w:szCs w:val="30"/>
          <w:highlight w:val="none"/>
          <w:lang w:val="en-US" w:eastAsia="zh-CN"/>
        </w:rPr>
        <w:t>：</w:t>
      </w:r>
    </w:p>
    <w:p w14:paraId="0F78E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center"/>
        <w:textAlignment w:val="auto"/>
        <w:rPr>
          <w:rFonts w:ascii="Calibri" w:hAnsi="Calibri" w:eastAsia="宋体" w:cs="Times New Roman"/>
          <w:b/>
          <w:bCs/>
          <w:sz w:val="28"/>
          <w:szCs w:val="28"/>
        </w:rPr>
      </w:pPr>
      <w:r>
        <w:rPr>
          <w:rFonts w:hint="eastAsia" w:ascii="Calibri" w:hAnsi="Calibri" w:eastAsia="宋体" w:cs="Times New Roman"/>
          <w:b/>
          <w:bCs/>
          <w:sz w:val="28"/>
          <w:szCs w:val="28"/>
        </w:rPr>
        <w:t>龙岗区进一步规范政商交往行为告知书</w:t>
      </w:r>
    </w:p>
    <w:p w14:paraId="4E2E1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为深入构建“亲”“清”新型政商关系，努力打造尊商、亲商、助商、安商良好营商环境，龙岗区委区政府制定了《龙岗区公职人员政商交往“十个不准”》，严明公职人员在政商交往中的纪律要求。请参与龙岗建设的广大企业及其从业人员，严格监督我区公职人员落实“十个不准”，并在与我区公职人员交往中切实做到“十个不得”。</w:t>
      </w:r>
    </w:p>
    <w:p w14:paraId="3ACAD8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一、不得向公职人员赠送礼品、礼金、消费卡等财物。</w:t>
      </w:r>
    </w:p>
    <w:p w14:paraId="490C63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二、不得违规向公职人员提供宴请、旅游、娱乐等安排。</w:t>
      </w:r>
    </w:p>
    <w:p w14:paraId="0F80B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三、不得通过打麻将等形式向公职人员输送利益。</w:t>
      </w:r>
    </w:p>
    <w:p w14:paraId="0960B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四、不得为公职人员报销应由其个人支付的费用。</w:t>
      </w:r>
    </w:p>
    <w:p w14:paraId="7E4E30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五、不得违规向公职人员及其亲友借贷款。</w:t>
      </w:r>
    </w:p>
    <w:p w14:paraId="4CC1A4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六、不得违规将车辆、住房等借给公职人员使用。</w:t>
      </w:r>
    </w:p>
    <w:p w14:paraId="47DA6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七、不得在招投标中与公职人员搞暗箱操作、围标串标。</w:t>
      </w:r>
    </w:p>
    <w:p w14:paraId="7A8E7D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八、不得为利益相关人和公职人员牵线搭桥或者代为传递信息、传递财物。</w:t>
      </w:r>
    </w:p>
    <w:p w14:paraId="28272E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九、不得让公职人员在企业违规兼职取酬。</w:t>
      </w:r>
    </w:p>
    <w:p w14:paraId="23F83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十、不得为公职人员亲友违规承揽业务提供便利。</w:t>
      </w:r>
    </w:p>
    <w:p w14:paraId="322C4C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上述“十个不得”，请您严格遵守。同时，在政商交往中，如有发现我区公职人员存在违反“十个不准”的问题，请及时通过网络举报平台或者12388举报电话等方式，向纪检监察机关反映举报，我们将一律严格保密、一律优先处置、一律严肃查处。</w:t>
      </w:r>
    </w:p>
    <w:p w14:paraId="0AE1E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</w:p>
    <w:p w14:paraId="7B9D5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本人已知晓上述告知内容，并愿意遵照执行（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签字盖章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）：</w:t>
      </w:r>
    </w:p>
    <w:p w14:paraId="57B92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left"/>
        <w:textAlignment w:val="auto"/>
        <w:rPr>
          <w:rFonts w:hint="eastAsia" w:ascii="宋体" w:hAnsi="宋体" w:eastAsia="宋体" w:cs="宋体"/>
          <w:color w:val="000000"/>
          <w:sz w:val="24"/>
          <w:szCs w:val="24"/>
        </w:rPr>
      </w:pPr>
    </w:p>
    <w:p w14:paraId="18126542">
      <w:pPr>
        <w:spacing w:line="240" w:lineRule="auto"/>
        <w:jc w:val="right"/>
        <w:outlineLvl w:val="9"/>
        <w:rPr>
          <w:rFonts w:hint="eastAsia"/>
          <w:lang w:eastAsia="zh-CN"/>
        </w:rPr>
      </w:pPr>
      <w:r>
        <w:rPr>
          <w:rFonts w:hint="eastAsia" w:ascii="Calibri" w:hAnsi="Calibri" w:eastAsia="宋体" w:cs="宋体"/>
          <w:color w:val="000000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 xml:space="preserve"> 日</w:t>
      </w:r>
    </w:p>
    <w:p w14:paraId="3D1E7F0C"/>
    <w:sectPr>
      <w:headerReference r:id="rId3" w:type="default"/>
      <w:footerReference r:id="rId4" w:type="default"/>
      <w:pgSz w:w="11906" w:h="16838"/>
      <w:pgMar w:top="2098" w:right="1474" w:bottom="1984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301DFC"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3</w:t>
    </w:r>
    <w:r>
      <w:fldChar w:fldCharType="end"/>
    </w:r>
  </w:p>
  <w:p w14:paraId="44EDF432">
    <w:pPr>
      <w:pStyle w:val="4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B442D8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8C4AD1"/>
    <w:rsid w:val="74A35BE3"/>
    <w:rsid w:val="7FE78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8"/>
    <w:basedOn w:val="1"/>
    <w:next w:val="1"/>
    <w:qFormat/>
    <w:uiPriority w:val="0"/>
    <w:pPr>
      <w:ind w:left="1400" w:leftChars="1400"/>
    </w:pPr>
  </w:style>
  <w:style w:type="paragraph" w:styleId="3">
    <w:name w:val="Plain Text"/>
    <w:basedOn w:val="1"/>
    <w:next w:val="2"/>
    <w:qFormat/>
    <w:uiPriority w:val="99"/>
    <w:rPr>
      <w:rFonts w:ascii="宋体" w:hAnsi="Courier New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302</Characters>
  <Lines>0</Lines>
  <Paragraphs>0</Paragraphs>
  <TotalTime>0</TotalTime>
  <ScaleCrop>false</ScaleCrop>
  <LinksUpToDate>false</LinksUpToDate>
  <CharactersWithSpaces>302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2025-12-25T17:55:00Z</dcterms:created>
  <dc:creator>liuyaqi</dc:creator>
  <cp:lastModifiedBy>邵世影</cp:lastModifiedBy>
  <dcterms:modified xsi:type="dcterms:W3CDTF">2026-09-04T14:48:56Z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KSOTemplateDocerSaveRecord">
    <vt:lpwstr>eyJoZGlkIjoiN2YzNjBkOTgyNWQ1YTMxYzM3MzMwNWFiODNmOWIzYWMiLCJ1c2VySWQiOiIyNjMzNTM4MjYifQ==</vt:lpwstr>
  </property>
  <property fmtid="{D5CDD505-2E9C-101B-9397-08002B2CF9AE}" pid="4" name="ICV">
    <vt:lpwstr>77F878410D3544A2962BEF4CCBFB608C_12</vt:lpwstr>
  </property>
</Properties>
</file>