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75C646">
      <w:pPr>
        <w:keepNext w:val="0"/>
        <w:keepLines w:val="0"/>
        <w:pageBreakBefore w:val="0"/>
        <w:widowControl/>
        <w:kinsoku/>
        <w:wordWrap/>
        <w:overflowPunct/>
        <w:topLinePunct w:val="0"/>
        <w:autoSpaceDE/>
        <w:autoSpaceDN/>
        <w:bidi w:val="0"/>
        <w:snapToGrid/>
        <w:spacing w:line="560" w:lineRule="exact"/>
        <w:jc w:val="center"/>
        <w:textAlignment w:val="auto"/>
        <w:outlineLvl w:val="0"/>
        <w:rPr>
          <w:rFonts w:ascii="方正小标宋简体" w:hAnsi="方正小标宋简体" w:eastAsia="方正小标宋简体" w:cs="方正小标宋简体"/>
          <w:sz w:val="44"/>
          <w:szCs w:val="44"/>
          <w:shd w:val="clear" w:color="auto" w:fill="FFFFFF"/>
        </w:rPr>
      </w:pPr>
      <w:r>
        <w:rPr>
          <w:rFonts w:hint="eastAsia" w:ascii="方正小标宋简体" w:hAnsi="方正小标宋简体" w:eastAsia="方正小标宋简体" w:cs="方正小标宋简体"/>
          <w:sz w:val="44"/>
          <w:szCs w:val="44"/>
          <w:shd w:val="clear" w:color="auto" w:fill="FFFFFF"/>
        </w:rPr>
        <w:t>收购保障性租赁住房项目（2026）</w:t>
      </w:r>
    </w:p>
    <w:p w14:paraId="48165690">
      <w:pPr>
        <w:keepNext w:val="0"/>
        <w:keepLines w:val="0"/>
        <w:pageBreakBefore w:val="0"/>
        <w:widowControl/>
        <w:kinsoku/>
        <w:wordWrap/>
        <w:overflowPunct/>
        <w:topLinePunct w:val="0"/>
        <w:autoSpaceDE/>
        <w:autoSpaceDN/>
        <w:bidi w:val="0"/>
        <w:snapToGrid/>
        <w:spacing w:line="560" w:lineRule="exact"/>
        <w:jc w:val="center"/>
        <w:textAlignment w:val="auto"/>
        <w:outlineLvl w:val="0"/>
        <w:rPr>
          <w:rFonts w:ascii="方正小标宋简体" w:hAnsi="方正小标宋简体" w:eastAsia="方正小标宋简体" w:cs="方正小标宋简体"/>
          <w:sz w:val="44"/>
          <w:szCs w:val="44"/>
          <w:shd w:val="clear" w:color="auto" w:fill="FFFFFF"/>
        </w:rPr>
      </w:pPr>
      <w:r>
        <w:rPr>
          <w:rFonts w:hint="eastAsia" w:ascii="方正小标宋简体" w:hAnsi="方正小标宋简体" w:eastAsia="方正小标宋简体" w:cs="方正小标宋简体"/>
          <w:sz w:val="44"/>
          <w:szCs w:val="44"/>
          <w:shd w:val="clear" w:color="auto" w:fill="FFFFFF"/>
        </w:rPr>
        <w:t>可行性研究报告编制服务需求书</w:t>
      </w:r>
    </w:p>
    <w:p w14:paraId="7691ECE2">
      <w:pPr>
        <w:pStyle w:val="2"/>
        <w:keepNext w:val="0"/>
        <w:keepLines w:val="0"/>
        <w:pageBreakBefore w:val="0"/>
        <w:kinsoku/>
        <w:wordWrap/>
        <w:overflowPunct/>
        <w:topLinePunct w:val="0"/>
        <w:autoSpaceDE/>
        <w:autoSpaceDN/>
        <w:bidi w:val="0"/>
        <w:snapToGrid/>
        <w:spacing w:line="560" w:lineRule="exact"/>
        <w:textAlignment w:val="auto"/>
        <w:rPr>
          <w:rFonts w:ascii="仿宋_GB2312" w:hAnsi="仿宋_GB2312" w:eastAsia="仿宋_GB2312" w:cs="仿宋_GB2312"/>
          <w:sz w:val="32"/>
          <w:szCs w:val="40"/>
        </w:rPr>
      </w:pPr>
    </w:p>
    <w:p w14:paraId="4B9114B4">
      <w:pPr>
        <w:keepNext w:val="0"/>
        <w:keepLines w:val="0"/>
        <w:pageBreakBefore w:val="0"/>
        <w:widowControl/>
        <w:kinsoku/>
        <w:wordWrap/>
        <w:overflowPunct/>
        <w:topLinePunct w:val="0"/>
        <w:autoSpaceDE/>
        <w:autoSpaceDN/>
        <w:bidi w:val="0"/>
        <w:snapToGrid/>
        <w:spacing w:line="560" w:lineRule="exact"/>
        <w:ind w:firstLine="640" w:firstLineChars="200"/>
        <w:textAlignment w:val="auto"/>
        <w:outlineLvl w:val="0"/>
        <w:rPr>
          <w:rFonts w:ascii="黑体" w:hAnsi="黑体" w:eastAsia="黑体" w:cs="黑体"/>
          <w:b w:val="0"/>
          <w:bCs w:val="0"/>
          <w:kern w:val="0"/>
          <w:sz w:val="32"/>
          <w:szCs w:val="32"/>
        </w:rPr>
      </w:pPr>
      <w:r>
        <w:rPr>
          <w:rFonts w:hint="eastAsia" w:ascii="黑体" w:hAnsi="黑体" w:eastAsia="黑体" w:cs="黑体"/>
          <w:b w:val="0"/>
          <w:bCs w:val="0"/>
          <w:kern w:val="0"/>
          <w:sz w:val="32"/>
          <w:szCs w:val="32"/>
        </w:rPr>
        <w:t>一、项目背景</w:t>
      </w:r>
    </w:p>
    <w:p w14:paraId="0DF71C46">
      <w:pPr>
        <w:pStyle w:val="2"/>
        <w:keepNext w:val="0"/>
        <w:keepLines w:val="0"/>
        <w:pageBreakBefore w:val="0"/>
        <w:kinsoku/>
        <w:wordWrap/>
        <w:overflowPunct/>
        <w:topLinePunct w:val="0"/>
        <w:autoSpaceDE/>
        <w:autoSpaceDN/>
        <w:bidi w:val="0"/>
        <w:snapToGrid/>
        <w:spacing w:line="560" w:lineRule="exact"/>
        <w:ind w:firstLine="640" w:firstLineChars="200"/>
        <w:textAlignment w:val="auto"/>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根据国家规划纲要及相关文件精神，深圳市制定了明确的保障性租赁住房发展目标。本项目正是在此国家战略指引下，积极响应号召，通过市场化</w:t>
      </w:r>
      <w:r>
        <w:rPr>
          <w:rFonts w:hint="eastAsia" w:ascii="仿宋_GB2312" w:hAnsi="仿宋_GB2312" w:eastAsia="仿宋_GB2312" w:cs="仿宋_GB2312"/>
          <w:kern w:val="0"/>
          <w:sz w:val="32"/>
          <w:szCs w:val="32"/>
          <w:lang w:eastAsia="zh-CN"/>
        </w:rPr>
        <w:t>收购</w:t>
      </w:r>
      <w:r>
        <w:rPr>
          <w:rFonts w:hint="eastAsia" w:ascii="仿宋_GB2312" w:hAnsi="仿宋_GB2312" w:eastAsia="仿宋_GB2312" w:cs="仿宋_GB2312"/>
          <w:kern w:val="0"/>
          <w:sz w:val="32"/>
          <w:szCs w:val="32"/>
        </w:rPr>
        <w:t>方式，筹集和有效扩充保障性租赁住房房源，落实国家“房住不炒”定位、推动建立多主体供给、多渠道保障、租购并举住房制度的重要实践与探索。</w:t>
      </w:r>
    </w:p>
    <w:p w14:paraId="1F29CD03">
      <w:pPr>
        <w:pStyle w:val="2"/>
        <w:keepNext w:val="0"/>
        <w:keepLines w:val="0"/>
        <w:pageBreakBefore w:val="0"/>
        <w:kinsoku/>
        <w:wordWrap/>
        <w:overflowPunct/>
        <w:topLinePunct w:val="0"/>
        <w:autoSpaceDE/>
        <w:autoSpaceDN/>
        <w:bidi w:val="0"/>
        <w:snapToGrid/>
        <w:spacing w:line="560" w:lineRule="exact"/>
        <w:ind w:firstLine="640" w:firstLineChars="200"/>
        <w:textAlignment w:val="auto"/>
        <w:rPr>
          <w:rFonts w:ascii="仿宋_GB2312" w:hAnsi="仿宋_GB2312" w:eastAsia="仿宋_GB2312" w:cs="仿宋_GB2312"/>
          <w:kern w:val="0"/>
          <w:sz w:val="32"/>
          <w:szCs w:val="32"/>
        </w:rPr>
      </w:pPr>
      <w:r>
        <w:rPr>
          <w:rFonts w:ascii="仿宋_GB2312" w:hAnsi="仿宋_GB2312" w:eastAsia="仿宋_GB2312" w:cs="仿宋_GB2312"/>
          <w:kern w:val="0"/>
          <w:sz w:val="32"/>
          <w:szCs w:val="32"/>
        </w:rPr>
        <w:t>本项目旨在通过市场化运作，</w:t>
      </w:r>
      <w:r>
        <w:rPr>
          <w:rFonts w:hint="eastAsia" w:ascii="仿宋_GB2312" w:hAnsi="仿宋_GB2312" w:eastAsia="仿宋_GB2312" w:cs="仿宋_GB2312"/>
          <w:kern w:val="0"/>
          <w:sz w:val="32"/>
          <w:szCs w:val="32"/>
          <w:lang w:eastAsia="zh-CN"/>
        </w:rPr>
        <w:t>收购</w:t>
      </w:r>
      <w:r>
        <w:rPr>
          <w:rFonts w:ascii="仿宋_GB2312" w:hAnsi="仿宋_GB2312" w:eastAsia="仿宋_GB2312" w:cs="仿宋_GB2312"/>
          <w:kern w:val="0"/>
          <w:sz w:val="32"/>
          <w:szCs w:val="32"/>
        </w:rPr>
        <w:t>一批区位适宜、价格合理、品质达标的存量商品房，将其转化为权属清晰、管理规范、租金优惠的保障性租赁住房。</w:t>
      </w:r>
    </w:p>
    <w:p w14:paraId="344B2249">
      <w:pPr>
        <w:pStyle w:val="2"/>
        <w:keepNext w:val="0"/>
        <w:keepLines w:val="0"/>
        <w:pageBreakBefore w:val="0"/>
        <w:kinsoku/>
        <w:wordWrap/>
        <w:overflowPunct/>
        <w:topLinePunct w:val="0"/>
        <w:autoSpaceDE/>
        <w:autoSpaceDN/>
        <w:bidi w:val="0"/>
        <w:snapToGrid/>
        <w:spacing w:line="560" w:lineRule="exact"/>
        <w:ind w:firstLine="640" w:firstLineChars="200"/>
        <w:textAlignment w:val="auto"/>
        <w:rPr>
          <w:rFonts w:ascii="仿宋_GB2312" w:hAnsi="仿宋_GB2312" w:eastAsia="仿宋_GB2312" w:cs="仿宋_GB2312"/>
          <w:kern w:val="0"/>
          <w:sz w:val="32"/>
          <w:szCs w:val="32"/>
        </w:rPr>
      </w:pPr>
      <w:r>
        <w:rPr>
          <w:rFonts w:ascii="仿宋_GB2312" w:hAnsi="仿宋_GB2312" w:eastAsia="仿宋_GB2312" w:cs="仿宋_GB2312"/>
          <w:kern w:val="0"/>
          <w:sz w:val="32"/>
          <w:szCs w:val="32"/>
        </w:rPr>
        <w:t>为此，面向社会征集具备专业能力</w:t>
      </w:r>
      <w:r>
        <w:rPr>
          <w:rFonts w:hint="eastAsia" w:ascii="仿宋_GB2312" w:hAnsi="仿宋_GB2312" w:eastAsia="仿宋_GB2312" w:cs="仿宋_GB2312"/>
          <w:kern w:val="0"/>
          <w:sz w:val="32"/>
          <w:szCs w:val="32"/>
        </w:rPr>
        <w:t>和</w:t>
      </w:r>
      <w:r>
        <w:rPr>
          <w:rFonts w:ascii="仿宋_GB2312" w:hAnsi="仿宋_GB2312" w:eastAsia="仿宋_GB2312" w:cs="仿宋_GB2312"/>
          <w:kern w:val="0"/>
          <w:sz w:val="32"/>
          <w:szCs w:val="32"/>
        </w:rPr>
        <w:t>丰富经验的服务机构，</w:t>
      </w:r>
      <w:r>
        <w:rPr>
          <w:rFonts w:hint="eastAsia" w:ascii="仿宋_GB2312" w:hAnsi="仿宋_GB2312" w:eastAsia="仿宋_GB2312" w:cs="仿宋_GB2312"/>
          <w:kern w:val="0"/>
          <w:sz w:val="32"/>
          <w:szCs w:val="32"/>
        </w:rPr>
        <w:t>为本项目提供可行性研究报告编制服务</w:t>
      </w:r>
      <w:r>
        <w:rPr>
          <w:rFonts w:ascii="仿宋_GB2312" w:hAnsi="仿宋_GB2312" w:eastAsia="仿宋_GB2312" w:cs="仿宋_GB2312"/>
          <w:kern w:val="0"/>
          <w:sz w:val="32"/>
          <w:szCs w:val="32"/>
        </w:rPr>
        <w:t>。</w:t>
      </w:r>
    </w:p>
    <w:p w14:paraId="3BCC8C6D">
      <w:pPr>
        <w:keepNext w:val="0"/>
        <w:keepLines w:val="0"/>
        <w:pageBreakBefore w:val="0"/>
        <w:widowControl/>
        <w:kinsoku/>
        <w:wordWrap/>
        <w:overflowPunct/>
        <w:topLinePunct w:val="0"/>
        <w:autoSpaceDE/>
        <w:autoSpaceDN/>
        <w:bidi w:val="0"/>
        <w:snapToGrid/>
        <w:spacing w:line="560" w:lineRule="exact"/>
        <w:ind w:firstLine="640" w:firstLineChars="200"/>
        <w:textAlignment w:val="auto"/>
        <w:outlineLvl w:val="0"/>
        <w:rPr>
          <w:rFonts w:ascii="黑体" w:hAnsi="黑体" w:eastAsia="黑体" w:cs="黑体"/>
          <w:b w:val="0"/>
          <w:bCs w:val="0"/>
          <w:kern w:val="0"/>
          <w:sz w:val="32"/>
          <w:szCs w:val="32"/>
        </w:rPr>
      </w:pPr>
      <w:r>
        <w:rPr>
          <w:rFonts w:hint="eastAsia" w:ascii="黑体" w:hAnsi="黑体" w:eastAsia="黑体" w:cs="黑体"/>
          <w:b w:val="0"/>
          <w:bCs w:val="0"/>
          <w:kern w:val="0"/>
          <w:sz w:val="32"/>
          <w:szCs w:val="32"/>
        </w:rPr>
        <w:t>二、工作内容及要求</w:t>
      </w:r>
    </w:p>
    <w:p w14:paraId="3840547F">
      <w:pPr>
        <w:pStyle w:val="2"/>
        <w:keepNext w:val="0"/>
        <w:keepLines w:val="0"/>
        <w:pageBreakBefore w:val="0"/>
        <w:kinsoku/>
        <w:wordWrap/>
        <w:overflowPunct/>
        <w:topLinePunct w:val="0"/>
        <w:autoSpaceDE/>
        <w:autoSpaceDN/>
        <w:bidi w:val="0"/>
        <w:snapToGrid/>
        <w:spacing w:line="560" w:lineRule="exact"/>
        <w:ind w:firstLine="640" w:firstLineChars="200"/>
        <w:textAlignment w:val="auto"/>
        <w:rPr>
          <w:rFonts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本项目共包含2个保障性租赁住房楼盘，总房源数为88套，总面积约</w:t>
      </w:r>
      <w:r>
        <w:rPr>
          <w:rFonts w:ascii="仿宋_GB2312" w:hAnsi="仿宋_GB2312" w:eastAsia="仿宋_GB2312" w:cs="仿宋_GB2312"/>
          <w:kern w:val="0"/>
          <w:sz w:val="32"/>
          <w:szCs w:val="32"/>
          <w:highlight w:val="none"/>
        </w:rPr>
        <w:t>6,</w:t>
      </w:r>
      <w:r>
        <w:rPr>
          <w:rFonts w:hint="eastAsia" w:ascii="仿宋_GB2312" w:hAnsi="仿宋_GB2312" w:eastAsia="仿宋_GB2312" w:cs="仿宋_GB2312"/>
          <w:kern w:val="0"/>
          <w:sz w:val="32"/>
          <w:szCs w:val="32"/>
          <w:highlight w:val="none"/>
          <w:lang w:val="en-US" w:eastAsia="zh-CN"/>
        </w:rPr>
        <w:t>319.42</w:t>
      </w:r>
      <w:r>
        <w:rPr>
          <w:rFonts w:hint="eastAsia" w:ascii="仿宋_GB2312" w:hAnsi="仿宋_GB2312" w:eastAsia="仿宋_GB2312" w:cs="仿宋_GB2312"/>
          <w:kern w:val="0"/>
          <w:sz w:val="32"/>
          <w:szCs w:val="32"/>
          <w:highlight w:val="none"/>
        </w:rPr>
        <w:t>平方米，服务机构需通过对2个项目的政策环境、市场需求、房源状况、融资方案、财务效益及潜在风险的系统性分析，整体论证本项目实施的可行性，为项目决策提供全面、客观、翔实的依据，并最终形成一份符合国家相关规定和项目审批要求的《收购保障性租赁住房项目</w:t>
      </w:r>
      <w:r>
        <w:rPr>
          <w:rFonts w:hint="eastAsia" w:ascii="仿宋_GB2312" w:hAnsi="仿宋_GB2312" w:eastAsia="仿宋_GB2312" w:cs="仿宋_GB2312"/>
          <w:kern w:val="0"/>
          <w:sz w:val="32"/>
          <w:szCs w:val="32"/>
          <w:highlight w:val="none"/>
          <w:lang w:eastAsia="zh-CN"/>
        </w:rPr>
        <w:t>（</w:t>
      </w:r>
      <w:r>
        <w:rPr>
          <w:rFonts w:hint="eastAsia" w:ascii="仿宋_GB2312" w:hAnsi="仿宋_GB2312" w:eastAsia="仿宋_GB2312" w:cs="仿宋_GB2312"/>
          <w:kern w:val="0"/>
          <w:sz w:val="32"/>
          <w:szCs w:val="32"/>
          <w:highlight w:val="none"/>
          <w:lang w:val="en-US" w:eastAsia="zh-CN"/>
        </w:rPr>
        <w:t>2026</w:t>
      </w:r>
      <w:r>
        <w:rPr>
          <w:rFonts w:hint="eastAsia" w:ascii="仿宋_GB2312" w:hAnsi="仿宋_GB2312" w:eastAsia="仿宋_GB2312" w:cs="仿宋_GB2312"/>
          <w:kern w:val="0"/>
          <w:sz w:val="32"/>
          <w:szCs w:val="32"/>
          <w:highlight w:val="none"/>
          <w:lang w:eastAsia="zh-CN"/>
        </w:rPr>
        <w:t>）</w:t>
      </w:r>
      <w:r>
        <w:rPr>
          <w:rFonts w:hint="eastAsia" w:ascii="仿宋_GB2312" w:hAnsi="仿宋_GB2312" w:eastAsia="仿宋_GB2312" w:cs="仿宋_GB2312"/>
          <w:kern w:val="0"/>
          <w:sz w:val="32"/>
          <w:szCs w:val="32"/>
          <w:highlight w:val="none"/>
        </w:rPr>
        <w:t>可行性研究报告》，报告具体内容如下（包括但不限于以下内容）：</w:t>
      </w:r>
    </w:p>
    <w:p w14:paraId="222CF029">
      <w:pPr>
        <w:keepNext w:val="0"/>
        <w:keepLines w:val="0"/>
        <w:pageBreakBefore w:val="0"/>
        <w:widowControl/>
        <w:kinsoku/>
        <w:wordWrap/>
        <w:overflowPunct/>
        <w:topLinePunct w:val="0"/>
        <w:autoSpaceDE/>
        <w:autoSpaceDN/>
        <w:bidi w:val="0"/>
        <w:adjustRightInd w:val="0"/>
        <w:snapToGrid/>
        <w:spacing w:line="560" w:lineRule="exact"/>
        <w:ind w:firstLine="640" w:firstLineChars="200"/>
        <w:textAlignment w:val="auto"/>
        <w:rPr>
          <w:rFonts w:ascii="楷体_GB2312" w:hAnsi="楷体_GB2312" w:eastAsia="楷体_GB2312" w:cs="楷体_GB2312"/>
          <w:kern w:val="0"/>
          <w:sz w:val="32"/>
          <w:szCs w:val="32"/>
          <w:highlight w:val="none"/>
        </w:rPr>
      </w:pPr>
      <w:r>
        <w:rPr>
          <w:rFonts w:hint="eastAsia" w:ascii="楷体_GB2312" w:hAnsi="楷体_GB2312" w:eastAsia="楷体_GB2312" w:cs="楷体_GB2312"/>
          <w:kern w:val="0"/>
          <w:sz w:val="32"/>
          <w:szCs w:val="32"/>
          <w:highlight w:val="none"/>
        </w:rPr>
        <w:t>（一）政策合规性</w:t>
      </w:r>
    </w:p>
    <w:p w14:paraId="4D86E3E7">
      <w:pPr>
        <w:pStyle w:val="2"/>
        <w:keepNext w:val="0"/>
        <w:keepLines w:val="0"/>
        <w:pageBreakBefore w:val="0"/>
        <w:kinsoku/>
        <w:wordWrap/>
        <w:overflowPunct/>
        <w:topLinePunct w:val="0"/>
        <w:autoSpaceDE/>
        <w:autoSpaceDN/>
        <w:bidi w:val="0"/>
        <w:adjustRightInd w:val="0"/>
        <w:snapToGrid/>
        <w:spacing w:line="560" w:lineRule="exact"/>
        <w:ind w:firstLine="640" w:firstLineChars="200"/>
        <w:textAlignment w:val="auto"/>
        <w:rPr>
          <w:rFonts w:ascii="仿宋_GB2312" w:hAnsi="仿宋_GB2312" w:eastAsia="仿宋_GB2312" w:cs="仿宋_GB2312"/>
          <w:kern w:val="0"/>
          <w:sz w:val="32"/>
          <w:szCs w:val="32"/>
          <w:highlight w:val="none"/>
        </w:rPr>
      </w:pPr>
      <w:r>
        <w:rPr>
          <w:rFonts w:ascii="仿宋_GB2312" w:hAnsi="仿宋_GB2312" w:eastAsia="仿宋_GB2312" w:cs="仿宋_GB2312"/>
          <w:kern w:val="0"/>
          <w:sz w:val="32"/>
          <w:szCs w:val="32"/>
          <w:highlight w:val="none"/>
        </w:rPr>
        <w:t>全面收集国家、省、市层面关于保障性租赁住房的土地、金融、税收、审批等各项优惠政策，特别是关于通过</w:t>
      </w:r>
      <w:r>
        <w:rPr>
          <w:rFonts w:hint="eastAsia" w:ascii="仿宋_GB2312" w:hAnsi="仿宋_GB2312" w:eastAsia="仿宋_GB2312" w:cs="仿宋_GB2312"/>
          <w:kern w:val="0"/>
          <w:sz w:val="32"/>
          <w:szCs w:val="32"/>
          <w:highlight w:val="none"/>
        </w:rPr>
        <w:t>收购</w:t>
      </w:r>
      <w:r>
        <w:rPr>
          <w:rFonts w:ascii="仿宋_GB2312" w:hAnsi="仿宋_GB2312" w:eastAsia="仿宋_GB2312" w:cs="仿宋_GB2312"/>
          <w:kern w:val="0"/>
          <w:sz w:val="32"/>
          <w:szCs w:val="32"/>
          <w:highlight w:val="none"/>
        </w:rPr>
        <w:t>方式筹集房源的具体规定。</w:t>
      </w:r>
    </w:p>
    <w:p w14:paraId="54BB6D7E">
      <w:pPr>
        <w:keepNext w:val="0"/>
        <w:keepLines w:val="0"/>
        <w:pageBreakBefore w:val="0"/>
        <w:widowControl/>
        <w:kinsoku/>
        <w:wordWrap/>
        <w:overflowPunct/>
        <w:topLinePunct w:val="0"/>
        <w:autoSpaceDE/>
        <w:autoSpaceDN/>
        <w:bidi w:val="0"/>
        <w:adjustRightInd w:val="0"/>
        <w:snapToGrid/>
        <w:spacing w:line="560" w:lineRule="exact"/>
        <w:ind w:firstLine="640" w:firstLineChars="200"/>
        <w:textAlignment w:val="auto"/>
        <w:rPr>
          <w:rFonts w:ascii="楷体_GB2312" w:hAnsi="楷体_GB2312" w:eastAsia="楷体_GB2312" w:cs="楷体_GB2312"/>
          <w:kern w:val="0"/>
          <w:sz w:val="32"/>
          <w:szCs w:val="32"/>
          <w:highlight w:val="none"/>
        </w:rPr>
      </w:pPr>
      <w:r>
        <w:rPr>
          <w:rFonts w:hint="eastAsia" w:ascii="楷体_GB2312" w:hAnsi="楷体_GB2312" w:eastAsia="楷体_GB2312" w:cs="楷体_GB2312"/>
          <w:kern w:val="0"/>
          <w:sz w:val="32"/>
          <w:szCs w:val="32"/>
          <w:highlight w:val="none"/>
        </w:rPr>
        <w:t>（二）必要性分析</w:t>
      </w:r>
    </w:p>
    <w:p w14:paraId="7D268F91">
      <w:pPr>
        <w:pStyle w:val="2"/>
        <w:keepNext w:val="0"/>
        <w:keepLines w:val="0"/>
        <w:pageBreakBefore w:val="0"/>
        <w:kinsoku/>
        <w:wordWrap/>
        <w:overflowPunct/>
        <w:topLinePunct w:val="0"/>
        <w:autoSpaceDE/>
        <w:autoSpaceDN/>
        <w:bidi w:val="0"/>
        <w:adjustRightInd w:val="0"/>
        <w:snapToGrid/>
        <w:spacing w:line="560" w:lineRule="exact"/>
        <w:ind w:firstLine="640" w:firstLineChars="200"/>
        <w:textAlignment w:val="auto"/>
        <w:rPr>
          <w:rFonts w:ascii="仿宋_GB2312" w:hAnsi="仿宋_GB2312" w:eastAsia="仿宋_GB2312" w:cs="仿宋_GB2312"/>
          <w:kern w:val="0"/>
          <w:sz w:val="32"/>
          <w:szCs w:val="32"/>
          <w:highlight w:val="none"/>
        </w:rPr>
      </w:pPr>
      <w:r>
        <w:rPr>
          <w:rFonts w:ascii="仿宋_GB2312" w:hAnsi="仿宋_GB2312" w:eastAsia="仿宋_GB2312" w:cs="仿宋_GB2312"/>
          <w:kern w:val="0"/>
          <w:sz w:val="32"/>
          <w:szCs w:val="32"/>
          <w:highlight w:val="none"/>
        </w:rPr>
        <w:t>结合项目背景，进一步从缓解住房困难、平抑租金、盘活存量资产、促进房地产健康发展等角度，深化论述项目实施的紧迫性和战略意义。</w:t>
      </w:r>
    </w:p>
    <w:p w14:paraId="2F7654F8">
      <w:pPr>
        <w:keepNext w:val="0"/>
        <w:keepLines w:val="0"/>
        <w:pageBreakBefore w:val="0"/>
        <w:widowControl/>
        <w:kinsoku/>
        <w:wordWrap/>
        <w:overflowPunct/>
        <w:topLinePunct w:val="0"/>
        <w:autoSpaceDE/>
        <w:autoSpaceDN/>
        <w:bidi w:val="0"/>
        <w:adjustRightInd w:val="0"/>
        <w:snapToGrid/>
        <w:spacing w:line="560" w:lineRule="exact"/>
        <w:ind w:firstLine="640" w:firstLineChars="200"/>
        <w:textAlignment w:val="auto"/>
        <w:rPr>
          <w:rFonts w:ascii="楷体_GB2312" w:hAnsi="楷体_GB2312" w:eastAsia="楷体_GB2312" w:cs="楷体_GB2312"/>
          <w:kern w:val="0"/>
          <w:sz w:val="32"/>
          <w:szCs w:val="32"/>
          <w:highlight w:val="none"/>
        </w:rPr>
      </w:pPr>
      <w:r>
        <w:rPr>
          <w:rFonts w:hint="eastAsia" w:ascii="楷体_GB2312" w:hAnsi="楷体_GB2312" w:eastAsia="楷体_GB2312" w:cs="楷体_GB2312"/>
          <w:kern w:val="0"/>
          <w:sz w:val="32"/>
          <w:szCs w:val="32"/>
          <w:highlight w:val="none"/>
        </w:rPr>
        <w:t>（三）需求分析</w:t>
      </w:r>
    </w:p>
    <w:p w14:paraId="0D056117">
      <w:pPr>
        <w:pStyle w:val="2"/>
        <w:keepNext w:val="0"/>
        <w:keepLines w:val="0"/>
        <w:pageBreakBefore w:val="0"/>
        <w:kinsoku/>
        <w:wordWrap/>
        <w:overflowPunct/>
        <w:topLinePunct w:val="0"/>
        <w:autoSpaceDE/>
        <w:autoSpaceDN/>
        <w:bidi w:val="0"/>
        <w:adjustRightInd w:val="0"/>
        <w:snapToGrid/>
        <w:spacing w:line="560" w:lineRule="exact"/>
        <w:ind w:firstLine="640" w:firstLineChars="200"/>
        <w:textAlignment w:val="auto"/>
        <w:rPr>
          <w:rFonts w:ascii="仿宋_GB2312" w:hAnsi="仿宋_GB2312" w:eastAsia="仿宋_GB2312" w:cs="仿宋_GB2312"/>
          <w:kern w:val="0"/>
          <w:sz w:val="32"/>
          <w:szCs w:val="32"/>
          <w:highlight w:val="none"/>
        </w:rPr>
      </w:pPr>
      <w:r>
        <w:rPr>
          <w:rFonts w:ascii="仿宋_GB2312" w:hAnsi="仿宋_GB2312" w:eastAsia="仿宋_GB2312" w:cs="仿宋_GB2312"/>
          <w:kern w:val="0"/>
          <w:sz w:val="32"/>
          <w:szCs w:val="32"/>
          <w:highlight w:val="none"/>
        </w:rPr>
        <w:t>基于城市人口数据、产业规划、就业增长趋势等，定量分析与预测目标区域保障性租赁住房的潜在需求总量及未来变化趋势。</w:t>
      </w:r>
    </w:p>
    <w:p w14:paraId="7BD4C355">
      <w:pPr>
        <w:keepNext w:val="0"/>
        <w:keepLines w:val="0"/>
        <w:pageBreakBefore w:val="0"/>
        <w:widowControl/>
        <w:kinsoku/>
        <w:wordWrap/>
        <w:overflowPunct/>
        <w:topLinePunct w:val="0"/>
        <w:autoSpaceDE/>
        <w:autoSpaceDN/>
        <w:bidi w:val="0"/>
        <w:adjustRightInd w:val="0"/>
        <w:snapToGrid/>
        <w:spacing w:line="560" w:lineRule="exact"/>
        <w:ind w:firstLine="640" w:firstLineChars="200"/>
        <w:textAlignment w:val="auto"/>
        <w:rPr>
          <w:rFonts w:ascii="楷体_GB2312" w:hAnsi="楷体_GB2312" w:eastAsia="楷体_GB2312" w:cs="楷体_GB2312"/>
          <w:kern w:val="0"/>
          <w:sz w:val="32"/>
          <w:szCs w:val="32"/>
          <w:highlight w:val="none"/>
        </w:rPr>
      </w:pPr>
      <w:r>
        <w:rPr>
          <w:rFonts w:hint="eastAsia" w:ascii="楷体_GB2312" w:hAnsi="楷体_GB2312" w:eastAsia="楷体_GB2312" w:cs="楷体_GB2312"/>
          <w:kern w:val="0"/>
          <w:sz w:val="32"/>
          <w:szCs w:val="32"/>
          <w:highlight w:val="none"/>
        </w:rPr>
        <w:t>（四）房源调查</w:t>
      </w:r>
    </w:p>
    <w:p w14:paraId="116A191C">
      <w:pPr>
        <w:pStyle w:val="2"/>
        <w:keepNext w:val="0"/>
        <w:keepLines w:val="0"/>
        <w:pageBreakBefore w:val="0"/>
        <w:numPr>
          <w:ilvl w:val="0"/>
          <w:numId w:val="1"/>
        </w:numPr>
        <w:kinsoku/>
        <w:wordWrap/>
        <w:overflowPunct/>
        <w:topLinePunct w:val="0"/>
        <w:autoSpaceDE/>
        <w:autoSpaceDN/>
        <w:bidi w:val="0"/>
        <w:adjustRightInd w:val="0"/>
        <w:snapToGrid/>
        <w:spacing w:line="560" w:lineRule="exact"/>
        <w:ind w:left="0" w:firstLine="640" w:firstLineChars="200"/>
        <w:textAlignment w:val="auto"/>
        <w:rPr>
          <w:rFonts w:ascii="仿宋_GB2312" w:hAnsi="仿宋_GB2312" w:eastAsia="仿宋_GB2312" w:cs="仿宋_GB2312"/>
          <w:kern w:val="0"/>
          <w:sz w:val="32"/>
          <w:szCs w:val="32"/>
          <w:highlight w:val="none"/>
        </w:rPr>
      </w:pPr>
      <w:r>
        <w:rPr>
          <w:rFonts w:ascii="仿宋_GB2312" w:hAnsi="仿宋_GB2312" w:eastAsia="仿宋_GB2312" w:cs="仿宋_GB2312"/>
          <w:kern w:val="0"/>
          <w:sz w:val="32"/>
          <w:szCs w:val="32"/>
          <w:highlight w:val="none"/>
        </w:rPr>
        <w:t>对备选房源进行实地勘查，评估其建筑质量、小区环境、配套设施、维修状况等。</w:t>
      </w:r>
    </w:p>
    <w:p w14:paraId="788132A9">
      <w:pPr>
        <w:pStyle w:val="2"/>
        <w:keepNext w:val="0"/>
        <w:keepLines w:val="0"/>
        <w:pageBreakBefore w:val="0"/>
        <w:numPr>
          <w:ilvl w:val="0"/>
          <w:numId w:val="1"/>
        </w:numPr>
        <w:kinsoku/>
        <w:wordWrap/>
        <w:overflowPunct/>
        <w:topLinePunct w:val="0"/>
        <w:autoSpaceDE/>
        <w:autoSpaceDN/>
        <w:bidi w:val="0"/>
        <w:adjustRightInd w:val="0"/>
        <w:snapToGrid/>
        <w:spacing w:line="560" w:lineRule="exact"/>
        <w:ind w:left="0" w:firstLine="640" w:firstLineChars="200"/>
        <w:textAlignment w:val="auto"/>
        <w:rPr>
          <w:rFonts w:ascii="仿宋_GB2312" w:hAnsi="仿宋_GB2312" w:eastAsia="仿宋_GB2312" w:cs="仿宋_GB2312"/>
          <w:kern w:val="0"/>
          <w:sz w:val="32"/>
          <w:szCs w:val="32"/>
          <w:highlight w:val="none"/>
        </w:rPr>
      </w:pPr>
      <w:r>
        <w:rPr>
          <w:rFonts w:ascii="仿宋_GB2312" w:hAnsi="仿宋_GB2312" w:eastAsia="仿宋_GB2312" w:cs="仿宋_GB2312"/>
          <w:kern w:val="0"/>
          <w:sz w:val="32"/>
          <w:szCs w:val="32"/>
          <w:highlight w:val="none"/>
        </w:rPr>
        <w:t>分析</w:t>
      </w:r>
      <w:r>
        <w:rPr>
          <w:rFonts w:hint="eastAsia" w:ascii="仿宋_GB2312" w:hAnsi="仿宋_GB2312" w:eastAsia="仿宋_GB2312" w:cs="仿宋_GB2312"/>
          <w:kern w:val="0"/>
          <w:sz w:val="32"/>
          <w:szCs w:val="32"/>
          <w:highlight w:val="none"/>
        </w:rPr>
        <w:t>收购</w:t>
      </w:r>
      <w:r>
        <w:rPr>
          <w:rFonts w:ascii="仿宋_GB2312" w:hAnsi="仿宋_GB2312" w:eastAsia="仿宋_GB2312" w:cs="仿宋_GB2312"/>
          <w:kern w:val="0"/>
          <w:sz w:val="32"/>
          <w:szCs w:val="32"/>
          <w:highlight w:val="none"/>
        </w:rPr>
        <w:t>房源在户型、设施设备等方面是否符合保障性租赁住房的建设标准和使用要求。</w:t>
      </w:r>
    </w:p>
    <w:p w14:paraId="5C961D18">
      <w:pPr>
        <w:keepNext w:val="0"/>
        <w:keepLines w:val="0"/>
        <w:pageBreakBefore w:val="0"/>
        <w:widowControl/>
        <w:kinsoku/>
        <w:wordWrap/>
        <w:overflowPunct/>
        <w:topLinePunct w:val="0"/>
        <w:autoSpaceDE/>
        <w:autoSpaceDN/>
        <w:bidi w:val="0"/>
        <w:adjustRightInd w:val="0"/>
        <w:snapToGrid/>
        <w:spacing w:line="560" w:lineRule="exact"/>
        <w:ind w:firstLine="640" w:firstLineChars="200"/>
        <w:textAlignment w:val="auto"/>
        <w:rPr>
          <w:rFonts w:ascii="楷体_GB2312" w:hAnsi="楷体_GB2312" w:eastAsia="楷体_GB2312" w:cs="楷体_GB2312"/>
          <w:kern w:val="0"/>
          <w:sz w:val="32"/>
          <w:szCs w:val="32"/>
          <w:highlight w:val="none"/>
        </w:rPr>
      </w:pPr>
      <w:r>
        <w:rPr>
          <w:rFonts w:hint="eastAsia" w:ascii="楷体_GB2312" w:hAnsi="楷体_GB2312" w:eastAsia="楷体_GB2312" w:cs="楷体_GB2312"/>
          <w:kern w:val="0"/>
          <w:sz w:val="32"/>
          <w:szCs w:val="32"/>
          <w:highlight w:val="none"/>
        </w:rPr>
        <w:t>（五）财务评价</w:t>
      </w:r>
    </w:p>
    <w:p w14:paraId="23E84132">
      <w:pPr>
        <w:pStyle w:val="2"/>
        <w:keepNext w:val="0"/>
        <w:keepLines w:val="0"/>
        <w:pageBreakBefore w:val="0"/>
        <w:numPr>
          <w:ilvl w:val="0"/>
          <w:numId w:val="2"/>
        </w:numPr>
        <w:kinsoku/>
        <w:wordWrap/>
        <w:overflowPunct/>
        <w:topLinePunct w:val="0"/>
        <w:autoSpaceDE/>
        <w:autoSpaceDN/>
        <w:bidi w:val="0"/>
        <w:adjustRightInd w:val="0"/>
        <w:snapToGrid/>
        <w:spacing w:line="560" w:lineRule="exact"/>
        <w:ind w:left="0" w:firstLine="640" w:firstLineChars="200"/>
        <w:textAlignment w:val="auto"/>
        <w:rPr>
          <w:rFonts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详细估算项目总投资，包括房源收购成本、可能发生的改造装修成本、前期费用等。</w:t>
      </w:r>
    </w:p>
    <w:p w14:paraId="174F9A17">
      <w:pPr>
        <w:pStyle w:val="2"/>
        <w:keepNext w:val="0"/>
        <w:keepLines w:val="0"/>
        <w:pageBreakBefore w:val="0"/>
        <w:numPr>
          <w:ilvl w:val="0"/>
          <w:numId w:val="2"/>
        </w:numPr>
        <w:kinsoku/>
        <w:wordWrap/>
        <w:overflowPunct/>
        <w:topLinePunct w:val="0"/>
        <w:autoSpaceDE/>
        <w:autoSpaceDN/>
        <w:bidi w:val="0"/>
        <w:adjustRightInd w:val="0"/>
        <w:snapToGrid/>
        <w:spacing w:line="560" w:lineRule="exact"/>
        <w:ind w:left="0" w:firstLine="640" w:firstLineChars="200"/>
        <w:textAlignment w:val="auto"/>
        <w:rPr>
          <w:rFonts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基于租金定价和出租率预测项目运营收入。</w:t>
      </w:r>
    </w:p>
    <w:p w14:paraId="171BAC14">
      <w:pPr>
        <w:pStyle w:val="2"/>
        <w:keepNext w:val="0"/>
        <w:keepLines w:val="0"/>
        <w:pageBreakBefore w:val="0"/>
        <w:numPr>
          <w:ilvl w:val="0"/>
          <w:numId w:val="2"/>
        </w:numPr>
        <w:kinsoku/>
        <w:wordWrap/>
        <w:overflowPunct/>
        <w:topLinePunct w:val="0"/>
        <w:autoSpaceDE/>
        <w:autoSpaceDN/>
        <w:bidi w:val="0"/>
        <w:adjustRightInd w:val="0"/>
        <w:snapToGrid/>
        <w:spacing w:line="560" w:lineRule="exact"/>
        <w:ind w:left="0" w:firstLine="640" w:firstLineChars="200"/>
        <w:textAlignment w:val="auto"/>
        <w:rPr>
          <w:rFonts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测算项目运营期的各项成本，包括物业管理费、维修费、税费、资金利息、管理成本等。</w:t>
      </w:r>
    </w:p>
    <w:p w14:paraId="090FD4A7">
      <w:pPr>
        <w:pStyle w:val="2"/>
        <w:keepNext w:val="0"/>
        <w:keepLines w:val="0"/>
        <w:pageBreakBefore w:val="0"/>
        <w:numPr>
          <w:ilvl w:val="0"/>
          <w:numId w:val="2"/>
        </w:numPr>
        <w:kinsoku/>
        <w:wordWrap/>
        <w:overflowPunct/>
        <w:topLinePunct w:val="0"/>
        <w:autoSpaceDE/>
        <w:autoSpaceDN/>
        <w:bidi w:val="0"/>
        <w:adjustRightInd w:val="0"/>
        <w:snapToGrid/>
        <w:spacing w:line="560" w:lineRule="exact"/>
        <w:ind w:left="0" w:firstLine="640" w:firstLineChars="200"/>
        <w:textAlignment w:val="auto"/>
        <w:rPr>
          <w:rFonts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编制现金流量表，计算项目投资回收期、内部收益率等关键财务指标，进行敏感性分析，评估项目的财务可持续性与偿债能力。</w:t>
      </w:r>
    </w:p>
    <w:p w14:paraId="50AFCDF2">
      <w:pPr>
        <w:keepNext w:val="0"/>
        <w:keepLines w:val="0"/>
        <w:pageBreakBefore w:val="0"/>
        <w:widowControl/>
        <w:kinsoku/>
        <w:wordWrap/>
        <w:overflowPunct/>
        <w:topLinePunct w:val="0"/>
        <w:autoSpaceDE/>
        <w:autoSpaceDN/>
        <w:bidi w:val="0"/>
        <w:adjustRightInd w:val="0"/>
        <w:snapToGrid/>
        <w:spacing w:line="560" w:lineRule="exact"/>
        <w:ind w:firstLine="640" w:firstLineChars="200"/>
        <w:textAlignment w:val="auto"/>
        <w:rPr>
          <w:rFonts w:ascii="楷体_GB2312" w:hAnsi="楷体_GB2312" w:eastAsia="楷体_GB2312" w:cs="楷体_GB2312"/>
          <w:kern w:val="0"/>
          <w:sz w:val="32"/>
          <w:szCs w:val="32"/>
          <w:highlight w:val="none"/>
        </w:rPr>
      </w:pPr>
      <w:r>
        <w:rPr>
          <w:rFonts w:hint="eastAsia" w:ascii="楷体_GB2312" w:hAnsi="楷体_GB2312" w:eastAsia="楷体_GB2312" w:cs="楷体_GB2312"/>
          <w:kern w:val="0"/>
          <w:sz w:val="32"/>
          <w:szCs w:val="32"/>
          <w:highlight w:val="none"/>
        </w:rPr>
        <w:t>（</w:t>
      </w:r>
      <w:r>
        <w:rPr>
          <w:rFonts w:hint="eastAsia" w:ascii="楷体_GB2312" w:hAnsi="楷体_GB2312" w:eastAsia="楷体_GB2312" w:cs="楷体_GB2312"/>
          <w:kern w:val="0"/>
          <w:sz w:val="32"/>
          <w:szCs w:val="32"/>
          <w:highlight w:val="none"/>
          <w:lang w:eastAsia="zh-CN"/>
        </w:rPr>
        <w:t>六</w:t>
      </w:r>
      <w:r>
        <w:rPr>
          <w:rFonts w:hint="eastAsia" w:ascii="楷体_GB2312" w:hAnsi="楷体_GB2312" w:eastAsia="楷体_GB2312" w:cs="楷体_GB2312"/>
          <w:kern w:val="0"/>
          <w:sz w:val="32"/>
          <w:szCs w:val="32"/>
          <w:highlight w:val="none"/>
        </w:rPr>
        <w:t>）风险分析及对策</w:t>
      </w:r>
    </w:p>
    <w:p w14:paraId="503213E7">
      <w:pPr>
        <w:pStyle w:val="2"/>
        <w:keepNext w:val="0"/>
        <w:keepLines w:val="0"/>
        <w:pageBreakBefore w:val="0"/>
        <w:numPr>
          <w:ilvl w:val="0"/>
          <w:numId w:val="3"/>
        </w:numPr>
        <w:kinsoku/>
        <w:wordWrap/>
        <w:overflowPunct/>
        <w:topLinePunct w:val="0"/>
        <w:autoSpaceDE/>
        <w:autoSpaceDN/>
        <w:bidi w:val="0"/>
        <w:adjustRightInd w:val="0"/>
        <w:snapToGrid/>
        <w:spacing w:line="560" w:lineRule="exact"/>
        <w:ind w:left="0" w:firstLine="640" w:firstLineChars="200"/>
        <w:textAlignment w:val="auto"/>
        <w:rPr>
          <w:rFonts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全面识别项目各阶段可能面临的风险，如政策风险、房地产市场风险、运营管理风险等。</w:t>
      </w:r>
    </w:p>
    <w:p w14:paraId="2320A818">
      <w:pPr>
        <w:pStyle w:val="2"/>
        <w:keepNext w:val="0"/>
        <w:keepLines w:val="0"/>
        <w:pageBreakBefore w:val="0"/>
        <w:numPr>
          <w:ilvl w:val="0"/>
          <w:numId w:val="3"/>
        </w:numPr>
        <w:kinsoku/>
        <w:wordWrap/>
        <w:overflowPunct/>
        <w:topLinePunct w:val="0"/>
        <w:autoSpaceDE/>
        <w:autoSpaceDN/>
        <w:bidi w:val="0"/>
        <w:adjustRightInd w:val="0"/>
        <w:snapToGrid/>
        <w:spacing w:line="560" w:lineRule="exact"/>
        <w:ind w:left="0" w:firstLine="640" w:firstLineChars="200"/>
        <w:textAlignment w:val="auto"/>
        <w:rPr>
          <w:rFonts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对识别出的风险进行影响程度评估，制定具体、可行的规避、转移、缓解和应对措施。</w:t>
      </w:r>
    </w:p>
    <w:p w14:paraId="5182E3EA">
      <w:pPr>
        <w:keepNext w:val="0"/>
        <w:keepLines w:val="0"/>
        <w:pageBreakBefore w:val="0"/>
        <w:widowControl/>
        <w:kinsoku/>
        <w:wordWrap/>
        <w:overflowPunct/>
        <w:topLinePunct w:val="0"/>
        <w:autoSpaceDE/>
        <w:autoSpaceDN/>
        <w:bidi w:val="0"/>
        <w:adjustRightInd w:val="0"/>
        <w:snapToGrid/>
        <w:spacing w:line="560" w:lineRule="exact"/>
        <w:ind w:firstLine="640" w:firstLineChars="200"/>
        <w:textAlignment w:val="auto"/>
        <w:outlineLvl w:val="0"/>
        <w:rPr>
          <w:rFonts w:ascii="黑体" w:hAnsi="黑体" w:eastAsia="黑体" w:cs="黑体"/>
          <w:b w:val="0"/>
          <w:bCs w:val="0"/>
          <w:kern w:val="0"/>
          <w:sz w:val="32"/>
          <w:szCs w:val="32"/>
          <w:highlight w:val="none"/>
        </w:rPr>
      </w:pPr>
      <w:r>
        <w:rPr>
          <w:rFonts w:hint="eastAsia" w:ascii="黑体" w:hAnsi="黑体" w:eastAsia="黑体" w:cs="黑体"/>
          <w:b w:val="0"/>
          <w:bCs w:val="0"/>
          <w:kern w:val="0"/>
          <w:sz w:val="32"/>
          <w:szCs w:val="32"/>
          <w:highlight w:val="none"/>
        </w:rPr>
        <w:t>三、成果要求</w:t>
      </w:r>
    </w:p>
    <w:p w14:paraId="0814CF52">
      <w:pPr>
        <w:pStyle w:val="2"/>
        <w:keepNext w:val="0"/>
        <w:keepLines w:val="0"/>
        <w:pageBreakBefore w:val="0"/>
        <w:kinsoku/>
        <w:wordWrap/>
        <w:overflowPunct/>
        <w:topLinePunct w:val="0"/>
        <w:autoSpaceDE/>
        <w:autoSpaceDN/>
        <w:bidi w:val="0"/>
        <w:adjustRightInd w:val="0"/>
        <w:snapToGrid/>
        <w:spacing w:line="560" w:lineRule="exact"/>
        <w:ind w:firstLine="640" w:firstLineChars="200"/>
        <w:textAlignment w:val="auto"/>
        <w:rPr>
          <w:rFonts w:ascii="仿宋_GB2312" w:hAnsi="仿宋_GB2312" w:eastAsia="仿宋_GB2312" w:cs="仿宋_GB2312"/>
          <w:kern w:val="0"/>
          <w:sz w:val="32"/>
          <w:szCs w:val="32"/>
          <w:highlight w:val="none"/>
        </w:rPr>
      </w:pPr>
      <w:r>
        <w:rPr>
          <w:rFonts w:hint="eastAsia" w:ascii="国标楷体-GB/T 2312" w:hAnsi="国标楷体-GB/T 2312" w:eastAsia="国标楷体-GB/T 2312" w:cs="国标楷体-GB/T 2312"/>
          <w:kern w:val="0"/>
          <w:sz w:val="32"/>
          <w:szCs w:val="32"/>
          <w:highlight w:val="none"/>
          <w:lang w:eastAsia="zh-CN"/>
        </w:rPr>
        <w:t>（一）</w:t>
      </w:r>
      <w:r>
        <w:rPr>
          <w:rFonts w:hint="eastAsia" w:ascii="国标楷体-GB/T 2312" w:hAnsi="国标楷体-GB/T 2312" w:eastAsia="国标楷体-GB/T 2312" w:cs="国标楷体-GB/T 2312"/>
          <w:kern w:val="0"/>
          <w:sz w:val="32"/>
          <w:szCs w:val="32"/>
          <w:highlight w:val="none"/>
        </w:rPr>
        <w:t>研究质量：</w:t>
      </w:r>
      <w:r>
        <w:rPr>
          <w:rFonts w:hint="eastAsia" w:ascii="仿宋_GB2312" w:hAnsi="仿宋_GB2312" w:eastAsia="仿宋_GB2312" w:cs="仿宋_GB2312"/>
          <w:kern w:val="0"/>
          <w:sz w:val="32"/>
          <w:szCs w:val="32"/>
          <w:highlight w:val="none"/>
        </w:rPr>
        <w:t>研究需基于一手和二手数据，数据来源应权威可靠。分析方法应科学严谨，符合国家关于项目可行性研究的规范。</w:t>
      </w:r>
    </w:p>
    <w:p w14:paraId="7C6B98D1">
      <w:pPr>
        <w:pStyle w:val="2"/>
        <w:keepNext w:val="0"/>
        <w:keepLines w:val="0"/>
        <w:pageBreakBefore w:val="0"/>
        <w:kinsoku/>
        <w:wordWrap/>
        <w:overflowPunct/>
        <w:topLinePunct w:val="0"/>
        <w:autoSpaceDE/>
        <w:autoSpaceDN/>
        <w:bidi w:val="0"/>
        <w:adjustRightInd w:val="0"/>
        <w:snapToGrid/>
        <w:spacing w:line="560" w:lineRule="exact"/>
        <w:ind w:firstLine="640" w:firstLineChars="200"/>
        <w:textAlignment w:val="auto"/>
        <w:rPr>
          <w:rFonts w:ascii="仿宋_GB2312" w:hAnsi="仿宋_GB2312" w:eastAsia="仿宋_GB2312" w:cs="仿宋_GB2312"/>
          <w:kern w:val="0"/>
          <w:sz w:val="32"/>
          <w:szCs w:val="32"/>
          <w:highlight w:val="none"/>
        </w:rPr>
      </w:pPr>
      <w:r>
        <w:rPr>
          <w:rFonts w:hint="eastAsia" w:ascii="国标楷体-GB/T 2312" w:hAnsi="国标楷体-GB/T 2312" w:eastAsia="国标楷体-GB/T 2312" w:cs="国标楷体-GB/T 2312"/>
          <w:kern w:val="0"/>
          <w:sz w:val="32"/>
          <w:szCs w:val="32"/>
          <w:highlight w:val="none"/>
          <w:lang w:eastAsia="zh-CN"/>
        </w:rPr>
        <w:t>（二）交付时间：</w:t>
      </w:r>
      <w:r>
        <w:rPr>
          <w:rFonts w:hint="eastAsia" w:ascii="仿宋_GB2312" w:hAnsi="仿宋_GB2312" w:eastAsia="仿宋_GB2312" w:cs="仿宋_GB2312"/>
          <w:kern w:val="0"/>
          <w:sz w:val="32"/>
          <w:szCs w:val="32"/>
          <w:highlight w:val="none"/>
        </w:rPr>
        <w:t>受托机构需在合同签订后10个</w:t>
      </w:r>
      <w:r>
        <w:rPr>
          <w:rFonts w:hint="eastAsia" w:ascii="仿宋_GB2312" w:hAnsi="仿宋_GB2312" w:eastAsia="仿宋_GB2312" w:cs="仿宋_GB2312"/>
          <w:kern w:val="0"/>
          <w:sz w:val="32"/>
          <w:szCs w:val="32"/>
          <w:highlight w:val="none"/>
          <w:lang w:eastAsia="zh-CN"/>
        </w:rPr>
        <w:t>自然</w:t>
      </w:r>
      <w:r>
        <w:rPr>
          <w:rFonts w:hint="eastAsia" w:ascii="仿宋_GB2312" w:hAnsi="仿宋_GB2312" w:eastAsia="仿宋_GB2312" w:cs="仿宋_GB2312"/>
          <w:kern w:val="0"/>
          <w:sz w:val="32"/>
          <w:szCs w:val="32"/>
          <w:highlight w:val="none"/>
        </w:rPr>
        <w:t>日内，提交《可行性研究报告》初稿，并根据评审意见在2个工作日内完成修改，提交最终报告。</w:t>
      </w:r>
    </w:p>
    <w:p w14:paraId="66F2FD43">
      <w:pPr>
        <w:pStyle w:val="2"/>
        <w:keepNext w:val="0"/>
        <w:keepLines w:val="0"/>
        <w:pageBreakBefore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kern w:val="0"/>
          <w:sz w:val="32"/>
          <w:szCs w:val="32"/>
          <w:highlight w:val="none"/>
        </w:rPr>
      </w:pPr>
      <w:r>
        <w:rPr>
          <w:rFonts w:hint="eastAsia" w:ascii="国标楷体-GB/T 2312" w:hAnsi="国标楷体-GB/T 2312" w:eastAsia="国标楷体-GB/T 2312" w:cs="国标楷体-GB/T 2312"/>
          <w:kern w:val="0"/>
          <w:sz w:val="32"/>
          <w:szCs w:val="32"/>
          <w:highlight w:val="none"/>
          <w:lang w:eastAsia="zh-CN"/>
        </w:rPr>
        <w:t>（三）验收标准：</w:t>
      </w:r>
      <w:r>
        <w:rPr>
          <w:rFonts w:hint="eastAsia" w:ascii="仿宋_GB2312" w:hAnsi="仿宋_GB2312" w:eastAsia="仿宋_GB2312" w:cs="仿宋_GB2312"/>
          <w:kern w:val="0"/>
          <w:sz w:val="32"/>
          <w:szCs w:val="32"/>
          <w:highlight w:val="none"/>
        </w:rPr>
        <w:t>最终成果需通过我方组织的专家评审会验收。</w:t>
      </w:r>
    </w:p>
    <w:p w14:paraId="0F9A0832">
      <w:pPr>
        <w:pStyle w:val="2"/>
        <w:keepNext w:val="0"/>
        <w:keepLines w:val="0"/>
        <w:pageBreakBefore w:val="0"/>
        <w:kinsoku/>
        <w:wordWrap/>
        <w:overflowPunct/>
        <w:topLinePunct w:val="0"/>
        <w:autoSpaceDE/>
        <w:autoSpaceDN/>
        <w:bidi w:val="0"/>
        <w:adjustRightInd w:val="0"/>
        <w:snapToGrid/>
        <w:spacing w:line="560" w:lineRule="exact"/>
        <w:ind w:firstLine="640" w:firstLineChars="200"/>
        <w:textAlignment w:val="auto"/>
        <w:rPr>
          <w:rFonts w:hint="default" w:ascii="仿宋_GB2312" w:hAnsi="仿宋_GB2312" w:eastAsia="仿宋_GB2312" w:cs="仿宋_GB2312"/>
          <w:kern w:val="0"/>
          <w:sz w:val="32"/>
          <w:szCs w:val="32"/>
          <w:highlight w:val="none"/>
          <w:lang w:val="en-US" w:eastAsia="zh-CN"/>
        </w:rPr>
      </w:pPr>
      <w:r>
        <w:rPr>
          <w:rFonts w:hint="eastAsia" w:ascii="国标楷体-GB/T 2312" w:hAnsi="国标楷体-GB/T 2312" w:eastAsia="国标楷体-GB/T 2312" w:cs="国标楷体-GB/T 2312"/>
          <w:kern w:val="0"/>
          <w:sz w:val="32"/>
          <w:szCs w:val="32"/>
          <w:highlight w:val="none"/>
          <w:lang w:eastAsia="zh-CN"/>
        </w:rPr>
        <w:t>（四）交付形式：</w:t>
      </w:r>
      <w:r>
        <w:rPr>
          <w:rFonts w:hint="eastAsia" w:ascii="仿宋_GB2312" w:hAnsi="仿宋_GB2312" w:eastAsia="仿宋_GB2312" w:cs="仿宋_GB2312"/>
          <w:kern w:val="0"/>
          <w:sz w:val="32"/>
          <w:szCs w:val="32"/>
          <w:highlight w:val="none"/>
          <w:lang w:eastAsia="zh-CN"/>
        </w:rPr>
        <w:t>盖章纸质版3份</w:t>
      </w:r>
      <w:bookmarkStart w:id="0" w:name="_GoBack"/>
      <w:bookmarkEnd w:id="0"/>
      <w:r>
        <w:rPr>
          <w:rFonts w:hint="eastAsia" w:ascii="仿宋_GB2312" w:hAnsi="仿宋_GB2312" w:eastAsia="仿宋_GB2312" w:cs="仿宋_GB2312"/>
          <w:kern w:val="0"/>
          <w:sz w:val="32"/>
          <w:szCs w:val="32"/>
          <w:highlight w:val="none"/>
          <w:lang w:eastAsia="zh-CN"/>
        </w:rPr>
        <w:t>，电子扫描件1份。</w:t>
      </w:r>
    </w:p>
    <w:p w14:paraId="6335A57D">
      <w:pPr>
        <w:pStyle w:val="2"/>
        <w:keepNext w:val="0"/>
        <w:keepLines w:val="0"/>
        <w:pageBreakBefore w:val="0"/>
        <w:kinsoku/>
        <w:wordWrap/>
        <w:overflowPunct/>
        <w:topLinePunct w:val="0"/>
        <w:autoSpaceDE/>
        <w:autoSpaceDN/>
        <w:bidi w:val="0"/>
        <w:adjustRightInd w:val="0"/>
        <w:snapToGrid/>
        <w:spacing w:line="560" w:lineRule="exact"/>
        <w:ind w:firstLine="640" w:firstLineChars="200"/>
        <w:textAlignment w:val="auto"/>
        <w:rPr>
          <w:rFonts w:ascii="黑体" w:hAnsi="黑体" w:eastAsia="黑体" w:cs="黑体"/>
          <w:b w:val="0"/>
          <w:bCs w:val="0"/>
          <w:kern w:val="0"/>
          <w:sz w:val="32"/>
          <w:szCs w:val="32"/>
        </w:rPr>
      </w:pPr>
      <w:r>
        <w:rPr>
          <w:rFonts w:hint="eastAsia" w:ascii="黑体" w:hAnsi="黑体" w:eastAsia="黑体" w:cs="黑体"/>
          <w:b w:val="0"/>
          <w:bCs w:val="0"/>
          <w:kern w:val="0"/>
          <w:sz w:val="32"/>
          <w:szCs w:val="32"/>
        </w:rPr>
        <w:t>四、资质要求</w:t>
      </w:r>
    </w:p>
    <w:p w14:paraId="66E55266">
      <w:pPr>
        <w:keepNext w:val="0"/>
        <w:keepLines w:val="0"/>
        <w:pageBreakBefore w:val="0"/>
        <w:widowControl/>
        <w:numPr>
          <w:ilvl w:val="0"/>
          <w:numId w:val="4"/>
        </w:numPr>
        <w:kinsoku/>
        <w:wordWrap/>
        <w:overflowPunct/>
        <w:topLinePunct w:val="0"/>
        <w:autoSpaceDE/>
        <w:autoSpaceDN/>
        <w:bidi w:val="0"/>
        <w:snapToGrid/>
        <w:spacing w:line="560" w:lineRule="exact"/>
        <w:textAlignment w:val="auto"/>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在中华人民共和国境内注册，具有独立法人资格；</w:t>
      </w:r>
    </w:p>
    <w:p w14:paraId="7247D7DA">
      <w:pPr>
        <w:keepNext w:val="0"/>
        <w:keepLines w:val="0"/>
        <w:pageBreakBefore w:val="0"/>
        <w:widowControl/>
        <w:numPr>
          <w:ilvl w:val="0"/>
          <w:numId w:val="4"/>
        </w:numPr>
        <w:kinsoku/>
        <w:wordWrap/>
        <w:overflowPunct/>
        <w:topLinePunct w:val="0"/>
        <w:autoSpaceDE/>
        <w:autoSpaceDN/>
        <w:bidi w:val="0"/>
        <w:snapToGrid/>
        <w:spacing w:line="560" w:lineRule="exact"/>
        <w:textAlignment w:val="auto"/>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具有建设行政主管部门颁发的房地产估价机构备案证书（备案等级为壹级）；</w:t>
      </w:r>
    </w:p>
    <w:p w14:paraId="0B0C7CF6">
      <w:pPr>
        <w:keepNext w:val="0"/>
        <w:keepLines w:val="0"/>
        <w:pageBreakBefore w:val="0"/>
        <w:widowControl/>
        <w:numPr>
          <w:ilvl w:val="0"/>
          <w:numId w:val="4"/>
        </w:numPr>
        <w:kinsoku/>
        <w:wordWrap/>
        <w:overflowPunct/>
        <w:topLinePunct w:val="0"/>
        <w:autoSpaceDE/>
        <w:autoSpaceDN/>
        <w:bidi w:val="0"/>
        <w:snapToGrid/>
        <w:spacing w:line="560" w:lineRule="exact"/>
        <w:textAlignment w:val="auto"/>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具有土地评估机构备案与信用等级证书；</w:t>
      </w:r>
    </w:p>
    <w:p w14:paraId="273D14A9">
      <w:pPr>
        <w:pStyle w:val="2"/>
        <w:keepNext w:val="0"/>
        <w:keepLines w:val="0"/>
        <w:pageBreakBefore w:val="0"/>
        <w:numPr>
          <w:ilvl w:val="0"/>
          <w:numId w:val="4"/>
        </w:numPr>
        <w:kinsoku/>
        <w:wordWrap/>
        <w:overflowPunct/>
        <w:topLinePunct w:val="0"/>
        <w:autoSpaceDE/>
        <w:autoSpaceDN/>
        <w:bidi w:val="0"/>
        <w:snapToGrid/>
        <w:spacing w:line="560" w:lineRule="exact"/>
        <w:textAlignment w:val="auto"/>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具有资产评估机构备案证书；</w:t>
      </w:r>
    </w:p>
    <w:p w14:paraId="3BEFB1C3">
      <w:pPr>
        <w:pStyle w:val="2"/>
        <w:keepNext w:val="0"/>
        <w:keepLines w:val="0"/>
        <w:pageBreakBefore w:val="0"/>
        <w:numPr>
          <w:ilvl w:val="0"/>
          <w:numId w:val="4"/>
        </w:numPr>
        <w:kinsoku/>
        <w:wordWrap/>
        <w:overflowPunct/>
        <w:topLinePunct w:val="0"/>
        <w:autoSpaceDE/>
        <w:autoSpaceDN/>
        <w:bidi w:val="0"/>
        <w:snapToGrid/>
        <w:spacing w:line="560" w:lineRule="exact"/>
        <w:textAlignment w:val="auto"/>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公司在全国投资项目在线审批监管平台备案；</w:t>
      </w:r>
    </w:p>
    <w:p w14:paraId="073CDB62">
      <w:pPr>
        <w:keepNext w:val="0"/>
        <w:keepLines w:val="0"/>
        <w:pageBreakBefore w:val="0"/>
        <w:widowControl/>
        <w:numPr>
          <w:ilvl w:val="0"/>
          <w:numId w:val="4"/>
        </w:numPr>
        <w:kinsoku/>
        <w:wordWrap/>
        <w:overflowPunct/>
        <w:topLinePunct w:val="0"/>
        <w:autoSpaceDE/>
        <w:autoSpaceDN/>
        <w:bidi w:val="0"/>
        <w:snapToGrid/>
        <w:spacing w:line="560" w:lineRule="exact"/>
        <w:textAlignment w:val="auto"/>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本项目不接受联合体投标，投标方不得将项目转包或分包给其他单位或个人，</w:t>
      </w:r>
      <w:r>
        <w:rPr>
          <w:rFonts w:hint="eastAsia" w:ascii="仿宋_GB2312" w:hAnsi="仿宋_GB2312" w:eastAsia="仿宋_GB2312" w:cs="仿宋_GB2312"/>
          <w:bCs/>
          <w:sz w:val="32"/>
          <w:szCs w:val="32"/>
        </w:rPr>
        <w:t>且同一法定代表人的公司只允许一家单位投标</w:t>
      </w:r>
      <w:r>
        <w:rPr>
          <w:rFonts w:hint="eastAsia" w:ascii="仿宋_GB2312" w:hAnsi="仿宋_GB2312" w:eastAsia="仿宋_GB2312" w:cs="仿宋_GB2312"/>
          <w:kern w:val="0"/>
          <w:sz w:val="32"/>
          <w:szCs w:val="32"/>
        </w:rPr>
        <w:t>。</w:t>
      </w:r>
    </w:p>
    <w:p w14:paraId="68445835">
      <w:pPr>
        <w:keepNext w:val="0"/>
        <w:keepLines w:val="0"/>
        <w:pageBreakBefore w:val="0"/>
        <w:widowControl/>
        <w:kinsoku/>
        <w:wordWrap/>
        <w:overflowPunct/>
        <w:topLinePunct w:val="0"/>
        <w:autoSpaceDE/>
        <w:autoSpaceDN/>
        <w:bidi w:val="0"/>
        <w:snapToGrid/>
        <w:spacing w:line="560" w:lineRule="exact"/>
        <w:ind w:firstLine="640" w:firstLineChars="200"/>
        <w:textAlignment w:val="auto"/>
        <w:outlineLvl w:val="0"/>
        <w:rPr>
          <w:b w:val="0"/>
          <w:bCs w:val="0"/>
        </w:rPr>
      </w:pPr>
      <w:r>
        <w:rPr>
          <w:rFonts w:hint="eastAsia" w:ascii="黑体" w:hAnsi="黑体" w:eastAsia="黑体" w:cs="黑体"/>
          <w:b w:val="0"/>
          <w:bCs w:val="0"/>
          <w:kern w:val="0"/>
          <w:sz w:val="32"/>
          <w:szCs w:val="32"/>
        </w:rPr>
        <w:t>五、其他要求</w:t>
      </w:r>
    </w:p>
    <w:p w14:paraId="4A524805">
      <w:pPr>
        <w:keepNext w:val="0"/>
        <w:keepLines w:val="0"/>
        <w:pageBreakBefore w:val="0"/>
        <w:kinsoku/>
        <w:wordWrap/>
        <w:overflowPunct/>
        <w:topLinePunct w:val="0"/>
        <w:autoSpaceDE/>
        <w:autoSpaceDN/>
        <w:bidi w:val="0"/>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（一）具备专业的技术团队和咨询团队，拟派团队项目总负责人、项目技术负责人；</w:t>
      </w:r>
    </w:p>
    <w:p w14:paraId="1BBD1369">
      <w:pPr>
        <w:keepNext w:val="0"/>
        <w:keepLines w:val="0"/>
        <w:pageBreakBefore w:val="0"/>
        <w:kinsoku/>
        <w:wordWrap/>
        <w:overflowPunct/>
        <w:topLinePunct w:val="0"/>
        <w:autoSpaceDE/>
        <w:autoSpaceDN/>
        <w:bidi w:val="0"/>
        <w:snapToGrid/>
        <w:spacing w:line="560" w:lineRule="exact"/>
        <w:ind w:firstLine="640" w:firstLineChars="200"/>
        <w:textAlignment w:val="auto"/>
        <w:rPr>
          <w:rFonts w:ascii="仿宋_GB2312" w:hAnsi="仿宋_GB2312" w:eastAsia="仿宋_GB2312" w:cs="仿宋_GB2312"/>
          <w:kern w:val="0"/>
          <w:sz w:val="32"/>
          <w:szCs w:val="32"/>
        </w:rPr>
      </w:pPr>
      <w:r>
        <w:rPr>
          <w:rFonts w:ascii="Times New Roman" w:hAnsi="Times New Roman" w:eastAsia="仿宋_GB2312"/>
          <w:bCs/>
          <w:sz w:val="32"/>
          <w:szCs w:val="32"/>
        </w:rPr>
        <w:t>（</w:t>
      </w:r>
      <w:r>
        <w:rPr>
          <w:rFonts w:hint="eastAsia" w:ascii="Times New Roman" w:hAnsi="Times New Roman" w:eastAsia="仿宋_GB2312"/>
          <w:bCs/>
          <w:sz w:val="32"/>
          <w:szCs w:val="32"/>
        </w:rPr>
        <w:t>二</w:t>
      </w:r>
      <w:r>
        <w:rPr>
          <w:rFonts w:ascii="Times New Roman" w:hAnsi="Times New Roman" w:eastAsia="仿宋_GB2312"/>
          <w:bCs/>
          <w:sz w:val="32"/>
          <w:szCs w:val="32"/>
        </w:rPr>
        <w:t>）</w:t>
      </w:r>
      <w:r>
        <w:rPr>
          <w:rFonts w:hint="eastAsia" w:ascii="仿宋_GB2312" w:hAnsi="仿宋_GB2312" w:eastAsia="仿宋_GB2312" w:cs="仿宋_GB2312"/>
          <w:sz w:val="32"/>
          <w:szCs w:val="32"/>
        </w:rPr>
        <w:t>团队成员应拥有丰富的可行性研究服务经验，</w:t>
      </w:r>
      <w:r>
        <w:rPr>
          <w:rFonts w:ascii="Times New Roman" w:hAnsi="Times New Roman" w:eastAsia="仿宋_GB2312"/>
          <w:bCs/>
          <w:sz w:val="32"/>
          <w:szCs w:val="32"/>
        </w:rPr>
        <w:t>无执业不良记录。</w:t>
      </w:r>
    </w:p>
    <w:sectPr>
      <w:footerReference r:id="rId3" w:type="default"/>
      <w:pgSz w:w="11906" w:h="16838"/>
      <w:pgMar w:top="2098" w:right="1800"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0000000000000000000"/>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_GB2312">
    <w:altName w:val="方正楷体_GBK"/>
    <w:panose1 w:val="00000000000000000000"/>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 w:name="国标仿宋-GB/T 2312">
    <w:panose1 w:val="02000500000000000000"/>
    <w:charset w:val="86"/>
    <w:family w:val="auto"/>
    <w:pitch w:val="default"/>
    <w:sig w:usb0="800002AF" w:usb1="08476CF8" w:usb2="00000010" w:usb3="00000000" w:csb0="00040000" w:csb1="00000000"/>
  </w:font>
  <w:font w:name="国标楷体-GB/T 2312">
    <w:panose1 w:val="020005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8D817">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DDD0BA">
                          <w:pPr>
                            <w:pStyle w:val="6"/>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5DDD0BA">
                    <w:pPr>
                      <w:pStyle w:val="6"/>
                    </w:pPr>
                    <w:r>
                      <w:fldChar w:fldCharType="begin"/>
                    </w:r>
                    <w:r>
                      <w:instrText xml:space="preserve"> PAGE  \* MERGEFORMAT </w:instrText>
                    </w:r>
                    <w:r>
                      <w:fldChar w:fldCharType="separate"/>
                    </w:r>
                    <w:r>
                      <w:t>4</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46F584"/>
    <w:multiLevelType w:val="singleLevel"/>
    <w:tmpl w:val="C446F584"/>
    <w:lvl w:ilvl="0" w:tentative="0">
      <w:start w:val="1"/>
      <w:numFmt w:val="decimal"/>
      <w:suff w:val="nothing"/>
      <w:lvlText w:val="%1."/>
      <w:lvlJc w:val="left"/>
      <w:pPr>
        <w:ind w:left="425" w:hanging="425"/>
      </w:pPr>
      <w:rPr>
        <w:rFonts w:hint="default"/>
      </w:rPr>
    </w:lvl>
  </w:abstractNum>
  <w:abstractNum w:abstractNumId="1">
    <w:nsid w:val="06272908"/>
    <w:multiLevelType w:val="singleLevel"/>
    <w:tmpl w:val="06272908"/>
    <w:lvl w:ilvl="0" w:tentative="0">
      <w:start w:val="1"/>
      <w:numFmt w:val="decimal"/>
      <w:suff w:val="nothing"/>
      <w:lvlText w:val="%1."/>
      <w:lvlJc w:val="left"/>
      <w:pPr>
        <w:ind w:left="425" w:hanging="425"/>
      </w:pPr>
      <w:rPr>
        <w:rFonts w:hint="default"/>
      </w:rPr>
    </w:lvl>
  </w:abstractNum>
  <w:abstractNum w:abstractNumId="2">
    <w:nsid w:val="26C8124F"/>
    <w:multiLevelType w:val="singleLevel"/>
    <w:tmpl w:val="26C8124F"/>
    <w:lvl w:ilvl="0" w:tentative="0">
      <w:start w:val="1"/>
      <w:numFmt w:val="decimal"/>
      <w:suff w:val="nothing"/>
      <w:lvlText w:val="%1."/>
      <w:lvlJc w:val="left"/>
      <w:pPr>
        <w:ind w:left="425" w:hanging="425"/>
      </w:pPr>
      <w:rPr>
        <w:rFonts w:hint="default"/>
      </w:rPr>
    </w:lvl>
  </w:abstractNum>
  <w:abstractNum w:abstractNumId="3">
    <w:nsid w:val="2DFB0802"/>
    <w:multiLevelType w:val="singleLevel"/>
    <w:tmpl w:val="2DFB0802"/>
    <w:lvl w:ilvl="0" w:tentative="0">
      <w:start w:val="1"/>
      <w:numFmt w:val="chineseCounting"/>
      <w:suff w:val="nothing"/>
      <w:lvlText w:val="（%1）"/>
      <w:lvlJc w:val="left"/>
      <w:pPr>
        <w:ind w:left="0" w:firstLine="420"/>
      </w:pPr>
      <w:rPr>
        <w:rFonts w:hint="eastAsia" w:ascii="仿宋_GB2312" w:hAnsi="仿宋_GB2312" w:eastAsia="仿宋_GB2312" w:cs="仿宋_GB2312"/>
        <w:sz w:val="32"/>
        <w:szCs w:val="32"/>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ljZjA5ZTA2ZDc3YzY5ZjhjYTZlZmQ4YTA0ZDVhNzMifQ=="/>
  </w:docVars>
  <w:rsids>
    <w:rsidRoot w:val="00F110D5"/>
    <w:rsid w:val="00006A91"/>
    <w:rsid w:val="00081A02"/>
    <w:rsid w:val="000B2B0F"/>
    <w:rsid w:val="000D23EE"/>
    <w:rsid w:val="001A79CC"/>
    <w:rsid w:val="00207E2A"/>
    <w:rsid w:val="00223F4C"/>
    <w:rsid w:val="00245C3F"/>
    <w:rsid w:val="00251504"/>
    <w:rsid w:val="002A2DA2"/>
    <w:rsid w:val="00421F90"/>
    <w:rsid w:val="0042448D"/>
    <w:rsid w:val="004769D5"/>
    <w:rsid w:val="00495B89"/>
    <w:rsid w:val="004B6084"/>
    <w:rsid w:val="004D3F80"/>
    <w:rsid w:val="00523A47"/>
    <w:rsid w:val="005409DE"/>
    <w:rsid w:val="005D37C5"/>
    <w:rsid w:val="00670F93"/>
    <w:rsid w:val="006B39CA"/>
    <w:rsid w:val="006C3F09"/>
    <w:rsid w:val="00764221"/>
    <w:rsid w:val="00765D3E"/>
    <w:rsid w:val="00921F07"/>
    <w:rsid w:val="009A77B7"/>
    <w:rsid w:val="00A15418"/>
    <w:rsid w:val="00A55EED"/>
    <w:rsid w:val="00AA194B"/>
    <w:rsid w:val="00AD6A9C"/>
    <w:rsid w:val="00B10965"/>
    <w:rsid w:val="00B11B60"/>
    <w:rsid w:val="00B24CD1"/>
    <w:rsid w:val="00B66319"/>
    <w:rsid w:val="00BA61FF"/>
    <w:rsid w:val="00BB04A4"/>
    <w:rsid w:val="00BD5DFC"/>
    <w:rsid w:val="00C03ED8"/>
    <w:rsid w:val="00C14435"/>
    <w:rsid w:val="00C9228A"/>
    <w:rsid w:val="00CC0108"/>
    <w:rsid w:val="00CC3CE0"/>
    <w:rsid w:val="00DB5FF5"/>
    <w:rsid w:val="00E458C0"/>
    <w:rsid w:val="00EC45D5"/>
    <w:rsid w:val="00F110D5"/>
    <w:rsid w:val="00F27782"/>
    <w:rsid w:val="02ED39AA"/>
    <w:rsid w:val="05626226"/>
    <w:rsid w:val="05AC4007"/>
    <w:rsid w:val="05E33C6C"/>
    <w:rsid w:val="07AC5D2A"/>
    <w:rsid w:val="07DA4754"/>
    <w:rsid w:val="082F1B08"/>
    <w:rsid w:val="09304FAA"/>
    <w:rsid w:val="09A36444"/>
    <w:rsid w:val="09D60752"/>
    <w:rsid w:val="0A2B53A7"/>
    <w:rsid w:val="0D3E455D"/>
    <w:rsid w:val="0DC9777B"/>
    <w:rsid w:val="0F3A0931"/>
    <w:rsid w:val="0F777D5B"/>
    <w:rsid w:val="0FE02CB4"/>
    <w:rsid w:val="10482120"/>
    <w:rsid w:val="11FF3DF6"/>
    <w:rsid w:val="126F7470"/>
    <w:rsid w:val="17C82B68"/>
    <w:rsid w:val="17F15535"/>
    <w:rsid w:val="19BE21E6"/>
    <w:rsid w:val="1BFF1D3F"/>
    <w:rsid w:val="1CFC61EE"/>
    <w:rsid w:val="1F147B6E"/>
    <w:rsid w:val="1F5F3C69"/>
    <w:rsid w:val="213734AB"/>
    <w:rsid w:val="23563129"/>
    <w:rsid w:val="24B506AB"/>
    <w:rsid w:val="256259C1"/>
    <w:rsid w:val="26651A12"/>
    <w:rsid w:val="26925551"/>
    <w:rsid w:val="27A468B7"/>
    <w:rsid w:val="2C7437FB"/>
    <w:rsid w:val="2D87063D"/>
    <w:rsid w:val="2DA4F209"/>
    <w:rsid w:val="2E8111CD"/>
    <w:rsid w:val="2EFA558F"/>
    <w:rsid w:val="2F2253F3"/>
    <w:rsid w:val="2F302D5E"/>
    <w:rsid w:val="306804F6"/>
    <w:rsid w:val="30DE336E"/>
    <w:rsid w:val="31397107"/>
    <w:rsid w:val="322B13AD"/>
    <w:rsid w:val="33DC1D1A"/>
    <w:rsid w:val="35D15DB9"/>
    <w:rsid w:val="3756462F"/>
    <w:rsid w:val="37EF0010"/>
    <w:rsid w:val="382417F2"/>
    <w:rsid w:val="38896AA4"/>
    <w:rsid w:val="3BEB0216"/>
    <w:rsid w:val="3D785FFC"/>
    <w:rsid w:val="3ECB5284"/>
    <w:rsid w:val="405456E0"/>
    <w:rsid w:val="40B566E5"/>
    <w:rsid w:val="42176C30"/>
    <w:rsid w:val="432612D7"/>
    <w:rsid w:val="460C7565"/>
    <w:rsid w:val="46470361"/>
    <w:rsid w:val="47910BD8"/>
    <w:rsid w:val="47981D85"/>
    <w:rsid w:val="48987ECE"/>
    <w:rsid w:val="4A050C18"/>
    <w:rsid w:val="4AD2445C"/>
    <w:rsid w:val="4B645E12"/>
    <w:rsid w:val="4B9F3E13"/>
    <w:rsid w:val="4C0E095C"/>
    <w:rsid w:val="4CAE1A3B"/>
    <w:rsid w:val="4CC007A8"/>
    <w:rsid w:val="4D5A04CE"/>
    <w:rsid w:val="54330A77"/>
    <w:rsid w:val="543E0EFD"/>
    <w:rsid w:val="553005F3"/>
    <w:rsid w:val="565C3CA9"/>
    <w:rsid w:val="56D91FB1"/>
    <w:rsid w:val="56FD343A"/>
    <w:rsid w:val="57D76345"/>
    <w:rsid w:val="58A51CBC"/>
    <w:rsid w:val="58C3750C"/>
    <w:rsid w:val="5BB35BFD"/>
    <w:rsid w:val="5C5773BA"/>
    <w:rsid w:val="5F024D48"/>
    <w:rsid w:val="5FB05B0D"/>
    <w:rsid w:val="5FFFD10F"/>
    <w:rsid w:val="607D37A6"/>
    <w:rsid w:val="612956DC"/>
    <w:rsid w:val="6246224E"/>
    <w:rsid w:val="63840988"/>
    <w:rsid w:val="663B00BC"/>
    <w:rsid w:val="673D1AA0"/>
    <w:rsid w:val="674F5770"/>
    <w:rsid w:val="68E51454"/>
    <w:rsid w:val="69034A9C"/>
    <w:rsid w:val="6CEB5321"/>
    <w:rsid w:val="6E7D3DC0"/>
    <w:rsid w:val="6F20011E"/>
    <w:rsid w:val="70D71698"/>
    <w:rsid w:val="71371ABC"/>
    <w:rsid w:val="74CA3328"/>
    <w:rsid w:val="75574AD1"/>
    <w:rsid w:val="75C24B8E"/>
    <w:rsid w:val="774A1BE7"/>
    <w:rsid w:val="78D7D08E"/>
    <w:rsid w:val="79200571"/>
    <w:rsid w:val="793574C5"/>
    <w:rsid w:val="7B277CDE"/>
    <w:rsid w:val="7CDFCCFA"/>
    <w:rsid w:val="7D868F39"/>
    <w:rsid w:val="7DFF4FE9"/>
    <w:rsid w:val="7E0237F7"/>
    <w:rsid w:val="7E6B28C4"/>
    <w:rsid w:val="7EADCD5F"/>
    <w:rsid w:val="7EEB71E6"/>
    <w:rsid w:val="7EFF710E"/>
    <w:rsid w:val="7FDD9D46"/>
    <w:rsid w:val="7FDFB224"/>
    <w:rsid w:val="AD558DE1"/>
    <w:rsid w:val="B75F4345"/>
    <w:rsid w:val="BBFD2E0A"/>
    <w:rsid w:val="BDFABE2A"/>
    <w:rsid w:val="DBFF7B3F"/>
    <w:rsid w:val="DCAD8A8C"/>
    <w:rsid w:val="EDFF14D2"/>
    <w:rsid w:val="EE79A749"/>
    <w:rsid w:val="F2ED0D21"/>
    <w:rsid w:val="F33F5701"/>
    <w:rsid w:val="F34F3A9B"/>
    <w:rsid w:val="FBF28C73"/>
    <w:rsid w:val="FFE25828"/>
    <w:rsid w:val="FFFD2B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iPriority="99"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Plain Text"/>
    <w:basedOn w:val="1"/>
    <w:next w:val="3"/>
    <w:qFormat/>
    <w:uiPriority w:val="0"/>
    <w:rPr>
      <w:rFonts w:ascii="宋体" w:hAnsi="Courier New"/>
    </w:rPr>
  </w:style>
  <w:style w:type="paragraph" w:styleId="3">
    <w:name w:val="index 8"/>
    <w:basedOn w:val="1"/>
    <w:next w:val="1"/>
    <w:unhideWhenUsed/>
    <w:qFormat/>
    <w:uiPriority w:val="99"/>
    <w:pPr>
      <w:ind w:left="1400" w:leftChars="1400"/>
    </w:pPr>
  </w:style>
  <w:style w:type="paragraph" w:styleId="4">
    <w:name w:val="annotation text"/>
    <w:basedOn w:val="1"/>
    <w:qFormat/>
    <w:uiPriority w:val="0"/>
    <w:pPr>
      <w:jc w:val="left"/>
    </w:pPr>
  </w:style>
  <w:style w:type="paragraph" w:styleId="5">
    <w:name w:val="Body Text"/>
    <w:basedOn w:val="1"/>
    <w:next w:val="1"/>
    <w:unhideWhenUsed/>
    <w:qFormat/>
    <w:uiPriority w:val="0"/>
    <w:pPr>
      <w:spacing w:after="12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toc 2"/>
    <w:basedOn w:val="1"/>
    <w:next w:val="1"/>
    <w:qFormat/>
    <w:uiPriority w:val="0"/>
    <w:pPr>
      <w:ind w:left="420" w:leftChars="200"/>
    </w:pPr>
  </w:style>
  <w:style w:type="paragraph" w:styleId="9">
    <w:name w:val="Normal (Web)"/>
    <w:basedOn w:val="1"/>
    <w:qFormat/>
    <w:uiPriority w:val="0"/>
    <w:pPr>
      <w:spacing w:beforeAutospacing="1"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1376</Words>
  <Characters>1388</Characters>
  <Lines>1</Lines>
  <Paragraphs>2</Paragraphs>
  <TotalTime>5</TotalTime>
  <ScaleCrop>false</ScaleCrop>
  <LinksUpToDate>false</LinksUpToDate>
  <CharactersWithSpaces>1388</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2025-11-10T15:05:00Z</dcterms:created>
  <dc:creator>zhang</dc:creator>
  <cp:lastModifiedBy>曾泽怡</cp:lastModifiedBy>
  <cp:lastPrinted>2025-10-02T22:42:00Z</cp:lastPrinted>
  <dcterms:modified xsi:type="dcterms:W3CDTF">2026-09-02T15:13:08Z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KSOTemplateDocerSaveRecord">
    <vt:lpwstr>eyJoZGlkIjoiZjVjMDU2NWY0MThjNTlmOGYzYjRjZmVmNTc0ZjBkZDgiLCJ1c2VySWQiOiI0NDA2NjM1MjEifQ==</vt:lpwstr>
  </property>
  <property fmtid="{D5CDD505-2E9C-101B-9397-08002B2CF9AE}" pid="4" name="ICV">
    <vt:lpwstr>A3C7EA630CCFE1862647956AF1B72EBD_43</vt:lpwstr>
  </property>
</Properties>
</file>