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739784">
      <w:pPr>
        <w:widowControl w:val="0"/>
        <w:autoSpaceDE w:val="0"/>
        <w:autoSpaceDN w:val="0"/>
        <w:adjustRightInd w:val="0"/>
        <w:snapToGrid w:val="0"/>
        <w:ind w:firstLine="0" w:firstLineChars="0"/>
        <w:jc w:val="center"/>
        <w:outlineLvl w:val="0"/>
        <w:rPr>
          <w:rFonts w:ascii="宋体" w:hAnsi="宋体"/>
          <w:b/>
          <w:sz w:val="52"/>
          <w:szCs w:val="52"/>
        </w:rPr>
      </w:pPr>
      <w:bookmarkStart w:id="0" w:name="_Toc21910"/>
      <w:bookmarkStart w:id="1" w:name="_Toc31497"/>
      <w:bookmarkStart w:id="2" w:name="_Toc9893"/>
      <w:bookmarkStart w:id="3" w:name="_Toc29085"/>
      <w:bookmarkStart w:id="4" w:name="_Toc407023750"/>
      <w:bookmarkStart w:id="5" w:name="_Toc23739"/>
      <w:r>
        <w:rPr>
          <w:rFonts w:hint="eastAsia" w:ascii="宋体" w:hAnsi="宋体"/>
          <w:b/>
          <w:sz w:val="52"/>
          <w:szCs w:val="52"/>
        </w:rPr>
        <w:t>项目需求</w:t>
      </w:r>
      <w:bookmarkEnd w:id="0"/>
      <w:bookmarkEnd w:id="1"/>
      <w:bookmarkEnd w:id="2"/>
      <w:r>
        <w:rPr>
          <w:rFonts w:hint="eastAsia" w:ascii="宋体" w:hAnsi="宋体"/>
          <w:b/>
          <w:sz w:val="52"/>
          <w:szCs w:val="52"/>
        </w:rPr>
        <w:t>书</w:t>
      </w:r>
    </w:p>
    <w:bookmarkEnd w:id="3"/>
    <w:bookmarkEnd w:id="4"/>
    <w:bookmarkEnd w:id="5"/>
    <w:p w14:paraId="038861AC">
      <w:pPr>
        <w:widowControl w:val="0"/>
        <w:autoSpaceDN w:val="0"/>
        <w:adjustRightInd w:val="0"/>
        <w:snapToGrid w:val="0"/>
        <w:ind w:firstLine="0" w:firstLineChars="0"/>
        <w:jc w:val="center"/>
        <w:outlineLvl w:val="1"/>
        <w:rPr>
          <w:rFonts w:ascii="宋体" w:hAnsi="宋体"/>
          <w:b/>
          <w:sz w:val="32"/>
        </w:rPr>
      </w:pPr>
      <w:bookmarkStart w:id="6" w:name="_Toc32160"/>
      <w:bookmarkStart w:id="7" w:name="_Toc8746"/>
      <w:r>
        <w:rPr>
          <w:rFonts w:hint="eastAsia" w:ascii="宋体" w:hAnsi="宋体"/>
          <w:b/>
          <w:sz w:val="32"/>
        </w:rPr>
        <w:t>第一节 项目需求</w:t>
      </w:r>
      <w:bookmarkEnd w:id="6"/>
      <w:bookmarkEnd w:id="7"/>
    </w:p>
    <w:p w14:paraId="2217B83C">
      <w:pPr>
        <w:widowControl w:val="0"/>
        <w:numPr>
          <w:ilvl w:val="0"/>
          <w:numId w:val="1"/>
        </w:numPr>
        <w:autoSpaceDE w:val="0"/>
        <w:autoSpaceDN w:val="0"/>
        <w:adjustRightInd w:val="0"/>
        <w:snapToGrid w:val="0"/>
        <w:ind w:left="357" w:hanging="357" w:firstLineChars="0"/>
        <w:jc w:val="left"/>
        <w:outlineLvl w:val="2"/>
        <w:rPr>
          <w:rFonts w:ascii="宋体" w:hAnsi="宋体"/>
          <w:b/>
          <w:bCs/>
          <w:szCs w:val="21"/>
        </w:rPr>
      </w:pPr>
      <w:bookmarkStart w:id="8" w:name="_Toc406669471"/>
      <w:r>
        <w:rPr>
          <w:rFonts w:hint="eastAsia" w:ascii="宋体" w:hAnsi="宋体"/>
          <w:b/>
          <w:bCs/>
          <w:szCs w:val="21"/>
        </w:rPr>
        <w:t>项目服务内容</w:t>
      </w:r>
      <w:bookmarkEnd w:id="8"/>
    </w:p>
    <w:p w14:paraId="1692E58F">
      <w:pPr>
        <w:widowControl w:val="0"/>
        <w:autoSpaceDE w:val="0"/>
        <w:autoSpaceDN w:val="0"/>
        <w:adjustRightInd w:val="0"/>
        <w:snapToGrid w:val="0"/>
        <w:ind w:firstLine="420"/>
        <w:rPr>
          <w:rFonts w:hint="eastAsia" w:ascii="Times New Roman" w:hAnsi="Times New Roman" w:eastAsia="宋体" w:cs="Times New Roman"/>
          <w:lang w:val="en-US" w:eastAsia="zh-CN"/>
        </w:rPr>
      </w:pPr>
      <w:r>
        <w:rPr>
          <w:rFonts w:hint="eastAsia"/>
        </w:rPr>
        <w:t>根据《深圳市龙岗区创建人工智能全域全时应用示范区的行动方案(2024年-2025年)》和《龙岗区加快创建“AI龙岗”三年行动计划（2025—2027年）》规划, 要构建高效算力供给体系，在供给侧加强龙岗区在线算力供给保障能力，推动人工智能产业化。</w:t>
      </w:r>
      <w:r>
        <w:rPr>
          <w:rFonts w:hint="eastAsia" w:ascii="Times New Roman" w:hAnsi="Times New Roman" w:eastAsia="宋体" w:cs="Times New Roman"/>
          <w:lang w:val="en-US" w:eastAsia="zh-CN"/>
        </w:rPr>
        <w:t>本项目根据上述行动方案以及意向客户需求，</w:t>
      </w:r>
      <w:r>
        <w:rPr>
          <w:rFonts w:hint="eastAsia" w:cs="Times New Roman"/>
          <w:lang w:val="en-US" w:eastAsia="zh-CN"/>
        </w:rPr>
        <w:t>我司需建设共计不少于</w:t>
      </w:r>
      <w:r>
        <w:rPr>
          <w:rFonts w:hint="eastAsia" w:cs="Times New Roman"/>
          <w:b w:val="0"/>
          <w:bCs w:val="0"/>
          <w:lang w:val="en-US" w:eastAsia="zh-CN"/>
        </w:rPr>
        <w:t>570</w:t>
      </w:r>
      <w:r>
        <w:rPr>
          <w:rFonts w:hint="eastAsia"/>
          <w:b w:val="0"/>
          <w:bCs w:val="0"/>
          <w:lang w:val="en-US" w:eastAsia="zh-CN"/>
        </w:rPr>
        <w:t>PFlpos@PF16的智算资源池（稠密算力）</w:t>
      </w:r>
      <w:r>
        <w:rPr>
          <w:rFonts w:hint="eastAsia" w:cs="Times New Roman"/>
          <w:lang w:val="en-US" w:eastAsia="zh-CN"/>
        </w:rPr>
        <w:t>，支持客户业务开展。</w:t>
      </w:r>
      <w:r>
        <w:rPr>
          <w:rFonts w:hint="eastAsia" w:ascii="Times New Roman" w:hAnsi="Times New Roman" w:eastAsia="宋体" w:cs="Times New Roman"/>
          <w:lang w:val="en-US" w:eastAsia="zh-CN"/>
        </w:rPr>
        <w:t>基于该需求，我司提出</w:t>
      </w:r>
      <w:r>
        <w:rPr>
          <w:rFonts w:hint="eastAsia" w:cs="Times New Roman"/>
          <w:lang w:val="en-US" w:eastAsia="zh-CN"/>
        </w:rPr>
        <w:t>本项目采购需求如下：</w:t>
      </w:r>
    </w:p>
    <w:p w14:paraId="79671B5D">
      <w:pPr>
        <w:pStyle w:val="26"/>
        <w:numPr>
          <w:ilvl w:val="0"/>
          <w:numId w:val="2"/>
        </w:numPr>
        <w:rPr>
          <w:rFonts w:hint="default"/>
          <w:b/>
          <w:bCs/>
          <w:lang w:val="en-US" w:eastAsia="zh-CN"/>
        </w:rPr>
      </w:pPr>
      <w:r>
        <w:rPr>
          <w:rFonts w:hint="eastAsia"/>
          <w:lang w:val="en-US" w:eastAsia="zh-CN"/>
        </w:rPr>
        <w:t>建设阶段：</w:t>
      </w:r>
    </w:p>
    <w:p w14:paraId="5E052032">
      <w:pPr>
        <w:widowControl w:val="0"/>
        <w:autoSpaceDE w:val="0"/>
        <w:autoSpaceDN w:val="0"/>
        <w:adjustRightInd w:val="0"/>
        <w:snapToGrid w:val="0"/>
        <w:ind w:firstLine="420"/>
        <w:rPr>
          <w:rFonts w:hint="eastAsia"/>
        </w:rPr>
      </w:pPr>
      <w:r>
        <w:rPr>
          <w:rFonts w:hint="eastAsia"/>
          <w:lang w:val="en-US" w:eastAsia="zh-CN"/>
        </w:rPr>
        <w:t>建设不少于570</w:t>
      </w:r>
      <w:r>
        <w:rPr>
          <w:rFonts w:hint="eastAsia"/>
          <w:b w:val="0"/>
          <w:bCs w:val="0"/>
          <w:lang w:val="en-US" w:eastAsia="zh-CN"/>
        </w:rPr>
        <w:t>PFlpos@PF16</w:t>
      </w:r>
      <w:r>
        <w:rPr>
          <w:rFonts w:hint="eastAsia"/>
          <w:lang w:val="en-US" w:eastAsia="zh-CN"/>
        </w:rPr>
        <w:t>（稠密）的人工智能算力(以算力卡厂商官方数据为准)。具体包括采购</w:t>
      </w:r>
      <w:r>
        <w:rPr>
          <w:rFonts w:hint="eastAsia"/>
        </w:rPr>
        <w:t>智算</w:t>
      </w:r>
      <w:r>
        <w:rPr>
          <w:rFonts w:hint="eastAsia"/>
          <w:lang w:val="en-US" w:eastAsia="zh-CN"/>
        </w:rPr>
        <w:t>资源池</w:t>
      </w:r>
      <w:r>
        <w:rPr>
          <w:rFonts w:hint="eastAsia"/>
        </w:rPr>
        <w:t>所需的通用算力设备、配套</w:t>
      </w:r>
      <w:r>
        <w:rPr>
          <w:rFonts w:hint="eastAsia"/>
          <w:lang w:val="en-US" w:eastAsia="zh-CN"/>
        </w:rPr>
        <w:t>计算网</w:t>
      </w:r>
      <w:r>
        <w:rPr>
          <w:rFonts w:hint="eastAsia"/>
        </w:rPr>
        <w:t>RDMA网络设备</w:t>
      </w:r>
      <w:r>
        <w:rPr>
          <w:rFonts w:hint="eastAsia"/>
          <w:lang w:eastAsia="zh-CN"/>
        </w:rPr>
        <w:t>、</w:t>
      </w:r>
      <w:r>
        <w:rPr>
          <w:rFonts w:hint="eastAsia"/>
        </w:rPr>
        <w:t>安全设备等软硬件</w:t>
      </w:r>
      <w:r>
        <w:rPr>
          <w:rFonts w:hint="eastAsia"/>
          <w:lang w:val="en-US" w:eastAsia="zh-CN"/>
        </w:rPr>
        <w:t>以及</w:t>
      </w:r>
      <w:r>
        <w:rPr>
          <w:rFonts w:hint="eastAsia"/>
        </w:rPr>
        <w:t>设计、集成服务。</w:t>
      </w:r>
      <w:r>
        <w:rPr>
          <w:rFonts w:hint="eastAsia"/>
          <w:highlight w:val="none"/>
          <w:lang w:val="en-US" w:eastAsia="zh-CN"/>
        </w:rPr>
        <w:t>其中集群所需的128台AI服务器均由采购人提供，AI服务器具体配置详见下文技术要求。</w:t>
      </w:r>
      <w:r>
        <w:rPr>
          <w:rFonts w:hint="eastAsia"/>
        </w:rPr>
        <w:t>投标人需要完成该智算集群所涉及的所有设备</w:t>
      </w:r>
      <w:r>
        <w:rPr>
          <w:rFonts w:hint="eastAsia"/>
          <w:lang w:eastAsia="zh-CN"/>
        </w:rPr>
        <w:t>（</w:t>
      </w:r>
      <w:r>
        <w:rPr>
          <w:rFonts w:hint="eastAsia"/>
          <w:lang w:val="en-US" w:eastAsia="zh-CN"/>
        </w:rPr>
        <w:t>不含AI服务器</w:t>
      </w:r>
      <w:r>
        <w:rPr>
          <w:rFonts w:hint="eastAsia"/>
          <w:lang w:eastAsia="zh-CN"/>
        </w:rPr>
        <w:t>）</w:t>
      </w:r>
      <w:r>
        <w:rPr>
          <w:rFonts w:hint="eastAsia"/>
        </w:rPr>
        <w:t>、材料、软件的采购、安装调试、竣工验收、项目整体移交、缺陷责任修复以及集群</w:t>
      </w:r>
      <w:r>
        <w:rPr>
          <w:rFonts w:hint="eastAsia"/>
          <w:lang w:val="en-US" w:eastAsia="zh-CN"/>
        </w:rPr>
        <w:t>软硬件</w:t>
      </w:r>
      <w:r>
        <w:rPr>
          <w:rFonts w:hint="eastAsia"/>
        </w:rPr>
        <w:t>3年的质保服务等全部工作。</w:t>
      </w:r>
    </w:p>
    <w:p w14:paraId="456B8554">
      <w:pPr>
        <w:widowControl w:val="0"/>
        <w:numPr>
          <w:ilvl w:val="0"/>
          <w:numId w:val="3"/>
        </w:numPr>
        <w:autoSpaceDE w:val="0"/>
        <w:autoSpaceDN w:val="0"/>
        <w:adjustRightInd w:val="0"/>
        <w:snapToGrid w:val="0"/>
        <w:ind w:firstLine="420"/>
      </w:pPr>
      <w:r>
        <w:rPr>
          <w:rFonts w:hint="eastAsia"/>
          <w:lang w:val="en-US" w:eastAsia="zh-CN"/>
        </w:rPr>
        <w:t>运维阶段：项目竣工验收后，提供5年的智算集群运维服务。包括智算集群日常运维保障服务、</w:t>
      </w:r>
      <w:r>
        <w:rPr>
          <w:rFonts w:hint="eastAsia" w:ascii="宋体" w:hAnsi="宋体" w:eastAsia="宋体" w:cs="宋体"/>
          <w:kern w:val="2"/>
          <w:lang w:eastAsia="zh-CN"/>
        </w:rPr>
        <w:t>配套设备备件支持服务</w:t>
      </w:r>
      <w:r>
        <w:rPr>
          <w:rFonts w:hint="eastAsia"/>
        </w:rPr>
        <w:t>。</w:t>
      </w:r>
    </w:p>
    <w:p w14:paraId="57EACDD9">
      <w:pPr>
        <w:widowControl w:val="0"/>
        <w:numPr>
          <w:ilvl w:val="0"/>
          <w:numId w:val="3"/>
        </w:numPr>
        <w:autoSpaceDE w:val="0"/>
        <w:autoSpaceDN w:val="0"/>
        <w:adjustRightInd w:val="0"/>
        <w:snapToGrid w:val="0"/>
        <w:ind w:firstLine="420"/>
        <w:rPr>
          <w:rFonts w:hint="eastAsia" w:ascii="Times New Roman" w:hAnsi="Times New Roman" w:eastAsia="宋体" w:cs="Times New Roman"/>
        </w:rPr>
      </w:pPr>
      <w:r>
        <w:rPr>
          <w:rFonts w:hint="eastAsia" w:cs="Times New Roman"/>
          <w:lang w:val="en-US" w:eastAsia="zh-CN"/>
        </w:rPr>
        <w:t>机房托管服务：投标人提供5年智算资源池部署所需的数据中心机房托管服务</w:t>
      </w:r>
      <w:r>
        <w:rPr>
          <w:rFonts w:hint="eastAsia" w:ascii="Times New Roman" w:hAnsi="Times New Roman" w:eastAsia="宋体" w:cs="Times New Roman"/>
        </w:rPr>
        <w:t>。</w:t>
      </w:r>
    </w:p>
    <w:p w14:paraId="6F0D8027">
      <w:pPr>
        <w:widowControl w:val="0"/>
        <w:numPr>
          <w:ilvl w:val="0"/>
          <w:numId w:val="3"/>
        </w:numPr>
        <w:autoSpaceDE w:val="0"/>
        <w:autoSpaceDN w:val="0"/>
        <w:adjustRightInd w:val="0"/>
        <w:snapToGrid w:val="0"/>
        <w:ind w:firstLine="420"/>
        <w:rPr>
          <w:rFonts w:hint="eastAsia" w:ascii="Times New Roman" w:hAnsi="Times New Roman" w:eastAsia="宋体" w:cs="Times New Roman"/>
        </w:rPr>
      </w:pPr>
      <w:r>
        <w:rPr>
          <w:rFonts w:hint="eastAsia" w:cs="Times New Roman"/>
          <w:lang w:val="en-US" w:eastAsia="zh-CN"/>
        </w:rPr>
        <w:t>智算资源池技术方案由投标人根据本需求书提供的技术、性能、运维SLA要求自行确认，方案须完全满足采购人提出的各项技术要求。</w:t>
      </w:r>
    </w:p>
    <w:p w14:paraId="16DF6291">
      <w:pPr>
        <w:widowControl w:val="0"/>
        <w:numPr>
          <w:ilvl w:val="0"/>
          <w:numId w:val="1"/>
        </w:numPr>
        <w:autoSpaceDE w:val="0"/>
        <w:autoSpaceDN w:val="0"/>
        <w:adjustRightInd w:val="0"/>
        <w:snapToGrid w:val="0"/>
        <w:ind w:left="357" w:hanging="357" w:firstLineChars="0"/>
        <w:jc w:val="left"/>
        <w:outlineLvl w:val="2"/>
        <w:rPr>
          <w:rFonts w:ascii="宋体" w:hAnsi="宋体"/>
          <w:b/>
          <w:bCs/>
          <w:szCs w:val="21"/>
        </w:rPr>
      </w:pPr>
      <w:bookmarkStart w:id="9" w:name="_Toc404195400"/>
      <w:bookmarkStart w:id="10" w:name="_Toc406669472"/>
      <w:r>
        <w:rPr>
          <w:rFonts w:hint="eastAsia" w:ascii="宋体" w:hAnsi="宋体"/>
          <w:b/>
          <w:bCs/>
          <w:szCs w:val="21"/>
        </w:rPr>
        <w:t>项目</w:t>
      </w:r>
      <w:r>
        <w:rPr>
          <w:rFonts w:hint="eastAsia" w:ascii="宋体" w:hAnsi="宋体"/>
          <w:b/>
          <w:bCs/>
          <w:szCs w:val="21"/>
          <w:lang w:val="en-US" w:eastAsia="zh-CN"/>
        </w:rPr>
        <w:t>技术</w:t>
      </w:r>
      <w:r>
        <w:rPr>
          <w:rFonts w:hint="eastAsia" w:ascii="宋体" w:hAnsi="宋体"/>
          <w:b/>
          <w:bCs/>
          <w:szCs w:val="21"/>
        </w:rPr>
        <w:t>服务要求</w:t>
      </w:r>
      <w:bookmarkEnd w:id="9"/>
      <w:bookmarkEnd w:id="10"/>
    </w:p>
    <w:p w14:paraId="5580BFCA">
      <w:pPr>
        <w:keepNext w:val="0"/>
        <w:keepLines w:val="0"/>
        <w:pageBreakBefore w:val="0"/>
        <w:widowControl w:val="0"/>
        <w:numPr>
          <w:ilvl w:val="0"/>
          <w:numId w:val="0"/>
        </w:numPr>
        <w:kinsoku/>
        <w:wordWrap/>
        <w:overflowPunct/>
        <w:topLinePunct w:val="0"/>
        <w:autoSpaceDE w:val="0"/>
        <w:autoSpaceDN w:val="0"/>
        <w:bidi w:val="0"/>
        <w:adjustRightInd w:val="0"/>
        <w:snapToGrid w:val="0"/>
        <w:ind w:left="420" w:leftChars="0"/>
        <w:jc w:val="left"/>
        <w:textAlignment w:val="auto"/>
        <w:outlineLvl w:val="3"/>
        <w:rPr>
          <w:rFonts w:hint="default"/>
          <w:b/>
          <w:bCs/>
          <w:lang w:val="en-US" w:eastAsia="zh-CN"/>
        </w:rPr>
      </w:pPr>
      <w:r>
        <w:rPr>
          <w:rFonts w:hint="eastAsia"/>
          <w:b/>
          <w:bCs/>
          <w:lang w:val="en-US" w:eastAsia="zh-CN"/>
        </w:rPr>
        <w:t>（一）智算资源池技术要求</w:t>
      </w:r>
    </w:p>
    <w:p w14:paraId="64D8F2D4">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（1）采购人提供的AI算力服务器技术规格如下：</w:t>
      </w:r>
    </w:p>
    <w:p w14:paraId="7E04E2E0">
      <w:pPr>
        <w:keepNext w:val="0"/>
        <w:keepLines w:val="0"/>
        <w:pageBreakBefore w:val="0"/>
        <w:widowControl w:val="0"/>
        <w:numPr>
          <w:ilvl w:val="0"/>
          <w:numId w:val="4"/>
        </w:numPr>
        <w:kinsoku/>
        <w:wordWrap/>
        <w:overflowPunct/>
        <w:topLinePunct w:val="0"/>
        <w:autoSpaceDE w:val="0"/>
        <w:autoSpaceDN w:val="0"/>
        <w:bidi w:val="0"/>
        <w:adjustRightInd w:val="0"/>
        <w:snapToGrid w:val="0"/>
        <w:ind w:left="420" w:leftChars="0" w:hanging="420" w:firstLineChars="0"/>
        <w:jc w:val="both"/>
        <w:textAlignment w:val="auto"/>
        <w:outlineLvl w:val="9"/>
        <w:rPr>
          <w:rFonts w:hint="default"/>
          <w:b/>
          <w:bCs/>
          <w:lang w:val="en-US" w:eastAsia="zh-CN"/>
        </w:rPr>
      </w:pPr>
      <w:r>
        <w:rPr>
          <w:rFonts w:hint="eastAsia"/>
          <w:b/>
          <w:bCs/>
          <w:lang w:val="en-US" w:eastAsia="zh-CN"/>
        </w:rPr>
        <w:t>AI服务器一（32台，采购人提供）</w:t>
      </w:r>
    </w:p>
    <w:p w14:paraId="12DD08A2">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highlight w:val="none"/>
          <w:lang w:val="en-US" w:eastAsia="zh-CN"/>
        </w:rPr>
      </w:pPr>
      <w:r>
        <w:rPr>
          <w:rFonts w:hint="eastAsia"/>
          <w:b w:val="0"/>
          <w:bCs w:val="0"/>
          <w:highlight w:val="none"/>
          <w:lang w:val="en-US" w:eastAsia="zh-CN"/>
        </w:rPr>
        <w:t>1）配置4颗国产</w:t>
      </w:r>
      <w:r>
        <w:rPr>
          <w:rFonts w:hint="default"/>
          <w:b w:val="0"/>
          <w:bCs w:val="0"/>
          <w:highlight w:val="none"/>
          <w:lang w:val="en-US" w:eastAsia="zh-CN"/>
        </w:rPr>
        <w:t>CPU</w:t>
      </w:r>
      <w:r>
        <w:rPr>
          <w:rFonts w:hint="default"/>
          <w:b w:val="0"/>
          <w:bCs w:val="0"/>
          <w:highlight w:val="none"/>
          <w:lang w:val="en-US" w:eastAsia="zh-CN"/>
        </w:rPr>
        <w:tab/>
      </w:r>
      <w:r>
        <w:rPr>
          <w:rFonts w:hint="eastAsia"/>
          <w:b w:val="0"/>
          <w:bCs w:val="0"/>
          <w:highlight w:val="none"/>
          <w:lang w:val="en-US" w:eastAsia="zh-CN"/>
        </w:rPr>
        <w:t xml:space="preserve">，单颗CPU </w:t>
      </w:r>
      <w:r>
        <w:rPr>
          <w:rFonts w:hint="default"/>
          <w:b w:val="0"/>
          <w:bCs w:val="0"/>
          <w:highlight w:val="none"/>
          <w:lang w:val="en-US" w:eastAsia="zh-CN"/>
        </w:rPr>
        <w:t>80C</w:t>
      </w:r>
      <w:r>
        <w:rPr>
          <w:rFonts w:hint="eastAsia"/>
          <w:b w:val="0"/>
          <w:bCs w:val="0"/>
          <w:highlight w:val="none"/>
          <w:lang w:val="en-US" w:eastAsia="zh-CN"/>
        </w:rPr>
        <w:t>，</w:t>
      </w:r>
      <w:r>
        <w:rPr>
          <w:rFonts w:hint="default"/>
          <w:b w:val="0"/>
          <w:bCs w:val="0"/>
          <w:highlight w:val="none"/>
          <w:lang w:val="en-US" w:eastAsia="zh-CN"/>
        </w:rPr>
        <w:t>主频2.9GHz</w:t>
      </w:r>
      <w:r>
        <w:rPr>
          <w:rFonts w:hint="eastAsia"/>
          <w:b w:val="0"/>
          <w:bCs w:val="0"/>
          <w:highlight w:val="none"/>
          <w:lang w:val="en-US" w:eastAsia="zh-CN"/>
        </w:rPr>
        <w:t>；</w:t>
      </w:r>
    </w:p>
    <w:p w14:paraId="01FE236E">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highlight w:val="none"/>
          <w:lang w:val="en-US" w:eastAsia="zh-CN"/>
        </w:rPr>
      </w:pPr>
      <w:r>
        <w:rPr>
          <w:rFonts w:hint="eastAsia"/>
          <w:b w:val="0"/>
          <w:bCs w:val="0"/>
          <w:highlight w:val="none"/>
          <w:lang w:val="en-US" w:eastAsia="zh-CN"/>
        </w:rPr>
        <w:t>2）配置8张AI算力卡，</w:t>
      </w:r>
      <w:r>
        <w:rPr>
          <w:rFonts w:hint="default"/>
          <w:b w:val="0"/>
          <w:bCs w:val="0"/>
          <w:highlight w:val="none"/>
          <w:lang w:val="en-US" w:eastAsia="zh-CN"/>
        </w:rPr>
        <w:t>单卡算力560TFLOPS @FP16，单卡显存128GB</w:t>
      </w:r>
      <w:r>
        <w:rPr>
          <w:rFonts w:hint="eastAsia"/>
          <w:b w:val="0"/>
          <w:bCs w:val="0"/>
          <w:highlight w:val="none"/>
          <w:lang w:val="en-US" w:eastAsia="zh-CN"/>
        </w:rPr>
        <w:t>；</w:t>
      </w:r>
    </w:p>
    <w:p w14:paraId="27F8F09B">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highlight w:val="none"/>
          <w:lang w:val="en-US" w:eastAsia="zh-CN"/>
        </w:rPr>
      </w:pPr>
      <w:r>
        <w:rPr>
          <w:rFonts w:hint="eastAsia"/>
          <w:b w:val="0"/>
          <w:bCs w:val="0"/>
          <w:highlight w:val="none"/>
          <w:lang w:val="en-US" w:eastAsia="zh-CN"/>
        </w:rPr>
        <w:t>3）配置</w:t>
      </w:r>
      <w:r>
        <w:rPr>
          <w:rFonts w:hint="default"/>
          <w:b w:val="0"/>
          <w:bCs w:val="0"/>
          <w:highlight w:val="none"/>
          <w:lang w:val="en-US" w:eastAsia="zh-CN"/>
        </w:rPr>
        <w:t>内存</w:t>
      </w:r>
      <w:r>
        <w:rPr>
          <w:rFonts w:hint="default"/>
          <w:b w:val="0"/>
          <w:bCs w:val="0"/>
          <w:highlight w:val="none"/>
          <w:lang w:val="en-US" w:eastAsia="zh-CN"/>
        </w:rPr>
        <w:tab/>
      </w:r>
      <w:r>
        <w:rPr>
          <w:rFonts w:hint="eastAsia"/>
          <w:b w:val="0"/>
          <w:bCs w:val="0"/>
          <w:highlight w:val="none"/>
          <w:lang w:val="en-US" w:eastAsia="zh-CN"/>
        </w:rPr>
        <w:t>32条</w:t>
      </w:r>
      <w:r>
        <w:rPr>
          <w:rFonts w:hint="default"/>
          <w:b w:val="0"/>
          <w:bCs w:val="0"/>
          <w:highlight w:val="none"/>
          <w:lang w:val="en-US" w:eastAsia="zh-CN"/>
        </w:rPr>
        <w:t>DDR5</w:t>
      </w:r>
      <w:r>
        <w:rPr>
          <w:rFonts w:hint="eastAsia"/>
          <w:b w:val="0"/>
          <w:bCs w:val="0"/>
          <w:highlight w:val="none"/>
          <w:lang w:val="en-US" w:eastAsia="zh-CN"/>
        </w:rPr>
        <w:t>-</w:t>
      </w:r>
      <w:r>
        <w:rPr>
          <w:rFonts w:hint="default"/>
          <w:b w:val="0"/>
          <w:bCs w:val="0"/>
          <w:highlight w:val="none"/>
          <w:lang w:val="en-US" w:eastAsia="zh-CN"/>
        </w:rPr>
        <w:t>5600</w:t>
      </w:r>
      <w:r>
        <w:rPr>
          <w:rFonts w:hint="eastAsia"/>
          <w:b w:val="0"/>
          <w:bCs w:val="0"/>
          <w:highlight w:val="none"/>
          <w:lang w:val="en-US" w:eastAsia="zh-CN"/>
        </w:rPr>
        <w:t>内存条，内存条容量为</w:t>
      </w:r>
      <w:r>
        <w:rPr>
          <w:rFonts w:hint="default"/>
          <w:b w:val="0"/>
          <w:bCs w:val="0"/>
          <w:highlight w:val="none"/>
          <w:lang w:val="en-US" w:eastAsia="zh-CN"/>
        </w:rPr>
        <w:t>32G</w:t>
      </w:r>
      <w:r>
        <w:rPr>
          <w:rFonts w:hint="eastAsia"/>
          <w:b w:val="0"/>
          <w:bCs w:val="0"/>
          <w:highlight w:val="none"/>
          <w:lang w:val="en-US" w:eastAsia="zh-CN"/>
        </w:rPr>
        <w:t>或64G；</w:t>
      </w:r>
    </w:p>
    <w:p w14:paraId="12F3DF47">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highlight w:val="none"/>
          <w:lang w:val="en-US" w:eastAsia="zh-CN"/>
        </w:rPr>
      </w:pPr>
      <w:r>
        <w:rPr>
          <w:rFonts w:hint="eastAsia"/>
          <w:b w:val="0"/>
          <w:bCs w:val="0"/>
          <w:highlight w:val="none"/>
          <w:lang w:val="en-US" w:eastAsia="zh-CN"/>
        </w:rPr>
        <w:t xml:space="preserve">4）配置系统盘2块480GB </w:t>
      </w:r>
      <w:r>
        <w:rPr>
          <w:rFonts w:hint="default"/>
          <w:b w:val="0"/>
          <w:bCs w:val="0"/>
          <w:highlight w:val="none"/>
          <w:lang w:val="en-US" w:eastAsia="zh-CN"/>
        </w:rPr>
        <w:t>SSD</w:t>
      </w:r>
      <w:r>
        <w:rPr>
          <w:rFonts w:hint="eastAsia"/>
          <w:b w:val="0"/>
          <w:bCs w:val="0"/>
          <w:highlight w:val="none"/>
          <w:lang w:val="en-US" w:eastAsia="zh-CN"/>
        </w:rPr>
        <w:t xml:space="preserve"> </w:t>
      </w:r>
      <w:r>
        <w:rPr>
          <w:rFonts w:hint="default"/>
          <w:b w:val="0"/>
          <w:bCs w:val="0"/>
          <w:highlight w:val="none"/>
          <w:lang w:val="en-US" w:eastAsia="zh-CN"/>
        </w:rPr>
        <w:t>SATA</w:t>
      </w:r>
      <w:r>
        <w:rPr>
          <w:rFonts w:hint="eastAsia"/>
          <w:b w:val="0"/>
          <w:bCs w:val="0"/>
          <w:highlight w:val="none"/>
          <w:lang w:val="en-US" w:eastAsia="zh-CN"/>
        </w:rPr>
        <w:t>盘；</w:t>
      </w:r>
    </w:p>
    <w:p w14:paraId="36012A47">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highlight w:val="none"/>
          <w:lang w:val="en-US" w:eastAsia="zh-CN"/>
        </w:rPr>
      </w:pPr>
      <w:r>
        <w:rPr>
          <w:rFonts w:hint="eastAsia"/>
          <w:b w:val="0"/>
          <w:bCs w:val="0"/>
          <w:highlight w:val="none"/>
          <w:lang w:val="en-US" w:eastAsia="zh-CN"/>
        </w:rPr>
        <w:t xml:space="preserve">5）配置数据盘4块或2块3.84TB SSD </w:t>
      </w:r>
      <w:r>
        <w:rPr>
          <w:rFonts w:hint="default"/>
          <w:b w:val="0"/>
          <w:bCs w:val="0"/>
          <w:highlight w:val="none"/>
          <w:lang w:val="en-US" w:eastAsia="zh-CN"/>
        </w:rPr>
        <w:t>NVME</w:t>
      </w:r>
      <w:r>
        <w:rPr>
          <w:rFonts w:hint="default"/>
          <w:b w:val="0"/>
          <w:bCs w:val="0"/>
          <w:highlight w:val="none"/>
          <w:lang w:val="en-US" w:eastAsia="zh-CN"/>
        </w:rPr>
        <w:tab/>
      </w:r>
      <w:r>
        <w:rPr>
          <w:rFonts w:hint="eastAsia"/>
          <w:b w:val="0"/>
          <w:bCs w:val="0"/>
          <w:highlight w:val="none"/>
          <w:lang w:val="en-US" w:eastAsia="zh-CN"/>
        </w:rPr>
        <w:t>盘；</w:t>
      </w:r>
    </w:p>
    <w:p w14:paraId="427F788F">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highlight w:val="none"/>
          <w:lang w:val="en-US" w:eastAsia="zh-CN"/>
        </w:rPr>
      </w:pPr>
      <w:r>
        <w:rPr>
          <w:rFonts w:hint="eastAsia"/>
          <w:b w:val="0"/>
          <w:bCs w:val="0"/>
          <w:highlight w:val="none"/>
          <w:lang w:val="en-US" w:eastAsia="zh-CN"/>
        </w:rPr>
        <w:t>6）配置</w:t>
      </w:r>
      <w:r>
        <w:rPr>
          <w:rFonts w:hint="default"/>
          <w:b w:val="0"/>
          <w:bCs w:val="0"/>
          <w:highlight w:val="none"/>
          <w:lang w:val="en-US" w:eastAsia="zh-CN"/>
        </w:rPr>
        <w:t>RAID卡</w:t>
      </w:r>
      <w:r>
        <w:rPr>
          <w:rFonts w:hint="eastAsia"/>
          <w:b w:val="0"/>
          <w:bCs w:val="0"/>
          <w:highlight w:val="none"/>
          <w:lang w:val="en-US" w:eastAsia="zh-CN"/>
        </w:rPr>
        <w:t>1张；</w:t>
      </w:r>
    </w:p>
    <w:p w14:paraId="0AF56772">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highlight w:val="none"/>
          <w:lang w:val="en-US" w:eastAsia="zh-CN"/>
        </w:rPr>
      </w:pPr>
      <w:r>
        <w:rPr>
          <w:rFonts w:hint="eastAsia"/>
          <w:b w:val="0"/>
          <w:bCs w:val="0"/>
          <w:highlight w:val="none"/>
          <w:lang w:val="en-US" w:eastAsia="zh-CN"/>
        </w:rPr>
        <w:t>7）配置</w:t>
      </w:r>
      <w:r>
        <w:rPr>
          <w:rFonts w:hint="default"/>
          <w:b w:val="0"/>
          <w:bCs w:val="0"/>
          <w:highlight w:val="none"/>
          <w:lang w:val="en-US" w:eastAsia="zh-CN"/>
        </w:rPr>
        <w:tab/>
      </w:r>
      <w:r>
        <w:rPr>
          <w:rFonts w:hint="default"/>
          <w:b w:val="0"/>
          <w:bCs w:val="0"/>
          <w:highlight w:val="none"/>
          <w:lang w:val="en-US" w:eastAsia="zh-CN"/>
        </w:rPr>
        <w:t>3KW热拔插电源模块</w:t>
      </w:r>
      <w:r>
        <w:rPr>
          <w:rFonts w:hint="default"/>
          <w:b w:val="0"/>
          <w:bCs w:val="0"/>
          <w:highlight w:val="none"/>
          <w:lang w:val="en-US" w:eastAsia="zh-CN"/>
        </w:rPr>
        <w:tab/>
      </w:r>
      <w:r>
        <w:rPr>
          <w:rFonts w:hint="eastAsia"/>
          <w:b w:val="0"/>
          <w:bCs w:val="0"/>
          <w:highlight w:val="none"/>
          <w:lang w:val="en-US" w:eastAsia="zh-CN"/>
        </w:rPr>
        <w:t>6个；</w:t>
      </w:r>
    </w:p>
    <w:p w14:paraId="3523A3C3">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highlight w:val="none"/>
          <w:lang w:val="en-US" w:eastAsia="zh-CN"/>
        </w:rPr>
      </w:pPr>
      <w:r>
        <w:rPr>
          <w:rFonts w:hint="eastAsia"/>
          <w:b w:val="0"/>
          <w:bCs w:val="0"/>
          <w:highlight w:val="none"/>
          <w:lang w:val="en-US" w:eastAsia="zh-CN"/>
        </w:rPr>
        <w:t>8）配置</w:t>
      </w:r>
      <w:r>
        <w:rPr>
          <w:rFonts w:hint="default"/>
          <w:b w:val="0"/>
          <w:bCs w:val="0"/>
          <w:highlight w:val="none"/>
          <w:lang w:val="en-US" w:eastAsia="zh-CN"/>
        </w:rPr>
        <w:tab/>
      </w:r>
      <w:r>
        <w:rPr>
          <w:rFonts w:hint="default"/>
          <w:b w:val="0"/>
          <w:bCs w:val="0"/>
          <w:highlight w:val="none"/>
          <w:lang w:val="en-US" w:eastAsia="zh-CN"/>
        </w:rPr>
        <w:t>参数面</w:t>
      </w:r>
      <w:r>
        <w:rPr>
          <w:rFonts w:hint="eastAsia"/>
          <w:b w:val="0"/>
          <w:bCs w:val="0"/>
          <w:highlight w:val="none"/>
          <w:lang w:val="en-US" w:eastAsia="zh-CN"/>
        </w:rPr>
        <w:t>网络接口</w:t>
      </w:r>
      <w:r>
        <w:rPr>
          <w:rFonts w:hint="default"/>
          <w:b w:val="0"/>
          <w:bCs w:val="0"/>
          <w:highlight w:val="none"/>
          <w:lang w:val="en-US" w:eastAsia="zh-CN"/>
        </w:rPr>
        <w:t>8*400GE QSFP-DD直出，</w:t>
      </w:r>
      <w:r>
        <w:rPr>
          <w:rFonts w:hint="eastAsia"/>
          <w:b w:val="0"/>
          <w:bCs w:val="0"/>
          <w:highlight w:val="none"/>
          <w:lang w:val="en-US" w:eastAsia="zh-CN"/>
        </w:rPr>
        <w:t>支持</w:t>
      </w:r>
      <w:r>
        <w:rPr>
          <w:rFonts w:hint="default"/>
          <w:b w:val="0"/>
          <w:bCs w:val="0"/>
          <w:highlight w:val="none"/>
          <w:lang w:val="en-US" w:eastAsia="zh-CN"/>
        </w:rPr>
        <w:t>RoCE协议</w:t>
      </w:r>
      <w:r>
        <w:rPr>
          <w:rFonts w:hint="eastAsia"/>
          <w:b w:val="0"/>
          <w:bCs w:val="0"/>
          <w:highlight w:val="none"/>
          <w:lang w:val="en-US" w:eastAsia="zh-CN"/>
        </w:rPr>
        <w:t>；</w:t>
      </w:r>
    </w:p>
    <w:p w14:paraId="04A166AA">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highlight w:val="none"/>
          <w:lang w:val="en-US" w:eastAsia="zh-CN"/>
        </w:rPr>
      </w:pPr>
      <w:r>
        <w:rPr>
          <w:rFonts w:hint="eastAsia"/>
          <w:b w:val="0"/>
          <w:bCs w:val="0"/>
          <w:highlight w:val="none"/>
          <w:lang w:val="en-US" w:eastAsia="zh-CN"/>
        </w:rPr>
        <w:t>9）配置</w:t>
      </w:r>
      <w:r>
        <w:rPr>
          <w:rFonts w:hint="default"/>
          <w:b w:val="0"/>
          <w:bCs w:val="0"/>
          <w:highlight w:val="none"/>
          <w:lang w:val="en-US" w:eastAsia="zh-CN"/>
        </w:rPr>
        <w:tab/>
      </w:r>
      <w:r>
        <w:rPr>
          <w:rFonts w:hint="eastAsia"/>
          <w:b w:val="0"/>
          <w:bCs w:val="0"/>
          <w:highlight w:val="none"/>
          <w:lang w:val="en-US" w:eastAsia="zh-CN"/>
        </w:rPr>
        <w:t>超平面网络接口56</w:t>
      </w:r>
      <w:r>
        <w:rPr>
          <w:rFonts w:hint="default"/>
          <w:b w:val="0"/>
          <w:bCs w:val="0"/>
          <w:highlight w:val="none"/>
          <w:lang w:val="en-US" w:eastAsia="zh-CN"/>
        </w:rPr>
        <w:t>*400GE</w:t>
      </w:r>
      <w:r>
        <w:rPr>
          <w:rFonts w:hint="eastAsia"/>
          <w:b w:val="0"/>
          <w:bCs w:val="0"/>
          <w:highlight w:val="none"/>
          <w:lang w:val="en-US" w:eastAsia="zh-CN"/>
        </w:rPr>
        <w:t>接口（含光模块）</w:t>
      </w:r>
      <w:r>
        <w:rPr>
          <w:rFonts w:hint="eastAsia"/>
          <w:b w:val="0"/>
          <w:bCs w:val="0"/>
          <w:highlight w:val="none"/>
          <w:shd w:val="clear"/>
          <w:lang w:val="en-US" w:eastAsia="zh-CN"/>
        </w:rPr>
        <w:t>；</w:t>
      </w:r>
    </w:p>
    <w:p w14:paraId="64C8B23D">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10）配置样本面网络接口2</w:t>
      </w:r>
      <w:r>
        <w:rPr>
          <w:rFonts w:hint="default"/>
          <w:b w:val="0"/>
          <w:bCs w:val="0"/>
          <w:lang w:val="en-US" w:eastAsia="zh-CN"/>
        </w:rPr>
        <w:t>*100G</w:t>
      </w:r>
      <w:r>
        <w:rPr>
          <w:rFonts w:hint="eastAsia"/>
          <w:b w:val="0"/>
          <w:bCs w:val="0"/>
          <w:lang w:val="en-US" w:eastAsia="zh-CN"/>
        </w:rPr>
        <w:t>E端口（含光模块）；</w:t>
      </w:r>
    </w:p>
    <w:p w14:paraId="16B00BA2">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11）配置业务面网络接口</w:t>
      </w:r>
      <w:r>
        <w:rPr>
          <w:rFonts w:hint="default"/>
          <w:b w:val="0"/>
          <w:bCs w:val="0"/>
          <w:lang w:val="en-US" w:eastAsia="zh-CN"/>
        </w:rPr>
        <w:t>2*25G</w:t>
      </w:r>
      <w:r>
        <w:rPr>
          <w:rFonts w:hint="eastAsia"/>
          <w:b w:val="0"/>
          <w:bCs w:val="0"/>
          <w:lang w:val="en-US" w:eastAsia="zh-CN"/>
        </w:rPr>
        <w:t>端口（含光模块）；</w:t>
      </w:r>
    </w:p>
    <w:p w14:paraId="68CAB213">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12）AI服务器采用风冷制冷；</w:t>
      </w:r>
    </w:p>
    <w:p w14:paraId="603FD4DE">
      <w:pPr>
        <w:keepNext w:val="0"/>
        <w:keepLines w:val="0"/>
        <w:pageBreakBefore w:val="0"/>
        <w:widowControl w:val="0"/>
        <w:numPr>
          <w:ilvl w:val="0"/>
          <w:numId w:val="4"/>
        </w:numPr>
        <w:kinsoku/>
        <w:wordWrap/>
        <w:overflowPunct/>
        <w:topLinePunct w:val="0"/>
        <w:autoSpaceDE w:val="0"/>
        <w:autoSpaceDN w:val="0"/>
        <w:bidi w:val="0"/>
        <w:adjustRightInd w:val="0"/>
        <w:snapToGrid w:val="0"/>
        <w:ind w:left="420" w:leftChars="0" w:hanging="420" w:firstLineChars="0"/>
        <w:jc w:val="both"/>
        <w:textAlignment w:val="auto"/>
        <w:outlineLvl w:val="9"/>
        <w:rPr>
          <w:rFonts w:hint="default"/>
          <w:b/>
          <w:bCs/>
          <w:lang w:val="en-US" w:eastAsia="zh-CN"/>
        </w:rPr>
      </w:pPr>
      <w:r>
        <w:rPr>
          <w:rFonts w:hint="eastAsia"/>
          <w:b/>
          <w:bCs/>
          <w:lang w:val="en-US" w:eastAsia="zh-CN"/>
        </w:rPr>
        <w:t>AI服务器二（96台，采购人提供）</w:t>
      </w:r>
    </w:p>
    <w:p w14:paraId="7B81DDCA">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1）配置4颗</w:t>
      </w:r>
      <w:r>
        <w:rPr>
          <w:rFonts w:hint="default"/>
          <w:b w:val="0"/>
          <w:bCs w:val="0"/>
          <w:lang w:val="en-US" w:eastAsia="zh-CN"/>
        </w:rPr>
        <w:t>鲲鹏CPU</w:t>
      </w:r>
      <w:r>
        <w:rPr>
          <w:rFonts w:hint="default"/>
          <w:b w:val="0"/>
          <w:bCs w:val="0"/>
          <w:lang w:val="en-US" w:eastAsia="zh-CN"/>
        </w:rPr>
        <w:tab/>
      </w:r>
      <w:r>
        <w:rPr>
          <w:rFonts w:hint="eastAsia"/>
          <w:b w:val="0"/>
          <w:bCs w:val="0"/>
          <w:lang w:val="en-US" w:eastAsia="zh-CN"/>
        </w:rPr>
        <w:t xml:space="preserve">，单颗CPU </w:t>
      </w:r>
      <w:r>
        <w:rPr>
          <w:rFonts w:hint="default"/>
          <w:b w:val="0"/>
          <w:bCs w:val="0"/>
          <w:lang w:val="en-US" w:eastAsia="zh-CN"/>
        </w:rPr>
        <w:t>80C</w:t>
      </w:r>
      <w:r>
        <w:rPr>
          <w:rFonts w:hint="eastAsia"/>
          <w:b w:val="0"/>
          <w:bCs w:val="0"/>
          <w:lang w:val="en-US" w:eastAsia="zh-CN"/>
        </w:rPr>
        <w:t>，</w:t>
      </w:r>
      <w:r>
        <w:rPr>
          <w:rFonts w:hint="default"/>
          <w:b w:val="0"/>
          <w:bCs w:val="0"/>
          <w:lang w:val="en-US" w:eastAsia="zh-CN"/>
        </w:rPr>
        <w:t>主频2.9GHz</w:t>
      </w:r>
      <w:r>
        <w:rPr>
          <w:rFonts w:hint="eastAsia"/>
          <w:b w:val="0"/>
          <w:bCs w:val="0"/>
          <w:lang w:val="en-US" w:eastAsia="zh-CN"/>
        </w:rPr>
        <w:t>；</w:t>
      </w:r>
    </w:p>
    <w:p w14:paraId="4583376B">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lang w:val="en-US" w:eastAsia="zh-CN"/>
        </w:rPr>
      </w:pPr>
      <w:r>
        <w:rPr>
          <w:rFonts w:hint="eastAsia"/>
          <w:b w:val="0"/>
          <w:bCs w:val="0"/>
          <w:lang w:val="en-US" w:eastAsia="zh-CN"/>
        </w:rPr>
        <w:t>2）配置8张AI算力卡，</w:t>
      </w:r>
      <w:r>
        <w:rPr>
          <w:rFonts w:hint="default"/>
          <w:b w:val="0"/>
          <w:bCs w:val="0"/>
          <w:lang w:val="en-US" w:eastAsia="zh-CN"/>
        </w:rPr>
        <w:t>单卡算力560TFLOPS @FP16，单卡显存128GB</w:t>
      </w:r>
      <w:r>
        <w:rPr>
          <w:rFonts w:hint="eastAsia"/>
          <w:b w:val="0"/>
          <w:bCs w:val="0"/>
          <w:lang w:val="en-US" w:eastAsia="zh-CN"/>
        </w:rPr>
        <w:t>；</w:t>
      </w:r>
    </w:p>
    <w:p w14:paraId="027F4142">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lang w:val="en-US" w:eastAsia="zh-CN"/>
        </w:rPr>
      </w:pPr>
      <w:r>
        <w:rPr>
          <w:rFonts w:hint="eastAsia"/>
          <w:b w:val="0"/>
          <w:bCs w:val="0"/>
          <w:lang w:val="en-US" w:eastAsia="zh-CN"/>
        </w:rPr>
        <w:t>3）配置</w:t>
      </w:r>
      <w:r>
        <w:rPr>
          <w:rFonts w:hint="default"/>
          <w:b w:val="0"/>
          <w:bCs w:val="0"/>
          <w:lang w:val="en-US" w:eastAsia="zh-CN"/>
        </w:rPr>
        <w:t>内存</w:t>
      </w:r>
      <w:r>
        <w:rPr>
          <w:rFonts w:hint="default"/>
          <w:b w:val="0"/>
          <w:bCs w:val="0"/>
          <w:lang w:val="en-US" w:eastAsia="zh-CN"/>
        </w:rPr>
        <w:tab/>
      </w:r>
      <w:r>
        <w:rPr>
          <w:rFonts w:hint="eastAsia"/>
          <w:b w:val="0"/>
          <w:bCs w:val="0"/>
          <w:lang w:val="en-US" w:eastAsia="zh-CN"/>
        </w:rPr>
        <w:t>32条</w:t>
      </w:r>
      <w:r>
        <w:rPr>
          <w:rFonts w:hint="default"/>
          <w:b w:val="0"/>
          <w:bCs w:val="0"/>
          <w:lang w:val="en-US" w:eastAsia="zh-CN"/>
        </w:rPr>
        <w:t>DDR5</w:t>
      </w:r>
      <w:r>
        <w:rPr>
          <w:rFonts w:hint="eastAsia"/>
          <w:b w:val="0"/>
          <w:bCs w:val="0"/>
          <w:lang w:val="en-US" w:eastAsia="zh-CN"/>
        </w:rPr>
        <w:t>-</w:t>
      </w:r>
      <w:r>
        <w:rPr>
          <w:rFonts w:hint="default"/>
          <w:b w:val="0"/>
          <w:bCs w:val="0"/>
          <w:lang w:val="en-US" w:eastAsia="zh-CN"/>
        </w:rPr>
        <w:t>5600</w:t>
      </w:r>
      <w:r>
        <w:rPr>
          <w:rFonts w:hint="eastAsia"/>
          <w:b w:val="0"/>
          <w:bCs w:val="0"/>
          <w:lang w:val="en-US" w:eastAsia="zh-CN"/>
        </w:rPr>
        <w:t>内存条，</w:t>
      </w:r>
      <w:r>
        <w:rPr>
          <w:rFonts w:hint="eastAsia"/>
          <w:b w:val="0"/>
          <w:bCs w:val="0"/>
          <w:highlight w:val="none"/>
          <w:lang w:val="en-US" w:eastAsia="zh-CN"/>
        </w:rPr>
        <w:t>内存条容量为32G或64G；</w:t>
      </w:r>
    </w:p>
    <w:p w14:paraId="04EC9482">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 xml:space="preserve">4）配置系统盘2块480GB </w:t>
      </w:r>
      <w:r>
        <w:rPr>
          <w:rFonts w:hint="default"/>
          <w:b w:val="0"/>
          <w:bCs w:val="0"/>
          <w:lang w:val="en-US" w:eastAsia="zh-CN"/>
        </w:rPr>
        <w:t>SSD</w:t>
      </w:r>
      <w:r>
        <w:rPr>
          <w:rFonts w:hint="eastAsia"/>
          <w:b w:val="0"/>
          <w:bCs w:val="0"/>
          <w:lang w:val="en-US" w:eastAsia="zh-CN"/>
        </w:rPr>
        <w:t xml:space="preserve"> </w:t>
      </w:r>
      <w:r>
        <w:rPr>
          <w:rFonts w:hint="default"/>
          <w:b w:val="0"/>
          <w:bCs w:val="0"/>
          <w:lang w:val="en-US" w:eastAsia="zh-CN"/>
        </w:rPr>
        <w:t>SATA</w:t>
      </w:r>
      <w:r>
        <w:rPr>
          <w:rFonts w:hint="eastAsia"/>
          <w:b w:val="0"/>
          <w:bCs w:val="0"/>
          <w:lang w:val="en-US" w:eastAsia="zh-CN"/>
        </w:rPr>
        <w:t>盘；</w:t>
      </w:r>
    </w:p>
    <w:p w14:paraId="54BB7051">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lang w:val="en-US" w:eastAsia="zh-CN"/>
        </w:rPr>
      </w:pPr>
      <w:r>
        <w:rPr>
          <w:rFonts w:hint="eastAsia"/>
          <w:b w:val="0"/>
          <w:bCs w:val="0"/>
          <w:lang w:val="en-US" w:eastAsia="zh-CN"/>
        </w:rPr>
        <w:t>5）</w:t>
      </w:r>
      <w:r>
        <w:rPr>
          <w:rFonts w:hint="eastAsia"/>
          <w:b w:val="0"/>
          <w:bCs w:val="0"/>
          <w:highlight w:val="none"/>
          <w:lang w:val="en-US" w:eastAsia="zh-CN"/>
        </w:rPr>
        <w:t xml:space="preserve">配置数据盘4块3.84TB SSD </w:t>
      </w:r>
      <w:r>
        <w:rPr>
          <w:rFonts w:hint="default"/>
          <w:b w:val="0"/>
          <w:bCs w:val="0"/>
          <w:highlight w:val="none"/>
          <w:lang w:val="en-US" w:eastAsia="zh-CN"/>
        </w:rPr>
        <w:t>NVME</w:t>
      </w:r>
      <w:r>
        <w:rPr>
          <w:rFonts w:hint="default"/>
          <w:b w:val="0"/>
          <w:bCs w:val="0"/>
          <w:highlight w:val="none"/>
          <w:lang w:val="en-US" w:eastAsia="zh-CN"/>
        </w:rPr>
        <w:tab/>
      </w:r>
      <w:r>
        <w:rPr>
          <w:rFonts w:hint="eastAsia"/>
          <w:b w:val="0"/>
          <w:bCs w:val="0"/>
          <w:highlight w:val="none"/>
          <w:lang w:val="en-US" w:eastAsia="zh-CN"/>
        </w:rPr>
        <w:t>盘；</w:t>
      </w:r>
    </w:p>
    <w:p w14:paraId="50C991D9">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lang w:val="en-US" w:eastAsia="zh-CN"/>
        </w:rPr>
      </w:pPr>
      <w:r>
        <w:rPr>
          <w:rFonts w:hint="eastAsia"/>
          <w:b w:val="0"/>
          <w:bCs w:val="0"/>
          <w:lang w:val="en-US" w:eastAsia="zh-CN"/>
        </w:rPr>
        <w:t>6）配置</w:t>
      </w:r>
      <w:r>
        <w:rPr>
          <w:rFonts w:hint="default"/>
          <w:b w:val="0"/>
          <w:bCs w:val="0"/>
          <w:lang w:val="en-US" w:eastAsia="zh-CN"/>
        </w:rPr>
        <w:t>RAID卡</w:t>
      </w:r>
      <w:r>
        <w:rPr>
          <w:rFonts w:hint="eastAsia"/>
          <w:b w:val="0"/>
          <w:bCs w:val="0"/>
          <w:lang w:val="en-US" w:eastAsia="zh-CN"/>
        </w:rPr>
        <w:t>1张；</w:t>
      </w:r>
    </w:p>
    <w:p w14:paraId="0D53F458">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lang w:val="en-US" w:eastAsia="zh-CN"/>
        </w:rPr>
      </w:pPr>
      <w:r>
        <w:rPr>
          <w:rFonts w:hint="eastAsia"/>
          <w:b w:val="0"/>
          <w:bCs w:val="0"/>
          <w:lang w:val="en-US" w:eastAsia="zh-CN"/>
        </w:rPr>
        <w:t>7）配置</w:t>
      </w:r>
      <w:r>
        <w:rPr>
          <w:rFonts w:hint="default"/>
          <w:b w:val="0"/>
          <w:bCs w:val="0"/>
          <w:lang w:val="en-US" w:eastAsia="zh-CN"/>
        </w:rPr>
        <w:tab/>
      </w:r>
      <w:r>
        <w:rPr>
          <w:rFonts w:hint="default"/>
          <w:b w:val="0"/>
          <w:bCs w:val="0"/>
          <w:lang w:val="en-US" w:eastAsia="zh-CN"/>
        </w:rPr>
        <w:t>3KW热拔插电源模块</w:t>
      </w:r>
      <w:r>
        <w:rPr>
          <w:rFonts w:hint="default"/>
          <w:b w:val="0"/>
          <w:bCs w:val="0"/>
          <w:lang w:val="en-US" w:eastAsia="zh-CN"/>
        </w:rPr>
        <w:tab/>
      </w:r>
      <w:r>
        <w:rPr>
          <w:rFonts w:hint="eastAsia"/>
          <w:b w:val="0"/>
          <w:bCs w:val="0"/>
          <w:lang w:val="en-US" w:eastAsia="zh-CN"/>
        </w:rPr>
        <w:t>6个；</w:t>
      </w:r>
    </w:p>
    <w:p w14:paraId="3F12C154">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highlight w:val="none"/>
          <w:lang w:val="en-US" w:eastAsia="zh-CN"/>
        </w:rPr>
      </w:pPr>
      <w:r>
        <w:rPr>
          <w:rFonts w:hint="eastAsia"/>
          <w:b w:val="0"/>
          <w:bCs w:val="0"/>
          <w:highlight w:val="none"/>
          <w:lang w:val="en-US" w:eastAsia="zh-CN"/>
        </w:rPr>
        <w:t>8）配置</w:t>
      </w:r>
      <w:r>
        <w:rPr>
          <w:rFonts w:hint="default"/>
          <w:b w:val="0"/>
          <w:bCs w:val="0"/>
          <w:highlight w:val="none"/>
          <w:lang w:val="en-US" w:eastAsia="zh-CN"/>
        </w:rPr>
        <w:tab/>
      </w:r>
      <w:r>
        <w:rPr>
          <w:rFonts w:hint="default"/>
          <w:b w:val="0"/>
          <w:bCs w:val="0"/>
          <w:highlight w:val="none"/>
          <w:lang w:val="en-US" w:eastAsia="zh-CN"/>
        </w:rPr>
        <w:t>参数面</w:t>
      </w:r>
      <w:r>
        <w:rPr>
          <w:rFonts w:hint="eastAsia"/>
          <w:b w:val="0"/>
          <w:bCs w:val="0"/>
          <w:highlight w:val="none"/>
          <w:lang w:val="en-US" w:eastAsia="zh-CN"/>
        </w:rPr>
        <w:t>网络接口</w:t>
      </w:r>
      <w:r>
        <w:rPr>
          <w:rFonts w:hint="default"/>
          <w:b w:val="0"/>
          <w:bCs w:val="0"/>
          <w:highlight w:val="none"/>
          <w:lang w:val="en-US" w:eastAsia="zh-CN"/>
        </w:rPr>
        <w:t>8*400GE QSFP-DD直出，</w:t>
      </w:r>
      <w:r>
        <w:rPr>
          <w:rFonts w:hint="eastAsia"/>
          <w:b w:val="0"/>
          <w:bCs w:val="0"/>
          <w:highlight w:val="none"/>
          <w:lang w:val="en-US" w:eastAsia="zh-CN"/>
        </w:rPr>
        <w:t>支持</w:t>
      </w:r>
      <w:r>
        <w:rPr>
          <w:rFonts w:hint="default"/>
          <w:b w:val="0"/>
          <w:bCs w:val="0"/>
          <w:highlight w:val="none"/>
          <w:lang w:val="en-US" w:eastAsia="zh-CN"/>
        </w:rPr>
        <w:t>RoCE协议</w:t>
      </w:r>
      <w:r>
        <w:rPr>
          <w:rFonts w:hint="eastAsia"/>
          <w:b w:val="0"/>
          <w:bCs w:val="0"/>
          <w:highlight w:val="none"/>
          <w:lang w:val="en-US" w:eastAsia="zh-CN"/>
        </w:rPr>
        <w:t>；</w:t>
      </w:r>
    </w:p>
    <w:p w14:paraId="06109B0C">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9）配置样本面网络接口2</w:t>
      </w:r>
      <w:r>
        <w:rPr>
          <w:rFonts w:hint="default"/>
          <w:b w:val="0"/>
          <w:bCs w:val="0"/>
          <w:lang w:val="en-US" w:eastAsia="zh-CN"/>
        </w:rPr>
        <w:t>*100G</w:t>
      </w:r>
      <w:r>
        <w:rPr>
          <w:rFonts w:hint="eastAsia"/>
          <w:b w:val="0"/>
          <w:bCs w:val="0"/>
          <w:lang w:val="en-US" w:eastAsia="zh-CN"/>
        </w:rPr>
        <w:t>E端口（含光模块）；</w:t>
      </w:r>
    </w:p>
    <w:p w14:paraId="60E241EA">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10）配置业务面网络接口</w:t>
      </w:r>
      <w:r>
        <w:rPr>
          <w:rFonts w:hint="default"/>
          <w:b w:val="0"/>
          <w:bCs w:val="0"/>
          <w:lang w:val="en-US" w:eastAsia="zh-CN"/>
        </w:rPr>
        <w:t>2*25G</w:t>
      </w:r>
      <w:r>
        <w:rPr>
          <w:rFonts w:hint="eastAsia"/>
          <w:b w:val="0"/>
          <w:bCs w:val="0"/>
          <w:lang w:val="en-US" w:eastAsia="zh-CN"/>
        </w:rPr>
        <w:t>端口（含光模块）；</w:t>
      </w:r>
    </w:p>
    <w:p w14:paraId="69013D5F">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11）AI服务器采用风冷制冷；</w:t>
      </w:r>
    </w:p>
    <w:p w14:paraId="0F9A1EA4">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（2）通算服务器需求：</w:t>
      </w:r>
    </w:p>
    <w:p w14:paraId="798B46CF">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提供</w:t>
      </w:r>
      <w:r>
        <w:rPr>
          <w:rFonts w:hint="eastAsia"/>
          <w:b w:val="0"/>
          <w:bCs w:val="0"/>
          <w:highlight w:val="none"/>
          <w:lang w:val="en-US" w:eastAsia="zh-CN"/>
        </w:rPr>
        <w:t>不少于8台</w:t>
      </w:r>
      <w:r>
        <w:rPr>
          <w:rFonts w:hint="eastAsia"/>
          <w:b w:val="0"/>
          <w:bCs w:val="0"/>
          <w:lang w:val="en-US" w:eastAsia="zh-CN"/>
        </w:rPr>
        <w:t>满足以下技术需求的通算服务器：</w:t>
      </w:r>
    </w:p>
    <w:p w14:paraId="149C0B11">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lang w:val="en-US" w:eastAsia="zh-CN"/>
        </w:rPr>
      </w:pPr>
      <w:r>
        <w:rPr>
          <w:rFonts w:hint="eastAsia"/>
          <w:b w:val="0"/>
          <w:bCs w:val="0"/>
          <w:lang w:val="en-US" w:eastAsia="zh-CN"/>
        </w:rPr>
        <w:t>1）</w:t>
      </w:r>
      <w:r>
        <w:rPr>
          <w:rFonts w:hint="default"/>
          <w:b w:val="0"/>
          <w:bCs w:val="0"/>
          <w:lang w:val="en-US" w:eastAsia="zh-CN"/>
        </w:rPr>
        <w:t>服务器外型及高度：≥2U机架式，标配原厂导轨；</w:t>
      </w:r>
    </w:p>
    <w:p w14:paraId="2A472E8A">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lang w:val="en-US" w:eastAsia="zh-CN"/>
        </w:rPr>
      </w:pPr>
      <w:r>
        <w:rPr>
          <w:rFonts w:hint="eastAsia"/>
          <w:b w:val="0"/>
          <w:bCs w:val="0"/>
          <w:lang w:val="en-US" w:eastAsia="zh-CN"/>
        </w:rPr>
        <w:t>2）</w:t>
      </w:r>
      <w:r>
        <w:rPr>
          <w:rFonts w:hint="default"/>
          <w:b w:val="0"/>
          <w:bCs w:val="0"/>
          <w:lang w:val="en-US" w:eastAsia="zh-CN"/>
        </w:rPr>
        <w:t>CPU：≥2颗X86 CPU (主频不低于2.45GHz；单</w:t>
      </w:r>
      <w:r>
        <w:rPr>
          <w:rFonts w:hint="eastAsia"/>
          <w:b w:val="0"/>
          <w:bCs w:val="0"/>
          <w:lang w:val="en-US" w:eastAsia="zh-CN"/>
        </w:rPr>
        <w:t>CPU</w:t>
      </w:r>
      <w:r>
        <w:rPr>
          <w:rFonts w:hint="default"/>
          <w:b w:val="0"/>
          <w:bCs w:val="0"/>
          <w:lang w:val="en-US" w:eastAsia="zh-CN"/>
        </w:rPr>
        <w:t>核数不低于</w:t>
      </w:r>
      <w:r>
        <w:rPr>
          <w:rFonts w:hint="eastAsia"/>
          <w:b w:val="0"/>
          <w:bCs w:val="0"/>
          <w:lang w:val="en-US" w:eastAsia="zh-CN"/>
        </w:rPr>
        <w:t>32</w:t>
      </w:r>
      <w:r>
        <w:rPr>
          <w:rFonts w:hint="default"/>
          <w:b w:val="0"/>
          <w:bCs w:val="0"/>
          <w:lang w:val="en-US" w:eastAsia="zh-CN"/>
        </w:rPr>
        <w:t>核）；</w:t>
      </w:r>
    </w:p>
    <w:p w14:paraId="634D240E">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lang w:val="en-US" w:eastAsia="zh-CN"/>
        </w:rPr>
      </w:pPr>
      <w:r>
        <w:rPr>
          <w:rFonts w:hint="eastAsia"/>
          <w:b w:val="0"/>
          <w:bCs w:val="0"/>
          <w:lang w:val="en-US" w:eastAsia="zh-CN"/>
        </w:rPr>
        <w:t>3）</w:t>
      </w:r>
      <w:r>
        <w:rPr>
          <w:rFonts w:hint="default"/>
          <w:b w:val="0"/>
          <w:bCs w:val="0"/>
          <w:lang w:val="en-US" w:eastAsia="zh-CN"/>
        </w:rPr>
        <w:t>内存：≥24*32GB；</w:t>
      </w:r>
    </w:p>
    <w:p w14:paraId="0054F0A7">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lang w:val="en-US" w:eastAsia="zh-CN"/>
        </w:rPr>
      </w:pPr>
      <w:r>
        <w:rPr>
          <w:rFonts w:hint="eastAsia"/>
          <w:b w:val="0"/>
          <w:bCs w:val="0"/>
          <w:lang w:val="en-US" w:eastAsia="zh-CN"/>
        </w:rPr>
        <w:t>4）</w:t>
      </w:r>
      <w:r>
        <w:rPr>
          <w:rFonts w:hint="default"/>
          <w:b w:val="0"/>
          <w:bCs w:val="0"/>
          <w:lang w:val="en-US" w:eastAsia="zh-CN"/>
        </w:rPr>
        <w:t>存储：≥2*480GB SSD</w:t>
      </w:r>
      <w:r>
        <w:rPr>
          <w:rFonts w:hint="eastAsia"/>
          <w:b w:val="0"/>
          <w:bCs w:val="0"/>
          <w:lang w:val="en-US" w:eastAsia="zh-CN"/>
        </w:rPr>
        <w:t>；</w:t>
      </w:r>
      <w:r>
        <w:rPr>
          <w:rFonts w:hint="default"/>
          <w:b w:val="0"/>
          <w:bCs w:val="0"/>
          <w:lang w:val="en-US" w:eastAsia="zh-CN"/>
        </w:rPr>
        <w:t>≥1*7.68T SATA SSD</w:t>
      </w:r>
      <w:r>
        <w:rPr>
          <w:rFonts w:hint="eastAsia"/>
          <w:b w:val="0"/>
          <w:bCs w:val="0"/>
          <w:lang w:val="en-US" w:eastAsia="zh-CN"/>
        </w:rPr>
        <w:t>；</w:t>
      </w:r>
    </w:p>
    <w:p w14:paraId="1758158D">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lang w:val="en-US" w:eastAsia="zh-CN"/>
        </w:rPr>
      </w:pPr>
      <w:r>
        <w:rPr>
          <w:rFonts w:hint="eastAsia"/>
          <w:b w:val="0"/>
          <w:bCs w:val="0"/>
          <w:lang w:val="en-US" w:eastAsia="zh-CN"/>
        </w:rPr>
        <w:t>5）</w:t>
      </w:r>
      <w:r>
        <w:rPr>
          <w:rFonts w:hint="default"/>
          <w:b w:val="0"/>
          <w:bCs w:val="0"/>
          <w:lang w:val="en-US" w:eastAsia="zh-CN"/>
        </w:rPr>
        <w:t>RAID卡：≥1块2G缓存12G SAS RAID卡（带超级电容）；</w:t>
      </w:r>
    </w:p>
    <w:p w14:paraId="0AA9C2D5">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lang w:val="en-US" w:eastAsia="zh-CN"/>
        </w:rPr>
      </w:pPr>
      <w:r>
        <w:rPr>
          <w:rFonts w:hint="eastAsia"/>
          <w:b w:val="0"/>
          <w:bCs w:val="0"/>
          <w:lang w:val="en-US" w:eastAsia="zh-CN"/>
        </w:rPr>
        <w:t>6）</w:t>
      </w:r>
      <w:r>
        <w:rPr>
          <w:rFonts w:hint="default"/>
          <w:b w:val="0"/>
          <w:bCs w:val="0"/>
          <w:lang w:val="en-US" w:eastAsia="zh-CN"/>
        </w:rPr>
        <w:t>IPMI：≥1*IPMI接口；</w:t>
      </w:r>
    </w:p>
    <w:p w14:paraId="378B1843">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lang w:val="en-US" w:eastAsia="zh-CN"/>
        </w:rPr>
      </w:pPr>
      <w:r>
        <w:rPr>
          <w:rFonts w:hint="eastAsia"/>
          <w:b w:val="0"/>
          <w:bCs w:val="0"/>
          <w:lang w:val="en-US" w:eastAsia="zh-CN"/>
        </w:rPr>
        <w:t>7）</w:t>
      </w:r>
      <w:r>
        <w:rPr>
          <w:rFonts w:hint="default"/>
          <w:b w:val="0"/>
          <w:bCs w:val="0"/>
          <w:lang w:val="en-US" w:eastAsia="zh-CN"/>
        </w:rPr>
        <w:t>网卡1：≥2*2端口25G光接口网卡；</w:t>
      </w:r>
    </w:p>
    <w:p w14:paraId="032BC1F3">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lang w:val="en-US" w:eastAsia="zh-CN"/>
        </w:rPr>
      </w:pPr>
      <w:r>
        <w:rPr>
          <w:rFonts w:hint="eastAsia"/>
          <w:b w:val="0"/>
          <w:bCs w:val="0"/>
          <w:lang w:val="en-US" w:eastAsia="zh-CN"/>
        </w:rPr>
        <w:t>8）</w:t>
      </w:r>
      <w:r>
        <w:rPr>
          <w:rFonts w:hint="default"/>
          <w:b w:val="0"/>
          <w:bCs w:val="0"/>
          <w:lang w:val="en-US" w:eastAsia="zh-CN"/>
        </w:rPr>
        <w:t>网卡</w:t>
      </w:r>
      <w:r>
        <w:rPr>
          <w:rFonts w:hint="eastAsia"/>
          <w:b w:val="0"/>
          <w:bCs w:val="0"/>
          <w:lang w:val="en-US" w:eastAsia="zh-CN"/>
        </w:rPr>
        <w:t>2</w:t>
      </w:r>
      <w:r>
        <w:rPr>
          <w:rFonts w:hint="default"/>
          <w:b w:val="0"/>
          <w:bCs w:val="0"/>
          <w:lang w:val="en-US" w:eastAsia="zh-CN"/>
        </w:rPr>
        <w:t>：≥2*2端口</w:t>
      </w:r>
      <w:r>
        <w:rPr>
          <w:rFonts w:hint="eastAsia"/>
          <w:b w:val="0"/>
          <w:bCs w:val="0"/>
          <w:lang w:val="en-US" w:eastAsia="zh-CN"/>
        </w:rPr>
        <w:t>200</w:t>
      </w:r>
      <w:r>
        <w:rPr>
          <w:rFonts w:hint="default"/>
          <w:b w:val="0"/>
          <w:bCs w:val="0"/>
          <w:lang w:val="en-US" w:eastAsia="zh-CN"/>
        </w:rPr>
        <w:t>G光接口网卡；</w:t>
      </w:r>
    </w:p>
    <w:p w14:paraId="359D7932">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lang w:val="en-US" w:eastAsia="zh-CN"/>
        </w:rPr>
      </w:pPr>
      <w:r>
        <w:rPr>
          <w:rFonts w:hint="eastAsia"/>
          <w:b w:val="0"/>
          <w:bCs w:val="0"/>
          <w:lang w:val="en-US" w:eastAsia="zh-CN"/>
        </w:rPr>
        <w:t>9）</w:t>
      </w:r>
      <w:r>
        <w:rPr>
          <w:rFonts w:hint="default"/>
          <w:b w:val="0"/>
          <w:bCs w:val="0"/>
          <w:lang w:val="en-US" w:eastAsia="zh-CN"/>
        </w:rPr>
        <w:t>电源和风扇：电源支持1+1冗余；支持热插拔冗余风扇。</w:t>
      </w:r>
    </w:p>
    <w:p w14:paraId="0BF2C112">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（3）组网要求：</w:t>
      </w:r>
    </w:p>
    <w:p w14:paraId="73F53EA4">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1）针对128台AI服务器组建单层400G RoCE组网，网络无收敛；</w:t>
      </w:r>
    </w:p>
    <w:p w14:paraId="2BF6DC5E">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2）针对32台AI服务器一，按照每两台互联56*400G组建并机互联网络；</w:t>
      </w:r>
    </w:p>
    <w:p w14:paraId="467A3D70">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3）针对所有AI服务器、通算服务器组建2*25G业务网络；</w:t>
      </w:r>
    </w:p>
    <w:p w14:paraId="3DEF470D">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lang w:val="en-US" w:eastAsia="zh-CN"/>
        </w:rPr>
      </w:pPr>
      <w:r>
        <w:rPr>
          <w:rFonts w:hint="eastAsia"/>
          <w:b w:val="0"/>
          <w:bCs w:val="0"/>
          <w:lang w:val="en-US" w:eastAsia="zh-CN"/>
        </w:rPr>
        <w:t>4）针对所有设备组建1G带外管理网络；</w:t>
      </w:r>
    </w:p>
    <w:p w14:paraId="1A3D09DD">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（4）集群可靠性和指标：</w:t>
      </w:r>
    </w:p>
    <w:p w14:paraId="23041D87">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lang w:val="en-US" w:eastAsia="zh-CN"/>
        </w:rPr>
      </w:pPr>
      <w:r>
        <w:rPr>
          <w:rFonts w:hint="eastAsia"/>
          <w:b w:val="0"/>
          <w:bCs w:val="0"/>
          <w:lang w:val="en-US" w:eastAsia="zh-CN"/>
        </w:rPr>
        <w:t>1）</w:t>
      </w:r>
      <w:r>
        <w:rPr>
          <w:rFonts w:hint="eastAsia"/>
          <w:b w:val="0"/>
          <w:bCs w:val="0"/>
          <w:highlight w:val="none"/>
          <w:lang w:val="en-US" w:eastAsia="zh-CN"/>
        </w:rPr>
        <w:t>集群可用率大于等于95%</w:t>
      </w:r>
      <w:r>
        <w:rPr>
          <w:rFonts w:hint="eastAsia"/>
          <w:b w:val="0"/>
          <w:bCs w:val="0"/>
          <w:lang w:val="en-US" w:eastAsia="zh-CN"/>
        </w:rPr>
        <w:t>（1-（服务周期内总不可用算力卡时数/服务周期内总承诺算力卡时数））；</w:t>
      </w:r>
      <w:r>
        <w:rPr>
          <w:rFonts w:hint="eastAsia"/>
          <w:b w:val="0"/>
          <w:bCs w:val="0"/>
          <w:highlight w:val="none"/>
          <w:lang w:val="en-US" w:eastAsia="zh-CN"/>
        </w:rPr>
        <w:t>采购人提供的AI服务器质量故障不计入上述公式。</w:t>
      </w:r>
    </w:p>
    <w:p w14:paraId="1DAB53D9">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2）参数面网络可靠性高达99.95%；</w:t>
      </w:r>
    </w:p>
    <w:p w14:paraId="594E566C">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3）确保资源无感扩容，重大的扩容变更影响时长不超过半小时；</w:t>
      </w:r>
    </w:p>
    <w:p w14:paraId="4192BA16">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（5）冗余设计要求：核心设备主备（包含交换机等）；服务器电源和风扇均有冗余；</w:t>
      </w:r>
    </w:p>
    <w:p w14:paraId="01C06BAA">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（6）数据高可用要求：数据容灾：存储支持EC存储，服务器系统盘raid1；数据恢复：存储支持回收站功能，支持异常删除恢复；</w:t>
      </w:r>
    </w:p>
    <w:p w14:paraId="42AD30AB">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（7）网络可靠性：网络服务可靠性：防DDoS攻击等常见的网络攻击手段，并能自动恢复；</w:t>
      </w:r>
    </w:p>
    <w:p w14:paraId="43E1F193">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（8）质保要求：软硬件提供3年有效质保；</w:t>
      </w:r>
    </w:p>
    <w:p w14:paraId="55660924">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（9）运维要求：</w:t>
      </w:r>
    </w:p>
    <w:p w14:paraId="4D0794A9">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1）资产生命周期管理：</w:t>
      </w:r>
    </w:p>
    <w:p w14:paraId="4B8D4218">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①采购和部署：采购部署内容项包含服务器，网络等，对应的硬件选型规格需和业务需求匹配，采购部署交付周期也得和业务需求匹配。部署完成需严格执行验收流程（性能测试、稳定性验证）；</w:t>
      </w:r>
    </w:p>
    <w:p w14:paraId="6C518D78">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②标签与台账：协助采购人对所有硬件贴标签（资产编号、型号、部署位置），建立台账并与硬件监控系统联动。</w:t>
      </w:r>
    </w:p>
    <w:p w14:paraId="4FCEB373">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③维护与退役：定期巡检，巡检周期一天一次，巡检内容包含机房温湿度、机柜电源、空调状态），如有异常需通知租户后解决。制定一些预防性维护计划（如检修，消防等），淘汰硬件需经过采购人同意后才能清除数据并完成合规报废流程。</w:t>
      </w:r>
    </w:p>
    <w:p w14:paraId="75D20F6E">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2）运维与故障处理</w:t>
      </w:r>
    </w:p>
    <w:p w14:paraId="4986557C">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①</w:t>
      </w:r>
      <w:r>
        <w:rPr>
          <w:rFonts w:hint="default"/>
          <w:b w:val="0"/>
          <w:bCs w:val="0"/>
          <w:lang w:val="en-US" w:eastAsia="zh-CN"/>
        </w:rPr>
        <w:t>部署硬件实时监控,监控指标包括：硬件状态（CPU/</w:t>
      </w:r>
      <w:r>
        <w:rPr>
          <w:rFonts w:hint="eastAsia"/>
          <w:b w:val="0"/>
          <w:bCs w:val="0"/>
          <w:lang w:val="en-US" w:eastAsia="zh-CN"/>
        </w:rPr>
        <w:t>AI卡</w:t>
      </w:r>
      <w:r>
        <w:rPr>
          <w:rFonts w:hint="default"/>
          <w:b w:val="0"/>
          <w:bCs w:val="0"/>
          <w:lang w:val="en-US" w:eastAsia="zh-CN"/>
        </w:rPr>
        <w:t>温度、磁盘 SMART 状态）</w:t>
      </w:r>
      <w:r>
        <w:rPr>
          <w:rFonts w:hint="eastAsia"/>
          <w:b w:val="0"/>
          <w:bCs w:val="0"/>
          <w:lang w:val="en-US" w:eastAsia="zh-CN"/>
        </w:rPr>
        <w:t>、</w:t>
      </w:r>
      <w:r>
        <w:rPr>
          <w:rFonts w:hint="default"/>
          <w:b w:val="0"/>
          <w:bCs w:val="0"/>
          <w:lang w:val="en-US" w:eastAsia="zh-CN"/>
        </w:rPr>
        <w:t>网络延迟与丢包率。设置阈值告警（如</w:t>
      </w:r>
      <w:r>
        <w:rPr>
          <w:rFonts w:hint="eastAsia"/>
          <w:b w:val="0"/>
          <w:bCs w:val="0"/>
          <w:lang w:val="en-US" w:eastAsia="zh-CN"/>
        </w:rPr>
        <w:t>AI卡</w:t>
      </w:r>
      <w:r>
        <w:rPr>
          <w:rFonts w:hint="default"/>
          <w:b w:val="0"/>
          <w:bCs w:val="0"/>
          <w:lang w:val="en-US" w:eastAsia="zh-CN"/>
        </w:rPr>
        <w:t>温度 &gt;85℃ 时触发自动化降频或告警）。针对</w:t>
      </w:r>
      <w:r>
        <w:rPr>
          <w:rFonts w:hint="eastAsia"/>
          <w:b w:val="0"/>
          <w:bCs w:val="0"/>
          <w:lang w:val="en-US" w:eastAsia="zh-CN"/>
        </w:rPr>
        <w:t>AI卡</w:t>
      </w:r>
      <w:r>
        <w:rPr>
          <w:rFonts w:hint="default"/>
          <w:b w:val="0"/>
          <w:bCs w:val="0"/>
          <w:lang w:val="en-US" w:eastAsia="zh-CN"/>
        </w:rPr>
        <w:t>定时检测健康状态，状态异常能自动隔离</w:t>
      </w:r>
      <w:r>
        <w:rPr>
          <w:rFonts w:hint="eastAsia"/>
          <w:b w:val="0"/>
          <w:bCs w:val="0"/>
          <w:lang w:val="en-US" w:eastAsia="zh-CN"/>
        </w:rPr>
        <w:t>。</w:t>
      </w:r>
    </w:p>
    <w:p w14:paraId="11CE8FB8">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lang w:val="en-US" w:eastAsia="zh-CN"/>
        </w:rPr>
      </w:pPr>
      <w:r>
        <w:rPr>
          <w:rFonts w:hint="default"/>
          <w:b w:val="0"/>
          <w:bCs w:val="0"/>
          <w:lang w:val="en-US" w:eastAsia="zh-CN"/>
        </w:rPr>
        <w:tab/>
      </w:r>
      <w:r>
        <w:rPr>
          <w:rFonts w:hint="eastAsia"/>
          <w:b w:val="0"/>
          <w:bCs w:val="0"/>
          <w:lang w:val="en-US" w:eastAsia="zh-CN"/>
        </w:rPr>
        <w:t>②</w:t>
      </w:r>
      <w:r>
        <w:rPr>
          <w:rFonts w:hint="default"/>
          <w:b w:val="0"/>
          <w:bCs w:val="0"/>
          <w:lang w:val="en-US" w:eastAsia="zh-CN"/>
        </w:rPr>
        <w:t>硬件日志：硬件服务器日志收集和查看，包含bmc日志以及操作系统日志</w:t>
      </w:r>
    </w:p>
    <w:p w14:paraId="70B8536A">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③</w:t>
      </w:r>
      <w:r>
        <w:rPr>
          <w:rFonts w:hint="default"/>
          <w:b w:val="0"/>
          <w:bCs w:val="0"/>
          <w:lang w:val="en-US" w:eastAsia="zh-CN"/>
        </w:rPr>
        <w:t>故障响应：SLA分级（如重大级故障需5分钟内响应，一般级15分钟内响应）。建立备件库（</w:t>
      </w:r>
      <w:r>
        <w:rPr>
          <w:rFonts w:hint="eastAsia"/>
          <w:b w:val="0"/>
          <w:bCs w:val="0"/>
          <w:lang w:val="en-US" w:eastAsia="zh-CN"/>
        </w:rPr>
        <w:t>AI卡</w:t>
      </w:r>
      <w:r>
        <w:rPr>
          <w:rFonts w:hint="default"/>
          <w:b w:val="0"/>
          <w:bCs w:val="0"/>
          <w:lang w:val="en-US" w:eastAsia="zh-CN"/>
        </w:rPr>
        <w:t>、电源、硬盘），确保快速更换。硬件故障恢复</w:t>
      </w:r>
      <w:r>
        <w:rPr>
          <w:rFonts w:hint="eastAsia"/>
          <w:b w:val="0"/>
          <w:bCs w:val="0"/>
          <w:lang w:val="en-US" w:eastAsia="zh-CN"/>
        </w:rPr>
        <w:t>：</w:t>
      </w:r>
      <w:r>
        <w:rPr>
          <w:rFonts w:hint="default"/>
          <w:b w:val="0"/>
          <w:bCs w:val="0"/>
          <w:lang w:val="en-US" w:eastAsia="zh-CN"/>
        </w:rPr>
        <w:t>7*24小时覆盖，实时响应</w:t>
      </w:r>
      <w:r>
        <w:rPr>
          <w:rFonts w:hint="eastAsia"/>
          <w:b w:val="0"/>
          <w:bCs w:val="0"/>
          <w:lang w:val="en-US" w:eastAsia="zh-CN"/>
        </w:rPr>
        <w:t>。</w:t>
      </w:r>
      <w:r>
        <w:rPr>
          <w:rFonts w:hint="default"/>
          <w:b w:val="0"/>
          <w:bCs w:val="0"/>
          <w:lang w:val="en-US" w:eastAsia="zh-CN"/>
        </w:rPr>
        <w:t>在线技术支持：技术信息共享和补丁下载</w:t>
      </w:r>
      <w:r>
        <w:rPr>
          <w:rFonts w:hint="eastAsia"/>
          <w:b w:val="0"/>
          <w:bCs w:val="0"/>
          <w:lang w:val="en-US" w:eastAsia="zh-CN"/>
        </w:rPr>
        <w:t>；</w:t>
      </w:r>
      <w:r>
        <w:rPr>
          <w:rFonts w:hint="default"/>
          <w:b w:val="0"/>
          <w:bCs w:val="0"/>
          <w:lang w:val="en-US" w:eastAsia="zh-CN"/>
        </w:rPr>
        <w:t>备件更换SLA：备件4小时内到现场</w:t>
      </w:r>
      <w:r>
        <w:rPr>
          <w:rFonts w:hint="eastAsia"/>
          <w:b w:val="0"/>
          <w:bCs w:val="0"/>
          <w:lang w:val="en-US" w:eastAsia="zh-CN"/>
        </w:rPr>
        <w:t>；</w:t>
      </w:r>
      <w:r>
        <w:rPr>
          <w:rFonts w:hint="default"/>
          <w:b w:val="0"/>
          <w:bCs w:val="0"/>
          <w:lang w:val="en-US" w:eastAsia="zh-CN"/>
        </w:rPr>
        <w:t>热线授理或者专职客户经理: 7*24小时响应</w:t>
      </w:r>
      <w:r>
        <w:rPr>
          <w:rFonts w:hint="eastAsia"/>
          <w:b w:val="0"/>
          <w:bCs w:val="0"/>
          <w:lang w:val="en-US" w:eastAsia="zh-CN"/>
        </w:rPr>
        <w:t>；</w:t>
      </w:r>
      <w:r>
        <w:rPr>
          <w:rFonts w:hint="default"/>
          <w:b w:val="0"/>
          <w:bCs w:val="0"/>
          <w:lang w:val="en-US" w:eastAsia="zh-CN"/>
        </w:rPr>
        <w:t>运维培训: 乙方向甲方免费运维培训，包括平台使用、运维、故障排查等</w:t>
      </w:r>
      <w:r>
        <w:rPr>
          <w:rFonts w:hint="eastAsia"/>
          <w:b w:val="0"/>
          <w:bCs w:val="0"/>
          <w:lang w:val="en-US" w:eastAsia="zh-CN"/>
        </w:rPr>
        <w:t>。</w:t>
      </w:r>
    </w:p>
    <w:p w14:paraId="63726FC0">
      <w:pPr>
        <w:keepNext w:val="0"/>
        <w:keepLines w:val="0"/>
        <w:pageBreakBefore w:val="0"/>
        <w:widowControl w:val="0"/>
        <w:numPr>
          <w:ilvl w:val="0"/>
          <w:numId w:val="5"/>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安全合规</w:t>
      </w:r>
    </w:p>
    <w:p w14:paraId="57A5E520">
      <w:pPr>
        <w:keepNext w:val="0"/>
        <w:keepLines w:val="0"/>
        <w:pageBreakBefore w:val="0"/>
        <w:widowControl w:val="0"/>
        <w:numPr>
          <w:ilvl w:val="0"/>
          <w:numId w:val="0"/>
        </w:numPr>
        <w:kinsoku/>
        <w:wordWrap/>
        <w:overflowPunct/>
        <w:topLinePunct w:val="0"/>
        <w:autoSpaceDE w:val="0"/>
        <w:autoSpaceDN w:val="0"/>
        <w:bidi w:val="0"/>
        <w:adjustRightInd w:val="0"/>
        <w:snapToGrid w:val="0"/>
        <w:ind w:leftChars="200"/>
        <w:jc w:val="both"/>
        <w:textAlignment w:val="auto"/>
        <w:outlineLvl w:val="9"/>
        <w:rPr>
          <w:rFonts w:hint="eastAsia"/>
          <w:b w:val="0"/>
          <w:bCs w:val="0"/>
          <w:lang w:val="en-US" w:eastAsia="zh-CN"/>
        </w:rPr>
      </w:pPr>
      <w:r>
        <w:rPr>
          <w:rFonts w:hint="eastAsia"/>
          <w:b w:val="0"/>
          <w:bCs w:val="0"/>
          <w:lang w:val="en-US" w:eastAsia="zh-CN"/>
        </w:rPr>
        <w:t>①物理安全包含：人员进出管理：需符合资质的人员才允许进入；</w:t>
      </w:r>
    </w:p>
    <w:p w14:paraId="3C042861">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②物品进出管理：需业务方同意，有台账管理；</w:t>
      </w:r>
    </w:p>
    <w:p w14:paraId="2D4C12B3">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③门禁权限管理：需业务方审批授权通过；</w:t>
      </w:r>
    </w:p>
    <w:p w14:paraId="0F383B6F">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④保密权限管理：禁止拍照等；</w:t>
      </w:r>
    </w:p>
    <w:p w14:paraId="4D7757BB">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⑤机房环境管理：温湿度，防尘噪音等，参考机房标准，并且相关权限审批均由租户控制"</w:t>
      </w:r>
    </w:p>
    <w:p w14:paraId="5F69B1DB">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lang w:val="en-US" w:eastAsia="zh-CN"/>
        </w:rPr>
      </w:pPr>
      <w:r>
        <w:rPr>
          <w:rFonts w:hint="eastAsia"/>
          <w:b w:val="0"/>
          <w:bCs w:val="0"/>
          <w:lang w:val="en-US" w:eastAsia="zh-CN"/>
        </w:rPr>
        <w:t>⑥数据安全：存储数据的访问授权，支持配置白名单访问；数据硬盘的数据加密能力具备；故障硬盘的处理措施，需经过租户同意，故障的盘不走维保，如果低格不了，就走消磁或摧毁。</w:t>
      </w:r>
    </w:p>
    <w:p w14:paraId="7323E244">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lang w:val="en-US" w:eastAsia="zh-CN"/>
        </w:rPr>
      </w:pPr>
      <w:r>
        <w:rPr>
          <w:rFonts w:hint="eastAsia"/>
          <w:b w:val="0"/>
          <w:bCs w:val="0"/>
          <w:lang w:val="en-US" w:eastAsia="zh-CN"/>
        </w:rPr>
        <w:t>⑦网络安全：外网互联网网络边界路径默认关闭；租户可配置交换机和节点的网络访问策略；网络访问日志详细记录节点被访问记录；具备异常访问监控告警以及网络防攻击措施。</w:t>
      </w:r>
    </w:p>
    <w:p w14:paraId="093C01D6">
      <w:pPr>
        <w:keepNext w:val="0"/>
        <w:keepLines w:val="0"/>
        <w:pageBreakBefore w:val="0"/>
        <w:widowControl w:val="0"/>
        <w:numPr>
          <w:ilvl w:val="0"/>
          <w:numId w:val="0"/>
        </w:numPr>
        <w:kinsoku/>
        <w:wordWrap/>
        <w:overflowPunct/>
        <w:topLinePunct w:val="0"/>
        <w:autoSpaceDE w:val="0"/>
        <w:autoSpaceDN w:val="0"/>
        <w:bidi w:val="0"/>
        <w:adjustRightInd w:val="0"/>
        <w:snapToGrid w:val="0"/>
        <w:ind w:left="420" w:leftChars="0"/>
        <w:jc w:val="left"/>
        <w:textAlignment w:val="auto"/>
        <w:outlineLvl w:val="3"/>
        <w:rPr>
          <w:rFonts w:hint="default"/>
          <w:b/>
          <w:bCs/>
          <w:lang w:val="en-US" w:eastAsia="zh-CN"/>
        </w:rPr>
      </w:pPr>
      <w:r>
        <w:rPr>
          <w:rFonts w:hint="eastAsia"/>
          <w:b/>
          <w:bCs/>
          <w:lang w:val="en-US" w:eastAsia="zh-CN"/>
        </w:rPr>
        <w:t>（二）建设阶段服务要求</w:t>
      </w:r>
    </w:p>
    <w:p w14:paraId="12D51498">
      <w:pPr>
        <w:widowControl w:val="0"/>
        <w:autoSpaceDE w:val="0"/>
        <w:autoSpaceDN w:val="0"/>
        <w:adjustRightInd w:val="0"/>
        <w:snapToGrid w:val="0"/>
        <w:ind w:left="360" w:firstLine="0" w:firstLineChars="0"/>
        <w:jc w:val="left"/>
        <w:rPr>
          <w:rFonts w:ascii="宋体" w:hAnsi="宋体"/>
          <w:szCs w:val="21"/>
        </w:rPr>
      </w:pPr>
      <w:r>
        <w:rPr>
          <w:rFonts w:hint="eastAsia" w:ascii="宋体" w:hAnsi="宋体"/>
          <w:szCs w:val="21"/>
        </w:rPr>
        <w:t>本</w:t>
      </w:r>
      <w:r>
        <w:rPr>
          <w:rFonts w:hint="eastAsia" w:ascii="宋体" w:hAnsi="宋体"/>
          <w:szCs w:val="21"/>
          <w:lang w:val="en-US" w:eastAsia="zh-CN"/>
        </w:rPr>
        <w:t>项目建设期</w:t>
      </w:r>
      <w:r>
        <w:rPr>
          <w:rFonts w:hint="eastAsia" w:ascii="宋体" w:hAnsi="宋体"/>
          <w:szCs w:val="21"/>
        </w:rPr>
        <w:t>主要包括以下</w:t>
      </w:r>
      <w:r>
        <w:rPr>
          <w:rFonts w:hint="eastAsia" w:ascii="宋体" w:hAnsi="宋体"/>
          <w:szCs w:val="21"/>
          <w:lang w:val="en-US" w:eastAsia="zh-CN"/>
        </w:rPr>
        <w:t>3</w:t>
      </w:r>
      <w:r>
        <w:rPr>
          <w:rFonts w:hint="eastAsia" w:ascii="宋体" w:hAnsi="宋体"/>
          <w:szCs w:val="21"/>
        </w:rPr>
        <w:t>个方面内容：</w:t>
      </w:r>
    </w:p>
    <w:p w14:paraId="1383BC60">
      <w:pPr>
        <w:keepNext w:val="0"/>
        <w:keepLines w:val="0"/>
        <w:pageBreakBefore w:val="0"/>
        <w:widowControl w:val="0"/>
        <w:numPr>
          <w:ilvl w:val="0"/>
          <w:numId w:val="0"/>
        </w:numPr>
        <w:kinsoku/>
        <w:wordWrap/>
        <w:overflowPunct/>
        <w:topLinePunct w:val="0"/>
        <w:autoSpaceDE w:val="0"/>
        <w:autoSpaceDN w:val="0"/>
        <w:bidi w:val="0"/>
        <w:adjustRightInd w:val="0"/>
        <w:snapToGrid w:val="0"/>
        <w:ind w:left="363" w:leftChars="0"/>
        <w:jc w:val="left"/>
        <w:textAlignment w:val="auto"/>
        <w:outlineLvl w:val="4"/>
        <w:rPr>
          <w:rFonts w:hint="eastAsia"/>
          <w:b/>
          <w:bCs/>
        </w:rPr>
      </w:pPr>
      <w:r>
        <w:rPr>
          <w:rFonts w:hint="eastAsia"/>
          <w:b/>
          <w:bCs/>
          <w:lang w:val="en-US" w:eastAsia="zh-CN"/>
        </w:rPr>
        <w:t>1、货物</w:t>
      </w:r>
      <w:r>
        <w:rPr>
          <w:rFonts w:hint="eastAsia"/>
          <w:b/>
          <w:bCs/>
        </w:rPr>
        <w:t>采购服务</w:t>
      </w:r>
    </w:p>
    <w:p w14:paraId="3FDE6858">
      <w:pPr>
        <w:ind w:firstLine="420"/>
        <w:rPr>
          <w:rFonts w:ascii="宋体" w:hAnsi="宋体"/>
          <w:szCs w:val="21"/>
        </w:rPr>
      </w:pPr>
      <w:r>
        <w:rPr>
          <w:rFonts w:hint="eastAsia"/>
          <w:lang w:val="en-US" w:eastAsia="zh-CN"/>
        </w:rPr>
        <w:t>本智算集群</w:t>
      </w:r>
      <w:r>
        <w:rPr>
          <w:rFonts w:hint="eastAsia"/>
        </w:rPr>
        <w:t>所有设备和软件的采购</w:t>
      </w:r>
      <w:r>
        <w:rPr>
          <w:rFonts w:hint="eastAsia"/>
          <w:lang w:eastAsia="zh-CN"/>
        </w:rPr>
        <w:t>（</w:t>
      </w:r>
      <w:r>
        <w:rPr>
          <w:rFonts w:hint="eastAsia"/>
          <w:lang w:val="en-US" w:eastAsia="zh-CN"/>
        </w:rPr>
        <w:t>AI服务器除外</w:t>
      </w:r>
      <w:r>
        <w:rPr>
          <w:rFonts w:hint="eastAsia"/>
          <w:lang w:eastAsia="zh-CN"/>
        </w:rPr>
        <w:t>）</w:t>
      </w:r>
      <w:r>
        <w:rPr>
          <w:rFonts w:hint="eastAsia"/>
        </w:rPr>
        <w:t>，包括网络设备、通用计算服务器、信息安全设备、</w:t>
      </w:r>
      <w:r>
        <w:rPr>
          <w:rFonts w:hint="eastAsia"/>
          <w:lang w:val="en-US" w:eastAsia="zh-CN"/>
        </w:rPr>
        <w:t>光模块、线缆、</w:t>
      </w:r>
      <w:r>
        <w:rPr>
          <w:rFonts w:hint="eastAsia"/>
        </w:rPr>
        <w:t>集群所需软件系统</w:t>
      </w:r>
      <w:r>
        <w:rPr>
          <w:rFonts w:hint="eastAsia"/>
          <w:lang w:val="en-US" w:eastAsia="zh-CN"/>
        </w:rPr>
        <w:t>等</w:t>
      </w:r>
      <w:r>
        <w:rPr>
          <w:rFonts w:hint="eastAsia"/>
        </w:rPr>
        <w:t>。</w:t>
      </w:r>
    </w:p>
    <w:p w14:paraId="0698EB47">
      <w:pPr>
        <w:keepNext w:val="0"/>
        <w:keepLines w:val="0"/>
        <w:pageBreakBefore w:val="0"/>
        <w:widowControl w:val="0"/>
        <w:numPr>
          <w:ilvl w:val="0"/>
          <w:numId w:val="0"/>
        </w:numPr>
        <w:kinsoku/>
        <w:wordWrap/>
        <w:overflowPunct/>
        <w:topLinePunct w:val="0"/>
        <w:autoSpaceDE w:val="0"/>
        <w:autoSpaceDN w:val="0"/>
        <w:bidi w:val="0"/>
        <w:adjustRightInd w:val="0"/>
        <w:snapToGrid w:val="0"/>
        <w:ind w:left="420" w:leftChars="0"/>
        <w:jc w:val="left"/>
        <w:textAlignment w:val="auto"/>
        <w:outlineLvl w:val="4"/>
        <w:rPr>
          <w:rFonts w:hint="eastAsia" w:ascii="Times New Roman" w:hAnsi="Times New Roman" w:eastAsia="宋体" w:cs="Times New Roman"/>
          <w:b/>
          <w:bCs/>
        </w:rPr>
      </w:pPr>
      <w:r>
        <w:rPr>
          <w:rFonts w:hint="eastAsia" w:cs="Times New Roman"/>
          <w:b/>
          <w:bCs/>
          <w:lang w:val="en-US" w:eastAsia="zh-CN"/>
        </w:rPr>
        <w:t>2、设计</w:t>
      </w:r>
      <w:r>
        <w:rPr>
          <w:rFonts w:hint="eastAsia" w:ascii="Times New Roman" w:hAnsi="Times New Roman" w:eastAsia="宋体" w:cs="Times New Roman"/>
          <w:b/>
          <w:bCs/>
        </w:rPr>
        <w:t>服务</w:t>
      </w:r>
    </w:p>
    <w:p w14:paraId="4DAF78C9">
      <w:pPr>
        <w:keepNext w:val="0"/>
        <w:keepLines w:val="0"/>
        <w:pageBreakBefore w:val="0"/>
        <w:widowControl w:val="0"/>
        <w:numPr>
          <w:ilvl w:val="0"/>
          <w:numId w:val="0"/>
        </w:numPr>
        <w:kinsoku/>
        <w:wordWrap/>
        <w:overflowPunct/>
        <w:topLinePunct w:val="0"/>
        <w:autoSpaceDE w:val="0"/>
        <w:autoSpaceDN w:val="0"/>
        <w:bidi w:val="0"/>
        <w:adjustRightInd w:val="0"/>
        <w:snapToGrid w:val="0"/>
        <w:ind w:firstLine="420" w:firstLineChars="200"/>
        <w:textAlignment w:val="auto"/>
        <w:rPr>
          <w:rFonts w:hint="eastAsia"/>
          <w:lang w:val="en-US" w:eastAsia="zh-CN"/>
        </w:rPr>
      </w:pPr>
      <w:r>
        <w:rPr>
          <w:rFonts w:hint="eastAsia"/>
          <w:lang w:val="en-US" w:eastAsia="zh-CN"/>
        </w:rPr>
        <w:t>设计服务，根据本项目需求，自行提出建设方案，对</w:t>
      </w:r>
      <w:r>
        <w:rPr>
          <w:rFonts w:hint="eastAsia"/>
        </w:rPr>
        <w:t>智算集群</w:t>
      </w:r>
      <w:r>
        <w:rPr>
          <w:rFonts w:hint="eastAsia"/>
          <w:lang w:val="en-US" w:eastAsia="zh-CN"/>
        </w:rPr>
        <w:t>进行施工图设计，提供设计说明、集群总体网络拓扑图、设备平面布置图、设备上架面板图、连线对端表、设备IP地址规划、线缆材料统计表等全套设计文件，设计文件深度应能够指导现场实施。</w:t>
      </w:r>
    </w:p>
    <w:p w14:paraId="455398A2">
      <w:pPr>
        <w:keepNext w:val="0"/>
        <w:keepLines w:val="0"/>
        <w:pageBreakBefore w:val="0"/>
        <w:widowControl w:val="0"/>
        <w:numPr>
          <w:ilvl w:val="0"/>
          <w:numId w:val="0"/>
        </w:numPr>
        <w:kinsoku/>
        <w:wordWrap/>
        <w:overflowPunct/>
        <w:topLinePunct w:val="0"/>
        <w:autoSpaceDE w:val="0"/>
        <w:autoSpaceDN w:val="0"/>
        <w:bidi w:val="0"/>
        <w:adjustRightInd w:val="0"/>
        <w:snapToGrid w:val="0"/>
        <w:ind w:left="420" w:leftChars="0"/>
        <w:jc w:val="left"/>
        <w:textAlignment w:val="auto"/>
        <w:outlineLvl w:val="4"/>
        <w:rPr>
          <w:rFonts w:hint="eastAsia" w:ascii="Times New Roman" w:hAnsi="Times New Roman" w:eastAsia="宋体" w:cs="Times New Roman"/>
          <w:b/>
          <w:bCs/>
        </w:rPr>
      </w:pPr>
      <w:r>
        <w:rPr>
          <w:rFonts w:hint="eastAsia" w:cs="Times New Roman"/>
          <w:b/>
          <w:bCs/>
          <w:lang w:val="en-US" w:eastAsia="zh-CN"/>
        </w:rPr>
        <w:t>3、集成</w:t>
      </w:r>
      <w:r>
        <w:rPr>
          <w:rFonts w:hint="eastAsia" w:ascii="Times New Roman" w:hAnsi="Times New Roman" w:eastAsia="宋体" w:cs="Times New Roman"/>
          <w:b/>
          <w:bCs/>
        </w:rPr>
        <w:t>服务</w:t>
      </w:r>
    </w:p>
    <w:p w14:paraId="2D0B7289">
      <w:pPr>
        <w:keepNext w:val="0"/>
        <w:keepLines w:val="0"/>
        <w:pageBreakBefore w:val="0"/>
        <w:widowControl w:val="0"/>
        <w:numPr>
          <w:ilvl w:val="0"/>
          <w:numId w:val="0"/>
        </w:numPr>
        <w:kinsoku/>
        <w:wordWrap/>
        <w:overflowPunct/>
        <w:topLinePunct w:val="0"/>
        <w:autoSpaceDE w:val="0"/>
        <w:autoSpaceDN w:val="0"/>
        <w:bidi w:val="0"/>
        <w:adjustRightInd w:val="0"/>
        <w:snapToGrid w:val="0"/>
        <w:ind w:firstLine="420" w:firstLineChars="200"/>
        <w:textAlignment w:val="auto"/>
        <w:rPr>
          <w:rFonts w:hint="eastAsia" w:eastAsia="宋体"/>
          <w:lang w:eastAsia="zh-CN"/>
        </w:rPr>
      </w:pPr>
      <w:r>
        <w:rPr>
          <w:rFonts w:hint="eastAsia"/>
        </w:rPr>
        <w:t>集成服务，包括</w:t>
      </w:r>
      <w:r>
        <w:rPr>
          <w:rFonts w:hint="eastAsia"/>
          <w:lang w:val="en-US" w:eastAsia="zh-CN"/>
        </w:rPr>
        <w:t>对</w:t>
      </w:r>
      <w:r>
        <w:rPr>
          <w:rFonts w:hint="eastAsia"/>
        </w:rPr>
        <w:t>智算集群</w:t>
      </w:r>
      <w:r>
        <w:rPr>
          <w:rFonts w:hint="eastAsia"/>
          <w:lang w:val="en-US" w:eastAsia="zh-CN"/>
        </w:rPr>
        <w:t>的所有</w:t>
      </w:r>
      <w:r>
        <w:rPr>
          <w:rFonts w:hint="eastAsia"/>
        </w:rPr>
        <w:t>设备上架、布线组网、软件的部署、系统调试、</w:t>
      </w:r>
      <w:r>
        <w:rPr>
          <w:rFonts w:hint="eastAsia"/>
          <w:lang w:val="en-US" w:eastAsia="zh-CN"/>
        </w:rPr>
        <w:t>测试验收、</w:t>
      </w:r>
      <w:r>
        <w:rPr>
          <w:rFonts w:hint="eastAsia"/>
        </w:rPr>
        <w:t>技术服务及培训。详细服务内容详见下表《集成服务需求表》</w:t>
      </w:r>
      <w:r>
        <w:rPr>
          <w:rFonts w:hint="eastAsia"/>
          <w:lang w:eastAsia="zh-CN"/>
        </w:rPr>
        <w:t>。</w:t>
      </w:r>
    </w:p>
    <w:p w14:paraId="23433201">
      <w:pPr>
        <w:ind w:firstLine="422"/>
        <w:jc w:val="center"/>
        <w:rPr>
          <w:b/>
          <w:bCs/>
        </w:rPr>
      </w:pPr>
      <w:r>
        <w:rPr>
          <w:rFonts w:hint="eastAsia"/>
          <w:b/>
          <w:bCs/>
        </w:rPr>
        <w:t>集成服务需求表</w:t>
      </w:r>
    </w:p>
    <w:tbl>
      <w:tblPr>
        <w:tblStyle w:val="5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1420"/>
        <w:gridCol w:w="4963"/>
        <w:gridCol w:w="711"/>
        <w:gridCol w:w="757"/>
      </w:tblGrid>
      <w:tr w14:paraId="5289D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blHeader/>
        </w:trPr>
        <w:tc>
          <w:tcPr>
            <w:tcW w:w="394" w:type="pct"/>
            <w:vAlign w:val="center"/>
          </w:tcPr>
          <w:p w14:paraId="42AA55E1">
            <w:pPr>
              <w:spacing w:line="240" w:lineRule="auto"/>
              <w:ind w:firstLine="0" w:firstLineChars="0"/>
              <w:jc w:val="center"/>
              <w:rPr>
                <w:rFonts w:ascii="宋体" w:hAnsi="宋体"/>
                <w:b/>
                <w:bCs/>
                <w:color w:val="000000"/>
                <w:sz w:val="18"/>
                <w:szCs w:val="18"/>
              </w:rPr>
            </w:pPr>
            <w:r>
              <w:rPr>
                <w:rFonts w:ascii="宋体" w:hAnsi="宋体"/>
                <w:b/>
                <w:bCs/>
                <w:color w:val="000000"/>
                <w:sz w:val="18"/>
                <w:szCs w:val="18"/>
              </w:rPr>
              <w:t>序号</w:t>
            </w:r>
          </w:p>
        </w:tc>
        <w:tc>
          <w:tcPr>
            <w:tcW w:w="833" w:type="pct"/>
            <w:vAlign w:val="center"/>
          </w:tcPr>
          <w:p w14:paraId="31F0CD5E">
            <w:pPr>
              <w:spacing w:line="240" w:lineRule="auto"/>
              <w:ind w:firstLine="0" w:firstLineChars="0"/>
              <w:jc w:val="center"/>
              <w:rPr>
                <w:rFonts w:ascii="宋体" w:hAnsi="宋体"/>
                <w:b/>
                <w:bCs/>
                <w:color w:val="000000"/>
                <w:sz w:val="18"/>
                <w:szCs w:val="18"/>
              </w:rPr>
            </w:pPr>
            <w:r>
              <w:rPr>
                <w:rFonts w:hint="eastAsia" w:ascii="宋体" w:hAnsi="宋体"/>
                <w:b/>
                <w:bCs/>
                <w:color w:val="000000"/>
                <w:sz w:val="18"/>
                <w:szCs w:val="18"/>
              </w:rPr>
              <w:t>服务事项</w:t>
            </w:r>
          </w:p>
        </w:tc>
        <w:tc>
          <w:tcPr>
            <w:tcW w:w="2911" w:type="pct"/>
            <w:vAlign w:val="center"/>
          </w:tcPr>
          <w:p w14:paraId="5A9ED2A8">
            <w:pPr>
              <w:spacing w:line="240" w:lineRule="auto"/>
              <w:ind w:firstLine="0" w:firstLineChars="0"/>
              <w:jc w:val="center"/>
              <w:rPr>
                <w:rFonts w:ascii="宋体" w:hAnsi="宋体"/>
                <w:b/>
                <w:bCs/>
                <w:color w:val="000000"/>
                <w:sz w:val="18"/>
                <w:szCs w:val="18"/>
              </w:rPr>
            </w:pPr>
            <w:r>
              <w:rPr>
                <w:rFonts w:hint="eastAsia" w:ascii="宋体" w:hAnsi="宋体"/>
                <w:b/>
                <w:bCs/>
                <w:color w:val="000000"/>
                <w:sz w:val="18"/>
                <w:szCs w:val="18"/>
              </w:rPr>
              <w:t>主要服务内容及要求</w:t>
            </w:r>
          </w:p>
        </w:tc>
        <w:tc>
          <w:tcPr>
            <w:tcW w:w="417" w:type="pct"/>
            <w:vAlign w:val="center"/>
          </w:tcPr>
          <w:p w14:paraId="31BD898F">
            <w:pPr>
              <w:spacing w:line="240" w:lineRule="auto"/>
              <w:ind w:firstLine="0" w:firstLineChars="0"/>
              <w:jc w:val="center"/>
              <w:rPr>
                <w:rFonts w:ascii="宋体" w:hAnsi="宋体"/>
                <w:b/>
                <w:bCs/>
                <w:color w:val="000000"/>
                <w:sz w:val="18"/>
                <w:szCs w:val="18"/>
              </w:rPr>
            </w:pPr>
            <w:r>
              <w:rPr>
                <w:rFonts w:hint="eastAsia" w:ascii="宋体" w:hAnsi="宋体"/>
                <w:b/>
                <w:bCs/>
                <w:color w:val="000000"/>
                <w:sz w:val="18"/>
                <w:szCs w:val="18"/>
              </w:rPr>
              <w:t>数量</w:t>
            </w:r>
          </w:p>
        </w:tc>
        <w:tc>
          <w:tcPr>
            <w:tcW w:w="444" w:type="pct"/>
            <w:vAlign w:val="center"/>
          </w:tcPr>
          <w:p w14:paraId="59D19498">
            <w:pPr>
              <w:spacing w:line="240" w:lineRule="auto"/>
              <w:ind w:firstLine="0" w:firstLineChars="0"/>
              <w:jc w:val="center"/>
              <w:rPr>
                <w:rFonts w:ascii="宋体" w:hAnsi="宋体"/>
                <w:b/>
                <w:bCs/>
                <w:color w:val="000000"/>
                <w:sz w:val="18"/>
                <w:szCs w:val="18"/>
              </w:rPr>
            </w:pPr>
            <w:r>
              <w:rPr>
                <w:rFonts w:hint="eastAsia" w:ascii="宋体" w:hAnsi="宋体"/>
                <w:b/>
                <w:bCs/>
                <w:color w:val="000000"/>
                <w:sz w:val="18"/>
                <w:szCs w:val="18"/>
              </w:rPr>
              <w:t>单位</w:t>
            </w:r>
          </w:p>
        </w:tc>
      </w:tr>
      <w:tr w14:paraId="2FA90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94" w:type="pct"/>
            <w:vAlign w:val="center"/>
          </w:tcPr>
          <w:p w14:paraId="28E56723">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1</w:t>
            </w:r>
          </w:p>
        </w:tc>
        <w:tc>
          <w:tcPr>
            <w:tcW w:w="833" w:type="pct"/>
            <w:vAlign w:val="center"/>
          </w:tcPr>
          <w:p w14:paraId="760B9BD8">
            <w:pPr>
              <w:spacing w:line="240" w:lineRule="auto"/>
              <w:ind w:firstLine="0" w:firstLineChars="0"/>
              <w:jc w:val="left"/>
              <w:rPr>
                <w:rFonts w:ascii="宋体" w:hAnsi="宋体"/>
                <w:color w:val="000000"/>
                <w:sz w:val="18"/>
                <w:szCs w:val="18"/>
              </w:rPr>
            </w:pPr>
            <w:r>
              <w:rPr>
                <w:rFonts w:hint="eastAsia" w:ascii="宋体" w:hAnsi="宋体"/>
                <w:color w:val="000000"/>
                <w:sz w:val="18"/>
                <w:szCs w:val="18"/>
              </w:rPr>
              <w:t>综合布线服务</w:t>
            </w:r>
          </w:p>
        </w:tc>
        <w:tc>
          <w:tcPr>
            <w:tcW w:w="2911" w:type="pct"/>
            <w:vAlign w:val="center"/>
          </w:tcPr>
          <w:p w14:paraId="446F37FB">
            <w:pPr>
              <w:numPr>
                <w:ilvl w:val="0"/>
                <w:numId w:val="6"/>
              </w:numPr>
              <w:spacing w:line="240" w:lineRule="auto"/>
              <w:ind w:firstLineChars="0"/>
              <w:rPr>
                <w:rFonts w:ascii="宋体" w:hAnsi="宋体" w:cs="宋体"/>
                <w:sz w:val="18"/>
                <w:szCs w:val="18"/>
              </w:rPr>
            </w:pPr>
            <w:r>
              <w:rPr>
                <w:rFonts w:hint="eastAsia" w:ascii="宋体" w:hAnsi="宋体" w:cs="宋体"/>
                <w:sz w:val="18"/>
                <w:szCs w:val="18"/>
              </w:rPr>
              <w:t>网线布放</w:t>
            </w:r>
          </w:p>
          <w:p w14:paraId="1BC0B2B1">
            <w:pPr>
              <w:numPr>
                <w:ilvl w:val="0"/>
                <w:numId w:val="6"/>
              </w:numPr>
              <w:spacing w:line="240" w:lineRule="auto"/>
              <w:ind w:firstLineChars="0"/>
              <w:rPr>
                <w:rFonts w:ascii="宋体" w:hAnsi="宋体" w:cs="宋体"/>
                <w:sz w:val="18"/>
                <w:szCs w:val="18"/>
              </w:rPr>
            </w:pPr>
            <w:r>
              <w:rPr>
                <w:rFonts w:hint="eastAsia" w:ascii="宋体" w:hAnsi="宋体" w:cs="宋体"/>
                <w:sz w:val="18"/>
                <w:szCs w:val="18"/>
              </w:rPr>
              <w:t>光纤布放</w:t>
            </w:r>
          </w:p>
          <w:p w14:paraId="6622CE55">
            <w:pPr>
              <w:numPr>
                <w:ilvl w:val="0"/>
                <w:numId w:val="6"/>
              </w:numPr>
              <w:spacing w:line="240" w:lineRule="auto"/>
              <w:ind w:firstLineChars="0"/>
              <w:rPr>
                <w:rFonts w:ascii="宋体" w:hAnsi="宋体" w:cs="宋体"/>
                <w:sz w:val="18"/>
                <w:szCs w:val="18"/>
              </w:rPr>
            </w:pPr>
            <w:r>
              <w:rPr>
                <w:rFonts w:hint="eastAsia" w:ascii="宋体" w:hAnsi="宋体" w:cs="宋体"/>
                <w:sz w:val="18"/>
                <w:szCs w:val="18"/>
              </w:rPr>
              <w:t>RDMA专用线缆布放</w:t>
            </w:r>
          </w:p>
          <w:p w14:paraId="3FFDFDAA">
            <w:pPr>
              <w:numPr>
                <w:ilvl w:val="0"/>
                <w:numId w:val="6"/>
              </w:numPr>
              <w:spacing w:line="240" w:lineRule="auto"/>
              <w:ind w:firstLineChars="0"/>
              <w:rPr>
                <w:rFonts w:ascii="宋体" w:hAnsi="宋体" w:cs="宋体"/>
                <w:sz w:val="18"/>
                <w:szCs w:val="18"/>
              </w:rPr>
            </w:pPr>
            <w:r>
              <w:rPr>
                <w:rFonts w:hint="eastAsia" w:ascii="宋体" w:hAnsi="宋体" w:cs="宋体"/>
                <w:sz w:val="18"/>
                <w:szCs w:val="18"/>
              </w:rPr>
              <w:t>设备标签</w:t>
            </w:r>
          </w:p>
          <w:p w14:paraId="52405740">
            <w:pPr>
              <w:numPr>
                <w:ilvl w:val="0"/>
                <w:numId w:val="6"/>
              </w:numPr>
              <w:spacing w:line="240" w:lineRule="auto"/>
              <w:ind w:firstLineChars="0"/>
              <w:rPr>
                <w:rFonts w:ascii="宋体" w:hAnsi="宋体" w:cs="宋体"/>
                <w:sz w:val="18"/>
                <w:szCs w:val="18"/>
              </w:rPr>
            </w:pPr>
            <w:r>
              <w:rPr>
                <w:rFonts w:hint="eastAsia" w:ascii="宋体" w:hAnsi="宋体" w:cs="宋体"/>
                <w:sz w:val="18"/>
                <w:szCs w:val="18"/>
              </w:rPr>
              <w:t>线缆标识</w:t>
            </w:r>
          </w:p>
        </w:tc>
        <w:tc>
          <w:tcPr>
            <w:tcW w:w="417" w:type="pct"/>
            <w:vAlign w:val="center"/>
          </w:tcPr>
          <w:p w14:paraId="7DF8FC16">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1</w:t>
            </w:r>
          </w:p>
        </w:tc>
        <w:tc>
          <w:tcPr>
            <w:tcW w:w="444" w:type="pct"/>
            <w:vAlign w:val="center"/>
          </w:tcPr>
          <w:p w14:paraId="1CAAB8C2">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项</w:t>
            </w:r>
          </w:p>
        </w:tc>
      </w:tr>
      <w:tr w14:paraId="12F34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94" w:type="pct"/>
            <w:vAlign w:val="center"/>
          </w:tcPr>
          <w:p w14:paraId="29CF623F">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2</w:t>
            </w:r>
          </w:p>
        </w:tc>
        <w:tc>
          <w:tcPr>
            <w:tcW w:w="833" w:type="pct"/>
            <w:vAlign w:val="center"/>
          </w:tcPr>
          <w:p w14:paraId="533BEC0E">
            <w:pPr>
              <w:spacing w:line="240" w:lineRule="auto"/>
              <w:ind w:firstLine="0" w:firstLineChars="0"/>
              <w:jc w:val="left"/>
              <w:rPr>
                <w:rFonts w:ascii="宋体" w:hAnsi="宋体"/>
                <w:color w:val="000000"/>
                <w:sz w:val="18"/>
                <w:szCs w:val="18"/>
              </w:rPr>
            </w:pPr>
            <w:r>
              <w:rPr>
                <w:rFonts w:hint="eastAsia" w:ascii="宋体" w:hAnsi="宋体"/>
                <w:color w:val="000000"/>
                <w:sz w:val="18"/>
                <w:szCs w:val="18"/>
              </w:rPr>
              <w:t>服务器上架安装及配置</w:t>
            </w:r>
          </w:p>
        </w:tc>
        <w:tc>
          <w:tcPr>
            <w:tcW w:w="2911" w:type="pct"/>
            <w:vAlign w:val="center"/>
          </w:tcPr>
          <w:p w14:paraId="59AFD870">
            <w:pPr>
              <w:numPr>
                <w:ilvl w:val="0"/>
                <w:numId w:val="7"/>
              </w:numPr>
              <w:spacing w:line="240" w:lineRule="auto"/>
              <w:ind w:firstLineChars="0"/>
              <w:rPr>
                <w:rFonts w:ascii="宋体" w:hAnsi="宋体" w:cs="宋体"/>
                <w:sz w:val="18"/>
                <w:szCs w:val="18"/>
              </w:rPr>
            </w:pPr>
            <w:r>
              <w:rPr>
                <w:rFonts w:hint="eastAsia" w:ascii="宋体" w:hAnsi="宋体" w:cs="宋体"/>
                <w:sz w:val="18"/>
                <w:szCs w:val="18"/>
              </w:rPr>
              <w:t>服务器BMC配置核验</w:t>
            </w:r>
          </w:p>
          <w:p w14:paraId="6C988E26">
            <w:pPr>
              <w:numPr>
                <w:ilvl w:val="0"/>
                <w:numId w:val="7"/>
              </w:numPr>
              <w:spacing w:line="240" w:lineRule="auto"/>
              <w:ind w:firstLineChars="0"/>
              <w:rPr>
                <w:rFonts w:ascii="宋体" w:hAnsi="宋体" w:cs="宋体"/>
                <w:sz w:val="18"/>
                <w:szCs w:val="18"/>
              </w:rPr>
            </w:pPr>
            <w:r>
              <w:rPr>
                <w:rFonts w:hint="eastAsia" w:ascii="宋体" w:hAnsi="宋体" w:cs="宋体"/>
                <w:sz w:val="18"/>
                <w:szCs w:val="18"/>
              </w:rPr>
              <w:t>RAID配置检查</w:t>
            </w:r>
          </w:p>
          <w:p w14:paraId="22E0FD5D">
            <w:pPr>
              <w:numPr>
                <w:ilvl w:val="0"/>
                <w:numId w:val="7"/>
              </w:numPr>
              <w:spacing w:line="240" w:lineRule="auto"/>
              <w:ind w:firstLineChars="0"/>
              <w:rPr>
                <w:rFonts w:ascii="宋体" w:hAnsi="宋体" w:cs="宋体"/>
                <w:sz w:val="18"/>
                <w:szCs w:val="18"/>
              </w:rPr>
            </w:pPr>
            <w:r>
              <w:rPr>
                <w:rFonts w:hint="eastAsia" w:ascii="宋体" w:hAnsi="宋体" w:cs="宋体"/>
                <w:sz w:val="18"/>
                <w:szCs w:val="18"/>
              </w:rPr>
              <w:t>BIOS配置检查</w:t>
            </w:r>
          </w:p>
          <w:p w14:paraId="055338D9">
            <w:pPr>
              <w:numPr>
                <w:ilvl w:val="0"/>
                <w:numId w:val="7"/>
              </w:numPr>
              <w:spacing w:line="240" w:lineRule="auto"/>
              <w:ind w:firstLineChars="0"/>
              <w:rPr>
                <w:rFonts w:ascii="宋体" w:hAnsi="宋体" w:cs="宋体"/>
                <w:sz w:val="18"/>
                <w:szCs w:val="18"/>
              </w:rPr>
            </w:pPr>
            <w:r>
              <w:rPr>
                <w:rFonts w:hint="eastAsia" w:ascii="宋体" w:hAnsi="宋体" w:cs="宋体"/>
                <w:sz w:val="18"/>
                <w:szCs w:val="18"/>
              </w:rPr>
              <w:t>主机资源信息核验</w:t>
            </w:r>
          </w:p>
        </w:tc>
        <w:tc>
          <w:tcPr>
            <w:tcW w:w="417" w:type="pct"/>
            <w:vAlign w:val="center"/>
          </w:tcPr>
          <w:p w14:paraId="556DF587">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1</w:t>
            </w:r>
          </w:p>
        </w:tc>
        <w:tc>
          <w:tcPr>
            <w:tcW w:w="444" w:type="pct"/>
            <w:vAlign w:val="center"/>
          </w:tcPr>
          <w:p w14:paraId="29B32E4B">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项</w:t>
            </w:r>
          </w:p>
        </w:tc>
      </w:tr>
      <w:tr w14:paraId="34B7F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94" w:type="pct"/>
            <w:vAlign w:val="center"/>
          </w:tcPr>
          <w:p w14:paraId="5C6CA3A0">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3</w:t>
            </w:r>
          </w:p>
        </w:tc>
        <w:tc>
          <w:tcPr>
            <w:tcW w:w="833" w:type="pct"/>
            <w:vAlign w:val="center"/>
          </w:tcPr>
          <w:p w14:paraId="58B28B91">
            <w:pPr>
              <w:spacing w:line="240" w:lineRule="auto"/>
              <w:ind w:firstLine="0" w:firstLineChars="0"/>
              <w:jc w:val="left"/>
              <w:rPr>
                <w:rFonts w:ascii="宋体" w:hAnsi="宋体"/>
                <w:color w:val="000000"/>
                <w:sz w:val="18"/>
                <w:szCs w:val="18"/>
              </w:rPr>
            </w:pPr>
            <w:r>
              <w:rPr>
                <w:rFonts w:hint="eastAsia" w:ascii="宋体" w:hAnsi="宋体"/>
                <w:color w:val="000000"/>
                <w:sz w:val="18"/>
                <w:szCs w:val="18"/>
              </w:rPr>
              <w:t>管理网络设备安装及集成</w:t>
            </w:r>
          </w:p>
        </w:tc>
        <w:tc>
          <w:tcPr>
            <w:tcW w:w="2911" w:type="pct"/>
            <w:vAlign w:val="center"/>
          </w:tcPr>
          <w:p w14:paraId="41152B0D">
            <w:pPr>
              <w:numPr>
                <w:ilvl w:val="0"/>
                <w:numId w:val="8"/>
              </w:numPr>
              <w:spacing w:line="240" w:lineRule="auto"/>
              <w:ind w:firstLineChars="0"/>
              <w:rPr>
                <w:rFonts w:ascii="宋体" w:hAnsi="宋体" w:cs="宋体"/>
                <w:sz w:val="18"/>
                <w:szCs w:val="18"/>
              </w:rPr>
            </w:pPr>
            <w:r>
              <w:rPr>
                <w:rFonts w:hint="eastAsia" w:ascii="宋体" w:hAnsi="宋体" w:cs="宋体"/>
                <w:sz w:val="18"/>
                <w:szCs w:val="18"/>
              </w:rPr>
              <w:t>网络配置及调试</w:t>
            </w:r>
          </w:p>
          <w:p w14:paraId="5E8012EE">
            <w:pPr>
              <w:numPr>
                <w:ilvl w:val="0"/>
                <w:numId w:val="8"/>
              </w:numPr>
              <w:spacing w:line="240" w:lineRule="auto"/>
              <w:ind w:firstLineChars="0"/>
              <w:rPr>
                <w:rFonts w:ascii="宋体" w:hAnsi="宋体" w:cs="宋体"/>
                <w:sz w:val="18"/>
                <w:szCs w:val="18"/>
              </w:rPr>
            </w:pPr>
            <w:r>
              <w:rPr>
                <w:rFonts w:hint="eastAsia" w:ascii="宋体" w:hAnsi="宋体" w:cs="宋体"/>
                <w:sz w:val="18"/>
                <w:szCs w:val="18"/>
              </w:rPr>
              <w:t>网络连通性测试</w:t>
            </w:r>
          </w:p>
          <w:p w14:paraId="67A35E9E">
            <w:pPr>
              <w:numPr>
                <w:ilvl w:val="0"/>
                <w:numId w:val="8"/>
              </w:numPr>
              <w:spacing w:line="240" w:lineRule="auto"/>
              <w:ind w:firstLineChars="0"/>
              <w:rPr>
                <w:rFonts w:ascii="宋体" w:hAnsi="宋体" w:cs="宋体"/>
                <w:sz w:val="18"/>
                <w:szCs w:val="18"/>
              </w:rPr>
            </w:pPr>
            <w:r>
              <w:rPr>
                <w:rFonts w:hint="eastAsia" w:ascii="宋体" w:hAnsi="宋体" w:cs="宋体"/>
                <w:sz w:val="18"/>
                <w:szCs w:val="18"/>
              </w:rPr>
              <w:t>网络出口测试</w:t>
            </w:r>
          </w:p>
        </w:tc>
        <w:tc>
          <w:tcPr>
            <w:tcW w:w="417" w:type="pct"/>
            <w:vAlign w:val="center"/>
          </w:tcPr>
          <w:p w14:paraId="6A5AA814">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1</w:t>
            </w:r>
          </w:p>
        </w:tc>
        <w:tc>
          <w:tcPr>
            <w:tcW w:w="444" w:type="pct"/>
            <w:vAlign w:val="center"/>
          </w:tcPr>
          <w:p w14:paraId="10E56B10">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项</w:t>
            </w:r>
          </w:p>
        </w:tc>
      </w:tr>
      <w:tr w14:paraId="220F8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94" w:type="pct"/>
            <w:vAlign w:val="center"/>
          </w:tcPr>
          <w:p w14:paraId="087591BF">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4</w:t>
            </w:r>
          </w:p>
        </w:tc>
        <w:tc>
          <w:tcPr>
            <w:tcW w:w="833" w:type="pct"/>
            <w:vAlign w:val="center"/>
          </w:tcPr>
          <w:p w14:paraId="61F071D8">
            <w:pPr>
              <w:spacing w:line="240" w:lineRule="auto"/>
              <w:ind w:firstLine="0" w:firstLineChars="0"/>
              <w:jc w:val="left"/>
              <w:rPr>
                <w:rFonts w:ascii="宋体" w:hAnsi="宋体"/>
                <w:color w:val="000000"/>
                <w:sz w:val="18"/>
                <w:szCs w:val="18"/>
              </w:rPr>
            </w:pPr>
            <w:r>
              <w:rPr>
                <w:rFonts w:hint="eastAsia" w:ascii="宋体" w:hAnsi="宋体"/>
                <w:color w:val="000000"/>
                <w:sz w:val="18"/>
                <w:szCs w:val="18"/>
              </w:rPr>
              <w:t>RDMA网络设备安装及集成</w:t>
            </w:r>
          </w:p>
        </w:tc>
        <w:tc>
          <w:tcPr>
            <w:tcW w:w="2911" w:type="pct"/>
            <w:vAlign w:val="center"/>
          </w:tcPr>
          <w:p w14:paraId="60B673EC">
            <w:pPr>
              <w:numPr>
                <w:ilvl w:val="0"/>
                <w:numId w:val="9"/>
              </w:numPr>
              <w:spacing w:line="240" w:lineRule="auto"/>
              <w:ind w:firstLineChars="0"/>
              <w:rPr>
                <w:rFonts w:ascii="宋体" w:hAnsi="宋体" w:cs="宋体"/>
                <w:sz w:val="18"/>
                <w:szCs w:val="18"/>
              </w:rPr>
            </w:pPr>
            <w:r>
              <w:rPr>
                <w:rFonts w:hint="eastAsia" w:ascii="宋体" w:hAnsi="宋体" w:cs="宋体"/>
                <w:sz w:val="18"/>
                <w:szCs w:val="18"/>
              </w:rPr>
              <w:t>基础网络环境校验</w:t>
            </w:r>
          </w:p>
          <w:p w14:paraId="4C4E5220">
            <w:pPr>
              <w:numPr>
                <w:ilvl w:val="0"/>
                <w:numId w:val="9"/>
              </w:numPr>
              <w:spacing w:line="240" w:lineRule="auto"/>
              <w:ind w:firstLineChars="0"/>
              <w:rPr>
                <w:rFonts w:ascii="宋体" w:hAnsi="宋体" w:cs="宋体"/>
                <w:sz w:val="18"/>
                <w:szCs w:val="18"/>
              </w:rPr>
            </w:pPr>
            <w:r>
              <w:rPr>
                <w:rFonts w:hint="eastAsia" w:ascii="宋体" w:hAnsi="宋体" w:cs="宋体"/>
                <w:sz w:val="18"/>
                <w:szCs w:val="18"/>
              </w:rPr>
              <w:t>RDMA网络测试</w:t>
            </w:r>
          </w:p>
        </w:tc>
        <w:tc>
          <w:tcPr>
            <w:tcW w:w="417" w:type="pct"/>
            <w:vAlign w:val="center"/>
          </w:tcPr>
          <w:p w14:paraId="7E11CB80">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1</w:t>
            </w:r>
          </w:p>
        </w:tc>
        <w:tc>
          <w:tcPr>
            <w:tcW w:w="444" w:type="pct"/>
            <w:vAlign w:val="center"/>
          </w:tcPr>
          <w:p w14:paraId="6691CCA8">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项</w:t>
            </w:r>
          </w:p>
        </w:tc>
      </w:tr>
      <w:tr w14:paraId="523F1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94" w:type="pct"/>
            <w:vAlign w:val="center"/>
          </w:tcPr>
          <w:p w14:paraId="0FB471EA">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5</w:t>
            </w:r>
          </w:p>
        </w:tc>
        <w:tc>
          <w:tcPr>
            <w:tcW w:w="833" w:type="pct"/>
            <w:vAlign w:val="center"/>
          </w:tcPr>
          <w:p w14:paraId="17C6BB58">
            <w:pPr>
              <w:spacing w:line="240" w:lineRule="auto"/>
              <w:ind w:firstLine="0" w:firstLineChars="0"/>
              <w:jc w:val="left"/>
              <w:rPr>
                <w:rFonts w:ascii="宋体" w:hAnsi="宋体"/>
                <w:color w:val="000000"/>
                <w:sz w:val="18"/>
                <w:szCs w:val="18"/>
              </w:rPr>
            </w:pPr>
            <w:r>
              <w:rPr>
                <w:rFonts w:hint="eastAsia" w:ascii="宋体" w:hAnsi="宋体"/>
                <w:color w:val="000000"/>
                <w:sz w:val="18"/>
                <w:szCs w:val="18"/>
                <w:lang w:val="en-US" w:eastAsia="zh-CN"/>
              </w:rPr>
              <w:t>AI</w:t>
            </w:r>
            <w:r>
              <w:rPr>
                <w:rFonts w:hint="eastAsia" w:ascii="宋体" w:hAnsi="宋体"/>
                <w:color w:val="000000"/>
                <w:sz w:val="18"/>
                <w:szCs w:val="18"/>
              </w:rPr>
              <w:t>服务器初始化配置及测试</w:t>
            </w:r>
          </w:p>
        </w:tc>
        <w:tc>
          <w:tcPr>
            <w:tcW w:w="2911" w:type="pct"/>
            <w:vAlign w:val="center"/>
          </w:tcPr>
          <w:p w14:paraId="2B083398">
            <w:pPr>
              <w:numPr>
                <w:ilvl w:val="0"/>
                <w:numId w:val="10"/>
              </w:numPr>
              <w:spacing w:line="240" w:lineRule="auto"/>
              <w:ind w:firstLineChars="0"/>
              <w:rPr>
                <w:rFonts w:ascii="宋体" w:hAnsi="宋体" w:cs="宋体"/>
                <w:sz w:val="18"/>
                <w:szCs w:val="18"/>
              </w:rPr>
            </w:pPr>
            <w:r>
              <w:rPr>
                <w:rFonts w:hint="eastAsia" w:ascii="宋体" w:hAnsi="宋体" w:cs="宋体"/>
                <w:sz w:val="18"/>
                <w:szCs w:val="18"/>
              </w:rPr>
              <w:t>PE盘压力测试</w:t>
            </w:r>
          </w:p>
          <w:p w14:paraId="2D8E3FB6">
            <w:pPr>
              <w:numPr>
                <w:ilvl w:val="0"/>
                <w:numId w:val="10"/>
              </w:numPr>
              <w:spacing w:line="240" w:lineRule="auto"/>
              <w:ind w:firstLineChars="0"/>
              <w:rPr>
                <w:rFonts w:ascii="宋体" w:hAnsi="宋体" w:cs="宋体"/>
                <w:sz w:val="18"/>
                <w:szCs w:val="18"/>
              </w:rPr>
            </w:pPr>
            <w:r>
              <w:rPr>
                <w:rFonts w:hint="eastAsia" w:ascii="宋体" w:hAnsi="宋体" w:cs="宋体"/>
                <w:sz w:val="18"/>
                <w:szCs w:val="18"/>
              </w:rPr>
              <w:t>NCCL性能测试</w:t>
            </w:r>
          </w:p>
          <w:p w14:paraId="403893C4">
            <w:pPr>
              <w:numPr>
                <w:ilvl w:val="0"/>
                <w:numId w:val="10"/>
              </w:numPr>
              <w:spacing w:line="240" w:lineRule="auto"/>
              <w:ind w:firstLineChars="0"/>
              <w:rPr>
                <w:rFonts w:ascii="宋体" w:hAnsi="宋体" w:cs="宋体"/>
                <w:sz w:val="18"/>
                <w:szCs w:val="18"/>
              </w:rPr>
            </w:pPr>
            <w:r>
              <w:rPr>
                <w:rFonts w:hint="eastAsia" w:ascii="宋体" w:hAnsi="宋体" w:cs="宋体"/>
                <w:sz w:val="18"/>
                <w:szCs w:val="18"/>
              </w:rPr>
              <w:t>集群多机多卡All Reduce测试</w:t>
            </w:r>
          </w:p>
        </w:tc>
        <w:tc>
          <w:tcPr>
            <w:tcW w:w="417" w:type="pct"/>
            <w:vAlign w:val="center"/>
          </w:tcPr>
          <w:p w14:paraId="42884BCF">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1</w:t>
            </w:r>
          </w:p>
        </w:tc>
        <w:tc>
          <w:tcPr>
            <w:tcW w:w="444" w:type="pct"/>
            <w:vAlign w:val="center"/>
          </w:tcPr>
          <w:p w14:paraId="548B38CA">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项</w:t>
            </w:r>
          </w:p>
        </w:tc>
      </w:tr>
      <w:tr w14:paraId="645F0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94" w:type="pct"/>
            <w:vAlign w:val="center"/>
          </w:tcPr>
          <w:p w14:paraId="348F817D">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6</w:t>
            </w:r>
          </w:p>
        </w:tc>
        <w:tc>
          <w:tcPr>
            <w:tcW w:w="833" w:type="pct"/>
            <w:vAlign w:val="center"/>
          </w:tcPr>
          <w:p w14:paraId="4BE15047">
            <w:pPr>
              <w:spacing w:line="240" w:lineRule="auto"/>
              <w:ind w:firstLine="0" w:firstLineChars="0"/>
              <w:jc w:val="left"/>
              <w:rPr>
                <w:rFonts w:ascii="宋体" w:hAnsi="宋体"/>
                <w:color w:val="000000"/>
                <w:sz w:val="18"/>
                <w:szCs w:val="18"/>
              </w:rPr>
            </w:pPr>
            <w:r>
              <w:rPr>
                <w:rFonts w:hint="eastAsia" w:ascii="宋体" w:hAnsi="宋体"/>
                <w:color w:val="000000"/>
                <w:sz w:val="18"/>
                <w:szCs w:val="18"/>
              </w:rPr>
              <w:t>软件平台安装调试</w:t>
            </w:r>
          </w:p>
        </w:tc>
        <w:tc>
          <w:tcPr>
            <w:tcW w:w="2911" w:type="pct"/>
            <w:vAlign w:val="center"/>
          </w:tcPr>
          <w:p w14:paraId="0DC67A61">
            <w:pPr>
              <w:numPr>
                <w:ilvl w:val="0"/>
                <w:numId w:val="11"/>
              </w:numPr>
              <w:spacing w:line="240" w:lineRule="auto"/>
              <w:ind w:firstLineChars="0"/>
              <w:rPr>
                <w:rFonts w:ascii="宋体" w:hAnsi="宋体" w:cs="宋体"/>
                <w:sz w:val="18"/>
                <w:szCs w:val="18"/>
              </w:rPr>
            </w:pPr>
            <w:r>
              <w:rPr>
                <w:rFonts w:hint="eastAsia" w:ascii="宋体" w:hAnsi="宋体" w:cs="宋体"/>
                <w:sz w:val="18"/>
                <w:szCs w:val="18"/>
              </w:rPr>
              <w:t>安装平台软件，并按照需求进行配置，包括设置管理员账户、访问权限、系统设置等；</w:t>
            </w:r>
          </w:p>
          <w:p w14:paraId="55793FBB">
            <w:pPr>
              <w:numPr>
                <w:ilvl w:val="0"/>
                <w:numId w:val="11"/>
              </w:numPr>
              <w:spacing w:line="240" w:lineRule="auto"/>
              <w:ind w:firstLineChars="0"/>
              <w:rPr>
                <w:rFonts w:ascii="宋体" w:hAnsi="宋体" w:cs="宋体"/>
                <w:sz w:val="18"/>
                <w:szCs w:val="18"/>
              </w:rPr>
            </w:pPr>
            <w:r>
              <w:rPr>
                <w:rFonts w:hint="eastAsia" w:ascii="宋体" w:hAnsi="宋体" w:cs="宋体"/>
                <w:sz w:val="18"/>
                <w:szCs w:val="18"/>
              </w:rPr>
              <w:t>将平台连接到被管的服务器、存储以及网络设备，并设置相应的访问权限；</w:t>
            </w:r>
          </w:p>
          <w:p w14:paraId="69E3B20D">
            <w:pPr>
              <w:numPr>
                <w:ilvl w:val="0"/>
                <w:numId w:val="11"/>
              </w:numPr>
              <w:spacing w:line="240" w:lineRule="auto"/>
              <w:ind w:firstLineChars="0"/>
              <w:rPr>
                <w:rFonts w:ascii="宋体" w:hAnsi="宋体" w:cs="宋体"/>
                <w:sz w:val="18"/>
                <w:szCs w:val="18"/>
              </w:rPr>
            </w:pPr>
            <w:r>
              <w:rPr>
                <w:rFonts w:hint="eastAsia" w:ascii="宋体" w:hAnsi="宋体" w:cs="宋体"/>
                <w:sz w:val="18"/>
                <w:szCs w:val="18"/>
              </w:rPr>
              <w:t>对各平台做业务初始化配置；</w:t>
            </w:r>
          </w:p>
          <w:p w14:paraId="707D6B84">
            <w:pPr>
              <w:numPr>
                <w:ilvl w:val="0"/>
                <w:numId w:val="11"/>
              </w:numPr>
              <w:spacing w:line="240" w:lineRule="auto"/>
              <w:ind w:firstLineChars="0"/>
              <w:rPr>
                <w:rFonts w:ascii="宋体" w:hAnsi="宋体" w:cs="宋体"/>
                <w:sz w:val="18"/>
                <w:szCs w:val="18"/>
              </w:rPr>
            </w:pPr>
            <w:r>
              <w:rPr>
                <w:rFonts w:hint="eastAsia" w:ascii="宋体" w:hAnsi="宋体" w:cs="宋体"/>
                <w:sz w:val="18"/>
                <w:szCs w:val="18"/>
              </w:rPr>
              <w:t>进行各项操作测试验证，保证软件平台运行正常；</w:t>
            </w:r>
          </w:p>
        </w:tc>
        <w:tc>
          <w:tcPr>
            <w:tcW w:w="417" w:type="pct"/>
            <w:vAlign w:val="center"/>
          </w:tcPr>
          <w:p w14:paraId="02F6C616">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1</w:t>
            </w:r>
          </w:p>
        </w:tc>
        <w:tc>
          <w:tcPr>
            <w:tcW w:w="444" w:type="pct"/>
            <w:vAlign w:val="center"/>
          </w:tcPr>
          <w:p w14:paraId="64DC4760">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项</w:t>
            </w:r>
          </w:p>
        </w:tc>
      </w:tr>
      <w:tr w14:paraId="12A0F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94" w:type="pct"/>
            <w:vAlign w:val="center"/>
          </w:tcPr>
          <w:p w14:paraId="6C69E274">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7</w:t>
            </w:r>
          </w:p>
        </w:tc>
        <w:tc>
          <w:tcPr>
            <w:tcW w:w="833" w:type="pct"/>
            <w:vAlign w:val="center"/>
          </w:tcPr>
          <w:p w14:paraId="77A19BA4">
            <w:pPr>
              <w:spacing w:line="240" w:lineRule="auto"/>
              <w:ind w:firstLine="0" w:firstLineChars="0"/>
              <w:jc w:val="left"/>
              <w:rPr>
                <w:rFonts w:ascii="宋体" w:hAnsi="宋体"/>
                <w:color w:val="000000"/>
                <w:sz w:val="18"/>
                <w:szCs w:val="18"/>
              </w:rPr>
            </w:pPr>
            <w:r>
              <w:rPr>
                <w:rFonts w:hint="eastAsia" w:ascii="宋体" w:hAnsi="宋体"/>
                <w:color w:val="000000"/>
                <w:sz w:val="18"/>
                <w:szCs w:val="18"/>
              </w:rPr>
              <w:t>系统综合测试</w:t>
            </w:r>
          </w:p>
        </w:tc>
        <w:tc>
          <w:tcPr>
            <w:tcW w:w="2911" w:type="pct"/>
            <w:vAlign w:val="center"/>
          </w:tcPr>
          <w:p w14:paraId="6D86EE74">
            <w:pPr>
              <w:numPr>
                <w:ilvl w:val="0"/>
                <w:numId w:val="12"/>
              </w:numPr>
              <w:spacing w:line="240" w:lineRule="auto"/>
              <w:ind w:firstLineChars="0"/>
              <w:rPr>
                <w:rFonts w:ascii="宋体" w:hAnsi="宋体" w:cs="宋体"/>
                <w:sz w:val="18"/>
                <w:szCs w:val="18"/>
              </w:rPr>
            </w:pPr>
            <w:r>
              <w:rPr>
                <w:rFonts w:hint="eastAsia" w:ascii="宋体" w:hAnsi="宋体" w:cs="宋体"/>
                <w:sz w:val="18"/>
                <w:szCs w:val="18"/>
              </w:rPr>
              <w:t>对集群进行模型微调训练测试，验证系统整体运行效率；</w:t>
            </w:r>
          </w:p>
        </w:tc>
        <w:tc>
          <w:tcPr>
            <w:tcW w:w="417" w:type="pct"/>
            <w:vAlign w:val="center"/>
          </w:tcPr>
          <w:p w14:paraId="3081026A">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1</w:t>
            </w:r>
          </w:p>
        </w:tc>
        <w:tc>
          <w:tcPr>
            <w:tcW w:w="444" w:type="pct"/>
            <w:vAlign w:val="center"/>
          </w:tcPr>
          <w:p w14:paraId="5E9120DD">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项</w:t>
            </w:r>
          </w:p>
        </w:tc>
      </w:tr>
      <w:tr w14:paraId="71CAB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94" w:type="pct"/>
            <w:vAlign w:val="center"/>
          </w:tcPr>
          <w:p w14:paraId="3A14D066">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8</w:t>
            </w:r>
          </w:p>
        </w:tc>
        <w:tc>
          <w:tcPr>
            <w:tcW w:w="833" w:type="pct"/>
            <w:vAlign w:val="center"/>
          </w:tcPr>
          <w:p w14:paraId="010B6189">
            <w:pPr>
              <w:spacing w:line="240" w:lineRule="auto"/>
              <w:ind w:firstLine="0" w:firstLineChars="0"/>
              <w:jc w:val="left"/>
              <w:rPr>
                <w:rFonts w:ascii="宋体" w:hAnsi="宋体"/>
                <w:color w:val="000000"/>
                <w:sz w:val="18"/>
                <w:szCs w:val="18"/>
              </w:rPr>
            </w:pPr>
            <w:r>
              <w:rPr>
                <w:rFonts w:hint="eastAsia" w:ascii="宋体" w:hAnsi="宋体"/>
                <w:color w:val="000000"/>
                <w:sz w:val="18"/>
                <w:szCs w:val="18"/>
              </w:rPr>
              <w:t>培训</w:t>
            </w:r>
          </w:p>
        </w:tc>
        <w:tc>
          <w:tcPr>
            <w:tcW w:w="2911" w:type="pct"/>
            <w:vAlign w:val="center"/>
          </w:tcPr>
          <w:p w14:paraId="1E4856E9">
            <w:pPr>
              <w:numPr>
                <w:ilvl w:val="0"/>
                <w:numId w:val="13"/>
              </w:numPr>
              <w:spacing w:line="240" w:lineRule="auto"/>
              <w:ind w:firstLineChars="0"/>
              <w:rPr>
                <w:rFonts w:ascii="宋体" w:hAnsi="宋体" w:cs="宋体"/>
                <w:sz w:val="18"/>
                <w:szCs w:val="18"/>
              </w:rPr>
            </w:pPr>
            <w:r>
              <w:rPr>
                <w:rFonts w:hint="eastAsia" w:ascii="宋体" w:hAnsi="宋体" w:cs="宋体"/>
                <w:sz w:val="18"/>
                <w:szCs w:val="18"/>
              </w:rPr>
              <w:t>项目整体培训；</w:t>
            </w:r>
          </w:p>
          <w:p w14:paraId="0D7F53D5">
            <w:pPr>
              <w:numPr>
                <w:ilvl w:val="0"/>
                <w:numId w:val="13"/>
              </w:numPr>
              <w:spacing w:line="240" w:lineRule="auto"/>
              <w:ind w:firstLineChars="0"/>
              <w:rPr>
                <w:rFonts w:ascii="宋体" w:hAnsi="宋体" w:cs="宋体"/>
                <w:sz w:val="18"/>
                <w:szCs w:val="18"/>
              </w:rPr>
            </w:pPr>
            <w:r>
              <w:rPr>
                <w:rFonts w:hint="eastAsia" w:ascii="宋体" w:hAnsi="宋体" w:cs="宋体"/>
                <w:sz w:val="18"/>
                <w:szCs w:val="18"/>
              </w:rPr>
              <w:t>各类设备专业培训；</w:t>
            </w:r>
          </w:p>
          <w:p w14:paraId="04D7B162">
            <w:pPr>
              <w:numPr>
                <w:ilvl w:val="0"/>
                <w:numId w:val="13"/>
              </w:numPr>
              <w:spacing w:line="240" w:lineRule="auto"/>
              <w:ind w:firstLineChars="0"/>
              <w:rPr>
                <w:rFonts w:ascii="宋体" w:hAnsi="宋体" w:cs="宋体"/>
                <w:sz w:val="18"/>
                <w:szCs w:val="18"/>
              </w:rPr>
            </w:pPr>
            <w:r>
              <w:rPr>
                <w:rFonts w:hint="eastAsia" w:ascii="宋体" w:hAnsi="宋体" w:cs="宋体"/>
                <w:sz w:val="18"/>
                <w:szCs w:val="18"/>
              </w:rPr>
              <w:t>运维操作培训；</w:t>
            </w:r>
          </w:p>
        </w:tc>
        <w:tc>
          <w:tcPr>
            <w:tcW w:w="417" w:type="pct"/>
            <w:vAlign w:val="center"/>
          </w:tcPr>
          <w:p w14:paraId="69514A9C">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1</w:t>
            </w:r>
          </w:p>
        </w:tc>
        <w:tc>
          <w:tcPr>
            <w:tcW w:w="444" w:type="pct"/>
            <w:vAlign w:val="center"/>
          </w:tcPr>
          <w:p w14:paraId="259119AB">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项</w:t>
            </w:r>
          </w:p>
        </w:tc>
      </w:tr>
      <w:tr w14:paraId="6AB4E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94" w:type="pct"/>
            <w:vAlign w:val="center"/>
          </w:tcPr>
          <w:p w14:paraId="532ABDA2">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9</w:t>
            </w:r>
          </w:p>
        </w:tc>
        <w:tc>
          <w:tcPr>
            <w:tcW w:w="833" w:type="pct"/>
            <w:vAlign w:val="center"/>
          </w:tcPr>
          <w:p w14:paraId="635FD156">
            <w:pPr>
              <w:spacing w:line="240" w:lineRule="auto"/>
              <w:ind w:firstLine="0" w:firstLineChars="0"/>
              <w:jc w:val="left"/>
              <w:rPr>
                <w:rFonts w:ascii="宋体" w:hAnsi="宋体"/>
                <w:color w:val="000000"/>
                <w:sz w:val="18"/>
                <w:szCs w:val="18"/>
              </w:rPr>
            </w:pPr>
            <w:r>
              <w:rPr>
                <w:rFonts w:hint="eastAsia" w:ascii="宋体" w:hAnsi="宋体"/>
                <w:color w:val="000000"/>
                <w:sz w:val="18"/>
                <w:szCs w:val="18"/>
                <w:lang w:val="en-US" w:eastAsia="zh-CN"/>
              </w:rPr>
              <w:t>集成服务</w:t>
            </w:r>
            <w:r>
              <w:rPr>
                <w:rFonts w:hint="eastAsia" w:ascii="宋体" w:hAnsi="宋体"/>
                <w:color w:val="000000"/>
                <w:sz w:val="18"/>
                <w:szCs w:val="18"/>
              </w:rPr>
              <w:t>质保期内技术服务</w:t>
            </w:r>
          </w:p>
        </w:tc>
        <w:tc>
          <w:tcPr>
            <w:tcW w:w="2911" w:type="pct"/>
            <w:vAlign w:val="center"/>
          </w:tcPr>
          <w:p w14:paraId="60337F65">
            <w:pPr>
              <w:numPr>
                <w:ilvl w:val="0"/>
                <w:numId w:val="14"/>
              </w:numPr>
              <w:spacing w:line="240" w:lineRule="auto"/>
              <w:ind w:firstLineChars="0"/>
              <w:rPr>
                <w:rFonts w:ascii="宋体" w:hAnsi="宋体" w:cs="宋体"/>
                <w:sz w:val="18"/>
                <w:szCs w:val="18"/>
              </w:rPr>
            </w:pPr>
            <w:r>
              <w:rPr>
                <w:rFonts w:hint="eastAsia" w:ascii="宋体" w:hAnsi="宋体" w:cs="宋体"/>
                <w:sz w:val="18"/>
                <w:szCs w:val="18"/>
              </w:rPr>
              <w:t>7X24技术响应；</w:t>
            </w:r>
          </w:p>
          <w:p w14:paraId="2E3BF54D">
            <w:pPr>
              <w:numPr>
                <w:ilvl w:val="0"/>
                <w:numId w:val="14"/>
              </w:numPr>
              <w:spacing w:line="240" w:lineRule="auto"/>
              <w:ind w:firstLineChars="0"/>
              <w:rPr>
                <w:rFonts w:ascii="宋体" w:hAnsi="宋体" w:cs="宋体"/>
                <w:sz w:val="18"/>
                <w:szCs w:val="18"/>
              </w:rPr>
            </w:pPr>
            <w:r>
              <w:rPr>
                <w:rFonts w:hint="eastAsia" w:ascii="宋体" w:hAnsi="宋体" w:cs="宋体"/>
                <w:sz w:val="18"/>
                <w:szCs w:val="18"/>
              </w:rPr>
              <w:t>故障处理，第二日到达现场；</w:t>
            </w:r>
          </w:p>
          <w:p w14:paraId="1FEC997F">
            <w:pPr>
              <w:numPr>
                <w:ilvl w:val="0"/>
                <w:numId w:val="14"/>
              </w:numPr>
              <w:spacing w:line="240" w:lineRule="auto"/>
              <w:ind w:firstLineChars="0"/>
              <w:rPr>
                <w:rFonts w:ascii="宋体" w:hAnsi="宋体" w:cs="宋体"/>
                <w:sz w:val="18"/>
                <w:szCs w:val="18"/>
              </w:rPr>
            </w:pPr>
            <w:r>
              <w:rPr>
                <w:rFonts w:hint="eastAsia" w:ascii="宋体" w:hAnsi="宋体" w:cs="宋体"/>
                <w:sz w:val="18"/>
                <w:szCs w:val="18"/>
              </w:rPr>
              <w:t>硬件设备：协调供货商进行设备维修或更换；</w:t>
            </w:r>
          </w:p>
        </w:tc>
        <w:tc>
          <w:tcPr>
            <w:tcW w:w="417" w:type="pct"/>
            <w:vAlign w:val="center"/>
          </w:tcPr>
          <w:p w14:paraId="790B467E">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1</w:t>
            </w:r>
          </w:p>
        </w:tc>
        <w:tc>
          <w:tcPr>
            <w:tcW w:w="444" w:type="pct"/>
            <w:vAlign w:val="center"/>
          </w:tcPr>
          <w:p w14:paraId="3473B8C5">
            <w:pPr>
              <w:spacing w:line="240" w:lineRule="auto"/>
              <w:ind w:firstLine="0" w:firstLineChars="0"/>
              <w:jc w:val="center"/>
              <w:rPr>
                <w:rFonts w:ascii="宋体" w:hAnsi="宋体"/>
                <w:color w:val="000000"/>
                <w:sz w:val="18"/>
                <w:szCs w:val="18"/>
              </w:rPr>
            </w:pPr>
            <w:r>
              <w:rPr>
                <w:rFonts w:hint="eastAsia" w:ascii="宋体" w:hAnsi="宋体"/>
                <w:color w:val="000000"/>
                <w:sz w:val="18"/>
                <w:szCs w:val="18"/>
              </w:rPr>
              <w:t>项</w:t>
            </w:r>
          </w:p>
        </w:tc>
      </w:tr>
    </w:tbl>
    <w:p w14:paraId="6ADEC5EB">
      <w:pPr>
        <w:ind w:firstLine="420" w:firstLineChars="0"/>
        <w:rPr>
          <w:rFonts w:hint="eastAsia"/>
          <w:b/>
          <w:bCs/>
        </w:rPr>
      </w:pPr>
    </w:p>
    <w:p w14:paraId="2D6958D9">
      <w:pPr>
        <w:keepNext w:val="0"/>
        <w:keepLines w:val="0"/>
        <w:pageBreakBefore w:val="0"/>
        <w:widowControl w:val="0"/>
        <w:numPr>
          <w:ilvl w:val="0"/>
          <w:numId w:val="0"/>
        </w:numPr>
        <w:kinsoku/>
        <w:wordWrap/>
        <w:overflowPunct/>
        <w:topLinePunct w:val="0"/>
        <w:autoSpaceDE w:val="0"/>
        <w:autoSpaceDN w:val="0"/>
        <w:bidi w:val="0"/>
        <w:adjustRightInd w:val="0"/>
        <w:snapToGrid w:val="0"/>
        <w:ind w:left="420" w:leftChars="0"/>
        <w:jc w:val="left"/>
        <w:textAlignment w:val="auto"/>
        <w:outlineLvl w:val="3"/>
        <w:rPr>
          <w:rFonts w:hint="eastAsia"/>
          <w:b/>
          <w:bCs/>
          <w:lang w:val="en-US" w:eastAsia="zh-CN"/>
        </w:rPr>
      </w:pPr>
      <w:r>
        <w:rPr>
          <w:rFonts w:hint="eastAsia"/>
          <w:b/>
          <w:bCs/>
          <w:lang w:val="en-US" w:eastAsia="zh-CN"/>
        </w:rPr>
        <w:t>（三）运维阶段服务要求</w:t>
      </w:r>
    </w:p>
    <w:p w14:paraId="6DD02FED">
      <w:pPr>
        <w:widowControl w:val="0"/>
        <w:autoSpaceDE w:val="0"/>
        <w:autoSpaceDN w:val="0"/>
        <w:adjustRightInd w:val="0"/>
        <w:snapToGrid w:val="0"/>
        <w:spacing w:line="360" w:lineRule="auto"/>
        <w:ind w:firstLine="420" w:firstLineChars="200"/>
        <w:jc w:val="both"/>
        <w:outlineLvl w:val="4"/>
        <w:rPr>
          <w:rFonts w:hint="eastAsia" w:ascii="宋体" w:hAnsi="宋体" w:eastAsia="宋体" w:cs="宋体"/>
          <w:b/>
          <w:bCs/>
          <w:kern w:val="2"/>
          <w:lang w:eastAsia="zh-CN"/>
        </w:rPr>
      </w:pPr>
      <w:r>
        <w:rPr>
          <w:rFonts w:hint="eastAsia" w:ascii="宋体" w:hAnsi="宋体" w:eastAsia="宋体" w:cs="宋体"/>
          <w:b/>
          <w:bCs/>
          <w:kern w:val="2"/>
          <w:lang w:val="en-US" w:eastAsia="zh-CN"/>
        </w:rPr>
        <w:t>1、</w:t>
      </w:r>
      <w:r>
        <w:rPr>
          <w:rFonts w:hint="eastAsia" w:ascii="宋体" w:hAnsi="宋体" w:eastAsia="宋体" w:cs="宋体"/>
          <w:b/>
          <w:bCs/>
          <w:kern w:val="2"/>
          <w:lang w:eastAsia="zh-CN"/>
        </w:rPr>
        <w:t>总体要求</w:t>
      </w:r>
    </w:p>
    <w:p w14:paraId="66CB7894">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w:t>
      </w:r>
      <w:r>
        <w:rPr>
          <w:rFonts w:hint="eastAsia" w:ascii="宋体" w:hAnsi="宋体" w:eastAsia="宋体" w:cs="宋体"/>
          <w:kern w:val="2"/>
          <w:lang w:val="en-US" w:eastAsia="zh-CN"/>
        </w:rPr>
        <w:t>1</w:t>
      </w:r>
      <w:r>
        <w:rPr>
          <w:rFonts w:hint="eastAsia" w:ascii="宋体" w:hAnsi="宋体" w:eastAsia="宋体" w:cs="宋体"/>
          <w:kern w:val="2"/>
          <w:lang w:eastAsia="zh-CN"/>
        </w:rPr>
        <w:t>）故障分级响应要求：根据SLA分级响应，最高级别故障需5分钟内响应，重要级别故障15分钟内响应。</w:t>
      </w:r>
    </w:p>
    <w:p w14:paraId="26DDABBF">
      <w:pPr>
        <w:widowControl w:val="0"/>
        <w:autoSpaceDE w:val="0"/>
        <w:autoSpaceDN w:val="0"/>
        <w:adjustRightInd w:val="0"/>
        <w:snapToGrid w:val="0"/>
        <w:spacing w:line="360" w:lineRule="auto"/>
        <w:jc w:val="center"/>
        <w:rPr>
          <w:rFonts w:hint="eastAsia" w:ascii="宋体" w:hAnsi="宋体" w:eastAsia="宋体" w:cs="宋体"/>
          <w:b/>
          <w:bCs/>
          <w:kern w:val="2"/>
          <w:lang w:eastAsia="zh-CN"/>
        </w:rPr>
      </w:pPr>
      <w:r>
        <w:rPr>
          <w:rFonts w:hint="eastAsia" w:ascii="宋体" w:hAnsi="宋体" w:eastAsia="宋体" w:cs="宋体"/>
          <w:b/>
          <w:bCs/>
          <w:kern w:val="2"/>
          <w:lang w:eastAsia="zh-CN"/>
        </w:rPr>
        <w:t>故障分级响应表</w:t>
      </w:r>
    </w:p>
    <w:tbl>
      <w:tblPr>
        <w:tblStyle w:val="40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6"/>
        <w:gridCol w:w="1665"/>
        <w:gridCol w:w="4602"/>
        <w:gridCol w:w="1429"/>
      </w:tblGrid>
      <w:tr w14:paraId="40CEE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26" w:type="dxa"/>
            <w:vAlign w:val="center"/>
          </w:tcPr>
          <w:p w14:paraId="21127A08">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b/>
                <w:bCs/>
                <w:kern w:val="2"/>
                <w:sz w:val="18"/>
                <w:szCs w:val="18"/>
                <w:lang w:eastAsia="zh-CN"/>
              </w:rPr>
            </w:pPr>
            <w:r>
              <w:rPr>
                <w:rFonts w:hint="eastAsia" w:ascii="宋体" w:hAnsi="宋体" w:eastAsia="宋体" w:cs="宋体"/>
                <w:b/>
                <w:bCs/>
                <w:kern w:val="2"/>
                <w:sz w:val="18"/>
                <w:szCs w:val="18"/>
                <w:lang w:eastAsia="zh-CN"/>
              </w:rPr>
              <w:t>序号</w:t>
            </w:r>
          </w:p>
        </w:tc>
        <w:tc>
          <w:tcPr>
            <w:tcW w:w="1665" w:type="dxa"/>
            <w:vAlign w:val="center"/>
          </w:tcPr>
          <w:p w14:paraId="5CE04EDC">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b/>
                <w:bCs/>
                <w:kern w:val="2"/>
                <w:sz w:val="18"/>
                <w:szCs w:val="18"/>
                <w:lang w:eastAsia="zh-CN"/>
              </w:rPr>
            </w:pPr>
            <w:r>
              <w:rPr>
                <w:rFonts w:hint="eastAsia" w:ascii="宋体" w:hAnsi="宋体" w:eastAsia="宋体" w:cs="宋体"/>
                <w:b/>
                <w:bCs/>
                <w:kern w:val="2"/>
                <w:sz w:val="18"/>
                <w:szCs w:val="18"/>
                <w:lang w:eastAsia="zh-CN"/>
              </w:rPr>
              <w:t>故障等级</w:t>
            </w:r>
          </w:p>
        </w:tc>
        <w:tc>
          <w:tcPr>
            <w:tcW w:w="4602" w:type="dxa"/>
            <w:vAlign w:val="center"/>
          </w:tcPr>
          <w:p w14:paraId="243E327A">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b/>
                <w:bCs/>
                <w:kern w:val="2"/>
                <w:sz w:val="18"/>
                <w:szCs w:val="18"/>
                <w:lang w:eastAsia="zh-CN"/>
              </w:rPr>
            </w:pPr>
            <w:r>
              <w:rPr>
                <w:rFonts w:hint="eastAsia" w:ascii="宋体" w:hAnsi="宋体" w:eastAsia="宋体" w:cs="宋体"/>
                <w:b/>
                <w:bCs/>
                <w:kern w:val="2"/>
                <w:sz w:val="18"/>
                <w:szCs w:val="18"/>
                <w:lang w:eastAsia="zh-CN"/>
              </w:rPr>
              <w:t>故障描述</w:t>
            </w:r>
          </w:p>
        </w:tc>
        <w:tc>
          <w:tcPr>
            <w:tcW w:w="1429" w:type="dxa"/>
            <w:vAlign w:val="center"/>
          </w:tcPr>
          <w:p w14:paraId="01234306">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b/>
                <w:bCs/>
                <w:kern w:val="2"/>
                <w:sz w:val="18"/>
                <w:szCs w:val="18"/>
                <w:lang w:eastAsia="zh-CN"/>
              </w:rPr>
            </w:pPr>
            <w:r>
              <w:rPr>
                <w:rFonts w:hint="eastAsia" w:ascii="宋体" w:hAnsi="宋体" w:eastAsia="宋体" w:cs="宋体"/>
                <w:b/>
                <w:bCs/>
                <w:kern w:val="2"/>
                <w:sz w:val="18"/>
                <w:szCs w:val="18"/>
                <w:lang w:eastAsia="zh-CN"/>
              </w:rPr>
              <w:t>响应时间</w:t>
            </w:r>
          </w:p>
        </w:tc>
      </w:tr>
      <w:tr w14:paraId="042C2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6" w:type="dxa"/>
            <w:vAlign w:val="center"/>
          </w:tcPr>
          <w:p w14:paraId="5BCE2767">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ascii="宋体" w:hAnsi="宋体" w:eastAsia="宋体" w:cs="宋体"/>
                <w:kern w:val="2"/>
                <w:sz w:val="18"/>
                <w:szCs w:val="18"/>
                <w:lang w:eastAsia="zh-CN"/>
              </w:rPr>
              <w:t>P0</w:t>
            </w:r>
          </w:p>
        </w:tc>
        <w:tc>
          <w:tcPr>
            <w:tcW w:w="1665" w:type="dxa"/>
            <w:vAlign w:val="center"/>
          </w:tcPr>
          <w:p w14:paraId="0ECA9321">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ascii="宋体" w:hAnsi="宋体" w:eastAsia="宋体" w:cs="宋体"/>
                <w:kern w:val="2"/>
                <w:sz w:val="18"/>
                <w:szCs w:val="18"/>
                <w:lang w:eastAsia="zh-CN"/>
              </w:rPr>
              <w:t>最高级别故障</w:t>
            </w:r>
          </w:p>
        </w:tc>
        <w:tc>
          <w:tcPr>
            <w:tcW w:w="4602" w:type="dxa"/>
            <w:vAlign w:val="center"/>
          </w:tcPr>
          <w:p w14:paraId="0C7B245F">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left"/>
              <w:textAlignment w:val="auto"/>
              <w:rPr>
                <w:rFonts w:hint="eastAsia" w:ascii="宋体" w:hAnsi="宋体" w:eastAsia="宋体" w:cs="宋体"/>
                <w:kern w:val="2"/>
                <w:sz w:val="18"/>
                <w:szCs w:val="18"/>
                <w:lang w:eastAsia="zh-CN"/>
              </w:rPr>
            </w:pPr>
            <w:r>
              <w:rPr>
                <w:rFonts w:hint="eastAsia" w:ascii="宋体" w:hAnsi="宋体" w:eastAsia="宋体" w:cs="宋体"/>
                <w:kern w:val="2"/>
                <w:sz w:val="18"/>
                <w:szCs w:val="18"/>
                <w:lang w:eastAsia="zh-CN"/>
              </w:rPr>
              <w:t>影响核心业务功能，导致服务完全中断或大规模算力资源无法使用，可能造成重大经济损失或声誉损害。</w:t>
            </w:r>
          </w:p>
        </w:tc>
        <w:tc>
          <w:tcPr>
            <w:tcW w:w="1429" w:type="dxa"/>
            <w:vAlign w:val="center"/>
          </w:tcPr>
          <w:p w14:paraId="6B2EF9A5">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hint="eastAsia" w:ascii="宋体" w:hAnsi="宋体" w:eastAsia="宋体" w:cs="宋体"/>
                <w:kern w:val="2"/>
                <w:sz w:val="18"/>
                <w:szCs w:val="18"/>
                <w:lang w:eastAsia="zh-CN"/>
              </w:rPr>
              <w:t>5分钟内响应</w:t>
            </w:r>
          </w:p>
        </w:tc>
      </w:tr>
      <w:tr w14:paraId="2BE96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6" w:type="dxa"/>
            <w:vAlign w:val="center"/>
          </w:tcPr>
          <w:p w14:paraId="2C7E629C">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ascii="宋体" w:hAnsi="宋体" w:eastAsia="宋体" w:cs="宋体"/>
                <w:kern w:val="2"/>
                <w:sz w:val="18"/>
                <w:szCs w:val="18"/>
                <w:lang w:eastAsia="zh-CN"/>
              </w:rPr>
              <w:t>P</w:t>
            </w:r>
            <w:r>
              <w:rPr>
                <w:rFonts w:hint="eastAsia" w:ascii="宋体" w:hAnsi="宋体" w:eastAsia="宋体" w:cs="宋体"/>
                <w:kern w:val="2"/>
                <w:sz w:val="18"/>
                <w:szCs w:val="18"/>
                <w:lang w:eastAsia="zh-CN"/>
              </w:rPr>
              <w:t>1</w:t>
            </w:r>
          </w:p>
        </w:tc>
        <w:tc>
          <w:tcPr>
            <w:tcW w:w="1665" w:type="dxa"/>
            <w:vAlign w:val="center"/>
          </w:tcPr>
          <w:p w14:paraId="0799BB90">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ascii="宋体" w:hAnsi="宋体" w:eastAsia="宋体" w:cs="宋体"/>
                <w:kern w:val="2"/>
                <w:sz w:val="18"/>
                <w:szCs w:val="18"/>
                <w:lang w:eastAsia="zh-CN"/>
              </w:rPr>
              <w:t>重要级别故障</w:t>
            </w:r>
            <w:r>
              <w:rPr>
                <w:rFonts w:ascii="宋体" w:eastAsia="宋体"/>
                <w:kern w:val="2"/>
                <w:sz w:val="18"/>
                <w:szCs w:val="18"/>
                <w:lang w:eastAsia="zh-CN"/>
              </w:rPr>
              <w:t>‌</w:t>
            </w:r>
          </w:p>
        </w:tc>
        <w:tc>
          <w:tcPr>
            <w:tcW w:w="4602" w:type="dxa"/>
            <w:vAlign w:val="center"/>
          </w:tcPr>
          <w:p w14:paraId="2FBD4254">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left"/>
              <w:textAlignment w:val="auto"/>
              <w:rPr>
                <w:rFonts w:hint="eastAsia" w:ascii="宋体" w:hAnsi="宋体" w:eastAsia="宋体" w:cs="宋体"/>
                <w:kern w:val="2"/>
                <w:sz w:val="18"/>
                <w:szCs w:val="18"/>
                <w:lang w:eastAsia="zh-CN"/>
              </w:rPr>
            </w:pPr>
            <w:r>
              <w:rPr>
                <w:rFonts w:ascii="宋体" w:hAnsi="宋体" w:eastAsia="宋体" w:cs="宋体"/>
                <w:kern w:val="2"/>
                <w:sz w:val="18"/>
                <w:szCs w:val="18"/>
                <w:lang w:eastAsia="zh-CN"/>
              </w:rPr>
              <w:t>影响部分重要功能或服务性能显著下降，对业务运营产生较大影响。</w:t>
            </w:r>
          </w:p>
        </w:tc>
        <w:tc>
          <w:tcPr>
            <w:tcW w:w="1429" w:type="dxa"/>
            <w:vAlign w:val="center"/>
          </w:tcPr>
          <w:p w14:paraId="0AA66124">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hint="eastAsia" w:ascii="宋体" w:hAnsi="宋体" w:eastAsia="宋体" w:cs="宋体"/>
                <w:kern w:val="2"/>
                <w:sz w:val="18"/>
                <w:szCs w:val="18"/>
                <w:lang w:eastAsia="zh-CN"/>
              </w:rPr>
              <w:t>15分钟内响应</w:t>
            </w:r>
          </w:p>
        </w:tc>
      </w:tr>
      <w:tr w14:paraId="0ECC0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6" w:type="dxa"/>
            <w:vAlign w:val="center"/>
          </w:tcPr>
          <w:p w14:paraId="34135CC6">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ascii="宋体" w:hAnsi="宋体" w:eastAsia="宋体" w:cs="宋体"/>
                <w:kern w:val="2"/>
                <w:sz w:val="18"/>
                <w:szCs w:val="18"/>
                <w:lang w:eastAsia="zh-CN"/>
              </w:rPr>
              <w:t>P</w:t>
            </w:r>
            <w:r>
              <w:rPr>
                <w:rFonts w:hint="eastAsia" w:ascii="宋体" w:hAnsi="宋体" w:eastAsia="宋体" w:cs="宋体"/>
                <w:kern w:val="2"/>
                <w:sz w:val="18"/>
                <w:szCs w:val="18"/>
                <w:lang w:eastAsia="zh-CN"/>
              </w:rPr>
              <w:t>2</w:t>
            </w:r>
          </w:p>
        </w:tc>
        <w:tc>
          <w:tcPr>
            <w:tcW w:w="1665" w:type="dxa"/>
            <w:vAlign w:val="center"/>
          </w:tcPr>
          <w:p w14:paraId="65DADE6F">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ascii="宋体" w:hAnsi="宋体" w:eastAsia="宋体" w:cs="宋体"/>
                <w:kern w:val="2"/>
                <w:sz w:val="18"/>
                <w:szCs w:val="18"/>
                <w:lang w:eastAsia="zh-CN"/>
              </w:rPr>
              <w:t>一般级别故障</w:t>
            </w:r>
          </w:p>
        </w:tc>
        <w:tc>
          <w:tcPr>
            <w:tcW w:w="4602" w:type="dxa"/>
            <w:vAlign w:val="center"/>
          </w:tcPr>
          <w:p w14:paraId="1894459B">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left"/>
              <w:textAlignment w:val="auto"/>
              <w:rPr>
                <w:rFonts w:hint="eastAsia" w:ascii="宋体" w:hAnsi="宋体" w:eastAsia="宋体" w:cs="宋体"/>
                <w:kern w:val="2"/>
                <w:sz w:val="18"/>
                <w:szCs w:val="18"/>
                <w:lang w:eastAsia="zh-CN"/>
              </w:rPr>
            </w:pPr>
            <w:r>
              <w:rPr>
                <w:rFonts w:ascii="宋体" w:hAnsi="宋体" w:eastAsia="宋体" w:cs="宋体"/>
                <w:kern w:val="2"/>
                <w:sz w:val="18"/>
                <w:szCs w:val="18"/>
                <w:lang w:eastAsia="zh-CN"/>
              </w:rPr>
              <w:t>影响非核心功能或服务性能有所下降，但对业务运营影响较小，用户可能感知到不便但不影响整体使用</w:t>
            </w:r>
            <w:r>
              <w:rPr>
                <w:rFonts w:hint="eastAsia" w:ascii="宋体" w:hAnsi="宋体" w:eastAsia="宋体" w:cs="宋体"/>
                <w:kern w:val="2"/>
                <w:sz w:val="18"/>
                <w:szCs w:val="18"/>
                <w:lang w:eastAsia="zh-CN"/>
              </w:rPr>
              <w:t>。</w:t>
            </w:r>
          </w:p>
        </w:tc>
        <w:tc>
          <w:tcPr>
            <w:tcW w:w="1429" w:type="dxa"/>
            <w:vAlign w:val="center"/>
          </w:tcPr>
          <w:p w14:paraId="0B3F19C3">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hint="eastAsia" w:ascii="宋体" w:hAnsi="宋体" w:eastAsia="宋体" w:cs="宋体"/>
                <w:kern w:val="2"/>
                <w:sz w:val="18"/>
                <w:szCs w:val="18"/>
                <w:lang w:eastAsia="zh-CN"/>
              </w:rPr>
              <w:t>2小时内响应</w:t>
            </w:r>
          </w:p>
        </w:tc>
      </w:tr>
      <w:tr w14:paraId="13987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6" w:type="dxa"/>
            <w:vAlign w:val="center"/>
          </w:tcPr>
          <w:p w14:paraId="4460E654">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ascii="宋体" w:hAnsi="宋体" w:eastAsia="宋体" w:cs="宋体"/>
                <w:kern w:val="2"/>
                <w:sz w:val="18"/>
                <w:szCs w:val="18"/>
                <w:lang w:eastAsia="zh-CN"/>
              </w:rPr>
              <w:t>P</w:t>
            </w:r>
            <w:r>
              <w:rPr>
                <w:rFonts w:hint="eastAsia" w:ascii="宋体" w:hAnsi="宋体" w:eastAsia="宋体" w:cs="宋体"/>
                <w:kern w:val="2"/>
                <w:sz w:val="18"/>
                <w:szCs w:val="18"/>
                <w:lang w:eastAsia="zh-CN"/>
              </w:rPr>
              <w:t>3</w:t>
            </w:r>
          </w:p>
        </w:tc>
        <w:tc>
          <w:tcPr>
            <w:tcW w:w="1665" w:type="dxa"/>
            <w:vAlign w:val="center"/>
          </w:tcPr>
          <w:p w14:paraId="54710685">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ascii="宋体" w:hAnsi="宋体" w:eastAsia="宋体" w:cs="宋体"/>
                <w:kern w:val="2"/>
                <w:sz w:val="18"/>
                <w:szCs w:val="18"/>
                <w:lang w:eastAsia="zh-CN"/>
              </w:rPr>
              <w:t>低级别故障</w:t>
            </w:r>
          </w:p>
        </w:tc>
        <w:tc>
          <w:tcPr>
            <w:tcW w:w="4602" w:type="dxa"/>
            <w:vAlign w:val="center"/>
          </w:tcPr>
          <w:p w14:paraId="0F140CA3">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left"/>
              <w:textAlignment w:val="auto"/>
              <w:rPr>
                <w:rFonts w:hint="eastAsia" w:ascii="宋体" w:hAnsi="宋体" w:eastAsia="宋体" w:cs="宋体"/>
                <w:kern w:val="2"/>
                <w:sz w:val="18"/>
                <w:szCs w:val="18"/>
                <w:lang w:eastAsia="zh-CN"/>
              </w:rPr>
            </w:pPr>
            <w:r>
              <w:rPr>
                <w:rFonts w:ascii="宋体" w:hAnsi="宋体" w:eastAsia="宋体" w:cs="宋体"/>
                <w:kern w:val="2"/>
                <w:sz w:val="18"/>
                <w:szCs w:val="18"/>
                <w:lang w:eastAsia="zh-CN"/>
              </w:rPr>
              <w:t>影响较小，主要是边缘功能或服务的小问题，对业务运营和用户体验影响有限。</w:t>
            </w:r>
          </w:p>
        </w:tc>
        <w:tc>
          <w:tcPr>
            <w:tcW w:w="1429" w:type="dxa"/>
            <w:vAlign w:val="center"/>
          </w:tcPr>
          <w:p w14:paraId="0F358769">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hint="eastAsia" w:ascii="宋体" w:hAnsi="宋体" w:eastAsia="宋体" w:cs="宋体"/>
                <w:kern w:val="2"/>
                <w:sz w:val="18"/>
                <w:szCs w:val="18"/>
                <w:lang w:eastAsia="zh-CN"/>
              </w:rPr>
              <w:t>4小时内响应</w:t>
            </w:r>
          </w:p>
        </w:tc>
      </w:tr>
      <w:tr w14:paraId="31E85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6" w:type="dxa"/>
            <w:vAlign w:val="center"/>
          </w:tcPr>
          <w:p w14:paraId="5A464736">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ascii="宋体" w:hAnsi="宋体" w:eastAsia="宋体" w:cs="宋体"/>
                <w:kern w:val="2"/>
                <w:sz w:val="18"/>
                <w:szCs w:val="18"/>
                <w:lang w:eastAsia="zh-CN"/>
              </w:rPr>
              <w:t>P</w:t>
            </w:r>
            <w:r>
              <w:rPr>
                <w:rFonts w:hint="eastAsia" w:ascii="宋体" w:hAnsi="宋体" w:eastAsia="宋体" w:cs="宋体"/>
                <w:kern w:val="2"/>
                <w:sz w:val="18"/>
                <w:szCs w:val="18"/>
                <w:lang w:eastAsia="zh-CN"/>
              </w:rPr>
              <w:t>4</w:t>
            </w:r>
          </w:p>
        </w:tc>
        <w:tc>
          <w:tcPr>
            <w:tcW w:w="1665" w:type="dxa"/>
            <w:vAlign w:val="center"/>
          </w:tcPr>
          <w:p w14:paraId="5526C00D">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ascii="宋体" w:hAnsi="宋体" w:eastAsia="宋体" w:cs="宋体"/>
                <w:kern w:val="2"/>
                <w:sz w:val="18"/>
                <w:szCs w:val="18"/>
                <w:lang w:eastAsia="zh-CN"/>
              </w:rPr>
              <w:t>轻微级别故障</w:t>
            </w:r>
          </w:p>
        </w:tc>
        <w:tc>
          <w:tcPr>
            <w:tcW w:w="4602" w:type="dxa"/>
            <w:vAlign w:val="center"/>
          </w:tcPr>
          <w:p w14:paraId="4AA29FF8">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left"/>
              <w:textAlignment w:val="auto"/>
              <w:rPr>
                <w:rFonts w:hint="eastAsia" w:ascii="宋体" w:hAnsi="宋体" w:eastAsia="宋体" w:cs="宋体"/>
                <w:kern w:val="2"/>
                <w:sz w:val="18"/>
                <w:szCs w:val="18"/>
                <w:lang w:eastAsia="zh-CN"/>
              </w:rPr>
            </w:pPr>
            <w:r>
              <w:rPr>
                <w:rFonts w:ascii="宋体" w:hAnsi="宋体" w:eastAsia="宋体" w:cs="宋体"/>
                <w:kern w:val="2"/>
                <w:sz w:val="18"/>
                <w:szCs w:val="18"/>
                <w:lang w:eastAsia="zh-CN"/>
              </w:rPr>
              <w:t>几乎不影响业务运营和用户体验，主要是微小的问题。</w:t>
            </w:r>
          </w:p>
        </w:tc>
        <w:tc>
          <w:tcPr>
            <w:tcW w:w="1429" w:type="dxa"/>
            <w:vAlign w:val="center"/>
          </w:tcPr>
          <w:p w14:paraId="5BDFC07D">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eastAsia" w:ascii="宋体" w:hAnsi="宋体" w:eastAsia="宋体" w:cs="宋体"/>
                <w:kern w:val="2"/>
                <w:sz w:val="18"/>
                <w:szCs w:val="18"/>
                <w:lang w:eastAsia="zh-CN"/>
              </w:rPr>
            </w:pPr>
            <w:r>
              <w:rPr>
                <w:rFonts w:hint="eastAsia" w:ascii="宋体" w:hAnsi="宋体" w:eastAsia="宋体" w:cs="宋体"/>
                <w:kern w:val="2"/>
                <w:sz w:val="18"/>
                <w:szCs w:val="18"/>
                <w:lang w:eastAsia="zh-CN"/>
              </w:rPr>
              <w:t>24小时内响应</w:t>
            </w:r>
          </w:p>
        </w:tc>
      </w:tr>
    </w:tbl>
    <w:p w14:paraId="3A0F9EEE">
      <w:pPr>
        <w:widowControl w:val="0"/>
        <w:autoSpaceDE w:val="0"/>
        <w:autoSpaceDN w:val="0"/>
        <w:adjustRightInd w:val="0"/>
        <w:snapToGrid w:val="0"/>
        <w:spacing w:line="360" w:lineRule="auto"/>
        <w:jc w:val="both"/>
        <w:rPr>
          <w:rFonts w:hint="eastAsia" w:ascii="宋体" w:hAnsi="宋体" w:eastAsia="宋体" w:cs="宋体"/>
          <w:kern w:val="2"/>
          <w:lang w:eastAsia="zh-CN"/>
        </w:rPr>
      </w:pPr>
      <w:r>
        <w:rPr>
          <w:rFonts w:hint="eastAsia" w:ascii="HuaweiSans" w:hAnsi="HuaweiSans" w:eastAsia="宋体" w:cs="Helvetica"/>
          <w:color w:val="000000"/>
          <w:sz w:val="21"/>
          <w:szCs w:val="21"/>
          <w:lang w:eastAsia="zh-CN"/>
        </w:rPr>
        <w:t>注：投标人受限于采购人要求的安全访问规则或管理流程无法访问资源，无法对问题进行监控和定位的情况不包含在内，出于管理合规和安全访问控制引起的操作延误和等待，不计入投标人责任范围。</w:t>
      </w:r>
      <w:r>
        <w:rPr>
          <w:rFonts w:ascii="HuaweiSans" w:hAnsi="HuaweiSans" w:eastAsia="宋体" w:cs="Helvetica"/>
          <w:color w:val="000000"/>
          <w:sz w:val="21"/>
          <w:szCs w:val="21"/>
          <w:lang w:eastAsia="zh-CN"/>
        </w:rPr>
        <w:t>本协议约定</w:t>
      </w:r>
      <w:r>
        <w:rPr>
          <w:rFonts w:hint="eastAsia" w:ascii="HuaweiSans" w:hAnsi="HuaweiSans" w:eastAsia="宋体" w:cs="Helvetica"/>
          <w:color w:val="000000"/>
          <w:sz w:val="21"/>
          <w:szCs w:val="21"/>
          <w:lang w:eastAsia="zh-CN"/>
        </w:rPr>
        <w:t>投标人</w:t>
      </w:r>
      <w:r>
        <w:rPr>
          <w:rFonts w:ascii="HuaweiSans" w:hAnsi="HuaweiSans" w:eastAsia="宋体" w:cs="Helvetica"/>
          <w:color w:val="000000"/>
          <w:sz w:val="21"/>
          <w:szCs w:val="21"/>
          <w:lang w:eastAsia="zh-CN"/>
        </w:rPr>
        <w:t>故障响应、处理、解决等时间，以</w:t>
      </w:r>
      <w:r>
        <w:rPr>
          <w:rFonts w:hint="eastAsia" w:ascii="HuaweiSans" w:hAnsi="HuaweiSans" w:eastAsia="宋体" w:cs="Helvetica"/>
          <w:color w:val="000000"/>
          <w:sz w:val="21"/>
          <w:szCs w:val="21"/>
          <w:lang w:eastAsia="zh-CN"/>
        </w:rPr>
        <w:t>采购人</w:t>
      </w:r>
      <w:r>
        <w:rPr>
          <w:rFonts w:ascii="HuaweiSans" w:hAnsi="HuaweiSans" w:eastAsia="宋体" w:cs="Helvetica"/>
          <w:color w:val="000000"/>
          <w:sz w:val="21"/>
          <w:szCs w:val="21"/>
          <w:lang w:eastAsia="zh-CN"/>
        </w:rPr>
        <w:t>正式通知到</w:t>
      </w:r>
      <w:r>
        <w:rPr>
          <w:rFonts w:hint="eastAsia" w:ascii="HuaweiSans" w:hAnsi="HuaweiSans" w:eastAsia="宋体" w:cs="Helvetica"/>
          <w:color w:val="000000"/>
          <w:sz w:val="21"/>
          <w:szCs w:val="21"/>
          <w:lang w:eastAsia="zh-CN"/>
        </w:rPr>
        <w:t>投标人</w:t>
      </w:r>
      <w:r>
        <w:rPr>
          <w:rFonts w:ascii="HuaweiSans" w:hAnsi="HuaweiSans" w:eastAsia="宋体" w:cs="Helvetica"/>
          <w:color w:val="000000"/>
          <w:sz w:val="21"/>
          <w:szCs w:val="21"/>
          <w:lang w:eastAsia="zh-CN"/>
        </w:rPr>
        <w:t>指定负责人并开通相关</w:t>
      </w:r>
      <w:r>
        <w:rPr>
          <w:rFonts w:hint="eastAsia" w:ascii="HuaweiSans" w:hAnsi="HuaweiSans" w:eastAsia="宋体" w:cs="Helvetica"/>
          <w:color w:val="000000"/>
          <w:sz w:val="21"/>
          <w:szCs w:val="21"/>
          <w:lang w:eastAsia="zh-CN"/>
        </w:rPr>
        <w:t>管理</w:t>
      </w:r>
      <w:r>
        <w:rPr>
          <w:rFonts w:ascii="HuaweiSans" w:hAnsi="HuaweiSans" w:eastAsia="宋体" w:cs="Helvetica"/>
          <w:color w:val="000000"/>
          <w:sz w:val="21"/>
          <w:szCs w:val="21"/>
          <w:lang w:eastAsia="zh-CN"/>
        </w:rPr>
        <w:t>权限的时间点起计。</w:t>
      </w:r>
    </w:p>
    <w:p w14:paraId="0450E4D6">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w:t>
      </w:r>
      <w:r>
        <w:rPr>
          <w:rFonts w:hint="eastAsia" w:ascii="宋体" w:hAnsi="宋体" w:eastAsia="宋体" w:cs="宋体"/>
          <w:kern w:val="2"/>
          <w:lang w:val="en-US" w:eastAsia="zh-CN"/>
        </w:rPr>
        <w:t>2</w:t>
      </w:r>
      <w:r>
        <w:rPr>
          <w:rFonts w:hint="eastAsia" w:ascii="宋体" w:hAnsi="宋体" w:eastAsia="宋体" w:cs="宋体"/>
          <w:kern w:val="2"/>
          <w:lang w:eastAsia="zh-CN"/>
        </w:rPr>
        <w:t>）集群可用率：不低于9</w:t>
      </w:r>
      <w:r>
        <w:rPr>
          <w:rFonts w:hint="eastAsia" w:ascii="宋体" w:hAnsi="宋体" w:cs="宋体"/>
          <w:kern w:val="2"/>
          <w:lang w:val="en-US" w:eastAsia="zh-CN"/>
        </w:rPr>
        <w:t>0</w:t>
      </w:r>
      <w:r>
        <w:rPr>
          <w:rFonts w:hint="eastAsia" w:ascii="宋体" w:hAnsi="宋体" w:eastAsia="宋体" w:cs="宋体"/>
          <w:kern w:val="2"/>
          <w:lang w:eastAsia="zh-CN"/>
        </w:rPr>
        <w:t>%。</w:t>
      </w:r>
    </w:p>
    <w:p w14:paraId="54B62A50">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val="en-US" w:eastAsia="zh-CN"/>
        </w:rPr>
        <w:t>（3）</w:t>
      </w:r>
      <w:r>
        <w:rPr>
          <w:rFonts w:hint="eastAsia" w:ascii="宋体" w:hAnsi="宋体" w:eastAsia="宋体" w:cs="宋体"/>
          <w:kern w:val="2"/>
          <w:lang w:eastAsia="zh-CN"/>
        </w:rPr>
        <w:t>网络：参数面网络可靠性高达99.95%。</w:t>
      </w:r>
    </w:p>
    <w:p w14:paraId="6B82184D">
      <w:pPr>
        <w:widowControl w:val="0"/>
        <w:autoSpaceDE w:val="0"/>
        <w:autoSpaceDN w:val="0"/>
        <w:adjustRightInd w:val="0"/>
        <w:snapToGrid w:val="0"/>
        <w:spacing w:line="360" w:lineRule="auto"/>
        <w:ind w:firstLine="420" w:firstLineChars="200"/>
        <w:jc w:val="both"/>
        <w:outlineLvl w:val="4"/>
        <w:rPr>
          <w:rFonts w:hint="eastAsia" w:ascii="宋体" w:hAnsi="宋体" w:eastAsia="宋体" w:cs="宋体"/>
          <w:b/>
          <w:bCs/>
          <w:kern w:val="2"/>
          <w:lang w:eastAsia="zh-CN"/>
        </w:rPr>
      </w:pPr>
      <w:r>
        <w:rPr>
          <w:rFonts w:hint="eastAsia" w:ascii="宋体" w:hAnsi="宋体" w:eastAsia="宋体" w:cs="宋体"/>
          <w:b/>
          <w:bCs/>
          <w:kern w:val="2"/>
          <w:lang w:val="en-US" w:eastAsia="zh-CN"/>
        </w:rPr>
        <w:t>2、</w:t>
      </w:r>
      <w:r>
        <w:rPr>
          <w:rFonts w:hint="eastAsia" w:ascii="宋体" w:hAnsi="宋体" w:eastAsia="宋体" w:cs="宋体"/>
          <w:b/>
          <w:bCs/>
          <w:kern w:val="2"/>
          <w:lang w:eastAsia="zh-CN"/>
        </w:rPr>
        <w:t>具体运维服务要求</w:t>
      </w:r>
    </w:p>
    <w:p w14:paraId="78EB289F">
      <w:pPr>
        <w:widowControl w:val="0"/>
        <w:autoSpaceDE w:val="0"/>
        <w:autoSpaceDN w:val="0"/>
        <w:adjustRightInd w:val="0"/>
        <w:snapToGrid w:val="0"/>
        <w:spacing w:line="360" w:lineRule="auto"/>
        <w:ind w:firstLine="420" w:firstLineChars="200"/>
        <w:jc w:val="both"/>
        <w:outlineLvl w:val="5"/>
        <w:rPr>
          <w:rFonts w:hint="eastAsia" w:ascii="宋体" w:hAnsi="宋体" w:eastAsia="宋体" w:cs="宋体"/>
          <w:b/>
          <w:bCs/>
          <w:kern w:val="2"/>
          <w:lang w:eastAsia="zh-CN"/>
        </w:rPr>
      </w:pPr>
      <w:r>
        <w:rPr>
          <w:rFonts w:hint="eastAsia" w:ascii="宋体" w:hAnsi="宋体" w:eastAsia="宋体" w:cs="宋体"/>
          <w:b/>
          <w:bCs/>
          <w:kern w:val="2"/>
          <w:lang w:eastAsia="zh-CN"/>
        </w:rPr>
        <w:t>（</w:t>
      </w:r>
      <w:r>
        <w:rPr>
          <w:rFonts w:hint="eastAsia" w:ascii="宋体" w:hAnsi="宋体" w:eastAsia="宋体" w:cs="宋体"/>
          <w:b/>
          <w:bCs/>
          <w:kern w:val="2"/>
          <w:lang w:val="en-US" w:eastAsia="zh-CN"/>
        </w:rPr>
        <w:t>1</w:t>
      </w:r>
      <w:r>
        <w:rPr>
          <w:rFonts w:hint="eastAsia" w:ascii="宋体" w:hAnsi="宋体" w:eastAsia="宋体" w:cs="宋体"/>
          <w:b/>
          <w:bCs/>
          <w:kern w:val="2"/>
          <w:lang w:eastAsia="zh-CN"/>
        </w:rPr>
        <w:t>）智算集群日常运维保障服务</w:t>
      </w:r>
    </w:p>
    <w:p w14:paraId="70825644">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为保障智算集群的稳定运行，为智算集群客户提供高效、快捷的技术服务，支持采购人做好智算集群业务的运维服务，投标人一方面应做好智算集群的日常运维和故障处理等工作，确保整个系统的安全平稳运行；另一方面支撑采购人相关业务部门做好智算算力资源对外的智算集群管理、开通、运行、服务、回收的全流程工作，充分发挥智算集群算力资源池的资源价值，为客户提供业界领先的技术服务，保障服务质量和服务体验，打造智算集群服务的品牌，创造良好的经济效益和社会效益。</w:t>
      </w:r>
    </w:p>
    <w:p w14:paraId="53346E4E">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1）算力集群业务运维支持服务</w:t>
      </w:r>
    </w:p>
    <w:p w14:paraId="1D788D11">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投标人应基于采购人投资建设的软硬件设备，支持采购人智算集群管理团队，对外提供智算服务。投标人需提供以下的智算集群业务服务支持：数据导入、数据极速导入、算力资源配置确认及开通、监控数据报表、独享带宽保障、数据备份恢复服务、平台运行监控、业务运维监控服务、故障诊断及处理等。</w:t>
      </w:r>
    </w:p>
    <w:p w14:paraId="34C879C7">
      <w:pPr>
        <w:spacing w:line="360" w:lineRule="auto"/>
        <w:jc w:val="center"/>
        <w:rPr>
          <w:rFonts w:hint="eastAsia" w:ascii="宋体" w:hAnsi="宋体" w:eastAsia="宋体"/>
          <w:b/>
          <w:bCs/>
          <w:kern w:val="2"/>
          <w:sz w:val="21"/>
          <w:szCs w:val="21"/>
          <w:lang w:eastAsia="zh-CN"/>
        </w:rPr>
      </w:pPr>
      <w:r>
        <w:rPr>
          <w:rFonts w:hint="eastAsia" w:ascii="宋体" w:hAnsi="宋体" w:eastAsia="宋体"/>
          <w:b/>
          <w:bCs/>
          <w:kern w:val="2"/>
          <w:sz w:val="21"/>
          <w:szCs w:val="21"/>
          <w:lang w:eastAsia="zh-CN"/>
        </w:rPr>
        <w:t>智算集群业务运维支持服务</w:t>
      </w:r>
    </w:p>
    <w:tbl>
      <w:tblPr>
        <w:tblStyle w:val="5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9"/>
        <w:gridCol w:w="2505"/>
        <w:gridCol w:w="5358"/>
      </w:tblGrid>
      <w:tr w14:paraId="54569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noWrap/>
            <w:vAlign w:val="center"/>
          </w:tcPr>
          <w:p w14:paraId="09F48E67">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b/>
                <w:bCs/>
                <w:color w:val="000000"/>
                <w:kern w:val="2"/>
                <w:sz w:val="18"/>
                <w:szCs w:val="18"/>
                <w:lang w:eastAsia="zh-CN"/>
              </w:rPr>
            </w:pPr>
            <w:r>
              <w:rPr>
                <w:rFonts w:hint="eastAsia" w:ascii="宋体" w:hAnsi="宋体" w:eastAsia="宋体"/>
                <w:b/>
                <w:bCs/>
                <w:color w:val="000000"/>
                <w:kern w:val="2"/>
                <w:sz w:val="18"/>
                <w:szCs w:val="18"/>
                <w:lang w:eastAsia="zh-CN"/>
              </w:rPr>
              <w:t>序号</w:t>
            </w:r>
          </w:p>
        </w:tc>
        <w:tc>
          <w:tcPr>
            <w:tcW w:w="0" w:type="auto"/>
            <w:noWrap/>
            <w:vAlign w:val="center"/>
          </w:tcPr>
          <w:p w14:paraId="0607C75C">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b/>
                <w:bCs/>
                <w:color w:val="000000"/>
                <w:kern w:val="2"/>
                <w:sz w:val="18"/>
                <w:szCs w:val="18"/>
                <w:lang w:eastAsia="zh-CN"/>
              </w:rPr>
            </w:pPr>
            <w:r>
              <w:rPr>
                <w:rFonts w:hint="eastAsia" w:ascii="宋体" w:hAnsi="宋体" w:eastAsia="宋体"/>
                <w:b/>
                <w:bCs/>
                <w:color w:val="000000"/>
                <w:kern w:val="2"/>
                <w:sz w:val="18"/>
                <w:szCs w:val="18"/>
                <w:lang w:eastAsia="zh-CN"/>
              </w:rPr>
              <w:t>服务事项</w:t>
            </w:r>
          </w:p>
        </w:tc>
        <w:tc>
          <w:tcPr>
            <w:tcW w:w="5358" w:type="dxa"/>
            <w:vAlign w:val="center"/>
          </w:tcPr>
          <w:p w14:paraId="7377C1E7">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b/>
                <w:bCs/>
                <w:color w:val="000000"/>
                <w:kern w:val="2"/>
                <w:sz w:val="18"/>
                <w:szCs w:val="18"/>
                <w:lang w:eastAsia="zh-CN"/>
              </w:rPr>
            </w:pPr>
            <w:r>
              <w:rPr>
                <w:rFonts w:hint="eastAsia" w:ascii="宋体" w:hAnsi="宋体" w:eastAsia="宋体"/>
                <w:b/>
                <w:bCs/>
                <w:color w:val="000000"/>
                <w:kern w:val="2"/>
                <w:sz w:val="18"/>
                <w:szCs w:val="18"/>
                <w:lang w:eastAsia="zh-CN"/>
              </w:rPr>
              <w:t>服务内容</w:t>
            </w:r>
          </w:p>
        </w:tc>
      </w:tr>
      <w:tr w14:paraId="6504A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1A0E375C">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1</w:t>
            </w:r>
          </w:p>
        </w:tc>
        <w:tc>
          <w:tcPr>
            <w:tcW w:w="0" w:type="auto"/>
            <w:noWrap/>
            <w:vAlign w:val="center"/>
          </w:tcPr>
          <w:p w14:paraId="2E6E829D">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数据导入/导出</w:t>
            </w:r>
          </w:p>
        </w:tc>
        <w:tc>
          <w:tcPr>
            <w:tcW w:w="5358" w:type="dxa"/>
            <w:vAlign w:val="center"/>
          </w:tcPr>
          <w:p w14:paraId="609591BB">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1.开通从客户到算力资源池的专项数据导入/导出VPN接入端口，提供有限期的接入服务（不超过2周），配合客户完成数据集导入/导出工作；数据集导入/导出完成之后，拆除该VPN数据集导入通道。数据集导入通道，互联网级别每客户可开通两次，超过次数额外协商。</w:t>
            </w:r>
            <w:r>
              <w:rPr>
                <w:rFonts w:hint="eastAsia" w:ascii="宋体" w:hAnsi="宋体" w:eastAsia="宋体"/>
                <w:color w:val="000000"/>
                <w:kern w:val="2"/>
                <w:sz w:val="18"/>
                <w:szCs w:val="18"/>
                <w:lang w:eastAsia="zh-CN"/>
              </w:rPr>
              <w:br w:type="textWrapping"/>
            </w:r>
            <w:r>
              <w:rPr>
                <w:rFonts w:hint="eastAsia" w:ascii="宋体" w:hAnsi="宋体" w:eastAsia="宋体"/>
                <w:color w:val="000000"/>
                <w:kern w:val="2"/>
                <w:sz w:val="18"/>
                <w:szCs w:val="18"/>
                <w:lang w:eastAsia="zh-CN"/>
              </w:rPr>
              <w:t>2.文件和代码通过管理VPN导入/导出，客户可自助开启。</w:t>
            </w:r>
          </w:p>
        </w:tc>
      </w:tr>
      <w:tr w14:paraId="4922B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7E341016">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2</w:t>
            </w:r>
          </w:p>
        </w:tc>
        <w:tc>
          <w:tcPr>
            <w:tcW w:w="0" w:type="auto"/>
            <w:noWrap/>
            <w:vAlign w:val="center"/>
          </w:tcPr>
          <w:p w14:paraId="2E5A093D">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数据极速导入</w:t>
            </w:r>
          </w:p>
        </w:tc>
        <w:tc>
          <w:tcPr>
            <w:tcW w:w="5358" w:type="dxa"/>
            <w:vAlign w:val="center"/>
          </w:tcPr>
          <w:p w14:paraId="4F213CB4">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为客户提供数据集极速导入业务，专人携带数据存储介质进入IDC操作，数据集即可存入智算空间。</w:t>
            </w:r>
          </w:p>
        </w:tc>
      </w:tr>
      <w:tr w14:paraId="54CD0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534E690F">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3</w:t>
            </w:r>
          </w:p>
        </w:tc>
        <w:tc>
          <w:tcPr>
            <w:tcW w:w="0" w:type="auto"/>
            <w:noWrap/>
            <w:vAlign w:val="center"/>
          </w:tcPr>
          <w:p w14:paraId="02213992">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数据极速导出</w:t>
            </w:r>
          </w:p>
        </w:tc>
        <w:tc>
          <w:tcPr>
            <w:tcW w:w="5358" w:type="dxa"/>
            <w:vAlign w:val="center"/>
          </w:tcPr>
          <w:p w14:paraId="4FAA56B4">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为客户提供数据集极速导出业务，专人携带数据存储介质进入IDC操作，数据集从智算空间导出到客户自己的存储介质</w:t>
            </w:r>
          </w:p>
        </w:tc>
      </w:tr>
      <w:tr w14:paraId="62892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58B39D46">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4</w:t>
            </w:r>
          </w:p>
        </w:tc>
        <w:tc>
          <w:tcPr>
            <w:tcW w:w="0" w:type="auto"/>
            <w:noWrap/>
            <w:vAlign w:val="center"/>
          </w:tcPr>
          <w:p w14:paraId="7DA56729">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算力资源配置确认及开通</w:t>
            </w:r>
          </w:p>
        </w:tc>
        <w:tc>
          <w:tcPr>
            <w:tcW w:w="5358" w:type="dxa"/>
            <w:vAlign w:val="center"/>
          </w:tcPr>
          <w:p w14:paraId="4D737CD7">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客户提出算力资源租赁申请后，提供售前技术服务，包括但不限于：核对租赁要求，设计算力配套资源，确认智算集群服务内容，完成资源开通协助，提供必要的使用指引</w:t>
            </w:r>
          </w:p>
        </w:tc>
      </w:tr>
      <w:tr w14:paraId="17C13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41EF9758">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5</w:t>
            </w:r>
          </w:p>
        </w:tc>
        <w:tc>
          <w:tcPr>
            <w:tcW w:w="0" w:type="auto"/>
            <w:noWrap/>
            <w:vAlign w:val="center"/>
          </w:tcPr>
          <w:p w14:paraId="1F8DE3C3">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系统环境调整服务</w:t>
            </w:r>
          </w:p>
        </w:tc>
        <w:tc>
          <w:tcPr>
            <w:tcW w:w="5358" w:type="dxa"/>
            <w:vAlign w:val="center"/>
          </w:tcPr>
          <w:p w14:paraId="21676CAF">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基于客户的算力资源需求，提供</w:t>
            </w:r>
            <w:r>
              <w:rPr>
                <w:rFonts w:ascii="宋体" w:hAnsi="宋体" w:eastAsia="宋体"/>
                <w:color w:val="000000"/>
                <w:kern w:val="2"/>
                <w:sz w:val="18"/>
                <w:szCs w:val="18"/>
                <w:lang w:eastAsia="zh-CN"/>
              </w:rPr>
              <w:t>操作系统、驱动、</w:t>
            </w:r>
            <w:r>
              <w:rPr>
                <w:rFonts w:hint="eastAsia" w:ascii="宋体" w:hAnsi="宋体" w:eastAsia="宋体"/>
                <w:color w:val="000000"/>
                <w:kern w:val="2"/>
                <w:sz w:val="18"/>
                <w:szCs w:val="18"/>
                <w:lang w:eastAsia="zh-CN"/>
              </w:rPr>
              <w:t>容器、</w:t>
            </w:r>
            <w:r>
              <w:rPr>
                <w:rFonts w:ascii="宋体" w:hAnsi="宋体" w:eastAsia="宋体"/>
                <w:color w:val="000000"/>
                <w:kern w:val="2"/>
                <w:sz w:val="18"/>
                <w:szCs w:val="18"/>
                <w:lang w:eastAsia="zh-CN"/>
              </w:rPr>
              <w:t>K8S的</w:t>
            </w:r>
            <w:r>
              <w:rPr>
                <w:rFonts w:hint="eastAsia" w:ascii="宋体" w:hAnsi="宋体" w:eastAsia="宋体"/>
                <w:color w:val="000000"/>
                <w:kern w:val="2"/>
                <w:sz w:val="18"/>
                <w:szCs w:val="18"/>
                <w:lang w:eastAsia="zh-CN"/>
              </w:rPr>
              <w:t>重新</w:t>
            </w:r>
            <w:r>
              <w:rPr>
                <w:rFonts w:ascii="宋体" w:hAnsi="宋体" w:eastAsia="宋体"/>
                <w:color w:val="000000"/>
                <w:kern w:val="2"/>
                <w:sz w:val="18"/>
                <w:szCs w:val="18"/>
                <w:lang w:eastAsia="zh-CN"/>
              </w:rPr>
              <w:t>部署服务</w:t>
            </w:r>
          </w:p>
        </w:tc>
      </w:tr>
      <w:tr w14:paraId="2301E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6B2508CD">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6</w:t>
            </w:r>
          </w:p>
        </w:tc>
        <w:tc>
          <w:tcPr>
            <w:tcW w:w="0" w:type="auto"/>
            <w:noWrap/>
            <w:vAlign w:val="center"/>
          </w:tcPr>
          <w:p w14:paraId="06CF9D88">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监控数据报表</w:t>
            </w:r>
          </w:p>
        </w:tc>
        <w:tc>
          <w:tcPr>
            <w:tcW w:w="5358" w:type="dxa"/>
            <w:vAlign w:val="center"/>
          </w:tcPr>
          <w:p w14:paraId="65DB2406">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服务周期内，周期性（通常是月）向客户发布邮件，统计算力资源使用情况报表，并提供数据监控的原始点文件</w:t>
            </w:r>
          </w:p>
        </w:tc>
      </w:tr>
      <w:tr w14:paraId="75860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1C1AC85B">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7</w:t>
            </w:r>
          </w:p>
        </w:tc>
        <w:tc>
          <w:tcPr>
            <w:tcW w:w="0" w:type="auto"/>
            <w:noWrap/>
            <w:vAlign w:val="center"/>
          </w:tcPr>
          <w:p w14:paraId="4A8511A4">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独享带宽保障</w:t>
            </w:r>
          </w:p>
        </w:tc>
        <w:tc>
          <w:tcPr>
            <w:tcW w:w="5358" w:type="dxa"/>
            <w:vAlign w:val="center"/>
          </w:tcPr>
          <w:p w14:paraId="6E029E76">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按套餐包含的公网出口带宽为客户提供独享带宽，包括用户portal；用户文件上传；用户ssh访问等</w:t>
            </w:r>
          </w:p>
        </w:tc>
      </w:tr>
      <w:tr w14:paraId="72BE0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31901FFC">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8</w:t>
            </w:r>
          </w:p>
        </w:tc>
        <w:tc>
          <w:tcPr>
            <w:tcW w:w="0" w:type="auto"/>
            <w:noWrap/>
            <w:vAlign w:val="center"/>
          </w:tcPr>
          <w:p w14:paraId="0127C2B8">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数据备份恢复服务</w:t>
            </w:r>
          </w:p>
        </w:tc>
        <w:tc>
          <w:tcPr>
            <w:tcW w:w="5358" w:type="dxa"/>
            <w:vAlign w:val="center"/>
          </w:tcPr>
          <w:p w14:paraId="6D65BAD9">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客户提出数据备份/恢复申请，备份来源为空间内所有有访问权限数据和文件；恢复则为同客户下的前期数据备份</w:t>
            </w:r>
          </w:p>
        </w:tc>
      </w:tr>
      <w:tr w14:paraId="2FDBF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7ECEF0D9">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9</w:t>
            </w:r>
          </w:p>
        </w:tc>
        <w:tc>
          <w:tcPr>
            <w:tcW w:w="0" w:type="auto"/>
            <w:noWrap/>
            <w:vAlign w:val="center"/>
          </w:tcPr>
          <w:p w14:paraId="63FABA6D">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故障诊断及处理</w:t>
            </w:r>
          </w:p>
        </w:tc>
        <w:tc>
          <w:tcPr>
            <w:tcW w:w="5358" w:type="dxa"/>
            <w:vAlign w:val="center"/>
          </w:tcPr>
          <w:p w14:paraId="24CEE2B5">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宋体" w:hAnsi="宋体" w:eastAsia="宋体"/>
                <w:color w:val="000000"/>
                <w:kern w:val="2"/>
                <w:sz w:val="18"/>
                <w:szCs w:val="18"/>
                <w:lang w:eastAsia="zh-CN"/>
              </w:rPr>
            </w:pPr>
            <w:r>
              <w:rPr>
                <w:rFonts w:hint="eastAsia" w:ascii="宋体" w:hAnsi="宋体" w:eastAsia="宋体"/>
                <w:color w:val="000000"/>
                <w:kern w:val="2"/>
                <w:sz w:val="18"/>
                <w:szCs w:val="18"/>
                <w:lang w:eastAsia="zh-CN"/>
              </w:rPr>
              <w:t>平台发生故障或客户使用过程中出现故障，及时安排技术人员进行排查诊断，对故障进行处理和恢复。</w:t>
            </w:r>
          </w:p>
        </w:tc>
      </w:tr>
    </w:tbl>
    <w:p w14:paraId="785F10A1">
      <w:pPr>
        <w:spacing w:line="360" w:lineRule="auto"/>
        <w:ind w:firstLine="420" w:firstLineChars="200"/>
        <w:jc w:val="both"/>
        <w:rPr>
          <w:rFonts w:hint="eastAsia" w:ascii="宋体" w:hAnsi="宋体" w:eastAsia="宋体"/>
          <w:kern w:val="2"/>
          <w:sz w:val="21"/>
          <w:szCs w:val="21"/>
          <w:lang w:eastAsia="zh-CN"/>
        </w:rPr>
      </w:pPr>
      <w:r>
        <w:rPr>
          <w:rFonts w:hint="eastAsia" w:ascii="宋体" w:hAnsi="宋体" w:eastAsia="宋体"/>
          <w:kern w:val="2"/>
          <w:sz w:val="21"/>
          <w:szCs w:val="21"/>
          <w:lang w:eastAsia="zh-CN"/>
        </w:rPr>
        <w:t>注：本文所写“客户”是指与本项目采购人签署算力租赁服务合同、并实际使用本项目算力集群资源的单位。</w:t>
      </w:r>
    </w:p>
    <w:p w14:paraId="720DEF57">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w:t>
      </w:r>
      <w:r>
        <w:rPr>
          <w:rFonts w:hint="eastAsia" w:ascii="宋体" w:hAnsi="宋体" w:eastAsia="宋体" w:cs="宋体"/>
          <w:kern w:val="2"/>
          <w:lang w:val="en-US" w:eastAsia="zh-CN"/>
        </w:rPr>
        <w:t>a</w:t>
      </w:r>
      <w:r>
        <w:rPr>
          <w:rFonts w:hint="eastAsia" w:ascii="宋体" w:hAnsi="宋体" w:eastAsia="宋体" w:cs="宋体"/>
          <w:kern w:val="2"/>
          <w:lang w:eastAsia="zh-CN"/>
        </w:rPr>
        <w:t>）算力资源开通的技术支持</w:t>
      </w:r>
    </w:p>
    <w:p w14:paraId="1BA3CA61">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为客户提供智算中心平台相关的技术支持，协助客户算力资源管理团队推动客户完成试用、或长期租用算力中心的智算资源服务；</w:t>
      </w:r>
    </w:p>
    <w:p w14:paraId="7597A2C2">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①采取线下约谈或线上会议方式与智算中心客户进行算力服务需求的技术方案交流。</w:t>
      </w:r>
    </w:p>
    <w:p w14:paraId="554BDD2B">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②对智算中心客户的需求进行分析，协助智算中心管理人员 收集需求信息，并完成相关方案编写工作。</w:t>
      </w:r>
    </w:p>
    <w:p w14:paraId="5A709BA7">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③技术方案POC测试：</w:t>
      </w:r>
    </w:p>
    <w:p w14:paraId="2D103820">
      <w:pPr>
        <w:widowControl w:val="0"/>
        <w:numPr>
          <w:ilvl w:val="12"/>
          <w:numId w:val="0"/>
        </w:numPr>
        <w:autoSpaceDE w:val="0"/>
        <w:autoSpaceDN w:val="0"/>
        <w:adjustRightInd w:val="0"/>
        <w:snapToGrid w:val="0"/>
        <w:spacing w:line="360" w:lineRule="auto"/>
        <w:ind w:firstLine="480"/>
        <w:jc w:val="both"/>
        <w:rPr>
          <w:rFonts w:hint="eastAsia" w:ascii="宋体" w:hAnsi="宋体" w:eastAsia="宋体" w:cs="宋体"/>
          <w:kern w:val="2"/>
          <w:lang w:eastAsia="zh-CN"/>
        </w:rPr>
      </w:pPr>
      <w:r>
        <w:rPr>
          <w:rFonts w:hint="eastAsia" w:ascii="宋体" w:hAnsi="宋体" w:eastAsia="宋体" w:cs="宋体"/>
          <w:kern w:val="2"/>
          <w:lang w:eastAsia="zh-CN"/>
        </w:rPr>
        <w:t>根据收到的试用、租用智算资源需求，负责评估当前智算平台能否满足测试或租用需求，资源具备则及时调整智算中心平台的虚拟算力资源或裸金属算力资源；</w:t>
      </w:r>
    </w:p>
    <w:p w14:paraId="6245F106">
      <w:pPr>
        <w:widowControl w:val="0"/>
        <w:numPr>
          <w:ilvl w:val="12"/>
          <w:numId w:val="0"/>
        </w:numPr>
        <w:autoSpaceDE w:val="0"/>
        <w:autoSpaceDN w:val="0"/>
        <w:adjustRightInd w:val="0"/>
        <w:snapToGrid w:val="0"/>
        <w:spacing w:line="360" w:lineRule="auto"/>
        <w:ind w:firstLine="480"/>
        <w:jc w:val="both"/>
        <w:rPr>
          <w:rFonts w:hint="eastAsia" w:ascii="宋体" w:hAnsi="宋体" w:eastAsia="宋体" w:cs="宋体"/>
          <w:kern w:val="2"/>
          <w:lang w:eastAsia="zh-CN"/>
        </w:rPr>
      </w:pPr>
      <w:r>
        <w:rPr>
          <w:rFonts w:hint="eastAsia" w:ascii="宋体" w:hAnsi="宋体" w:eastAsia="宋体" w:cs="宋体"/>
          <w:kern w:val="2"/>
          <w:lang w:eastAsia="zh-CN"/>
        </w:rPr>
        <w:t>根据收到的客户试用、租用或购买需求，提供相应的IB组网方案；若组网不满足客户需求，需在买方数据中心机房进行相应的设备上架、设备调整、线缆布线和组网变更等；</w:t>
      </w:r>
    </w:p>
    <w:p w14:paraId="303C655F">
      <w:pPr>
        <w:widowControl w:val="0"/>
        <w:numPr>
          <w:ilvl w:val="12"/>
          <w:numId w:val="0"/>
        </w:numPr>
        <w:autoSpaceDE w:val="0"/>
        <w:autoSpaceDN w:val="0"/>
        <w:adjustRightInd w:val="0"/>
        <w:snapToGrid w:val="0"/>
        <w:spacing w:line="360" w:lineRule="auto"/>
        <w:ind w:firstLine="480"/>
        <w:jc w:val="both"/>
        <w:rPr>
          <w:rFonts w:hint="eastAsia" w:ascii="宋体" w:hAnsi="宋体" w:eastAsia="宋体" w:cs="宋体"/>
          <w:kern w:val="2"/>
          <w:lang w:eastAsia="zh-CN"/>
        </w:rPr>
      </w:pPr>
      <w:r>
        <w:rPr>
          <w:rFonts w:hint="eastAsia" w:ascii="宋体" w:hAnsi="宋体" w:eastAsia="宋体" w:cs="宋体"/>
          <w:kern w:val="2"/>
          <w:lang w:eastAsia="zh-CN"/>
        </w:rPr>
        <w:t>负责为测试客户开通或回收智算平台资源及账号信息：包括裸金属服务器数量、VPN账号、操作系统账号及登录方式，提供VPN客户端、VPN网关地址、共享存储空间、跳板机登录地址，并为客户提供配套使用手册。</w:t>
      </w:r>
    </w:p>
    <w:p w14:paraId="1809C076">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④根据采购人要求，积极配合智算中心管理团队提供智算中心客户招投标相关材料支持。</w:t>
      </w:r>
    </w:p>
    <w:p w14:paraId="49292544">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w:t>
      </w:r>
      <w:r>
        <w:rPr>
          <w:rFonts w:hint="eastAsia" w:ascii="宋体" w:hAnsi="宋体" w:cs="宋体"/>
          <w:kern w:val="2"/>
          <w:lang w:val="en-US" w:eastAsia="zh-CN"/>
        </w:rPr>
        <w:t>b</w:t>
      </w:r>
      <w:r>
        <w:rPr>
          <w:rFonts w:hint="eastAsia" w:ascii="宋体" w:hAnsi="宋体" w:eastAsia="宋体" w:cs="宋体"/>
          <w:kern w:val="2"/>
          <w:lang w:eastAsia="zh-CN"/>
        </w:rPr>
        <w:t>）客户接入及业务开通服务</w:t>
      </w:r>
    </w:p>
    <w:p w14:paraId="4A877699">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①根据收到的客户租用或购买需求，提供相应的IB组网方案；若组网不满足客户需求，在采购人数据中心机房进行相应的设备调整及当前范围内的线缆布线和组网变更等；</w:t>
      </w:r>
    </w:p>
    <w:p w14:paraId="49DD9DB4">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②负责根据正式客户业务开通需求，规划和调整共享存储空间，指导第三方团队进行共享存储的组网规划和调整，初始化共享存储空间以及共享存储空间的整体分配；</w:t>
      </w:r>
    </w:p>
    <w:p w14:paraId="55F7DF3A">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③负责根据客户需求进行智算服务器设备加电、操作系统的批量安装与重装、带外管理网配置、管理网卡绑定和配置、网卡驱动和</w:t>
      </w:r>
      <w:r>
        <w:rPr>
          <w:rFonts w:hint="eastAsia" w:ascii="宋体" w:hAnsi="宋体" w:cs="宋体"/>
          <w:kern w:val="2"/>
          <w:lang w:val="en-US" w:eastAsia="zh-CN"/>
        </w:rPr>
        <w:t>AI卡</w:t>
      </w:r>
      <w:r>
        <w:rPr>
          <w:rFonts w:hint="eastAsia" w:ascii="宋体" w:hAnsi="宋体" w:eastAsia="宋体" w:cs="宋体"/>
          <w:kern w:val="2"/>
          <w:lang w:eastAsia="zh-CN"/>
        </w:rPr>
        <w:t>驱动的安装、IB网卡配置；</w:t>
      </w:r>
    </w:p>
    <w:p w14:paraId="213B8FEF">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④负责在客户测试或正式业务上线交付前的带宽时延测试，包括读、写操作带宽测试，读写操作时延测试，发送操作带宽和时延测试，以及其他必要的测试；</w:t>
      </w:r>
    </w:p>
    <w:p w14:paraId="050D91D4">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⑤负责智算中心堡垒机资源的添加和维护，角色和权限的分配；因人为误操作或资源不可用等故障，责任无法判断时，负责查看和回溯堡垒机上的录屏内容，明确各方责任；</w:t>
      </w:r>
    </w:p>
    <w:p w14:paraId="74A028DC">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⑥负责为正式客户开通或回收智算平台资源及账号信息：包括裸金属服务器数量、VPN账号、操作系统账号及登录方式，提供VPN客户端、VPN网关地址、共享存储空间、跳板机登录地址，并为客户提供配套使用手册；</w:t>
      </w:r>
    </w:p>
    <w:p w14:paraId="3F4C7EA0">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⑦负责客户数据集磁盘或磁盘矩阵的挂载、客户数据集导入、磁盘或磁盘阵列卸载，并通知客户数据集是否导入成功，由客户确认下一步操作。</w:t>
      </w:r>
    </w:p>
    <w:p w14:paraId="74A29FF5">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⑧协助采购人在每个月【5】日前（如遇节日则相应顺延）填报上一月租户服务费用结算单中相关技术部分的内容，发送给采购人。</w:t>
      </w:r>
    </w:p>
    <w:p w14:paraId="1DDF600F">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2）算力集群日常运行维护服务</w:t>
      </w:r>
    </w:p>
    <w:p w14:paraId="1D74E236">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w:t>
      </w:r>
      <w:r>
        <w:rPr>
          <w:rFonts w:hint="eastAsia" w:ascii="宋体" w:hAnsi="宋体" w:eastAsia="宋体" w:cs="宋体"/>
          <w:kern w:val="2"/>
          <w:lang w:val="en-US" w:eastAsia="zh-CN"/>
        </w:rPr>
        <w:t>a</w:t>
      </w:r>
      <w:r>
        <w:rPr>
          <w:rFonts w:hint="eastAsia" w:ascii="宋体" w:hAnsi="宋体" w:eastAsia="宋体" w:cs="宋体"/>
          <w:kern w:val="2"/>
          <w:lang w:eastAsia="zh-CN"/>
        </w:rPr>
        <w:t>）基础维护要求</w:t>
      </w:r>
    </w:p>
    <w:p w14:paraId="28170564">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基础维护指为保证系统正常运行所需的预防性维护，日常维护支持，网络调整支持，数据备份支持等工作。包括：</w:t>
      </w:r>
    </w:p>
    <w:p w14:paraId="163683A7">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①日常维护技术支持：对系统的网络、硬件、软件系统进行维护，监控运行情况，保证系统正常运行。</w:t>
      </w:r>
    </w:p>
    <w:p w14:paraId="44656B98">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②日常投诉处理：支撑采购人智算中心管理人员处理客户投诉，并提供相关技术支撑工作。</w:t>
      </w:r>
    </w:p>
    <w:p w14:paraId="01DD7C77">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③系统重装技术支持：负责系统服务端软件的安装。</w:t>
      </w:r>
    </w:p>
    <w:p w14:paraId="28FC9755">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④数据安全性管理技术支持：对系统的数据备份和恢复进行技术支持，以备在异常情况下尽快恢复系统。</w:t>
      </w:r>
    </w:p>
    <w:p w14:paraId="7D4650E6">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⑤成立专门的技术支持部门，由运维服务部经理统一协调技术服务工作。</w:t>
      </w:r>
    </w:p>
    <w:p w14:paraId="0D9A812B">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⑥支持电话、传真、电子邮件、WWW等方式的售后技术服务要求。</w:t>
      </w:r>
    </w:p>
    <w:p w14:paraId="7B59FA9A">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⑦远程无法解决的，需协调人员到现场进行更高层面的售后技术支持服务，同时协调第三方相关设备厂家共同到达客户问题现场。具体故障响应时间以及故障恢复时间，需要依据第三方相关设备厂商技术服务承诺要求。</w:t>
      </w:r>
    </w:p>
    <w:p w14:paraId="45EFD7B0">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⑧对智算中心的运行状况提供定期巡检服务。每周一次巡检，每个月进行一次深度巡检工作，保证软件和业务报表的数据健康、平稳运行。对于巡检中出现的隐患、高危或异常情况，及时汇报给采购人，并提供建议的解决方案。</w:t>
      </w:r>
    </w:p>
    <w:p w14:paraId="1D324A97">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⑨配备网络安全专业技术人员，对系统定期进行安全检查，对运行中存在的安全隐患、检查发现的漏洞、安全问题等及时进行修复和解决。</w:t>
      </w:r>
    </w:p>
    <w:p w14:paraId="2D64398E">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⑩负责撰写智算中心月报，并提供给采购人运营团队。基于目前智算集群所有软硬件资源，定期提供满足采购方资源监控平台所要求的</w:t>
      </w:r>
      <w:bookmarkStart w:id="14" w:name="_GoBack"/>
      <w:bookmarkEnd w:id="14"/>
      <w:r>
        <w:rPr>
          <w:rFonts w:hint="eastAsia" w:ascii="宋体" w:hAnsi="宋体" w:eastAsia="宋体" w:cs="宋体"/>
          <w:kern w:val="2"/>
          <w:lang w:eastAsia="zh-CN"/>
        </w:rPr>
        <w:t>监控项列表，以及资源监控的详细信息。</w:t>
      </w:r>
    </w:p>
    <w:p w14:paraId="7900C6FD">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w:t>
      </w:r>
      <w:r>
        <w:rPr>
          <w:rFonts w:hint="eastAsia" w:ascii="宋体" w:hAnsi="宋体" w:cs="宋体"/>
          <w:kern w:val="2"/>
          <w:lang w:val="en-US" w:eastAsia="zh-CN"/>
        </w:rPr>
        <w:t>b</w:t>
      </w:r>
      <w:r>
        <w:rPr>
          <w:rFonts w:hint="eastAsia" w:ascii="宋体" w:hAnsi="宋体" w:eastAsia="宋体" w:cs="宋体"/>
          <w:kern w:val="2"/>
          <w:lang w:eastAsia="zh-CN"/>
        </w:rPr>
        <w:t>）升级支持服务</w:t>
      </w:r>
    </w:p>
    <w:p w14:paraId="2DDEBFE9">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①操作系统升级服务。</w:t>
      </w:r>
    </w:p>
    <w:p w14:paraId="55752BFA">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②版本升级技术支持：系统软件版本的升级。</w:t>
      </w:r>
    </w:p>
    <w:p w14:paraId="0B2509F6">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③漏洞补丁安装服务：定期做系统巡检，与租户确认后，对发现的漏洞进行补丁安装服务。</w:t>
      </w:r>
    </w:p>
    <w:p w14:paraId="26FBEAAD">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w:t>
      </w:r>
      <w:r>
        <w:rPr>
          <w:rFonts w:hint="eastAsia" w:ascii="宋体" w:hAnsi="宋体" w:cs="宋体"/>
          <w:kern w:val="2"/>
          <w:lang w:val="en-US" w:eastAsia="zh-CN"/>
        </w:rPr>
        <w:t>c</w:t>
      </w:r>
      <w:r>
        <w:rPr>
          <w:rFonts w:hint="eastAsia" w:ascii="宋体" w:hAnsi="宋体" w:eastAsia="宋体" w:cs="宋体"/>
          <w:kern w:val="2"/>
          <w:lang w:eastAsia="zh-CN"/>
        </w:rPr>
        <w:t>）网络及安全运维工作</w:t>
      </w:r>
    </w:p>
    <w:p w14:paraId="2966AD31">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①负责整体智算中心网络安全策略的规划和动态调整，保障内部网络安全；</w:t>
      </w:r>
    </w:p>
    <w:p w14:paraId="630EE912">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②负责整体智算中心配套设备的安全加固和漏洞整改，保障平台自身安全；</w:t>
      </w:r>
    </w:p>
    <w:p w14:paraId="4E104130">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w:t>
      </w:r>
      <w:r>
        <w:rPr>
          <w:rFonts w:hint="eastAsia" w:ascii="宋体" w:hAnsi="宋体" w:cs="宋体"/>
          <w:kern w:val="2"/>
          <w:lang w:val="en-US" w:eastAsia="zh-CN"/>
        </w:rPr>
        <w:t>d</w:t>
      </w:r>
      <w:r>
        <w:rPr>
          <w:rFonts w:hint="eastAsia" w:ascii="宋体" w:hAnsi="宋体" w:eastAsia="宋体" w:cs="宋体"/>
          <w:kern w:val="2"/>
          <w:lang w:eastAsia="zh-CN"/>
        </w:rPr>
        <w:t>）故障处理服务</w:t>
      </w:r>
    </w:p>
    <w:p w14:paraId="60A1AC9F">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用户在使用系统时如遇到问题，无论是软件、硬件或是网络，都应得到相应的支持与帮助，并提供故障诊断分析和解决方案；严重故障导致系统不能正常运行，通过电话或远程无法解决,应在设备厂家备品备件准备就绪的情况下，满足现场故障处理的要求。应建立故障处理机制，原则上必须满足以下要求：</w:t>
      </w:r>
    </w:p>
    <w:p w14:paraId="356835F7">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①建立故障单上报机制</w:t>
      </w:r>
    </w:p>
    <w:p w14:paraId="79EB1546">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②建立故障报警机制</w:t>
      </w:r>
    </w:p>
    <w:p w14:paraId="4A9C28BF">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③建立故障表单并存储</w:t>
      </w:r>
    </w:p>
    <w:p w14:paraId="63D40D36">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④业务影响确认：故障发生后，应尽快确认是否影响用户业务使用，采购人通过投诉预警、业务拨测、KPI性能指标监测、网络舆情等信息，以及通过登录信息进行用户业务影响情况确认，根据该信息判断是否为重大故障。</w:t>
      </w:r>
    </w:p>
    <w:p w14:paraId="590BCB0C">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⑤具体故障处理以及解决，需要依据第三方相关设备厂商技术服务承诺要求。</w:t>
      </w:r>
    </w:p>
    <w:p w14:paraId="347983EC">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w:t>
      </w:r>
      <w:r>
        <w:rPr>
          <w:rFonts w:hint="eastAsia" w:ascii="宋体" w:hAnsi="宋体" w:cs="宋体"/>
          <w:kern w:val="2"/>
          <w:lang w:val="en-US" w:eastAsia="zh-CN"/>
        </w:rPr>
        <w:t>e</w:t>
      </w:r>
      <w:r>
        <w:rPr>
          <w:rFonts w:hint="eastAsia" w:ascii="宋体" w:hAnsi="宋体" w:eastAsia="宋体" w:cs="宋体"/>
          <w:kern w:val="2"/>
          <w:lang w:eastAsia="zh-CN"/>
        </w:rPr>
        <w:t>）算力客户驻场技术支持服务</w:t>
      </w:r>
    </w:p>
    <w:p w14:paraId="34C6B22D">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投标人根据采购人要求，派遣技术人员至最终算力使用客户的工作场地，按照最终算力客户业务需求，按需开展模型微调、算子适配等业务支持增值技术服务。此部分服务具体可能包括以下事项：</w:t>
      </w:r>
    </w:p>
    <w:p w14:paraId="45AE4017">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（1）模型微调技术支持：根据算力客户提供的预训练模型和数据，开展针对性优化，以提升其在特定任务上的性能。</w:t>
      </w:r>
    </w:p>
    <w:p w14:paraId="48DD80BB">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（2）算子适配技术支持：根据算力客户提供的算子或AI框架文件，开展适配CUDA、</w:t>
      </w:r>
      <w:r>
        <w:rPr>
          <w:rFonts w:hint="eastAsia" w:ascii="宋体" w:hAnsi="宋体" w:cs="宋体"/>
          <w:kern w:val="2"/>
          <w:lang w:eastAsia="zh-CN"/>
        </w:rPr>
        <w:t>AI</w:t>
      </w:r>
      <w:r>
        <w:rPr>
          <w:rFonts w:hint="eastAsia" w:ascii="宋体" w:hAnsi="宋体" w:eastAsia="宋体" w:cs="宋体"/>
          <w:kern w:val="2"/>
          <w:lang w:eastAsia="zh-CN"/>
        </w:rPr>
        <w:t>卡等技术服务工作。</w:t>
      </w:r>
    </w:p>
    <w:p w14:paraId="74A05F9F">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（3）其他技术服务：根据算力客户需求，提供其他专业技术支持服务。</w:t>
      </w:r>
    </w:p>
    <w:p w14:paraId="478140DC">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w:t>
      </w:r>
      <w:r>
        <w:rPr>
          <w:rFonts w:hint="eastAsia" w:ascii="宋体" w:hAnsi="宋体" w:cs="宋体"/>
          <w:kern w:val="2"/>
          <w:lang w:val="en-US" w:eastAsia="zh-CN"/>
        </w:rPr>
        <w:t>f</w:t>
      </w:r>
      <w:r>
        <w:rPr>
          <w:rFonts w:hint="eastAsia" w:ascii="宋体" w:hAnsi="宋体" w:eastAsia="宋体" w:cs="宋体"/>
          <w:kern w:val="2"/>
          <w:lang w:eastAsia="zh-CN"/>
        </w:rPr>
        <w:t>）培训及其他服务</w:t>
      </w:r>
    </w:p>
    <w:p w14:paraId="44A2198E">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培训服务：向采购人或算力集群使用客户提供免费运维培训，包括平台使用、运维、故障排查等。</w:t>
      </w:r>
    </w:p>
    <w:p w14:paraId="19BB2A11">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专家服务：参与采购人有关智算集群运维、扩容等事项的重大技术论证会，提供专家意见。</w:t>
      </w:r>
    </w:p>
    <w:p w14:paraId="3C497A9C">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w:t>
      </w:r>
      <w:r>
        <w:rPr>
          <w:rFonts w:hint="eastAsia" w:ascii="宋体" w:hAnsi="宋体" w:cs="宋体"/>
          <w:kern w:val="2"/>
          <w:lang w:val="en-US" w:eastAsia="zh-CN"/>
        </w:rPr>
        <w:t>g</w:t>
      </w:r>
      <w:r>
        <w:rPr>
          <w:rFonts w:hint="eastAsia" w:ascii="宋体" w:hAnsi="宋体" w:eastAsia="宋体" w:cs="宋体"/>
          <w:kern w:val="2"/>
          <w:lang w:eastAsia="zh-CN"/>
        </w:rPr>
        <w:t>）定期总结报告</w:t>
      </w:r>
    </w:p>
    <w:p w14:paraId="7101C245">
      <w:pPr>
        <w:widowControl w:val="0"/>
        <w:numPr>
          <w:ilvl w:val="12"/>
          <w:numId w:val="0"/>
        </w:numPr>
        <w:autoSpaceDE w:val="0"/>
        <w:autoSpaceDN w:val="0"/>
        <w:adjustRightInd w:val="0"/>
        <w:snapToGrid w:val="0"/>
        <w:spacing w:line="360" w:lineRule="auto"/>
        <w:ind w:firstLine="480"/>
        <w:jc w:val="both"/>
        <w:rPr>
          <w:rFonts w:hint="eastAsia" w:ascii="宋体" w:hAnsi="宋体" w:eastAsia="宋体" w:cs="宋体"/>
          <w:kern w:val="2"/>
          <w:lang w:eastAsia="zh-CN"/>
        </w:rPr>
      </w:pPr>
      <w:r>
        <w:rPr>
          <w:rFonts w:hint="eastAsia" w:ascii="宋体" w:hAnsi="宋体" w:eastAsia="宋体" w:cs="宋体"/>
          <w:kern w:val="2"/>
          <w:lang w:eastAsia="zh-CN"/>
        </w:rPr>
        <w:t>月度报告：根据采购人要求，每月提供一份书面的智算集群运维月度报告。报告内容应包含集群设备当月的运行状况、集群使用客户资源利用情况、质保事件情况、备件使用情况等其他相关信息。</w:t>
      </w:r>
    </w:p>
    <w:p w14:paraId="6B86C8CD">
      <w:pPr>
        <w:widowControl w:val="0"/>
        <w:numPr>
          <w:ilvl w:val="12"/>
          <w:numId w:val="0"/>
        </w:numPr>
        <w:autoSpaceDE w:val="0"/>
        <w:autoSpaceDN w:val="0"/>
        <w:adjustRightInd w:val="0"/>
        <w:snapToGrid w:val="0"/>
        <w:spacing w:line="360" w:lineRule="auto"/>
        <w:ind w:firstLine="480"/>
        <w:jc w:val="both"/>
        <w:rPr>
          <w:rFonts w:hint="eastAsia" w:ascii="宋体" w:hAnsi="宋体" w:eastAsia="宋体" w:cs="宋体"/>
          <w:kern w:val="2"/>
          <w:lang w:eastAsia="zh-CN"/>
        </w:rPr>
      </w:pPr>
      <w:r>
        <w:rPr>
          <w:rFonts w:hint="eastAsia" w:ascii="宋体" w:hAnsi="宋体" w:eastAsia="宋体" w:cs="宋体"/>
          <w:kern w:val="2"/>
          <w:lang w:eastAsia="zh-CN"/>
        </w:rPr>
        <w:t>季度例会：根据采购人要求，每季度开展一次季度会议，线上或线下会议形式的汇报当季度的运维情况。汇报内容应包含集群设备当季度的运行状况、集群使用客户资源利用情况、质保事件情况、备件使用情况等其他相关信息。</w:t>
      </w:r>
    </w:p>
    <w:p w14:paraId="2CD24481">
      <w:pPr>
        <w:widowControl w:val="0"/>
        <w:autoSpaceDE w:val="0"/>
        <w:autoSpaceDN w:val="0"/>
        <w:adjustRightInd w:val="0"/>
        <w:snapToGrid w:val="0"/>
        <w:spacing w:line="360" w:lineRule="auto"/>
        <w:ind w:firstLine="480"/>
        <w:jc w:val="both"/>
        <w:rPr>
          <w:rFonts w:hint="eastAsia" w:ascii="宋体" w:hAnsi="宋体" w:eastAsia="宋体" w:cs="宋体"/>
          <w:kern w:val="2"/>
          <w:lang w:eastAsia="zh-CN"/>
        </w:rPr>
      </w:pPr>
      <w:r>
        <w:rPr>
          <w:rFonts w:hint="eastAsia" w:ascii="宋体" w:hAnsi="宋体" w:eastAsia="宋体" w:cs="宋体"/>
          <w:kern w:val="2"/>
          <w:lang w:eastAsia="zh-CN"/>
        </w:rPr>
        <w:t>年度报告：根据采购人要求，每年提供一份智算集群运维总结报告。报告应对全年集群的运行状况、集群使用客户资源利用情况、质保事件情况、备件使用情况进行统计分析，对常见故障及处理方案进行总结。</w:t>
      </w:r>
    </w:p>
    <w:p w14:paraId="75507439">
      <w:pPr>
        <w:widowControl w:val="0"/>
        <w:autoSpaceDE w:val="0"/>
        <w:autoSpaceDN w:val="0"/>
        <w:adjustRightInd w:val="0"/>
        <w:snapToGrid w:val="0"/>
        <w:spacing w:line="360" w:lineRule="auto"/>
        <w:ind w:firstLine="420" w:firstLineChars="200"/>
        <w:jc w:val="both"/>
        <w:outlineLvl w:val="5"/>
        <w:rPr>
          <w:rFonts w:hint="eastAsia" w:ascii="宋体" w:hAnsi="宋体" w:eastAsia="宋体" w:cs="宋体"/>
          <w:b/>
          <w:bCs/>
          <w:kern w:val="2"/>
          <w:lang w:eastAsia="zh-CN"/>
        </w:rPr>
      </w:pPr>
      <w:r>
        <w:rPr>
          <w:rFonts w:hint="eastAsia" w:ascii="宋体" w:hAnsi="宋体" w:eastAsia="宋体" w:cs="宋体"/>
          <w:b/>
          <w:bCs/>
          <w:kern w:val="2"/>
          <w:lang w:val="en-US" w:eastAsia="zh-CN"/>
        </w:rPr>
        <w:t>（2）</w:t>
      </w:r>
      <w:r>
        <w:rPr>
          <w:rFonts w:hint="eastAsia" w:ascii="宋体" w:hAnsi="宋体" w:eastAsia="宋体" w:cs="宋体"/>
          <w:b/>
          <w:bCs/>
          <w:kern w:val="2"/>
          <w:lang w:eastAsia="zh-CN"/>
        </w:rPr>
        <w:t>配套设备备件支持服务</w:t>
      </w:r>
    </w:p>
    <w:p w14:paraId="2A87A76B">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1）对智算集群除</w:t>
      </w:r>
      <w:r>
        <w:rPr>
          <w:rFonts w:hint="eastAsia" w:ascii="宋体" w:hAnsi="宋体" w:cs="宋体"/>
          <w:kern w:val="2"/>
          <w:lang w:val="en-US" w:eastAsia="zh-CN"/>
        </w:rPr>
        <w:t>AI</w:t>
      </w:r>
      <w:r>
        <w:rPr>
          <w:rFonts w:hint="eastAsia" w:ascii="宋体" w:hAnsi="宋体" w:eastAsia="宋体" w:cs="宋体"/>
          <w:kern w:val="2"/>
          <w:lang w:eastAsia="zh-CN"/>
        </w:rPr>
        <w:t>服务器以外的硬件部分，提供足够的备品备件支持服务（供应商在范围内承诺备件比例），确保服务期内智算集群的正常运转和使用。</w:t>
      </w:r>
    </w:p>
    <w:p w14:paraId="32D9E2D7">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2</w:t>
      </w:r>
      <w:r>
        <w:rPr>
          <w:rFonts w:hint="eastAsia" w:ascii="宋体" w:hAnsi="宋体" w:cs="宋体"/>
          <w:kern w:val="2"/>
          <w:lang w:eastAsia="zh-CN"/>
        </w:rPr>
        <w:t>）</w:t>
      </w:r>
      <w:r>
        <w:rPr>
          <w:rFonts w:hint="eastAsia" w:ascii="宋体" w:hAnsi="宋体" w:eastAsia="宋体" w:cs="宋体"/>
          <w:kern w:val="2"/>
          <w:lang w:eastAsia="zh-CN"/>
        </w:rPr>
        <w:t>对智算集群除GPU服务器以外的硬件部分，确保服务期内智算集群的正常运转和使用，硬件故障恢复要求7*24小时覆盖，实时响应，乙方自身需有足够的备品备件资源以达到可4小时内到现场及恢复能力，在4小时内到现场及解决故障。</w:t>
      </w:r>
    </w:p>
    <w:p w14:paraId="5FD7699E">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3）</w:t>
      </w:r>
      <w:r>
        <w:rPr>
          <w:rFonts w:hint="eastAsia" w:ascii="宋体" w:hAnsi="宋体" w:eastAsia="宋体" w:cs="宋体"/>
          <w:b w:val="0"/>
          <w:bCs w:val="0"/>
          <w:kern w:val="2"/>
          <w:lang w:eastAsia="zh-CN"/>
        </w:rPr>
        <w:t>原则</w:t>
      </w:r>
      <w:r>
        <w:rPr>
          <w:rFonts w:hint="eastAsia" w:ascii="宋体" w:hAnsi="宋体" w:cs="宋体"/>
          <w:b w:val="0"/>
          <w:bCs w:val="0"/>
          <w:kern w:val="2"/>
          <w:lang w:val="en-US" w:eastAsia="zh-CN"/>
        </w:rPr>
        <w:t>上</w:t>
      </w:r>
      <w:r>
        <w:rPr>
          <w:rFonts w:hint="eastAsia" w:ascii="宋体" w:hAnsi="宋体" w:eastAsia="宋体" w:cs="宋体"/>
          <w:b w:val="0"/>
          <w:bCs w:val="0"/>
          <w:kern w:val="2"/>
          <w:lang w:eastAsia="zh-CN"/>
        </w:rPr>
        <w:t>配套设备备件支持服务需与</w:t>
      </w:r>
      <w:r>
        <w:rPr>
          <w:rFonts w:hint="eastAsia" w:ascii="宋体" w:hAnsi="宋体" w:eastAsia="宋体" w:cs="宋体"/>
          <w:b w:val="0"/>
          <w:bCs w:val="0"/>
          <w:kern w:val="2"/>
          <w:lang w:val="en-US" w:eastAsia="zh-CN"/>
        </w:rPr>
        <w:t>本项目建设阶段投标确定的</w:t>
      </w:r>
      <w:r>
        <w:rPr>
          <w:rFonts w:hint="eastAsia" w:ascii="宋体" w:hAnsi="宋体" w:eastAsia="宋体" w:cs="宋体"/>
          <w:b w:val="0"/>
          <w:bCs w:val="0"/>
          <w:kern w:val="2"/>
          <w:lang w:eastAsia="zh-CN"/>
        </w:rPr>
        <w:t>设备型号严格</w:t>
      </w:r>
      <w:r>
        <w:rPr>
          <w:rFonts w:hint="eastAsia" w:ascii="宋体" w:hAnsi="宋体" w:cs="宋体"/>
          <w:b w:val="0"/>
          <w:bCs w:val="0"/>
          <w:kern w:val="2"/>
          <w:lang w:val="en-US" w:eastAsia="zh-CN"/>
        </w:rPr>
        <w:t>适配</w:t>
      </w:r>
      <w:r>
        <w:rPr>
          <w:rFonts w:hint="eastAsia" w:ascii="宋体" w:hAnsi="宋体" w:eastAsia="宋体" w:cs="宋体"/>
          <w:b w:val="0"/>
          <w:bCs w:val="0"/>
          <w:kern w:val="2"/>
          <w:lang w:eastAsia="zh-CN"/>
        </w:rPr>
        <w:t>，</w:t>
      </w:r>
      <w:r>
        <w:rPr>
          <w:rFonts w:hint="eastAsia" w:ascii="宋体" w:hAnsi="宋体" w:eastAsia="宋体" w:cs="宋体"/>
          <w:kern w:val="2"/>
          <w:lang w:eastAsia="zh-CN"/>
        </w:rPr>
        <w:t>确保兼容性及功能一致性。如有特殊情况（如原设备部件已停产、其他客观原因无法采购、不可抗力等情况），投标人应通知采购人，提供不降低性能且适配原设备的备件</w:t>
      </w:r>
      <w:r>
        <w:rPr>
          <w:rFonts w:hint="eastAsia" w:ascii="宋体" w:hAnsi="宋体" w:cs="宋体"/>
          <w:kern w:val="2"/>
          <w:lang w:val="en-US" w:eastAsia="zh-CN"/>
        </w:rPr>
        <w:t>支持服务</w:t>
      </w:r>
      <w:r>
        <w:rPr>
          <w:rFonts w:hint="eastAsia" w:ascii="宋体" w:hAnsi="宋体" w:eastAsia="宋体" w:cs="宋体"/>
          <w:kern w:val="2"/>
          <w:lang w:eastAsia="zh-CN"/>
        </w:rPr>
        <w:t>。</w:t>
      </w:r>
    </w:p>
    <w:p w14:paraId="4671F59F">
      <w:pPr>
        <w:widowControl w:val="0"/>
        <w:autoSpaceDE w:val="0"/>
        <w:autoSpaceDN w:val="0"/>
        <w:adjustRightInd w:val="0"/>
        <w:snapToGrid w:val="0"/>
        <w:spacing w:line="360" w:lineRule="auto"/>
        <w:ind w:firstLine="420" w:firstLineChars="200"/>
        <w:jc w:val="both"/>
        <w:outlineLvl w:val="5"/>
        <w:rPr>
          <w:rFonts w:hint="eastAsia" w:ascii="宋体" w:hAnsi="宋体" w:eastAsia="宋体" w:cs="宋体"/>
          <w:b/>
          <w:bCs/>
          <w:kern w:val="2"/>
          <w:lang w:val="en-US" w:eastAsia="zh-CN"/>
        </w:rPr>
      </w:pPr>
      <w:bookmarkStart w:id="11" w:name="_Toc3575"/>
      <w:r>
        <w:rPr>
          <w:rFonts w:hint="eastAsia" w:ascii="宋体" w:hAnsi="宋体" w:cs="宋体"/>
          <w:b/>
          <w:bCs/>
          <w:kern w:val="2"/>
          <w:lang w:val="en-US" w:eastAsia="zh-CN"/>
        </w:rPr>
        <w:t>（3）运维</w:t>
      </w:r>
      <w:r>
        <w:rPr>
          <w:rFonts w:hint="eastAsia" w:ascii="宋体" w:hAnsi="宋体" w:eastAsia="宋体" w:cs="宋体"/>
          <w:b/>
          <w:bCs/>
          <w:kern w:val="2"/>
          <w:lang w:val="en-US" w:eastAsia="zh-CN"/>
        </w:rPr>
        <w:t>服务团队要求</w:t>
      </w:r>
      <w:bookmarkEnd w:id="11"/>
    </w:p>
    <w:p w14:paraId="1CE8A6D0">
      <w:pPr>
        <w:widowControl w:val="0"/>
        <w:autoSpaceDE w:val="0"/>
        <w:autoSpaceDN w:val="0"/>
        <w:adjustRightInd w:val="0"/>
        <w:snapToGrid w:val="0"/>
        <w:spacing w:line="360" w:lineRule="auto"/>
        <w:ind w:firstLine="482"/>
        <w:jc w:val="both"/>
        <w:rPr>
          <w:rFonts w:hint="eastAsia" w:ascii="宋体" w:hAnsi="宋体" w:eastAsia="宋体" w:cs="宋体"/>
          <w:kern w:val="2"/>
          <w:lang w:eastAsia="zh-CN"/>
        </w:rPr>
      </w:pPr>
      <w:r>
        <w:rPr>
          <w:rFonts w:hint="eastAsia" w:ascii="宋体" w:hAnsi="宋体" w:eastAsia="宋体" w:cs="宋体"/>
          <w:kern w:val="2"/>
          <w:lang w:eastAsia="zh-CN"/>
        </w:rPr>
        <w:t>1）服务团队要求</w:t>
      </w:r>
    </w:p>
    <w:p w14:paraId="24542912">
      <w:pPr>
        <w:widowControl w:val="0"/>
        <w:autoSpaceDE w:val="0"/>
        <w:autoSpaceDN w:val="0"/>
        <w:adjustRightInd w:val="0"/>
        <w:snapToGrid w:val="0"/>
        <w:spacing w:line="360" w:lineRule="auto"/>
        <w:ind w:firstLine="482"/>
        <w:jc w:val="both"/>
        <w:rPr>
          <w:rFonts w:hint="eastAsia" w:ascii="宋体" w:hAnsi="宋体" w:eastAsia="宋体" w:cs="宋体"/>
          <w:kern w:val="2"/>
          <w:lang w:eastAsia="zh-CN"/>
        </w:rPr>
      </w:pPr>
      <w:r>
        <w:rPr>
          <w:rFonts w:hint="eastAsia" w:ascii="宋体" w:hAnsi="宋体" w:eastAsia="宋体" w:cs="宋体"/>
          <w:kern w:val="2"/>
          <w:lang w:eastAsia="zh-CN"/>
        </w:rPr>
        <w:t>提供一个不少于</w:t>
      </w:r>
      <w:r>
        <w:rPr>
          <w:rFonts w:hint="eastAsia" w:ascii="宋体" w:hAnsi="宋体" w:eastAsia="宋体" w:cs="宋体"/>
          <w:kern w:val="2"/>
          <w:lang w:val="en-US" w:eastAsia="zh-CN"/>
        </w:rPr>
        <w:t>15</w:t>
      </w:r>
      <w:r>
        <w:rPr>
          <w:rFonts w:hint="eastAsia" w:ascii="宋体" w:hAnsi="宋体" w:eastAsia="宋体" w:cs="宋体"/>
          <w:kern w:val="2"/>
          <w:lang w:eastAsia="zh-CN"/>
        </w:rPr>
        <w:t>人的服务团队，包括运维项目经理1名，智算集群资深运维专家2人，高级运维工程师</w:t>
      </w:r>
      <w:r>
        <w:rPr>
          <w:rFonts w:hint="eastAsia" w:ascii="宋体" w:hAnsi="宋体" w:eastAsia="宋体" w:cs="宋体"/>
          <w:kern w:val="2"/>
          <w:lang w:val="en-US" w:eastAsia="zh-CN"/>
        </w:rPr>
        <w:t>2</w:t>
      </w:r>
      <w:r>
        <w:rPr>
          <w:rFonts w:hint="eastAsia" w:ascii="宋体" w:hAnsi="宋体" w:eastAsia="宋体" w:cs="宋体"/>
          <w:kern w:val="2"/>
          <w:lang w:eastAsia="zh-CN"/>
        </w:rPr>
        <w:t>人（算力设备运维、网络设备运维各1名），中级运维工程师9人（每天3个班，每班3人，提供24小时驻场运维服务）、算力用户驻场技术支持工程师</w:t>
      </w:r>
      <w:r>
        <w:rPr>
          <w:rFonts w:hint="eastAsia" w:ascii="宋体" w:hAnsi="宋体" w:eastAsia="宋体" w:cs="宋体"/>
          <w:kern w:val="2"/>
          <w:lang w:val="en-US" w:eastAsia="zh-CN"/>
        </w:rPr>
        <w:t>1</w:t>
      </w:r>
      <w:r>
        <w:rPr>
          <w:rFonts w:hint="eastAsia" w:ascii="宋体" w:hAnsi="宋体" w:eastAsia="宋体" w:cs="宋体"/>
          <w:kern w:val="2"/>
          <w:lang w:eastAsia="zh-CN"/>
        </w:rPr>
        <w:t>人。基于目前智算集群的现状，提供详细的组网方案以及理解和建议，并提供整个智算集群（涵盖算力、参数网、存储网、管理网、业务网以及软件平台等）运行维护建议。投标人将根据附件《人员名单》向采购人提供本项目执行人员，投标人可基于项目实际需求进行对人员进行灵活调整，投标人更换项目人员需提前【7】日书面报采购人审批，擅自更换视为违约。</w:t>
      </w:r>
    </w:p>
    <w:p w14:paraId="4BB85129">
      <w:pPr>
        <w:widowControl w:val="0"/>
        <w:autoSpaceDE w:val="0"/>
        <w:autoSpaceDN w:val="0"/>
        <w:adjustRightInd w:val="0"/>
        <w:snapToGrid w:val="0"/>
        <w:spacing w:line="360" w:lineRule="auto"/>
        <w:ind w:firstLine="482"/>
        <w:jc w:val="both"/>
        <w:rPr>
          <w:rFonts w:hint="eastAsia" w:ascii="宋体" w:hAnsi="宋体" w:eastAsia="宋体" w:cs="宋体"/>
          <w:kern w:val="2"/>
          <w:lang w:eastAsia="zh-CN"/>
        </w:rPr>
      </w:pPr>
      <w:r>
        <w:rPr>
          <w:rFonts w:hint="eastAsia" w:ascii="宋体" w:hAnsi="宋体" w:eastAsia="宋体" w:cs="宋体"/>
          <w:kern w:val="2"/>
          <w:lang w:eastAsia="zh-CN"/>
        </w:rPr>
        <w:t>2）数据中心驻场服务要求：投标人提供7*24小时驻场服务，在智算集群所在数据中心提供现场运维工程师建立7*24小时值守轮岗工作机制。</w:t>
      </w:r>
    </w:p>
    <w:p w14:paraId="3773520D">
      <w:pPr>
        <w:widowControl w:val="0"/>
        <w:autoSpaceDE w:val="0"/>
        <w:autoSpaceDN w:val="0"/>
        <w:adjustRightInd w:val="0"/>
        <w:snapToGrid w:val="0"/>
        <w:spacing w:line="360" w:lineRule="auto"/>
        <w:ind w:firstLine="482"/>
        <w:jc w:val="both"/>
        <w:rPr>
          <w:rFonts w:hint="eastAsia" w:ascii="宋体" w:hAnsi="宋体" w:eastAsia="宋体" w:cs="宋体"/>
          <w:kern w:val="2"/>
          <w:lang w:eastAsia="zh-CN"/>
        </w:rPr>
      </w:pPr>
      <w:r>
        <w:rPr>
          <w:rFonts w:hint="eastAsia" w:ascii="宋体" w:hAnsi="宋体" w:cs="宋体"/>
          <w:kern w:val="2"/>
          <w:lang w:val="en-US" w:eastAsia="zh-CN"/>
        </w:rPr>
        <w:t>3</w:t>
      </w:r>
      <w:r>
        <w:rPr>
          <w:rFonts w:hint="eastAsia" w:ascii="宋体" w:hAnsi="宋体" w:eastAsia="宋体" w:cs="宋体"/>
          <w:kern w:val="2"/>
          <w:lang w:eastAsia="zh-CN"/>
        </w:rPr>
        <w:t>）服务团队工作要求</w:t>
      </w:r>
    </w:p>
    <w:p w14:paraId="16749192">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r>
        <w:rPr>
          <w:rFonts w:hint="eastAsia" w:ascii="宋体" w:hAnsi="宋体" w:eastAsia="宋体" w:cs="宋体"/>
          <w:kern w:val="2"/>
          <w:lang w:eastAsia="zh-CN"/>
        </w:rPr>
        <w:t>在项目的执行过程中，保障项目团队的人员要相对固定。驻场人员数量要能满足</w:t>
      </w:r>
      <w:r>
        <w:rPr>
          <w:rFonts w:hint="eastAsia" w:ascii="宋体" w:hAnsi="宋体" w:eastAsia="宋体" w:cs="宋体"/>
          <w:kern w:val="2"/>
          <w:lang w:val="en-US" w:eastAsia="zh-CN"/>
        </w:rPr>
        <w:t>本项目集群</w:t>
      </w:r>
      <w:r>
        <w:rPr>
          <w:rFonts w:hint="eastAsia" w:ascii="宋体" w:hAnsi="宋体" w:eastAsia="宋体" w:cs="宋体"/>
          <w:kern w:val="2"/>
          <w:lang w:eastAsia="zh-CN"/>
        </w:rPr>
        <w:t>的正常运行需求;在服务期内对系统进行全面的运维管理，保障系统正常运行和信息安全。投标人应提供负责运维人员通讯手机号码，以保障运维工作顺利进行。投标人委任具备相关工作能力与经验的项目经理和专业运维人员组建项目服务团队，明确组织架构与职责分工。服务团队应能够与采购人相关单位及其他运维单位积极、正确沟通协调，有效开展服务工作，并遵从采购人及相关业务单位的工作管理要求。提供项目经理与主要运维人员的有效通讯方式，并保持24小时联系畅通。</w:t>
      </w:r>
    </w:p>
    <w:p w14:paraId="1FEFE96A">
      <w:pPr>
        <w:keepNext w:val="0"/>
        <w:keepLines w:val="0"/>
        <w:pageBreakBefore w:val="0"/>
        <w:widowControl w:val="0"/>
        <w:numPr>
          <w:ilvl w:val="0"/>
          <w:numId w:val="0"/>
        </w:numPr>
        <w:kinsoku/>
        <w:wordWrap/>
        <w:overflowPunct/>
        <w:topLinePunct w:val="0"/>
        <w:autoSpaceDE w:val="0"/>
        <w:autoSpaceDN w:val="0"/>
        <w:bidi w:val="0"/>
        <w:adjustRightInd w:val="0"/>
        <w:snapToGrid w:val="0"/>
        <w:ind w:left="420" w:leftChars="0"/>
        <w:jc w:val="left"/>
        <w:textAlignment w:val="auto"/>
        <w:outlineLvl w:val="3"/>
        <w:rPr>
          <w:rFonts w:hint="eastAsia"/>
          <w:b/>
          <w:bCs/>
          <w:lang w:val="en-US" w:eastAsia="zh-CN"/>
        </w:rPr>
      </w:pPr>
      <w:r>
        <w:rPr>
          <w:rFonts w:hint="eastAsia"/>
          <w:b/>
          <w:bCs/>
          <w:lang w:val="en-US" w:eastAsia="zh-CN"/>
        </w:rPr>
        <w:t>（四）数据中心托管服务要求</w:t>
      </w:r>
    </w:p>
    <w:p w14:paraId="428BCDA5">
      <w:pPr>
        <w:spacing w:line="360" w:lineRule="auto"/>
        <w:ind w:firstLine="420" w:firstLineChars="200"/>
        <w:jc w:val="both"/>
        <w:rPr>
          <w:rFonts w:hint="eastAsia" w:ascii="宋体" w:hAnsi="宋体" w:eastAsia="宋体"/>
          <w:kern w:val="2"/>
          <w:sz w:val="21"/>
          <w:szCs w:val="21"/>
          <w:lang w:eastAsia="zh-CN"/>
        </w:rPr>
      </w:pPr>
      <w:r>
        <w:rPr>
          <w:rFonts w:eastAsia="宋体"/>
          <w:kern w:val="2"/>
          <w:sz w:val="21"/>
          <w:lang w:eastAsia="zh-CN"/>
        </w:rPr>
        <w:t>数据中心托管服务包括为本次招标所有设备的安装部署提供国标A级数据中心基础环境、服务期内的数据中心环境运维服务、设备运行所需的水电费。详细的数据中心基础设施需求和相关服务内容详见下表《数据中心托管服务需求表》</w:t>
      </w:r>
      <w:r>
        <w:rPr>
          <w:rFonts w:ascii="宋体" w:hAnsi="宋体" w:eastAsia="宋体"/>
          <w:kern w:val="2"/>
          <w:sz w:val="21"/>
          <w:szCs w:val="21"/>
          <w:lang w:eastAsia="zh-CN"/>
        </w:rPr>
        <w:t>。</w:t>
      </w:r>
    </w:p>
    <w:p w14:paraId="085D0358">
      <w:pPr>
        <w:spacing w:line="360" w:lineRule="auto"/>
        <w:ind w:firstLine="420" w:firstLineChars="200"/>
        <w:jc w:val="center"/>
        <w:rPr>
          <w:rFonts w:eastAsia="宋体"/>
          <w:b/>
          <w:bCs/>
          <w:kern w:val="2"/>
          <w:sz w:val="21"/>
          <w:lang w:eastAsia="zh-CN"/>
        </w:rPr>
      </w:pPr>
      <w:r>
        <w:rPr>
          <w:rFonts w:eastAsia="宋体"/>
          <w:b/>
          <w:bCs/>
          <w:kern w:val="2"/>
          <w:sz w:val="21"/>
          <w:lang w:eastAsia="zh-CN"/>
        </w:rPr>
        <w:t>智算集群数据中心托管服务需求表</w:t>
      </w:r>
    </w:p>
    <w:tbl>
      <w:tblPr>
        <w:tblStyle w:val="5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362"/>
        <w:gridCol w:w="4878"/>
        <w:gridCol w:w="852"/>
        <w:gridCol w:w="759"/>
      </w:tblGrid>
      <w:tr w14:paraId="0A4F4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blHeader/>
        </w:trPr>
        <w:tc>
          <w:tcPr>
            <w:tcW w:w="394" w:type="pct"/>
            <w:vAlign w:val="center"/>
          </w:tcPr>
          <w:p w14:paraId="7355F69F">
            <w:pPr>
              <w:spacing w:line="240" w:lineRule="auto"/>
              <w:ind w:firstLine="0" w:firstLineChars="0"/>
              <w:jc w:val="center"/>
              <w:rPr>
                <w:rFonts w:hint="eastAsia" w:ascii="宋体" w:hAnsi="宋体" w:eastAsia="宋体"/>
                <w:b/>
                <w:bCs/>
                <w:color w:val="000000"/>
                <w:kern w:val="2"/>
                <w:sz w:val="18"/>
                <w:szCs w:val="18"/>
                <w:lang w:eastAsia="zh-CN"/>
              </w:rPr>
            </w:pPr>
            <w:r>
              <w:rPr>
                <w:rFonts w:ascii="宋体" w:hAnsi="宋体" w:eastAsia="宋体"/>
                <w:b/>
                <w:bCs/>
                <w:color w:val="000000"/>
                <w:kern w:val="2"/>
                <w:sz w:val="18"/>
                <w:szCs w:val="18"/>
                <w:lang w:eastAsia="zh-CN"/>
              </w:rPr>
              <w:t>序号</w:t>
            </w:r>
          </w:p>
        </w:tc>
        <w:tc>
          <w:tcPr>
            <w:tcW w:w="799" w:type="pct"/>
            <w:vAlign w:val="center"/>
          </w:tcPr>
          <w:p w14:paraId="43E31FAE">
            <w:pPr>
              <w:spacing w:line="240" w:lineRule="auto"/>
              <w:ind w:firstLine="0" w:firstLineChars="0"/>
              <w:jc w:val="center"/>
              <w:rPr>
                <w:rFonts w:hint="eastAsia" w:ascii="宋体" w:hAnsi="宋体" w:eastAsia="宋体"/>
                <w:b/>
                <w:bCs/>
                <w:color w:val="000000"/>
                <w:kern w:val="2"/>
                <w:sz w:val="18"/>
                <w:szCs w:val="18"/>
                <w:lang w:eastAsia="zh-CN"/>
              </w:rPr>
            </w:pPr>
            <w:r>
              <w:rPr>
                <w:rFonts w:ascii="宋体" w:hAnsi="宋体" w:eastAsia="宋体"/>
                <w:b/>
                <w:bCs/>
                <w:color w:val="000000"/>
                <w:kern w:val="2"/>
                <w:sz w:val="18"/>
                <w:szCs w:val="18"/>
                <w:lang w:eastAsia="zh-CN"/>
              </w:rPr>
              <w:t>服务事项</w:t>
            </w:r>
          </w:p>
        </w:tc>
        <w:tc>
          <w:tcPr>
            <w:tcW w:w="2862" w:type="pct"/>
            <w:vAlign w:val="center"/>
          </w:tcPr>
          <w:p w14:paraId="7B434208">
            <w:pPr>
              <w:spacing w:line="240" w:lineRule="auto"/>
              <w:ind w:firstLine="0" w:firstLineChars="0"/>
              <w:jc w:val="center"/>
              <w:rPr>
                <w:rFonts w:hint="eastAsia" w:ascii="宋体" w:hAnsi="宋体" w:eastAsia="宋体"/>
                <w:b/>
                <w:bCs/>
                <w:color w:val="000000"/>
                <w:kern w:val="2"/>
                <w:sz w:val="18"/>
                <w:szCs w:val="18"/>
                <w:lang w:eastAsia="zh-CN"/>
              </w:rPr>
            </w:pPr>
            <w:r>
              <w:rPr>
                <w:rFonts w:ascii="宋体" w:hAnsi="宋体" w:eastAsia="宋体"/>
                <w:b/>
                <w:bCs/>
                <w:color w:val="000000"/>
                <w:kern w:val="2"/>
                <w:sz w:val="18"/>
                <w:szCs w:val="18"/>
                <w:lang w:eastAsia="zh-CN"/>
              </w:rPr>
              <w:t>主要服务内容及要求</w:t>
            </w:r>
          </w:p>
        </w:tc>
        <w:tc>
          <w:tcPr>
            <w:tcW w:w="500" w:type="pct"/>
            <w:vAlign w:val="center"/>
          </w:tcPr>
          <w:p w14:paraId="5E49155B">
            <w:pPr>
              <w:spacing w:line="240" w:lineRule="auto"/>
              <w:ind w:firstLine="0" w:firstLineChars="0"/>
              <w:jc w:val="center"/>
              <w:rPr>
                <w:rFonts w:hint="eastAsia" w:ascii="宋体" w:hAnsi="宋体" w:eastAsia="宋体"/>
                <w:b/>
                <w:bCs/>
                <w:color w:val="000000"/>
                <w:kern w:val="2"/>
                <w:sz w:val="18"/>
                <w:szCs w:val="18"/>
                <w:lang w:eastAsia="zh-CN"/>
              </w:rPr>
            </w:pPr>
            <w:r>
              <w:rPr>
                <w:rFonts w:ascii="宋体" w:hAnsi="宋体" w:eastAsia="宋体"/>
                <w:b/>
                <w:bCs/>
                <w:color w:val="000000"/>
                <w:kern w:val="2"/>
                <w:sz w:val="18"/>
                <w:szCs w:val="18"/>
                <w:lang w:eastAsia="zh-CN"/>
              </w:rPr>
              <w:t>数量</w:t>
            </w:r>
          </w:p>
        </w:tc>
        <w:tc>
          <w:tcPr>
            <w:tcW w:w="445" w:type="pct"/>
            <w:vAlign w:val="center"/>
          </w:tcPr>
          <w:p w14:paraId="34C525FE">
            <w:pPr>
              <w:spacing w:line="240" w:lineRule="auto"/>
              <w:ind w:firstLine="0" w:firstLineChars="0"/>
              <w:jc w:val="center"/>
              <w:rPr>
                <w:rFonts w:hint="eastAsia" w:ascii="宋体" w:hAnsi="宋体" w:eastAsia="宋体"/>
                <w:b/>
                <w:bCs/>
                <w:color w:val="000000"/>
                <w:kern w:val="2"/>
                <w:sz w:val="18"/>
                <w:szCs w:val="18"/>
                <w:lang w:eastAsia="zh-CN"/>
              </w:rPr>
            </w:pPr>
            <w:r>
              <w:rPr>
                <w:rFonts w:ascii="宋体" w:hAnsi="宋体" w:eastAsia="宋体"/>
                <w:b/>
                <w:bCs/>
                <w:color w:val="000000"/>
                <w:kern w:val="2"/>
                <w:sz w:val="18"/>
                <w:szCs w:val="18"/>
                <w:lang w:eastAsia="zh-CN"/>
              </w:rPr>
              <w:t>单位</w:t>
            </w:r>
          </w:p>
        </w:tc>
      </w:tr>
      <w:tr w14:paraId="2F781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94" w:type="pct"/>
            <w:vAlign w:val="center"/>
          </w:tcPr>
          <w:p w14:paraId="1DFA80A7">
            <w:pPr>
              <w:spacing w:line="240" w:lineRule="auto"/>
              <w:ind w:firstLine="0" w:firstLineChars="0"/>
              <w:jc w:val="center"/>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1</w:t>
            </w:r>
          </w:p>
        </w:tc>
        <w:tc>
          <w:tcPr>
            <w:tcW w:w="799" w:type="pct"/>
            <w:vAlign w:val="center"/>
          </w:tcPr>
          <w:p w14:paraId="2E2656FE">
            <w:pPr>
              <w:spacing w:line="240" w:lineRule="auto"/>
              <w:ind w:firstLine="0" w:firstLineChars="0"/>
              <w:jc w:val="left"/>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数据中心机柜要求</w:t>
            </w:r>
          </w:p>
        </w:tc>
        <w:tc>
          <w:tcPr>
            <w:tcW w:w="2862" w:type="pct"/>
            <w:vAlign w:val="center"/>
          </w:tcPr>
          <w:p w14:paraId="0FE41D53">
            <w:pPr>
              <w:spacing w:line="240" w:lineRule="auto"/>
              <w:ind w:firstLine="0" w:firstLineChars="0"/>
              <w:jc w:val="both"/>
              <w:rPr>
                <w:rFonts w:hint="eastAsia" w:ascii="宋体" w:hAnsi="宋体" w:eastAsia="宋体"/>
                <w:b/>
                <w:bCs/>
                <w:color w:val="000000"/>
                <w:kern w:val="2"/>
                <w:sz w:val="18"/>
                <w:szCs w:val="18"/>
                <w:lang w:eastAsia="zh-CN"/>
              </w:rPr>
            </w:pPr>
            <w:r>
              <w:rPr>
                <w:rFonts w:ascii="宋体" w:hAnsi="宋体" w:eastAsia="宋体"/>
                <w:b/>
                <w:bCs/>
                <w:color w:val="000000"/>
                <w:kern w:val="2"/>
                <w:sz w:val="18"/>
                <w:szCs w:val="18"/>
                <w:lang w:eastAsia="zh-CN"/>
              </w:rPr>
              <w:t>1.1智算集群机柜数量要求</w:t>
            </w:r>
          </w:p>
          <w:p w14:paraId="3D45C4D5">
            <w:pPr>
              <w:widowControl w:val="0"/>
              <w:kinsoku w:val="0"/>
              <w:overflowPunct w:val="0"/>
              <w:autoSpaceDE w:val="0"/>
              <w:autoSpaceDN w:val="0"/>
              <w:adjustRightInd w:val="0"/>
              <w:snapToGrid w:val="0"/>
              <w:spacing w:line="360" w:lineRule="auto"/>
              <w:ind w:firstLine="0" w:firstLineChars="0"/>
              <w:jc w:val="left"/>
              <w:rPr>
                <w:rFonts w:hint="default" w:ascii="宋体" w:hAnsi="宋体" w:eastAsia="宋体"/>
                <w:color w:val="000000"/>
                <w:sz w:val="18"/>
                <w:szCs w:val="18"/>
                <w:lang w:val="en-US" w:eastAsia="zh-CN"/>
              </w:rPr>
            </w:pPr>
            <w:r>
              <w:rPr>
                <w:rFonts w:ascii="宋体" w:hAnsi="宋体" w:eastAsia="宋体"/>
                <w:color w:val="000000"/>
                <w:sz w:val="18"/>
                <w:szCs w:val="18"/>
                <w:lang w:eastAsia="zh-CN"/>
              </w:rPr>
              <w:t>（1）智算集群机柜需求：</w:t>
            </w:r>
            <w:r>
              <w:rPr>
                <w:rFonts w:hint="eastAsia" w:ascii="宋体" w:hAnsi="宋体" w:eastAsia="宋体"/>
                <w:color w:val="000000"/>
                <w:sz w:val="18"/>
                <w:szCs w:val="18"/>
                <w:lang w:val="en-US" w:eastAsia="zh-CN"/>
              </w:rPr>
              <w:t>由投标人根据自行投标方案，提出集群的机柜数量和单机柜功率需求</w:t>
            </w:r>
            <w:r>
              <w:rPr>
                <w:rFonts w:ascii="宋体" w:hAnsi="宋体" w:eastAsia="宋体"/>
                <w:color w:val="000000"/>
                <w:sz w:val="18"/>
                <w:szCs w:val="18"/>
                <w:lang w:eastAsia="zh-CN"/>
              </w:rPr>
              <w:t>；</w:t>
            </w:r>
            <w:r>
              <w:rPr>
                <w:rFonts w:hint="eastAsia" w:ascii="宋体" w:hAnsi="宋体"/>
                <w:color w:val="000000"/>
                <w:sz w:val="18"/>
                <w:szCs w:val="18"/>
                <w:lang w:val="en-US" w:eastAsia="zh-CN"/>
              </w:rPr>
              <w:t>提供</w:t>
            </w:r>
            <w:r>
              <w:rPr>
                <w:rFonts w:hint="eastAsia" w:ascii="宋体" w:hAnsi="宋体" w:eastAsia="宋体"/>
                <w:color w:val="000000"/>
                <w:sz w:val="18"/>
                <w:szCs w:val="18"/>
                <w:lang w:val="en-US" w:eastAsia="zh-CN"/>
              </w:rPr>
              <w:t>满足项目需求的数据中心托管服务。</w:t>
            </w:r>
          </w:p>
          <w:p w14:paraId="389CE463">
            <w:pPr>
              <w:spacing w:line="240" w:lineRule="auto"/>
              <w:ind w:firstLine="0" w:firstLineChars="0"/>
              <w:jc w:val="both"/>
              <w:rPr>
                <w:rFonts w:hint="default" w:ascii="宋体" w:hAnsi="宋体" w:eastAsia="宋体"/>
                <w:color w:val="000000"/>
                <w:kern w:val="2"/>
                <w:sz w:val="18"/>
                <w:szCs w:val="18"/>
                <w:lang w:val="en-US" w:eastAsia="zh-CN"/>
              </w:rPr>
            </w:pPr>
            <w:r>
              <w:rPr>
                <w:rFonts w:ascii="宋体" w:hAnsi="宋体" w:eastAsia="宋体"/>
                <w:color w:val="000000"/>
                <w:kern w:val="2"/>
                <w:sz w:val="18"/>
                <w:szCs w:val="18"/>
                <w:lang w:eastAsia="zh-CN"/>
              </w:rPr>
              <w:t>（2）针对</w:t>
            </w:r>
            <w:r>
              <w:rPr>
                <w:rFonts w:hint="eastAsia" w:ascii="宋体" w:hAnsi="宋体"/>
                <w:color w:val="000000"/>
                <w:kern w:val="2"/>
                <w:sz w:val="18"/>
                <w:szCs w:val="18"/>
                <w:lang w:val="en-US" w:eastAsia="zh-CN"/>
              </w:rPr>
              <w:t>各个</w:t>
            </w:r>
            <w:r>
              <w:rPr>
                <w:rFonts w:eastAsia="宋体"/>
                <w:color w:val="000000"/>
                <w:kern w:val="2"/>
                <w:sz w:val="18"/>
                <w:szCs w:val="18"/>
                <w:lang w:eastAsia="zh-CN"/>
              </w:rPr>
              <w:t>智算集群</w:t>
            </w:r>
            <w:r>
              <w:rPr>
                <w:rFonts w:hint="eastAsia"/>
                <w:color w:val="000000"/>
                <w:kern w:val="2"/>
                <w:sz w:val="18"/>
                <w:szCs w:val="18"/>
                <w:lang w:val="en-US" w:eastAsia="zh-CN"/>
              </w:rPr>
              <w:t>的</w:t>
            </w:r>
            <w:r>
              <w:rPr>
                <w:rFonts w:hint="eastAsia" w:eastAsia="宋体"/>
                <w:color w:val="000000"/>
                <w:kern w:val="2"/>
                <w:sz w:val="18"/>
                <w:szCs w:val="18"/>
                <w:lang w:val="en-US" w:eastAsia="zh-CN"/>
              </w:rPr>
              <w:t>设备部署的</w:t>
            </w:r>
            <w:r>
              <w:rPr>
                <w:rFonts w:ascii="宋体" w:hAnsi="宋体" w:eastAsia="宋体"/>
                <w:color w:val="000000"/>
                <w:kern w:val="2"/>
                <w:sz w:val="18"/>
                <w:szCs w:val="18"/>
                <w:lang w:eastAsia="zh-CN"/>
              </w:rPr>
              <w:t>机柜宜在机房物理空间独享的一个或临近的几个机房内</w:t>
            </w:r>
            <w:r>
              <w:rPr>
                <w:rFonts w:hint="eastAsia" w:ascii="宋体" w:hAnsi="宋体" w:eastAsia="宋体"/>
                <w:color w:val="000000"/>
                <w:kern w:val="2"/>
                <w:sz w:val="18"/>
                <w:szCs w:val="18"/>
                <w:lang w:eastAsia="zh-CN"/>
              </w:rPr>
              <w:t>，</w:t>
            </w:r>
            <w:r>
              <w:rPr>
                <w:rFonts w:hint="eastAsia" w:ascii="宋体" w:hAnsi="宋体" w:eastAsia="宋体"/>
                <w:color w:val="000000"/>
                <w:kern w:val="2"/>
                <w:sz w:val="18"/>
                <w:szCs w:val="18"/>
                <w:lang w:val="en-US" w:eastAsia="zh-CN"/>
              </w:rPr>
              <w:t>不得与其他第三方的设备共享机房。</w:t>
            </w:r>
          </w:p>
          <w:p w14:paraId="75F28EF7">
            <w:pPr>
              <w:spacing w:line="240" w:lineRule="auto"/>
              <w:ind w:firstLine="0" w:firstLineChars="0"/>
              <w:jc w:val="both"/>
              <w:rPr>
                <w:rFonts w:hint="default" w:ascii="宋体" w:hAnsi="宋体" w:eastAsia="宋体"/>
                <w:color w:val="000000"/>
                <w:kern w:val="2"/>
                <w:sz w:val="18"/>
                <w:szCs w:val="18"/>
                <w:lang w:val="en-US" w:eastAsia="zh-CN"/>
              </w:rPr>
            </w:pPr>
            <w:r>
              <w:rPr>
                <w:rFonts w:ascii="宋体" w:hAnsi="宋体" w:eastAsia="宋体"/>
                <w:color w:val="000000"/>
                <w:kern w:val="2"/>
                <w:sz w:val="18"/>
                <w:szCs w:val="18"/>
                <w:lang w:eastAsia="zh-CN"/>
              </w:rPr>
              <w:t>（3）</w:t>
            </w:r>
            <w:r>
              <w:rPr>
                <w:rFonts w:hint="eastAsia" w:ascii="宋体" w:hAnsi="宋体" w:eastAsia="宋体"/>
                <w:color w:val="000000"/>
                <w:kern w:val="2"/>
                <w:sz w:val="18"/>
                <w:szCs w:val="18"/>
                <w:lang w:val="en-US" w:eastAsia="zh-CN"/>
              </w:rPr>
              <w:t>投标人应按照紧凑、安全、经济的原则使用机柜；</w:t>
            </w:r>
          </w:p>
          <w:p w14:paraId="083AC167">
            <w:pPr>
              <w:spacing w:line="240" w:lineRule="auto"/>
              <w:ind w:firstLine="0" w:firstLineChars="0"/>
              <w:jc w:val="both"/>
              <w:rPr>
                <w:rFonts w:hint="eastAsia" w:ascii="宋体" w:hAnsi="宋体" w:eastAsia="宋体"/>
                <w:b/>
                <w:bCs/>
                <w:color w:val="000000"/>
                <w:kern w:val="2"/>
                <w:sz w:val="18"/>
                <w:szCs w:val="18"/>
                <w:lang w:eastAsia="zh-CN"/>
              </w:rPr>
            </w:pPr>
            <w:r>
              <w:rPr>
                <w:rFonts w:ascii="宋体" w:hAnsi="宋体" w:eastAsia="宋体"/>
                <w:b/>
                <w:bCs/>
                <w:color w:val="000000"/>
                <w:kern w:val="2"/>
                <w:sz w:val="18"/>
                <w:szCs w:val="18"/>
                <w:lang w:eastAsia="zh-CN"/>
              </w:rPr>
              <w:t>1.2机房要求</w:t>
            </w:r>
          </w:p>
          <w:p w14:paraId="511A4CC8">
            <w:pPr>
              <w:spacing w:line="240" w:lineRule="auto"/>
              <w:ind w:firstLine="0" w:firstLineChars="0"/>
              <w:jc w:val="both"/>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（1）数据中心整体设计标准应不低于《数据中心设计规范》GB50174-2017中A级标准。</w:t>
            </w:r>
          </w:p>
          <w:p w14:paraId="20C6EDDF">
            <w:pPr>
              <w:spacing w:line="240" w:lineRule="auto"/>
              <w:ind w:firstLine="0" w:firstLineChars="0"/>
              <w:jc w:val="both"/>
              <w:rPr>
                <w:rFonts w:hint="eastAsia" w:ascii="宋体" w:hAnsi="宋体" w:eastAsia="宋体"/>
                <w:b/>
                <w:bCs/>
                <w:color w:val="000000"/>
                <w:kern w:val="2"/>
                <w:sz w:val="18"/>
                <w:szCs w:val="18"/>
                <w:lang w:eastAsia="zh-CN"/>
              </w:rPr>
            </w:pPr>
            <w:r>
              <w:rPr>
                <w:rFonts w:ascii="宋体" w:hAnsi="宋体" w:eastAsia="宋体"/>
                <w:b/>
                <w:bCs/>
                <w:color w:val="000000"/>
                <w:kern w:val="2"/>
                <w:sz w:val="18"/>
                <w:szCs w:val="18"/>
                <w:lang w:eastAsia="zh-CN"/>
              </w:rPr>
              <w:t>1.3服务周期</w:t>
            </w:r>
          </w:p>
          <w:p w14:paraId="41AB2EFE">
            <w:pPr>
              <w:spacing w:line="240" w:lineRule="auto"/>
              <w:ind w:firstLine="0" w:firstLineChars="0"/>
              <w:jc w:val="both"/>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（1）数据中心托管服务期为</w:t>
            </w:r>
            <w:r>
              <w:rPr>
                <w:rFonts w:hint="eastAsia" w:ascii="宋体" w:hAnsi="宋体"/>
                <w:color w:val="000000"/>
                <w:kern w:val="2"/>
                <w:sz w:val="18"/>
                <w:szCs w:val="18"/>
                <w:lang w:val="en-US" w:eastAsia="zh-CN"/>
              </w:rPr>
              <w:t>5</w:t>
            </w:r>
            <w:r>
              <w:rPr>
                <w:rFonts w:ascii="宋体" w:hAnsi="宋体" w:eastAsia="宋体"/>
                <w:color w:val="000000"/>
                <w:kern w:val="2"/>
                <w:sz w:val="18"/>
                <w:szCs w:val="18"/>
                <w:lang w:eastAsia="zh-CN"/>
              </w:rPr>
              <w:t>年，</w:t>
            </w:r>
            <w:r>
              <w:rPr>
                <w:rFonts w:hint="eastAsia" w:ascii="宋体" w:hAnsi="宋体" w:eastAsia="宋体"/>
                <w:color w:val="000000"/>
                <w:kern w:val="2"/>
                <w:sz w:val="18"/>
                <w:szCs w:val="18"/>
                <w:lang w:val="en-US" w:eastAsia="zh-CN"/>
              </w:rPr>
              <w:t>设备上架通电，双方确认后起算</w:t>
            </w:r>
            <w:r>
              <w:rPr>
                <w:rFonts w:ascii="宋体" w:hAnsi="宋体" w:eastAsia="宋体"/>
                <w:color w:val="000000"/>
                <w:kern w:val="2"/>
                <w:sz w:val="18"/>
                <w:szCs w:val="18"/>
                <w:lang w:eastAsia="zh-CN"/>
              </w:rPr>
              <w:t>。</w:t>
            </w:r>
            <w:r>
              <w:rPr>
                <w:rFonts w:hint="eastAsia" w:ascii="宋体" w:hAnsi="宋体" w:eastAsia="宋体"/>
                <w:color w:val="000000"/>
                <w:kern w:val="2"/>
                <w:sz w:val="18"/>
                <w:szCs w:val="18"/>
                <w:lang w:val="en-US" w:eastAsia="zh-CN"/>
              </w:rPr>
              <w:t>如果分批通电的，分批起算。</w:t>
            </w:r>
          </w:p>
        </w:tc>
        <w:tc>
          <w:tcPr>
            <w:tcW w:w="500" w:type="pct"/>
            <w:vAlign w:val="center"/>
          </w:tcPr>
          <w:p w14:paraId="5F36A5CE">
            <w:pPr>
              <w:spacing w:line="240" w:lineRule="auto"/>
              <w:ind w:firstLine="0" w:firstLineChars="0"/>
              <w:jc w:val="center"/>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1</w:t>
            </w:r>
          </w:p>
        </w:tc>
        <w:tc>
          <w:tcPr>
            <w:tcW w:w="445" w:type="pct"/>
            <w:vAlign w:val="center"/>
          </w:tcPr>
          <w:p w14:paraId="4E83C061">
            <w:pPr>
              <w:spacing w:line="240" w:lineRule="auto"/>
              <w:ind w:firstLine="0" w:firstLineChars="0"/>
              <w:jc w:val="center"/>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项</w:t>
            </w:r>
          </w:p>
        </w:tc>
      </w:tr>
      <w:tr w14:paraId="00A95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94" w:type="pct"/>
            <w:vAlign w:val="center"/>
          </w:tcPr>
          <w:p w14:paraId="2DE3D394">
            <w:pPr>
              <w:spacing w:line="240" w:lineRule="auto"/>
              <w:ind w:firstLine="0" w:firstLineChars="0"/>
              <w:jc w:val="center"/>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2</w:t>
            </w:r>
          </w:p>
        </w:tc>
        <w:tc>
          <w:tcPr>
            <w:tcW w:w="799" w:type="pct"/>
            <w:vAlign w:val="center"/>
          </w:tcPr>
          <w:p w14:paraId="1838A16C">
            <w:pPr>
              <w:spacing w:line="240" w:lineRule="auto"/>
              <w:ind w:firstLine="0" w:firstLineChars="0"/>
              <w:jc w:val="left"/>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数据中心基础设施运维服务</w:t>
            </w:r>
          </w:p>
        </w:tc>
        <w:tc>
          <w:tcPr>
            <w:tcW w:w="2862" w:type="pct"/>
            <w:vAlign w:val="center"/>
          </w:tcPr>
          <w:p w14:paraId="4F9558BE">
            <w:pPr>
              <w:numPr>
                <w:ilvl w:val="0"/>
                <w:numId w:val="15"/>
              </w:numPr>
              <w:spacing w:line="240" w:lineRule="auto"/>
              <w:ind w:left="360" w:hanging="360" w:firstLineChars="0"/>
              <w:jc w:val="both"/>
              <w:rPr>
                <w:rFonts w:hint="eastAsia" w:ascii="宋体" w:hAnsi="宋体" w:eastAsia="宋体" w:cs="宋体"/>
                <w:b/>
                <w:bCs/>
                <w:kern w:val="2"/>
                <w:sz w:val="18"/>
                <w:szCs w:val="18"/>
                <w:lang w:eastAsia="zh-CN"/>
              </w:rPr>
            </w:pPr>
            <w:r>
              <w:rPr>
                <w:rFonts w:ascii="宋体" w:hAnsi="宋体" w:eastAsia="宋体" w:cs="宋体"/>
                <w:b/>
                <w:bCs/>
                <w:kern w:val="2"/>
                <w:sz w:val="18"/>
                <w:szCs w:val="18"/>
                <w:lang w:eastAsia="zh-CN"/>
              </w:rPr>
              <w:t>总体服务要求:</w:t>
            </w:r>
          </w:p>
          <w:p w14:paraId="2F7A46D1">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kern w:val="2"/>
                <w:sz w:val="18"/>
                <w:szCs w:val="18"/>
                <w:lang w:eastAsia="zh-CN"/>
              </w:rPr>
              <w:t>提供覆盖“人员驻场、日常巡检、故障抢修、重大保障、维护保养”的数据中心基础设施运维服务。</w:t>
            </w:r>
          </w:p>
          <w:p w14:paraId="00FB98F2">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kern w:val="2"/>
                <w:sz w:val="18"/>
                <w:szCs w:val="18"/>
                <w:lang w:eastAsia="zh-CN"/>
              </w:rPr>
              <w:t>满足需求：提供满足本次招标智能算力集群部署所需的空间、电力、冷量等基础环境。</w:t>
            </w:r>
          </w:p>
          <w:p w14:paraId="4F27274C">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kern w:val="2"/>
                <w:sz w:val="18"/>
                <w:szCs w:val="18"/>
                <w:lang w:eastAsia="zh-CN"/>
              </w:rPr>
              <w:t>安全运营：保障网络安全和设施安全；完善流程机制和运维体系；7*24*365业务连续运营。</w:t>
            </w:r>
          </w:p>
          <w:p w14:paraId="2C1B6EF8">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kern w:val="2"/>
                <w:sz w:val="18"/>
                <w:szCs w:val="18"/>
                <w:lang w:eastAsia="zh-CN"/>
              </w:rPr>
              <w:t>精确管理：集约管控、统一调度、班组作业实现人员纳管；巡检计划、质保计划统一规划；应急演练、维护保养集中管控。</w:t>
            </w:r>
          </w:p>
          <w:p w14:paraId="337CF5AA">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kern w:val="2"/>
                <w:sz w:val="18"/>
                <w:szCs w:val="18"/>
                <w:lang w:eastAsia="zh-CN"/>
              </w:rPr>
              <w:t>运维指标：提供规范、可靠的数据中心运质保障服务，确保客户业务连续不中断，满足电力持续性供应99.99%、制冷持续性供应99.99%，全年无重大事故。</w:t>
            </w:r>
          </w:p>
          <w:p w14:paraId="5BE93EDE">
            <w:pPr>
              <w:numPr>
                <w:ilvl w:val="0"/>
                <w:numId w:val="15"/>
              </w:numPr>
              <w:spacing w:line="240" w:lineRule="auto"/>
              <w:ind w:left="360" w:hanging="360" w:firstLineChars="0"/>
              <w:jc w:val="both"/>
              <w:rPr>
                <w:rFonts w:hint="eastAsia" w:ascii="宋体" w:hAnsi="宋体" w:eastAsia="宋体" w:cs="宋体"/>
                <w:b/>
                <w:bCs/>
                <w:kern w:val="2"/>
                <w:sz w:val="18"/>
                <w:szCs w:val="18"/>
                <w:lang w:eastAsia="zh-CN"/>
              </w:rPr>
            </w:pPr>
            <w:r>
              <w:rPr>
                <w:rFonts w:ascii="宋体" w:hAnsi="宋体" w:eastAsia="宋体" w:cs="宋体"/>
                <w:b/>
                <w:bCs/>
                <w:kern w:val="2"/>
                <w:sz w:val="18"/>
                <w:szCs w:val="18"/>
                <w:lang w:eastAsia="zh-CN"/>
              </w:rPr>
              <w:t>主要服务内容</w:t>
            </w:r>
          </w:p>
          <w:p w14:paraId="1E1DA8C3">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kern w:val="2"/>
                <w:sz w:val="18"/>
                <w:szCs w:val="18"/>
                <w:lang w:eastAsia="zh-CN"/>
              </w:rPr>
              <w:t>面向本项目，机房托管服务方负责数据中心基础设施的运维服务，包括以下但不限于以下的服务内容：设备维护保养作业；7X24小时的现场运质保障；故障维修；基础设施生命周期管理；质保厂家考核管理；事件管理；技术支持等。</w:t>
            </w:r>
          </w:p>
          <w:p w14:paraId="72DFF9B5">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b/>
                <w:bCs/>
                <w:kern w:val="2"/>
                <w:sz w:val="18"/>
                <w:szCs w:val="18"/>
                <w:lang w:eastAsia="zh-CN"/>
              </w:rPr>
              <w:t>（1）设备清点及普查登记</w:t>
            </w:r>
            <w:r>
              <w:rPr>
                <w:rFonts w:ascii="宋体" w:hAnsi="宋体" w:eastAsia="宋体" w:cs="宋体"/>
                <w:kern w:val="2"/>
                <w:sz w:val="18"/>
                <w:szCs w:val="18"/>
                <w:lang w:eastAsia="zh-CN"/>
              </w:rPr>
              <w:t>：基于数据中心现有基础设施各系统技术资料档案，对数据中心基础设施定期进行全面清点及普查登记，对现有文档资料进行整理更新，确保文档资料的准确性。</w:t>
            </w:r>
          </w:p>
          <w:p w14:paraId="157B8FCA">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b/>
                <w:bCs/>
                <w:kern w:val="2"/>
                <w:sz w:val="18"/>
                <w:szCs w:val="18"/>
                <w:lang w:eastAsia="zh-CN"/>
              </w:rPr>
              <w:t>（2）机房巡检</w:t>
            </w:r>
            <w:r>
              <w:rPr>
                <w:rFonts w:ascii="宋体" w:hAnsi="宋体" w:eastAsia="宋体" w:cs="宋体"/>
                <w:kern w:val="2"/>
                <w:sz w:val="18"/>
                <w:szCs w:val="18"/>
                <w:lang w:eastAsia="zh-CN"/>
              </w:rPr>
              <w:t>：根据招标人需求及相关行业标准，制定维护作业计划对机房按日、周、月、季度、半年、年度等周期进行不同程度的巡检，填写巡检记录表格，汇总形成设备运行报告；</w:t>
            </w:r>
          </w:p>
          <w:p w14:paraId="4047F5C0">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b/>
                <w:bCs/>
                <w:kern w:val="2"/>
                <w:sz w:val="18"/>
                <w:szCs w:val="18"/>
                <w:lang w:eastAsia="zh-CN"/>
              </w:rPr>
              <w:t>（3）维护保养工作：</w:t>
            </w:r>
            <w:r>
              <w:rPr>
                <w:rFonts w:ascii="宋体" w:hAnsi="宋体" w:eastAsia="宋体" w:cs="宋体"/>
                <w:kern w:val="2"/>
                <w:sz w:val="18"/>
                <w:szCs w:val="18"/>
                <w:lang w:eastAsia="zh-CN"/>
              </w:rPr>
              <w:t>对基础设施各系统和工具仪表进行整体检查及维护保养，根据维护作业计划对不同等级机房按月度、季度、半年度、年度等不同周期进行不同程度的维护保养工作，保证设备高效运行，对达到规定磨损限度的零件进行更换；定期检查或校准维护、辅助工具和仪器，确保工具仪器满足日常使用和第三方审计检查；参考维护服务标准内容，填写机房设备运行记录表格，汇总形成设备运行报告；</w:t>
            </w:r>
          </w:p>
          <w:p w14:paraId="23AB9786">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b/>
                <w:bCs/>
                <w:kern w:val="2"/>
                <w:sz w:val="18"/>
                <w:szCs w:val="18"/>
                <w:lang w:eastAsia="zh-CN"/>
              </w:rPr>
              <w:t>（4）故障维修及隐患处理：</w:t>
            </w:r>
            <w:r>
              <w:rPr>
                <w:rFonts w:ascii="宋体" w:hAnsi="宋体" w:eastAsia="宋体" w:cs="宋体"/>
                <w:kern w:val="2"/>
                <w:sz w:val="18"/>
                <w:szCs w:val="18"/>
                <w:lang w:eastAsia="zh-CN"/>
              </w:rPr>
              <w:t>值班人员7*24小时不间断受理机房报障，维护工程师7*24小时受理机房故障处理，在保证服务SLA指标要求前提下快速恢复基础设施设备的正常运行；对运行存在隐患的基础设施，提供修复或更换方案。</w:t>
            </w:r>
          </w:p>
          <w:p w14:paraId="08E0C22E">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b/>
                <w:bCs/>
                <w:kern w:val="2"/>
                <w:sz w:val="18"/>
                <w:szCs w:val="18"/>
                <w:lang w:eastAsia="zh-CN"/>
              </w:rPr>
              <w:t>（5）基础设施生命周期管理：</w:t>
            </w:r>
            <w:r>
              <w:rPr>
                <w:rFonts w:ascii="宋体" w:hAnsi="宋体" w:eastAsia="宋体" w:cs="宋体"/>
                <w:kern w:val="2"/>
                <w:sz w:val="18"/>
                <w:szCs w:val="18"/>
                <w:lang w:eastAsia="zh-CN"/>
              </w:rPr>
              <w:t>对每个基础设施设备的维护、保养、异常或故障处理、设计使用寿命等做好相应的记录；并根据基础设施原厂规定的设计使用寿命要求，定期检测基础设施各关键部件、易损部件等的性能，制定即将超役的基础设施整改方案和应急方案，及时更换即将超役的基础设施各关键部件、易损部件等，确保基础设施正常运行。</w:t>
            </w:r>
          </w:p>
          <w:p w14:paraId="318611AA">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b/>
                <w:bCs/>
                <w:kern w:val="2"/>
                <w:sz w:val="18"/>
                <w:szCs w:val="18"/>
                <w:lang w:eastAsia="zh-CN"/>
              </w:rPr>
              <w:t>（6）主要基础设施的专项质保：</w:t>
            </w:r>
            <w:r>
              <w:rPr>
                <w:rFonts w:ascii="宋体" w:hAnsi="宋体" w:eastAsia="宋体" w:cs="宋体"/>
                <w:kern w:val="2"/>
                <w:sz w:val="18"/>
                <w:szCs w:val="18"/>
                <w:lang w:eastAsia="zh-CN"/>
              </w:rPr>
              <w:t>对主要基础设施（冷水主机、精密空调、柴油发电机、UPS、消防系统等）制定质保计划报招标人运维管理团队审核，安排在维护窗口时间进行并按配电系统、暖通系统、智能化系统、消防系统等专业分别提交质保报告。</w:t>
            </w:r>
          </w:p>
          <w:p w14:paraId="7F606E03">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b/>
                <w:bCs/>
                <w:kern w:val="2"/>
                <w:sz w:val="18"/>
                <w:szCs w:val="18"/>
                <w:lang w:eastAsia="zh-CN"/>
              </w:rPr>
              <w:t>（7）重要保障：</w:t>
            </w:r>
            <w:r>
              <w:rPr>
                <w:rFonts w:ascii="宋体" w:hAnsi="宋体" w:eastAsia="宋体" w:cs="宋体"/>
                <w:kern w:val="2"/>
                <w:sz w:val="18"/>
                <w:szCs w:val="18"/>
                <w:lang w:eastAsia="zh-CN"/>
              </w:rPr>
              <w:t>特殊时期或重大活动期间特殊保障、节假日或恶劣天气保障，制定保障重保方案，明确分工和工作要求，以及突发事件的处理流程。</w:t>
            </w:r>
          </w:p>
          <w:p w14:paraId="31695F54">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b/>
                <w:bCs/>
                <w:kern w:val="2"/>
                <w:sz w:val="18"/>
                <w:szCs w:val="18"/>
                <w:lang w:eastAsia="zh-CN"/>
              </w:rPr>
              <w:t>（8）应急保障及演练工作：</w:t>
            </w:r>
            <w:r>
              <w:rPr>
                <w:rFonts w:ascii="宋体" w:hAnsi="宋体" w:eastAsia="宋体" w:cs="宋体"/>
                <w:kern w:val="2"/>
                <w:sz w:val="18"/>
                <w:szCs w:val="18"/>
                <w:lang w:eastAsia="zh-CN"/>
              </w:rPr>
              <w:t>负责突发事件的应急保障工作，制定应急保障方案并按计划进行演练，至少包含火灾消防应急演练、空调系统故障应急演练、配电系统故障应急演练、UPS系统故障应急演练、机房漏水/水浸应急演练等。</w:t>
            </w:r>
          </w:p>
          <w:p w14:paraId="327AE545">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b/>
                <w:bCs/>
                <w:kern w:val="2"/>
                <w:sz w:val="18"/>
                <w:szCs w:val="18"/>
                <w:lang w:eastAsia="zh-CN"/>
              </w:rPr>
              <w:t>（9）监控及现场值守：</w:t>
            </w:r>
            <w:r>
              <w:rPr>
                <w:rFonts w:ascii="宋体" w:hAnsi="宋体" w:eastAsia="宋体" w:cs="宋体"/>
                <w:kern w:val="2"/>
                <w:sz w:val="18"/>
                <w:szCs w:val="18"/>
                <w:lang w:eastAsia="zh-CN"/>
              </w:rPr>
              <w:t>负责7*24小时现场运质保障工作，在收到基础设施故障告警或异常后的及时给出解决方案，在满足服务SLA指标要求前提下，及时解决故障或异常，恢复基础设施的正常使用；负责数据中心基础设施出现事件时的通报、升级和记录，确保满足服务指标要求。提供可在深圳龙岗远程监控的方案和服务。</w:t>
            </w:r>
          </w:p>
          <w:p w14:paraId="2FBA540C">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b/>
                <w:bCs/>
                <w:kern w:val="2"/>
                <w:sz w:val="18"/>
                <w:szCs w:val="18"/>
                <w:lang w:eastAsia="zh-CN"/>
              </w:rPr>
              <w:t>（10）服务报告：</w:t>
            </w:r>
            <w:r>
              <w:rPr>
                <w:rFonts w:ascii="宋体" w:hAnsi="宋体" w:eastAsia="宋体" w:cs="宋体"/>
                <w:kern w:val="2"/>
                <w:sz w:val="18"/>
                <w:szCs w:val="18"/>
                <w:lang w:eastAsia="zh-CN"/>
              </w:rPr>
              <w:t>定期对各类设备进行巡检，有效掌握所有设备的当前运行状况、使用情况，汇总分析。</w:t>
            </w:r>
          </w:p>
          <w:p w14:paraId="1A370AE2">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b/>
                <w:bCs/>
                <w:kern w:val="2"/>
                <w:sz w:val="18"/>
                <w:szCs w:val="18"/>
                <w:lang w:eastAsia="zh-CN"/>
              </w:rPr>
              <w:t>（11）专业检测：</w:t>
            </w:r>
            <w:r>
              <w:rPr>
                <w:rFonts w:ascii="宋体" w:hAnsi="宋体" w:eastAsia="宋体" w:cs="宋体"/>
                <w:kern w:val="2"/>
                <w:sz w:val="18"/>
                <w:szCs w:val="18"/>
                <w:lang w:eastAsia="zh-CN"/>
              </w:rPr>
              <w:t>需与有资质的供应商签订每年至少一次防雷检测、消防检测、电源质量检测水质检测、柴油检测、机房整体基础设施健康评估检测，及其它检测，并输出相应检测报告，负责整改检测报告中的异常项；需与有资质的供应商签订每3年至少一次机房A级认证检测，之后每年至少一次A级认证复审，输出检测或复审报告，并负责整改检测报告中的异常项。</w:t>
            </w:r>
          </w:p>
          <w:p w14:paraId="4CA92E42">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b/>
                <w:bCs/>
                <w:kern w:val="2"/>
                <w:sz w:val="18"/>
                <w:szCs w:val="18"/>
                <w:lang w:eastAsia="zh-CN"/>
              </w:rPr>
              <w:t>（12）应急响应及演练计划：</w:t>
            </w:r>
            <w:r>
              <w:rPr>
                <w:rFonts w:ascii="宋体" w:hAnsi="宋体" w:eastAsia="宋体" w:cs="宋体"/>
                <w:kern w:val="2"/>
                <w:sz w:val="18"/>
                <w:szCs w:val="18"/>
                <w:lang w:eastAsia="zh-CN"/>
              </w:rPr>
              <w:t>制定数据机房基础设施各系统应急预案并按照每年每系统至少2次实施演练，提交演练方案及报告，包括火灾消防应急演练、空调系统故障应急演练、配电系统故障应急演练、动环监控系统故障应急演练、柴油发电机应急演练等，提高应急响应能力。</w:t>
            </w:r>
          </w:p>
          <w:p w14:paraId="11606F9F">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b/>
                <w:bCs/>
                <w:kern w:val="2"/>
                <w:sz w:val="18"/>
                <w:szCs w:val="18"/>
                <w:lang w:eastAsia="zh-CN"/>
              </w:rPr>
              <w:t>（13）技术支持：</w:t>
            </w:r>
            <w:r>
              <w:rPr>
                <w:rFonts w:ascii="宋体" w:hAnsi="宋体" w:eastAsia="宋体" w:cs="宋体"/>
                <w:kern w:val="2"/>
                <w:sz w:val="18"/>
                <w:szCs w:val="18"/>
                <w:lang w:eastAsia="zh-CN"/>
              </w:rPr>
              <w:t>由机房出租方提供技术支持服务,在该时段内任意时刻接受电话、邮箱、微信等方式咨询并随时接受用户请求。在用户提出咨询请求后，应在需求时段内给用户回复。技术支持的内容包括：一般维护操作和技术问题，具体包括：数据中心基础设施相关设备的维护操作及技术支持等，以及普通故障排除；用户要求的现场技术服务请求；保障支持服务：根据数据中心质量管理规范要求，在重要节日、重要操作、重大变更时，提供现场的技术支持服务；其它服务：有关数据中心的其它服务。</w:t>
            </w:r>
          </w:p>
          <w:p w14:paraId="3BA6F1D7">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b/>
                <w:bCs/>
                <w:kern w:val="2"/>
                <w:sz w:val="18"/>
                <w:szCs w:val="18"/>
                <w:lang w:eastAsia="zh-CN"/>
              </w:rPr>
              <w:t>（14）技术培训：</w:t>
            </w:r>
            <w:r>
              <w:rPr>
                <w:rFonts w:ascii="宋体" w:hAnsi="宋体" w:eastAsia="宋体" w:cs="宋体"/>
                <w:kern w:val="2"/>
                <w:sz w:val="18"/>
                <w:szCs w:val="18"/>
                <w:lang w:eastAsia="zh-CN"/>
              </w:rPr>
              <w:t>制定基础设施年度培训计划，包括基础设施操作、故障初步判断、疑难解答等的培训。</w:t>
            </w:r>
          </w:p>
          <w:p w14:paraId="0E989F19">
            <w:pPr>
              <w:spacing w:line="240" w:lineRule="auto"/>
              <w:ind w:firstLine="360" w:firstLineChars="200"/>
              <w:jc w:val="both"/>
              <w:rPr>
                <w:rFonts w:hint="eastAsia" w:ascii="宋体" w:hAnsi="宋体" w:eastAsia="宋体" w:cs="宋体"/>
                <w:b/>
                <w:bCs/>
                <w:kern w:val="2"/>
                <w:sz w:val="18"/>
                <w:szCs w:val="18"/>
                <w:lang w:eastAsia="zh-CN"/>
              </w:rPr>
            </w:pPr>
            <w:r>
              <w:rPr>
                <w:rFonts w:ascii="宋体" w:hAnsi="宋体" w:eastAsia="宋体" w:cs="宋体"/>
                <w:b/>
                <w:bCs/>
                <w:kern w:val="2"/>
                <w:sz w:val="18"/>
                <w:szCs w:val="18"/>
                <w:lang w:eastAsia="zh-CN"/>
              </w:rPr>
              <w:t>（15）服务接口与沟通机制：</w:t>
            </w:r>
          </w:p>
          <w:p w14:paraId="101C3B55">
            <w:pPr>
              <w:spacing w:line="240" w:lineRule="auto"/>
              <w:ind w:firstLine="360" w:firstLineChars="200"/>
              <w:jc w:val="both"/>
              <w:rPr>
                <w:rFonts w:hint="eastAsia" w:ascii="宋体" w:hAnsi="宋体" w:eastAsia="宋体" w:cs="宋体"/>
                <w:kern w:val="2"/>
                <w:sz w:val="18"/>
                <w:szCs w:val="18"/>
                <w:lang w:eastAsia="zh-CN"/>
              </w:rPr>
            </w:pPr>
            <w:r>
              <w:rPr>
                <w:rFonts w:ascii="宋体" w:hAnsi="宋体" w:eastAsia="宋体" w:cs="宋体"/>
                <w:kern w:val="2"/>
                <w:sz w:val="18"/>
                <w:szCs w:val="18"/>
                <w:lang w:eastAsia="zh-CN"/>
              </w:rPr>
              <w:t>提供24*365值班服务台。</w:t>
            </w:r>
          </w:p>
          <w:p w14:paraId="261CD6AA">
            <w:pPr>
              <w:spacing w:line="240" w:lineRule="auto"/>
              <w:ind w:firstLine="360" w:firstLineChars="200"/>
              <w:jc w:val="both"/>
              <w:rPr>
                <w:rFonts w:ascii="宋体" w:hAnsi="宋体" w:eastAsia="宋体" w:cs="宋体"/>
                <w:kern w:val="2"/>
                <w:sz w:val="18"/>
                <w:szCs w:val="18"/>
                <w:lang w:eastAsia="zh-CN"/>
              </w:rPr>
            </w:pPr>
            <w:r>
              <w:rPr>
                <w:rFonts w:ascii="宋体" w:hAnsi="宋体" w:eastAsia="宋体" w:cs="宋体"/>
                <w:kern w:val="2"/>
                <w:sz w:val="18"/>
                <w:szCs w:val="18"/>
                <w:lang w:eastAsia="zh-CN"/>
              </w:rPr>
              <w:t>提供专属服团队（服务经理+支撑经理+技术团队），对甲方进行全程跟踪服务。</w:t>
            </w:r>
          </w:p>
          <w:p w14:paraId="193A9855">
            <w:pPr>
              <w:spacing w:line="240" w:lineRule="auto"/>
              <w:ind w:firstLine="360" w:firstLineChars="200"/>
              <w:jc w:val="both"/>
              <w:rPr>
                <w:rFonts w:hint="eastAsia" w:ascii="宋体" w:hAnsi="宋体" w:eastAsia="宋体" w:cs="宋体"/>
                <w:b/>
                <w:bCs/>
                <w:kern w:val="2"/>
                <w:sz w:val="18"/>
                <w:szCs w:val="18"/>
                <w:lang w:eastAsia="zh-CN"/>
              </w:rPr>
            </w:pPr>
            <w:r>
              <w:rPr>
                <w:rFonts w:hint="eastAsia" w:ascii="宋体" w:hAnsi="宋体" w:eastAsia="宋体" w:cs="宋体"/>
                <w:b/>
                <w:bCs/>
                <w:kern w:val="2"/>
                <w:sz w:val="18"/>
                <w:szCs w:val="18"/>
                <w:lang w:eastAsia="zh-CN"/>
              </w:rPr>
              <w:t>（</w:t>
            </w:r>
            <w:r>
              <w:rPr>
                <w:rFonts w:hint="eastAsia" w:ascii="宋体" w:hAnsi="宋体" w:eastAsia="宋体" w:cs="宋体"/>
                <w:b/>
                <w:bCs/>
                <w:kern w:val="2"/>
                <w:sz w:val="18"/>
                <w:szCs w:val="18"/>
                <w:lang w:val="en-US" w:eastAsia="zh-CN"/>
              </w:rPr>
              <w:t>16</w:t>
            </w:r>
            <w:r>
              <w:rPr>
                <w:rFonts w:hint="eastAsia" w:ascii="宋体" w:hAnsi="宋体" w:eastAsia="宋体" w:cs="宋体"/>
                <w:b/>
                <w:bCs/>
                <w:kern w:val="2"/>
                <w:sz w:val="18"/>
                <w:szCs w:val="18"/>
                <w:lang w:eastAsia="zh-CN"/>
              </w:rPr>
              <w:t>）综合能源管理</w:t>
            </w:r>
          </w:p>
          <w:p w14:paraId="6757B790">
            <w:pPr>
              <w:spacing w:line="240" w:lineRule="auto"/>
              <w:ind w:firstLine="360" w:firstLineChars="200"/>
              <w:jc w:val="both"/>
              <w:rPr>
                <w:rFonts w:hint="eastAsia" w:ascii="宋体" w:hAnsi="宋体" w:cs="宋体"/>
                <w:kern w:val="2"/>
                <w:sz w:val="18"/>
                <w:szCs w:val="18"/>
                <w:lang w:eastAsia="zh-CN"/>
              </w:rPr>
            </w:pPr>
            <w:r>
              <w:rPr>
                <w:rFonts w:hint="eastAsia" w:ascii="宋体" w:hAnsi="宋体" w:cs="宋体"/>
                <w:kern w:val="2"/>
                <w:sz w:val="18"/>
                <w:szCs w:val="18"/>
                <w:lang w:eastAsia="zh-CN"/>
              </w:rPr>
              <w:t>需要对本项目</w:t>
            </w:r>
            <w:r>
              <w:rPr>
                <w:rFonts w:hint="eastAsia" w:ascii="宋体" w:hAnsi="宋体" w:cs="宋体"/>
                <w:kern w:val="2"/>
                <w:sz w:val="18"/>
                <w:szCs w:val="18"/>
                <w:lang w:val="en-US" w:eastAsia="zh-CN"/>
              </w:rPr>
              <w:t>使用的机房</w:t>
            </w:r>
            <w:r>
              <w:rPr>
                <w:rFonts w:hint="eastAsia" w:ascii="宋体" w:hAnsi="宋体" w:cs="宋体"/>
                <w:kern w:val="2"/>
                <w:sz w:val="18"/>
                <w:szCs w:val="18"/>
                <w:lang w:eastAsia="zh-CN"/>
              </w:rPr>
              <w:t>进行综合能源管理，</w:t>
            </w:r>
            <w:r>
              <w:rPr>
                <w:rFonts w:hint="eastAsia" w:ascii="宋体" w:hAnsi="宋体" w:cs="宋体"/>
                <w:kern w:val="2"/>
                <w:sz w:val="18"/>
                <w:szCs w:val="18"/>
                <w:lang w:val="en-US" w:eastAsia="zh-CN"/>
              </w:rPr>
              <w:t>定期提供环境、用电等运行数据</w:t>
            </w:r>
            <w:r>
              <w:rPr>
                <w:rFonts w:hint="eastAsia" w:ascii="宋体" w:hAnsi="宋体" w:cs="宋体"/>
                <w:kern w:val="2"/>
                <w:sz w:val="18"/>
                <w:szCs w:val="18"/>
                <w:lang w:eastAsia="zh-CN"/>
              </w:rPr>
              <w:t>。</w:t>
            </w:r>
          </w:p>
        </w:tc>
        <w:tc>
          <w:tcPr>
            <w:tcW w:w="500" w:type="pct"/>
            <w:vAlign w:val="center"/>
          </w:tcPr>
          <w:p w14:paraId="3B6406BC">
            <w:pPr>
              <w:spacing w:line="240" w:lineRule="auto"/>
              <w:ind w:firstLine="0" w:firstLineChars="0"/>
              <w:jc w:val="center"/>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1</w:t>
            </w:r>
          </w:p>
        </w:tc>
        <w:tc>
          <w:tcPr>
            <w:tcW w:w="445" w:type="pct"/>
            <w:vAlign w:val="center"/>
          </w:tcPr>
          <w:p w14:paraId="07631F03">
            <w:pPr>
              <w:spacing w:line="240" w:lineRule="auto"/>
              <w:ind w:firstLine="0" w:firstLineChars="0"/>
              <w:jc w:val="center"/>
              <w:rPr>
                <w:rFonts w:hint="eastAsia" w:ascii="宋体" w:hAnsi="宋体" w:eastAsia="宋体"/>
                <w:color w:val="000000"/>
                <w:kern w:val="2"/>
                <w:sz w:val="18"/>
                <w:szCs w:val="18"/>
                <w:lang w:eastAsia="zh-CN"/>
              </w:rPr>
            </w:pPr>
            <w:r>
              <w:rPr>
                <w:rFonts w:ascii="宋体" w:hAnsi="宋体" w:eastAsia="宋体"/>
                <w:color w:val="000000"/>
                <w:kern w:val="2"/>
                <w:sz w:val="18"/>
                <w:szCs w:val="18"/>
                <w:lang w:eastAsia="zh-CN"/>
              </w:rPr>
              <w:t>项</w:t>
            </w:r>
          </w:p>
        </w:tc>
      </w:tr>
    </w:tbl>
    <w:p w14:paraId="384B29E0">
      <w:pPr>
        <w:bidi w:val="0"/>
        <w:rPr>
          <w:rFonts w:hint="eastAsia"/>
          <w:lang w:val="en-US" w:eastAsia="zh-CN"/>
        </w:rPr>
      </w:pPr>
    </w:p>
    <w:p w14:paraId="0A0E2674">
      <w:pPr>
        <w:widowControl w:val="0"/>
        <w:autoSpaceDE w:val="0"/>
        <w:autoSpaceDN w:val="0"/>
        <w:adjustRightInd w:val="0"/>
        <w:snapToGrid w:val="0"/>
        <w:spacing w:line="360" w:lineRule="auto"/>
        <w:ind w:firstLine="420" w:firstLineChars="200"/>
        <w:jc w:val="both"/>
        <w:rPr>
          <w:rFonts w:hint="eastAsia" w:ascii="宋体" w:hAnsi="宋体" w:eastAsia="宋体" w:cs="宋体"/>
          <w:kern w:val="2"/>
          <w:lang w:eastAsia="zh-CN"/>
        </w:rPr>
      </w:pPr>
    </w:p>
    <w:p w14:paraId="64A6A0D7">
      <w:pPr>
        <w:bidi w:val="0"/>
        <w:rPr>
          <w:rFonts w:hint="eastAsia"/>
        </w:rPr>
      </w:pPr>
    </w:p>
    <w:p w14:paraId="5D7DE580">
      <w:pPr>
        <w:widowControl w:val="0"/>
        <w:autoSpaceDE w:val="0"/>
        <w:autoSpaceDN w:val="0"/>
        <w:adjustRightInd w:val="0"/>
        <w:snapToGrid w:val="0"/>
        <w:rPr>
          <w:rFonts w:ascii="宋体" w:hAnsi="宋体"/>
          <w:b/>
          <w:sz w:val="32"/>
        </w:rPr>
      </w:pPr>
      <w:r>
        <w:rPr>
          <w:rFonts w:hint="eastAsia" w:ascii="宋体" w:hAnsi="宋体"/>
          <w:b/>
          <w:sz w:val="32"/>
        </w:rPr>
        <w:br w:type="page"/>
      </w:r>
    </w:p>
    <w:p w14:paraId="41DA5AAF">
      <w:pPr>
        <w:widowControl w:val="0"/>
        <w:autoSpaceDN w:val="0"/>
        <w:adjustRightInd w:val="0"/>
        <w:snapToGrid w:val="0"/>
        <w:ind w:firstLine="0" w:firstLineChars="0"/>
        <w:jc w:val="center"/>
        <w:outlineLvl w:val="1"/>
        <w:rPr>
          <w:rFonts w:ascii="宋体" w:hAnsi="宋体"/>
          <w:b/>
          <w:sz w:val="32"/>
        </w:rPr>
      </w:pPr>
      <w:r>
        <w:rPr>
          <w:rFonts w:hint="eastAsia" w:ascii="宋体" w:hAnsi="宋体"/>
          <w:b/>
          <w:sz w:val="32"/>
        </w:rPr>
        <w:t>第二节 商务条款</w:t>
      </w:r>
    </w:p>
    <w:p w14:paraId="70D5B6BA">
      <w:pPr>
        <w:ind w:firstLine="482"/>
        <w:jc w:val="left"/>
        <w:outlineLvl w:val="2"/>
        <w:rPr>
          <w:rFonts w:ascii="宋体" w:hAnsi="宋体" w:cs="宋体"/>
          <w:b/>
          <w:sz w:val="24"/>
        </w:rPr>
      </w:pPr>
      <w:r>
        <w:rPr>
          <w:rFonts w:hint="eastAsia" w:ascii="宋体" w:hAnsi="宋体" w:cs="宋体"/>
          <w:b/>
          <w:sz w:val="24"/>
        </w:rPr>
        <w:t>一、项目概况</w:t>
      </w:r>
    </w:p>
    <w:p w14:paraId="2117216D">
      <w:pPr>
        <w:widowControl w:val="0"/>
        <w:autoSpaceDE w:val="0"/>
        <w:autoSpaceDN w:val="0"/>
        <w:adjustRightInd w:val="0"/>
        <w:snapToGrid w:val="0"/>
        <w:ind w:firstLine="420"/>
        <w:rPr>
          <w:rFonts w:hint="eastAsia" w:ascii="Times New Roman" w:hAnsi="Times New Roman" w:eastAsia="宋体" w:cs="Times New Roman"/>
          <w:lang w:val="en-US" w:eastAsia="zh-CN"/>
        </w:rPr>
      </w:pPr>
      <w:r>
        <w:rPr>
          <w:rFonts w:hint="eastAsia"/>
        </w:rPr>
        <w:t>根据《深圳市龙岗区创建人工智能全域全时应用示范区的行动方案(2024年-2025年)》和《龙岗区加快创建“AI龙岗”三年行动计划（2025—2027年）》规划, 要构建高效算力供给体系，在供给侧加强龙岗区在线算力供给保障能力，推动人工智能产业化。</w:t>
      </w:r>
      <w:r>
        <w:rPr>
          <w:rFonts w:hint="eastAsia" w:ascii="Times New Roman" w:hAnsi="Times New Roman" w:eastAsia="宋体" w:cs="Times New Roman"/>
          <w:lang w:val="en-US" w:eastAsia="zh-CN"/>
        </w:rPr>
        <w:t>本项目根据上述行动方案以及意向客户需求，</w:t>
      </w:r>
      <w:r>
        <w:rPr>
          <w:rFonts w:hint="eastAsia" w:cs="Times New Roman"/>
          <w:lang w:val="en-US" w:eastAsia="zh-CN"/>
        </w:rPr>
        <w:t>我司需建设共计不少于57</w:t>
      </w:r>
      <w:r>
        <w:rPr>
          <w:rFonts w:hint="eastAsia" w:cs="Times New Roman"/>
          <w:b w:val="0"/>
          <w:bCs w:val="0"/>
          <w:lang w:val="en-US" w:eastAsia="zh-CN"/>
        </w:rPr>
        <w:t>0</w:t>
      </w:r>
      <w:r>
        <w:rPr>
          <w:rFonts w:hint="eastAsia"/>
          <w:b w:val="0"/>
          <w:bCs w:val="0"/>
          <w:lang w:val="en-US" w:eastAsia="zh-CN"/>
        </w:rPr>
        <w:t>PFlpos@FP16的智算资源池（稠密算力）</w:t>
      </w:r>
      <w:r>
        <w:rPr>
          <w:rFonts w:hint="eastAsia" w:cs="Times New Roman"/>
          <w:lang w:val="en-US" w:eastAsia="zh-CN"/>
        </w:rPr>
        <w:t>，支持客户业务开展</w:t>
      </w:r>
      <w:r>
        <w:rPr>
          <w:rFonts w:hint="eastAsia" w:ascii="Times New Roman" w:hAnsi="Times New Roman" w:eastAsia="宋体" w:cs="Times New Roman"/>
          <w:lang w:val="en-US" w:eastAsia="zh-CN"/>
        </w:rPr>
        <w:t>。</w:t>
      </w:r>
    </w:p>
    <w:p w14:paraId="2E98BCAF">
      <w:pPr>
        <w:ind w:firstLine="482"/>
        <w:jc w:val="left"/>
        <w:outlineLvl w:val="2"/>
        <w:rPr>
          <w:rFonts w:ascii="宋体" w:hAnsi="宋体" w:cs="宋体"/>
          <w:b/>
          <w:sz w:val="24"/>
        </w:rPr>
      </w:pPr>
      <w:r>
        <w:rPr>
          <w:rFonts w:hint="eastAsia" w:ascii="宋体" w:hAnsi="宋体" w:cs="宋体"/>
          <w:b/>
          <w:sz w:val="24"/>
        </w:rPr>
        <w:t>二、合同履行期限</w:t>
      </w:r>
    </w:p>
    <w:p w14:paraId="7AB01168">
      <w:pPr>
        <w:widowControl w:val="0"/>
        <w:autoSpaceDE w:val="0"/>
        <w:autoSpaceDN w:val="0"/>
        <w:adjustRightInd w:val="0"/>
        <w:snapToGrid w:val="0"/>
        <w:ind w:firstLine="420"/>
        <w:rPr>
          <w:rFonts w:hint="eastAsia"/>
          <w:b/>
          <w:bCs/>
          <w:lang w:val="en-US" w:eastAsia="zh-CN"/>
        </w:rPr>
      </w:pPr>
      <w:r>
        <w:rPr>
          <w:rFonts w:hint="eastAsia"/>
          <w:b/>
          <w:bCs/>
          <w:lang w:val="en-US" w:eastAsia="zh-CN"/>
        </w:rPr>
        <w:t>1、建设阶段</w:t>
      </w:r>
    </w:p>
    <w:p w14:paraId="1E547411">
      <w:pPr>
        <w:widowControl w:val="0"/>
        <w:autoSpaceDE w:val="0"/>
        <w:autoSpaceDN w:val="0"/>
        <w:adjustRightInd w:val="0"/>
        <w:snapToGrid w:val="0"/>
        <w:ind w:firstLine="420"/>
        <w:rPr>
          <w:rFonts w:hint="eastAsia"/>
          <w:highlight w:val="none"/>
          <w:lang w:val="en-US" w:eastAsia="zh-CN"/>
        </w:rPr>
      </w:pPr>
      <w:r>
        <w:rPr>
          <w:rFonts w:hint="eastAsia"/>
          <w:highlight w:val="none"/>
        </w:rPr>
        <w:t>合同签订</w:t>
      </w:r>
      <w:r>
        <w:rPr>
          <w:rFonts w:hint="eastAsia"/>
          <w:highlight w:val="none"/>
          <w:lang w:val="en-US" w:eastAsia="zh-CN"/>
        </w:rPr>
        <w:t>后</w:t>
      </w:r>
      <w:r>
        <w:rPr>
          <w:rFonts w:hint="eastAsia"/>
          <w:highlight w:val="none"/>
        </w:rPr>
        <w:t>，</w:t>
      </w:r>
      <w:r>
        <w:rPr>
          <w:rFonts w:hint="eastAsia"/>
          <w:highlight w:val="none"/>
          <w:lang w:val="en-US" w:eastAsia="zh-CN"/>
        </w:rPr>
        <w:t>采购人提供的AI服务器到货后，2个月内完成竣工验收</w:t>
      </w:r>
      <w:r>
        <w:rPr>
          <w:rFonts w:hint="eastAsia"/>
          <w:highlight w:val="none"/>
        </w:rPr>
        <w:t>。</w:t>
      </w:r>
      <w:r>
        <w:rPr>
          <w:rFonts w:hint="eastAsia"/>
          <w:highlight w:val="none"/>
          <w:lang w:val="en-US" w:eastAsia="zh-CN"/>
        </w:rPr>
        <w:t>如采购人分批到货且要求分批集成验收的，分批到货后2个月内完成竣工验收。</w:t>
      </w:r>
    </w:p>
    <w:p w14:paraId="1C0C40F1">
      <w:pPr>
        <w:widowControl w:val="0"/>
        <w:autoSpaceDE w:val="0"/>
        <w:autoSpaceDN w:val="0"/>
        <w:adjustRightInd w:val="0"/>
        <w:snapToGrid w:val="0"/>
        <w:ind w:firstLine="420"/>
        <w:rPr>
          <w:rFonts w:hint="eastAsia"/>
          <w:b/>
          <w:bCs/>
          <w:lang w:val="en-US" w:eastAsia="zh-CN"/>
        </w:rPr>
      </w:pPr>
      <w:r>
        <w:rPr>
          <w:rFonts w:hint="eastAsia"/>
          <w:b/>
          <w:bCs/>
          <w:lang w:val="en-US" w:eastAsia="zh-CN"/>
        </w:rPr>
        <w:t>2、运维阶段</w:t>
      </w:r>
    </w:p>
    <w:p w14:paraId="74A8477E">
      <w:pPr>
        <w:widowControl w:val="0"/>
        <w:autoSpaceDE w:val="0"/>
        <w:autoSpaceDN w:val="0"/>
        <w:adjustRightInd w:val="0"/>
        <w:snapToGrid w:val="0"/>
        <w:ind w:firstLine="420"/>
        <w:rPr>
          <w:rFonts w:hint="default" w:eastAsia="宋体"/>
          <w:lang w:val="en-US" w:eastAsia="zh-CN"/>
        </w:rPr>
      </w:pPr>
      <w:r>
        <w:rPr>
          <w:rFonts w:hint="eastAsia"/>
          <w:lang w:val="en-US" w:eastAsia="zh-CN"/>
        </w:rPr>
        <w:t>各智算集群竣工验收次日起进入运维期</w:t>
      </w:r>
      <w:r>
        <w:rPr>
          <w:rFonts w:hint="eastAsia"/>
        </w:rPr>
        <w:t>，</w:t>
      </w:r>
      <w:r>
        <w:rPr>
          <w:rFonts w:hint="eastAsia"/>
          <w:lang w:val="en-US" w:eastAsia="zh-CN"/>
        </w:rPr>
        <w:t>运维期5年</w:t>
      </w:r>
      <w:r>
        <w:rPr>
          <w:rFonts w:hint="eastAsia"/>
        </w:rPr>
        <w:t>。</w:t>
      </w:r>
      <w:r>
        <w:rPr>
          <w:rFonts w:hint="eastAsia"/>
          <w:lang w:val="en-US" w:eastAsia="zh-CN"/>
        </w:rPr>
        <w:t>如果分批竣工验收的，分批进入运维期。</w:t>
      </w:r>
    </w:p>
    <w:p w14:paraId="5CF00FB2">
      <w:pPr>
        <w:ind w:firstLine="482"/>
        <w:jc w:val="left"/>
        <w:outlineLvl w:val="2"/>
        <w:rPr>
          <w:rFonts w:ascii="宋体" w:hAnsi="宋体" w:cs="宋体"/>
          <w:b/>
          <w:sz w:val="24"/>
        </w:rPr>
      </w:pPr>
      <w:r>
        <w:rPr>
          <w:rFonts w:hint="eastAsia" w:ascii="宋体" w:hAnsi="宋体" w:cs="宋体"/>
          <w:b/>
          <w:sz w:val="24"/>
        </w:rPr>
        <w:t>三、服务地点</w:t>
      </w:r>
    </w:p>
    <w:p w14:paraId="0096F6E3">
      <w:pPr>
        <w:widowControl w:val="0"/>
        <w:autoSpaceDE w:val="0"/>
        <w:autoSpaceDN w:val="0"/>
        <w:adjustRightInd w:val="0"/>
        <w:snapToGrid w:val="0"/>
        <w:ind w:firstLine="420"/>
      </w:pPr>
      <w:r>
        <w:rPr>
          <w:rFonts w:hint="eastAsia"/>
          <w:lang w:val="en-US" w:eastAsia="zh-CN"/>
        </w:rPr>
        <w:t>采购人指定地点</w:t>
      </w:r>
      <w:r>
        <w:rPr>
          <w:rFonts w:hint="eastAsia"/>
        </w:rPr>
        <w:t>。</w:t>
      </w:r>
    </w:p>
    <w:p w14:paraId="3A8A0010">
      <w:pPr>
        <w:ind w:firstLine="482"/>
        <w:jc w:val="left"/>
        <w:outlineLvl w:val="2"/>
        <w:rPr>
          <w:rFonts w:ascii="宋体" w:hAnsi="宋体" w:cs="宋体"/>
          <w:b/>
          <w:sz w:val="24"/>
        </w:rPr>
      </w:pPr>
      <w:bookmarkStart w:id="12" w:name="_Toc404195403"/>
      <w:bookmarkStart w:id="13" w:name="_Toc406669475"/>
      <w:r>
        <w:rPr>
          <w:rFonts w:hint="eastAsia" w:ascii="宋体" w:hAnsi="宋体" w:cs="宋体"/>
          <w:b/>
          <w:sz w:val="24"/>
        </w:rPr>
        <w:t>四、</w:t>
      </w:r>
      <w:r>
        <w:rPr>
          <w:rFonts w:ascii="宋体" w:hAnsi="宋体" w:cs="宋体"/>
          <w:b/>
          <w:sz w:val="24"/>
        </w:rPr>
        <w:t>报价方式</w:t>
      </w:r>
      <w:bookmarkEnd w:id="12"/>
      <w:bookmarkEnd w:id="13"/>
    </w:p>
    <w:p w14:paraId="5B3135FC">
      <w:pPr>
        <w:widowControl w:val="0"/>
        <w:autoSpaceDE w:val="0"/>
        <w:autoSpaceDN w:val="0"/>
        <w:adjustRightInd w:val="0"/>
        <w:snapToGrid w:val="0"/>
        <w:ind w:firstLine="420"/>
        <w:rPr>
          <w:rFonts w:hint="default" w:eastAsia="宋体"/>
          <w:b/>
          <w:bCs/>
          <w:lang w:val="en-US" w:eastAsia="zh-CN"/>
        </w:rPr>
      </w:pPr>
      <w:r>
        <w:rPr>
          <w:rFonts w:hint="eastAsia"/>
          <w:lang w:val="en-US" w:eastAsia="zh-CN"/>
        </w:rPr>
        <w:t>报价人根据需求，自行确定技术方案，按照方案自行对集群分别组价，</w:t>
      </w:r>
      <w:r>
        <w:rPr>
          <w:rFonts w:hint="eastAsia"/>
        </w:rPr>
        <w:t>详见询价回执。</w:t>
      </w:r>
      <w:r>
        <w:rPr>
          <w:rFonts w:hint="eastAsia"/>
          <w:lang w:val="en-US" w:eastAsia="zh-CN"/>
        </w:rPr>
        <w:t>其中AI服务器由采购人提供，不在本报价文件中体现。</w:t>
      </w:r>
    </w:p>
    <w:p w14:paraId="09F0F77E">
      <w:pPr>
        <w:ind w:firstLine="482"/>
        <w:jc w:val="left"/>
        <w:outlineLvl w:val="2"/>
        <w:rPr>
          <w:rFonts w:ascii="宋体" w:hAnsi="宋体" w:cs="宋体"/>
          <w:b/>
          <w:sz w:val="24"/>
        </w:rPr>
      </w:pPr>
      <w:r>
        <w:rPr>
          <w:rFonts w:hint="eastAsia" w:ascii="宋体" w:hAnsi="宋体" w:cs="宋体"/>
          <w:b/>
          <w:sz w:val="24"/>
        </w:rPr>
        <w:t>五、付款方式</w:t>
      </w:r>
    </w:p>
    <w:p w14:paraId="7C53424F">
      <w:pPr>
        <w:pStyle w:val="14"/>
        <w:ind w:left="360" w:firstLine="420" w:firstLineChars="200"/>
        <w:rPr>
          <w:rFonts w:hint="eastAsia"/>
        </w:rPr>
      </w:pPr>
      <w:r>
        <w:rPr>
          <w:rFonts w:hint="eastAsia"/>
          <w:lang w:val="en-US" w:eastAsia="zh-CN"/>
        </w:rPr>
        <w:t>根据采购人实际提供的AI服务器情况，分批开展配套设备和相关技术服务进行结算支付</w:t>
      </w:r>
      <w:r>
        <w:rPr>
          <w:rFonts w:hint="eastAsia"/>
        </w:rPr>
        <w:t>。</w:t>
      </w:r>
    </w:p>
    <w:p w14:paraId="2123D0FB">
      <w:pPr>
        <w:ind w:firstLine="482"/>
        <w:jc w:val="left"/>
        <w:outlineLvl w:val="2"/>
        <w:rPr>
          <w:rFonts w:ascii="宋体" w:hAnsi="宋体" w:cs="宋体"/>
          <w:b/>
          <w:sz w:val="24"/>
        </w:rPr>
      </w:pPr>
      <w:r>
        <w:rPr>
          <w:rFonts w:hint="eastAsia" w:ascii="宋体" w:hAnsi="宋体" w:cs="宋体"/>
          <w:b/>
          <w:sz w:val="24"/>
        </w:rPr>
        <w:t>六、质保服务要求</w:t>
      </w:r>
    </w:p>
    <w:p w14:paraId="7614DF75">
      <w:pPr>
        <w:pStyle w:val="14"/>
        <w:ind w:firstLine="0" w:firstLineChars="0"/>
        <w:jc w:val="center"/>
        <w:rPr>
          <w:b/>
          <w:bCs/>
        </w:rPr>
      </w:pPr>
      <w:r>
        <w:rPr>
          <w:rFonts w:hint="eastAsia"/>
          <w:b/>
          <w:bCs/>
          <w:lang w:val="en-US" w:eastAsia="zh-CN"/>
        </w:rPr>
        <w:t>设备和软件</w:t>
      </w:r>
      <w:r>
        <w:rPr>
          <w:rFonts w:hint="eastAsia"/>
          <w:b/>
          <w:bCs/>
        </w:rPr>
        <w:t>质保服务要求</w:t>
      </w:r>
    </w:p>
    <w:tbl>
      <w:tblPr>
        <w:tblStyle w:val="50"/>
        <w:tblW w:w="47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1656"/>
        <w:gridCol w:w="5107"/>
        <w:gridCol w:w="627"/>
      </w:tblGrid>
      <w:tr w14:paraId="1FC43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424" w:type="pct"/>
            <w:vAlign w:val="center"/>
          </w:tcPr>
          <w:p w14:paraId="19CD8723">
            <w:pPr>
              <w:spacing w:line="240" w:lineRule="auto"/>
              <w:ind w:firstLine="0" w:firstLineChars="0"/>
              <w:jc w:val="center"/>
              <w:rPr>
                <w:rFonts w:ascii="宋体" w:hAnsi="宋体" w:cs="宋体"/>
                <w:b/>
                <w:bCs/>
                <w:color w:val="000000"/>
                <w:sz w:val="18"/>
                <w:szCs w:val="18"/>
              </w:rPr>
            </w:pPr>
            <w:r>
              <w:rPr>
                <w:rFonts w:hint="eastAsia" w:ascii="宋体" w:hAnsi="宋体" w:cs="宋体"/>
                <w:b/>
                <w:sz w:val="18"/>
                <w:szCs w:val="18"/>
              </w:rPr>
              <w:t>序号</w:t>
            </w:r>
          </w:p>
        </w:tc>
        <w:tc>
          <w:tcPr>
            <w:tcW w:w="1025" w:type="pct"/>
            <w:vAlign w:val="center"/>
          </w:tcPr>
          <w:p w14:paraId="7CC61876">
            <w:pPr>
              <w:spacing w:line="240" w:lineRule="auto"/>
              <w:ind w:firstLine="0" w:firstLineChars="0"/>
              <w:jc w:val="center"/>
              <w:rPr>
                <w:rFonts w:ascii="宋体" w:hAnsi="宋体" w:cs="宋体"/>
                <w:b/>
                <w:bCs/>
                <w:color w:val="000000"/>
                <w:sz w:val="18"/>
                <w:szCs w:val="18"/>
              </w:rPr>
            </w:pPr>
            <w:r>
              <w:rPr>
                <w:rFonts w:hint="eastAsia" w:ascii="宋体" w:hAnsi="宋体" w:cs="宋体"/>
                <w:b/>
                <w:sz w:val="18"/>
                <w:szCs w:val="18"/>
              </w:rPr>
              <w:t>货物名称</w:t>
            </w:r>
          </w:p>
        </w:tc>
        <w:tc>
          <w:tcPr>
            <w:tcW w:w="3162" w:type="pct"/>
            <w:vAlign w:val="center"/>
          </w:tcPr>
          <w:p w14:paraId="56A56366">
            <w:pPr>
              <w:spacing w:line="240" w:lineRule="auto"/>
              <w:ind w:firstLine="0" w:firstLineChars="0"/>
              <w:jc w:val="center"/>
              <w:rPr>
                <w:rFonts w:ascii="宋体" w:hAnsi="宋体" w:cs="宋体"/>
                <w:b/>
                <w:bCs/>
                <w:color w:val="000000"/>
                <w:sz w:val="18"/>
                <w:szCs w:val="18"/>
              </w:rPr>
            </w:pPr>
            <w:r>
              <w:rPr>
                <w:rFonts w:hint="eastAsia" w:ascii="宋体" w:hAnsi="宋体" w:cs="宋体"/>
                <w:b/>
                <w:sz w:val="18"/>
                <w:szCs w:val="18"/>
              </w:rPr>
              <w:t>质保期服务内容和要求</w:t>
            </w:r>
          </w:p>
        </w:tc>
        <w:tc>
          <w:tcPr>
            <w:tcW w:w="388" w:type="pct"/>
            <w:vAlign w:val="center"/>
          </w:tcPr>
          <w:p w14:paraId="21E315B3">
            <w:pPr>
              <w:spacing w:line="240" w:lineRule="auto"/>
              <w:ind w:firstLine="0" w:firstLineChars="0"/>
              <w:jc w:val="center"/>
              <w:rPr>
                <w:rFonts w:ascii="宋体" w:hAnsi="宋体" w:cs="宋体"/>
                <w:b/>
                <w:sz w:val="18"/>
                <w:szCs w:val="18"/>
              </w:rPr>
            </w:pPr>
            <w:r>
              <w:rPr>
                <w:rFonts w:hint="eastAsia" w:ascii="宋体" w:hAnsi="宋体" w:cs="宋体"/>
                <w:b/>
                <w:sz w:val="18"/>
                <w:szCs w:val="18"/>
              </w:rPr>
              <w:t>备注</w:t>
            </w:r>
          </w:p>
        </w:tc>
      </w:tr>
      <w:tr w14:paraId="508B6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424" w:type="pct"/>
            <w:vAlign w:val="center"/>
          </w:tcPr>
          <w:p w14:paraId="15E94C57">
            <w:pPr>
              <w:spacing w:line="240" w:lineRule="auto"/>
              <w:ind w:firstLine="0" w:firstLineChars="0"/>
              <w:jc w:val="center"/>
              <w:rPr>
                <w:rFonts w:ascii="宋体" w:hAnsi="宋体" w:cs="宋体"/>
                <w:color w:val="000000"/>
                <w:sz w:val="18"/>
                <w:szCs w:val="18"/>
              </w:rPr>
            </w:pPr>
            <w:r>
              <w:rPr>
                <w:rFonts w:hint="eastAsia" w:ascii="宋体" w:hAnsi="宋体" w:cs="宋体"/>
                <w:color w:val="000000"/>
                <w:sz w:val="18"/>
                <w:szCs w:val="18"/>
              </w:rPr>
              <w:t>1</w:t>
            </w:r>
          </w:p>
        </w:tc>
        <w:tc>
          <w:tcPr>
            <w:tcW w:w="1025" w:type="pct"/>
            <w:vAlign w:val="center"/>
          </w:tcPr>
          <w:p w14:paraId="3222691E">
            <w:pPr>
              <w:spacing w:line="240" w:lineRule="auto"/>
              <w:ind w:firstLine="0" w:firstLineChars="0"/>
              <w:jc w:val="left"/>
              <w:textAlignment w:val="center"/>
              <w:rPr>
                <w:rFonts w:ascii="宋体" w:hAnsi="宋体" w:cs="宋体"/>
                <w:sz w:val="18"/>
                <w:szCs w:val="18"/>
              </w:rPr>
            </w:pPr>
            <w:r>
              <w:rPr>
                <w:rFonts w:hint="eastAsia" w:ascii="宋体" w:hAnsi="宋体" w:cs="宋体"/>
                <w:color w:val="000000"/>
                <w:sz w:val="18"/>
                <w:szCs w:val="18"/>
              </w:rPr>
              <w:t>质量保修期限</w:t>
            </w:r>
          </w:p>
        </w:tc>
        <w:tc>
          <w:tcPr>
            <w:tcW w:w="3162" w:type="pct"/>
            <w:vAlign w:val="center"/>
          </w:tcPr>
          <w:p w14:paraId="6D27709F">
            <w:pPr>
              <w:pStyle w:val="14"/>
              <w:spacing w:line="240" w:lineRule="auto"/>
              <w:ind w:firstLine="0" w:firstLineChars="0"/>
              <w:jc w:val="left"/>
              <w:textAlignment w:val="center"/>
              <w:rPr>
                <w:rFonts w:ascii="宋体" w:hAnsi="宋体" w:cs="宋体"/>
                <w:sz w:val="18"/>
                <w:szCs w:val="18"/>
              </w:rPr>
            </w:pPr>
            <w:r>
              <w:rPr>
                <w:rFonts w:hint="eastAsia" w:ascii="宋体" w:hAnsi="宋体" w:cs="宋体"/>
                <w:b/>
                <w:szCs w:val="21"/>
              </w:rPr>
              <w:t>★</w:t>
            </w:r>
            <w:r>
              <w:rPr>
                <w:rFonts w:hint="eastAsia" w:ascii="宋体" w:hAnsi="宋体" w:cs="宋体"/>
                <w:color w:val="000000"/>
                <w:sz w:val="18"/>
                <w:szCs w:val="18"/>
              </w:rPr>
              <w:t>3年（从项目终验之日起算）</w:t>
            </w:r>
          </w:p>
        </w:tc>
        <w:tc>
          <w:tcPr>
            <w:tcW w:w="388" w:type="pct"/>
            <w:vAlign w:val="center"/>
          </w:tcPr>
          <w:p w14:paraId="1D1883F7">
            <w:pPr>
              <w:spacing w:line="240" w:lineRule="auto"/>
              <w:ind w:firstLine="0" w:firstLineChars="0"/>
              <w:jc w:val="center"/>
              <w:rPr>
                <w:rFonts w:ascii="宋体" w:hAnsi="宋体" w:cs="宋体"/>
                <w:color w:val="000000"/>
                <w:sz w:val="18"/>
                <w:szCs w:val="18"/>
              </w:rPr>
            </w:pPr>
          </w:p>
        </w:tc>
      </w:tr>
      <w:tr w14:paraId="1A29D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24" w:type="pct"/>
            <w:vAlign w:val="center"/>
          </w:tcPr>
          <w:p w14:paraId="0FCD64AE">
            <w:pPr>
              <w:spacing w:line="240" w:lineRule="auto"/>
              <w:ind w:firstLine="0" w:firstLineChars="0"/>
              <w:jc w:val="center"/>
              <w:rPr>
                <w:rFonts w:ascii="宋体" w:hAnsi="宋体" w:cs="宋体"/>
                <w:color w:val="000000"/>
                <w:sz w:val="18"/>
                <w:szCs w:val="18"/>
              </w:rPr>
            </w:pPr>
            <w:r>
              <w:rPr>
                <w:rFonts w:hint="eastAsia" w:ascii="宋体" w:hAnsi="宋体" w:cs="宋体"/>
                <w:color w:val="000000"/>
                <w:sz w:val="18"/>
                <w:szCs w:val="18"/>
              </w:rPr>
              <w:t>2</w:t>
            </w:r>
          </w:p>
        </w:tc>
        <w:tc>
          <w:tcPr>
            <w:tcW w:w="1025" w:type="pct"/>
            <w:vAlign w:val="center"/>
          </w:tcPr>
          <w:p w14:paraId="559C3150">
            <w:pPr>
              <w:spacing w:line="240" w:lineRule="auto"/>
              <w:ind w:firstLine="0" w:firstLineChars="0"/>
              <w:jc w:val="left"/>
              <w:textAlignment w:val="center"/>
              <w:rPr>
                <w:rFonts w:ascii="宋体" w:hAnsi="宋体" w:cs="宋体"/>
                <w:sz w:val="18"/>
                <w:szCs w:val="18"/>
              </w:rPr>
            </w:pPr>
            <w:r>
              <w:rPr>
                <w:rFonts w:hint="eastAsia" w:ascii="宋体" w:hAnsi="宋体" w:cs="宋体"/>
                <w:color w:val="000000"/>
                <w:sz w:val="18"/>
                <w:szCs w:val="18"/>
              </w:rPr>
              <w:t>质量保修范围</w:t>
            </w:r>
          </w:p>
        </w:tc>
        <w:tc>
          <w:tcPr>
            <w:tcW w:w="3162" w:type="pct"/>
            <w:vAlign w:val="center"/>
          </w:tcPr>
          <w:p w14:paraId="641CBC8D">
            <w:pPr>
              <w:pStyle w:val="14"/>
              <w:spacing w:line="240" w:lineRule="auto"/>
              <w:ind w:firstLine="0" w:firstLineChars="0"/>
              <w:jc w:val="left"/>
              <w:textAlignment w:val="center"/>
              <w:rPr>
                <w:rFonts w:ascii="宋体" w:hAnsi="宋体" w:cs="宋体"/>
                <w:sz w:val="18"/>
                <w:szCs w:val="18"/>
              </w:rPr>
            </w:pPr>
            <w:r>
              <w:rPr>
                <w:rFonts w:hint="eastAsia" w:ascii="宋体" w:hAnsi="宋体" w:cs="宋体"/>
                <w:sz w:val="18"/>
                <w:szCs w:val="18"/>
              </w:rPr>
              <w:t>货物质量缺陷或质量问题引起的维修事件</w:t>
            </w:r>
          </w:p>
        </w:tc>
        <w:tc>
          <w:tcPr>
            <w:tcW w:w="388" w:type="pct"/>
            <w:vAlign w:val="center"/>
          </w:tcPr>
          <w:p w14:paraId="3D7A5C0B">
            <w:pPr>
              <w:spacing w:line="240" w:lineRule="auto"/>
              <w:ind w:firstLine="0" w:firstLineChars="0"/>
              <w:jc w:val="center"/>
              <w:rPr>
                <w:rFonts w:ascii="宋体" w:hAnsi="宋体" w:cs="宋体"/>
                <w:color w:val="000000"/>
                <w:sz w:val="18"/>
                <w:szCs w:val="18"/>
              </w:rPr>
            </w:pPr>
          </w:p>
        </w:tc>
      </w:tr>
      <w:tr w14:paraId="115E9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424" w:type="pct"/>
            <w:vAlign w:val="center"/>
          </w:tcPr>
          <w:p w14:paraId="5340F9D2">
            <w:pPr>
              <w:spacing w:line="240" w:lineRule="auto"/>
              <w:ind w:firstLine="0" w:firstLineChars="0"/>
              <w:jc w:val="center"/>
              <w:rPr>
                <w:rFonts w:ascii="宋体" w:hAnsi="宋体" w:cs="宋体"/>
                <w:color w:val="000000"/>
                <w:sz w:val="18"/>
                <w:szCs w:val="18"/>
              </w:rPr>
            </w:pPr>
            <w:r>
              <w:rPr>
                <w:rFonts w:hint="eastAsia" w:ascii="宋体" w:hAnsi="宋体" w:cs="宋体"/>
                <w:color w:val="000000"/>
                <w:sz w:val="18"/>
                <w:szCs w:val="18"/>
              </w:rPr>
              <w:t>3</w:t>
            </w:r>
          </w:p>
        </w:tc>
        <w:tc>
          <w:tcPr>
            <w:tcW w:w="1025" w:type="pct"/>
            <w:vAlign w:val="center"/>
          </w:tcPr>
          <w:p w14:paraId="7EBCD7AF">
            <w:pPr>
              <w:spacing w:line="240" w:lineRule="auto"/>
              <w:ind w:firstLine="0" w:firstLineChars="0"/>
              <w:jc w:val="left"/>
              <w:textAlignment w:val="center"/>
              <w:rPr>
                <w:rFonts w:ascii="宋体" w:hAnsi="宋体" w:cs="宋体"/>
                <w:sz w:val="18"/>
                <w:szCs w:val="18"/>
              </w:rPr>
            </w:pPr>
            <w:r>
              <w:rPr>
                <w:rFonts w:hint="eastAsia" w:ascii="宋体" w:hAnsi="宋体" w:cs="宋体"/>
                <w:sz w:val="18"/>
                <w:szCs w:val="18"/>
              </w:rPr>
              <w:t>远程技术响应服务</w:t>
            </w:r>
          </w:p>
        </w:tc>
        <w:tc>
          <w:tcPr>
            <w:tcW w:w="3162" w:type="pct"/>
            <w:vAlign w:val="center"/>
          </w:tcPr>
          <w:p w14:paraId="2DAB5215">
            <w:pPr>
              <w:spacing w:line="240" w:lineRule="auto"/>
              <w:ind w:firstLine="0" w:firstLineChars="0"/>
              <w:jc w:val="left"/>
              <w:textAlignment w:val="center"/>
              <w:rPr>
                <w:rFonts w:ascii="宋体" w:hAnsi="宋体" w:cs="宋体"/>
                <w:sz w:val="18"/>
                <w:szCs w:val="18"/>
              </w:rPr>
            </w:pPr>
            <w:r>
              <w:rPr>
                <w:rFonts w:hint="eastAsia" w:ascii="宋体" w:hAnsi="宋体" w:cs="宋体"/>
                <w:sz w:val="18"/>
                <w:szCs w:val="18"/>
              </w:rPr>
              <w:t>1、提供电话和电子邮件两种服务响应方式，7</w:t>
            </w:r>
            <w:r>
              <w:rPr>
                <w:rFonts w:ascii="宋体" w:hAnsi="宋体" w:cs="宋体"/>
                <w:sz w:val="18"/>
                <w:szCs w:val="18"/>
              </w:rPr>
              <w:t>×</w:t>
            </w:r>
            <w:r>
              <w:rPr>
                <w:rFonts w:hint="eastAsia" w:ascii="宋体" w:hAnsi="宋体" w:cs="宋体"/>
                <w:sz w:val="18"/>
                <w:szCs w:val="18"/>
              </w:rPr>
              <w:t>24小时受</w:t>
            </w:r>
            <w:r>
              <w:rPr>
                <w:rFonts w:hint="eastAsia" w:ascii="Segoe UI Symbol" w:hAnsi="Segoe UI Symbol" w:cs="Segoe UI Symbol"/>
                <w:sz w:val="18"/>
                <w:szCs w:val="18"/>
              </w:rPr>
              <w:t>理</w:t>
            </w:r>
            <w:r>
              <w:rPr>
                <w:rFonts w:hint="eastAsia" w:ascii="宋体" w:hAnsi="宋体" w:cs="宋体"/>
                <w:sz w:val="18"/>
                <w:szCs w:val="18"/>
              </w:rPr>
              <w:t>；</w:t>
            </w:r>
          </w:p>
          <w:p w14:paraId="2078ACB3">
            <w:pPr>
              <w:spacing w:line="240" w:lineRule="auto"/>
              <w:ind w:firstLine="0" w:firstLineChars="0"/>
              <w:jc w:val="left"/>
              <w:textAlignment w:val="center"/>
              <w:rPr>
                <w:rFonts w:ascii="宋体" w:hAnsi="宋体" w:cs="宋体"/>
                <w:sz w:val="18"/>
                <w:szCs w:val="18"/>
              </w:rPr>
            </w:pPr>
            <w:r>
              <w:rPr>
                <w:rFonts w:hint="eastAsia" w:ascii="宋体" w:hAnsi="宋体" w:cs="宋体"/>
                <w:sz w:val="18"/>
                <w:szCs w:val="18"/>
              </w:rPr>
              <w:t>2、电话响应时间要求：半小时内；</w:t>
            </w:r>
          </w:p>
          <w:p w14:paraId="508603ED">
            <w:pPr>
              <w:pStyle w:val="14"/>
              <w:spacing w:line="240" w:lineRule="auto"/>
              <w:ind w:firstLine="0" w:firstLineChars="0"/>
              <w:jc w:val="left"/>
              <w:textAlignment w:val="center"/>
              <w:rPr>
                <w:rFonts w:ascii="宋体" w:hAnsi="宋体" w:cs="宋体"/>
                <w:sz w:val="18"/>
                <w:szCs w:val="18"/>
              </w:rPr>
            </w:pPr>
            <w:r>
              <w:rPr>
                <w:rFonts w:hint="eastAsia" w:ascii="宋体" w:hAnsi="宋体" w:cs="宋体"/>
                <w:sz w:val="18"/>
                <w:szCs w:val="18"/>
              </w:rPr>
              <w:t>3、电子邮件响应时间要求：8小时内；</w:t>
            </w:r>
          </w:p>
        </w:tc>
        <w:tc>
          <w:tcPr>
            <w:tcW w:w="388" w:type="pct"/>
            <w:vAlign w:val="center"/>
          </w:tcPr>
          <w:p w14:paraId="40517E14">
            <w:pPr>
              <w:spacing w:line="240" w:lineRule="auto"/>
              <w:ind w:firstLine="0" w:firstLineChars="0"/>
              <w:jc w:val="center"/>
              <w:rPr>
                <w:rFonts w:ascii="宋体" w:hAnsi="宋体" w:cs="宋体"/>
                <w:color w:val="000000"/>
                <w:sz w:val="18"/>
                <w:szCs w:val="18"/>
              </w:rPr>
            </w:pPr>
          </w:p>
        </w:tc>
      </w:tr>
      <w:tr w14:paraId="660C4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24" w:type="pct"/>
            <w:vAlign w:val="center"/>
          </w:tcPr>
          <w:p w14:paraId="75BD03F8">
            <w:pPr>
              <w:spacing w:line="240" w:lineRule="auto"/>
              <w:ind w:firstLine="0" w:firstLineChars="0"/>
              <w:jc w:val="center"/>
              <w:rPr>
                <w:rFonts w:ascii="宋体" w:hAnsi="宋体" w:cs="宋体"/>
                <w:color w:val="000000"/>
                <w:sz w:val="18"/>
                <w:szCs w:val="18"/>
              </w:rPr>
            </w:pPr>
            <w:r>
              <w:rPr>
                <w:rFonts w:hint="eastAsia" w:ascii="宋体" w:hAnsi="宋体" w:cs="宋体"/>
                <w:color w:val="000000"/>
                <w:sz w:val="18"/>
                <w:szCs w:val="18"/>
              </w:rPr>
              <w:t>4</w:t>
            </w:r>
          </w:p>
        </w:tc>
        <w:tc>
          <w:tcPr>
            <w:tcW w:w="1025" w:type="pct"/>
            <w:vAlign w:val="center"/>
          </w:tcPr>
          <w:p w14:paraId="6F4E3D06">
            <w:pPr>
              <w:spacing w:line="240" w:lineRule="auto"/>
              <w:ind w:firstLine="0" w:firstLineChars="0"/>
              <w:jc w:val="left"/>
              <w:textAlignment w:val="center"/>
              <w:rPr>
                <w:rFonts w:ascii="宋体" w:hAnsi="宋体" w:cs="宋体"/>
                <w:sz w:val="18"/>
                <w:szCs w:val="18"/>
              </w:rPr>
            </w:pPr>
            <w:r>
              <w:rPr>
                <w:rFonts w:hint="eastAsia" w:ascii="宋体" w:hAnsi="宋体" w:cs="宋体"/>
                <w:sz w:val="18"/>
                <w:szCs w:val="18"/>
              </w:rPr>
              <w:t>硬件返修服务</w:t>
            </w:r>
          </w:p>
        </w:tc>
        <w:tc>
          <w:tcPr>
            <w:tcW w:w="3162" w:type="pct"/>
            <w:vAlign w:val="center"/>
          </w:tcPr>
          <w:p w14:paraId="2787F9CE">
            <w:pPr>
              <w:spacing w:line="240" w:lineRule="auto"/>
              <w:ind w:firstLine="0" w:firstLineChars="0"/>
              <w:jc w:val="left"/>
              <w:textAlignment w:val="center"/>
              <w:rPr>
                <w:rFonts w:ascii="宋体" w:hAnsi="宋体" w:cs="宋体"/>
                <w:sz w:val="18"/>
                <w:szCs w:val="18"/>
              </w:rPr>
            </w:pPr>
            <w:r>
              <w:rPr>
                <w:rFonts w:hint="eastAsia" w:ascii="宋体" w:hAnsi="宋体" w:cs="宋体"/>
                <w:sz w:val="18"/>
                <w:szCs w:val="18"/>
              </w:rPr>
              <w:t>1、硬件返修服务受理时间：周一至周五，8:00-17:00，法定节假日除外。</w:t>
            </w:r>
          </w:p>
          <w:p w14:paraId="26871999">
            <w:pPr>
              <w:pStyle w:val="14"/>
              <w:spacing w:line="240" w:lineRule="auto"/>
              <w:ind w:firstLine="0" w:firstLineChars="0"/>
              <w:jc w:val="left"/>
              <w:textAlignment w:val="center"/>
              <w:rPr>
                <w:rFonts w:ascii="宋体" w:hAnsi="宋体" w:cs="宋体"/>
                <w:sz w:val="18"/>
                <w:szCs w:val="18"/>
              </w:rPr>
            </w:pPr>
            <w:r>
              <w:rPr>
                <w:rFonts w:hint="eastAsia" w:ascii="宋体" w:hAnsi="宋体" w:cs="宋体"/>
                <w:sz w:val="18"/>
                <w:szCs w:val="18"/>
              </w:rPr>
              <w:t>2、收到坏件后30天内将修复或更换件送达。</w:t>
            </w:r>
          </w:p>
        </w:tc>
        <w:tc>
          <w:tcPr>
            <w:tcW w:w="388" w:type="pct"/>
            <w:vAlign w:val="center"/>
          </w:tcPr>
          <w:p w14:paraId="27EDBA2E">
            <w:pPr>
              <w:spacing w:line="240" w:lineRule="auto"/>
              <w:ind w:firstLine="0" w:firstLineChars="0"/>
              <w:jc w:val="center"/>
              <w:rPr>
                <w:rFonts w:ascii="宋体" w:hAnsi="宋体" w:cs="宋体"/>
                <w:color w:val="000000"/>
                <w:sz w:val="18"/>
                <w:szCs w:val="18"/>
              </w:rPr>
            </w:pPr>
          </w:p>
        </w:tc>
      </w:tr>
      <w:tr w14:paraId="41C31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24" w:type="pct"/>
            <w:vAlign w:val="center"/>
          </w:tcPr>
          <w:p w14:paraId="003351A4">
            <w:pPr>
              <w:spacing w:line="240" w:lineRule="auto"/>
              <w:ind w:firstLine="0" w:firstLineChars="0"/>
              <w:jc w:val="center"/>
              <w:rPr>
                <w:rFonts w:ascii="宋体" w:hAnsi="宋体" w:cs="宋体"/>
                <w:color w:val="000000"/>
                <w:sz w:val="18"/>
                <w:szCs w:val="18"/>
              </w:rPr>
            </w:pPr>
            <w:r>
              <w:rPr>
                <w:rFonts w:hint="eastAsia" w:ascii="宋体" w:hAnsi="宋体" w:cs="宋体"/>
                <w:color w:val="000000"/>
                <w:sz w:val="18"/>
                <w:szCs w:val="18"/>
              </w:rPr>
              <w:t>6</w:t>
            </w:r>
          </w:p>
        </w:tc>
        <w:tc>
          <w:tcPr>
            <w:tcW w:w="1025" w:type="pct"/>
            <w:vAlign w:val="center"/>
          </w:tcPr>
          <w:p w14:paraId="4BCFBD0B">
            <w:pPr>
              <w:spacing w:line="240" w:lineRule="auto"/>
              <w:ind w:firstLine="0" w:firstLineChars="0"/>
              <w:jc w:val="left"/>
              <w:textAlignment w:val="center"/>
              <w:rPr>
                <w:rFonts w:ascii="宋体" w:hAnsi="宋体" w:cs="宋体"/>
                <w:sz w:val="18"/>
                <w:szCs w:val="18"/>
              </w:rPr>
            </w:pPr>
            <w:r>
              <w:rPr>
                <w:rFonts w:hint="eastAsia" w:ascii="宋体" w:hAnsi="宋体" w:cs="宋体"/>
                <w:sz w:val="18"/>
                <w:szCs w:val="18"/>
              </w:rPr>
              <w:t>免责说明</w:t>
            </w:r>
          </w:p>
        </w:tc>
        <w:tc>
          <w:tcPr>
            <w:tcW w:w="3162" w:type="pct"/>
            <w:vAlign w:val="center"/>
          </w:tcPr>
          <w:p w14:paraId="7B943F3D">
            <w:pPr>
              <w:spacing w:line="240" w:lineRule="auto"/>
              <w:ind w:firstLine="0" w:firstLineChars="0"/>
              <w:jc w:val="left"/>
              <w:textAlignment w:val="center"/>
              <w:rPr>
                <w:rFonts w:ascii="宋体" w:hAnsi="宋体" w:cs="宋体"/>
                <w:sz w:val="18"/>
                <w:szCs w:val="18"/>
              </w:rPr>
            </w:pPr>
            <w:r>
              <w:rPr>
                <w:rFonts w:hint="eastAsia" w:ascii="宋体" w:hAnsi="宋体" w:cs="宋体"/>
                <w:sz w:val="18"/>
                <w:szCs w:val="18"/>
              </w:rPr>
              <w:t>1、下列情况不在质保服务范围之内：</w:t>
            </w:r>
          </w:p>
          <w:p w14:paraId="014AF323">
            <w:pPr>
              <w:spacing w:line="240" w:lineRule="auto"/>
              <w:ind w:firstLine="0" w:firstLineChars="0"/>
              <w:rPr>
                <w:rFonts w:ascii="宋体" w:hAnsi="宋体" w:cs="宋体"/>
                <w:sz w:val="18"/>
                <w:szCs w:val="18"/>
              </w:rPr>
            </w:pPr>
            <w:r>
              <w:rPr>
                <w:rFonts w:hint="eastAsia" w:ascii="宋体" w:hAnsi="宋体" w:cs="宋体"/>
                <w:sz w:val="18"/>
                <w:szCs w:val="18"/>
              </w:rPr>
              <w:t>（1）由于不可抗力事件（自然灾害、火灾、战争等）对设备造成损坏。</w:t>
            </w:r>
          </w:p>
          <w:p w14:paraId="335E2F73">
            <w:pPr>
              <w:spacing w:line="240" w:lineRule="auto"/>
              <w:ind w:firstLine="0" w:firstLineChars="0"/>
              <w:rPr>
                <w:rFonts w:ascii="宋体" w:hAnsi="宋体" w:cs="宋体"/>
                <w:sz w:val="18"/>
                <w:szCs w:val="18"/>
              </w:rPr>
            </w:pPr>
            <w:r>
              <w:rPr>
                <w:rFonts w:hint="eastAsia" w:ascii="宋体" w:hAnsi="宋体" w:cs="宋体"/>
                <w:sz w:val="18"/>
                <w:szCs w:val="18"/>
              </w:rPr>
              <w:t>（2）自然损耗或磨损造成设备损坏。</w:t>
            </w:r>
          </w:p>
          <w:p w14:paraId="3F4F2F49">
            <w:pPr>
              <w:spacing w:line="240" w:lineRule="auto"/>
              <w:ind w:firstLine="0" w:firstLineChars="0"/>
              <w:rPr>
                <w:rFonts w:ascii="宋体" w:hAnsi="宋体" w:cs="宋体"/>
                <w:sz w:val="18"/>
                <w:szCs w:val="18"/>
              </w:rPr>
            </w:pPr>
            <w:r>
              <w:rPr>
                <w:rFonts w:hint="eastAsia" w:ascii="宋体" w:hAnsi="宋体" w:cs="宋体"/>
                <w:sz w:val="18"/>
                <w:szCs w:val="18"/>
              </w:rPr>
              <w:t>（3）因现场设备运行环境(比如配电、温湿度、承重、液冷供水水质，流量及压差、管路材质及气密性等) 或外部因素（比如外部电磁干扰、内部互联设备的故障等）不能满足设备正常运行的环境要求和通用行业标准所造成的直接损坏。</w:t>
            </w:r>
          </w:p>
          <w:p w14:paraId="5BD5E70F">
            <w:pPr>
              <w:spacing w:line="240" w:lineRule="auto"/>
              <w:ind w:firstLine="0" w:firstLineChars="0"/>
              <w:rPr>
                <w:rFonts w:ascii="宋体" w:hAnsi="宋体" w:cs="宋体"/>
                <w:sz w:val="18"/>
                <w:szCs w:val="18"/>
              </w:rPr>
            </w:pPr>
            <w:r>
              <w:rPr>
                <w:rFonts w:hint="eastAsia" w:ascii="宋体" w:hAnsi="宋体" w:cs="宋体"/>
                <w:sz w:val="18"/>
                <w:szCs w:val="18"/>
              </w:rPr>
              <w:t>（4）由于故意或疏忽、使用不当、外力或蓄意破坏行为对设备造成大规模的硬件或数据损坏。</w:t>
            </w:r>
          </w:p>
          <w:p w14:paraId="380E2362">
            <w:pPr>
              <w:spacing w:line="240" w:lineRule="auto"/>
              <w:ind w:firstLine="0" w:firstLineChars="0"/>
              <w:rPr>
                <w:rFonts w:ascii="宋体" w:hAnsi="宋体" w:cs="宋体"/>
                <w:sz w:val="18"/>
                <w:szCs w:val="18"/>
              </w:rPr>
            </w:pPr>
            <w:r>
              <w:rPr>
                <w:rFonts w:hint="eastAsia" w:ascii="宋体" w:hAnsi="宋体" w:cs="宋体"/>
                <w:sz w:val="18"/>
                <w:szCs w:val="18"/>
              </w:rPr>
              <w:t>（5）已达到最大读写次数的SSD卡/盘，SD卡，M.2等部件。</w:t>
            </w:r>
          </w:p>
          <w:p w14:paraId="117046E3">
            <w:pPr>
              <w:spacing w:line="240" w:lineRule="auto"/>
              <w:ind w:firstLine="0" w:firstLineChars="0"/>
              <w:rPr>
                <w:rFonts w:ascii="宋体" w:hAnsi="宋体" w:cs="宋体"/>
                <w:sz w:val="18"/>
                <w:szCs w:val="18"/>
              </w:rPr>
            </w:pPr>
            <w:r>
              <w:rPr>
                <w:rFonts w:hint="eastAsia" w:ascii="宋体" w:hAnsi="宋体" w:cs="宋体"/>
                <w:sz w:val="18"/>
                <w:szCs w:val="18"/>
              </w:rPr>
              <w:t>（6）设备表面物理损伤、涂改的。</w:t>
            </w:r>
          </w:p>
          <w:p w14:paraId="1B5C359A">
            <w:pPr>
              <w:spacing w:line="240" w:lineRule="auto"/>
              <w:ind w:firstLine="0" w:firstLineChars="0"/>
              <w:jc w:val="left"/>
              <w:textAlignment w:val="center"/>
              <w:rPr>
                <w:rFonts w:ascii="宋体" w:hAnsi="宋体" w:cs="宋体"/>
                <w:sz w:val="18"/>
                <w:szCs w:val="18"/>
              </w:rPr>
            </w:pPr>
            <w:r>
              <w:rPr>
                <w:rFonts w:hint="eastAsia" w:ascii="宋体" w:hAnsi="宋体" w:cs="宋体"/>
                <w:sz w:val="18"/>
                <w:szCs w:val="18"/>
              </w:rPr>
              <w:t>2、下列情况可能导致</w:t>
            </w:r>
            <w:r>
              <w:rPr>
                <w:rFonts w:hint="eastAsia" w:ascii="宋体" w:hAnsi="宋体" w:cs="宋体"/>
                <w:sz w:val="18"/>
                <w:szCs w:val="18"/>
                <w:lang w:eastAsia="zh-CN"/>
              </w:rPr>
              <w:t>投标人</w:t>
            </w:r>
            <w:r>
              <w:rPr>
                <w:rFonts w:hint="eastAsia" w:ascii="宋体" w:hAnsi="宋体" w:cs="宋体"/>
                <w:sz w:val="18"/>
                <w:szCs w:val="18"/>
              </w:rPr>
              <w:t>不能按要求履行质保服务的，由双甲乙双方根据实际情况协商解决：</w:t>
            </w:r>
          </w:p>
          <w:p w14:paraId="3B812532">
            <w:pPr>
              <w:spacing w:line="240" w:lineRule="auto"/>
              <w:ind w:firstLine="0" w:firstLineChars="0"/>
              <w:rPr>
                <w:rFonts w:ascii="宋体" w:hAnsi="宋体" w:cs="宋体"/>
                <w:sz w:val="18"/>
                <w:szCs w:val="18"/>
              </w:rPr>
            </w:pPr>
            <w:r>
              <w:rPr>
                <w:rFonts w:hint="eastAsia" w:ascii="宋体" w:hAnsi="宋体" w:cs="宋体"/>
                <w:sz w:val="18"/>
                <w:szCs w:val="18"/>
              </w:rPr>
              <w:t>（1）不可抗力（如：火灾、水灾、地震、雷击等）引起的意外情况致使</w:t>
            </w:r>
            <w:r>
              <w:rPr>
                <w:rFonts w:hint="eastAsia" w:ascii="宋体" w:hAnsi="宋体" w:cs="宋体"/>
                <w:sz w:val="18"/>
                <w:szCs w:val="18"/>
                <w:lang w:eastAsia="zh-CN"/>
              </w:rPr>
              <w:t>投标人</w:t>
            </w:r>
            <w:r>
              <w:rPr>
                <w:rFonts w:hint="eastAsia" w:ascii="宋体" w:hAnsi="宋体" w:cs="宋体"/>
                <w:sz w:val="18"/>
                <w:szCs w:val="18"/>
              </w:rPr>
              <w:t>不能按要求履行质保服务。</w:t>
            </w:r>
          </w:p>
          <w:p w14:paraId="647CB73E">
            <w:pPr>
              <w:spacing w:line="240" w:lineRule="auto"/>
              <w:ind w:firstLine="0" w:firstLineChars="0"/>
              <w:rPr>
                <w:rFonts w:ascii="宋体" w:hAnsi="宋体" w:cs="宋体"/>
                <w:sz w:val="18"/>
                <w:szCs w:val="18"/>
              </w:rPr>
            </w:pPr>
            <w:r>
              <w:rPr>
                <w:rFonts w:hint="eastAsia" w:ascii="宋体" w:hAnsi="宋体" w:cs="宋体"/>
                <w:sz w:val="18"/>
                <w:szCs w:val="18"/>
              </w:rPr>
              <w:t>（2）社会性问题（如：动乱、战争、罢工、政府管制等）引起的服务条件恶化，致使</w:t>
            </w:r>
            <w:r>
              <w:rPr>
                <w:rFonts w:hint="eastAsia" w:ascii="宋体" w:hAnsi="宋体" w:cs="宋体"/>
                <w:sz w:val="18"/>
                <w:szCs w:val="18"/>
                <w:lang w:eastAsia="zh-CN"/>
              </w:rPr>
              <w:t>投标人</w:t>
            </w:r>
            <w:r>
              <w:rPr>
                <w:rFonts w:hint="eastAsia" w:ascii="宋体" w:hAnsi="宋体" w:cs="宋体"/>
                <w:sz w:val="18"/>
                <w:szCs w:val="18"/>
              </w:rPr>
              <w:t>不能按要求履行质保服务。</w:t>
            </w:r>
          </w:p>
        </w:tc>
        <w:tc>
          <w:tcPr>
            <w:tcW w:w="388" w:type="pct"/>
            <w:vAlign w:val="center"/>
          </w:tcPr>
          <w:p w14:paraId="1F8EBBB0">
            <w:pPr>
              <w:spacing w:line="240" w:lineRule="auto"/>
              <w:ind w:firstLine="0" w:firstLineChars="0"/>
              <w:jc w:val="center"/>
              <w:rPr>
                <w:rFonts w:ascii="宋体" w:hAnsi="宋体" w:cs="宋体"/>
                <w:color w:val="000000"/>
                <w:sz w:val="18"/>
                <w:szCs w:val="18"/>
              </w:rPr>
            </w:pPr>
          </w:p>
        </w:tc>
      </w:tr>
    </w:tbl>
    <w:p w14:paraId="0D9D1DEC">
      <w:pPr>
        <w:ind w:left="0" w:leftChars="0" w:firstLine="0" w:firstLineChars="0"/>
        <w:rPr>
          <w:rFonts w:ascii="宋体" w:hAnsi="宋体"/>
          <w:b/>
          <w:sz w:val="32"/>
          <w:lang w:eastAsia="zh-CN"/>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文泉驿微米黑"/>
    <w:panose1 w:val="02010600030101010101"/>
    <w:charset w:val="88"/>
    <w:family w:val="modern"/>
    <w:pitch w:val="default"/>
    <w:sig w:usb0="00000000" w:usb1="0000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公文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方正公文黑体">
    <w:panose1 w:val="02000500000000000000"/>
    <w:charset w:val="86"/>
    <w:family w:val="auto"/>
    <w:pitch w:val="default"/>
    <w:sig w:usb0="A00002BF" w:usb1="38CF7CFA" w:usb2="00000016" w:usb3="00000000" w:csb0="00040001" w:csb1="00000000"/>
  </w:font>
  <w:font w:name="等线">
    <w:altName w:val="方正公文黑体"/>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ourier">
    <w:altName w:val="Liberation Mono"/>
    <w:panose1 w:val="02070409020205020404"/>
    <w:charset w:val="00"/>
    <w:family w:val="modern"/>
    <w:pitch w:val="default"/>
    <w:sig w:usb0="00000000" w:usb1="00000000" w:usb2="00000000" w:usb3="00000000" w:csb0="00000001" w:csb1="00000000"/>
  </w:font>
  <w:font w:name="Liberation Mono">
    <w:panose1 w:val="02070409020205020404"/>
    <w:charset w:val="00"/>
    <w:family w:val="auto"/>
    <w:pitch w:val="default"/>
    <w:sig w:usb0="A00002AF" w:usb1="400078FB" w:usb2="00000000" w:usb3="00000000" w:csb0="6000009F" w:csb1="DFD70000"/>
  </w:font>
  <w:font w:name="PMingLiU">
    <w:altName w:val="文泉驿微米黑"/>
    <w:panose1 w:val="02020500000000000000"/>
    <w:charset w:val="88"/>
    <w:family w:val="roman"/>
    <w:pitch w:val="default"/>
    <w:sig w:usb0="00000000" w:usb1="00000000" w:usb2="00000016" w:usb3="00000000" w:csb0="00100001" w:csb1="00000000"/>
  </w:font>
  <w:font w:name="楷体_GB2312">
    <w:panose1 w:val="02010609030101010101"/>
    <w:charset w:val="86"/>
    <w:family w:val="modern"/>
    <w:pitch w:val="default"/>
    <w:sig w:usb0="00000001" w:usb1="080E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华文细黑">
    <w:panose1 w:val="02010600040101010101"/>
    <w:charset w:val="86"/>
    <w:family w:val="auto"/>
    <w:pitch w:val="default"/>
    <w:sig w:usb0="00000287" w:usb1="080F0000" w:usb2="00000000" w:usb3="00000000" w:csb0="0004009F" w:csb1="DFD70000"/>
  </w:font>
  <w:font w:name="MS Gothic">
    <w:altName w:val="文泉驿微米黑"/>
    <w:panose1 w:val="020B0609070205080204"/>
    <w:charset w:val="80"/>
    <w:family w:val="modern"/>
    <w:pitch w:val="default"/>
    <w:sig w:usb0="00000000" w:usb1="00000000" w:usb2="08000012" w:usb3="00000000" w:csb0="4002009F" w:csb1="DFD70000"/>
  </w:font>
  <w:font w:name="Microsoft JhengHei">
    <w:altName w:val="文泉驿微米黑"/>
    <w:panose1 w:val="020B0604030504040204"/>
    <w:charset w:val="88"/>
    <w:family w:val="swiss"/>
    <w:pitch w:val="default"/>
    <w:sig w:usb0="00000000" w:usb1="00000000" w:usb2="00000016" w:usb3="00000000" w:csb0="00100009" w:csb1="00000000"/>
  </w:font>
  <w:font w:name="Verdana">
    <w:altName w:val="Ubuntu Light"/>
    <w:panose1 w:val="020B0604030504040204"/>
    <w:charset w:val="00"/>
    <w:family w:val="swiss"/>
    <w:pitch w:val="default"/>
    <w:sig w:usb0="00000000" w:usb1="00000000" w:usb2="00000010" w:usb3="00000000" w:csb0="2000019F" w:csb1="00000000"/>
  </w:font>
  <w:font w:name="Ubuntu Light">
    <w:panose1 w:val="020B0604030602030204"/>
    <w:charset w:val="00"/>
    <w:family w:val="auto"/>
    <w:pitch w:val="default"/>
    <w:sig w:usb0="E00002FF" w:usb1="5000205B" w:usb2="00000000" w:usb3="00000000" w:csb0="2000009F" w:csb1="56010000"/>
  </w:font>
  <w:font w:name="Arial Unicode MS">
    <w:altName w:val="DejaVu Sans"/>
    <w:panose1 w:val="020B0604020202020204"/>
    <w:charset w:val="86"/>
    <w:family w:val="swiss"/>
    <w:pitch w:val="default"/>
    <w:sig w:usb0="00000000" w:usb1="00000000" w:usb2="0000007F" w:usb3="00000000" w:csb0="003F01FF"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 w:name="全真中明體">
    <w:altName w:val="文泉驿微米黑"/>
    <w:panose1 w:val="00000000000000000000"/>
    <w:charset w:val="88"/>
    <w:family w:val="auto"/>
    <w:pitch w:val="default"/>
    <w:sig w:usb0="00000000" w:usb1="00000000" w:usb2="00000010" w:usb3="00000000" w:csb0="00100000" w:csb1="00000000"/>
  </w:font>
  <w:font w:name="幼圆">
    <w:altName w:val="仿宋_GB2312"/>
    <w:panose1 w:val="02010509060101010101"/>
    <w:charset w:val="86"/>
    <w:family w:val="modern"/>
    <w:pitch w:val="default"/>
    <w:sig w:usb0="00000000" w:usb1="00000000" w:usb2="00000000" w:usb3="00000000" w:csb0="00040000" w:csb1="00000000"/>
  </w:font>
  <w:font w:name="Palatino">
    <w:altName w:val="C059"/>
    <w:panose1 w:val="00000000000000000000"/>
    <w:charset w:val="00"/>
    <w:family w:val="modern"/>
    <w:pitch w:val="default"/>
    <w:sig w:usb0="00000000" w:usb1="00000000" w:usb2="00000000" w:usb3="00000000" w:csb0="00000093" w:csb1="00000000"/>
  </w:font>
  <w:font w:name="C059">
    <w:panose1 w:val="00000500000000000000"/>
    <w:charset w:val="00"/>
    <w:family w:val="auto"/>
    <w:pitch w:val="default"/>
    <w:sig w:usb0="00000287" w:usb1="00000800" w:usb2="00000000" w:usb3="00000000" w:csb0="6000009F" w:csb1="00000000"/>
  </w:font>
  <w:font w:name="隶书">
    <w:altName w:val="文泉驿微米黑"/>
    <w:panose1 w:val="02010509060101010101"/>
    <w:charset w:val="86"/>
    <w:family w:val="modern"/>
    <w:pitch w:val="default"/>
    <w:sig w:usb0="00000000" w:usb1="0000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Wingdings 2">
    <w:panose1 w:val="05020102010507070707"/>
    <w:charset w:val="00"/>
    <w:family w:val="auto"/>
    <w:pitch w:val="default"/>
    <w:sig w:usb0="00000000" w:usb1="00000000" w:usb2="00000000" w:usb3="00000000" w:csb0="80000000" w:csb1="00000000"/>
  </w:font>
  <w:font w:name="HuaweiSans">
    <w:altName w:val="C059"/>
    <w:panose1 w:val="00000000000000000000"/>
    <w:charset w:val="00"/>
    <w:family w:val="auto"/>
    <w:pitch w:val="default"/>
    <w:sig w:usb0="00000000" w:usb1="00000000" w:usb2="00000000" w:usb3="00000000" w:csb0="00000000" w:csb1="00000000"/>
  </w:font>
  <w:font w:name="Helvetica">
    <w:altName w:val="Liberation Sans"/>
    <w:panose1 w:val="020B0604020202020204"/>
    <w:charset w:val="00"/>
    <w:family w:val="swiss"/>
    <w:pitch w:val="default"/>
    <w:sig w:usb0="00000000" w:usb1="00000000" w:usb2="00000009" w:usb3="00000000" w:csb0="000001FF" w:csb1="00000000"/>
  </w:font>
  <w:font w:name="Liberation Sans">
    <w:panose1 w:val="020B0604020202020204"/>
    <w:charset w:val="00"/>
    <w:family w:val="auto"/>
    <w:pitch w:val="default"/>
    <w:sig w:usb0="A00002AF" w:usb1="500078FB" w:usb2="00000000" w:usb3="00000000" w:csb0="6000009F" w:csb1="DFD70000"/>
  </w:font>
  <w:font w:name="Segoe UI Symbol">
    <w:altName w:val="Noto Sans"/>
    <w:panose1 w:val="020B0502040204020203"/>
    <w:charset w:val="00"/>
    <w:family w:val="swiss"/>
    <w:pitch w:val="default"/>
    <w:sig w:usb0="00000000" w:usb1="00000000" w:usb2="00040000" w:usb3="04000000" w:csb0="00000001" w:csb1="40000000"/>
  </w:font>
  <w:font w:name="Noto Sans">
    <w:panose1 w:val="020B0502040504020204"/>
    <w:charset w:val="00"/>
    <w:family w:val="auto"/>
    <w:pitch w:val="default"/>
    <w:sig w:usb0="E00002FF" w:usb1="4000201F" w:usb2="08000029" w:usb3="00100000" w:csb0="0000019F" w:csb1="00000000"/>
  </w:font>
  <w:font w:name="等线">
    <w:altName w:val="方正公文黑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2E06F">
    <w:pPr>
      <w:pStyle w:val="3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1B9ED">
    <w:pPr>
      <w:pStyle w:val="3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70CBE">
    <w:pPr>
      <w:pStyle w:val="3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FBCD4">
    <w:pPr>
      <w:pStyle w:val="3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4D704">
    <w:pPr>
      <w:pStyle w:val="3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E614E">
    <w:pPr>
      <w:pStyle w:val="3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11745D"/>
    <w:multiLevelType w:val="singleLevel"/>
    <w:tmpl w:val="E311745D"/>
    <w:lvl w:ilvl="0" w:tentative="0">
      <w:start w:val="1"/>
      <w:numFmt w:val="decimal"/>
      <w:suff w:val="nothing"/>
      <w:lvlText w:val="（%1）"/>
      <w:lvlJc w:val="left"/>
    </w:lvl>
  </w:abstractNum>
  <w:abstractNum w:abstractNumId="1">
    <w:nsid w:val="010C4A87"/>
    <w:multiLevelType w:val="multilevel"/>
    <w:tmpl w:val="010C4A87"/>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0A5F11E1"/>
    <w:multiLevelType w:val="multilevel"/>
    <w:tmpl w:val="0A5F11E1"/>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0C16F32D"/>
    <w:multiLevelType w:val="singleLevel"/>
    <w:tmpl w:val="0C16F32D"/>
    <w:lvl w:ilvl="0" w:tentative="0">
      <w:start w:val="3"/>
      <w:numFmt w:val="decimal"/>
      <w:suff w:val="nothing"/>
      <w:lvlText w:val="%1）"/>
      <w:lvlJc w:val="left"/>
    </w:lvl>
  </w:abstractNum>
  <w:abstractNum w:abstractNumId="4">
    <w:nsid w:val="10682B35"/>
    <w:multiLevelType w:val="multilevel"/>
    <w:tmpl w:val="10682B3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1E4A2D72"/>
    <w:multiLevelType w:val="multilevel"/>
    <w:tmpl w:val="1E4A2D72"/>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1F0D7C83"/>
    <w:multiLevelType w:val="multilevel"/>
    <w:tmpl w:val="1F0D7C83"/>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2B2D21E6"/>
    <w:multiLevelType w:val="multilevel"/>
    <w:tmpl w:val="2B2D21E6"/>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
    <w:nsid w:val="2DCCF569"/>
    <w:multiLevelType w:val="singleLevel"/>
    <w:tmpl w:val="2DCCF569"/>
    <w:lvl w:ilvl="0" w:tentative="0">
      <w:start w:val="1"/>
      <w:numFmt w:val="bullet"/>
      <w:lvlText w:val=""/>
      <w:lvlJc w:val="left"/>
      <w:pPr>
        <w:ind w:left="420" w:hanging="420"/>
      </w:pPr>
      <w:rPr>
        <w:rFonts w:hint="default" w:ascii="Wingdings" w:hAnsi="Wingdings"/>
      </w:rPr>
    </w:lvl>
  </w:abstractNum>
  <w:abstractNum w:abstractNumId="9">
    <w:nsid w:val="356C3CF8"/>
    <w:multiLevelType w:val="multilevel"/>
    <w:tmpl w:val="356C3CF8"/>
    <w:lvl w:ilvl="0" w:tentative="0">
      <w:start w:val="1"/>
      <w:numFmt w:val="chineseCountingThousand"/>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0">
    <w:nsid w:val="3FFCABCF"/>
    <w:multiLevelType w:val="singleLevel"/>
    <w:tmpl w:val="3FFCABCF"/>
    <w:lvl w:ilvl="0" w:tentative="0">
      <w:start w:val="1"/>
      <w:numFmt w:val="decimal"/>
      <w:suff w:val="nothing"/>
      <w:lvlText w:val="%1、"/>
      <w:lvlJc w:val="left"/>
      <w:rPr>
        <w:rFonts w:hint="default"/>
        <w:b/>
        <w:bCs/>
      </w:rPr>
    </w:lvl>
  </w:abstractNum>
  <w:abstractNum w:abstractNumId="11">
    <w:nsid w:val="43072DBE"/>
    <w:multiLevelType w:val="multilevel"/>
    <w:tmpl w:val="43072DBE"/>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2">
    <w:nsid w:val="43206C0B"/>
    <w:multiLevelType w:val="multilevel"/>
    <w:tmpl w:val="43206C0B"/>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3">
    <w:nsid w:val="57CC6E02"/>
    <w:multiLevelType w:val="multilevel"/>
    <w:tmpl w:val="57CC6E02"/>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4">
    <w:nsid w:val="5D3B7966"/>
    <w:multiLevelType w:val="multilevel"/>
    <w:tmpl w:val="5D3B7966"/>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9"/>
  </w:num>
  <w:num w:numId="2">
    <w:abstractNumId w:val="10"/>
  </w:num>
  <w:num w:numId="3">
    <w:abstractNumId w:val="0"/>
  </w:num>
  <w:num w:numId="4">
    <w:abstractNumId w:val="8"/>
  </w:num>
  <w:num w:numId="5">
    <w:abstractNumId w:val="3"/>
  </w:num>
  <w:num w:numId="6">
    <w:abstractNumId w:val="12"/>
  </w:num>
  <w:num w:numId="7">
    <w:abstractNumId w:val="11"/>
  </w:num>
  <w:num w:numId="8">
    <w:abstractNumId w:val="6"/>
  </w:num>
  <w:num w:numId="9">
    <w:abstractNumId w:val="2"/>
  </w:num>
  <w:num w:numId="10">
    <w:abstractNumId w:val="1"/>
  </w:num>
  <w:num w:numId="11">
    <w:abstractNumId w:val="14"/>
  </w:num>
  <w:num w:numId="12">
    <w:abstractNumId w:val="5"/>
  </w:num>
  <w:num w:numId="13">
    <w:abstractNumId w:val="13"/>
  </w:num>
  <w:num w:numId="14">
    <w:abstractNumId w:val="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documentProtection w:enforcement="0"/>
  <w:defaultTabStop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F66"/>
    <w:rsid w:val="00007A91"/>
    <w:rsid w:val="00007D0E"/>
    <w:rsid w:val="00007D81"/>
    <w:rsid w:val="00010CBF"/>
    <w:rsid w:val="00023232"/>
    <w:rsid w:val="0002701B"/>
    <w:rsid w:val="00031E43"/>
    <w:rsid w:val="00031F79"/>
    <w:rsid w:val="00032B69"/>
    <w:rsid w:val="00034B4A"/>
    <w:rsid w:val="000364C5"/>
    <w:rsid w:val="00045224"/>
    <w:rsid w:val="000575E4"/>
    <w:rsid w:val="00061596"/>
    <w:rsid w:val="000722D3"/>
    <w:rsid w:val="0007361F"/>
    <w:rsid w:val="000742D3"/>
    <w:rsid w:val="00083116"/>
    <w:rsid w:val="00087B3C"/>
    <w:rsid w:val="00093E58"/>
    <w:rsid w:val="00095F3A"/>
    <w:rsid w:val="0009733A"/>
    <w:rsid w:val="000973AF"/>
    <w:rsid w:val="00097E1B"/>
    <w:rsid w:val="000A2162"/>
    <w:rsid w:val="000A6538"/>
    <w:rsid w:val="000B0208"/>
    <w:rsid w:val="000B0782"/>
    <w:rsid w:val="000B1775"/>
    <w:rsid w:val="000B1C57"/>
    <w:rsid w:val="000D0ADA"/>
    <w:rsid w:val="000D46BA"/>
    <w:rsid w:val="000D6B2A"/>
    <w:rsid w:val="000F08CF"/>
    <w:rsid w:val="000F2831"/>
    <w:rsid w:val="000F3BAB"/>
    <w:rsid w:val="000F5CE6"/>
    <w:rsid w:val="00116943"/>
    <w:rsid w:val="00117A78"/>
    <w:rsid w:val="00127F9D"/>
    <w:rsid w:val="00131ABA"/>
    <w:rsid w:val="00132466"/>
    <w:rsid w:val="00142763"/>
    <w:rsid w:val="001438D4"/>
    <w:rsid w:val="0014454E"/>
    <w:rsid w:val="0014507B"/>
    <w:rsid w:val="00146DE3"/>
    <w:rsid w:val="001520AA"/>
    <w:rsid w:val="0015389F"/>
    <w:rsid w:val="001556F5"/>
    <w:rsid w:val="00160500"/>
    <w:rsid w:val="00160BD2"/>
    <w:rsid w:val="00170051"/>
    <w:rsid w:val="00170254"/>
    <w:rsid w:val="001800C2"/>
    <w:rsid w:val="00180C8F"/>
    <w:rsid w:val="0018660D"/>
    <w:rsid w:val="00195C6B"/>
    <w:rsid w:val="001A1136"/>
    <w:rsid w:val="001A557C"/>
    <w:rsid w:val="001A7A67"/>
    <w:rsid w:val="001B0964"/>
    <w:rsid w:val="001B28EE"/>
    <w:rsid w:val="001B3934"/>
    <w:rsid w:val="001B49F4"/>
    <w:rsid w:val="001C22DA"/>
    <w:rsid w:val="001C295E"/>
    <w:rsid w:val="001C4041"/>
    <w:rsid w:val="001D6A0A"/>
    <w:rsid w:val="001D73DB"/>
    <w:rsid w:val="001D7705"/>
    <w:rsid w:val="001E4768"/>
    <w:rsid w:val="001F5B45"/>
    <w:rsid w:val="0020206D"/>
    <w:rsid w:val="00203AA4"/>
    <w:rsid w:val="00213F87"/>
    <w:rsid w:val="00214F1D"/>
    <w:rsid w:val="00215B5B"/>
    <w:rsid w:val="00222809"/>
    <w:rsid w:val="002244AB"/>
    <w:rsid w:val="00233DC2"/>
    <w:rsid w:val="00234C27"/>
    <w:rsid w:val="00240A2D"/>
    <w:rsid w:val="0024138C"/>
    <w:rsid w:val="00242D44"/>
    <w:rsid w:val="00246E34"/>
    <w:rsid w:val="00250AAE"/>
    <w:rsid w:val="002623C2"/>
    <w:rsid w:val="00266850"/>
    <w:rsid w:val="00270FEF"/>
    <w:rsid w:val="00275818"/>
    <w:rsid w:val="00275AFB"/>
    <w:rsid w:val="002950BA"/>
    <w:rsid w:val="0029732C"/>
    <w:rsid w:val="002A2882"/>
    <w:rsid w:val="002A4B7F"/>
    <w:rsid w:val="002A5D06"/>
    <w:rsid w:val="002A61EB"/>
    <w:rsid w:val="002B0BE8"/>
    <w:rsid w:val="002B2E88"/>
    <w:rsid w:val="002C77C9"/>
    <w:rsid w:val="002C7FA9"/>
    <w:rsid w:val="002D6081"/>
    <w:rsid w:val="002D7CA7"/>
    <w:rsid w:val="002E19E4"/>
    <w:rsid w:val="002E360D"/>
    <w:rsid w:val="002E4336"/>
    <w:rsid w:val="002E6750"/>
    <w:rsid w:val="002E7633"/>
    <w:rsid w:val="002F0242"/>
    <w:rsid w:val="002F30EE"/>
    <w:rsid w:val="002F332D"/>
    <w:rsid w:val="00302003"/>
    <w:rsid w:val="00303D59"/>
    <w:rsid w:val="00304FA0"/>
    <w:rsid w:val="0031315B"/>
    <w:rsid w:val="00314EF4"/>
    <w:rsid w:val="003217C0"/>
    <w:rsid w:val="00324D77"/>
    <w:rsid w:val="00326873"/>
    <w:rsid w:val="00330E77"/>
    <w:rsid w:val="0033181B"/>
    <w:rsid w:val="003345CB"/>
    <w:rsid w:val="00336801"/>
    <w:rsid w:val="00336FBA"/>
    <w:rsid w:val="00346F53"/>
    <w:rsid w:val="0034737F"/>
    <w:rsid w:val="00350A71"/>
    <w:rsid w:val="003529A6"/>
    <w:rsid w:val="003608B0"/>
    <w:rsid w:val="00361380"/>
    <w:rsid w:val="00361442"/>
    <w:rsid w:val="00366A6E"/>
    <w:rsid w:val="00383758"/>
    <w:rsid w:val="00384939"/>
    <w:rsid w:val="00385205"/>
    <w:rsid w:val="003860E1"/>
    <w:rsid w:val="00387744"/>
    <w:rsid w:val="0038793D"/>
    <w:rsid w:val="00390DAF"/>
    <w:rsid w:val="00397546"/>
    <w:rsid w:val="00397555"/>
    <w:rsid w:val="003979D2"/>
    <w:rsid w:val="003A3CA2"/>
    <w:rsid w:val="003C12EF"/>
    <w:rsid w:val="003C1DFE"/>
    <w:rsid w:val="003C253F"/>
    <w:rsid w:val="003C2AA4"/>
    <w:rsid w:val="003C392F"/>
    <w:rsid w:val="003C3BBE"/>
    <w:rsid w:val="003C4C01"/>
    <w:rsid w:val="003C4CFF"/>
    <w:rsid w:val="003C6560"/>
    <w:rsid w:val="003D31E7"/>
    <w:rsid w:val="003D3788"/>
    <w:rsid w:val="003D38C2"/>
    <w:rsid w:val="003D3F6F"/>
    <w:rsid w:val="003D55CB"/>
    <w:rsid w:val="003D7030"/>
    <w:rsid w:val="003D720E"/>
    <w:rsid w:val="003E4D66"/>
    <w:rsid w:val="003F4C1F"/>
    <w:rsid w:val="003F63E3"/>
    <w:rsid w:val="00401910"/>
    <w:rsid w:val="00403D00"/>
    <w:rsid w:val="00404483"/>
    <w:rsid w:val="0040490E"/>
    <w:rsid w:val="004109F8"/>
    <w:rsid w:val="004249F2"/>
    <w:rsid w:val="004254BE"/>
    <w:rsid w:val="004266C8"/>
    <w:rsid w:val="00431FC9"/>
    <w:rsid w:val="00437B34"/>
    <w:rsid w:val="00437B42"/>
    <w:rsid w:val="00437E19"/>
    <w:rsid w:val="00443D47"/>
    <w:rsid w:val="00445E33"/>
    <w:rsid w:val="0045426D"/>
    <w:rsid w:val="00457217"/>
    <w:rsid w:val="00461EAC"/>
    <w:rsid w:val="00462E85"/>
    <w:rsid w:val="00463B9C"/>
    <w:rsid w:val="004642D6"/>
    <w:rsid w:val="004669FE"/>
    <w:rsid w:val="004812D3"/>
    <w:rsid w:val="00482FDD"/>
    <w:rsid w:val="00485EF5"/>
    <w:rsid w:val="004865DE"/>
    <w:rsid w:val="00486779"/>
    <w:rsid w:val="004A0DD4"/>
    <w:rsid w:val="004A2E22"/>
    <w:rsid w:val="004B0CD5"/>
    <w:rsid w:val="004B1221"/>
    <w:rsid w:val="004B2C4A"/>
    <w:rsid w:val="004B2CB3"/>
    <w:rsid w:val="004B50E3"/>
    <w:rsid w:val="004B55A5"/>
    <w:rsid w:val="004C2AA8"/>
    <w:rsid w:val="004C2D31"/>
    <w:rsid w:val="004C6726"/>
    <w:rsid w:val="004D0B66"/>
    <w:rsid w:val="004D2EFD"/>
    <w:rsid w:val="004D4848"/>
    <w:rsid w:val="004D5D15"/>
    <w:rsid w:val="004D5F19"/>
    <w:rsid w:val="004E2177"/>
    <w:rsid w:val="004E46A3"/>
    <w:rsid w:val="004F0E0D"/>
    <w:rsid w:val="004F1EEE"/>
    <w:rsid w:val="004F211C"/>
    <w:rsid w:val="004F21C9"/>
    <w:rsid w:val="004F5610"/>
    <w:rsid w:val="004F5F73"/>
    <w:rsid w:val="004F6108"/>
    <w:rsid w:val="004F66AC"/>
    <w:rsid w:val="004F7C2D"/>
    <w:rsid w:val="00500C7A"/>
    <w:rsid w:val="0050402D"/>
    <w:rsid w:val="005050C8"/>
    <w:rsid w:val="0051583D"/>
    <w:rsid w:val="00516709"/>
    <w:rsid w:val="00524BF4"/>
    <w:rsid w:val="00531443"/>
    <w:rsid w:val="005316D8"/>
    <w:rsid w:val="00532723"/>
    <w:rsid w:val="0053323E"/>
    <w:rsid w:val="00534715"/>
    <w:rsid w:val="00541300"/>
    <w:rsid w:val="00541A4A"/>
    <w:rsid w:val="0054414E"/>
    <w:rsid w:val="0054742D"/>
    <w:rsid w:val="00562EF6"/>
    <w:rsid w:val="005639FC"/>
    <w:rsid w:val="00565EAF"/>
    <w:rsid w:val="00566797"/>
    <w:rsid w:val="00574161"/>
    <w:rsid w:val="00581263"/>
    <w:rsid w:val="0058130F"/>
    <w:rsid w:val="00584E28"/>
    <w:rsid w:val="005857EC"/>
    <w:rsid w:val="00585E03"/>
    <w:rsid w:val="00594538"/>
    <w:rsid w:val="005B1B37"/>
    <w:rsid w:val="005B1C7D"/>
    <w:rsid w:val="005B3574"/>
    <w:rsid w:val="005B4F03"/>
    <w:rsid w:val="005B794B"/>
    <w:rsid w:val="005C031F"/>
    <w:rsid w:val="005C32D0"/>
    <w:rsid w:val="005C3D74"/>
    <w:rsid w:val="005C580A"/>
    <w:rsid w:val="005D0082"/>
    <w:rsid w:val="005D5644"/>
    <w:rsid w:val="005D7F89"/>
    <w:rsid w:val="005E7172"/>
    <w:rsid w:val="005F0392"/>
    <w:rsid w:val="005F2E45"/>
    <w:rsid w:val="005F7EC4"/>
    <w:rsid w:val="00600DD3"/>
    <w:rsid w:val="0060162F"/>
    <w:rsid w:val="00604586"/>
    <w:rsid w:val="00606D34"/>
    <w:rsid w:val="00610458"/>
    <w:rsid w:val="006145EB"/>
    <w:rsid w:val="00617A08"/>
    <w:rsid w:val="00622465"/>
    <w:rsid w:val="00625AB2"/>
    <w:rsid w:val="006359C6"/>
    <w:rsid w:val="006417DF"/>
    <w:rsid w:val="00643A62"/>
    <w:rsid w:val="00643D2A"/>
    <w:rsid w:val="00644808"/>
    <w:rsid w:val="006454EC"/>
    <w:rsid w:val="00646597"/>
    <w:rsid w:val="00652263"/>
    <w:rsid w:val="00653342"/>
    <w:rsid w:val="00665DEE"/>
    <w:rsid w:val="006671F5"/>
    <w:rsid w:val="00672070"/>
    <w:rsid w:val="00674819"/>
    <w:rsid w:val="00680B78"/>
    <w:rsid w:val="00685E59"/>
    <w:rsid w:val="006914F5"/>
    <w:rsid w:val="00692842"/>
    <w:rsid w:val="00692A38"/>
    <w:rsid w:val="00694A07"/>
    <w:rsid w:val="006A0B17"/>
    <w:rsid w:val="006A16D9"/>
    <w:rsid w:val="006A79FD"/>
    <w:rsid w:val="006A7F66"/>
    <w:rsid w:val="006B2548"/>
    <w:rsid w:val="006B3561"/>
    <w:rsid w:val="006B5850"/>
    <w:rsid w:val="006C2A23"/>
    <w:rsid w:val="006D403C"/>
    <w:rsid w:val="006E0F87"/>
    <w:rsid w:val="006F0A6C"/>
    <w:rsid w:val="006F27FE"/>
    <w:rsid w:val="006F3F16"/>
    <w:rsid w:val="006F6830"/>
    <w:rsid w:val="00700916"/>
    <w:rsid w:val="00700FED"/>
    <w:rsid w:val="007011D7"/>
    <w:rsid w:val="007024CE"/>
    <w:rsid w:val="007046A6"/>
    <w:rsid w:val="0070632D"/>
    <w:rsid w:val="00725208"/>
    <w:rsid w:val="0073113C"/>
    <w:rsid w:val="00742E3C"/>
    <w:rsid w:val="007448C2"/>
    <w:rsid w:val="0074543C"/>
    <w:rsid w:val="00754484"/>
    <w:rsid w:val="007650A3"/>
    <w:rsid w:val="00767AF8"/>
    <w:rsid w:val="007701AF"/>
    <w:rsid w:val="0077397F"/>
    <w:rsid w:val="007754BB"/>
    <w:rsid w:val="007776A9"/>
    <w:rsid w:val="00781716"/>
    <w:rsid w:val="007914E7"/>
    <w:rsid w:val="00793533"/>
    <w:rsid w:val="00793CA2"/>
    <w:rsid w:val="007B2B0A"/>
    <w:rsid w:val="007B5DE3"/>
    <w:rsid w:val="007C09CC"/>
    <w:rsid w:val="007C2219"/>
    <w:rsid w:val="007C6BEC"/>
    <w:rsid w:val="007C7E78"/>
    <w:rsid w:val="007D032C"/>
    <w:rsid w:val="007D1A05"/>
    <w:rsid w:val="007D36BD"/>
    <w:rsid w:val="007D373F"/>
    <w:rsid w:val="007D4A27"/>
    <w:rsid w:val="007F4A1B"/>
    <w:rsid w:val="007F7D52"/>
    <w:rsid w:val="008017E5"/>
    <w:rsid w:val="008105B2"/>
    <w:rsid w:val="0081233B"/>
    <w:rsid w:val="00822AA0"/>
    <w:rsid w:val="00824D4B"/>
    <w:rsid w:val="00824FEF"/>
    <w:rsid w:val="0084158C"/>
    <w:rsid w:val="00841CB4"/>
    <w:rsid w:val="0084340D"/>
    <w:rsid w:val="008437B8"/>
    <w:rsid w:val="00844578"/>
    <w:rsid w:val="008562B7"/>
    <w:rsid w:val="00866F74"/>
    <w:rsid w:val="008704CF"/>
    <w:rsid w:val="0088309B"/>
    <w:rsid w:val="00883290"/>
    <w:rsid w:val="00887346"/>
    <w:rsid w:val="008A1E5F"/>
    <w:rsid w:val="008A46EC"/>
    <w:rsid w:val="008A58F4"/>
    <w:rsid w:val="008A6206"/>
    <w:rsid w:val="008A7DC4"/>
    <w:rsid w:val="008B5E1C"/>
    <w:rsid w:val="008B6313"/>
    <w:rsid w:val="008C075D"/>
    <w:rsid w:val="008C1C7D"/>
    <w:rsid w:val="008C70A2"/>
    <w:rsid w:val="008D3854"/>
    <w:rsid w:val="008D5545"/>
    <w:rsid w:val="008D57E9"/>
    <w:rsid w:val="008E1762"/>
    <w:rsid w:val="008E5BC1"/>
    <w:rsid w:val="008E7606"/>
    <w:rsid w:val="008E7E44"/>
    <w:rsid w:val="008F1185"/>
    <w:rsid w:val="008F16C0"/>
    <w:rsid w:val="008F7CD8"/>
    <w:rsid w:val="008F7EB7"/>
    <w:rsid w:val="0090327D"/>
    <w:rsid w:val="00911010"/>
    <w:rsid w:val="009110C9"/>
    <w:rsid w:val="0091410A"/>
    <w:rsid w:val="009179C1"/>
    <w:rsid w:val="009201BD"/>
    <w:rsid w:val="00923A81"/>
    <w:rsid w:val="00924734"/>
    <w:rsid w:val="00927803"/>
    <w:rsid w:val="00933C6F"/>
    <w:rsid w:val="00937C41"/>
    <w:rsid w:val="0094263D"/>
    <w:rsid w:val="009478AA"/>
    <w:rsid w:val="00960B3C"/>
    <w:rsid w:val="00963A94"/>
    <w:rsid w:val="009679F3"/>
    <w:rsid w:val="00967D78"/>
    <w:rsid w:val="00970671"/>
    <w:rsid w:val="009755E4"/>
    <w:rsid w:val="00977B48"/>
    <w:rsid w:val="009834FC"/>
    <w:rsid w:val="00985831"/>
    <w:rsid w:val="009900A5"/>
    <w:rsid w:val="009916F3"/>
    <w:rsid w:val="00996D31"/>
    <w:rsid w:val="0099714E"/>
    <w:rsid w:val="009A194F"/>
    <w:rsid w:val="009A3EF7"/>
    <w:rsid w:val="009B53B8"/>
    <w:rsid w:val="009B5762"/>
    <w:rsid w:val="009B5A63"/>
    <w:rsid w:val="009B684C"/>
    <w:rsid w:val="009C0DC8"/>
    <w:rsid w:val="009C180E"/>
    <w:rsid w:val="009E2AF2"/>
    <w:rsid w:val="009E3ABF"/>
    <w:rsid w:val="009E720D"/>
    <w:rsid w:val="009F5B85"/>
    <w:rsid w:val="00A11B88"/>
    <w:rsid w:val="00A13069"/>
    <w:rsid w:val="00A178DC"/>
    <w:rsid w:val="00A26D73"/>
    <w:rsid w:val="00A31CAC"/>
    <w:rsid w:val="00A3533F"/>
    <w:rsid w:val="00A35F39"/>
    <w:rsid w:val="00A369B0"/>
    <w:rsid w:val="00A41125"/>
    <w:rsid w:val="00A42A95"/>
    <w:rsid w:val="00A568F8"/>
    <w:rsid w:val="00A569D6"/>
    <w:rsid w:val="00A56EA5"/>
    <w:rsid w:val="00A60013"/>
    <w:rsid w:val="00A62A3E"/>
    <w:rsid w:val="00A638B2"/>
    <w:rsid w:val="00A64F66"/>
    <w:rsid w:val="00A717C1"/>
    <w:rsid w:val="00A830B5"/>
    <w:rsid w:val="00A86509"/>
    <w:rsid w:val="00A93FF3"/>
    <w:rsid w:val="00A97D79"/>
    <w:rsid w:val="00AB2BFA"/>
    <w:rsid w:val="00AB7A64"/>
    <w:rsid w:val="00AC6B48"/>
    <w:rsid w:val="00AC6B72"/>
    <w:rsid w:val="00AC79E9"/>
    <w:rsid w:val="00AD0C0F"/>
    <w:rsid w:val="00AD24AC"/>
    <w:rsid w:val="00AD4735"/>
    <w:rsid w:val="00AD6ECB"/>
    <w:rsid w:val="00AE0C46"/>
    <w:rsid w:val="00AE284F"/>
    <w:rsid w:val="00AF360B"/>
    <w:rsid w:val="00AF43A8"/>
    <w:rsid w:val="00AF6258"/>
    <w:rsid w:val="00B07873"/>
    <w:rsid w:val="00B126D1"/>
    <w:rsid w:val="00B145AB"/>
    <w:rsid w:val="00B1532C"/>
    <w:rsid w:val="00B159F8"/>
    <w:rsid w:val="00B216CB"/>
    <w:rsid w:val="00B21EDE"/>
    <w:rsid w:val="00B243A3"/>
    <w:rsid w:val="00B26FA5"/>
    <w:rsid w:val="00B37BD0"/>
    <w:rsid w:val="00B52CA5"/>
    <w:rsid w:val="00B53701"/>
    <w:rsid w:val="00B6029F"/>
    <w:rsid w:val="00B61665"/>
    <w:rsid w:val="00B65CCC"/>
    <w:rsid w:val="00B675A4"/>
    <w:rsid w:val="00B72AF7"/>
    <w:rsid w:val="00B74176"/>
    <w:rsid w:val="00B766BE"/>
    <w:rsid w:val="00B86D30"/>
    <w:rsid w:val="00B878B9"/>
    <w:rsid w:val="00B96047"/>
    <w:rsid w:val="00B96C89"/>
    <w:rsid w:val="00BB39DD"/>
    <w:rsid w:val="00BB4780"/>
    <w:rsid w:val="00BC3CF5"/>
    <w:rsid w:val="00BC5EF7"/>
    <w:rsid w:val="00BD25C7"/>
    <w:rsid w:val="00BE15BB"/>
    <w:rsid w:val="00BE61B0"/>
    <w:rsid w:val="00BF573D"/>
    <w:rsid w:val="00C00A7C"/>
    <w:rsid w:val="00C037CA"/>
    <w:rsid w:val="00C043AC"/>
    <w:rsid w:val="00C132A0"/>
    <w:rsid w:val="00C13EE9"/>
    <w:rsid w:val="00C15334"/>
    <w:rsid w:val="00C249C0"/>
    <w:rsid w:val="00C27FF3"/>
    <w:rsid w:val="00C33D40"/>
    <w:rsid w:val="00C35BF3"/>
    <w:rsid w:val="00C442F4"/>
    <w:rsid w:val="00C54155"/>
    <w:rsid w:val="00C5573A"/>
    <w:rsid w:val="00C55F9A"/>
    <w:rsid w:val="00C62CA4"/>
    <w:rsid w:val="00C6521B"/>
    <w:rsid w:val="00C66BAC"/>
    <w:rsid w:val="00C75C0E"/>
    <w:rsid w:val="00C81F57"/>
    <w:rsid w:val="00C85E52"/>
    <w:rsid w:val="00C87803"/>
    <w:rsid w:val="00C959EE"/>
    <w:rsid w:val="00C95BA9"/>
    <w:rsid w:val="00CA002B"/>
    <w:rsid w:val="00CA22A5"/>
    <w:rsid w:val="00CA4214"/>
    <w:rsid w:val="00CB5EA0"/>
    <w:rsid w:val="00CB7B74"/>
    <w:rsid w:val="00CC6C73"/>
    <w:rsid w:val="00CD2033"/>
    <w:rsid w:val="00CD232C"/>
    <w:rsid w:val="00CD7422"/>
    <w:rsid w:val="00CE3545"/>
    <w:rsid w:val="00CF5764"/>
    <w:rsid w:val="00D03FCF"/>
    <w:rsid w:val="00D07CE2"/>
    <w:rsid w:val="00D12324"/>
    <w:rsid w:val="00D13D3B"/>
    <w:rsid w:val="00D150D9"/>
    <w:rsid w:val="00D15404"/>
    <w:rsid w:val="00D16B51"/>
    <w:rsid w:val="00D174E1"/>
    <w:rsid w:val="00D1768A"/>
    <w:rsid w:val="00D17782"/>
    <w:rsid w:val="00D17E2F"/>
    <w:rsid w:val="00D267E0"/>
    <w:rsid w:val="00D26938"/>
    <w:rsid w:val="00D275AF"/>
    <w:rsid w:val="00D30661"/>
    <w:rsid w:val="00D3285F"/>
    <w:rsid w:val="00D417E1"/>
    <w:rsid w:val="00D436D8"/>
    <w:rsid w:val="00D46E8E"/>
    <w:rsid w:val="00D50598"/>
    <w:rsid w:val="00D50B74"/>
    <w:rsid w:val="00D51D09"/>
    <w:rsid w:val="00D5268B"/>
    <w:rsid w:val="00D55264"/>
    <w:rsid w:val="00D66D6A"/>
    <w:rsid w:val="00D679BD"/>
    <w:rsid w:val="00D72313"/>
    <w:rsid w:val="00D72D79"/>
    <w:rsid w:val="00D73167"/>
    <w:rsid w:val="00D74A44"/>
    <w:rsid w:val="00D80ABA"/>
    <w:rsid w:val="00D8437C"/>
    <w:rsid w:val="00DA2EB8"/>
    <w:rsid w:val="00DA7554"/>
    <w:rsid w:val="00DB1195"/>
    <w:rsid w:val="00DB1E2E"/>
    <w:rsid w:val="00DB60B6"/>
    <w:rsid w:val="00DB6D6D"/>
    <w:rsid w:val="00DB7357"/>
    <w:rsid w:val="00DC11A7"/>
    <w:rsid w:val="00DC1C26"/>
    <w:rsid w:val="00DC23CC"/>
    <w:rsid w:val="00DC4746"/>
    <w:rsid w:val="00DC5956"/>
    <w:rsid w:val="00DC644A"/>
    <w:rsid w:val="00DD1552"/>
    <w:rsid w:val="00DD7444"/>
    <w:rsid w:val="00DE055A"/>
    <w:rsid w:val="00DE31A3"/>
    <w:rsid w:val="00DE3EAD"/>
    <w:rsid w:val="00DE5D09"/>
    <w:rsid w:val="00DF3A76"/>
    <w:rsid w:val="00E0216E"/>
    <w:rsid w:val="00E07283"/>
    <w:rsid w:val="00E1345B"/>
    <w:rsid w:val="00E139E4"/>
    <w:rsid w:val="00E147C0"/>
    <w:rsid w:val="00E14C84"/>
    <w:rsid w:val="00E1671D"/>
    <w:rsid w:val="00E17FE5"/>
    <w:rsid w:val="00E276D3"/>
    <w:rsid w:val="00E27BF6"/>
    <w:rsid w:val="00E314C3"/>
    <w:rsid w:val="00E315AA"/>
    <w:rsid w:val="00E35ECB"/>
    <w:rsid w:val="00E43B94"/>
    <w:rsid w:val="00E608CC"/>
    <w:rsid w:val="00E6665B"/>
    <w:rsid w:val="00E74FEB"/>
    <w:rsid w:val="00E84E78"/>
    <w:rsid w:val="00E84F19"/>
    <w:rsid w:val="00E916E9"/>
    <w:rsid w:val="00E925B2"/>
    <w:rsid w:val="00E9270B"/>
    <w:rsid w:val="00E96E80"/>
    <w:rsid w:val="00E9798B"/>
    <w:rsid w:val="00EA19A3"/>
    <w:rsid w:val="00EA393B"/>
    <w:rsid w:val="00EA5319"/>
    <w:rsid w:val="00EA7CE9"/>
    <w:rsid w:val="00EB11AF"/>
    <w:rsid w:val="00EB6DCF"/>
    <w:rsid w:val="00EC614C"/>
    <w:rsid w:val="00ED336D"/>
    <w:rsid w:val="00ED3DAF"/>
    <w:rsid w:val="00ED49C0"/>
    <w:rsid w:val="00ED5315"/>
    <w:rsid w:val="00EE2261"/>
    <w:rsid w:val="00EE3696"/>
    <w:rsid w:val="00EE3DB0"/>
    <w:rsid w:val="00EE5843"/>
    <w:rsid w:val="00EE5AD5"/>
    <w:rsid w:val="00EF1BE3"/>
    <w:rsid w:val="00EF354D"/>
    <w:rsid w:val="00EF7C57"/>
    <w:rsid w:val="00F043D1"/>
    <w:rsid w:val="00F12028"/>
    <w:rsid w:val="00F16558"/>
    <w:rsid w:val="00F165B8"/>
    <w:rsid w:val="00F27A45"/>
    <w:rsid w:val="00F361DB"/>
    <w:rsid w:val="00F4065A"/>
    <w:rsid w:val="00F419CA"/>
    <w:rsid w:val="00F455F9"/>
    <w:rsid w:val="00F5126B"/>
    <w:rsid w:val="00F533D9"/>
    <w:rsid w:val="00F53733"/>
    <w:rsid w:val="00F56B75"/>
    <w:rsid w:val="00F57D03"/>
    <w:rsid w:val="00F711A7"/>
    <w:rsid w:val="00F758F1"/>
    <w:rsid w:val="00F771FA"/>
    <w:rsid w:val="00F81435"/>
    <w:rsid w:val="00F81B2B"/>
    <w:rsid w:val="00F86B9A"/>
    <w:rsid w:val="00F9119B"/>
    <w:rsid w:val="00F93DE4"/>
    <w:rsid w:val="00FA4379"/>
    <w:rsid w:val="00FA5F56"/>
    <w:rsid w:val="00FB1F42"/>
    <w:rsid w:val="00FC30A6"/>
    <w:rsid w:val="00FC47C6"/>
    <w:rsid w:val="00FC66F1"/>
    <w:rsid w:val="00FC7B3C"/>
    <w:rsid w:val="00FD0ACF"/>
    <w:rsid w:val="00FD1FC0"/>
    <w:rsid w:val="00FD3FD5"/>
    <w:rsid w:val="00FD59F0"/>
    <w:rsid w:val="00FE29AE"/>
    <w:rsid w:val="00FE45D0"/>
    <w:rsid w:val="00FE574D"/>
    <w:rsid w:val="00FE5E73"/>
    <w:rsid w:val="00FE690D"/>
    <w:rsid w:val="00FF073C"/>
    <w:rsid w:val="00FF2F90"/>
    <w:rsid w:val="00FF3089"/>
    <w:rsid w:val="01066A48"/>
    <w:rsid w:val="01281B77"/>
    <w:rsid w:val="015C35C4"/>
    <w:rsid w:val="017C4304"/>
    <w:rsid w:val="01995B0E"/>
    <w:rsid w:val="02277B34"/>
    <w:rsid w:val="028D7421"/>
    <w:rsid w:val="02930398"/>
    <w:rsid w:val="02B7449E"/>
    <w:rsid w:val="02D63E6C"/>
    <w:rsid w:val="02FD025A"/>
    <w:rsid w:val="036F0F48"/>
    <w:rsid w:val="03794412"/>
    <w:rsid w:val="03A964DC"/>
    <w:rsid w:val="040C414F"/>
    <w:rsid w:val="04553127"/>
    <w:rsid w:val="046C12B8"/>
    <w:rsid w:val="0473605D"/>
    <w:rsid w:val="047F2D99"/>
    <w:rsid w:val="04970AC7"/>
    <w:rsid w:val="04A16AE7"/>
    <w:rsid w:val="04BA64C7"/>
    <w:rsid w:val="04CD56E6"/>
    <w:rsid w:val="04DD4F8A"/>
    <w:rsid w:val="053A13B6"/>
    <w:rsid w:val="05565276"/>
    <w:rsid w:val="05D6570B"/>
    <w:rsid w:val="06757522"/>
    <w:rsid w:val="068B7FAC"/>
    <w:rsid w:val="078F59E9"/>
    <w:rsid w:val="07995F18"/>
    <w:rsid w:val="07FF0165"/>
    <w:rsid w:val="08424B2B"/>
    <w:rsid w:val="085A7342"/>
    <w:rsid w:val="08A2174C"/>
    <w:rsid w:val="08BB280E"/>
    <w:rsid w:val="091F2D9D"/>
    <w:rsid w:val="09554C2C"/>
    <w:rsid w:val="099077F7"/>
    <w:rsid w:val="099E1F14"/>
    <w:rsid w:val="09A90332"/>
    <w:rsid w:val="09D94670"/>
    <w:rsid w:val="0A8C5146"/>
    <w:rsid w:val="0AD6260D"/>
    <w:rsid w:val="0B8B64C8"/>
    <w:rsid w:val="0BA56018"/>
    <w:rsid w:val="0BB52A3A"/>
    <w:rsid w:val="0BFB1B8B"/>
    <w:rsid w:val="0CAA0BCF"/>
    <w:rsid w:val="0D135946"/>
    <w:rsid w:val="0D55665C"/>
    <w:rsid w:val="0D734644"/>
    <w:rsid w:val="0DDE1FBA"/>
    <w:rsid w:val="0DFA5B87"/>
    <w:rsid w:val="0DFC36AD"/>
    <w:rsid w:val="0EA86D20"/>
    <w:rsid w:val="0EC27A1A"/>
    <w:rsid w:val="0F383354"/>
    <w:rsid w:val="0F792780"/>
    <w:rsid w:val="0FBF77B9"/>
    <w:rsid w:val="0FF509EA"/>
    <w:rsid w:val="10335CF4"/>
    <w:rsid w:val="10703EDE"/>
    <w:rsid w:val="10C0375D"/>
    <w:rsid w:val="10F20D97"/>
    <w:rsid w:val="120E1C01"/>
    <w:rsid w:val="122227CE"/>
    <w:rsid w:val="12D15108"/>
    <w:rsid w:val="12F269B0"/>
    <w:rsid w:val="133833D9"/>
    <w:rsid w:val="135821C6"/>
    <w:rsid w:val="13AB4B8E"/>
    <w:rsid w:val="13D604FC"/>
    <w:rsid w:val="14170A0A"/>
    <w:rsid w:val="14357918"/>
    <w:rsid w:val="144638D4"/>
    <w:rsid w:val="14C842E9"/>
    <w:rsid w:val="14CF1F77"/>
    <w:rsid w:val="14FA4B3D"/>
    <w:rsid w:val="153C5EBA"/>
    <w:rsid w:val="155A6B32"/>
    <w:rsid w:val="159468C1"/>
    <w:rsid w:val="15B30AF5"/>
    <w:rsid w:val="15D812DB"/>
    <w:rsid w:val="16234CA3"/>
    <w:rsid w:val="1624510A"/>
    <w:rsid w:val="1635775C"/>
    <w:rsid w:val="164976AB"/>
    <w:rsid w:val="164E0511"/>
    <w:rsid w:val="16821017"/>
    <w:rsid w:val="16A6121C"/>
    <w:rsid w:val="16C3610A"/>
    <w:rsid w:val="16EA6B6A"/>
    <w:rsid w:val="170B19CF"/>
    <w:rsid w:val="17494A75"/>
    <w:rsid w:val="17D9365A"/>
    <w:rsid w:val="17DA4A5F"/>
    <w:rsid w:val="18017CDF"/>
    <w:rsid w:val="182A7068"/>
    <w:rsid w:val="191F7B43"/>
    <w:rsid w:val="19735EC1"/>
    <w:rsid w:val="199635CC"/>
    <w:rsid w:val="19AC41D9"/>
    <w:rsid w:val="19B32E94"/>
    <w:rsid w:val="19D81D92"/>
    <w:rsid w:val="1A160BA1"/>
    <w:rsid w:val="1A1B2CF1"/>
    <w:rsid w:val="1A815D2D"/>
    <w:rsid w:val="1A862B26"/>
    <w:rsid w:val="1B317D6F"/>
    <w:rsid w:val="1BB27AA1"/>
    <w:rsid w:val="1C8728C1"/>
    <w:rsid w:val="1CA94A00"/>
    <w:rsid w:val="1CBF2475"/>
    <w:rsid w:val="1D1E3C8F"/>
    <w:rsid w:val="1D7C0366"/>
    <w:rsid w:val="1D7E5E8C"/>
    <w:rsid w:val="1D973F0F"/>
    <w:rsid w:val="1DA50680"/>
    <w:rsid w:val="1DB25B36"/>
    <w:rsid w:val="1DE91915"/>
    <w:rsid w:val="1E03795D"/>
    <w:rsid w:val="1E1E4F79"/>
    <w:rsid w:val="1E8E0A96"/>
    <w:rsid w:val="1EC57AEB"/>
    <w:rsid w:val="1ECA6EAF"/>
    <w:rsid w:val="1ECC00D4"/>
    <w:rsid w:val="1ECE5B2D"/>
    <w:rsid w:val="1FAD562C"/>
    <w:rsid w:val="20B066BC"/>
    <w:rsid w:val="20BE47F2"/>
    <w:rsid w:val="20FD6B90"/>
    <w:rsid w:val="21154D5A"/>
    <w:rsid w:val="2291066D"/>
    <w:rsid w:val="238B0D56"/>
    <w:rsid w:val="23C05B1A"/>
    <w:rsid w:val="23ED4D48"/>
    <w:rsid w:val="240370EB"/>
    <w:rsid w:val="245C4D42"/>
    <w:rsid w:val="247F4D54"/>
    <w:rsid w:val="24A43621"/>
    <w:rsid w:val="24E0479D"/>
    <w:rsid w:val="256D467A"/>
    <w:rsid w:val="25897AC4"/>
    <w:rsid w:val="25C84A4E"/>
    <w:rsid w:val="2661459D"/>
    <w:rsid w:val="26630315"/>
    <w:rsid w:val="269D22BD"/>
    <w:rsid w:val="26B50B51"/>
    <w:rsid w:val="26C00A18"/>
    <w:rsid w:val="27161267"/>
    <w:rsid w:val="271D0F11"/>
    <w:rsid w:val="27695648"/>
    <w:rsid w:val="279549A2"/>
    <w:rsid w:val="27BA4C10"/>
    <w:rsid w:val="283133A6"/>
    <w:rsid w:val="28771E56"/>
    <w:rsid w:val="28786591"/>
    <w:rsid w:val="28900840"/>
    <w:rsid w:val="294429D3"/>
    <w:rsid w:val="29626662"/>
    <w:rsid w:val="29AC1FD3"/>
    <w:rsid w:val="29BC1CEE"/>
    <w:rsid w:val="29FA0F90"/>
    <w:rsid w:val="2A3E70CF"/>
    <w:rsid w:val="2A3F69A3"/>
    <w:rsid w:val="2A431E04"/>
    <w:rsid w:val="2AA4277F"/>
    <w:rsid w:val="2ADB619F"/>
    <w:rsid w:val="2B6265B5"/>
    <w:rsid w:val="2BE60617"/>
    <w:rsid w:val="2C21034C"/>
    <w:rsid w:val="2C251BC9"/>
    <w:rsid w:val="2C820DC9"/>
    <w:rsid w:val="2CC633AC"/>
    <w:rsid w:val="2CFE741B"/>
    <w:rsid w:val="2D40315E"/>
    <w:rsid w:val="2D8D1111"/>
    <w:rsid w:val="2DCF26DE"/>
    <w:rsid w:val="2DD9568E"/>
    <w:rsid w:val="2DFA7F50"/>
    <w:rsid w:val="2E235C7F"/>
    <w:rsid w:val="2E67296D"/>
    <w:rsid w:val="2EC03CA1"/>
    <w:rsid w:val="2ED022C0"/>
    <w:rsid w:val="2ED42292"/>
    <w:rsid w:val="2F82430B"/>
    <w:rsid w:val="2F9836A2"/>
    <w:rsid w:val="2F9D3363"/>
    <w:rsid w:val="2FE36023"/>
    <w:rsid w:val="305D3775"/>
    <w:rsid w:val="31462D0D"/>
    <w:rsid w:val="31F663E9"/>
    <w:rsid w:val="32327209"/>
    <w:rsid w:val="32671FAF"/>
    <w:rsid w:val="32702081"/>
    <w:rsid w:val="328F0574"/>
    <w:rsid w:val="32F80037"/>
    <w:rsid w:val="3355548A"/>
    <w:rsid w:val="33956C1F"/>
    <w:rsid w:val="34183BC3"/>
    <w:rsid w:val="345B6908"/>
    <w:rsid w:val="345E6880"/>
    <w:rsid w:val="347D6A46"/>
    <w:rsid w:val="348842D6"/>
    <w:rsid w:val="34A044E2"/>
    <w:rsid w:val="34B27BE1"/>
    <w:rsid w:val="34C0096A"/>
    <w:rsid w:val="34DD7648"/>
    <w:rsid w:val="35367FB2"/>
    <w:rsid w:val="357451E7"/>
    <w:rsid w:val="3591124E"/>
    <w:rsid w:val="35DD793E"/>
    <w:rsid w:val="36220010"/>
    <w:rsid w:val="364049F9"/>
    <w:rsid w:val="36804BA6"/>
    <w:rsid w:val="37176879"/>
    <w:rsid w:val="37893CCB"/>
    <w:rsid w:val="37F94635"/>
    <w:rsid w:val="382D10C9"/>
    <w:rsid w:val="3866266B"/>
    <w:rsid w:val="38B772A3"/>
    <w:rsid w:val="39044D27"/>
    <w:rsid w:val="39111E53"/>
    <w:rsid w:val="39294221"/>
    <w:rsid w:val="394A2C6F"/>
    <w:rsid w:val="39685895"/>
    <w:rsid w:val="399923C0"/>
    <w:rsid w:val="39C51C00"/>
    <w:rsid w:val="39F01A68"/>
    <w:rsid w:val="3A1A29D5"/>
    <w:rsid w:val="3A1A60D5"/>
    <w:rsid w:val="3A1F0242"/>
    <w:rsid w:val="3A293466"/>
    <w:rsid w:val="3A4678DA"/>
    <w:rsid w:val="3AD56782"/>
    <w:rsid w:val="3B111C96"/>
    <w:rsid w:val="3B7010B2"/>
    <w:rsid w:val="3B7D732B"/>
    <w:rsid w:val="3C027831"/>
    <w:rsid w:val="3C0E27B2"/>
    <w:rsid w:val="3C1A7270"/>
    <w:rsid w:val="3C815719"/>
    <w:rsid w:val="3C9E1C4F"/>
    <w:rsid w:val="3CB7061B"/>
    <w:rsid w:val="3D143CBF"/>
    <w:rsid w:val="3D97355F"/>
    <w:rsid w:val="3DB35286"/>
    <w:rsid w:val="3E3B5F7B"/>
    <w:rsid w:val="3E7356C6"/>
    <w:rsid w:val="3EA32EAC"/>
    <w:rsid w:val="3EA755D8"/>
    <w:rsid w:val="3EBF7C5B"/>
    <w:rsid w:val="3F670284"/>
    <w:rsid w:val="3FDE03B8"/>
    <w:rsid w:val="403703F1"/>
    <w:rsid w:val="40464190"/>
    <w:rsid w:val="405B6617"/>
    <w:rsid w:val="40904C6F"/>
    <w:rsid w:val="40991A17"/>
    <w:rsid w:val="40C8729B"/>
    <w:rsid w:val="40D45C40"/>
    <w:rsid w:val="40EA035E"/>
    <w:rsid w:val="41033AF7"/>
    <w:rsid w:val="410D5356"/>
    <w:rsid w:val="414D154E"/>
    <w:rsid w:val="41662610"/>
    <w:rsid w:val="419634F6"/>
    <w:rsid w:val="41AC1F2D"/>
    <w:rsid w:val="42440BA3"/>
    <w:rsid w:val="42C23421"/>
    <w:rsid w:val="434A043B"/>
    <w:rsid w:val="43747266"/>
    <w:rsid w:val="43E25D26"/>
    <w:rsid w:val="43F44FDA"/>
    <w:rsid w:val="44450C02"/>
    <w:rsid w:val="445157F9"/>
    <w:rsid w:val="4469168F"/>
    <w:rsid w:val="447212D7"/>
    <w:rsid w:val="44D32369"/>
    <w:rsid w:val="4508048A"/>
    <w:rsid w:val="45372C41"/>
    <w:rsid w:val="456805D9"/>
    <w:rsid w:val="457F23F7"/>
    <w:rsid w:val="45A51959"/>
    <w:rsid w:val="45F60406"/>
    <w:rsid w:val="460B6F99"/>
    <w:rsid w:val="464516FB"/>
    <w:rsid w:val="46617874"/>
    <w:rsid w:val="466825C3"/>
    <w:rsid w:val="466E7B5E"/>
    <w:rsid w:val="468B420D"/>
    <w:rsid w:val="4705299F"/>
    <w:rsid w:val="47347026"/>
    <w:rsid w:val="47510752"/>
    <w:rsid w:val="47AF2F63"/>
    <w:rsid w:val="47B25905"/>
    <w:rsid w:val="47FB1D04"/>
    <w:rsid w:val="48B33429"/>
    <w:rsid w:val="48D4210A"/>
    <w:rsid w:val="48E104EF"/>
    <w:rsid w:val="48FB5D34"/>
    <w:rsid w:val="49584F34"/>
    <w:rsid w:val="49AE5366"/>
    <w:rsid w:val="49BF4FB3"/>
    <w:rsid w:val="49C167BA"/>
    <w:rsid w:val="4A4A079C"/>
    <w:rsid w:val="4A6514C6"/>
    <w:rsid w:val="4A840496"/>
    <w:rsid w:val="4AD4032A"/>
    <w:rsid w:val="4AE253FD"/>
    <w:rsid w:val="4AE86BB0"/>
    <w:rsid w:val="4B0264A8"/>
    <w:rsid w:val="4B4C4929"/>
    <w:rsid w:val="4B5D4A84"/>
    <w:rsid w:val="4BCE3C8F"/>
    <w:rsid w:val="4BDA4326"/>
    <w:rsid w:val="4C08237B"/>
    <w:rsid w:val="4C203808"/>
    <w:rsid w:val="4C3B2B23"/>
    <w:rsid w:val="4C417685"/>
    <w:rsid w:val="4C4A5008"/>
    <w:rsid w:val="4C515514"/>
    <w:rsid w:val="4D58425A"/>
    <w:rsid w:val="4D956528"/>
    <w:rsid w:val="4E51119F"/>
    <w:rsid w:val="4E576A10"/>
    <w:rsid w:val="4E731728"/>
    <w:rsid w:val="4E797E26"/>
    <w:rsid w:val="4E7B76FB"/>
    <w:rsid w:val="4E922C96"/>
    <w:rsid w:val="4E933A2B"/>
    <w:rsid w:val="4EB474A2"/>
    <w:rsid w:val="4EDE67D2"/>
    <w:rsid w:val="4F3F4BCC"/>
    <w:rsid w:val="4F577579"/>
    <w:rsid w:val="4F5D14F6"/>
    <w:rsid w:val="4F960EA9"/>
    <w:rsid w:val="4F9D711A"/>
    <w:rsid w:val="4FD35314"/>
    <w:rsid w:val="50485600"/>
    <w:rsid w:val="50D2209F"/>
    <w:rsid w:val="511774A9"/>
    <w:rsid w:val="51DB6702"/>
    <w:rsid w:val="52141DC8"/>
    <w:rsid w:val="522A1B75"/>
    <w:rsid w:val="52351ED3"/>
    <w:rsid w:val="523749E7"/>
    <w:rsid w:val="523B3CF7"/>
    <w:rsid w:val="52834B78"/>
    <w:rsid w:val="52CA2764"/>
    <w:rsid w:val="52E02A45"/>
    <w:rsid w:val="530371A4"/>
    <w:rsid w:val="530671FA"/>
    <w:rsid w:val="53DE67F8"/>
    <w:rsid w:val="54931516"/>
    <w:rsid w:val="55252AB6"/>
    <w:rsid w:val="55373D7F"/>
    <w:rsid w:val="55595F03"/>
    <w:rsid w:val="55AE2AAB"/>
    <w:rsid w:val="56DA167E"/>
    <w:rsid w:val="56DB75F5"/>
    <w:rsid w:val="576D3B51"/>
    <w:rsid w:val="579E445A"/>
    <w:rsid w:val="57BC2B32"/>
    <w:rsid w:val="57EA769F"/>
    <w:rsid w:val="57EE53E1"/>
    <w:rsid w:val="583D1EC5"/>
    <w:rsid w:val="585572BF"/>
    <w:rsid w:val="588A15E9"/>
    <w:rsid w:val="589815D8"/>
    <w:rsid w:val="590D1465"/>
    <w:rsid w:val="593072B5"/>
    <w:rsid w:val="59A31D4A"/>
    <w:rsid w:val="59C80D70"/>
    <w:rsid w:val="59EF3692"/>
    <w:rsid w:val="59FA7861"/>
    <w:rsid w:val="5A0B6C69"/>
    <w:rsid w:val="5A2E5F82"/>
    <w:rsid w:val="5A3D7F5A"/>
    <w:rsid w:val="5A447A9D"/>
    <w:rsid w:val="5A6A64B4"/>
    <w:rsid w:val="5A6F1348"/>
    <w:rsid w:val="5A9A4363"/>
    <w:rsid w:val="5ACD2218"/>
    <w:rsid w:val="5ADF1011"/>
    <w:rsid w:val="5B00092A"/>
    <w:rsid w:val="5B440121"/>
    <w:rsid w:val="5B484E08"/>
    <w:rsid w:val="5B621E02"/>
    <w:rsid w:val="5B8807AF"/>
    <w:rsid w:val="5B98218A"/>
    <w:rsid w:val="5B984CE7"/>
    <w:rsid w:val="5BA830B6"/>
    <w:rsid w:val="5C0053CB"/>
    <w:rsid w:val="5C58107B"/>
    <w:rsid w:val="5C86573F"/>
    <w:rsid w:val="5CA742BF"/>
    <w:rsid w:val="5D5B53D2"/>
    <w:rsid w:val="5D5D1185"/>
    <w:rsid w:val="5DC56548"/>
    <w:rsid w:val="5DE057CC"/>
    <w:rsid w:val="5E273BD8"/>
    <w:rsid w:val="5E31619D"/>
    <w:rsid w:val="5E485012"/>
    <w:rsid w:val="5E5D506F"/>
    <w:rsid w:val="5E7534E2"/>
    <w:rsid w:val="5EB731DD"/>
    <w:rsid w:val="5EB822A5"/>
    <w:rsid w:val="5EBE7169"/>
    <w:rsid w:val="5F033A7B"/>
    <w:rsid w:val="5F223BC2"/>
    <w:rsid w:val="5FB026CE"/>
    <w:rsid w:val="601C4AB5"/>
    <w:rsid w:val="6022353B"/>
    <w:rsid w:val="60383EEA"/>
    <w:rsid w:val="607C5F75"/>
    <w:rsid w:val="60D8536E"/>
    <w:rsid w:val="61194076"/>
    <w:rsid w:val="615F7B89"/>
    <w:rsid w:val="6184058B"/>
    <w:rsid w:val="619E1C26"/>
    <w:rsid w:val="61A43B2D"/>
    <w:rsid w:val="61CC498E"/>
    <w:rsid w:val="62590B73"/>
    <w:rsid w:val="625B18C5"/>
    <w:rsid w:val="626020BD"/>
    <w:rsid w:val="6267552A"/>
    <w:rsid w:val="63821D8B"/>
    <w:rsid w:val="63E63410"/>
    <w:rsid w:val="646A4353"/>
    <w:rsid w:val="649B4DA3"/>
    <w:rsid w:val="64A81E37"/>
    <w:rsid w:val="64CE1169"/>
    <w:rsid w:val="64E47257"/>
    <w:rsid w:val="6523687B"/>
    <w:rsid w:val="65AC15FD"/>
    <w:rsid w:val="65C22B9A"/>
    <w:rsid w:val="660B1854"/>
    <w:rsid w:val="661C3252"/>
    <w:rsid w:val="664F7382"/>
    <w:rsid w:val="666D606B"/>
    <w:rsid w:val="66920370"/>
    <w:rsid w:val="66B42007"/>
    <w:rsid w:val="672B7E8B"/>
    <w:rsid w:val="67BE4A3B"/>
    <w:rsid w:val="67E61C31"/>
    <w:rsid w:val="682B7F8C"/>
    <w:rsid w:val="684F7EAC"/>
    <w:rsid w:val="68633281"/>
    <w:rsid w:val="68AA7875"/>
    <w:rsid w:val="6920616B"/>
    <w:rsid w:val="69637A5D"/>
    <w:rsid w:val="699D5203"/>
    <w:rsid w:val="69C3213E"/>
    <w:rsid w:val="6A0C16F7"/>
    <w:rsid w:val="6A7774B8"/>
    <w:rsid w:val="6A7D43A3"/>
    <w:rsid w:val="6A8F135D"/>
    <w:rsid w:val="6A933BC6"/>
    <w:rsid w:val="6A976267"/>
    <w:rsid w:val="6AEE05C5"/>
    <w:rsid w:val="6B2A62D8"/>
    <w:rsid w:val="6B6C7905"/>
    <w:rsid w:val="6B8A6D77"/>
    <w:rsid w:val="6BA075DF"/>
    <w:rsid w:val="6CD24E7A"/>
    <w:rsid w:val="6CED1CB3"/>
    <w:rsid w:val="6CF1619C"/>
    <w:rsid w:val="6D156B14"/>
    <w:rsid w:val="6D3E33C7"/>
    <w:rsid w:val="6D793547"/>
    <w:rsid w:val="6E076DA5"/>
    <w:rsid w:val="6EDF1934"/>
    <w:rsid w:val="6EE95015"/>
    <w:rsid w:val="6EFD0702"/>
    <w:rsid w:val="6F1D4F19"/>
    <w:rsid w:val="6F8D5088"/>
    <w:rsid w:val="6F9439CA"/>
    <w:rsid w:val="6FAA5C3A"/>
    <w:rsid w:val="700250AE"/>
    <w:rsid w:val="70691651"/>
    <w:rsid w:val="70EA11CE"/>
    <w:rsid w:val="710C104B"/>
    <w:rsid w:val="7121319C"/>
    <w:rsid w:val="712D267F"/>
    <w:rsid w:val="71A9281F"/>
    <w:rsid w:val="71EF2E76"/>
    <w:rsid w:val="71F92EA9"/>
    <w:rsid w:val="72311E1B"/>
    <w:rsid w:val="72473C14"/>
    <w:rsid w:val="72600042"/>
    <w:rsid w:val="727D7636"/>
    <w:rsid w:val="728269FA"/>
    <w:rsid w:val="72A44ABA"/>
    <w:rsid w:val="74590C96"/>
    <w:rsid w:val="746126B9"/>
    <w:rsid w:val="747D1765"/>
    <w:rsid w:val="74BC20D2"/>
    <w:rsid w:val="74BE7A92"/>
    <w:rsid w:val="75A45E47"/>
    <w:rsid w:val="76EC2FDC"/>
    <w:rsid w:val="77244528"/>
    <w:rsid w:val="7731652E"/>
    <w:rsid w:val="7831514A"/>
    <w:rsid w:val="78DD3C87"/>
    <w:rsid w:val="7984307C"/>
    <w:rsid w:val="79A00D70"/>
    <w:rsid w:val="79C159B3"/>
    <w:rsid w:val="79EE18EC"/>
    <w:rsid w:val="7A0E2EB1"/>
    <w:rsid w:val="7A481C87"/>
    <w:rsid w:val="7A493743"/>
    <w:rsid w:val="7A810926"/>
    <w:rsid w:val="7AD77747"/>
    <w:rsid w:val="7B014C1E"/>
    <w:rsid w:val="7B061228"/>
    <w:rsid w:val="7B0A71E8"/>
    <w:rsid w:val="7B0D0A6A"/>
    <w:rsid w:val="7B427F3E"/>
    <w:rsid w:val="7B5400EF"/>
    <w:rsid w:val="7B5B210B"/>
    <w:rsid w:val="7BD93D5A"/>
    <w:rsid w:val="7BDC361F"/>
    <w:rsid w:val="7BEB5610"/>
    <w:rsid w:val="7C24584D"/>
    <w:rsid w:val="7C4E7B53"/>
    <w:rsid w:val="7C73113B"/>
    <w:rsid w:val="7CE45663"/>
    <w:rsid w:val="7CE575A8"/>
    <w:rsid w:val="7D104ED3"/>
    <w:rsid w:val="7D9341B1"/>
    <w:rsid w:val="7DD30A52"/>
    <w:rsid w:val="7E4E3CA3"/>
    <w:rsid w:val="7E6F2369"/>
    <w:rsid w:val="7E9F11E3"/>
    <w:rsid w:val="7E9F18DB"/>
    <w:rsid w:val="7EAD4DFF"/>
    <w:rsid w:val="7EB46E44"/>
    <w:rsid w:val="7F296CD5"/>
    <w:rsid w:val="7F402117"/>
    <w:rsid w:val="7F601E71"/>
    <w:rsid w:val="7F945CBC"/>
    <w:rsid w:val="DF96CB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2"/>
    <w:qFormat/>
    <w:uiPriority w:val="0"/>
    <w:pPr>
      <w:keepNext/>
      <w:keepLines/>
      <w:spacing w:before="240" w:after="240"/>
      <w:outlineLvl w:val="1"/>
    </w:pPr>
    <w:rPr>
      <w:rFonts w:ascii="Arial" w:hAnsi="Arial" w:eastAsia="黑体"/>
      <w:b/>
      <w:bCs/>
      <w:sz w:val="32"/>
      <w:szCs w:val="32"/>
    </w:rPr>
  </w:style>
  <w:style w:type="paragraph" w:styleId="4">
    <w:name w:val="heading 3"/>
    <w:basedOn w:val="1"/>
    <w:next w:val="1"/>
    <w:link w:val="71"/>
    <w:qFormat/>
    <w:uiPriority w:val="0"/>
    <w:pPr>
      <w:keepNext/>
      <w:keepLines/>
      <w:spacing w:before="120" w:after="120"/>
      <w:outlineLvl w:val="2"/>
    </w:pPr>
    <w:rPr>
      <w:b/>
      <w:bCs/>
      <w:sz w:val="24"/>
      <w:szCs w:val="32"/>
    </w:rPr>
  </w:style>
  <w:style w:type="paragraph" w:styleId="5">
    <w:name w:val="heading 4"/>
    <w:basedOn w:val="1"/>
    <w:next w:val="1"/>
    <w:link w:val="64"/>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65"/>
    <w:qFormat/>
    <w:uiPriority w:val="0"/>
    <w:pPr>
      <w:keepNext/>
      <w:keepLines/>
      <w:tabs>
        <w:tab w:val="left" w:pos="1008"/>
      </w:tabs>
      <w:spacing w:before="280" w:after="290" w:line="376" w:lineRule="auto"/>
      <w:ind w:left="1008" w:hanging="1008"/>
      <w:jc w:val="left"/>
      <w:outlineLvl w:val="4"/>
    </w:pPr>
    <w:rPr>
      <w:b/>
      <w:bCs/>
      <w:kern w:val="0"/>
      <w:sz w:val="28"/>
      <w:szCs w:val="28"/>
    </w:rPr>
  </w:style>
  <w:style w:type="paragraph" w:styleId="7">
    <w:name w:val="heading 6"/>
    <w:basedOn w:val="1"/>
    <w:next w:val="1"/>
    <w:link w:val="66"/>
    <w:qFormat/>
    <w:uiPriority w:val="0"/>
    <w:pPr>
      <w:keepNext/>
      <w:keepLines/>
      <w:tabs>
        <w:tab w:val="left" w:pos="1440"/>
      </w:tabs>
      <w:spacing w:before="240" w:after="64" w:line="320" w:lineRule="auto"/>
      <w:ind w:left="1152" w:hanging="1152"/>
      <w:jc w:val="left"/>
      <w:outlineLvl w:val="5"/>
    </w:pPr>
    <w:rPr>
      <w:rFonts w:ascii="Arial" w:hAnsi="Arial" w:eastAsia="黑体"/>
      <w:b/>
      <w:bCs/>
      <w:kern w:val="0"/>
      <w:sz w:val="24"/>
    </w:rPr>
  </w:style>
  <w:style w:type="paragraph" w:styleId="8">
    <w:name w:val="heading 7"/>
    <w:basedOn w:val="1"/>
    <w:next w:val="1"/>
    <w:link w:val="67"/>
    <w:qFormat/>
    <w:uiPriority w:val="0"/>
    <w:pPr>
      <w:keepNext/>
      <w:keepLines/>
      <w:tabs>
        <w:tab w:val="left" w:pos="2520"/>
      </w:tabs>
      <w:spacing w:before="240" w:after="64" w:line="320" w:lineRule="auto"/>
      <w:ind w:left="1296" w:hanging="1296"/>
      <w:jc w:val="left"/>
      <w:outlineLvl w:val="6"/>
    </w:pPr>
    <w:rPr>
      <w:b/>
      <w:bCs/>
      <w:kern w:val="0"/>
      <w:sz w:val="24"/>
    </w:rPr>
  </w:style>
  <w:style w:type="paragraph" w:styleId="9">
    <w:name w:val="heading 8"/>
    <w:basedOn w:val="1"/>
    <w:next w:val="1"/>
    <w:link w:val="68"/>
    <w:qFormat/>
    <w:uiPriority w:val="0"/>
    <w:pPr>
      <w:keepNext/>
      <w:keepLines/>
      <w:tabs>
        <w:tab w:val="left" w:pos="1440"/>
      </w:tabs>
      <w:spacing w:before="240" w:after="64" w:line="320" w:lineRule="auto"/>
      <w:ind w:left="1440" w:hanging="1440"/>
      <w:jc w:val="left"/>
      <w:outlineLvl w:val="7"/>
    </w:pPr>
    <w:rPr>
      <w:rFonts w:ascii="Arial" w:hAnsi="Arial" w:eastAsia="黑体"/>
      <w:kern w:val="0"/>
      <w:sz w:val="24"/>
    </w:rPr>
  </w:style>
  <w:style w:type="paragraph" w:styleId="10">
    <w:name w:val="heading 9"/>
    <w:basedOn w:val="1"/>
    <w:next w:val="1"/>
    <w:link w:val="69"/>
    <w:qFormat/>
    <w:uiPriority w:val="0"/>
    <w:pPr>
      <w:keepNext/>
      <w:keepLines/>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ind w:left="100" w:leftChars="400" w:hanging="200" w:hangingChars="200"/>
    </w:pPr>
  </w:style>
  <w:style w:type="paragraph" w:styleId="12">
    <w:name w:val="toc 7"/>
    <w:basedOn w:val="1"/>
    <w:next w:val="1"/>
    <w:unhideWhenUsed/>
    <w:qFormat/>
    <w:uiPriority w:val="39"/>
    <w:pPr>
      <w:widowControl w:val="0"/>
      <w:spacing w:line="240" w:lineRule="auto"/>
      <w:ind w:left="2520" w:leftChars="1200" w:firstLine="0" w:firstLineChars="0"/>
    </w:pPr>
    <w:rPr>
      <w:rFonts w:ascii="等线" w:hAnsi="等线" w:eastAsia="等线"/>
      <w:szCs w:val="22"/>
    </w:rPr>
  </w:style>
  <w:style w:type="paragraph" w:styleId="13">
    <w:name w:val="index 8"/>
    <w:basedOn w:val="1"/>
    <w:next w:val="1"/>
    <w:qFormat/>
    <w:uiPriority w:val="0"/>
    <w:pPr>
      <w:widowControl w:val="0"/>
      <w:autoSpaceDE w:val="0"/>
      <w:autoSpaceDN w:val="0"/>
      <w:ind w:left="2940"/>
    </w:pPr>
    <w:rPr>
      <w:rFonts w:ascii="宋体" w:hAnsi="宋体" w:cs="宋体"/>
      <w:sz w:val="22"/>
      <w:szCs w:val="22"/>
      <w:lang w:eastAsia="en-US"/>
    </w:rPr>
  </w:style>
  <w:style w:type="paragraph" w:styleId="14">
    <w:name w:val="Normal Indent"/>
    <w:basedOn w:val="1"/>
    <w:link w:val="72"/>
    <w:qFormat/>
    <w:uiPriority w:val="0"/>
  </w:style>
  <w:style w:type="paragraph" w:styleId="15">
    <w:name w:val="caption"/>
    <w:basedOn w:val="1"/>
    <w:next w:val="1"/>
    <w:qFormat/>
    <w:uiPriority w:val="0"/>
    <w:rPr>
      <w:rFonts w:ascii="Arial" w:hAnsi="Arial" w:eastAsia="黑体" w:cs="Arial"/>
      <w:sz w:val="20"/>
      <w:szCs w:val="20"/>
    </w:rPr>
  </w:style>
  <w:style w:type="paragraph" w:styleId="16">
    <w:name w:val="Document Map"/>
    <w:basedOn w:val="1"/>
    <w:link w:val="73"/>
    <w:qFormat/>
    <w:uiPriority w:val="99"/>
    <w:rPr>
      <w:rFonts w:ascii="宋体"/>
      <w:sz w:val="18"/>
      <w:szCs w:val="18"/>
    </w:rPr>
  </w:style>
  <w:style w:type="paragraph" w:styleId="17">
    <w:name w:val="toa heading"/>
    <w:basedOn w:val="1"/>
    <w:next w:val="1"/>
    <w:qFormat/>
    <w:uiPriority w:val="0"/>
    <w:pPr>
      <w:spacing w:before="120"/>
    </w:pPr>
    <w:rPr>
      <w:rFonts w:ascii="Arial" w:hAnsi="Arial"/>
      <w:b/>
      <w:bCs/>
    </w:rPr>
  </w:style>
  <w:style w:type="paragraph" w:styleId="18">
    <w:name w:val="annotation text"/>
    <w:basedOn w:val="1"/>
    <w:link w:val="74"/>
    <w:qFormat/>
    <w:uiPriority w:val="99"/>
    <w:pPr>
      <w:jc w:val="left"/>
    </w:pPr>
  </w:style>
  <w:style w:type="paragraph" w:styleId="19">
    <w:name w:val="Body Text 3"/>
    <w:basedOn w:val="1"/>
    <w:link w:val="75"/>
    <w:qFormat/>
    <w:uiPriority w:val="0"/>
    <w:rPr>
      <w:rFonts w:ascii="宋体"/>
      <w:sz w:val="24"/>
      <w:szCs w:val="20"/>
    </w:rPr>
  </w:style>
  <w:style w:type="paragraph" w:styleId="20">
    <w:name w:val="Body Text"/>
    <w:basedOn w:val="1"/>
    <w:link w:val="60"/>
    <w:qFormat/>
    <w:uiPriority w:val="1"/>
    <w:pPr>
      <w:spacing w:after="120"/>
    </w:pPr>
  </w:style>
  <w:style w:type="paragraph" w:styleId="21">
    <w:name w:val="Body Text Indent"/>
    <w:basedOn w:val="1"/>
    <w:link w:val="76"/>
    <w:qFormat/>
    <w:uiPriority w:val="99"/>
    <w:pPr>
      <w:spacing w:after="120"/>
      <w:ind w:left="420" w:leftChars="200"/>
    </w:pPr>
  </w:style>
  <w:style w:type="paragraph" w:styleId="22">
    <w:name w:val="List 2"/>
    <w:basedOn w:val="1"/>
    <w:qFormat/>
    <w:uiPriority w:val="0"/>
    <w:pPr>
      <w:ind w:left="100" w:leftChars="200" w:hanging="200" w:hangingChars="200"/>
    </w:pPr>
  </w:style>
  <w:style w:type="paragraph" w:styleId="23">
    <w:name w:val="List Bullet 2"/>
    <w:basedOn w:val="1"/>
    <w:qFormat/>
    <w:uiPriority w:val="0"/>
    <w:pPr>
      <w:tabs>
        <w:tab w:val="left" w:pos="780"/>
      </w:tabs>
      <w:ind w:left="840" w:hanging="420"/>
    </w:pPr>
  </w:style>
  <w:style w:type="paragraph" w:styleId="24">
    <w:name w:val="toc 5"/>
    <w:basedOn w:val="1"/>
    <w:next w:val="1"/>
    <w:unhideWhenUsed/>
    <w:qFormat/>
    <w:uiPriority w:val="39"/>
    <w:pPr>
      <w:widowControl w:val="0"/>
      <w:spacing w:line="240" w:lineRule="auto"/>
      <w:ind w:left="1680" w:leftChars="800" w:firstLine="0" w:firstLineChars="0"/>
    </w:pPr>
    <w:rPr>
      <w:rFonts w:ascii="等线" w:hAnsi="等线" w:eastAsia="等线"/>
      <w:szCs w:val="22"/>
    </w:rPr>
  </w:style>
  <w:style w:type="paragraph" w:styleId="25">
    <w:name w:val="toc 3"/>
    <w:basedOn w:val="1"/>
    <w:next w:val="1"/>
    <w:qFormat/>
    <w:uiPriority w:val="39"/>
    <w:pPr>
      <w:ind w:left="940"/>
      <w:jc w:val="left"/>
    </w:pPr>
    <w:rPr>
      <w:rFonts w:ascii="宋体" w:hAnsi="宋体"/>
      <w:kern w:val="0"/>
      <w:szCs w:val="21"/>
      <w:lang w:eastAsia="en-US"/>
    </w:rPr>
  </w:style>
  <w:style w:type="paragraph" w:styleId="26">
    <w:name w:val="Plain Text"/>
    <w:basedOn w:val="1"/>
    <w:next w:val="13"/>
    <w:link w:val="77"/>
    <w:qFormat/>
    <w:uiPriority w:val="0"/>
    <w:rPr>
      <w:rFonts w:ascii="宋体" w:hAnsi="Courier New"/>
      <w:szCs w:val="21"/>
    </w:rPr>
  </w:style>
  <w:style w:type="paragraph" w:styleId="27">
    <w:name w:val="toc 8"/>
    <w:basedOn w:val="1"/>
    <w:next w:val="1"/>
    <w:unhideWhenUsed/>
    <w:qFormat/>
    <w:uiPriority w:val="39"/>
    <w:pPr>
      <w:widowControl w:val="0"/>
      <w:spacing w:line="240" w:lineRule="auto"/>
      <w:ind w:left="2940" w:leftChars="1400" w:firstLine="0" w:firstLineChars="0"/>
    </w:pPr>
    <w:rPr>
      <w:rFonts w:ascii="等线" w:hAnsi="等线" w:eastAsia="等线"/>
      <w:szCs w:val="22"/>
    </w:rPr>
  </w:style>
  <w:style w:type="paragraph" w:styleId="28">
    <w:name w:val="Date"/>
    <w:basedOn w:val="1"/>
    <w:next w:val="1"/>
    <w:link w:val="78"/>
    <w:qFormat/>
    <w:uiPriority w:val="99"/>
    <w:rPr>
      <w:sz w:val="24"/>
      <w:szCs w:val="20"/>
    </w:rPr>
  </w:style>
  <w:style w:type="paragraph" w:styleId="29">
    <w:name w:val="Body Text Indent 2"/>
    <w:basedOn w:val="1"/>
    <w:link w:val="79"/>
    <w:qFormat/>
    <w:uiPriority w:val="0"/>
    <w:pPr>
      <w:ind w:firstLine="640"/>
    </w:pPr>
    <w:rPr>
      <w:rFonts w:eastAsia="仿宋_GB2312"/>
      <w:sz w:val="32"/>
    </w:rPr>
  </w:style>
  <w:style w:type="paragraph" w:styleId="30">
    <w:name w:val="endnote text"/>
    <w:basedOn w:val="1"/>
    <w:link w:val="80"/>
    <w:qFormat/>
    <w:uiPriority w:val="0"/>
    <w:pPr>
      <w:jc w:val="left"/>
    </w:pPr>
    <w:rPr>
      <w:rFonts w:ascii="Courier" w:hAnsi="Courier" w:eastAsia="PMingLiU"/>
      <w:snapToGrid w:val="0"/>
      <w:kern w:val="0"/>
      <w:sz w:val="24"/>
      <w:szCs w:val="20"/>
      <w:lang w:val="en-AU" w:eastAsia="en-US"/>
    </w:rPr>
  </w:style>
  <w:style w:type="paragraph" w:styleId="31">
    <w:name w:val="Balloon Text"/>
    <w:basedOn w:val="1"/>
    <w:link w:val="81"/>
    <w:qFormat/>
    <w:uiPriority w:val="99"/>
    <w:rPr>
      <w:sz w:val="18"/>
      <w:szCs w:val="18"/>
    </w:rPr>
  </w:style>
  <w:style w:type="paragraph" w:styleId="32">
    <w:name w:val="footer"/>
    <w:basedOn w:val="1"/>
    <w:link w:val="59"/>
    <w:unhideWhenUsed/>
    <w:qFormat/>
    <w:uiPriority w:val="99"/>
    <w:pPr>
      <w:tabs>
        <w:tab w:val="center" w:pos="4153"/>
        <w:tab w:val="right" w:pos="8306"/>
      </w:tabs>
      <w:snapToGrid w:val="0"/>
      <w:jc w:val="left"/>
    </w:pPr>
    <w:rPr>
      <w:sz w:val="18"/>
      <w:szCs w:val="18"/>
    </w:rPr>
  </w:style>
  <w:style w:type="paragraph" w:styleId="33">
    <w:name w:val="header"/>
    <w:basedOn w:val="1"/>
    <w:link w:val="58"/>
    <w:unhideWhenUsed/>
    <w:qFormat/>
    <w:uiPriority w:val="99"/>
    <w:pPr>
      <w:tabs>
        <w:tab w:val="center" w:pos="4153"/>
        <w:tab w:val="right" w:pos="8306"/>
      </w:tabs>
      <w:snapToGrid w:val="0"/>
      <w:jc w:val="center"/>
    </w:pPr>
    <w:rPr>
      <w:sz w:val="18"/>
      <w:szCs w:val="18"/>
    </w:rPr>
  </w:style>
  <w:style w:type="paragraph" w:styleId="34">
    <w:name w:val="toc 1"/>
    <w:basedOn w:val="1"/>
    <w:next w:val="1"/>
    <w:qFormat/>
    <w:uiPriority w:val="39"/>
    <w:pPr>
      <w:widowControl w:val="0"/>
      <w:kinsoku w:val="0"/>
      <w:overflowPunct w:val="0"/>
      <w:autoSpaceDE w:val="0"/>
      <w:autoSpaceDN w:val="0"/>
      <w:adjustRightInd w:val="0"/>
      <w:snapToGrid w:val="0"/>
      <w:ind w:firstLine="0" w:firstLineChars="0"/>
      <w:jc w:val="left"/>
    </w:pPr>
    <w:rPr>
      <w:rFonts w:ascii="宋体" w:hAnsi="宋体"/>
      <w:kern w:val="0"/>
      <w:szCs w:val="21"/>
      <w:lang w:eastAsia="en-US"/>
    </w:rPr>
  </w:style>
  <w:style w:type="paragraph" w:styleId="35">
    <w:name w:val="toc 4"/>
    <w:basedOn w:val="1"/>
    <w:next w:val="1"/>
    <w:unhideWhenUsed/>
    <w:qFormat/>
    <w:uiPriority w:val="39"/>
    <w:pPr>
      <w:widowControl w:val="0"/>
      <w:spacing w:line="240" w:lineRule="auto"/>
      <w:ind w:left="1260" w:leftChars="600" w:firstLine="0" w:firstLineChars="0"/>
    </w:pPr>
    <w:rPr>
      <w:rFonts w:ascii="等线" w:hAnsi="等线" w:eastAsia="等线"/>
      <w:szCs w:val="22"/>
    </w:rPr>
  </w:style>
  <w:style w:type="paragraph" w:styleId="36">
    <w:name w:val="index heading"/>
    <w:basedOn w:val="1"/>
    <w:next w:val="37"/>
    <w:qFormat/>
    <w:uiPriority w:val="0"/>
    <w:pPr>
      <w:spacing w:before="120" w:after="120"/>
      <w:jc w:val="left"/>
    </w:pPr>
    <w:rPr>
      <w:b/>
      <w:bCs/>
      <w:i/>
      <w:iCs/>
      <w:sz w:val="20"/>
      <w:szCs w:val="20"/>
    </w:rPr>
  </w:style>
  <w:style w:type="paragraph" w:styleId="37">
    <w:name w:val="index 1"/>
    <w:basedOn w:val="1"/>
    <w:next w:val="1"/>
    <w:autoRedefine/>
    <w:unhideWhenUsed/>
    <w:qFormat/>
    <w:uiPriority w:val="0"/>
    <w:pPr>
      <w:ind w:firstLine="0"/>
    </w:pPr>
  </w:style>
  <w:style w:type="paragraph" w:styleId="38">
    <w:name w:val="List"/>
    <w:basedOn w:val="1"/>
    <w:qFormat/>
    <w:uiPriority w:val="0"/>
    <w:pPr>
      <w:ind w:left="200" w:hanging="200" w:hangingChars="200"/>
    </w:pPr>
  </w:style>
  <w:style w:type="paragraph" w:styleId="39">
    <w:name w:val="footnote text"/>
    <w:basedOn w:val="1"/>
    <w:link w:val="83"/>
    <w:qFormat/>
    <w:uiPriority w:val="0"/>
    <w:pPr>
      <w:jc w:val="left"/>
    </w:pPr>
    <w:rPr>
      <w:rFonts w:ascii="Courier" w:hAnsi="Courier" w:eastAsia="PMingLiU"/>
      <w:snapToGrid w:val="0"/>
      <w:kern w:val="0"/>
      <w:sz w:val="24"/>
      <w:szCs w:val="20"/>
      <w:lang w:val="en-AU" w:eastAsia="en-US"/>
    </w:rPr>
  </w:style>
  <w:style w:type="paragraph" w:styleId="40">
    <w:name w:val="toc 6"/>
    <w:basedOn w:val="1"/>
    <w:next w:val="1"/>
    <w:unhideWhenUsed/>
    <w:qFormat/>
    <w:uiPriority w:val="39"/>
    <w:pPr>
      <w:widowControl w:val="0"/>
      <w:spacing w:line="240" w:lineRule="auto"/>
      <w:ind w:left="2100" w:leftChars="1000" w:firstLine="0" w:firstLineChars="0"/>
    </w:pPr>
    <w:rPr>
      <w:rFonts w:ascii="等线" w:hAnsi="等线" w:eastAsia="等线"/>
      <w:szCs w:val="22"/>
    </w:rPr>
  </w:style>
  <w:style w:type="paragraph" w:styleId="41">
    <w:name w:val="List 5"/>
    <w:basedOn w:val="1"/>
    <w:qFormat/>
    <w:uiPriority w:val="0"/>
    <w:pPr>
      <w:ind w:left="100" w:leftChars="800" w:hanging="200" w:hangingChars="200"/>
    </w:pPr>
  </w:style>
  <w:style w:type="paragraph" w:styleId="42">
    <w:name w:val="Body Text Indent 3"/>
    <w:basedOn w:val="1"/>
    <w:link w:val="84"/>
    <w:qFormat/>
    <w:uiPriority w:val="0"/>
    <w:pPr>
      <w:spacing w:after="120"/>
      <w:ind w:left="420" w:leftChars="200"/>
    </w:pPr>
    <w:rPr>
      <w:sz w:val="16"/>
      <w:szCs w:val="16"/>
    </w:rPr>
  </w:style>
  <w:style w:type="paragraph" w:styleId="43">
    <w:name w:val="toc 2"/>
    <w:basedOn w:val="1"/>
    <w:next w:val="1"/>
    <w:qFormat/>
    <w:uiPriority w:val="39"/>
    <w:pPr>
      <w:widowControl w:val="0"/>
      <w:kinsoku w:val="0"/>
      <w:overflowPunct w:val="0"/>
      <w:autoSpaceDE w:val="0"/>
      <w:autoSpaceDN w:val="0"/>
      <w:adjustRightInd w:val="0"/>
      <w:snapToGrid w:val="0"/>
      <w:jc w:val="left"/>
    </w:pPr>
    <w:rPr>
      <w:rFonts w:ascii="宋体" w:hAnsi="宋体"/>
      <w:kern w:val="0"/>
      <w:szCs w:val="21"/>
      <w:lang w:eastAsia="en-US"/>
    </w:rPr>
  </w:style>
  <w:style w:type="paragraph" w:styleId="44">
    <w:name w:val="toc 9"/>
    <w:basedOn w:val="1"/>
    <w:next w:val="1"/>
    <w:unhideWhenUsed/>
    <w:qFormat/>
    <w:uiPriority w:val="39"/>
    <w:pPr>
      <w:widowControl w:val="0"/>
      <w:spacing w:line="240" w:lineRule="auto"/>
      <w:ind w:left="3360" w:leftChars="1600" w:firstLine="0" w:firstLineChars="0"/>
    </w:pPr>
    <w:rPr>
      <w:rFonts w:ascii="等线" w:hAnsi="等线" w:eastAsia="等线"/>
      <w:szCs w:val="22"/>
    </w:rPr>
  </w:style>
  <w:style w:type="paragraph" w:styleId="45">
    <w:name w:val="Body Text 2"/>
    <w:basedOn w:val="1"/>
    <w:link w:val="85"/>
    <w:qFormat/>
    <w:uiPriority w:val="0"/>
    <w:pPr>
      <w:jc w:val="left"/>
    </w:pPr>
    <w:rPr>
      <w:rFonts w:ascii="楷体_GB2312" w:hAnsi="宋体" w:eastAsia="楷体_GB2312"/>
      <w:color w:val="000000"/>
      <w:kern w:val="0"/>
      <w:szCs w:val="21"/>
    </w:rPr>
  </w:style>
  <w:style w:type="paragraph" w:styleId="46">
    <w:name w:val="List 4"/>
    <w:basedOn w:val="1"/>
    <w:qFormat/>
    <w:uiPriority w:val="0"/>
    <w:pPr>
      <w:ind w:left="100" w:leftChars="600" w:hanging="200" w:hangingChars="200"/>
    </w:pPr>
  </w:style>
  <w:style w:type="paragraph" w:styleId="47">
    <w:name w:val="Normal (Web)"/>
    <w:basedOn w:val="1"/>
    <w:qFormat/>
    <w:uiPriority w:val="99"/>
    <w:pPr>
      <w:spacing w:before="100" w:beforeAutospacing="1" w:after="100" w:afterAutospacing="1" w:line="283" w:lineRule="atLeast"/>
      <w:jc w:val="left"/>
    </w:pPr>
    <w:rPr>
      <w:rFonts w:ascii="宋体" w:hAnsi="宋体"/>
      <w:color w:val="000000"/>
      <w:kern w:val="0"/>
      <w:sz w:val="19"/>
      <w:szCs w:val="19"/>
    </w:rPr>
  </w:style>
  <w:style w:type="paragraph" w:styleId="48">
    <w:name w:val="Title"/>
    <w:basedOn w:val="1"/>
    <w:link w:val="86"/>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9">
    <w:name w:val="annotation subject"/>
    <w:basedOn w:val="18"/>
    <w:next w:val="18"/>
    <w:link w:val="87"/>
    <w:qFormat/>
    <w:uiPriority w:val="99"/>
  </w:style>
  <w:style w:type="table" w:styleId="51">
    <w:name w:val="Table Grid"/>
    <w:basedOn w:val="50"/>
    <w:qFormat/>
    <w:uiPriority w:val="0"/>
    <w:pPr>
      <w:ind w:left="840" w:hanging="420"/>
      <w:jc w:val="both"/>
    </w:pPr>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3">
    <w:name w:val="Strong"/>
    <w:qFormat/>
    <w:uiPriority w:val="22"/>
    <w:rPr>
      <w:b/>
      <w:bCs/>
    </w:rPr>
  </w:style>
  <w:style w:type="character" w:styleId="54">
    <w:name w:val="page number"/>
    <w:qFormat/>
    <w:uiPriority w:val="0"/>
  </w:style>
  <w:style w:type="character" w:styleId="55">
    <w:name w:val="Emphasis"/>
    <w:qFormat/>
    <w:uiPriority w:val="20"/>
    <w:rPr>
      <w:color w:val="CC0000"/>
    </w:rPr>
  </w:style>
  <w:style w:type="character" w:styleId="56">
    <w:name w:val="Hyperlink"/>
    <w:qFormat/>
    <w:uiPriority w:val="99"/>
    <w:rPr>
      <w:color w:val="0000FF"/>
      <w:u w:val="single"/>
    </w:rPr>
  </w:style>
  <w:style w:type="character" w:styleId="57">
    <w:name w:val="annotation reference"/>
    <w:qFormat/>
    <w:uiPriority w:val="99"/>
    <w:rPr>
      <w:sz w:val="21"/>
      <w:szCs w:val="21"/>
    </w:rPr>
  </w:style>
  <w:style w:type="character" w:customStyle="1" w:styleId="58">
    <w:name w:val="页眉 字符"/>
    <w:basedOn w:val="52"/>
    <w:link w:val="33"/>
    <w:qFormat/>
    <w:uiPriority w:val="99"/>
    <w:rPr>
      <w:sz w:val="18"/>
      <w:szCs w:val="18"/>
    </w:rPr>
  </w:style>
  <w:style w:type="character" w:customStyle="1" w:styleId="59">
    <w:name w:val="页脚 字符"/>
    <w:basedOn w:val="52"/>
    <w:link w:val="32"/>
    <w:qFormat/>
    <w:uiPriority w:val="99"/>
    <w:rPr>
      <w:sz w:val="18"/>
      <w:szCs w:val="18"/>
    </w:rPr>
  </w:style>
  <w:style w:type="character" w:customStyle="1" w:styleId="60">
    <w:name w:val="正文文本 字符"/>
    <w:basedOn w:val="52"/>
    <w:link w:val="20"/>
    <w:qFormat/>
    <w:uiPriority w:val="1"/>
    <w:rPr>
      <w:rFonts w:ascii="Times New Roman" w:hAnsi="Times New Roman" w:eastAsia="宋体" w:cs="Times New Roman"/>
      <w:szCs w:val="24"/>
      <w14:ligatures w14:val="none"/>
    </w:rPr>
  </w:style>
  <w:style w:type="character" w:customStyle="1" w:styleId="61">
    <w:name w:val="标题 1 字符"/>
    <w:basedOn w:val="52"/>
    <w:qFormat/>
    <w:uiPriority w:val="0"/>
    <w:rPr>
      <w:rFonts w:ascii="Times New Roman" w:hAnsi="Times New Roman" w:eastAsia="宋体" w:cs="Times New Roman"/>
      <w:b/>
      <w:bCs/>
      <w:kern w:val="44"/>
      <w:sz w:val="44"/>
      <w:szCs w:val="44"/>
      <w14:ligatures w14:val="none"/>
    </w:rPr>
  </w:style>
  <w:style w:type="character" w:customStyle="1" w:styleId="62">
    <w:name w:val="标题 2 字符"/>
    <w:basedOn w:val="52"/>
    <w:link w:val="3"/>
    <w:qFormat/>
    <w:uiPriority w:val="0"/>
    <w:rPr>
      <w:rFonts w:ascii="Arial" w:hAnsi="Arial" w:eastAsia="黑体" w:cs="Times New Roman"/>
      <w:b/>
      <w:bCs/>
      <w:sz w:val="32"/>
      <w:szCs w:val="32"/>
      <w14:ligatures w14:val="none"/>
    </w:rPr>
  </w:style>
  <w:style w:type="character" w:customStyle="1" w:styleId="63">
    <w:name w:val="标题 3 字符"/>
    <w:basedOn w:val="52"/>
    <w:qFormat/>
    <w:uiPriority w:val="0"/>
    <w:rPr>
      <w:rFonts w:ascii="Times New Roman" w:hAnsi="Times New Roman" w:eastAsia="宋体" w:cs="Times New Roman"/>
      <w:b/>
      <w:bCs/>
      <w:sz w:val="32"/>
      <w:szCs w:val="32"/>
      <w14:ligatures w14:val="none"/>
    </w:rPr>
  </w:style>
  <w:style w:type="character" w:customStyle="1" w:styleId="64">
    <w:name w:val="标题 4 字符"/>
    <w:basedOn w:val="52"/>
    <w:link w:val="5"/>
    <w:qFormat/>
    <w:uiPriority w:val="0"/>
    <w:rPr>
      <w:rFonts w:ascii="Arial" w:hAnsi="Arial" w:eastAsia="黑体" w:cs="Times New Roman"/>
      <w:b/>
      <w:bCs/>
      <w:sz w:val="28"/>
      <w:szCs w:val="28"/>
      <w14:ligatures w14:val="none"/>
    </w:rPr>
  </w:style>
  <w:style w:type="character" w:customStyle="1" w:styleId="65">
    <w:name w:val="标题 5 字符"/>
    <w:basedOn w:val="52"/>
    <w:link w:val="6"/>
    <w:qFormat/>
    <w:uiPriority w:val="0"/>
    <w:rPr>
      <w:rFonts w:ascii="Times New Roman" w:hAnsi="Times New Roman" w:eastAsia="宋体" w:cs="Times New Roman"/>
      <w:b/>
      <w:bCs/>
      <w:kern w:val="0"/>
      <w:sz w:val="28"/>
      <w:szCs w:val="28"/>
      <w14:ligatures w14:val="none"/>
    </w:rPr>
  </w:style>
  <w:style w:type="character" w:customStyle="1" w:styleId="66">
    <w:name w:val="标题 6 字符"/>
    <w:basedOn w:val="52"/>
    <w:link w:val="7"/>
    <w:qFormat/>
    <w:uiPriority w:val="0"/>
    <w:rPr>
      <w:rFonts w:ascii="Arial" w:hAnsi="Arial" w:eastAsia="黑体" w:cs="Times New Roman"/>
      <w:b/>
      <w:bCs/>
      <w:kern w:val="0"/>
      <w:sz w:val="24"/>
      <w:szCs w:val="24"/>
      <w14:ligatures w14:val="none"/>
    </w:rPr>
  </w:style>
  <w:style w:type="character" w:customStyle="1" w:styleId="67">
    <w:name w:val="标题 7 字符"/>
    <w:basedOn w:val="52"/>
    <w:link w:val="8"/>
    <w:qFormat/>
    <w:uiPriority w:val="0"/>
    <w:rPr>
      <w:rFonts w:ascii="Times New Roman" w:hAnsi="Times New Roman" w:eastAsia="宋体" w:cs="Times New Roman"/>
      <w:b/>
      <w:bCs/>
      <w:kern w:val="0"/>
      <w:sz w:val="24"/>
      <w:szCs w:val="24"/>
      <w14:ligatures w14:val="none"/>
    </w:rPr>
  </w:style>
  <w:style w:type="character" w:customStyle="1" w:styleId="68">
    <w:name w:val="标题 8 字符"/>
    <w:basedOn w:val="52"/>
    <w:link w:val="9"/>
    <w:qFormat/>
    <w:uiPriority w:val="0"/>
    <w:rPr>
      <w:rFonts w:ascii="Arial" w:hAnsi="Arial" w:eastAsia="黑体" w:cs="Times New Roman"/>
      <w:kern w:val="0"/>
      <w:sz w:val="24"/>
      <w:szCs w:val="24"/>
      <w14:ligatures w14:val="none"/>
    </w:rPr>
  </w:style>
  <w:style w:type="character" w:customStyle="1" w:styleId="69">
    <w:name w:val="标题 9 字符"/>
    <w:basedOn w:val="52"/>
    <w:link w:val="10"/>
    <w:qFormat/>
    <w:uiPriority w:val="0"/>
    <w:rPr>
      <w:rFonts w:ascii="Arial" w:hAnsi="Arial" w:eastAsia="黑体" w:cs="Times New Roman"/>
      <w:kern w:val="0"/>
      <w:szCs w:val="21"/>
      <w14:ligatures w14:val="none"/>
    </w:rPr>
  </w:style>
  <w:style w:type="character" w:customStyle="1" w:styleId="70">
    <w:name w:val="标题 1 字符1"/>
    <w:link w:val="2"/>
    <w:qFormat/>
    <w:uiPriority w:val="0"/>
    <w:rPr>
      <w:rFonts w:ascii="Times New Roman" w:hAnsi="Times New Roman" w:eastAsia="宋体" w:cs="Times New Roman"/>
      <w:b/>
      <w:bCs/>
      <w:kern w:val="44"/>
      <w:sz w:val="44"/>
      <w:szCs w:val="44"/>
      <w14:ligatures w14:val="none"/>
    </w:rPr>
  </w:style>
  <w:style w:type="character" w:customStyle="1" w:styleId="71">
    <w:name w:val="标题 3 字符1"/>
    <w:link w:val="4"/>
    <w:qFormat/>
    <w:uiPriority w:val="0"/>
    <w:rPr>
      <w:rFonts w:ascii="Times New Roman" w:hAnsi="Times New Roman" w:eastAsia="宋体" w:cs="Times New Roman"/>
      <w:b/>
      <w:bCs/>
      <w:sz w:val="24"/>
      <w:szCs w:val="32"/>
      <w14:ligatures w14:val="none"/>
    </w:rPr>
  </w:style>
  <w:style w:type="character" w:customStyle="1" w:styleId="72">
    <w:name w:val="正文缩进 字符"/>
    <w:link w:val="14"/>
    <w:qFormat/>
    <w:uiPriority w:val="0"/>
    <w:rPr>
      <w:rFonts w:ascii="Times New Roman" w:hAnsi="Times New Roman" w:eastAsia="宋体" w:cs="Times New Roman"/>
      <w:szCs w:val="24"/>
      <w14:ligatures w14:val="none"/>
    </w:rPr>
  </w:style>
  <w:style w:type="character" w:customStyle="1" w:styleId="73">
    <w:name w:val="文档结构图 字符"/>
    <w:basedOn w:val="52"/>
    <w:link w:val="16"/>
    <w:qFormat/>
    <w:uiPriority w:val="99"/>
    <w:rPr>
      <w:rFonts w:ascii="宋体" w:hAnsi="Times New Roman" w:eastAsia="宋体" w:cs="Times New Roman"/>
      <w:sz w:val="18"/>
      <w:szCs w:val="18"/>
      <w14:ligatures w14:val="none"/>
    </w:rPr>
  </w:style>
  <w:style w:type="character" w:customStyle="1" w:styleId="74">
    <w:name w:val="批注文字 字符"/>
    <w:basedOn w:val="52"/>
    <w:link w:val="18"/>
    <w:qFormat/>
    <w:uiPriority w:val="99"/>
    <w:rPr>
      <w:rFonts w:ascii="Times New Roman" w:hAnsi="Times New Roman" w:eastAsia="宋体" w:cs="Times New Roman"/>
      <w:szCs w:val="24"/>
      <w14:ligatures w14:val="none"/>
    </w:rPr>
  </w:style>
  <w:style w:type="character" w:customStyle="1" w:styleId="75">
    <w:name w:val="正文文本 3 字符"/>
    <w:basedOn w:val="52"/>
    <w:link w:val="19"/>
    <w:qFormat/>
    <w:uiPriority w:val="0"/>
    <w:rPr>
      <w:rFonts w:ascii="宋体" w:hAnsi="Times New Roman" w:eastAsia="宋体" w:cs="Times New Roman"/>
      <w:sz w:val="24"/>
      <w:szCs w:val="20"/>
      <w14:ligatures w14:val="none"/>
    </w:rPr>
  </w:style>
  <w:style w:type="character" w:customStyle="1" w:styleId="76">
    <w:name w:val="正文文本缩进 字符"/>
    <w:basedOn w:val="52"/>
    <w:link w:val="21"/>
    <w:qFormat/>
    <w:uiPriority w:val="99"/>
    <w:rPr>
      <w:rFonts w:ascii="Times New Roman" w:hAnsi="Times New Roman" w:eastAsia="宋体" w:cs="Times New Roman"/>
      <w:szCs w:val="24"/>
      <w14:ligatures w14:val="none"/>
    </w:rPr>
  </w:style>
  <w:style w:type="character" w:customStyle="1" w:styleId="77">
    <w:name w:val="纯文本 字符"/>
    <w:basedOn w:val="52"/>
    <w:link w:val="26"/>
    <w:qFormat/>
    <w:uiPriority w:val="0"/>
    <w:rPr>
      <w:rFonts w:ascii="宋体" w:hAnsi="Courier New" w:eastAsia="宋体" w:cs="Times New Roman"/>
      <w:szCs w:val="21"/>
      <w14:ligatures w14:val="none"/>
    </w:rPr>
  </w:style>
  <w:style w:type="character" w:customStyle="1" w:styleId="78">
    <w:name w:val="日期 字符"/>
    <w:basedOn w:val="52"/>
    <w:link w:val="28"/>
    <w:qFormat/>
    <w:uiPriority w:val="99"/>
    <w:rPr>
      <w:rFonts w:ascii="Times New Roman" w:hAnsi="Times New Roman" w:eastAsia="宋体" w:cs="Times New Roman"/>
      <w:sz w:val="24"/>
      <w:szCs w:val="20"/>
      <w14:ligatures w14:val="none"/>
    </w:rPr>
  </w:style>
  <w:style w:type="character" w:customStyle="1" w:styleId="79">
    <w:name w:val="正文文本缩进 2 字符"/>
    <w:basedOn w:val="52"/>
    <w:link w:val="29"/>
    <w:qFormat/>
    <w:uiPriority w:val="0"/>
    <w:rPr>
      <w:rFonts w:ascii="Times New Roman" w:hAnsi="Times New Roman" w:eastAsia="仿宋_GB2312" w:cs="Times New Roman"/>
      <w:sz w:val="32"/>
      <w:szCs w:val="24"/>
      <w14:ligatures w14:val="none"/>
    </w:rPr>
  </w:style>
  <w:style w:type="character" w:customStyle="1" w:styleId="80">
    <w:name w:val="尾注文本 字符"/>
    <w:basedOn w:val="52"/>
    <w:link w:val="30"/>
    <w:qFormat/>
    <w:uiPriority w:val="0"/>
    <w:rPr>
      <w:rFonts w:ascii="Courier" w:hAnsi="Courier" w:eastAsia="PMingLiU" w:cs="Times New Roman"/>
      <w:snapToGrid w:val="0"/>
      <w:kern w:val="0"/>
      <w:sz w:val="24"/>
      <w:szCs w:val="20"/>
      <w:lang w:val="en-AU" w:eastAsia="en-US"/>
      <w14:ligatures w14:val="none"/>
    </w:rPr>
  </w:style>
  <w:style w:type="character" w:customStyle="1" w:styleId="81">
    <w:name w:val="批注框文本 字符"/>
    <w:basedOn w:val="52"/>
    <w:link w:val="31"/>
    <w:qFormat/>
    <w:uiPriority w:val="99"/>
    <w:rPr>
      <w:rFonts w:ascii="Times New Roman" w:hAnsi="Times New Roman" w:eastAsia="宋体" w:cs="Times New Roman"/>
      <w:sz w:val="18"/>
      <w:szCs w:val="18"/>
      <w14:ligatures w14:val="none"/>
    </w:rPr>
  </w:style>
  <w:style w:type="character" w:customStyle="1" w:styleId="82">
    <w:name w:val="页脚 字符1"/>
    <w:qFormat/>
    <w:uiPriority w:val="99"/>
    <w:rPr>
      <w:kern w:val="2"/>
      <w:sz w:val="18"/>
      <w:szCs w:val="18"/>
    </w:rPr>
  </w:style>
  <w:style w:type="character" w:customStyle="1" w:styleId="83">
    <w:name w:val="脚注文本 字符"/>
    <w:basedOn w:val="52"/>
    <w:link w:val="39"/>
    <w:qFormat/>
    <w:uiPriority w:val="0"/>
    <w:rPr>
      <w:rFonts w:ascii="Courier" w:hAnsi="Courier" w:eastAsia="PMingLiU" w:cs="Times New Roman"/>
      <w:snapToGrid w:val="0"/>
      <w:kern w:val="0"/>
      <w:sz w:val="24"/>
      <w:szCs w:val="20"/>
      <w:lang w:val="en-AU" w:eastAsia="en-US"/>
      <w14:ligatures w14:val="none"/>
    </w:rPr>
  </w:style>
  <w:style w:type="character" w:customStyle="1" w:styleId="84">
    <w:name w:val="正文文本缩进 3 字符"/>
    <w:basedOn w:val="52"/>
    <w:link w:val="42"/>
    <w:qFormat/>
    <w:uiPriority w:val="0"/>
    <w:rPr>
      <w:rFonts w:ascii="Times New Roman" w:hAnsi="Times New Roman" w:eastAsia="宋体" w:cs="Times New Roman"/>
      <w:sz w:val="16"/>
      <w:szCs w:val="16"/>
      <w14:ligatures w14:val="none"/>
    </w:rPr>
  </w:style>
  <w:style w:type="character" w:customStyle="1" w:styleId="85">
    <w:name w:val="正文文本 2 字符"/>
    <w:basedOn w:val="52"/>
    <w:link w:val="45"/>
    <w:qFormat/>
    <w:uiPriority w:val="0"/>
    <w:rPr>
      <w:rFonts w:ascii="楷体_GB2312" w:hAnsi="宋体" w:eastAsia="楷体_GB2312" w:cs="Times New Roman"/>
      <w:color w:val="000000"/>
      <w:kern w:val="0"/>
      <w:szCs w:val="21"/>
      <w14:ligatures w14:val="none"/>
    </w:rPr>
  </w:style>
  <w:style w:type="character" w:customStyle="1" w:styleId="86">
    <w:name w:val="标题 字符"/>
    <w:basedOn w:val="52"/>
    <w:link w:val="48"/>
    <w:qFormat/>
    <w:uiPriority w:val="0"/>
    <w:rPr>
      <w:rFonts w:ascii="Arial" w:hAnsi="Arial" w:eastAsia="宋体" w:cs="Times New Roman"/>
      <w:b/>
      <w:kern w:val="0"/>
      <w:sz w:val="32"/>
      <w:szCs w:val="20"/>
      <w14:ligatures w14:val="none"/>
    </w:rPr>
  </w:style>
  <w:style w:type="character" w:customStyle="1" w:styleId="87">
    <w:name w:val="批注主题 字符"/>
    <w:basedOn w:val="74"/>
    <w:link w:val="49"/>
    <w:qFormat/>
    <w:uiPriority w:val="99"/>
    <w:rPr>
      <w:rFonts w:ascii="Times New Roman" w:hAnsi="Times New Roman" w:eastAsia="宋体" w:cs="Times New Roman"/>
      <w:szCs w:val="24"/>
      <w14:ligatures w14:val="none"/>
    </w:rPr>
  </w:style>
  <w:style w:type="character" w:customStyle="1" w:styleId="88">
    <w:name w:val="Char Char17"/>
    <w:qFormat/>
    <w:uiPriority w:val="0"/>
    <w:rPr>
      <w:rFonts w:ascii="Arial" w:hAnsi="Arial" w:eastAsia="黑体"/>
      <w:b/>
      <w:bCs/>
      <w:sz w:val="28"/>
      <w:szCs w:val="28"/>
      <w:lang w:val="en-US" w:eastAsia="zh-CN" w:bidi="ar-SA"/>
    </w:rPr>
  </w:style>
  <w:style w:type="character" w:customStyle="1" w:styleId="89">
    <w:name w:val="正文缩进 Char1"/>
    <w:qFormat/>
    <w:uiPriority w:val="0"/>
    <w:rPr>
      <w:kern w:val="2"/>
      <w:sz w:val="21"/>
    </w:rPr>
  </w:style>
  <w:style w:type="character" w:customStyle="1" w:styleId="90">
    <w:name w:val="正文首行缩进 2 Char1"/>
    <w:semiHidden/>
    <w:qFormat/>
    <w:uiPriority w:val="99"/>
    <w:rPr>
      <w:kern w:val="2"/>
      <w:sz w:val="21"/>
      <w:szCs w:val="24"/>
    </w:rPr>
  </w:style>
  <w:style w:type="character" w:customStyle="1" w:styleId="91">
    <w:name w:val="应答文本 Char Char"/>
    <w:link w:val="92"/>
    <w:qFormat/>
    <w:uiPriority w:val="0"/>
    <w:rPr>
      <w:szCs w:val="21"/>
    </w:rPr>
  </w:style>
  <w:style w:type="paragraph" w:customStyle="1" w:styleId="92">
    <w:name w:val="应答文本"/>
    <w:basedOn w:val="1"/>
    <w:link w:val="91"/>
    <w:qFormat/>
    <w:uiPriority w:val="0"/>
    <w:pPr>
      <w:adjustRightInd w:val="0"/>
      <w:snapToGrid w:val="0"/>
      <w:spacing w:afterLines="50"/>
      <w:ind w:left="200" w:leftChars="200"/>
    </w:pPr>
    <w:rPr>
      <w:rFonts w:asciiTheme="minorHAnsi" w:hAnsiTheme="minorHAnsi" w:eastAsiaTheme="minorEastAsia" w:cstheme="minorBidi"/>
      <w:szCs w:val="21"/>
      <w14:ligatures w14:val="standardContextual"/>
    </w:rPr>
  </w:style>
  <w:style w:type="character" w:customStyle="1" w:styleId="93">
    <w:name w:val="Char Char1"/>
    <w:qFormat/>
    <w:uiPriority w:val="0"/>
    <w:rPr>
      <w:rFonts w:eastAsia="宋体"/>
      <w:szCs w:val="24"/>
      <w:lang w:bidi="ar-SA"/>
    </w:rPr>
  </w:style>
  <w:style w:type="character" w:customStyle="1" w:styleId="94">
    <w:name w:val="批注文字 Char1"/>
    <w:semiHidden/>
    <w:qFormat/>
    <w:locked/>
    <w:uiPriority w:val="0"/>
    <w:rPr>
      <w:kern w:val="2"/>
      <w:sz w:val="21"/>
      <w:szCs w:val="24"/>
    </w:rPr>
  </w:style>
  <w:style w:type="character" w:customStyle="1" w:styleId="95">
    <w:name w:val="未处理的提及1"/>
    <w:unhideWhenUsed/>
    <w:qFormat/>
    <w:uiPriority w:val="99"/>
    <w:rPr>
      <w:color w:val="605E5C"/>
      <w:shd w:val="clear" w:color="auto" w:fill="E1DFDD"/>
    </w:rPr>
  </w:style>
  <w:style w:type="character" w:customStyle="1" w:styleId="96">
    <w:name w:val="明显参考1"/>
    <w:qFormat/>
    <w:uiPriority w:val="32"/>
    <w:rPr>
      <w:b/>
      <w:bCs/>
      <w:smallCaps/>
      <w:color w:val="C0504D"/>
      <w:spacing w:val="5"/>
      <w:u w:val="single"/>
    </w:rPr>
  </w:style>
  <w:style w:type="character" w:customStyle="1" w:styleId="97">
    <w:name w:val="标题 4 + 宋体 小四 Char Char Char Char Char Char Char Char Char Char Char Char Char1 Char Char Char Char"/>
    <w:qFormat/>
    <w:uiPriority w:val="0"/>
    <w:rPr>
      <w:rFonts w:ascii="宋体" w:hAnsi="宋体" w:eastAsia="宋体"/>
      <w:b/>
      <w:bCs/>
      <w:spacing w:val="4"/>
      <w:kern w:val="2"/>
      <w:sz w:val="24"/>
      <w:szCs w:val="32"/>
      <w:lang w:val="en-US" w:eastAsia="zh-CN" w:bidi="ar-SA"/>
    </w:rPr>
  </w:style>
  <w:style w:type="character" w:customStyle="1" w:styleId="98">
    <w:name w:val="标题 Char1"/>
    <w:qFormat/>
    <w:uiPriority w:val="10"/>
    <w:rPr>
      <w:rFonts w:ascii="Cambria" w:hAnsi="Cambria" w:eastAsia="宋体" w:cs="Times New Roman"/>
      <w:b/>
      <w:bCs/>
      <w:kern w:val="0"/>
      <w:sz w:val="32"/>
      <w:szCs w:val="32"/>
    </w:rPr>
  </w:style>
  <w:style w:type="character" w:customStyle="1" w:styleId="99">
    <w:name w:val="正文文字 Char"/>
    <w:qFormat/>
    <w:uiPriority w:val="0"/>
    <w:rPr>
      <w:rFonts w:ascii="宋体" w:eastAsia="宋体"/>
      <w:snapToGrid w:val="0"/>
      <w:color w:val="000000"/>
      <w:sz w:val="28"/>
      <w:lang w:val="en-US" w:eastAsia="zh-CN" w:bidi="ar-SA"/>
    </w:rPr>
  </w:style>
  <w:style w:type="character" w:customStyle="1" w:styleId="100">
    <w:name w:val="表格 Char Char"/>
    <w:link w:val="101"/>
    <w:qFormat/>
    <w:uiPriority w:val="0"/>
    <w:rPr>
      <w:rFonts w:ascii="宋体" w:hAnsi="宋体"/>
      <w:szCs w:val="28"/>
    </w:rPr>
  </w:style>
  <w:style w:type="paragraph" w:customStyle="1" w:styleId="101">
    <w:name w:val="表格 Char"/>
    <w:basedOn w:val="1"/>
    <w:link w:val="100"/>
    <w:qFormat/>
    <w:uiPriority w:val="0"/>
    <w:pPr>
      <w:spacing w:before="100" w:beforeAutospacing="1" w:after="100" w:afterAutospacing="1"/>
      <w:jc w:val="center"/>
    </w:pPr>
    <w:rPr>
      <w:rFonts w:ascii="宋体" w:hAnsi="宋体" w:eastAsiaTheme="minorEastAsia" w:cstheme="minorBidi"/>
      <w:szCs w:val="28"/>
      <w14:ligatures w14:val="standardContextual"/>
    </w:rPr>
  </w:style>
  <w:style w:type="character" w:customStyle="1" w:styleId="102">
    <w:name w:val="正文文本 3 Char1"/>
    <w:semiHidden/>
    <w:qFormat/>
    <w:uiPriority w:val="99"/>
    <w:rPr>
      <w:rFonts w:ascii="Times New Roman" w:hAnsi="Times New Roman" w:eastAsia="宋体" w:cs="Times New Roman"/>
      <w:kern w:val="0"/>
      <w:sz w:val="16"/>
      <w:szCs w:val="16"/>
    </w:rPr>
  </w:style>
  <w:style w:type="character" w:customStyle="1" w:styleId="103">
    <w:name w:val="Report Text Char"/>
    <w:link w:val="104"/>
    <w:qFormat/>
    <w:uiPriority w:val="0"/>
    <w:rPr>
      <w:rFonts w:ascii="Arial" w:hAnsi="Arial"/>
      <w:kern w:val="28"/>
      <w:sz w:val="22"/>
    </w:rPr>
  </w:style>
  <w:style w:type="paragraph" w:customStyle="1" w:styleId="104">
    <w:name w:val="Report Text"/>
    <w:basedOn w:val="1"/>
    <w:link w:val="103"/>
    <w:qFormat/>
    <w:uiPriority w:val="0"/>
    <w:pPr>
      <w:spacing w:before="240" w:after="120"/>
      <w:ind w:left="1080"/>
    </w:pPr>
    <w:rPr>
      <w:rFonts w:ascii="Arial" w:hAnsi="Arial" w:eastAsiaTheme="minorEastAsia" w:cstheme="minorBidi"/>
      <w:kern w:val="28"/>
      <w:sz w:val="22"/>
      <w:szCs w:val="22"/>
      <w14:ligatures w14:val="standardContextual"/>
    </w:rPr>
  </w:style>
  <w:style w:type="character" w:customStyle="1" w:styleId="105">
    <w:name w:val="正文文本 2 Char1"/>
    <w:semiHidden/>
    <w:qFormat/>
    <w:uiPriority w:val="99"/>
    <w:rPr>
      <w:rFonts w:ascii="Times New Roman" w:hAnsi="Times New Roman" w:eastAsia="宋体" w:cs="Times New Roman"/>
      <w:kern w:val="0"/>
      <w:szCs w:val="20"/>
    </w:rPr>
  </w:style>
  <w:style w:type="character" w:customStyle="1" w:styleId="106">
    <w:name w:val="Char Char19"/>
    <w:qFormat/>
    <w:uiPriority w:val="0"/>
    <w:rPr>
      <w:rFonts w:ascii="华文细黑" w:hAnsi="Arial" w:eastAsia="华文细黑"/>
      <w:b/>
      <w:bCs/>
      <w:sz w:val="44"/>
      <w:szCs w:val="32"/>
      <w:lang w:val="en-US" w:eastAsia="zh-CN" w:bidi="ar-SA"/>
    </w:rPr>
  </w:style>
  <w:style w:type="character" w:customStyle="1" w:styleId="107">
    <w:name w:val="列表框2 Char"/>
    <w:link w:val="108"/>
    <w:qFormat/>
    <w:uiPriority w:val="0"/>
    <w:rPr>
      <w:rFonts w:ascii="宋体" w:hAnsi="宋体"/>
      <w:szCs w:val="24"/>
    </w:rPr>
  </w:style>
  <w:style w:type="paragraph" w:customStyle="1" w:styleId="108">
    <w:name w:val="列表框2"/>
    <w:basedOn w:val="109"/>
    <w:link w:val="107"/>
    <w:qFormat/>
    <w:uiPriority w:val="0"/>
    <w:pPr>
      <w:tabs>
        <w:tab w:val="left" w:pos="1682"/>
        <w:tab w:val="left" w:pos="2084"/>
      </w:tabs>
      <w:ind w:left="2118" w:leftChars="808" w:hanging="420"/>
    </w:pPr>
    <w:rPr>
      <w:rFonts w:eastAsiaTheme="minorEastAsia" w:cstheme="minorBidi"/>
      <w:kern w:val="2"/>
      <w:szCs w:val="24"/>
      <w14:ligatures w14:val="standardContextual"/>
    </w:rPr>
  </w:style>
  <w:style w:type="paragraph" w:customStyle="1" w:styleId="109">
    <w:name w:val="列表框1"/>
    <w:basedOn w:val="1"/>
    <w:link w:val="110"/>
    <w:qFormat/>
    <w:uiPriority w:val="0"/>
    <w:pPr>
      <w:tabs>
        <w:tab w:val="left" w:pos="1682"/>
      </w:tabs>
      <w:adjustRightInd w:val="0"/>
      <w:snapToGrid w:val="0"/>
      <w:ind w:left="1748" w:hanging="434"/>
    </w:pPr>
    <w:rPr>
      <w:rFonts w:ascii="宋体" w:hAnsi="宋体"/>
      <w:kern w:val="0"/>
      <w:szCs w:val="21"/>
    </w:rPr>
  </w:style>
  <w:style w:type="character" w:customStyle="1" w:styleId="110">
    <w:name w:val="列表框1 Char Char"/>
    <w:link w:val="109"/>
    <w:qFormat/>
    <w:uiPriority w:val="0"/>
    <w:rPr>
      <w:rFonts w:ascii="宋体" w:hAnsi="宋体" w:eastAsia="宋体" w:cs="Times New Roman"/>
      <w:kern w:val="0"/>
      <w:szCs w:val="21"/>
      <w14:ligatures w14:val="none"/>
    </w:rPr>
  </w:style>
  <w:style w:type="character" w:customStyle="1" w:styleId="111">
    <w:name w:val="Char Char7"/>
    <w:qFormat/>
    <w:uiPriority w:val="0"/>
    <w:rPr>
      <w:rFonts w:eastAsia="宋体"/>
      <w:kern w:val="2"/>
      <w:sz w:val="18"/>
      <w:szCs w:val="18"/>
      <w:lang w:val="en-US" w:eastAsia="zh-CN" w:bidi="ar-SA"/>
    </w:rPr>
  </w:style>
  <w:style w:type="character" w:customStyle="1" w:styleId="112">
    <w:name w:val="样式 标题 3 + 黑色 Char"/>
    <w:link w:val="113"/>
    <w:qFormat/>
    <w:uiPriority w:val="0"/>
    <w:rPr>
      <w:color w:val="FF0000"/>
      <w:sz w:val="24"/>
    </w:rPr>
  </w:style>
  <w:style w:type="paragraph" w:customStyle="1" w:styleId="113">
    <w:name w:val="样式 标题 3 + 黑色"/>
    <w:basedOn w:val="4"/>
    <w:link w:val="112"/>
    <w:qFormat/>
    <w:uiPriority w:val="0"/>
    <w:pPr>
      <w:keepNext w:val="0"/>
      <w:keepLines w:val="0"/>
      <w:tabs>
        <w:tab w:val="left" w:pos="1200"/>
        <w:tab w:val="left" w:pos="1260"/>
      </w:tabs>
      <w:spacing w:before="0" w:after="0"/>
      <w:ind w:left="1200" w:hanging="1200" w:hangingChars="500"/>
    </w:pPr>
    <w:rPr>
      <w:rFonts w:asciiTheme="minorHAnsi" w:hAnsiTheme="minorHAnsi" w:eastAsiaTheme="minorEastAsia" w:cstheme="minorBidi"/>
      <w:b w:val="0"/>
      <w:bCs w:val="0"/>
      <w:color w:val="FF0000"/>
      <w:szCs w:val="22"/>
      <w14:ligatures w14:val="standardContextual"/>
    </w:rPr>
  </w:style>
  <w:style w:type="character" w:customStyle="1" w:styleId="114">
    <w:name w:val="已访问的超链接1"/>
    <w:qFormat/>
    <w:uiPriority w:val="99"/>
    <w:rPr>
      <w:color w:val="800080"/>
      <w:u w:val="single"/>
    </w:rPr>
  </w:style>
  <w:style w:type="character" w:customStyle="1" w:styleId="115">
    <w:name w:val="普通文字 Char Char"/>
    <w:qFormat/>
    <w:uiPriority w:val="0"/>
    <w:rPr>
      <w:rFonts w:ascii="宋体" w:hAnsi="Courier New" w:eastAsia="宋体" w:cs="Courier New"/>
      <w:kern w:val="2"/>
      <w:sz w:val="21"/>
      <w:szCs w:val="21"/>
      <w:lang w:val="en-US" w:eastAsia="zh-CN" w:bidi="ar-SA"/>
    </w:rPr>
  </w:style>
  <w:style w:type="character" w:customStyle="1" w:styleId="116">
    <w:name w:val="樣式 標題 3 + (中文) MS Gothic 10.5 點 Char Char Char Char Char Char Char Char Char Char Char Char"/>
    <w:qFormat/>
    <w:uiPriority w:val="0"/>
    <w:rPr>
      <w:rFonts w:hAnsi="PMingLiU" w:eastAsia="MS Gothic"/>
      <w:bCs/>
      <w:snapToGrid w:val="0"/>
      <w:kern w:val="2"/>
      <w:sz w:val="24"/>
      <w:szCs w:val="24"/>
      <w:lang w:val="en-AU" w:eastAsia="zh-TW" w:bidi="ar-SA"/>
    </w:rPr>
  </w:style>
  <w:style w:type="character" w:customStyle="1" w:styleId="117">
    <w:name w:val="批注框文本 Char1"/>
    <w:semiHidden/>
    <w:qFormat/>
    <w:uiPriority w:val="99"/>
    <w:rPr>
      <w:rFonts w:ascii="Times New Roman" w:hAnsi="Times New Roman" w:eastAsia="宋体" w:cs="Times New Roman"/>
      <w:kern w:val="0"/>
      <w:sz w:val="18"/>
      <w:szCs w:val="18"/>
    </w:rPr>
  </w:style>
  <w:style w:type="character" w:customStyle="1" w:styleId="118">
    <w:name w:val="文档结构图 Char1"/>
    <w:semiHidden/>
    <w:qFormat/>
    <w:uiPriority w:val="99"/>
    <w:rPr>
      <w:rFonts w:ascii="宋体" w:hAnsi="Times New Roman" w:eastAsia="宋体" w:cs="Times New Roman"/>
      <w:kern w:val="0"/>
      <w:sz w:val="18"/>
      <w:szCs w:val="18"/>
    </w:rPr>
  </w:style>
  <w:style w:type="character" w:customStyle="1" w:styleId="119">
    <w:name w:val="未处理的提及111"/>
    <w:unhideWhenUsed/>
    <w:qFormat/>
    <w:uiPriority w:val="99"/>
    <w:rPr>
      <w:color w:val="605E5C"/>
      <w:shd w:val="clear" w:color="auto" w:fill="E1DFDD"/>
    </w:rPr>
  </w:style>
  <w:style w:type="character" w:customStyle="1" w:styleId="120">
    <w:name w:val="无编号正文 Char"/>
    <w:link w:val="121"/>
    <w:qFormat/>
    <w:uiPriority w:val="0"/>
    <w:rPr>
      <w:rFonts w:ascii="宋体" w:hAnsi="宋体"/>
      <w:sz w:val="24"/>
      <w:szCs w:val="24"/>
    </w:rPr>
  </w:style>
  <w:style w:type="paragraph" w:customStyle="1" w:styleId="121">
    <w:name w:val="无编号正文"/>
    <w:basedOn w:val="20"/>
    <w:next w:val="1"/>
    <w:link w:val="120"/>
    <w:qFormat/>
    <w:uiPriority w:val="0"/>
    <w:pPr>
      <w:spacing w:after="0"/>
      <w:ind w:left="200" w:leftChars="200"/>
    </w:pPr>
    <w:rPr>
      <w:rFonts w:ascii="宋体" w:hAnsi="宋体" w:eastAsiaTheme="minorEastAsia" w:cstheme="minorBidi"/>
      <w:sz w:val="24"/>
      <w14:ligatures w14:val="standardContextual"/>
    </w:rPr>
  </w:style>
  <w:style w:type="character" w:customStyle="1" w:styleId="122">
    <w:name w:val="日期 Char1"/>
    <w:semiHidden/>
    <w:qFormat/>
    <w:uiPriority w:val="99"/>
    <w:rPr>
      <w:rFonts w:ascii="Times New Roman" w:hAnsi="Times New Roman" w:eastAsia="宋体" w:cs="Times New Roman"/>
      <w:kern w:val="0"/>
      <w:szCs w:val="20"/>
    </w:rPr>
  </w:style>
  <w:style w:type="character" w:customStyle="1" w:styleId="123">
    <w:name w:val="正文文本缩进 Char2"/>
    <w:semiHidden/>
    <w:qFormat/>
    <w:uiPriority w:val="99"/>
    <w:rPr>
      <w:rFonts w:ascii="Times New Roman" w:hAnsi="Times New Roman" w:eastAsia="宋体" w:cs="Times New Roman"/>
      <w:szCs w:val="24"/>
    </w:rPr>
  </w:style>
  <w:style w:type="character" w:customStyle="1" w:styleId="124">
    <w:name w:val="text"/>
    <w:qFormat/>
    <w:uiPriority w:val="0"/>
    <w:rPr>
      <w:rFonts w:ascii="仿宋_GB2312" w:eastAsia="仿宋_GB2312"/>
      <w:b/>
      <w:kern w:val="2"/>
      <w:sz w:val="32"/>
      <w:szCs w:val="32"/>
      <w:lang w:val="en-US" w:eastAsia="zh-CN" w:bidi="ar-SA"/>
    </w:rPr>
  </w:style>
  <w:style w:type="character" w:customStyle="1" w:styleId="125">
    <w:name w:val="脚注文本 Char1"/>
    <w:semiHidden/>
    <w:qFormat/>
    <w:uiPriority w:val="99"/>
    <w:rPr>
      <w:kern w:val="2"/>
      <w:sz w:val="18"/>
      <w:szCs w:val="18"/>
    </w:rPr>
  </w:style>
  <w:style w:type="character" w:customStyle="1" w:styleId="126">
    <w:name w:val="批注主题 Char1"/>
    <w:semiHidden/>
    <w:qFormat/>
    <w:uiPriority w:val="99"/>
    <w:rPr>
      <w:rFonts w:ascii="Times New Roman" w:hAnsi="Times New Roman" w:eastAsia="宋体" w:cs="Times New Roman"/>
      <w:b/>
      <w:bCs/>
      <w:kern w:val="0"/>
      <w:sz w:val="21"/>
      <w:szCs w:val="20"/>
    </w:rPr>
  </w:style>
  <w:style w:type="character" w:customStyle="1" w:styleId="127">
    <w:name w:val="Char Char15"/>
    <w:qFormat/>
    <w:uiPriority w:val="0"/>
    <w:rPr>
      <w:rFonts w:ascii="Arial" w:hAnsi="Arial" w:eastAsia="黑体"/>
      <w:b/>
      <w:bCs/>
      <w:sz w:val="24"/>
      <w:szCs w:val="24"/>
      <w:lang w:val="en-US" w:eastAsia="zh-CN" w:bidi="ar-SA"/>
    </w:rPr>
  </w:style>
  <w:style w:type="character" w:customStyle="1" w:styleId="128">
    <w:name w:val="三级标题康"/>
    <w:qFormat/>
    <w:uiPriority w:val="0"/>
    <w:rPr>
      <w:rFonts w:ascii="Arial" w:hAnsi="Arial" w:eastAsia="宋体" w:cs="Times New Roman"/>
      <w:b/>
      <w:bCs/>
      <w:sz w:val="21"/>
      <w:szCs w:val="32"/>
    </w:rPr>
  </w:style>
  <w:style w:type="character" w:customStyle="1" w:styleId="129">
    <w:name w:val="样式 表内文字"/>
    <w:qFormat/>
    <w:uiPriority w:val="0"/>
    <w:rPr>
      <w:rFonts w:eastAsia="宋体"/>
      <w:snapToGrid/>
      <w:color w:val="000000"/>
      <w:spacing w:val="0"/>
      <w:kern w:val="0"/>
      <w:position w:val="0"/>
      <w:sz w:val="20"/>
      <w:szCs w:val="20"/>
      <w:u w:val="none"/>
    </w:rPr>
  </w:style>
  <w:style w:type="character" w:customStyle="1" w:styleId="130">
    <w:name w:val="Char Char13"/>
    <w:qFormat/>
    <w:uiPriority w:val="0"/>
    <w:rPr>
      <w:rFonts w:ascii="Arial" w:hAnsi="Arial" w:eastAsia="黑体"/>
      <w:sz w:val="24"/>
      <w:szCs w:val="24"/>
      <w:lang w:val="en-US" w:eastAsia="zh-CN" w:bidi="ar-SA"/>
    </w:rPr>
  </w:style>
  <w:style w:type="character" w:customStyle="1" w:styleId="131">
    <w:name w:val="Char Char11"/>
    <w:qFormat/>
    <w:uiPriority w:val="0"/>
    <w:rPr>
      <w:rFonts w:eastAsia="宋体"/>
      <w:b/>
      <w:bCs/>
      <w:kern w:val="2"/>
      <w:sz w:val="21"/>
      <w:szCs w:val="24"/>
      <w:lang w:val="en-US" w:eastAsia="zh-CN" w:bidi="ar-SA"/>
    </w:rPr>
  </w:style>
  <w:style w:type="character" w:customStyle="1" w:styleId="132">
    <w:name w:val="标题 3 Char1"/>
    <w:qFormat/>
    <w:uiPriority w:val="0"/>
    <w:rPr>
      <w:b/>
      <w:bCs/>
      <w:sz w:val="32"/>
      <w:szCs w:val="32"/>
    </w:rPr>
  </w:style>
  <w:style w:type="character" w:customStyle="1" w:styleId="133">
    <w:name w:val="图形布置 Char"/>
    <w:link w:val="134"/>
    <w:qFormat/>
    <w:uiPriority w:val="0"/>
    <w:rPr>
      <w:rFonts w:ascii="Arial" w:hAnsi="Arial" w:cs="Arial"/>
    </w:rPr>
  </w:style>
  <w:style w:type="paragraph" w:customStyle="1" w:styleId="134">
    <w:name w:val="图形布置"/>
    <w:basedOn w:val="135"/>
    <w:link w:val="133"/>
    <w:qFormat/>
    <w:uiPriority w:val="0"/>
    <w:rPr>
      <w:rFonts w:cs="Arial" w:eastAsiaTheme="minorEastAsia"/>
      <w:kern w:val="2"/>
      <w:szCs w:val="22"/>
      <w14:ligatures w14:val="standardContextual"/>
    </w:rPr>
  </w:style>
  <w:style w:type="paragraph" w:customStyle="1" w:styleId="135">
    <w:name w:val="图形题注"/>
    <w:basedOn w:val="15"/>
    <w:link w:val="136"/>
    <w:qFormat/>
    <w:uiPriority w:val="0"/>
    <w:pPr>
      <w:adjustRightInd w:val="0"/>
      <w:snapToGrid w:val="0"/>
      <w:spacing w:afterLines="50"/>
      <w:jc w:val="center"/>
    </w:pPr>
    <w:rPr>
      <w:rFonts w:eastAsia="宋体" w:cs="Times New Roman"/>
      <w:kern w:val="0"/>
      <w:sz w:val="21"/>
    </w:rPr>
  </w:style>
  <w:style w:type="character" w:customStyle="1" w:styleId="136">
    <w:name w:val="图形题注 Char"/>
    <w:link w:val="135"/>
    <w:qFormat/>
    <w:uiPriority w:val="0"/>
    <w:rPr>
      <w:rFonts w:ascii="Arial" w:hAnsi="Arial" w:eastAsia="宋体" w:cs="Times New Roman"/>
      <w:kern w:val="0"/>
      <w:szCs w:val="20"/>
      <w14:ligatures w14:val="none"/>
    </w:rPr>
  </w:style>
  <w:style w:type="character" w:customStyle="1" w:styleId="137">
    <w:name w:val="Char Char12"/>
    <w:qFormat/>
    <w:uiPriority w:val="0"/>
    <w:rPr>
      <w:rFonts w:ascii="Arial" w:hAnsi="Arial" w:eastAsia="黑体"/>
      <w:sz w:val="21"/>
      <w:szCs w:val="21"/>
      <w:lang w:val="en-US" w:eastAsia="zh-CN" w:bidi="ar-SA"/>
    </w:rPr>
  </w:style>
  <w:style w:type="character" w:customStyle="1" w:styleId="138">
    <w:name w:val="正文文本缩进 2 Char1"/>
    <w:semiHidden/>
    <w:qFormat/>
    <w:uiPriority w:val="99"/>
    <w:rPr>
      <w:rFonts w:ascii="Times New Roman" w:hAnsi="Times New Roman" w:eastAsia="宋体" w:cs="Times New Roman"/>
      <w:kern w:val="0"/>
      <w:szCs w:val="20"/>
    </w:rPr>
  </w:style>
  <w:style w:type="character" w:customStyle="1" w:styleId="139">
    <w:name w:val="正文文本缩进 Char1"/>
    <w:semiHidden/>
    <w:qFormat/>
    <w:uiPriority w:val="99"/>
    <w:rPr>
      <w:rFonts w:ascii="Times New Roman" w:hAnsi="Times New Roman" w:eastAsia="宋体" w:cs="Times New Roman"/>
      <w:kern w:val="0"/>
      <w:szCs w:val="20"/>
    </w:rPr>
  </w:style>
  <w:style w:type="character" w:customStyle="1" w:styleId="140">
    <w:name w:val="正文首行缩进 Char"/>
    <w:link w:val="141"/>
    <w:qFormat/>
    <w:uiPriority w:val="0"/>
    <w:rPr>
      <w:szCs w:val="24"/>
    </w:rPr>
  </w:style>
  <w:style w:type="paragraph" w:customStyle="1" w:styleId="141">
    <w:name w:val="正文首行缩进1"/>
    <w:basedOn w:val="20"/>
    <w:link w:val="140"/>
    <w:qFormat/>
    <w:uiPriority w:val="0"/>
    <w:pPr>
      <w:ind w:firstLine="100" w:firstLineChars="100"/>
    </w:pPr>
    <w:rPr>
      <w:rFonts w:asciiTheme="minorHAnsi" w:hAnsiTheme="minorHAnsi" w:eastAsiaTheme="minorEastAsia" w:cstheme="minorBidi"/>
      <w14:ligatures w14:val="standardContextual"/>
    </w:rPr>
  </w:style>
  <w:style w:type="character" w:customStyle="1" w:styleId="142">
    <w:name w:val="页脚 Char1"/>
    <w:semiHidden/>
    <w:qFormat/>
    <w:uiPriority w:val="99"/>
    <w:rPr>
      <w:rFonts w:ascii="Times New Roman" w:hAnsi="Times New Roman" w:eastAsia="宋体" w:cs="Times New Roman"/>
      <w:kern w:val="0"/>
      <w:sz w:val="18"/>
      <w:szCs w:val="18"/>
    </w:rPr>
  </w:style>
  <w:style w:type="character" w:customStyle="1" w:styleId="143">
    <w:name w:val="Char Char10"/>
    <w:qFormat/>
    <w:uiPriority w:val="0"/>
    <w:rPr>
      <w:rFonts w:eastAsia="仿宋_GB2312"/>
      <w:kern w:val="2"/>
      <w:sz w:val="32"/>
      <w:szCs w:val="24"/>
      <w:lang w:val="en-US" w:eastAsia="zh-CN" w:bidi="ar-SA"/>
    </w:rPr>
  </w:style>
  <w:style w:type="character" w:customStyle="1" w:styleId="144">
    <w:name w:val="纯文本 Char1"/>
    <w:qFormat/>
    <w:uiPriority w:val="99"/>
    <w:rPr>
      <w:rFonts w:ascii="宋体" w:hAnsi="Courier New" w:eastAsia="宋体" w:cs="Times New Roman"/>
      <w:szCs w:val="20"/>
    </w:rPr>
  </w:style>
  <w:style w:type="character" w:customStyle="1" w:styleId="145">
    <w:name w:val="正文文本缩进 3 Char1"/>
    <w:semiHidden/>
    <w:qFormat/>
    <w:uiPriority w:val="99"/>
    <w:rPr>
      <w:rFonts w:ascii="Times New Roman" w:hAnsi="Times New Roman" w:eastAsia="宋体" w:cs="Times New Roman"/>
      <w:kern w:val="0"/>
      <w:sz w:val="16"/>
      <w:szCs w:val="16"/>
    </w:rPr>
  </w:style>
  <w:style w:type="character" w:customStyle="1" w:styleId="146">
    <w:name w:val="正文首行缩进 2 Char"/>
    <w:link w:val="147"/>
    <w:qFormat/>
    <w:uiPriority w:val="0"/>
    <w:rPr>
      <w:szCs w:val="24"/>
    </w:rPr>
  </w:style>
  <w:style w:type="paragraph" w:customStyle="1" w:styleId="147">
    <w:name w:val="正文首行缩进 21"/>
    <w:basedOn w:val="21"/>
    <w:link w:val="146"/>
    <w:qFormat/>
    <w:uiPriority w:val="0"/>
    <w:pPr>
      <w:adjustRightInd w:val="0"/>
      <w:spacing w:line="312" w:lineRule="atLeast"/>
      <w:textAlignment w:val="baseline"/>
    </w:pPr>
    <w:rPr>
      <w:rFonts w:asciiTheme="minorHAnsi" w:hAnsiTheme="minorHAnsi" w:eastAsiaTheme="minorEastAsia" w:cstheme="minorBidi"/>
      <w14:ligatures w14:val="standardContextual"/>
    </w:rPr>
  </w:style>
  <w:style w:type="character" w:customStyle="1" w:styleId="148">
    <w:name w:val="样式4 Char"/>
    <w:link w:val="149"/>
    <w:qFormat/>
    <w:uiPriority w:val="0"/>
    <w:rPr>
      <w:rFonts w:ascii="宋体"/>
      <w:sz w:val="18"/>
      <w:szCs w:val="18"/>
    </w:rPr>
  </w:style>
  <w:style w:type="paragraph" w:customStyle="1" w:styleId="149">
    <w:name w:val="样式4"/>
    <w:basedOn w:val="33"/>
    <w:link w:val="148"/>
    <w:qFormat/>
    <w:uiPriority w:val="0"/>
    <w:pPr>
      <w:autoSpaceDE w:val="0"/>
      <w:autoSpaceDN w:val="0"/>
      <w:adjustRightInd w:val="0"/>
      <w:snapToGrid/>
      <w:textAlignment w:val="baseline"/>
    </w:pPr>
    <w:rPr>
      <w:rFonts w:ascii="宋体" w:hAnsiTheme="minorHAnsi" w:eastAsiaTheme="minorEastAsia" w:cstheme="minorBidi"/>
      <w14:ligatures w14:val="standardContextual"/>
    </w:rPr>
  </w:style>
  <w:style w:type="character" w:customStyle="1" w:styleId="150">
    <w:name w:val="Char Char Char Char1"/>
    <w:link w:val="151"/>
    <w:qFormat/>
    <w:uiPriority w:val="0"/>
    <w:rPr>
      <w:rFonts w:ascii="仿宋_GB2312" w:eastAsia="仿宋_GB2312"/>
      <w:b/>
      <w:sz w:val="32"/>
      <w:szCs w:val="32"/>
    </w:rPr>
  </w:style>
  <w:style w:type="paragraph" w:customStyle="1" w:styleId="151">
    <w:name w:val="Char Char Char1"/>
    <w:basedOn w:val="1"/>
    <w:link w:val="150"/>
    <w:qFormat/>
    <w:uiPriority w:val="0"/>
    <w:rPr>
      <w:rFonts w:ascii="仿宋_GB2312" w:eastAsia="仿宋_GB2312" w:hAnsiTheme="minorHAnsi" w:cstheme="minorBidi"/>
      <w:b/>
      <w:sz w:val="32"/>
      <w:szCs w:val="32"/>
      <w14:ligatures w14:val="standardContextual"/>
    </w:rPr>
  </w:style>
  <w:style w:type="character" w:customStyle="1" w:styleId="152">
    <w:name w:val="Char Char16"/>
    <w:qFormat/>
    <w:uiPriority w:val="0"/>
    <w:rPr>
      <w:rFonts w:eastAsia="宋体"/>
      <w:b/>
      <w:bCs/>
      <w:sz w:val="28"/>
      <w:szCs w:val="28"/>
      <w:lang w:val="en-US" w:eastAsia="zh-CN" w:bidi="ar-SA"/>
    </w:rPr>
  </w:style>
  <w:style w:type="character" w:customStyle="1" w:styleId="153">
    <w:name w:val="页眉 Char1"/>
    <w:semiHidden/>
    <w:qFormat/>
    <w:uiPriority w:val="99"/>
    <w:rPr>
      <w:rFonts w:ascii="Times New Roman" w:hAnsi="Times New Roman" w:eastAsia="宋体" w:cs="Times New Roman"/>
      <w:kern w:val="0"/>
      <w:sz w:val="18"/>
      <w:szCs w:val="18"/>
    </w:rPr>
  </w:style>
  <w:style w:type="character" w:customStyle="1" w:styleId="154">
    <w:name w:val="列出段落 Char"/>
    <w:link w:val="155"/>
    <w:qFormat/>
    <w:uiPriority w:val="0"/>
    <w:rPr>
      <w:rFonts w:ascii="Calibri" w:hAnsi="Calibri"/>
    </w:rPr>
  </w:style>
  <w:style w:type="paragraph" w:customStyle="1" w:styleId="155">
    <w:name w:val="列出段落2"/>
    <w:basedOn w:val="1"/>
    <w:link w:val="154"/>
    <w:qFormat/>
    <w:uiPriority w:val="0"/>
    <w:rPr>
      <w:rFonts w:ascii="Calibri" w:hAnsi="Calibri" w:eastAsiaTheme="minorEastAsia" w:cstheme="minorBidi"/>
      <w:szCs w:val="22"/>
      <w14:ligatures w14:val="standardContextual"/>
    </w:rPr>
  </w:style>
  <w:style w:type="character" w:customStyle="1" w:styleId="156">
    <w:name w:val="纯文本 Char2"/>
    <w:qFormat/>
    <w:uiPriority w:val="0"/>
    <w:rPr>
      <w:rFonts w:ascii="宋体" w:hAnsi="Courier New" w:eastAsia="宋体"/>
      <w:kern w:val="2"/>
      <w:sz w:val="21"/>
      <w:lang w:val="en-US" w:eastAsia="zh-CN"/>
    </w:rPr>
  </w:style>
  <w:style w:type="character" w:customStyle="1" w:styleId="157">
    <w:name w:val="font161"/>
    <w:qFormat/>
    <w:uiPriority w:val="0"/>
    <w:rPr>
      <w:b/>
      <w:bCs/>
      <w:sz w:val="32"/>
      <w:szCs w:val="32"/>
    </w:rPr>
  </w:style>
  <w:style w:type="character" w:customStyle="1" w:styleId="158">
    <w:name w:val="Char Char8"/>
    <w:qFormat/>
    <w:uiPriority w:val="0"/>
    <w:rPr>
      <w:rFonts w:ascii="宋体" w:hAnsi="宋体" w:eastAsia="宋体"/>
      <w:kern w:val="2"/>
      <w:sz w:val="21"/>
      <w:szCs w:val="24"/>
      <w:lang w:val="en-US" w:eastAsia="zh-CN" w:bidi="ar-SA"/>
    </w:rPr>
  </w:style>
  <w:style w:type="character" w:customStyle="1" w:styleId="159">
    <w:name w:val="样式 超链接 + 仿宋_GB2312 小四 加粗"/>
    <w:qFormat/>
    <w:uiPriority w:val="0"/>
    <w:rPr>
      <w:rFonts w:ascii="仿宋_GB2312" w:hAnsi="仿宋_GB2312" w:eastAsia="黑体"/>
      <w:b/>
      <w:bCs/>
      <w:color w:val="auto"/>
      <w:sz w:val="24"/>
      <w:u w:val="none"/>
    </w:rPr>
  </w:style>
  <w:style w:type="character" w:customStyle="1" w:styleId="160">
    <w:name w:val="批注文字 Char2"/>
    <w:qFormat/>
    <w:uiPriority w:val="0"/>
    <w:rPr>
      <w:kern w:val="2"/>
      <w:sz w:val="21"/>
      <w:szCs w:val="24"/>
    </w:rPr>
  </w:style>
  <w:style w:type="character" w:customStyle="1" w:styleId="161">
    <w:name w:val="Char Char18"/>
    <w:qFormat/>
    <w:uiPriority w:val="0"/>
    <w:rPr>
      <w:rFonts w:eastAsia="华文细黑"/>
      <w:bCs/>
      <w:sz w:val="36"/>
      <w:szCs w:val="32"/>
      <w:lang w:val="en-US" w:eastAsia="zh-CN" w:bidi="ar-SA"/>
    </w:rPr>
  </w:style>
  <w:style w:type="character" w:customStyle="1" w:styleId="162">
    <w:name w:val="正文文本 Char1"/>
    <w:semiHidden/>
    <w:qFormat/>
    <w:uiPriority w:val="99"/>
    <w:rPr>
      <w:rFonts w:ascii="Times New Roman" w:hAnsi="Times New Roman" w:eastAsia="宋体" w:cs="Times New Roman"/>
      <w:kern w:val="0"/>
      <w:szCs w:val="20"/>
    </w:rPr>
  </w:style>
  <w:style w:type="character" w:customStyle="1" w:styleId="163">
    <w:name w:val="Char Char14"/>
    <w:qFormat/>
    <w:uiPriority w:val="0"/>
    <w:rPr>
      <w:rFonts w:eastAsia="宋体"/>
      <w:b/>
      <w:bCs/>
      <w:sz w:val="24"/>
      <w:szCs w:val="24"/>
      <w:lang w:val="en-US" w:eastAsia="zh-CN" w:bidi="ar-SA"/>
    </w:rPr>
  </w:style>
  <w:style w:type="character" w:customStyle="1" w:styleId="164">
    <w:name w:val="Char Char6"/>
    <w:qFormat/>
    <w:uiPriority w:val="0"/>
    <w:rPr>
      <w:rFonts w:eastAsia="宋体"/>
      <w:sz w:val="18"/>
      <w:szCs w:val="18"/>
      <w:lang w:bidi="ar-SA"/>
    </w:rPr>
  </w:style>
  <w:style w:type="character" w:customStyle="1" w:styleId="165">
    <w:name w:val="正文首行缩进 Char1"/>
    <w:semiHidden/>
    <w:qFormat/>
    <w:uiPriority w:val="99"/>
    <w:rPr>
      <w:rFonts w:ascii="Times New Roman" w:hAnsi="Times New Roman" w:eastAsia="宋体" w:cs="Times New Roman"/>
      <w:kern w:val="0"/>
      <w:szCs w:val="20"/>
    </w:rPr>
  </w:style>
  <w:style w:type="character" w:customStyle="1" w:styleId="166">
    <w:name w:val="Char Char20"/>
    <w:qFormat/>
    <w:uiPriority w:val="0"/>
    <w:rPr>
      <w:rFonts w:ascii="华文细黑" w:eastAsia="华文细黑"/>
      <w:b/>
      <w:bCs/>
      <w:snapToGrid w:val="0"/>
      <w:sz w:val="52"/>
      <w:szCs w:val="44"/>
      <w:lang w:val="en-US" w:eastAsia="zh-CN" w:bidi="ar-SA"/>
    </w:rPr>
  </w:style>
  <w:style w:type="character" w:customStyle="1" w:styleId="167">
    <w:name w:val="Char Char2"/>
    <w:qFormat/>
    <w:uiPriority w:val="0"/>
    <w:rPr>
      <w:rFonts w:ascii="楷体_GB2312" w:hAnsi="宋体" w:eastAsia="楷体_GB2312"/>
      <w:color w:val="000000"/>
      <w:sz w:val="21"/>
      <w:szCs w:val="21"/>
      <w:lang w:val="en-US" w:eastAsia="zh-CN" w:bidi="ar-SA"/>
    </w:rPr>
  </w:style>
  <w:style w:type="character" w:customStyle="1" w:styleId="168">
    <w:name w:val="Char Char9"/>
    <w:qFormat/>
    <w:uiPriority w:val="0"/>
    <w:rPr>
      <w:rFonts w:ascii="宋体" w:hAnsi="宋体" w:eastAsia="宋体"/>
      <w:kern w:val="2"/>
      <w:sz w:val="24"/>
      <w:lang w:val="en-US" w:eastAsia="zh-CN" w:bidi="ar-SA"/>
    </w:rPr>
  </w:style>
  <w:style w:type="character" w:customStyle="1" w:styleId="169">
    <w:name w:val="尾注文本 Char1"/>
    <w:semiHidden/>
    <w:qFormat/>
    <w:uiPriority w:val="99"/>
    <w:rPr>
      <w:kern w:val="2"/>
      <w:sz w:val="21"/>
      <w:szCs w:val="24"/>
    </w:rPr>
  </w:style>
  <w:style w:type="paragraph" w:customStyle="1" w:styleId="170">
    <w:name w:val="xl90"/>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styleId="171">
    <w:name w:val="No Spacing"/>
    <w:qFormat/>
    <w:uiPriority w:val="1"/>
    <w:pPr>
      <w:widowControl w:val="0"/>
      <w:spacing w:line="360" w:lineRule="auto"/>
      <w:ind w:firstLine="420"/>
      <w:jc w:val="both"/>
    </w:pPr>
    <w:rPr>
      <w:rFonts w:ascii="Calibri" w:hAnsi="Calibri" w:eastAsia="宋体" w:cs="Times New Roman"/>
      <w:kern w:val="2"/>
      <w:sz w:val="21"/>
      <w:szCs w:val="22"/>
      <w:lang w:val="en-US" w:eastAsia="zh-CN" w:bidi="ar-SA"/>
    </w:rPr>
  </w:style>
  <w:style w:type="paragraph" w:customStyle="1" w:styleId="172">
    <w:name w:val="USE 5"/>
    <w:basedOn w:val="1"/>
    <w:qFormat/>
    <w:uiPriority w:val="0"/>
    <w:pPr>
      <w:ind w:left="217" w:hanging="340"/>
      <w:jc w:val="left"/>
    </w:pPr>
    <w:rPr>
      <w:rFonts w:ascii="宋体" w:hAnsi="宋体"/>
      <w:sz w:val="24"/>
    </w:rPr>
  </w:style>
  <w:style w:type="paragraph" w:customStyle="1" w:styleId="173">
    <w:name w:val="xl80"/>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textAlignment w:val="center"/>
    </w:pPr>
    <w:rPr>
      <w:rFonts w:ascii="宋体" w:hAnsi="宋体" w:cs="宋体"/>
      <w:kern w:val="0"/>
      <w:szCs w:val="21"/>
    </w:rPr>
  </w:style>
  <w:style w:type="paragraph" w:customStyle="1" w:styleId="174">
    <w:name w:val="xl22"/>
    <w:basedOn w:val="1"/>
    <w:qFormat/>
    <w:uiPriority w:val="0"/>
    <w:pPr>
      <w:spacing w:before="100" w:beforeAutospacing="1" w:after="100" w:afterAutospacing="1"/>
      <w:jc w:val="right"/>
      <w:textAlignment w:val="center"/>
    </w:pPr>
    <w:rPr>
      <w:rFonts w:ascii="宋体" w:hAnsi="宋体" w:cs="宋体"/>
      <w:color w:val="000000"/>
      <w:kern w:val="0"/>
      <w:sz w:val="24"/>
    </w:rPr>
  </w:style>
  <w:style w:type="paragraph" w:customStyle="1" w:styleId="175">
    <w:name w:val="cucd-4"/>
    <w:next w:val="1"/>
    <w:qFormat/>
    <w:uiPriority w:val="0"/>
    <w:pPr>
      <w:spacing w:line="360" w:lineRule="auto"/>
      <w:ind w:firstLine="482" w:firstLineChars="200"/>
      <w:jc w:val="both"/>
      <w:outlineLvl w:val="3"/>
    </w:pPr>
    <w:rPr>
      <w:rFonts w:ascii="Times New Roman" w:hAnsi="Times New Roman" w:eastAsia="宋体" w:cs="Times New Roman"/>
      <w:b/>
      <w:color w:val="000000"/>
      <w:kern w:val="2"/>
      <w:sz w:val="24"/>
      <w:szCs w:val="24"/>
      <w:u w:val="single"/>
      <w:lang w:val="en-US" w:eastAsia="zh-CN" w:bidi="ar-SA"/>
    </w:rPr>
  </w:style>
  <w:style w:type="paragraph" w:customStyle="1" w:styleId="176">
    <w:name w:val="p0"/>
    <w:basedOn w:val="1"/>
    <w:qFormat/>
    <w:uiPriority w:val="0"/>
    <w:rPr>
      <w:kern w:val="0"/>
      <w:szCs w:val="21"/>
    </w:rPr>
  </w:style>
  <w:style w:type="paragraph" w:customStyle="1" w:styleId="177">
    <w:name w:val="xl86"/>
    <w:basedOn w:val="1"/>
    <w:qFormat/>
    <w:uiPriority w:val="0"/>
    <w:pPr>
      <w:spacing w:before="100" w:beforeAutospacing="1" w:after="100" w:afterAutospacing="1"/>
      <w:jc w:val="center"/>
    </w:pPr>
    <w:rPr>
      <w:rFonts w:ascii="宋体" w:hAnsi="宋体" w:cs="宋体"/>
      <w:kern w:val="0"/>
      <w:sz w:val="24"/>
    </w:rPr>
  </w:style>
  <w:style w:type="paragraph" w:customStyle="1" w:styleId="178">
    <w:name w:val="标题 21"/>
    <w:basedOn w:val="1"/>
    <w:qFormat/>
    <w:uiPriority w:val="1"/>
    <w:pPr>
      <w:ind w:left="100"/>
      <w:jc w:val="left"/>
      <w:outlineLvl w:val="2"/>
    </w:pPr>
    <w:rPr>
      <w:rFonts w:ascii="Microsoft JhengHei" w:hAnsi="Microsoft JhengHei" w:eastAsia="Microsoft JhengHei"/>
      <w:b/>
      <w:bCs/>
      <w:kern w:val="0"/>
      <w:sz w:val="32"/>
      <w:szCs w:val="32"/>
      <w:lang w:eastAsia="en-US"/>
    </w:rPr>
  </w:style>
  <w:style w:type="paragraph" w:customStyle="1" w:styleId="179">
    <w:name w:val="xl43"/>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80">
    <w:name w:val="附件"/>
    <w:basedOn w:val="1"/>
    <w:qFormat/>
    <w:uiPriority w:val="0"/>
    <w:pPr>
      <w:spacing w:line="480" w:lineRule="auto"/>
    </w:pPr>
    <w:rPr>
      <w:rFonts w:ascii="黑体" w:eastAsia="黑体"/>
      <w:b/>
      <w:sz w:val="36"/>
      <w:szCs w:val="20"/>
    </w:rPr>
  </w:style>
  <w:style w:type="paragraph" w:customStyle="1" w:styleId="181">
    <w:name w:val="xl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182">
    <w:name w:val="xl67"/>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83">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4">
    <w:name w:val="Char Char Char Char Char Char Char Char Char Char Char Char Char Char Char Char Char Char Char Char Char Char Char Char2 Char"/>
    <w:basedOn w:val="1"/>
    <w:qFormat/>
    <w:uiPriority w:val="0"/>
    <w:pPr>
      <w:spacing w:after="160" w:line="240" w:lineRule="exact"/>
      <w:jc w:val="center"/>
    </w:pPr>
    <w:rPr>
      <w:rFonts w:ascii="黑体" w:hAnsi="Verdana" w:eastAsia="黑体"/>
      <w:kern w:val="0"/>
      <w:sz w:val="32"/>
      <w:szCs w:val="32"/>
      <w:lang w:eastAsia="en-US"/>
    </w:rPr>
  </w:style>
  <w:style w:type="paragraph" w:customStyle="1" w:styleId="185">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186">
    <w:name w:val="纯文本2"/>
    <w:basedOn w:val="1"/>
    <w:qFormat/>
    <w:uiPriority w:val="0"/>
    <w:rPr>
      <w:rFonts w:ascii="宋体" w:hAnsi="Courier New" w:cs="Courier New"/>
      <w:szCs w:val="21"/>
    </w:rPr>
  </w:style>
  <w:style w:type="paragraph" w:customStyle="1" w:styleId="187">
    <w:name w:val="1.1.1.1"/>
    <w:basedOn w:val="1"/>
    <w:qFormat/>
    <w:uiPriority w:val="0"/>
    <w:pPr>
      <w:tabs>
        <w:tab w:val="left" w:pos="900"/>
        <w:tab w:val="left" w:pos="1134"/>
      </w:tabs>
      <w:adjustRightInd w:val="0"/>
      <w:snapToGrid w:val="0"/>
      <w:spacing w:beforeLines="50" w:afterLines="50" w:line="400" w:lineRule="atLeast"/>
      <w:ind w:left="869" w:leftChars="50" w:right="200" w:rightChars="200"/>
      <w:textAlignment w:val="baseline"/>
    </w:pPr>
    <w:rPr>
      <w:rFonts w:ascii="Arial" w:hAnsi="Arial"/>
      <w:kern w:val="0"/>
      <w:sz w:val="24"/>
      <w:szCs w:val="20"/>
    </w:rPr>
  </w:style>
  <w:style w:type="paragraph" w:customStyle="1" w:styleId="188">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189">
    <w:name w:val="zhengwen"/>
    <w:basedOn w:val="1"/>
    <w:qFormat/>
    <w:uiPriority w:val="0"/>
    <w:pPr>
      <w:tabs>
        <w:tab w:val="left" w:pos="1145"/>
      </w:tabs>
      <w:adjustRightInd w:val="0"/>
      <w:snapToGrid w:val="0"/>
      <w:spacing w:line="520" w:lineRule="exact"/>
      <w:ind w:left="1145" w:hanging="720"/>
    </w:pPr>
    <w:rPr>
      <w:bCs/>
      <w:sz w:val="28"/>
    </w:rPr>
  </w:style>
  <w:style w:type="paragraph" w:customStyle="1" w:styleId="190">
    <w:name w:val="Char Char Char Char Char Char Char"/>
    <w:basedOn w:val="1"/>
    <w:qFormat/>
    <w:uiPriority w:val="0"/>
    <w:rPr>
      <w:rFonts w:ascii="仿宋_GB2312" w:eastAsia="仿宋_GB2312"/>
      <w:b/>
      <w:sz w:val="32"/>
      <w:szCs w:val="32"/>
    </w:rPr>
  </w:style>
  <w:style w:type="paragraph" w:customStyle="1" w:styleId="191">
    <w:name w:val="p8"/>
    <w:basedOn w:val="1"/>
    <w:qFormat/>
    <w:uiPriority w:val="0"/>
    <w:pPr>
      <w:spacing w:line="30" w:lineRule="atLeast"/>
      <w:jc w:val="left"/>
    </w:pPr>
    <w:rPr>
      <w:rFonts w:hint="eastAsia" w:ascii="宋体" w:hAnsi="宋体" w:cs="宋体"/>
      <w:kern w:val="0"/>
      <w:szCs w:val="21"/>
    </w:rPr>
  </w:style>
  <w:style w:type="paragraph" w:customStyle="1" w:styleId="192">
    <w:name w:val="我的目录"/>
    <w:basedOn w:val="193"/>
    <w:qFormat/>
    <w:uiPriority w:val="0"/>
    <w:pPr>
      <w:tabs>
        <w:tab w:val="right" w:leader="dot" w:pos="8296"/>
        <w:tab w:val="right" w:leader="dot" w:pos="8820"/>
      </w:tabs>
      <w:spacing w:before="120" w:after="120" w:line="240" w:lineRule="auto"/>
      <w:ind w:left="0" w:leftChars="0" w:firstLine="0" w:firstLineChars="0"/>
      <w:jc w:val="left"/>
    </w:pPr>
    <w:rPr>
      <w:b/>
      <w:caps/>
      <w:sz w:val="20"/>
      <w:szCs w:val="20"/>
    </w:rPr>
  </w:style>
  <w:style w:type="paragraph" w:customStyle="1" w:styleId="193">
    <w:name w:val="目录 11"/>
    <w:basedOn w:val="1"/>
    <w:next w:val="1"/>
    <w:qFormat/>
    <w:uiPriority w:val="39"/>
    <w:pPr>
      <w:tabs>
        <w:tab w:val="right" w:leader="dot" w:pos="8296"/>
      </w:tabs>
      <w:ind w:left="850" w:leftChars="1" w:hanging="848" w:hangingChars="404"/>
      <w:jc w:val="center"/>
    </w:pPr>
  </w:style>
  <w:style w:type="paragraph" w:customStyle="1" w:styleId="194">
    <w:name w:val="目录 51"/>
    <w:basedOn w:val="1"/>
    <w:next w:val="1"/>
    <w:qFormat/>
    <w:uiPriority w:val="39"/>
    <w:pPr>
      <w:ind w:left="1680" w:leftChars="800"/>
    </w:pPr>
    <w:rPr>
      <w:rFonts w:ascii="Calibri" w:hAnsi="Calibri"/>
      <w:szCs w:val="22"/>
    </w:rPr>
  </w:style>
  <w:style w:type="paragraph" w:customStyle="1" w:styleId="195">
    <w:name w:val="CM255"/>
    <w:basedOn w:val="196"/>
    <w:next w:val="196"/>
    <w:qFormat/>
    <w:uiPriority w:val="0"/>
    <w:pPr>
      <w:spacing w:after="1728"/>
    </w:pPr>
    <w:rPr>
      <w:rFonts w:ascii="宋体" w:cs="宋体"/>
      <w:color w:val="auto"/>
    </w:rPr>
  </w:style>
  <w:style w:type="paragraph" w:customStyle="1" w:styleId="196">
    <w:name w:val="Default"/>
    <w:qFormat/>
    <w:uiPriority w:val="0"/>
    <w:pPr>
      <w:widowControl w:val="0"/>
      <w:autoSpaceDE w:val="0"/>
      <w:autoSpaceDN w:val="0"/>
      <w:adjustRightInd w:val="0"/>
      <w:spacing w:line="360" w:lineRule="auto"/>
      <w:ind w:firstLine="420"/>
      <w:jc w:val="both"/>
    </w:pPr>
    <w:rPr>
      <w:rFonts w:ascii="Times New Roman" w:hAnsi="Times New Roman" w:eastAsia="宋体" w:cs="Times New Roman"/>
      <w:color w:val="000000"/>
      <w:sz w:val="24"/>
      <w:szCs w:val="24"/>
      <w:lang w:val="en-US" w:eastAsia="zh-CN" w:bidi="ar-SA"/>
    </w:rPr>
  </w:style>
  <w:style w:type="paragraph" w:customStyle="1" w:styleId="197">
    <w:name w:val="font10"/>
    <w:basedOn w:val="1"/>
    <w:qFormat/>
    <w:uiPriority w:val="0"/>
    <w:pPr>
      <w:spacing w:before="100" w:beforeAutospacing="1" w:after="100" w:afterAutospacing="1"/>
      <w:jc w:val="left"/>
    </w:pPr>
    <w:rPr>
      <w:rFonts w:eastAsia="Arial Unicode MS"/>
      <w:color w:val="FF0000"/>
      <w:kern w:val="0"/>
      <w:sz w:val="20"/>
      <w:szCs w:val="20"/>
    </w:rPr>
  </w:style>
  <w:style w:type="paragraph" w:customStyle="1" w:styleId="198">
    <w:name w:val="标题 31"/>
    <w:basedOn w:val="1"/>
    <w:qFormat/>
    <w:uiPriority w:val="1"/>
    <w:pPr>
      <w:ind w:left="237"/>
      <w:jc w:val="left"/>
      <w:outlineLvl w:val="3"/>
    </w:pPr>
    <w:rPr>
      <w:rFonts w:ascii="宋体" w:hAnsi="宋体"/>
      <w:kern w:val="0"/>
      <w:sz w:val="28"/>
      <w:szCs w:val="28"/>
      <w:lang w:eastAsia="en-US"/>
    </w:rPr>
  </w:style>
  <w:style w:type="paragraph" w:customStyle="1" w:styleId="199">
    <w:name w:val="font0"/>
    <w:basedOn w:val="1"/>
    <w:qFormat/>
    <w:uiPriority w:val="0"/>
    <w:pPr>
      <w:spacing w:before="100" w:beforeAutospacing="1" w:after="100" w:afterAutospacing="1"/>
      <w:jc w:val="left"/>
    </w:pPr>
    <w:rPr>
      <w:rFonts w:hint="eastAsia" w:ascii="宋体" w:hAnsi="宋体"/>
      <w:kern w:val="0"/>
      <w:sz w:val="24"/>
    </w:rPr>
  </w:style>
  <w:style w:type="paragraph" w:customStyle="1" w:styleId="200">
    <w:name w:val="Char Char Char Char11"/>
    <w:basedOn w:val="1"/>
    <w:qFormat/>
    <w:uiPriority w:val="0"/>
    <w:pPr>
      <w:shd w:val="clear" w:color="auto" w:fill="000080"/>
      <w:adjustRightInd w:val="0"/>
      <w:spacing w:line="436" w:lineRule="exact"/>
      <w:ind w:left="357"/>
      <w:jc w:val="left"/>
      <w:outlineLvl w:val="3"/>
    </w:pPr>
    <w:rPr>
      <w:rFonts w:ascii="Tahoma" w:hAnsi="Tahoma"/>
      <w:b/>
      <w:sz w:val="24"/>
      <w:szCs w:val="28"/>
      <w:shd w:val="clear" w:color="auto" w:fill="000080"/>
    </w:rPr>
  </w:style>
  <w:style w:type="paragraph" w:customStyle="1" w:styleId="201">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02">
    <w:name w:val="小标题"/>
    <w:basedOn w:val="1"/>
    <w:qFormat/>
    <w:uiPriority w:val="0"/>
    <w:pPr>
      <w:spacing w:line="440" w:lineRule="exact"/>
      <w:ind w:left="420" w:hanging="420"/>
    </w:pPr>
    <w:rPr>
      <w:sz w:val="24"/>
    </w:rPr>
  </w:style>
  <w:style w:type="paragraph" w:customStyle="1" w:styleId="203">
    <w:name w:val="样式 宋体 小四 段前: 5 磅 段后: 5 磅"/>
    <w:basedOn w:val="1"/>
    <w:qFormat/>
    <w:uiPriority w:val="0"/>
    <w:pPr>
      <w:spacing w:before="100" w:after="100"/>
      <w:ind w:left="2266" w:leftChars="200"/>
    </w:pPr>
    <w:rPr>
      <w:rFonts w:ascii="宋体" w:cs="宋体"/>
      <w:sz w:val="24"/>
      <w:szCs w:val="20"/>
    </w:rPr>
  </w:style>
  <w:style w:type="paragraph" w:customStyle="1" w:styleId="204">
    <w:name w:val="样式 样式 首行缩进:  2 字符 段前: 4.65 磅 + 首行缩进:  2 字符"/>
    <w:basedOn w:val="1"/>
    <w:qFormat/>
    <w:uiPriority w:val="0"/>
    <w:pPr>
      <w:topLinePunct/>
      <w:spacing w:before="93"/>
      <w:ind w:firstLine="480"/>
    </w:pPr>
    <w:rPr>
      <w:rFonts w:cs="宋体"/>
      <w:sz w:val="24"/>
      <w:szCs w:val="20"/>
    </w:rPr>
  </w:style>
  <w:style w:type="paragraph" w:customStyle="1" w:styleId="205">
    <w:name w:val="USE 1"/>
    <w:basedOn w:val="1"/>
    <w:qFormat/>
    <w:uiPriority w:val="0"/>
    <w:pPr>
      <w:spacing w:line="200" w:lineRule="atLeast"/>
      <w:jc w:val="left"/>
    </w:pPr>
    <w:rPr>
      <w:rFonts w:ascii="宋体" w:hAnsi="宋体"/>
      <w:b/>
      <w:sz w:val="24"/>
      <w:szCs w:val="28"/>
    </w:rPr>
  </w:style>
  <w:style w:type="paragraph" w:customStyle="1" w:styleId="206">
    <w:name w:val="备注"/>
    <w:basedOn w:val="1"/>
    <w:qFormat/>
    <w:uiPriority w:val="0"/>
    <w:pPr>
      <w:tabs>
        <w:tab w:val="left" w:pos="547"/>
        <w:tab w:val="left" w:pos="990"/>
        <w:tab w:val="left" w:pos="1350"/>
      </w:tabs>
      <w:spacing w:line="400" w:lineRule="atLeast"/>
    </w:pPr>
    <w:rPr>
      <w:szCs w:val="21"/>
    </w:rPr>
  </w:style>
  <w:style w:type="paragraph" w:customStyle="1" w:styleId="207">
    <w:name w:val="xl49"/>
    <w:basedOn w:val="1"/>
    <w:qFormat/>
    <w:uiPriority w:val="0"/>
    <w:pPr>
      <w:pBdr>
        <w:top w:val="single" w:color="auto" w:sz="4"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208">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209">
    <w:name w:val="xl41"/>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10">
    <w:name w:val="USE 3"/>
    <w:basedOn w:val="1"/>
    <w:qFormat/>
    <w:uiPriority w:val="0"/>
    <w:pPr>
      <w:ind w:left="710" w:hanging="170"/>
      <w:jc w:val="left"/>
    </w:pPr>
    <w:rPr>
      <w:rFonts w:ascii="宋体" w:hAnsi="宋体"/>
      <w:sz w:val="24"/>
      <w:szCs w:val="20"/>
    </w:rPr>
  </w:style>
  <w:style w:type="paragraph" w:customStyle="1" w:styleId="211">
    <w:name w:val="批注框文本 Char Char"/>
    <w:basedOn w:val="1"/>
    <w:qFormat/>
    <w:uiPriority w:val="0"/>
    <w:rPr>
      <w:sz w:val="18"/>
      <w:szCs w:val="20"/>
    </w:rPr>
  </w:style>
  <w:style w:type="paragraph" w:customStyle="1" w:styleId="212">
    <w:name w:val="font5"/>
    <w:basedOn w:val="1"/>
    <w:qFormat/>
    <w:uiPriority w:val="0"/>
    <w:pPr>
      <w:spacing w:before="100" w:beforeAutospacing="1" w:after="100" w:afterAutospacing="1"/>
      <w:jc w:val="left"/>
    </w:pPr>
    <w:rPr>
      <w:rFonts w:ascii="宋体" w:hAnsi="宋体" w:cs="宋体"/>
      <w:kern w:val="0"/>
      <w:sz w:val="18"/>
      <w:szCs w:val="18"/>
    </w:rPr>
  </w:style>
  <w:style w:type="paragraph" w:customStyle="1" w:styleId="213">
    <w:name w:val="表格"/>
    <w:basedOn w:val="1"/>
    <w:qFormat/>
    <w:uiPriority w:val="0"/>
    <w:pPr>
      <w:jc w:val="center"/>
      <w:textAlignment w:val="center"/>
    </w:pPr>
    <w:rPr>
      <w:rFonts w:ascii="华文细黑" w:hAnsi="华文细黑"/>
      <w:kern w:val="0"/>
      <w:szCs w:val="20"/>
    </w:rPr>
  </w:style>
  <w:style w:type="paragraph" w:customStyle="1" w:styleId="214">
    <w:name w:val="列出段落1"/>
    <w:basedOn w:val="1"/>
    <w:qFormat/>
    <w:uiPriority w:val="0"/>
    <w:pPr>
      <w:spacing w:beforeLines="50" w:after="156" w:line="240" w:lineRule="atLeast"/>
      <w:ind w:left="425"/>
    </w:pPr>
    <w:rPr>
      <w:rFonts w:eastAsia="仿宋_GB2312"/>
      <w:sz w:val="24"/>
    </w:rPr>
  </w:style>
  <w:style w:type="paragraph" w:customStyle="1" w:styleId="215">
    <w:name w:val="xl52"/>
    <w:basedOn w:val="1"/>
    <w:qFormat/>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216">
    <w:name w:val="xl7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17">
    <w:name w:val="retrait3"/>
    <w:basedOn w:val="1"/>
    <w:qFormat/>
    <w:uiPriority w:val="0"/>
    <w:pPr>
      <w:spacing w:before="20" w:after="20"/>
      <w:ind w:left="851"/>
      <w:jc w:val="left"/>
    </w:pPr>
    <w:rPr>
      <w:rFonts w:ascii="Arial" w:hAnsi="Arial"/>
      <w:kern w:val="0"/>
      <w:sz w:val="24"/>
      <w:szCs w:val="20"/>
      <w:lang w:val="en-GB"/>
    </w:rPr>
  </w:style>
  <w:style w:type="paragraph" w:customStyle="1" w:styleId="218">
    <w:name w:val="xl40"/>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0"/>
      <w:szCs w:val="20"/>
    </w:rPr>
  </w:style>
  <w:style w:type="paragraph" w:customStyle="1" w:styleId="219">
    <w:name w:val="xl51"/>
    <w:basedOn w:val="1"/>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20">
    <w:name w:val="xl9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21">
    <w:name w:val="Table Paragraph"/>
    <w:basedOn w:val="1"/>
    <w:qFormat/>
    <w:uiPriority w:val="1"/>
    <w:pPr>
      <w:jc w:val="left"/>
    </w:pPr>
    <w:rPr>
      <w:rFonts w:ascii="Calibri" w:hAnsi="Calibri"/>
      <w:kern w:val="0"/>
      <w:sz w:val="22"/>
      <w:szCs w:val="22"/>
      <w:lang w:eastAsia="en-US"/>
    </w:rPr>
  </w:style>
  <w:style w:type="paragraph" w:customStyle="1" w:styleId="222">
    <w:name w:val="标题333"/>
    <w:basedOn w:val="1"/>
    <w:qFormat/>
    <w:uiPriority w:val="0"/>
    <w:rPr>
      <w:rFonts w:ascii="宋体" w:hAnsi="宋体" w:cs="宋体"/>
      <w:b/>
      <w:bCs/>
      <w:sz w:val="24"/>
      <w:szCs w:val="20"/>
    </w:rPr>
  </w:style>
  <w:style w:type="paragraph" w:customStyle="1" w:styleId="223">
    <w:name w:val="表格文字图表文字"/>
    <w:basedOn w:val="1"/>
    <w:qFormat/>
    <w:uiPriority w:val="0"/>
    <w:pPr>
      <w:snapToGrid w:val="0"/>
      <w:jc w:val="center"/>
    </w:pPr>
    <w:rPr>
      <w:rFonts w:cs="宋体"/>
      <w:szCs w:val="20"/>
    </w:rPr>
  </w:style>
  <w:style w:type="paragraph" w:customStyle="1" w:styleId="224">
    <w:name w:val="xl58"/>
    <w:basedOn w:val="1"/>
    <w:qFormat/>
    <w:uiPriority w:val="0"/>
    <w:pPr>
      <w:pBdr>
        <w:left w:val="single" w:color="auto" w:sz="4" w:space="0"/>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25">
    <w:name w:val="font6"/>
    <w:basedOn w:val="1"/>
    <w:qFormat/>
    <w:uiPriority w:val="0"/>
    <w:pPr>
      <w:spacing w:before="100" w:beforeAutospacing="1" w:after="100" w:afterAutospacing="1"/>
      <w:jc w:val="left"/>
    </w:pPr>
    <w:rPr>
      <w:rFonts w:ascii="宋体" w:hAnsi="宋体" w:cs="宋体"/>
      <w:kern w:val="0"/>
      <w:sz w:val="18"/>
      <w:szCs w:val="18"/>
    </w:rPr>
  </w:style>
  <w:style w:type="paragraph" w:customStyle="1" w:styleId="226">
    <w:name w:val="样式 宋体 小四 黑色 左 行距: 1.5 倍行距1"/>
    <w:basedOn w:val="1"/>
    <w:qFormat/>
    <w:uiPriority w:val="0"/>
    <w:pPr>
      <w:jc w:val="left"/>
    </w:pPr>
    <w:rPr>
      <w:rFonts w:ascii="宋体" w:hAnsi="宋体" w:cs="宋体"/>
      <w:color w:val="000000"/>
      <w:sz w:val="24"/>
      <w:szCs w:val="20"/>
    </w:rPr>
  </w:style>
  <w:style w:type="paragraph" w:customStyle="1" w:styleId="227">
    <w:name w:val="xl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28">
    <w:name w:val="USE 4"/>
    <w:basedOn w:val="1"/>
    <w:qFormat/>
    <w:uiPriority w:val="0"/>
    <w:pPr>
      <w:ind w:left="104" w:hanging="227"/>
      <w:jc w:val="left"/>
    </w:pPr>
    <w:rPr>
      <w:rFonts w:ascii="宋体" w:hAnsi="宋体"/>
      <w:sz w:val="24"/>
      <w:szCs w:val="20"/>
    </w:rPr>
  </w:style>
  <w:style w:type="paragraph" w:customStyle="1" w:styleId="229">
    <w:name w:val="Char Char Char Char Char Char Char Char Char Char Char Char1 Char"/>
    <w:basedOn w:val="16"/>
    <w:qFormat/>
    <w:uiPriority w:val="0"/>
    <w:pPr>
      <w:shd w:val="clear" w:color="auto" w:fill="000080"/>
    </w:pPr>
    <w:rPr>
      <w:rFonts w:ascii="Times New Roman"/>
      <w:sz w:val="21"/>
      <w:szCs w:val="20"/>
    </w:rPr>
  </w:style>
  <w:style w:type="paragraph" w:customStyle="1" w:styleId="230">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31">
    <w:name w:val="目录 91"/>
    <w:basedOn w:val="1"/>
    <w:next w:val="1"/>
    <w:qFormat/>
    <w:uiPriority w:val="39"/>
    <w:pPr>
      <w:ind w:left="3360" w:leftChars="1600"/>
    </w:pPr>
    <w:rPr>
      <w:rFonts w:ascii="Calibri" w:hAnsi="Calibri"/>
      <w:szCs w:val="22"/>
    </w:rPr>
  </w:style>
  <w:style w:type="paragraph" w:customStyle="1" w:styleId="232">
    <w:name w:val="retrait1"/>
    <w:basedOn w:val="1"/>
    <w:qFormat/>
    <w:uiPriority w:val="0"/>
    <w:pPr>
      <w:spacing w:before="20" w:after="20"/>
      <w:ind w:left="284"/>
      <w:jc w:val="left"/>
    </w:pPr>
    <w:rPr>
      <w:rFonts w:ascii="Arial" w:hAnsi="Arial"/>
      <w:kern w:val="0"/>
      <w:sz w:val="24"/>
      <w:szCs w:val="20"/>
      <w:lang w:val="en-GB"/>
    </w:rPr>
  </w:style>
  <w:style w:type="paragraph" w:customStyle="1" w:styleId="233">
    <w:name w:val="样式2"/>
    <w:basedOn w:val="33"/>
    <w:qFormat/>
    <w:uiPriority w:val="0"/>
    <w:pPr>
      <w:autoSpaceDE w:val="0"/>
      <w:autoSpaceDN w:val="0"/>
      <w:adjustRightInd w:val="0"/>
      <w:snapToGrid/>
      <w:textAlignment w:val="baseline"/>
    </w:pPr>
    <w:rPr>
      <w:rFonts w:ascii="宋体"/>
      <w:kern w:val="0"/>
      <w:szCs w:val="20"/>
    </w:rPr>
  </w:style>
  <w:style w:type="paragraph" w:customStyle="1" w:styleId="234">
    <w:name w:val="条文 4"/>
    <w:next w:val="1"/>
    <w:qFormat/>
    <w:uiPriority w:val="0"/>
    <w:pPr>
      <w:spacing w:line="310" w:lineRule="exact"/>
      <w:ind w:left="2520" w:hanging="420"/>
      <w:jc w:val="both"/>
    </w:pPr>
    <w:rPr>
      <w:rFonts w:ascii="Times New Roman" w:hAnsi="Times New Roman" w:eastAsia="黑体" w:cs="Times New Roman"/>
      <w:sz w:val="21"/>
      <w:lang w:val="en-US" w:eastAsia="zh-CN" w:bidi="ar-SA"/>
    </w:rPr>
  </w:style>
  <w:style w:type="paragraph" w:customStyle="1" w:styleId="235">
    <w:name w:val="Char2 Char Char Char"/>
    <w:basedOn w:val="1"/>
    <w:qFormat/>
    <w:uiPriority w:val="0"/>
    <w:pPr>
      <w:spacing w:after="160" w:line="240" w:lineRule="exact"/>
      <w:jc w:val="left"/>
    </w:pPr>
    <w:rPr>
      <w:rFonts w:ascii="Verdana" w:hAnsi="Verdana" w:eastAsia="仿宋_GB2312"/>
      <w:kern w:val="0"/>
      <w:sz w:val="24"/>
      <w:szCs w:val="20"/>
      <w:lang w:eastAsia="en-US"/>
    </w:rPr>
  </w:style>
  <w:style w:type="paragraph" w:customStyle="1" w:styleId="236">
    <w:name w:val="xl7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237">
    <w:name w:val="font14"/>
    <w:basedOn w:val="1"/>
    <w:qFormat/>
    <w:uiPriority w:val="0"/>
    <w:pPr>
      <w:spacing w:before="100" w:beforeAutospacing="1" w:after="100" w:afterAutospacing="1"/>
      <w:jc w:val="left"/>
    </w:pPr>
    <w:rPr>
      <w:rFonts w:hint="eastAsia" w:ascii="宋体" w:hAnsi="宋体" w:cs="Arial Unicode MS"/>
      <w:b/>
      <w:bCs/>
      <w:color w:val="000000"/>
      <w:kern w:val="0"/>
      <w:sz w:val="18"/>
      <w:szCs w:val="18"/>
    </w:rPr>
  </w:style>
  <w:style w:type="paragraph" w:customStyle="1" w:styleId="238">
    <w:name w:val="Report Level 1"/>
    <w:basedOn w:val="1"/>
    <w:next w:val="104"/>
    <w:qFormat/>
    <w:uiPriority w:val="0"/>
    <w:pPr>
      <w:keepNext/>
      <w:tabs>
        <w:tab w:val="left" w:pos="1080"/>
      </w:tabs>
      <w:spacing w:beforeLines="50"/>
      <w:ind w:left="1077" w:hanging="1077"/>
      <w:jc w:val="left"/>
      <w:outlineLvl w:val="0"/>
    </w:pPr>
    <w:rPr>
      <w:rFonts w:ascii="宋体" w:hAnsi="宋体"/>
      <w:b/>
      <w:caps/>
      <w:kern w:val="0"/>
      <w:szCs w:val="21"/>
      <w:lang w:val="en-GB"/>
    </w:rPr>
  </w:style>
  <w:style w:type="paragraph" w:customStyle="1" w:styleId="239">
    <w:name w:val="xl8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240">
    <w:name w:val="_Style 67"/>
    <w:basedOn w:val="1"/>
    <w:qFormat/>
    <w:uiPriority w:val="0"/>
    <w:pPr>
      <w:spacing w:after="160" w:line="240" w:lineRule="exact"/>
      <w:jc w:val="left"/>
    </w:pPr>
    <w:rPr>
      <w:rFonts w:ascii="楷体_GB2312" w:hAnsi="楷体_GB2312" w:eastAsia="仿宋_GB2312" w:cs="楷体_GB2312"/>
      <w:szCs w:val="20"/>
    </w:rPr>
  </w:style>
  <w:style w:type="paragraph" w:customStyle="1" w:styleId="241">
    <w:name w:val="font11"/>
    <w:basedOn w:val="1"/>
    <w:qFormat/>
    <w:uiPriority w:val="0"/>
    <w:pPr>
      <w:spacing w:before="100" w:beforeAutospacing="1" w:after="100" w:afterAutospacing="1"/>
      <w:jc w:val="left"/>
    </w:pPr>
    <w:rPr>
      <w:rFonts w:hint="eastAsia" w:ascii="宋体" w:hAnsi="宋体" w:cs="Arial Unicode MS"/>
      <w:color w:val="000000"/>
      <w:kern w:val="0"/>
      <w:sz w:val="16"/>
      <w:szCs w:val="16"/>
    </w:rPr>
  </w:style>
  <w:style w:type="paragraph" w:customStyle="1" w:styleId="242">
    <w:name w:val="列表段落1"/>
    <w:basedOn w:val="1"/>
    <w:qFormat/>
    <w:uiPriority w:val="0"/>
  </w:style>
  <w:style w:type="paragraph" w:customStyle="1" w:styleId="243">
    <w:name w:val="xl48"/>
    <w:basedOn w:val="1"/>
    <w:qFormat/>
    <w:uiPriority w:val="0"/>
    <w:pPr>
      <w:pBdr>
        <w:top w:val="single" w:color="auto" w:sz="4" w:space="0"/>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44">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0"/>
      <w:szCs w:val="20"/>
    </w:rPr>
  </w:style>
  <w:style w:type="paragraph" w:customStyle="1" w:styleId="245">
    <w:name w:val="xl101"/>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46">
    <w:name w:val="font7"/>
    <w:basedOn w:val="1"/>
    <w:qFormat/>
    <w:uiPriority w:val="0"/>
    <w:pPr>
      <w:spacing w:before="100" w:beforeAutospacing="1" w:after="100" w:afterAutospacing="1"/>
      <w:jc w:val="left"/>
    </w:pPr>
    <w:rPr>
      <w:kern w:val="0"/>
      <w:sz w:val="20"/>
      <w:szCs w:val="20"/>
    </w:rPr>
  </w:style>
  <w:style w:type="paragraph" w:customStyle="1" w:styleId="247">
    <w:name w:val="二级标题"/>
    <w:basedOn w:val="1"/>
    <w:qFormat/>
    <w:uiPriority w:val="0"/>
    <w:pPr>
      <w:tabs>
        <w:tab w:val="left" w:pos="-1341"/>
      </w:tabs>
      <w:ind w:left="2686" w:hanging="420"/>
      <w:outlineLvl w:val="1"/>
    </w:pPr>
    <w:rPr>
      <w:rFonts w:ascii="宋体" w:hAnsi="宋体"/>
      <w:sz w:val="24"/>
      <w:szCs w:val="20"/>
    </w:rPr>
  </w:style>
  <w:style w:type="paragraph" w:customStyle="1" w:styleId="248">
    <w:name w:val="xl59"/>
    <w:basedOn w:val="1"/>
    <w:qFormat/>
    <w:uiPriority w:val="0"/>
    <w:pPr>
      <w:pBdr>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49">
    <w:name w:val="xl39"/>
    <w:basedOn w:val="1"/>
    <w:qFormat/>
    <w:uiPriority w:val="0"/>
    <w:pPr>
      <w:pBdr>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50">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51">
    <w:name w:val="xl36"/>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52">
    <w:name w:val="xl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53">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54">
    <w:name w:val="标题 11"/>
    <w:basedOn w:val="1"/>
    <w:qFormat/>
    <w:uiPriority w:val="1"/>
    <w:pPr>
      <w:ind w:left="3"/>
      <w:jc w:val="left"/>
      <w:outlineLvl w:val="1"/>
    </w:pPr>
    <w:rPr>
      <w:rFonts w:ascii="Microsoft JhengHei" w:hAnsi="Microsoft JhengHei" w:eastAsia="Microsoft JhengHei"/>
      <w:b/>
      <w:bCs/>
      <w:kern w:val="0"/>
      <w:sz w:val="44"/>
      <w:szCs w:val="44"/>
      <w:lang w:eastAsia="en-US"/>
    </w:rPr>
  </w:style>
  <w:style w:type="paragraph" w:customStyle="1" w:styleId="255">
    <w:name w:val="标题2"/>
    <w:basedOn w:val="2"/>
    <w:qFormat/>
    <w:uiPriority w:val="0"/>
    <w:pPr>
      <w:spacing w:before="0" w:after="0" w:line="312" w:lineRule="auto"/>
      <w:jc w:val="center"/>
    </w:pPr>
    <w:rPr>
      <w:rFonts w:ascii="宋体"/>
      <w:bCs w:val="0"/>
      <w:sz w:val="30"/>
      <w:szCs w:val="20"/>
    </w:rPr>
  </w:style>
  <w:style w:type="paragraph" w:customStyle="1" w:styleId="256">
    <w:name w:val="P1"/>
    <w:qFormat/>
    <w:uiPriority w:val="0"/>
    <w:pPr>
      <w:widowControl w:val="0"/>
      <w:adjustRightInd w:val="0"/>
      <w:spacing w:after="240" w:line="0" w:lineRule="atLeast"/>
      <w:ind w:left="2304" w:hanging="576"/>
      <w:jc w:val="both"/>
      <w:textAlignment w:val="baseline"/>
    </w:pPr>
    <w:rPr>
      <w:rFonts w:ascii="Calibri" w:hAnsi="Calibri" w:eastAsia="全真中明體" w:cs="Times New Roman"/>
      <w:spacing w:val="20"/>
      <w:sz w:val="24"/>
      <w:szCs w:val="22"/>
      <w:lang w:val="en-GB" w:eastAsia="zh-TW" w:bidi="ar-SA"/>
    </w:rPr>
  </w:style>
  <w:style w:type="paragraph" w:customStyle="1" w:styleId="257">
    <w:name w:val="招标文件1.1.1.1"/>
    <w:basedOn w:val="1"/>
    <w:qFormat/>
    <w:uiPriority w:val="0"/>
    <w:pPr>
      <w:spacing w:before="120" w:after="120" w:line="480" w:lineRule="exact"/>
      <w:ind w:left="284"/>
      <w:jc w:val="left"/>
      <w:outlineLvl w:val="4"/>
    </w:pPr>
    <w:rPr>
      <w:rFonts w:ascii="宋体"/>
      <w:b/>
      <w:spacing w:val="10"/>
      <w:w w:val="95"/>
      <w:sz w:val="24"/>
      <w:szCs w:val="21"/>
    </w:rPr>
  </w:style>
  <w:style w:type="paragraph" w:customStyle="1" w:styleId="258">
    <w:name w:val="条文 5"/>
    <w:next w:val="1"/>
    <w:qFormat/>
    <w:uiPriority w:val="0"/>
    <w:pPr>
      <w:spacing w:line="310" w:lineRule="exact"/>
      <w:ind w:left="2940" w:hanging="420"/>
      <w:jc w:val="both"/>
    </w:pPr>
    <w:rPr>
      <w:rFonts w:ascii="Times New Roman" w:hAnsi="Times New Roman" w:eastAsia="黑体" w:cs="Times New Roman"/>
      <w:sz w:val="21"/>
      <w:lang w:val="en-US" w:eastAsia="zh-CN" w:bidi="ar-SA"/>
    </w:rPr>
  </w:style>
  <w:style w:type="paragraph" w:customStyle="1" w:styleId="259">
    <w:name w:val="xl95"/>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260">
    <w:name w:val="条文 1"/>
    <w:next w:val="1"/>
    <w:qFormat/>
    <w:uiPriority w:val="0"/>
    <w:pPr>
      <w:spacing w:line="310" w:lineRule="exact"/>
      <w:ind w:left="840" w:hanging="420"/>
      <w:jc w:val="both"/>
    </w:pPr>
    <w:rPr>
      <w:rFonts w:ascii="Times New Roman" w:hAnsi="Times New Roman" w:eastAsia="黑体" w:cs="Times New Roman"/>
      <w:sz w:val="21"/>
      <w:lang w:val="en-US" w:eastAsia="zh-CN" w:bidi="ar-SA"/>
    </w:rPr>
  </w:style>
  <w:style w:type="paragraph" w:customStyle="1" w:styleId="261">
    <w:name w:val="需求书2"/>
    <w:basedOn w:val="1"/>
    <w:qFormat/>
    <w:uiPriority w:val="0"/>
    <w:pPr>
      <w:spacing w:line="500" w:lineRule="exact"/>
      <w:ind w:left="735" w:hanging="735"/>
    </w:pPr>
    <w:rPr>
      <w:rFonts w:ascii="黑体" w:eastAsia="黑体"/>
      <w:szCs w:val="20"/>
    </w:rPr>
  </w:style>
  <w:style w:type="paragraph" w:customStyle="1" w:styleId="262">
    <w:name w:val="wuff32"/>
    <w:basedOn w:val="26"/>
    <w:qFormat/>
    <w:uiPriority w:val="0"/>
    <w:pPr>
      <w:jc w:val="center"/>
    </w:pPr>
    <w:rPr>
      <w:rFonts w:ascii="黑体" w:eastAsia="黑体"/>
      <w:sz w:val="24"/>
      <w:szCs w:val="20"/>
    </w:rPr>
  </w:style>
  <w:style w:type="paragraph" w:customStyle="1" w:styleId="263">
    <w:name w:val="font9"/>
    <w:basedOn w:val="1"/>
    <w:qFormat/>
    <w:uiPriority w:val="0"/>
    <w:pPr>
      <w:spacing w:before="100" w:beforeAutospacing="1" w:after="100" w:afterAutospacing="1"/>
      <w:jc w:val="left"/>
    </w:pPr>
    <w:rPr>
      <w:rFonts w:hint="eastAsia" w:ascii="宋体" w:hAnsi="宋体" w:cs="Arial Unicode MS"/>
      <w:color w:val="FF0000"/>
      <w:kern w:val="0"/>
      <w:sz w:val="20"/>
      <w:szCs w:val="20"/>
    </w:rPr>
  </w:style>
  <w:style w:type="paragraph" w:customStyle="1" w:styleId="264">
    <w:name w:val="Char Char Char"/>
    <w:basedOn w:val="1"/>
    <w:qFormat/>
    <w:uiPriority w:val="0"/>
    <w:rPr>
      <w:rFonts w:ascii="仿宋_GB2312" w:eastAsia="仿宋_GB2312"/>
      <w:b/>
      <w:sz w:val="32"/>
      <w:szCs w:val="32"/>
    </w:rPr>
  </w:style>
  <w:style w:type="paragraph" w:customStyle="1" w:styleId="265">
    <w:name w:val="目录 31"/>
    <w:basedOn w:val="1"/>
    <w:next w:val="1"/>
    <w:qFormat/>
    <w:uiPriority w:val="39"/>
    <w:pPr>
      <w:ind w:left="840" w:leftChars="400"/>
    </w:pPr>
  </w:style>
  <w:style w:type="paragraph" w:customStyle="1" w:styleId="266">
    <w:name w:val="xl78"/>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67">
    <w:name w:val="样式 标题 2 + (西文) Times New Roman (中文) 仿宋_GB2312 居中 段前: 6 磅 段后:..."/>
    <w:basedOn w:val="3"/>
    <w:qFormat/>
    <w:uiPriority w:val="0"/>
    <w:pPr>
      <w:spacing w:before="120" w:after="120"/>
      <w:jc w:val="left"/>
    </w:pPr>
    <w:rPr>
      <w:rFonts w:ascii="Times New Roman" w:hAnsi="Times New Roman" w:eastAsia="仿宋_GB2312" w:cs="宋体"/>
      <w:szCs w:val="20"/>
    </w:rPr>
  </w:style>
  <w:style w:type="paragraph" w:customStyle="1" w:styleId="268">
    <w:name w:val="标题222"/>
    <w:basedOn w:val="1"/>
    <w:qFormat/>
    <w:uiPriority w:val="0"/>
    <w:rPr>
      <w:rFonts w:cs="宋体"/>
      <w:b/>
      <w:bCs/>
      <w:sz w:val="30"/>
      <w:szCs w:val="20"/>
    </w:rPr>
  </w:style>
  <w:style w:type="paragraph" w:customStyle="1" w:styleId="269">
    <w:name w:val="Char"/>
    <w:basedOn w:val="1"/>
    <w:qFormat/>
    <w:uiPriority w:val="0"/>
    <w:pPr>
      <w:tabs>
        <w:tab w:val="left" w:pos="360"/>
      </w:tabs>
    </w:pPr>
    <w:rPr>
      <w:sz w:val="24"/>
    </w:rPr>
  </w:style>
  <w:style w:type="paragraph" w:customStyle="1" w:styleId="270">
    <w:name w:val="一、"/>
    <w:next w:val="141"/>
    <w:qFormat/>
    <w:uiPriority w:val="0"/>
    <w:pPr>
      <w:tabs>
        <w:tab w:val="left" w:pos="360"/>
      </w:tabs>
      <w:spacing w:before="240" w:after="240" w:line="360" w:lineRule="auto"/>
      <w:ind w:firstLine="420"/>
      <w:jc w:val="both"/>
    </w:pPr>
    <w:rPr>
      <w:rFonts w:ascii="Times New Roman" w:hAnsi="Times New Roman" w:eastAsia="黑体" w:cs="Times New Roman"/>
      <w:sz w:val="28"/>
      <w:lang w:val="en-US" w:eastAsia="zh-CN" w:bidi="ar-SA"/>
    </w:rPr>
  </w:style>
  <w:style w:type="paragraph" w:customStyle="1" w:styleId="271">
    <w:name w:val="xl88"/>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72">
    <w:name w:val="xl81"/>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jc w:val="left"/>
      <w:textAlignment w:val="center"/>
    </w:pPr>
    <w:rPr>
      <w:rFonts w:ascii="宋体" w:hAnsi="宋体" w:cs="宋体"/>
      <w:kern w:val="0"/>
      <w:szCs w:val="21"/>
    </w:rPr>
  </w:style>
  <w:style w:type="paragraph" w:customStyle="1" w:styleId="273">
    <w:name w:val="xl53"/>
    <w:basedOn w:val="1"/>
    <w:qFormat/>
    <w:uiPriority w:val="0"/>
    <w:pPr>
      <w:spacing w:before="100" w:beforeAutospacing="1" w:after="100" w:afterAutospacing="1"/>
      <w:jc w:val="left"/>
    </w:pPr>
    <w:rPr>
      <w:rFonts w:hint="eastAsia" w:ascii="黑体" w:hAnsi="宋体" w:eastAsia="黑体"/>
      <w:kern w:val="0"/>
      <w:sz w:val="24"/>
    </w:rPr>
  </w:style>
  <w:style w:type="paragraph" w:customStyle="1" w:styleId="274">
    <w:name w:val="USE 2"/>
    <w:basedOn w:val="1"/>
    <w:qFormat/>
    <w:uiPriority w:val="0"/>
    <w:pPr>
      <w:ind w:left="4556" w:hanging="3836"/>
      <w:jc w:val="left"/>
    </w:pPr>
    <w:rPr>
      <w:rFonts w:ascii="宋体" w:hAnsi="宋体"/>
      <w:sz w:val="24"/>
      <w:szCs w:val="20"/>
    </w:rPr>
  </w:style>
  <w:style w:type="paragraph" w:customStyle="1" w:styleId="275">
    <w:name w:val="表格文字"/>
    <w:basedOn w:val="1"/>
    <w:qFormat/>
    <w:uiPriority w:val="0"/>
    <w:pPr>
      <w:adjustRightInd w:val="0"/>
      <w:spacing w:line="420" w:lineRule="atLeast"/>
      <w:jc w:val="left"/>
      <w:textAlignment w:val="baseline"/>
    </w:pPr>
    <w:rPr>
      <w:kern w:val="0"/>
      <w:szCs w:val="20"/>
    </w:rPr>
  </w:style>
  <w:style w:type="paragraph" w:customStyle="1" w:styleId="276">
    <w:name w:val="1."/>
    <w:basedOn w:val="1"/>
    <w:qFormat/>
    <w:uiPriority w:val="0"/>
    <w:pPr>
      <w:tabs>
        <w:tab w:val="left" w:pos="425"/>
      </w:tabs>
      <w:ind w:firstLine="482"/>
    </w:pPr>
    <w:rPr>
      <w:sz w:val="28"/>
      <w:szCs w:val="20"/>
    </w:rPr>
  </w:style>
  <w:style w:type="paragraph" w:customStyle="1" w:styleId="277">
    <w:name w:val="font8"/>
    <w:basedOn w:val="1"/>
    <w:qFormat/>
    <w:uiPriority w:val="0"/>
    <w:pPr>
      <w:spacing w:before="100" w:beforeAutospacing="1" w:after="100" w:afterAutospacing="1"/>
      <w:jc w:val="left"/>
    </w:pPr>
    <w:rPr>
      <w:rFonts w:hint="eastAsia" w:ascii="楷体_GB2312" w:hAnsi="宋体" w:eastAsia="楷体_GB2312"/>
      <w:kern w:val="0"/>
      <w:sz w:val="20"/>
      <w:szCs w:val="20"/>
    </w:rPr>
  </w:style>
  <w:style w:type="paragraph" w:customStyle="1" w:styleId="278">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279">
    <w:name w:val="Body text 1"/>
    <w:basedOn w:val="280"/>
    <w:qFormat/>
    <w:uiPriority w:val="0"/>
    <w:pPr>
      <w:tabs>
        <w:tab w:val="left" w:pos="1134"/>
      </w:tabs>
      <w:ind w:hanging="1134"/>
    </w:pPr>
  </w:style>
  <w:style w:type="paragraph" w:customStyle="1" w:styleId="280">
    <w:name w:val="正文文本1"/>
    <w:qFormat/>
    <w:uiPriority w:val="0"/>
    <w:pPr>
      <w:widowControl w:val="0"/>
      <w:autoSpaceDE w:val="0"/>
      <w:autoSpaceDN w:val="0"/>
      <w:adjustRightInd w:val="0"/>
      <w:spacing w:before="170" w:line="300" w:lineRule="atLeast"/>
      <w:ind w:left="1134" w:firstLine="420"/>
      <w:jc w:val="both"/>
    </w:pPr>
    <w:rPr>
      <w:rFonts w:ascii="Times New Roman" w:hAnsi="Times New Roman" w:eastAsia="宋体" w:cs="Times New Roman"/>
      <w:color w:val="000000"/>
      <w:sz w:val="24"/>
      <w:lang w:val="en-US" w:eastAsia="zh-CN" w:bidi="ar-SA"/>
    </w:rPr>
  </w:style>
  <w:style w:type="paragraph" w:customStyle="1" w:styleId="281">
    <w:name w:val="_Style 10"/>
    <w:basedOn w:val="1"/>
    <w:next w:val="1"/>
    <w:qFormat/>
    <w:uiPriority w:val="0"/>
  </w:style>
  <w:style w:type="paragraph" w:customStyle="1" w:styleId="282">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83">
    <w:name w:val="Char Char Char Char Char Char Char1"/>
    <w:basedOn w:val="1"/>
    <w:qFormat/>
    <w:uiPriority w:val="0"/>
    <w:pPr>
      <w:spacing w:after="160" w:line="240" w:lineRule="exact"/>
      <w:jc w:val="left"/>
    </w:pPr>
    <w:rPr>
      <w:rFonts w:ascii="Arial" w:hAnsi="Arial" w:eastAsia="Times New Roman" w:cs="Verdana"/>
      <w:b/>
      <w:kern w:val="0"/>
      <w:sz w:val="24"/>
      <w:lang w:eastAsia="en-US"/>
    </w:rPr>
  </w:style>
  <w:style w:type="paragraph" w:customStyle="1" w:styleId="284">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paragraph" w:customStyle="1" w:styleId="285">
    <w:name w:val="Char Char Char Char"/>
    <w:basedOn w:val="1"/>
    <w:qFormat/>
    <w:uiPriority w:val="0"/>
    <w:pPr>
      <w:tabs>
        <w:tab w:val="left" w:pos="360"/>
      </w:tabs>
    </w:pPr>
    <w:rPr>
      <w:sz w:val="24"/>
    </w:rPr>
  </w:style>
  <w:style w:type="paragraph" w:customStyle="1" w:styleId="286">
    <w:name w:val="标题3"/>
    <w:basedOn w:val="2"/>
    <w:qFormat/>
    <w:uiPriority w:val="0"/>
    <w:pPr>
      <w:spacing w:beforeLines="50" w:after="0" w:line="312" w:lineRule="auto"/>
      <w:jc w:val="center"/>
    </w:pPr>
    <w:rPr>
      <w:rFonts w:ascii="宋体"/>
      <w:bCs w:val="0"/>
      <w:sz w:val="24"/>
      <w:szCs w:val="20"/>
    </w:rPr>
  </w:style>
  <w:style w:type="paragraph" w:customStyle="1" w:styleId="287">
    <w:name w:val="cucd-TB"/>
    <w:qFormat/>
    <w:uiPriority w:val="0"/>
    <w:pPr>
      <w:spacing w:line="360" w:lineRule="auto"/>
      <w:ind w:firstLine="420"/>
      <w:jc w:val="center"/>
    </w:pPr>
    <w:rPr>
      <w:rFonts w:ascii="Times New Roman" w:hAnsi="Times New Roman" w:eastAsia="宋体" w:cs="Times New Roman"/>
      <w:kern w:val="2"/>
      <w:sz w:val="21"/>
      <w:szCs w:val="24"/>
      <w:lang w:val="en-US" w:eastAsia="zh-CN" w:bidi="ar-SA"/>
    </w:rPr>
  </w:style>
  <w:style w:type="paragraph" w:customStyle="1" w:styleId="288">
    <w:name w:val="xl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89">
    <w:name w:val="Char1"/>
    <w:basedOn w:val="1"/>
    <w:qFormat/>
    <w:uiPriority w:val="0"/>
    <w:rPr>
      <w:rFonts w:ascii="仿宋_GB2312" w:eastAsia="仿宋_GB2312"/>
      <w:b/>
      <w:sz w:val="32"/>
      <w:szCs w:val="32"/>
    </w:rPr>
  </w:style>
  <w:style w:type="paragraph" w:customStyle="1" w:styleId="290">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91">
    <w:name w:val="样式 纯文本 + 居中 行距: 最小值 9 磅"/>
    <w:basedOn w:val="26"/>
    <w:qFormat/>
    <w:uiPriority w:val="0"/>
    <w:pPr>
      <w:spacing w:line="180" w:lineRule="atLeast"/>
      <w:jc w:val="left"/>
    </w:pPr>
    <w:rPr>
      <w:rFonts w:cs="宋体"/>
      <w:sz w:val="24"/>
      <w:szCs w:val="20"/>
    </w:rPr>
  </w:style>
  <w:style w:type="paragraph" w:customStyle="1" w:styleId="292">
    <w:name w:val="Char Char Char Char Char Char Char Char Char Char Char Char Char"/>
    <w:basedOn w:val="1"/>
    <w:qFormat/>
    <w:uiPriority w:val="0"/>
    <w:rPr>
      <w:rFonts w:ascii="仿宋_GB2312" w:eastAsia="仿宋_GB2312"/>
      <w:b/>
      <w:sz w:val="32"/>
      <w:szCs w:val="32"/>
    </w:rPr>
  </w:style>
  <w:style w:type="paragraph" w:customStyle="1" w:styleId="293">
    <w:name w:val="xl98"/>
    <w:basedOn w:val="1"/>
    <w:qFormat/>
    <w:uiPriority w:val="0"/>
    <w:pPr>
      <w:pBdr>
        <w:top w:val="single" w:color="auto" w:sz="4" w:space="0"/>
        <w:left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94">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95">
    <w:name w:val="Style 樣式 標題 3 + (中文) MS Gothic 10.5 點 + (Latin) Times New Roman (A..."/>
    <w:basedOn w:val="1"/>
    <w:qFormat/>
    <w:uiPriority w:val="0"/>
    <w:pPr>
      <w:keepNext/>
      <w:tabs>
        <w:tab w:val="left" w:pos="2098"/>
      </w:tabs>
      <w:ind w:left="1503" w:hanging="142"/>
      <w:outlineLvl w:val="2"/>
    </w:pPr>
    <w:rPr>
      <w:rFonts w:eastAsia="PMingLiU"/>
      <w:snapToGrid w:val="0"/>
      <w:sz w:val="24"/>
      <w:lang w:val="en-AU" w:eastAsia="zh-TW"/>
    </w:rPr>
  </w:style>
  <w:style w:type="paragraph" w:customStyle="1" w:styleId="296">
    <w:name w:val="tableau"/>
    <w:basedOn w:val="1"/>
    <w:qFormat/>
    <w:uiPriority w:val="0"/>
    <w:pPr>
      <w:spacing w:before="20" w:after="20"/>
      <w:jc w:val="center"/>
    </w:pPr>
    <w:rPr>
      <w:rFonts w:ascii="Arial" w:hAnsi="Arial"/>
      <w:kern w:val="0"/>
      <w:sz w:val="16"/>
      <w:szCs w:val="20"/>
      <w:lang w:val="en-GB"/>
    </w:rPr>
  </w:style>
  <w:style w:type="paragraph" w:customStyle="1" w:styleId="297">
    <w:name w:val="xl35"/>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98">
    <w:name w:val="Char Char Char Char2"/>
    <w:basedOn w:val="1"/>
    <w:qFormat/>
    <w:uiPriority w:val="0"/>
    <w:pPr>
      <w:tabs>
        <w:tab w:val="left" w:pos="1080"/>
      </w:tabs>
      <w:ind w:left="1078" w:leftChars="343" w:right="210" w:rightChars="100" w:hanging="358" w:hangingChars="149"/>
    </w:pPr>
    <w:rPr>
      <w:sz w:val="24"/>
      <w:szCs w:val="20"/>
    </w:rPr>
  </w:style>
  <w:style w:type="paragraph" w:customStyle="1" w:styleId="299">
    <w:name w:val="xl54"/>
    <w:basedOn w:val="1"/>
    <w:qFormat/>
    <w:uiPriority w:val="0"/>
    <w:pPr>
      <w:pBdr>
        <w:top w:val="single" w:color="auto" w:sz="8"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300">
    <w:name w:val="xl33"/>
    <w:basedOn w:val="1"/>
    <w:qFormat/>
    <w:uiPriority w:val="0"/>
    <w:pPr>
      <w:pBdr>
        <w:left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301">
    <w:name w:val="样式 宋体 小四 黑色 左 行距: 1.5 倍行距"/>
    <w:basedOn w:val="1"/>
    <w:qFormat/>
    <w:uiPriority w:val="0"/>
    <w:pPr>
      <w:jc w:val="left"/>
    </w:pPr>
    <w:rPr>
      <w:rFonts w:ascii="宋体" w:hAnsi="宋体" w:cs="宋体"/>
      <w:color w:val="000000"/>
      <w:sz w:val="24"/>
      <w:szCs w:val="20"/>
    </w:rPr>
  </w:style>
  <w:style w:type="paragraph" w:customStyle="1" w:styleId="302">
    <w:name w:val="xl8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03">
    <w:name w:val="xl64"/>
    <w:basedOn w:val="1"/>
    <w:qFormat/>
    <w:uiPriority w:val="0"/>
    <w:pPr>
      <w:spacing w:before="100" w:beforeAutospacing="1" w:after="100" w:afterAutospacing="1"/>
      <w:jc w:val="center"/>
      <w:textAlignment w:val="center"/>
    </w:pPr>
    <w:rPr>
      <w:rFonts w:ascii="宋体" w:hAnsi="宋体" w:cs="宋体"/>
      <w:kern w:val="0"/>
      <w:sz w:val="24"/>
    </w:rPr>
  </w:style>
  <w:style w:type="paragraph" w:customStyle="1" w:styleId="304">
    <w:name w:val="Tétière"/>
    <w:basedOn w:val="1"/>
    <w:qFormat/>
    <w:uiPriority w:val="0"/>
    <w:pPr>
      <w:spacing w:before="60" w:after="60"/>
      <w:jc w:val="center"/>
    </w:pPr>
    <w:rPr>
      <w:rFonts w:ascii="Arial" w:hAnsi="Arial"/>
      <w:b/>
      <w:kern w:val="0"/>
      <w:sz w:val="16"/>
      <w:szCs w:val="20"/>
      <w:lang w:val="en-GB"/>
    </w:rPr>
  </w:style>
  <w:style w:type="paragraph" w:customStyle="1" w:styleId="305">
    <w:name w:val="目录 81"/>
    <w:basedOn w:val="1"/>
    <w:next w:val="1"/>
    <w:qFormat/>
    <w:uiPriority w:val="39"/>
    <w:pPr>
      <w:ind w:left="2940" w:leftChars="1400"/>
    </w:pPr>
    <w:rPr>
      <w:rFonts w:ascii="Calibri" w:hAnsi="Calibri"/>
      <w:szCs w:val="22"/>
    </w:rPr>
  </w:style>
  <w:style w:type="paragraph" w:customStyle="1" w:styleId="306">
    <w:name w:val="样式1"/>
    <w:basedOn w:val="33"/>
    <w:qFormat/>
    <w:uiPriority w:val="0"/>
    <w:pPr>
      <w:autoSpaceDE w:val="0"/>
      <w:autoSpaceDN w:val="0"/>
      <w:adjustRightInd w:val="0"/>
      <w:snapToGrid/>
      <w:textAlignment w:val="baseline"/>
    </w:pPr>
    <w:rPr>
      <w:rFonts w:ascii="宋体"/>
      <w:kern w:val="0"/>
      <w:szCs w:val="20"/>
    </w:rPr>
  </w:style>
  <w:style w:type="paragraph" w:customStyle="1" w:styleId="307">
    <w:name w:val="Char Char Char Char Char Char Char Char Char Char"/>
    <w:basedOn w:val="1"/>
    <w:qFormat/>
    <w:uiPriority w:val="0"/>
    <w:rPr>
      <w:rFonts w:ascii="Tahoma" w:hAnsi="Tahoma" w:cs="仿宋_GB2312"/>
      <w:sz w:val="24"/>
      <w:szCs w:val="20"/>
    </w:rPr>
  </w:style>
  <w:style w:type="paragraph" w:customStyle="1" w:styleId="308">
    <w:name w:val="孙（1）"/>
    <w:qFormat/>
    <w:uiPriority w:val="0"/>
    <w:pPr>
      <w:spacing w:before="100" w:after="100" w:line="360" w:lineRule="auto"/>
      <w:ind w:firstLine="420"/>
      <w:jc w:val="both"/>
      <w:outlineLvl w:val="1"/>
    </w:pPr>
    <w:rPr>
      <w:rFonts w:ascii="Times New Roman" w:hAnsi="Times New Roman" w:eastAsia="宋体" w:cs="Times New Roman"/>
      <w:b/>
      <w:sz w:val="24"/>
      <w:szCs w:val="24"/>
      <w:lang w:val="en-US" w:eastAsia="zh-CN" w:bidi="ar-SA"/>
    </w:rPr>
  </w:style>
  <w:style w:type="paragraph" w:customStyle="1" w:styleId="309">
    <w:name w:val="Char4"/>
    <w:basedOn w:val="1"/>
    <w:qFormat/>
    <w:uiPriority w:val="0"/>
  </w:style>
  <w:style w:type="paragraph" w:customStyle="1" w:styleId="310">
    <w:name w:val="目录 41"/>
    <w:basedOn w:val="1"/>
    <w:next w:val="1"/>
    <w:qFormat/>
    <w:uiPriority w:val="39"/>
    <w:pPr>
      <w:ind w:left="1260" w:leftChars="600"/>
    </w:pPr>
    <w:rPr>
      <w:rFonts w:ascii="Calibri" w:hAnsi="Calibri"/>
      <w:szCs w:val="22"/>
    </w:rPr>
  </w:style>
  <w:style w:type="paragraph" w:customStyle="1" w:styleId="311">
    <w:name w:val="cucd-0"/>
    <w:qFormat/>
    <w:uiPriority w:val="0"/>
    <w:pPr>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paragraph" w:customStyle="1" w:styleId="312">
    <w:name w:val="xl61"/>
    <w:basedOn w:val="1"/>
    <w:qFormat/>
    <w:uiPriority w:val="0"/>
    <w:pPr>
      <w:pBdr>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313">
    <w:name w:val="1.1"/>
    <w:basedOn w:val="3"/>
    <w:qFormat/>
    <w:uiPriority w:val="0"/>
    <w:pPr>
      <w:keepNext w:val="0"/>
      <w:keepLines w:val="0"/>
      <w:autoSpaceDE w:val="0"/>
      <w:autoSpaceDN w:val="0"/>
      <w:adjustRightInd w:val="0"/>
      <w:spacing w:before="0" w:after="0"/>
      <w:jc w:val="left"/>
      <w:outlineLvl w:val="2"/>
    </w:pPr>
    <w:rPr>
      <w:rFonts w:ascii="宋体" w:hAnsi="宋体" w:eastAsia="宋体"/>
      <w:b w:val="0"/>
      <w:bCs w:val="0"/>
      <w:kern w:val="0"/>
      <w:sz w:val="21"/>
      <w:szCs w:val="20"/>
    </w:rPr>
  </w:style>
  <w:style w:type="paragraph" w:customStyle="1" w:styleId="314">
    <w:name w:val="xl31"/>
    <w:basedOn w:val="1"/>
    <w:qFormat/>
    <w:uiPriority w:val="0"/>
    <w:pPr>
      <w:spacing w:before="100" w:beforeAutospacing="1" w:after="100" w:afterAutospacing="1"/>
      <w:jc w:val="center"/>
      <w:textAlignment w:val="center"/>
    </w:pPr>
    <w:rPr>
      <w:rFonts w:ascii="宋体" w:hAnsi="宋体" w:cs="宋体"/>
      <w:b/>
      <w:bCs/>
      <w:color w:val="000000"/>
      <w:kern w:val="0"/>
      <w:sz w:val="32"/>
      <w:szCs w:val="32"/>
    </w:rPr>
  </w:style>
  <w:style w:type="paragraph" w:customStyle="1" w:styleId="315">
    <w:name w:val="文件正文"/>
    <w:basedOn w:val="1"/>
    <w:qFormat/>
    <w:uiPriority w:val="0"/>
    <w:pPr>
      <w:ind w:firstLine="480"/>
    </w:pPr>
    <w:rPr>
      <w:rFonts w:eastAsia="仿宋_GB2312"/>
      <w:sz w:val="24"/>
      <w:szCs w:val="20"/>
    </w:rPr>
  </w:style>
  <w:style w:type="paragraph" w:customStyle="1" w:styleId="316">
    <w:name w:val="333"/>
    <w:basedOn w:val="1"/>
    <w:qFormat/>
    <w:uiPriority w:val="0"/>
    <w:pPr>
      <w:tabs>
        <w:tab w:val="left" w:pos="9083"/>
      </w:tabs>
      <w:wordWrap w:val="0"/>
      <w:spacing w:beforeLines="50" w:afterLines="50"/>
      <w:ind w:right="1106"/>
    </w:pPr>
    <w:rPr>
      <w:rFonts w:ascii="宋体" w:hAnsi="宋体" w:cs="宋体"/>
      <w:sz w:val="24"/>
    </w:rPr>
  </w:style>
  <w:style w:type="paragraph" w:customStyle="1" w:styleId="317">
    <w:name w:val="xl32"/>
    <w:basedOn w:val="1"/>
    <w:qFormat/>
    <w:uiPriority w:val="0"/>
    <w:pPr>
      <w:spacing w:before="100" w:beforeAutospacing="1" w:after="100" w:afterAutospacing="1"/>
      <w:jc w:val="left"/>
      <w:textAlignment w:val="center"/>
    </w:pPr>
    <w:rPr>
      <w:rFonts w:ascii="宋体" w:hAnsi="宋体" w:cs="宋体"/>
      <w:color w:val="000000"/>
      <w:kern w:val="0"/>
      <w:sz w:val="24"/>
    </w:rPr>
  </w:style>
  <w:style w:type="paragraph" w:customStyle="1" w:styleId="318">
    <w:name w:val="xl56"/>
    <w:basedOn w:val="1"/>
    <w:qFormat/>
    <w:uiPriority w:val="0"/>
    <w:pPr>
      <w:pBdr>
        <w:top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19">
    <w:name w:val="xl50"/>
    <w:basedOn w:val="1"/>
    <w:qFormat/>
    <w:uiPriority w:val="0"/>
    <w:pPr>
      <w:pBdr>
        <w:top w:val="single" w:color="auto" w:sz="4"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320">
    <w:name w:val="xl91"/>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21">
    <w:name w:val="通用专用"/>
    <w:basedOn w:val="1"/>
    <w:qFormat/>
    <w:uiPriority w:val="0"/>
    <w:pPr>
      <w:jc w:val="center"/>
    </w:pPr>
    <w:rPr>
      <w:rFonts w:ascii="宋体"/>
      <w:b/>
      <w:sz w:val="36"/>
      <w:szCs w:val="20"/>
    </w:rPr>
  </w:style>
  <w:style w:type="paragraph" w:customStyle="1" w:styleId="322">
    <w:name w:val="Char Char Char Char Char Char Char Char Char Char Char Char Char1"/>
    <w:basedOn w:val="1"/>
    <w:qFormat/>
    <w:uiPriority w:val="0"/>
    <w:rPr>
      <w:rFonts w:ascii="仿宋_GB2312" w:eastAsia="仿宋_GB2312"/>
      <w:b/>
      <w:sz w:val="32"/>
      <w:szCs w:val="32"/>
    </w:rPr>
  </w:style>
  <w:style w:type="paragraph" w:customStyle="1" w:styleId="323">
    <w:name w:val="xl34"/>
    <w:basedOn w:val="1"/>
    <w:qFormat/>
    <w:uiPriority w:val="0"/>
    <w:pPr>
      <w:pBdr>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324">
    <w:name w:val="TOC 标题1"/>
    <w:basedOn w:val="2"/>
    <w:next w:val="1"/>
    <w:qFormat/>
    <w:uiPriority w:val="39"/>
    <w:pPr>
      <w:spacing w:before="480" w:after="0" w:line="276" w:lineRule="auto"/>
      <w:jc w:val="left"/>
      <w:outlineLvl w:val="9"/>
    </w:pPr>
    <w:rPr>
      <w:rFonts w:ascii="Cambria" w:hAnsi="Cambria"/>
      <w:color w:val="365F91"/>
      <w:kern w:val="0"/>
      <w:sz w:val="28"/>
      <w:szCs w:val="28"/>
    </w:rPr>
  </w:style>
  <w:style w:type="paragraph" w:customStyle="1" w:styleId="325">
    <w:name w:val="需求书用目录1"/>
    <w:basedOn w:val="1"/>
    <w:qFormat/>
    <w:uiPriority w:val="0"/>
    <w:pPr>
      <w:spacing w:before="360" w:after="40" w:line="500" w:lineRule="exact"/>
      <w:ind w:left="538" w:leftChars="256" w:firstLine="2803" w:firstLineChars="1000"/>
    </w:pPr>
    <w:rPr>
      <w:rFonts w:ascii="宋体"/>
      <w:b/>
      <w:sz w:val="28"/>
      <w:szCs w:val="20"/>
    </w:rPr>
  </w:style>
  <w:style w:type="paragraph" w:customStyle="1" w:styleId="326">
    <w:name w:val="xl6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327">
    <w:name w:val="重点"/>
    <w:basedOn w:val="1"/>
    <w:qFormat/>
    <w:uiPriority w:val="0"/>
    <w:pPr>
      <w:tabs>
        <w:tab w:val="left" w:pos="0"/>
        <w:tab w:val="left" w:pos="420"/>
      </w:tabs>
      <w:adjustRightInd w:val="0"/>
      <w:snapToGrid w:val="0"/>
      <w:spacing w:line="560" w:lineRule="atLeast"/>
      <w:ind w:left="420" w:hanging="420"/>
    </w:pPr>
    <w:rPr>
      <w:kern w:val="24"/>
      <w:sz w:val="30"/>
      <w:szCs w:val="20"/>
    </w:rPr>
  </w:style>
  <w:style w:type="paragraph" w:customStyle="1" w:styleId="328">
    <w:name w:val="目录 61"/>
    <w:basedOn w:val="1"/>
    <w:next w:val="1"/>
    <w:qFormat/>
    <w:uiPriority w:val="39"/>
    <w:pPr>
      <w:ind w:left="2100" w:leftChars="1000"/>
    </w:pPr>
    <w:rPr>
      <w:rFonts w:ascii="Calibri" w:hAnsi="Calibri"/>
      <w:szCs w:val="22"/>
    </w:rPr>
  </w:style>
  <w:style w:type="paragraph" w:customStyle="1" w:styleId="329">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30">
    <w:name w:val="xl93"/>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31">
    <w:name w:val="样式 样式 标题 3 + 仿宋_GB2312 小四 段前: 0 磅 段后: 0 磅 + 段前: 0.5 行"/>
    <w:basedOn w:val="332"/>
    <w:qFormat/>
    <w:uiPriority w:val="0"/>
    <w:pPr>
      <w:spacing w:afterLines="50"/>
      <w:jc w:val="both"/>
    </w:pPr>
    <w:rPr>
      <w:rFonts w:ascii="宋体" w:eastAsia="宋体"/>
      <w:b w:val="0"/>
    </w:rPr>
  </w:style>
  <w:style w:type="paragraph" w:customStyle="1" w:styleId="332">
    <w:name w:val="样式 标题 3 + 仿宋_GB2312 小四 段前: 0 磅 段后: 0 磅"/>
    <w:basedOn w:val="4"/>
    <w:qFormat/>
    <w:uiPriority w:val="0"/>
    <w:pPr>
      <w:spacing w:beforeLines="50" w:after="0" w:line="413" w:lineRule="auto"/>
      <w:jc w:val="center"/>
    </w:pPr>
    <w:rPr>
      <w:rFonts w:ascii="仿宋_GB2312" w:eastAsia="仿宋_GB2312" w:cs="宋体"/>
      <w:kern w:val="0"/>
      <w:szCs w:val="20"/>
    </w:rPr>
  </w:style>
  <w:style w:type="paragraph" w:customStyle="1" w:styleId="333">
    <w:name w:val="xl57"/>
    <w:basedOn w:val="1"/>
    <w:qFormat/>
    <w:uiPriority w:val="0"/>
    <w:pPr>
      <w:pBdr>
        <w:top w:val="single" w:color="auto" w:sz="4" w:space="0"/>
        <w:right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34">
    <w:name w:val="青岛正文"/>
    <w:basedOn w:val="1"/>
    <w:qFormat/>
    <w:uiPriority w:val="0"/>
    <w:rPr>
      <w:sz w:val="28"/>
    </w:rPr>
  </w:style>
  <w:style w:type="paragraph" w:customStyle="1" w:styleId="335">
    <w:name w:val="xl7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4"/>
    </w:rPr>
  </w:style>
  <w:style w:type="paragraph" w:customStyle="1" w:styleId="336">
    <w:name w:val="样式 标题 3 + (中文) 黑体 小四 非加粗 段前: 7.8 磅 段后: 0 磅 行距: 固定值 20 磅"/>
    <w:basedOn w:val="4"/>
    <w:qFormat/>
    <w:uiPriority w:val="0"/>
    <w:pPr>
      <w:spacing w:before="0" w:after="0" w:line="400" w:lineRule="exact"/>
    </w:pPr>
    <w:rPr>
      <w:rFonts w:eastAsia="黑体" w:cs="宋体"/>
      <w:b w:val="0"/>
      <w:bCs w:val="0"/>
      <w:szCs w:val="20"/>
    </w:rPr>
  </w:style>
  <w:style w:type="paragraph" w:customStyle="1" w:styleId="337">
    <w:name w:val="xl4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338">
    <w:name w:val="font12"/>
    <w:basedOn w:val="1"/>
    <w:qFormat/>
    <w:uiPriority w:val="0"/>
    <w:pPr>
      <w:spacing w:before="100" w:beforeAutospacing="1" w:after="100" w:afterAutospacing="1"/>
      <w:jc w:val="left"/>
    </w:pPr>
    <w:rPr>
      <w:rFonts w:hint="eastAsia" w:ascii="宋体" w:hAnsi="宋体" w:cs="Arial Unicode MS"/>
      <w:b/>
      <w:bCs/>
      <w:color w:val="000000"/>
      <w:kern w:val="0"/>
      <w:sz w:val="16"/>
      <w:szCs w:val="16"/>
    </w:rPr>
  </w:style>
  <w:style w:type="paragraph" w:customStyle="1" w:styleId="339">
    <w:name w:val="xl8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40">
    <w:name w:val="xl100"/>
    <w:basedOn w:val="1"/>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41">
    <w:name w:val="Report Level 2"/>
    <w:basedOn w:val="238"/>
    <w:next w:val="104"/>
    <w:qFormat/>
    <w:uiPriority w:val="0"/>
    <w:pPr>
      <w:ind w:left="0" w:firstLine="0"/>
      <w:outlineLvl w:val="1"/>
    </w:pPr>
    <w:rPr>
      <w:caps w:val="0"/>
    </w:rPr>
  </w:style>
  <w:style w:type="paragraph" w:styleId="342">
    <w:name w:val="List Paragraph"/>
    <w:basedOn w:val="1"/>
    <w:qFormat/>
    <w:uiPriority w:val="34"/>
    <w:pPr>
      <w:ind w:firstLine="420"/>
    </w:pPr>
  </w:style>
  <w:style w:type="paragraph" w:customStyle="1" w:styleId="343">
    <w:name w:val="xl45"/>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344">
    <w:name w:val="xl44"/>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4"/>
    </w:rPr>
  </w:style>
  <w:style w:type="paragraph" w:customStyle="1" w:styleId="345">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346">
    <w:name w:val="样式 宋体 小四 首行缩进:  0.93 厘米 段前: 11.15 磅 段后: 11.15 磅1"/>
    <w:basedOn w:val="196"/>
    <w:next w:val="196"/>
    <w:qFormat/>
    <w:uiPriority w:val="99"/>
    <w:rPr>
      <w:rFonts w:ascii="宋体"/>
      <w:color w:val="auto"/>
    </w:rPr>
  </w:style>
  <w:style w:type="paragraph" w:customStyle="1" w:styleId="347">
    <w:name w:val="纯文本1"/>
    <w:basedOn w:val="1"/>
    <w:qFormat/>
    <w:uiPriority w:val="0"/>
    <w:rPr>
      <w:rFonts w:ascii="宋体" w:hAnsi="Courier New" w:cs="Courier New"/>
      <w:szCs w:val="21"/>
    </w:rPr>
  </w:style>
  <w:style w:type="paragraph" w:customStyle="1" w:styleId="348">
    <w:name w:val="xl97"/>
    <w:basedOn w:val="1"/>
    <w:qFormat/>
    <w:uiPriority w:val="0"/>
    <w:pPr>
      <w:pBdr>
        <w:top w:val="single" w:color="auto" w:sz="4" w:space="0"/>
        <w:bottom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49">
    <w:name w:val="目录 21"/>
    <w:basedOn w:val="1"/>
    <w:next w:val="1"/>
    <w:qFormat/>
    <w:uiPriority w:val="39"/>
    <w:pPr>
      <w:tabs>
        <w:tab w:val="right" w:leader="dot" w:pos="8295"/>
      </w:tabs>
      <w:ind w:left="205" w:leftChars="205"/>
    </w:pPr>
  </w:style>
  <w:style w:type="paragraph" w:customStyle="1" w:styleId="350">
    <w:name w:val="1册标题1"/>
    <w:basedOn w:val="1"/>
    <w:next w:val="1"/>
    <w:qFormat/>
    <w:uiPriority w:val="0"/>
    <w:pPr>
      <w:spacing w:beforeLines="50" w:afterLines="50" w:line="300" w:lineRule="auto"/>
      <w:jc w:val="center"/>
      <w:outlineLvl w:val="0"/>
    </w:pPr>
    <w:rPr>
      <w:rFonts w:ascii="Arial" w:hAnsi="Arial" w:eastAsia="黑体"/>
      <w:b/>
      <w:bCs/>
      <w:sz w:val="48"/>
      <w:szCs w:val="20"/>
    </w:rPr>
  </w:style>
  <w:style w:type="paragraph" w:customStyle="1" w:styleId="351">
    <w:name w:val="xl94"/>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52">
    <w:name w:val="青岛标题4"/>
    <w:basedOn w:val="5"/>
    <w:qFormat/>
    <w:uiPriority w:val="0"/>
    <w:pPr>
      <w:spacing w:line="500" w:lineRule="atLeast"/>
      <w:jc w:val="left"/>
      <w:outlineLvl w:val="2"/>
    </w:pPr>
    <w:rPr>
      <w:rFonts w:eastAsia="宋体"/>
      <w:sz w:val="30"/>
    </w:rPr>
  </w:style>
  <w:style w:type="paragraph" w:customStyle="1" w:styleId="353">
    <w:name w:val="样式3"/>
    <w:basedOn w:val="33"/>
    <w:qFormat/>
    <w:uiPriority w:val="0"/>
    <w:pPr>
      <w:autoSpaceDE w:val="0"/>
      <w:autoSpaceDN w:val="0"/>
      <w:adjustRightInd w:val="0"/>
      <w:snapToGrid/>
      <w:textAlignment w:val="baseline"/>
    </w:pPr>
    <w:rPr>
      <w:rFonts w:ascii="宋体"/>
      <w:kern w:val="0"/>
      <w:szCs w:val="20"/>
    </w:rPr>
  </w:style>
  <w:style w:type="paragraph" w:customStyle="1" w:styleId="354">
    <w:name w:val="xl60"/>
    <w:basedOn w:val="1"/>
    <w:qFormat/>
    <w:uiPriority w:val="0"/>
    <w:pPr>
      <w:pBdr>
        <w:top w:val="single" w:color="auto" w:sz="4" w:space="0"/>
        <w:left w:val="single" w:color="auto" w:sz="4" w:space="0"/>
        <w:bottom w:val="single" w:color="auto" w:sz="4" w:space="0"/>
      </w:pBdr>
      <w:spacing w:before="100" w:after="100"/>
      <w:jc w:val="center"/>
      <w:textAlignment w:val="center"/>
    </w:pPr>
    <w:rPr>
      <w:rFonts w:eastAsia="Arial Unicode MS"/>
      <w:kern w:val="0"/>
      <w:szCs w:val="20"/>
    </w:rPr>
  </w:style>
  <w:style w:type="paragraph" w:customStyle="1" w:styleId="355">
    <w:name w:val="xl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56">
    <w:name w:val="xl66"/>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57">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358">
    <w:name w:val="font13"/>
    <w:basedOn w:val="1"/>
    <w:qFormat/>
    <w:uiPriority w:val="0"/>
    <w:pPr>
      <w:spacing w:before="100" w:beforeAutospacing="1" w:after="100" w:afterAutospacing="1"/>
      <w:jc w:val="left"/>
    </w:pPr>
    <w:rPr>
      <w:rFonts w:hint="eastAsia" w:ascii="宋体" w:hAnsi="宋体" w:cs="Arial Unicode MS"/>
      <w:color w:val="000000"/>
      <w:kern w:val="0"/>
      <w:sz w:val="18"/>
      <w:szCs w:val="18"/>
    </w:rPr>
  </w:style>
  <w:style w:type="paragraph" w:customStyle="1" w:styleId="359">
    <w:name w:val="样式 (西文) 宋体 行距: 1.5 倍行距"/>
    <w:basedOn w:val="1"/>
    <w:qFormat/>
    <w:uiPriority w:val="0"/>
    <w:rPr>
      <w:rFonts w:ascii="宋体" w:hAnsi="宋体" w:cs="宋体"/>
      <w:szCs w:val="20"/>
    </w:rPr>
  </w:style>
  <w:style w:type="paragraph" w:customStyle="1" w:styleId="360">
    <w:name w:val="Retrait 1"/>
    <w:basedOn w:val="14"/>
    <w:qFormat/>
    <w:uiPriority w:val="0"/>
    <w:pPr>
      <w:spacing w:after="240"/>
      <w:ind w:left="1134" w:firstLine="0" w:firstLineChars="0"/>
      <w:jc w:val="left"/>
    </w:pPr>
    <w:rPr>
      <w:rFonts w:ascii="Palatino" w:hAnsi="Palatino"/>
      <w:kern w:val="0"/>
      <w:sz w:val="24"/>
      <w:szCs w:val="20"/>
      <w:lang w:val="en-GB"/>
    </w:rPr>
  </w:style>
  <w:style w:type="paragraph" w:customStyle="1" w:styleId="361">
    <w:name w:val="Report Level 3"/>
    <w:basedOn w:val="238"/>
    <w:next w:val="104"/>
    <w:qFormat/>
    <w:uiPriority w:val="0"/>
    <w:pPr>
      <w:tabs>
        <w:tab w:val="clear" w:pos="1080"/>
      </w:tabs>
      <w:ind w:left="0" w:firstLine="0"/>
      <w:jc w:val="both"/>
      <w:outlineLvl w:val="2"/>
    </w:pPr>
    <w:rPr>
      <w:b w:val="0"/>
      <w:caps w:val="0"/>
      <w:sz w:val="22"/>
    </w:rPr>
  </w:style>
  <w:style w:type="paragraph" w:customStyle="1" w:styleId="362">
    <w:name w:val="xl96"/>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363">
    <w:name w:val="xl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64">
    <w:name w:val="xl47"/>
    <w:basedOn w:val="1"/>
    <w:qFormat/>
    <w:uiPriority w:val="0"/>
    <w:pPr>
      <w:pBdr>
        <w:bottom w:val="single" w:color="auto" w:sz="8" w:space="0"/>
      </w:pBdr>
      <w:spacing w:before="100" w:beforeAutospacing="1" w:after="100" w:afterAutospacing="1"/>
      <w:jc w:val="center"/>
      <w:textAlignment w:val="center"/>
    </w:pPr>
    <w:rPr>
      <w:rFonts w:hint="eastAsia" w:ascii="隶书" w:hAnsi="宋体" w:eastAsia="隶书"/>
      <w:kern w:val="0"/>
      <w:sz w:val="44"/>
      <w:szCs w:val="44"/>
    </w:rPr>
  </w:style>
  <w:style w:type="paragraph" w:customStyle="1" w:styleId="365">
    <w:name w:val="xl8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66">
    <w:name w:val="Char Char Char Char Char Char Char Char Char Char Char Char"/>
    <w:basedOn w:val="1"/>
    <w:qFormat/>
    <w:uiPriority w:val="0"/>
    <w:rPr>
      <w:rFonts w:ascii="Tahoma" w:hAnsi="Tahoma"/>
      <w:sz w:val="24"/>
      <w:szCs w:val="20"/>
    </w:rPr>
  </w:style>
  <w:style w:type="paragraph" w:customStyle="1" w:styleId="367">
    <w:name w:val="标题 41"/>
    <w:basedOn w:val="1"/>
    <w:qFormat/>
    <w:uiPriority w:val="1"/>
    <w:pPr>
      <w:ind w:left="522"/>
      <w:jc w:val="left"/>
      <w:outlineLvl w:val="4"/>
    </w:pPr>
    <w:rPr>
      <w:rFonts w:eastAsia="Times New Roman"/>
      <w:b/>
      <w:bCs/>
      <w:kern w:val="0"/>
      <w:szCs w:val="21"/>
      <w:lang w:eastAsia="en-US"/>
    </w:rPr>
  </w:style>
  <w:style w:type="paragraph" w:customStyle="1" w:styleId="368">
    <w:name w:val="CM226"/>
    <w:basedOn w:val="1"/>
    <w:next w:val="1"/>
    <w:qFormat/>
    <w:uiPriority w:val="0"/>
    <w:pPr>
      <w:autoSpaceDE w:val="0"/>
      <w:autoSpaceDN w:val="0"/>
      <w:adjustRightInd w:val="0"/>
      <w:spacing w:after="2445"/>
      <w:jc w:val="left"/>
    </w:pPr>
    <w:rPr>
      <w:rFonts w:ascii="宋体"/>
      <w:kern w:val="0"/>
      <w:sz w:val="24"/>
    </w:rPr>
  </w:style>
  <w:style w:type="paragraph" w:customStyle="1" w:styleId="369">
    <w:name w:val="xl2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70">
    <w:name w:val="样式 USE 1 + 行距: 单倍行距"/>
    <w:basedOn w:val="1"/>
    <w:qFormat/>
    <w:uiPriority w:val="0"/>
    <w:pPr>
      <w:spacing w:line="180" w:lineRule="atLeast"/>
      <w:jc w:val="left"/>
    </w:pPr>
    <w:rPr>
      <w:rFonts w:ascii="宋体" w:hAnsi="宋体" w:cs="宋体"/>
      <w:b/>
      <w:bCs/>
      <w:sz w:val="24"/>
      <w:szCs w:val="20"/>
    </w:rPr>
  </w:style>
  <w:style w:type="paragraph" w:customStyle="1" w:styleId="371">
    <w:name w:val="xl99"/>
    <w:basedOn w:val="1"/>
    <w:qFormat/>
    <w:uiPriority w:val="0"/>
    <w:pPr>
      <w:pBdr>
        <w:left w:val="single" w:color="auto"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72">
    <w:name w:val="合同书"/>
    <w:basedOn w:val="1"/>
    <w:qFormat/>
    <w:uiPriority w:val="0"/>
    <w:pPr>
      <w:jc w:val="center"/>
    </w:pPr>
    <w:rPr>
      <w:b/>
      <w:sz w:val="36"/>
      <w:szCs w:val="20"/>
    </w:rPr>
  </w:style>
  <w:style w:type="paragraph" w:customStyle="1" w:styleId="373">
    <w:name w:val="修订1"/>
    <w:qFormat/>
    <w:uiPriority w:val="99"/>
    <w:pPr>
      <w:spacing w:line="360" w:lineRule="auto"/>
      <w:ind w:firstLine="420"/>
      <w:jc w:val="both"/>
    </w:pPr>
    <w:rPr>
      <w:rFonts w:ascii="Times New Roman" w:hAnsi="Times New Roman" w:eastAsia="宋体" w:cs="Times New Roman"/>
      <w:kern w:val="2"/>
      <w:sz w:val="21"/>
      <w:szCs w:val="24"/>
      <w:lang w:val="en-US" w:eastAsia="zh-CN" w:bidi="ar-SA"/>
    </w:rPr>
  </w:style>
  <w:style w:type="paragraph" w:customStyle="1" w:styleId="374">
    <w:name w:val="条文 0"/>
    <w:next w:val="1"/>
    <w:qFormat/>
    <w:uiPriority w:val="0"/>
    <w:pPr>
      <w:spacing w:before="240" w:after="240" w:line="360" w:lineRule="auto"/>
      <w:ind w:left="420" w:hanging="420"/>
      <w:jc w:val="both"/>
    </w:pPr>
    <w:rPr>
      <w:rFonts w:ascii="Times New Roman" w:hAnsi="Times New Roman" w:eastAsia="黑体" w:cs="Times New Roman"/>
      <w:sz w:val="21"/>
      <w:lang w:val="en-US" w:eastAsia="zh-CN" w:bidi="ar-SA"/>
    </w:rPr>
  </w:style>
  <w:style w:type="paragraph" w:customStyle="1" w:styleId="375">
    <w:name w:val="条文 3"/>
    <w:next w:val="1"/>
    <w:qFormat/>
    <w:uiPriority w:val="0"/>
    <w:pPr>
      <w:spacing w:line="310" w:lineRule="exact"/>
      <w:ind w:left="1680" w:hanging="420"/>
      <w:jc w:val="both"/>
    </w:pPr>
    <w:rPr>
      <w:rFonts w:ascii="Times New Roman" w:hAnsi="Times New Roman" w:eastAsia="黑体" w:cs="Times New Roman"/>
      <w:sz w:val="21"/>
      <w:lang w:val="en-US" w:eastAsia="zh-CN" w:bidi="ar-SA"/>
    </w:rPr>
  </w:style>
  <w:style w:type="paragraph" w:customStyle="1" w:styleId="376">
    <w:name w:val="Char Char Char Char Char1 Char"/>
    <w:basedOn w:val="1"/>
    <w:qFormat/>
    <w:uiPriority w:val="0"/>
    <w:pPr>
      <w:adjustRightInd w:val="0"/>
    </w:pPr>
    <w:rPr>
      <w:rFonts w:eastAsia="黑体"/>
      <w:spacing w:val="20"/>
      <w:sz w:val="32"/>
      <w:szCs w:val="32"/>
    </w:rPr>
  </w:style>
  <w:style w:type="paragraph" w:customStyle="1" w:styleId="377">
    <w:name w:val="批注主题 Char Char"/>
    <w:basedOn w:val="18"/>
    <w:next w:val="18"/>
    <w:qFormat/>
    <w:uiPriority w:val="0"/>
    <w:rPr>
      <w:b/>
      <w:szCs w:val="20"/>
    </w:rPr>
  </w:style>
  <w:style w:type="paragraph" w:customStyle="1" w:styleId="378">
    <w:name w:val="正文段"/>
    <w:basedOn w:val="1"/>
    <w:qFormat/>
    <w:uiPriority w:val="0"/>
    <w:pPr>
      <w:snapToGrid w:val="0"/>
      <w:spacing w:afterLines="50"/>
    </w:pPr>
    <w:rPr>
      <w:kern w:val="0"/>
      <w:sz w:val="24"/>
      <w:szCs w:val="20"/>
    </w:rPr>
  </w:style>
  <w:style w:type="paragraph" w:customStyle="1" w:styleId="379">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380">
    <w:name w:val="条文 表"/>
    <w:next w:val="1"/>
    <w:qFormat/>
    <w:uiPriority w:val="0"/>
    <w:pPr>
      <w:spacing w:line="360" w:lineRule="auto"/>
      <w:ind w:left="3360" w:hanging="420"/>
      <w:jc w:val="center"/>
    </w:pPr>
    <w:rPr>
      <w:rFonts w:ascii="Times New Roman" w:hAnsi="Times New Roman" w:eastAsia="黑体" w:cs="Times New Roman"/>
      <w:sz w:val="21"/>
      <w:lang w:val="en-US" w:eastAsia="zh-CN" w:bidi="ar-SA"/>
    </w:rPr>
  </w:style>
  <w:style w:type="paragraph" w:customStyle="1" w:styleId="381">
    <w:name w:val="xl6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82">
    <w:name w:val="目录 71"/>
    <w:basedOn w:val="1"/>
    <w:next w:val="1"/>
    <w:qFormat/>
    <w:uiPriority w:val="39"/>
    <w:pPr>
      <w:ind w:left="2520" w:leftChars="1200"/>
    </w:pPr>
    <w:rPr>
      <w:rFonts w:ascii="Calibri" w:hAnsi="Calibri"/>
      <w:szCs w:val="22"/>
    </w:rPr>
  </w:style>
  <w:style w:type="paragraph" w:customStyle="1" w:styleId="383">
    <w:name w:val="TOC 标题2"/>
    <w:basedOn w:val="2"/>
    <w:next w:val="1"/>
    <w:qFormat/>
    <w:uiPriority w:val="39"/>
    <w:pPr>
      <w:spacing w:before="240" w:after="0" w:line="259" w:lineRule="auto"/>
      <w:ind w:firstLine="0" w:firstLineChars="0"/>
      <w:jc w:val="left"/>
      <w:outlineLvl w:val="9"/>
    </w:pPr>
    <w:rPr>
      <w:rFonts w:ascii="Calibri Light" w:hAnsi="Calibri Light"/>
      <w:b w:val="0"/>
      <w:bCs w:val="0"/>
      <w:color w:val="2E74B5"/>
      <w:kern w:val="0"/>
      <w:sz w:val="32"/>
      <w:szCs w:val="32"/>
    </w:rPr>
  </w:style>
  <w:style w:type="paragraph" w:customStyle="1" w:styleId="384">
    <w:name w:val="青岛标题3"/>
    <w:basedOn w:val="4"/>
    <w:qFormat/>
    <w:uiPriority w:val="0"/>
    <w:pPr>
      <w:spacing w:line="500" w:lineRule="exact"/>
      <w:jc w:val="left"/>
      <w:outlineLvl w:val="1"/>
    </w:pPr>
  </w:style>
  <w:style w:type="paragraph" w:customStyle="1" w:styleId="385">
    <w:name w:val="xl63"/>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0"/>
      <w:szCs w:val="20"/>
    </w:rPr>
  </w:style>
  <w:style w:type="paragraph" w:customStyle="1" w:styleId="386">
    <w:name w:val="样式5"/>
    <w:basedOn w:val="1"/>
    <w:qFormat/>
    <w:uiPriority w:val="0"/>
    <w:pPr>
      <w:tabs>
        <w:tab w:val="left" w:pos="547"/>
        <w:tab w:val="left" w:pos="1080"/>
      </w:tabs>
      <w:spacing w:line="480" w:lineRule="atLeast"/>
      <w:jc w:val="center"/>
    </w:pPr>
    <w:rPr>
      <w:b/>
      <w:sz w:val="24"/>
    </w:rPr>
  </w:style>
  <w:style w:type="paragraph" w:customStyle="1" w:styleId="387">
    <w:name w:val="字元 字元 Char Char Char Char Char Char Char"/>
    <w:basedOn w:val="1"/>
    <w:qFormat/>
    <w:uiPriority w:val="0"/>
    <w:rPr>
      <w:rFonts w:ascii="Tahoma" w:hAnsi="Tahoma" w:cs="仿宋_GB2312"/>
      <w:sz w:val="24"/>
      <w:szCs w:val="20"/>
    </w:rPr>
  </w:style>
  <w:style w:type="paragraph" w:customStyle="1" w:styleId="388">
    <w:name w:val="样式 表格 + 加粗"/>
    <w:basedOn w:val="101"/>
    <w:qFormat/>
    <w:uiPriority w:val="0"/>
    <w:rPr>
      <w:b/>
      <w:bCs/>
    </w:rPr>
  </w:style>
  <w:style w:type="paragraph" w:customStyle="1" w:styleId="389">
    <w:name w:val="xl55"/>
    <w:basedOn w:val="1"/>
    <w:qFormat/>
    <w:uiPriority w:val="0"/>
    <w:pPr>
      <w:pBdr>
        <w:top w:val="single" w:color="auto" w:sz="8"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table" w:customStyle="1" w:styleId="390">
    <w:name w:val="Table Normal"/>
    <w:unhideWhenUsed/>
    <w:qFormat/>
    <w:uiPriority w:val="2"/>
    <w:pPr>
      <w:widowControl w:val="0"/>
      <w:spacing w:line="360" w:lineRule="auto"/>
      <w:ind w:firstLine="420"/>
      <w:jc w:val="both"/>
    </w:pPr>
    <w:rPr>
      <w:rFonts w:ascii="Calibri" w:hAnsi="Calibri"/>
      <w:sz w:val="22"/>
      <w:lang w:eastAsia="en-US"/>
    </w:rPr>
    <w:tblPr>
      <w:tblCellMar>
        <w:top w:w="0" w:type="dxa"/>
        <w:left w:w="0" w:type="dxa"/>
        <w:bottom w:w="0" w:type="dxa"/>
        <w:right w:w="0" w:type="dxa"/>
      </w:tblCellMar>
    </w:tblPr>
  </w:style>
  <w:style w:type="paragraph" w:customStyle="1" w:styleId="391">
    <w:name w:val="WPSOffice手动目录 1"/>
    <w:qFormat/>
    <w:uiPriority w:val="0"/>
    <w:rPr>
      <w:rFonts w:ascii="Times New Roman" w:hAnsi="Times New Roman" w:eastAsia="宋体" w:cs="Times New Roman"/>
      <w:lang w:val="en-US" w:eastAsia="zh-CN" w:bidi="ar-SA"/>
    </w:rPr>
  </w:style>
  <w:style w:type="paragraph" w:customStyle="1" w:styleId="392">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393">
    <w:name w:val="font51"/>
    <w:qFormat/>
    <w:uiPriority w:val="0"/>
    <w:rPr>
      <w:rFonts w:hint="default" w:ascii="Calibri" w:hAnsi="Calibri" w:cs="Calibri"/>
      <w:color w:val="000000"/>
      <w:sz w:val="21"/>
      <w:szCs w:val="21"/>
      <w:u w:val="none"/>
    </w:rPr>
  </w:style>
  <w:style w:type="character" w:customStyle="1" w:styleId="394">
    <w:name w:val="font21"/>
    <w:basedOn w:val="52"/>
    <w:qFormat/>
    <w:uiPriority w:val="0"/>
    <w:rPr>
      <w:rFonts w:hint="eastAsia" w:ascii="宋体" w:hAnsi="宋体" w:eastAsia="宋体"/>
      <w:color w:val="000000"/>
      <w:sz w:val="22"/>
      <w:szCs w:val="22"/>
      <w:u w:val="none"/>
    </w:rPr>
  </w:style>
  <w:style w:type="character" w:customStyle="1" w:styleId="395">
    <w:name w:val="font41"/>
    <w:basedOn w:val="52"/>
    <w:qFormat/>
    <w:uiPriority w:val="0"/>
    <w:rPr>
      <w:rFonts w:hint="eastAsia" w:ascii="等线" w:hAnsi="等线" w:eastAsia="等线"/>
      <w:color w:val="FF0000"/>
      <w:sz w:val="20"/>
      <w:szCs w:val="20"/>
      <w:u w:val="none"/>
    </w:rPr>
  </w:style>
  <w:style w:type="paragraph" w:customStyle="1" w:styleId="396">
    <w:name w:val="修订2"/>
    <w:hidden/>
    <w:qFormat/>
    <w:uiPriority w:val="99"/>
    <w:rPr>
      <w:rFonts w:ascii="Times New Roman" w:hAnsi="Times New Roman" w:eastAsia="宋体" w:cs="Times New Roman"/>
      <w:kern w:val="2"/>
      <w:sz w:val="21"/>
      <w:szCs w:val="24"/>
      <w:lang w:val="en-US" w:eastAsia="zh-CN" w:bidi="ar-SA"/>
    </w:rPr>
  </w:style>
  <w:style w:type="character" w:customStyle="1" w:styleId="397">
    <w:name w:val="未处理的提及11"/>
    <w:unhideWhenUsed/>
    <w:qFormat/>
    <w:uiPriority w:val="99"/>
    <w:rPr>
      <w:color w:val="605E5C"/>
      <w:shd w:val="clear" w:color="auto" w:fill="E1DFDD"/>
    </w:rPr>
  </w:style>
  <w:style w:type="paragraph" w:customStyle="1" w:styleId="398">
    <w:name w:val="TOC 标题21"/>
    <w:basedOn w:val="2"/>
    <w:next w:val="1"/>
    <w:qFormat/>
    <w:uiPriority w:val="39"/>
    <w:pPr>
      <w:spacing w:before="240" w:after="0" w:line="259" w:lineRule="auto"/>
      <w:ind w:firstLine="0" w:firstLineChars="0"/>
      <w:jc w:val="left"/>
      <w:outlineLvl w:val="9"/>
    </w:pPr>
    <w:rPr>
      <w:rFonts w:ascii="Calibri Light" w:hAnsi="Calibri Light"/>
      <w:b w:val="0"/>
      <w:bCs w:val="0"/>
      <w:color w:val="2E74B5"/>
      <w:kern w:val="0"/>
      <w:sz w:val="32"/>
      <w:szCs w:val="32"/>
    </w:rPr>
  </w:style>
  <w:style w:type="paragraph" w:customStyle="1" w:styleId="399">
    <w:name w:val="修订21"/>
    <w:hidden/>
    <w:semiHidden/>
    <w:qFormat/>
    <w:uiPriority w:val="99"/>
    <w:rPr>
      <w:rFonts w:ascii="Times New Roman" w:hAnsi="Times New Roman" w:eastAsia="宋体" w:cs="Times New Roman"/>
      <w:kern w:val="2"/>
      <w:sz w:val="21"/>
      <w:szCs w:val="24"/>
      <w:lang w:val="en-US" w:eastAsia="zh-CN" w:bidi="ar-SA"/>
    </w:rPr>
  </w:style>
  <w:style w:type="character" w:customStyle="1" w:styleId="400">
    <w:name w:val="font31"/>
    <w:basedOn w:val="52"/>
    <w:qFormat/>
    <w:uiPriority w:val="0"/>
    <w:rPr>
      <w:rFonts w:hint="eastAsia" w:ascii="宋体" w:hAnsi="宋体" w:eastAsia="宋体" w:cs="宋体"/>
      <w:color w:val="000000"/>
      <w:sz w:val="20"/>
      <w:szCs w:val="20"/>
      <w:u w:val="none"/>
    </w:rPr>
  </w:style>
  <w:style w:type="paragraph" w:customStyle="1" w:styleId="401">
    <w:name w:val="Revision"/>
    <w:hidden/>
    <w:unhideWhenUsed/>
    <w:qFormat/>
    <w:uiPriority w:val="99"/>
    <w:rPr>
      <w:rFonts w:ascii="Times New Roman" w:hAnsi="Times New Roman" w:eastAsia="宋体" w:cs="Times New Roman"/>
      <w:kern w:val="2"/>
      <w:sz w:val="21"/>
      <w:szCs w:val="24"/>
      <w:lang w:val="en-US" w:eastAsia="zh-CN" w:bidi="ar-SA"/>
    </w:rPr>
  </w:style>
  <w:style w:type="table" w:customStyle="1" w:styleId="402">
    <w:name w:val="网格型2"/>
    <w:basedOn w:val="50"/>
    <w:qFormat/>
    <w:uiPriority w:val="0"/>
    <w:pPr>
      <w:widowControl w:val="0"/>
      <w:jc w:val="both"/>
    </w:pPr>
    <w:rPr>
      <w:rFonts w:eastAsia="宋体"/>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DE04025D-489B-4A8E-9E95-E2060C301897}">
  <ds:schemaRefs/>
</ds:datastoreItem>
</file>

<file path=docProps/app.xml><?xml version="1.0" encoding="utf-8"?>
<Properties xmlns="http://schemas.openxmlformats.org/officeDocument/2006/extended-properties" xmlns:vt="http://schemas.openxmlformats.org/officeDocument/2006/docPropsVTypes">
  <Template>Normal</Template>
  <Pages>15</Pages>
  <Words>4243</Words>
  <Characters>4700</Characters>
  <Lines>163</Lines>
  <Paragraphs>46</Paragraphs>
  <TotalTime>2</TotalTime>
  <ScaleCrop>false</ScaleCrop>
  <LinksUpToDate>false</LinksUpToDate>
  <CharactersWithSpaces>4745</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2026-03-25T11:07:00Z</dcterms:created>
  <dc:creator>huanghaoyi</dc:creator>
  <cp:lastModifiedBy>實誠</cp:lastModifiedBy>
  <dcterms:modified xsi:type="dcterms:W3CDTF">2026-09-02T15:44:56Z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eyJoZGlkIjoiZmI5Y2ZkZThhYmQyMzM0OWNlZGNiMzg0YjZmYjMwOWYiLCJ1c2VySWQiOiI3NTYyNzUwMTcifQ==</vt:lpwstr>
  </property>
  <property fmtid="{D5CDD505-2E9C-101B-9397-08002B2CF9AE}" pid="3" name="KSOProductBuildVer">
    <vt:lpwstr>2052-12.1.2.25882</vt:lpwstr>
  </property>
  <property fmtid="{D5CDD505-2E9C-101B-9397-08002B2CF9AE}" pid="4" name="ICV">
    <vt:lpwstr>30390F8CCFB849289FA544E18AF7DDFA_13</vt:lpwstr>
  </property>
</Properties>
</file>