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B244EC">
      <w:pPr>
        <w:keepLines w:val="0"/>
        <w:pageBreakBefore w:val="0"/>
        <w:kinsoku/>
        <w:wordWrap/>
        <w:overflowPunct/>
        <w:topLinePunct w:val="0"/>
        <w:bidi w:val="0"/>
        <w:spacing w:line="560" w:lineRule="exact"/>
        <w:rPr>
          <w:color w:val="auto"/>
          <w:sz w:val="18"/>
          <w:szCs w:val="18"/>
          <w:highlight w:val="none"/>
        </w:rPr>
      </w:pPr>
    </w:p>
    <w:p w14:paraId="68C5E5EF">
      <w:pPr>
        <w:keepLines w:val="0"/>
        <w:pageBreakBefore w:val="0"/>
        <w:kinsoku/>
        <w:wordWrap/>
        <w:overflowPunct/>
        <w:topLinePunct w:val="0"/>
        <w:bidi w:val="0"/>
        <w:spacing w:line="560" w:lineRule="exact"/>
        <w:jc w:val="center"/>
        <w:rPr>
          <w:rFonts w:ascii="宋体" w:hAnsi="宋体"/>
          <w:b/>
          <w:bCs/>
          <w:color w:val="auto"/>
          <w:sz w:val="44"/>
          <w:highlight w:val="none"/>
        </w:rPr>
      </w:pPr>
      <w:r>
        <w:rPr>
          <w:rFonts w:hint="eastAsia" w:ascii="宋体" w:hAnsi="宋体"/>
          <w:b/>
          <w:bCs/>
          <w:color w:val="auto"/>
          <w:sz w:val="44"/>
          <w:highlight w:val="none"/>
        </w:rPr>
        <w:t>深圳市龙岗区第七人民医院</w:t>
      </w:r>
    </w:p>
    <w:p w14:paraId="59D7BCA1">
      <w:pPr>
        <w:keepLines w:val="0"/>
        <w:pageBreakBefore w:val="0"/>
        <w:kinsoku/>
        <w:wordWrap/>
        <w:overflowPunct/>
        <w:topLinePunct w:val="0"/>
        <w:bidi w:val="0"/>
        <w:spacing w:line="560" w:lineRule="exact"/>
        <w:jc w:val="center"/>
        <w:rPr>
          <w:rFonts w:ascii="宋体" w:hAnsi="宋体"/>
          <w:b/>
          <w:bCs/>
          <w:color w:val="auto"/>
          <w:sz w:val="44"/>
          <w:highlight w:val="none"/>
        </w:rPr>
      </w:pPr>
      <w:r>
        <w:rPr>
          <w:rFonts w:hint="eastAsia" w:ascii="宋体" w:hAnsi="宋体"/>
          <w:b/>
          <w:bCs/>
          <w:color w:val="auto"/>
          <w:sz w:val="44"/>
          <w:highlight w:val="none"/>
        </w:rPr>
        <w:t>院内采购标书</w:t>
      </w:r>
    </w:p>
    <w:p w14:paraId="03DDE06D">
      <w:pPr>
        <w:keepLines w:val="0"/>
        <w:pageBreakBefore w:val="0"/>
        <w:kinsoku/>
        <w:wordWrap/>
        <w:overflowPunct/>
        <w:topLinePunct w:val="0"/>
        <w:bidi w:val="0"/>
        <w:spacing w:line="560" w:lineRule="exact"/>
        <w:jc w:val="center"/>
        <w:rPr>
          <w:rFonts w:ascii="宋体" w:hAnsi="宋体"/>
          <w:b/>
          <w:bCs/>
          <w:color w:val="auto"/>
          <w:sz w:val="44"/>
          <w:highlight w:val="none"/>
        </w:rPr>
      </w:pPr>
    </w:p>
    <w:p w14:paraId="6C36DFC1">
      <w:pPr>
        <w:keepLines w:val="0"/>
        <w:pageBreakBefore w:val="0"/>
        <w:kinsoku/>
        <w:wordWrap/>
        <w:overflowPunct/>
        <w:topLinePunct w:val="0"/>
        <w:bidi w:val="0"/>
        <w:spacing w:line="560" w:lineRule="exact"/>
        <w:jc w:val="center"/>
        <w:rPr>
          <w:rFonts w:ascii="宋体" w:hAnsi="宋体"/>
          <w:b/>
          <w:bCs/>
          <w:color w:val="auto"/>
          <w:sz w:val="44"/>
          <w:highlight w:val="none"/>
        </w:rPr>
      </w:pPr>
      <w:r>
        <w:rPr>
          <w:rFonts w:hint="eastAsia" w:ascii="宋体" w:hAnsi="宋体"/>
          <w:b/>
          <w:bCs/>
          <w:color w:val="auto"/>
          <w:sz w:val="44"/>
          <w:highlight w:val="none"/>
        </w:rPr>
        <w:t>招标文件信息</w:t>
      </w:r>
    </w:p>
    <w:p w14:paraId="38333E0D">
      <w:pPr>
        <w:keepLines w:val="0"/>
        <w:pageBreakBefore w:val="0"/>
        <w:kinsoku/>
        <w:wordWrap/>
        <w:overflowPunct/>
        <w:topLinePunct w:val="0"/>
        <w:bidi w:val="0"/>
        <w:spacing w:line="560" w:lineRule="exact"/>
        <w:jc w:val="center"/>
        <w:rPr>
          <w:rFonts w:ascii="宋体" w:hAnsi="宋体"/>
          <w:b/>
          <w:bCs/>
          <w:color w:val="auto"/>
          <w:sz w:val="44"/>
          <w:highlight w:val="none"/>
        </w:rPr>
      </w:pPr>
    </w:p>
    <w:p w14:paraId="6025B05B">
      <w:pPr>
        <w:keepLines w:val="0"/>
        <w:pageBreakBefore w:val="0"/>
        <w:kinsoku/>
        <w:wordWrap/>
        <w:overflowPunct/>
        <w:topLinePunct w:val="0"/>
        <w:bidi w:val="0"/>
        <w:snapToGrid w:val="0"/>
        <w:spacing w:line="560" w:lineRule="exact"/>
        <w:rPr>
          <w:rFonts w:hint="eastAsia" w:ascii="仿宋_GB2312" w:hAnsi="仿宋_GB2312" w:eastAsia="仿宋_GB2312" w:cs="仿宋_GB2312"/>
          <w:color w:val="auto"/>
          <w:sz w:val="36"/>
          <w:szCs w:val="36"/>
          <w:highlight w:val="none"/>
        </w:rPr>
      </w:pPr>
      <w:r>
        <w:rPr>
          <w:rFonts w:hint="eastAsia" w:ascii="仿宋_GB2312" w:hAnsi="仿宋_GB2312" w:eastAsia="仿宋_GB2312" w:cs="仿宋_GB2312"/>
          <w:b/>
          <w:bCs/>
          <w:color w:val="auto"/>
          <w:sz w:val="36"/>
          <w:szCs w:val="36"/>
          <w:highlight w:val="none"/>
        </w:rPr>
        <w:t>采购项目：</w:t>
      </w:r>
      <w:r>
        <w:rPr>
          <w:rFonts w:hint="eastAsia" w:ascii="仿宋_GB2312" w:hAnsi="仿宋_GB2312" w:eastAsia="仿宋_GB2312" w:cs="仿宋_GB2312"/>
          <w:color w:val="auto"/>
          <w:sz w:val="36"/>
          <w:szCs w:val="36"/>
          <w:highlight w:val="none"/>
        </w:rPr>
        <w:t>深圳市龙岗区第七人民医院2026-2027年度</w:t>
      </w:r>
    </w:p>
    <w:p w14:paraId="70C5A47F">
      <w:pPr>
        <w:keepLines w:val="0"/>
        <w:pageBreakBefore w:val="0"/>
        <w:kinsoku/>
        <w:wordWrap/>
        <w:overflowPunct/>
        <w:topLinePunct w:val="0"/>
        <w:bidi w:val="0"/>
        <w:snapToGrid w:val="0"/>
        <w:spacing w:line="560" w:lineRule="exact"/>
        <w:rPr>
          <w:rFonts w:hint="eastAsia" w:ascii="仿宋_GB2312" w:hAnsi="仿宋_GB2312" w:eastAsia="仿宋_GB2312" w:cs="仿宋_GB2312"/>
          <w:b/>
          <w:bCs/>
          <w:color w:val="auto"/>
          <w:sz w:val="36"/>
          <w:szCs w:val="36"/>
          <w:highlight w:val="none"/>
        </w:rPr>
      </w:pPr>
      <w:r>
        <w:rPr>
          <w:rFonts w:hint="eastAsia" w:ascii="仿宋_GB2312" w:hAnsi="仿宋_GB2312" w:eastAsia="仿宋_GB2312" w:cs="仿宋_GB2312"/>
          <w:color w:val="auto"/>
          <w:sz w:val="36"/>
          <w:szCs w:val="36"/>
          <w:highlight w:val="none"/>
        </w:rPr>
        <w:t>五金耗材项目</w:t>
      </w:r>
    </w:p>
    <w:p w14:paraId="7C82A26E">
      <w:pPr>
        <w:keepLines w:val="0"/>
        <w:pageBreakBefore w:val="0"/>
        <w:kinsoku/>
        <w:wordWrap/>
        <w:overflowPunct/>
        <w:topLinePunct w:val="0"/>
        <w:bidi w:val="0"/>
        <w:snapToGrid w:val="0"/>
        <w:spacing w:line="560" w:lineRule="exact"/>
        <w:rPr>
          <w:rFonts w:hint="default" w:ascii="仿宋_GB2312" w:hAnsi="仿宋_GB2312" w:eastAsia="仿宋_GB2312" w:cs="仿宋_GB2312"/>
          <w:color w:val="auto"/>
          <w:sz w:val="36"/>
          <w:szCs w:val="36"/>
          <w:highlight w:val="none"/>
          <w:lang w:val="en-US"/>
        </w:rPr>
      </w:pPr>
      <w:r>
        <w:rPr>
          <w:rFonts w:hint="eastAsia" w:ascii="仿宋_GB2312" w:hAnsi="仿宋_GB2312" w:eastAsia="仿宋_GB2312" w:cs="仿宋_GB2312"/>
          <w:b/>
          <w:bCs/>
          <w:color w:val="auto"/>
          <w:sz w:val="36"/>
          <w:szCs w:val="36"/>
          <w:highlight w:val="none"/>
        </w:rPr>
        <w:t>采购项目编号：</w:t>
      </w:r>
      <w:r>
        <w:rPr>
          <w:rFonts w:hint="eastAsia" w:ascii="仿宋_GB2312" w:hAnsi="仿宋_GB2312" w:eastAsia="仿宋_GB2312" w:cs="仿宋_GB2312"/>
          <w:color w:val="auto"/>
          <w:sz w:val="36"/>
          <w:szCs w:val="36"/>
          <w:highlight w:val="none"/>
          <w:lang w:val="en-US" w:eastAsia="zh-CN"/>
        </w:rPr>
        <w:t>深龙七医采[LGQY2026ZW011]</w:t>
      </w:r>
    </w:p>
    <w:p w14:paraId="236024C2">
      <w:pPr>
        <w:keepLines w:val="0"/>
        <w:pageBreakBefore w:val="0"/>
        <w:kinsoku/>
        <w:wordWrap/>
        <w:overflowPunct/>
        <w:topLinePunct w:val="0"/>
        <w:bidi w:val="0"/>
        <w:snapToGrid w:val="0"/>
        <w:spacing w:line="560" w:lineRule="exact"/>
        <w:rPr>
          <w:rFonts w:ascii="仿宋_GB2312" w:hAnsi="仿宋_GB2312" w:eastAsia="仿宋_GB2312" w:cs="仿宋_GB2312"/>
          <w:color w:val="auto"/>
          <w:sz w:val="36"/>
          <w:szCs w:val="36"/>
          <w:highlight w:val="none"/>
        </w:rPr>
      </w:pPr>
      <w:r>
        <w:rPr>
          <w:rFonts w:hint="eastAsia" w:ascii="仿宋_GB2312" w:hAnsi="仿宋_GB2312" w:eastAsia="仿宋_GB2312" w:cs="仿宋_GB2312"/>
          <w:b/>
          <w:bCs/>
          <w:color w:val="auto"/>
          <w:sz w:val="36"/>
          <w:szCs w:val="36"/>
          <w:highlight w:val="none"/>
        </w:rPr>
        <w:t>项目类型：</w:t>
      </w:r>
      <w:r>
        <w:rPr>
          <w:rFonts w:hint="eastAsia" w:ascii="仿宋_GB2312" w:hAnsi="仿宋_GB2312" w:eastAsia="仿宋_GB2312" w:cs="仿宋_GB2312"/>
          <w:color w:val="auto"/>
          <w:sz w:val="36"/>
          <w:szCs w:val="36"/>
          <w:highlight w:val="none"/>
          <w:lang w:val="en-US" w:eastAsia="zh-CN"/>
        </w:rPr>
        <w:t>货物</w:t>
      </w:r>
      <w:r>
        <w:rPr>
          <w:rFonts w:hint="eastAsia" w:ascii="仿宋_GB2312" w:hAnsi="仿宋_GB2312" w:eastAsia="仿宋_GB2312" w:cs="仿宋_GB2312"/>
          <w:color w:val="auto"/>
          <w:sz w:val="36"/>
          <w:szCs w:val="36"/>
          <w:highlight w:val="none"/>
        </w:rPr>
        <w:t>类</w:t>
      </w:r>
    </w:p>
    <w:p w14:paraId="40540880">
      <w:pPr>
        <w:keepLines w:val="0"/>
        <w:pageBreakBefore w:val="0"/>
        <w:kinsoku/>
        <w:wordWrap/>
        <w:overflowPunct/>
        <w:topLinePunct w:val="0"/>
        <w:bidi w:val="0"/>
        <w:snapToGrid w:val="0"/>
        <w:spacing w:line="560" w:lineRule="exact"/>
        <w:rPr>
          <w:rFonts w:eastAsia="仿宋_GB2312"/>
          <w:color w:val="auto"/>
          <w:highlight w:val="none"/>
        </w:rPr>
      </w:pPr>
      <w:r>
        <w:rPr>
          <w:rFonts w:hint="eastAsia" w:ascii="仿宋_GB2312" w:hAnsi="仿宋_GB2312" w:eastAsia="仿宋_GB2312" w:cs="仿宋_GB2312"/>
          <w:b/>
          <w:bCs/>
          <w:color w:val="auto"/>
          <w:sz w:val="36"/>
          <w:szCs w:val="36"/>
          <w:highlight w:val="none"/>
        </w:rPr>
        <w:t>采购数量：</w:t>
      </w:r>
      <w:r>
        <w:rPr>
          <w:rFonts w:hint="eastAsia" w:ascii="仿宋_GB2312" w:hAnsi="仿宋_GB2312" w:eastAsia="仿宋_GB2312" w:cs="仿宋_GB2312"/>
          <w:b w:val="0"/>
          <w:bCs w:val="0"/>
          <w:color w:val="auto"/>
          <w:sz w:val="36"/>
          <w:szCs w:val="36"/>
          <w:highlight w:val="none"/>
          <w:lang w:val="en-US" w:eastAsia="zh-CN"/>
        </w:rPr>
        <w:t>1项</w:t>
      </w:r>
    </w:p>
    <w:p w14:paraId="32DE764E">
      <w:pPr>
        <w:keepLines w:val="0"/>
        <w:pageBreakBefore w:val="0"/>
        <w:kinsoku/>
        <w:wordWrap/>
        <w:overflowPunct/>
        <w:topLinePunct w:val="0"/>
        <w:bidi w:val="0"/>
        <w:snapToGrid w:val="0"/>
        <w:spacing w:line="560" w:lineRule="exact"/>
        <w:jc w:val="left"/>
        <w:rPr>
          <w:rFonts w:hint="default" w:ascii="仿宋_GB2312" w:hAnsi="仿宋_GB2312" w:eastAsia="仿宋_GB2312" w:cs="仿宋_GB2312"/>
          <w:color w:val="auto"/>
          <w:sz w:val="36"/>
          <w:szCs w:val="36"/>
          <w:highlight w:val="none"/>
          <w:lang w:val="en-US"/>
        </w:rPr>
      </w:pPr>
      <w:r>
        <w:rPr>
          <w:rFonts w:hint="eastAsia" w:ascii="仿宋_GB2312" w:hAnsi="仿宋_GB2312" w:eastAsia="仿宋_GB2312" w:cs="仿宋_GB2312"/>
          <w:b/>
          <w:bCs/>
          <w:color w:val="auto"/>
          <w:sz w:val="36"/>
          <w:szCs w:val="36"/>
          <w:highlight w:val="none"/>
        </w:rPr>
        <w:t>预算总金额：</w:t>
      </w:r>
      <w:r>
        <w:rPr>
          <w:rFonts w:hint="eastAsia" w:ascii="仿宋_GB2312" w:hAnsi="仿宋_GB2312" w:eastAsia="仿宋_GB2312" w:cs="仿宋_GB2312"/>
          <w:b w:val="0"/>
          <w:bCs w:val="0"/>
          <w:kern w:val="0"/>
          <w:sz w:val="32"/>
          <w:szCs w:val="32"/>
          <w:lang w:val="en-US" w:eastAsia="zh-CN" w:bidi="ar-SA"/>
        </w:rPr>
        <w:t>15万</w:t>
      </w:r>
      <w:r>
        <w:rPr>
          <w:rFonts w:hint="eastAsia" w:ascii="仿宋_GB2312" w:hAnsi="仿宋_GB2312" w:eastAsia="仿宋_GB2312" w:cs="仿宋_GB2312"/>
          <w:b w:val="0"/>
          <w:bCs w:val="0"/>
          <w:color w:val="auto"/>
          <w:sz w:val="36"/>
          <w:szCs w:val="36"/>
          <w:highlight w:val="none"/>
          <w:lang w:val="en-US" w:eastAsia="zh-CN"/>
        </w:rPr>
        <w:t>元</w:t>
      </w:r>
    </w:p>
    <w:p w14:paraId="50D7ADEB">
      <w:pPr>
        <w:keepLines w:val="0"/>
        <w:pageBreakBefore w:val="0"/>
        <w:kinsoku/>
        <w:wordWrap/>
        <w:overflowPunct/>
        <w:topLinePunct w:val="0"/>
        <w:bidi w:val="0"/>
        <w:snapToGrid w:val="0"/>
        <w:spacing w:line="560" w:lineRule="exact"/>
        <w:rPr>
          <w:rFonts w:ascii="仿宋_GB2312" w:hAnsi="仿宋_GB2312" w:eastAsia="仿宋_GB2312" w:cs="仿宋_GB2312"/>
          <w:color w:val="auto"/>
          <w:sz w:val="36"/>
          <w:szCs w:val="36"/>
          <w:highlight w:val="none"/>
        </w:rPr>
      </w:pPr>
      <w:r>
        <w:rPr>
          <w:rFonts w:hint="eastAsia" w:ascii="仿宋_GB2312" w:hAnsi="仿宋_GB2312" w:eastAsia="仿宋_GB2312" w:cs="仿宋_GB2312"/>
          <w:b/>
          <w:bCs/>
          <w:color w:val="auto"/>
          <w:sz w:val="36"/>
          <w:szCs w:val="36"/>
          <w:highlight w:val="none"/>
        </w:rPr>
        <w:t>采购方式：</w:t>
      </w:r>
      <w:r>
        <w:rPr>
          <w:rFonts w:hint="eastAsia" w:ascii="仿宋_GB2312" w:hAnsi="仿宋_GB2312" w:eastAsia="仿宋_GB2312" w:cs="仿宋_GB2312"/>
          <w:color w:val="auto"/>
          <w:sz w:val="36"/>
          <w:szCs w:val="36"/>
          <w:highlight w:val="none"/>
        </w:rPr>
        <w:t>院内公开</w:t>
      </w:r>
      <w:r>
        <w:rPr>
          <w:rFonts w:hint="eastAsia" w:ascii="仿宋_GB2312" w:hAnsi="仿宋_GB2312" w:eastAsia="仿宋_GB2312" w:cs="仿宋_GB2312"/>
          <w:color w:val="auto"/>
          <w:sz w:val="36"/>
          <w:szCs w:val="36"/>
          <w:highlight w:val="none"/>
          <w:lang w:val="en-US" w:eastAsia="zh-CN"/>
        </w:rPr>
        <w:t>招标</w:t>
      </w:r>
      <w:r>
        <w:rPr>
          <w:rFonts w:hint="eastAsia" w:ascii="仿宋_GB2312" w:hAnsi="仿宋_GB2312" w:eastAsia="仿宋_GB2312" w:cs="仿宋_GB2312"/>
          <w:color w:val="auto"/>
          <w:sz w:val="36"/>
          <w:szCs w:val="36"/>
          <w:highlight w:val="none"/>
        </w:rPr>
        <w:t>采购</w:t>
      </w:r>
    </w:p>
    <w:p w14:paraId="5ABFCF36">
      <w:pPr>
        <w:keepLines w:val="0"/>
        <w:pageBreakBefore w:val="0"/>
        <w:kinsoku/>
        <w:wordWrap/>
        <w:overflowPunct/>
        <w:topLinePunct w:val="0"/>
        <w:bidi w:val="0"/>
        <w:snapToGrid w:val="0"/>
        <w:spacing w:line="560" w:lineRule="exact"/>
        <w:rPr>
          <w:rFonts w:ascii="仿宋_GB2312" w:hAnsi="仿宋_GB2312" w:eastAsia="仿宋_GB2312" w:cs="仿宋_GB2312"/>
          <w:color w:val="auto"/>
          <w:sz w:val="36"/>
          <w:szCs w:val="36"/>
          <w:highlight w:val="none"/>
        </w:rPr>
      </w:pPr>
      <w:r>
        <w:rPr>
          <w:rFonts w:hint="eastAsia" w:ascii="仿宋_GB2312" w:hAnsi="仿宋_GB2312" w:eastAsia="仿宋_GB2312" w:cs="仿宋_GB2312"/>
          <w:b/>
          <w:bCs/>
          <w:color w:val="auto"/>
          <w:sz w:val="36"/>
          <w:szCs w:val="36"/>
          <w:highlight w:val="none"/>
        </w:rPr>
        <w:t>评标方法：</w:t>
      </w:r>
      <w:r>
        <w:rPr>
          <w:rFonts w:hint="eastAsia" w:ascii="仿宋_GB2312" w:hAnsi="仿宋_GB2312" w:eastAsia="仿宋_GB2312" w:cs="仿宋_GB2312"/>
          <w:color w:val="auto"/>
          <w:sz w:val="36"/>
          <w:szCs w:val="36"/>
          <w:highlight w:val="none"/>
        </w:rPr>
        <w:t>综合评分法</w:t>
      </w:r>
    </w:p>
    <w:p w14:paraId="30D5C722">
      <w:pPr>
        <w:keepLines w:val="0"/>
        <w:pageBreakBefore w:val="0"/>
        <w:kinsoku/>
        <w:wordWrap/>
        <w:overflowPunct/>
        <w:topLinePunct w:val="0"/>
        <w:bidi w:val="0"/>
        <w:snapToGrid w:val="0"/>
        <w:spacing w:line="560" w:lineRule="exact"/>
        <w:rPr>
          <w:rFonts w:ascii="仿宋_GB2312" w:hAnsi="仿宋_GB2312" w:eastAsia="仿宋_GB2312" w:cs="仿宋_GB2312"/>
          <w:color w:val="auto"/>
          <w:sz w:val="36"/>
          <w:szCs w:val="36"/>
          <w:highlight w:val="none"/>
        </w:rPr>
      </w:pPr>
      <w:r>
        <w:rPr>
          <w:rFonts w:hint="eastAsia" w:ascii="仿宋_GB2312" w:hAnsi="仿宋_GB2312" w:eastAsia="仿宋_GB2312" w:cs="仿宋_GB2312"/>
          <w:b/>
          <w:bCs/>
          <w:color w:val="auto"/>
          <w:sz w:val="36"/>
          <w:szCs w:val="36"/>
          <w:highlight w:val="none"/>
        </w:rPr>
        <w:t>投标货币</w:t>
      </w:r>
      <w:r>
        <w:rPr>
          <w:rFonts w:hint="eastAsia" w:ascii="仿宋_GB2312" w:hAnsi="仿宋_GB2312" w:eastAsia="仿宋_GB2312" w:cs="仿宋_GB2312"/>
          <w:color w:val="auto"/>
          <w:sz w:val="36"/>
          <w:szCs w:val="36"/>
          <w:highlight w:val="none"/>
        </w:rPr>
        <w:t>：人民币</w:t>
      </w:r>
    </w:p>
    <w:p w14:paraId="068CD2C7">
      <w:pPr>
        <w:pStyle w:val="11"/>
        <w:keepLines w:val="0"/>
        <w:pageBreakBefore w:val="0"/>
        <w:kinsoku/>
        <w:wordWrap/>
        <w:overflowPunct/>
        <w:topLinePunct w:val="0"/>
        <w:bidi w:val="0"/>
        <w:spacing w:line="560" w:lineRule="exact"/>
        <w:rPr>
          <w:rFonts w:hint="default"/>
          <w:color w:val="auto"/>
          <w:highlight w:val="none"/>
        </w:rPr>
      </w:pPr>
    </w:p>
    <w:p w14:paraId="17F8CCFA">
      <w:pPr>
        <w:pStyle w:val="11"/>
        <w:keepLines w:val="0"/>
        <w:pageBreakBefore w:val="0"/>
        <w:kinsoku/>
        <w:wordWrap/>
        <w:overflowPunct/>
        <w:topLinePunct w:val="0"/>
        <w:bidi w:val="0"/>
        <w:spacing w:line="560" w:lineRule="exact"/>
        <w:rPr>
          <w:rFonts w:hint="default"/>
          <w:color w:val="auto"/>
          <w:szCs w:val="20"/>
          <w:highlight w:val="none"/>
        </w:rPr>
      </w:pPr>
    </w:p>
    <w:p w14:paraId="7D82CCEC">
      <w:pPr>
        <w:pStyle w:val="5"/>
        <w:keepLines w:val="0"/>
        <w:pageBreakBefore w:val="0"/>
        <w:kinsoku/>
        <w:wordWrap/>
        <w:overflowPunct/>
        <w:topLinePunct w:val="0"/>
        <w:bidi w:val="0"/>
        <w:spacing w:line="560" w:lineRule="exact"/>
        <w:rPr>
          <w:color w:val="auto"/>
          <w:highlight w:val="none"/>
        </w:rPr>
      </w:pPr>
    </w:p>
    <w:p w14:paraId="5D3DD9DE">
      <w:pPr>
        <w:keepLines w:val="0"/>
        <w:pageBreakBefore w:val="0"/>
        <w:kinsoku/>
        <w:wordWrap/>
        <w:overflowPunct/>
        <w:topLinePunct w:val="0"/>
        <w:bidi w:val="0"/>
        <w:spacing w:line="560" w:lineRule="exact"/>
        <w:rPr>
          <w:color w:val="auto"/>
          <w:highlight w:val="none"/>
        </w:rPr>
      </w:pPr>
    </w:p>
    <w:p w14:paraId="3F3237A8">
      <w:pPr>
        <w:pStyle w:val="3"/>
        <w:keepLines w:val="0"/>
        <w:pageBreakBefore w:val="0"/>
        <w:kinsoku/>
        <w:wordWrap/>
        <w:overflowPunct/>
        <w:topLinePunct w:val="0"/>
        <w:bidi w:val="0"/>
        <w:spacing w:line="560" w:lineRule="exact"/>
        <w:rPr>
          <w:color w:val="auto"/>
          <w:highlight w:val="none"/>
        </w:rPr>
      </w:pPr>
    </w:p>
    <w:p w14:paraId="3C7A0363">
      <w:pPr>
        <w:keepLines w:val="0"/>
        <w:pageBreakBefore w:val="0"/>
        <w:kinsoku/>
        <w:wordWrap/>
        <w:overflowPunct/>
        <w:topLinePunct w:val="0"/>
        <w:bidi w:val="0"/>
        <w:spacing w:line="560" w:lineRule="exact"/>
        <w:rPr>
          <w:color w:val="auto"/>
          <w:highlight w:val="none"/>
        </w:rPr>
      </w:pPr>
    </w:p>
    <w:p w14:paraId="63B3DD21">
      <w:pPr>
        <w:pStyle w:val="3"/>
        <w:keepLines w:val="0"/>
        <w:pageBreakBefore w:val="0"/>
        <w:kinsoku/>
        <w:wordWrap/>
        <w:overflowPunct/>
        <w:topLinePunct w:val="0"/>
        <w:bidi w:val="0"/>
        <w:spacing w:line="560" w:lineRule="exact"/>
        <w:ind w:firstLine="1920" w:firstLineChars="600"/>
        <w:rPr>
          <w:rFonts w:cs="宋体"/>
          <w:color w:val="auto"/>
          <w:sz w:val="40"/>
          <w:szCs w:val="40"/>
          <w:highlight w:val="none"/>
        </w:rPr>
      </w:pPr>
      <w:r>
        <w:rPr>
          <w:rFonts w:ascii="仿宋_GB2312" w:hAnsi="仿宋_GB2312" w:eastAsia="仿宋_GB2312" w:cs="仿宋_GB2312"/>
          <w:color w:val="auto"/>
          <w:sz w:val="32"/>
          <w:szCs w:val="32"/>
          <w:highlight w:val="none"/>
        </w:rPr>
        <w:t>日期：</w:t>
      </w:r>
      <w:r>
        <w:rPr>
          <w:rFonts w:hint="eastAsia" w:ascii="仿宋_GB2312" w:hAnsi="仿宋_GB2312" w:eastAsia="仿宋_GB2312" w:cs="仿宋_GB2312"/>
          <w:color w:val="auto"/>
          <w:sz w:val="32"/>
          <w:szCs w:val="32"/>
          <w:highlight w:val="none"/>
          <w:lang w:val="en-US" w:eastAsia="zh-CN"/>
        </w:rPr>
        <w:t>2026</w:t>
      </w:r>
      <w:r>
        <w:rPr>
          <w:rFonts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8</w:t>
      </w:r>
      <w:r>
        <w:rPr>
          <w:rFonts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26</w:t>
      </w:r>
      <w:r>
        <w:rPr>
          <w:rFonts w:ascii="仿宋_GB2312" w:hAnsi="仿宋_GB2312" w:eastAsia="仿宋_GB2312" w:cs="仿宋_GB2312"/>
          <w:color w:val="auto"/>
          <w:sz w:val="32"/>
          <w:szCs w:val="32"/>
          <w:highlight w:val="none"/>
        </w:rPr>
        <w:t>日</w:t>
      </w:r>
    </w:p>
    <w:p w14:paraId="269F1FC9">
      <w:pPr>
        <w:spacing w:line="560" w:lineRule="exact"/>
        <w:rPr>
          <w:color w:val="auto"/>
          <w:highlight w:val="none"/>
        </w:rPr>
      </w:pPr>
      <w:r>
        <w:rPr>
          <w:color w:val="auto"/>
          <w:highlight w:val="none"/>
        </w:rPr>
        <w:br w:type="page"/>
      </w:r>
    </w:p>
    <w:p w14:paraId="7E23FF89">
      <w:pPr>
        <w:pStyle w:val="2"/>
        <w:bidi w:val="0"/>
        <w:spacing w:line="560" w:lineRule="exact"/>
        <w:jc w:val="center"/>
        <w:rPr>
          <w:color w:val="auto"/>
          <w:sz w:val="40"/>
          <w:szCs w:val="22"/>
          <w:highlight w:val="none"/>
        </w:rPr>
      </w:pPr>
      <w:r>
        <w:rPr>
          <w:rFonts w:hint="eastAsia"/>
          <w:color w:val="auto"/>
          <w:sz w:val="40"/>
          <w:szCs w:val="22"/>
          <w:highlight w:val="none"/>
        </w:rPr>
        <w:t>第一章</w:t>
      </w:r>
    </w:p>
    <w:p w14:paraId="41B3DE84">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宋体" w:cs="黑体"/>
          <w:b/>
          <w:bCs/>
          <w:color w:val="auto"/>
          <w:sz w:val="44"/>
          <w:szCs w:val="24"/>
          <w:highlight w:val="none"/>
        </w:rPr>
      </w:pPr>
      <w:r>
        <w:rPr>
          <w:rFonts w:hint="eastAsia" w:ascii="宋体" w:hAnsi="宋体" w:eastAsia="宋体" w:cs="黑体"/>
          <w:b/>
          <w:bCs/>
          <w:color w:val="auto"/>
          <w:sz w:val="44"/>
          <w:szCs w:val="24"/>
          <w:highlight w:val="none"/>
        </w:rPr>
        <w:t>深圳市龙岗区第七人民医院2026-2027年度</w:t>
      </w:r>
    </w:p>
    <w:p w14:paraId="36C572D6">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宋体" w:cs="黑体"/>
          <w:b/>
          <w:bCs/>
          <w:color w:val="auto"/>
          <w:sz w:val="44"/>
          <w:szCs w:val="24"/>
          <w:highlight w:val="none"/>
        </w:rPr>
      </w:pPr>
      <w:r>
        <w:rPr>
          <w:rFonts w:hint="eastAsia" w:ascii="宋体" w:hAnsi="宋体" w:eastAsia="宋体" w:cs="黑体"/>
          <w:b/>
          <w:bCs/>
          <w:color w:val="auto"/>
          <w:sz w:val="44"/>
          <w:szCs w:val="24"/>
          <w:highlight w:val="none"/>
        </w:rPr>
        <w:t>五金耗材项目院内公开采购的公告</w:t>
      </w:r>
    </w:p>
    <w:p w14:paraId="03C03CD8">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宋体" w:eastAsia="仿宋_GB2312"/>
          <w:color w:val="auto"/>
          <w:sz w:val="28"/>
          <w:szCs w:val="28"/>
          <w:highlight w:val="none"/>
        </w:rPr>
      </w:pPr>
    </w:p>
    <w:p w14:paraId="1E04F91A">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宋体" w:eastAsia="仿宋_GB2312"/>
          <w:color w:val="auto"/>
          <w:sz w:val="28"/>
          <w:szCs w:val="28"/>
          <w:highlight w:val="none"/>
          <w:lang w:eastAsia="zh-CN"/>
        </w:rPr>
      </w:pPr>
      <w:r>
        <w:rPr>
          <w:rFonts w:hint="eastAsia" w:ascii="仿宋_GB2312" w:hAnsi="宋体" w:eastAsia="仿宋_GB2312"/>
          <w:color w:val="auto"/>
          <w:sz w:val="28"/>
          <w:szCs w:val="28"/>
          <w:highlight w:val="none"/>
        </w:rPr>
        <w:t>根据政府采</w:t>
      </w:r>
      <w:r>
        <w:rPr>
          <w:rFonts w:hint="eastAsia" w:ascii="仿宋_GB2312" w:hAnsi="宋体" w:eastAsia="仿宋_GB2312"/>
          <w:color w:val="auto"/>
          <w:sz w:val="28"/>
          <w:szCs w:val="28"/>
          <w:highlight w:val="none"/>
          <w:lang w:eastAsia="zh-CN"/>
        </w:rPr>
        <w:t>购的</w:t>
      </w:r>
      <w:r>
        <w:rPr>
          <w:rFonts w:hint="eastAsia" w:ascii="仿宋_GB2312" w:hAnsi="宋体" w:eastAsia="仿宋_GB2312"/>
          <w:color w:val="auto"/>
          <w:sz w:val="28"/>
          <w:szCs w:val="28"/>
          <w:highlight w:val="none"/>
        </w:rPr>
        <w:t>相关规定和《深圳市龙岗区第七人民医院采购管理办法》的有关规定，</w:t>
      </w:r>
      <w:r>
        <w:rPr>
          <w:rFonts w:hint="eastAsia" w:ascii="仿宋_GB2312" w:eastAsia="仿宋_GB2312"/>
          <w:color w:val="auto"/>
          <w:sz w:val="28"/>
          <w:szCs w:val="28"/>
          <w:highlight w:val="none"/>
        </w:rPr>
        <w:t>我院拟对以下项目进行院内公开采购，欢迎符合条件具有供应能力的</w:t>
      </w:r>
      <w:r>
        <w:rPr>
          <w:rFonts w:hint="eastAsia" w:ascii="仿宋_GB2312" w:hAnsi="宋体" w:eastAsia="仿宋_GB2312"/>
          <w:color w:val="auto"/>
          <w:sz w:val="28"/>
          <w:szCs w:val="28"/>
          <w:highlight w:val="none"/>
          <w:lang w:eastAsia="zh-CN"/>
        </w:rPr>
        <w:t>供应商或厂家前来报名参加。</w:t>
      </w:r>
    </w:p>
    <w:p w14:paraId="3AAFA913">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黑体" w:hAnsi="黑体" w:eastAsia="黑体"/>
          <w:color w:val="auto"/>
          <w:sz w:val="28"/>
          <w:szCs w:val="28"/>
          <w:highlight w:val="none"/>
          <w:lang w:eastAsia="zh-CN"/>
        </w:rPr>
      </w:pPr>
      <w:r>
        <w:rPr>
          <w:rFonts w:hint="eastAsia" w:ascii="黑体" w:hAnsi="黑体" w:eastAsia="黑体"/>
          <w:color w:val="auto"/>
          <w:sz w:val="28"/>
          <w:szCs w:val="28"/>
          <w:highlight w:val="none"/>
          <w:lang w:eastAsia="zh-CN"/>
        </w:rPr>
        <w:t>一、采购项目</w:t>
      </w:r>
    </w:p>
    <w:p w14:paraId="02F5CFC4">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default" w:ascii="仿宋_GB2312" w:hAnsi="宋体" w:eastAsia="仿宋_GB2312"/>
          <w:color w:val="auto"/>
          <w:sz w:val="28"/>
          <w:szCs w:val="28"/>
          <w:highlight w:val="yellow"/>
          <w:lang w:val="en-US" w:eastAsia="zh-CN"/>
        </w:rPr>
      </w:pPr>
      <w:r>
        <w:rPr>
          <w:rFonts w:hint="eastAsia" w:ascii="楷体_GB2312" w:hAnsi="楷体_GB2312" w:eastAsia="楷体_GB2312" w:cs="楷体_GB2312"/>
          <w:color w:val="auto"/>
          <w:sz w:val="28"/>
          <w:szCs w:val="28"/>
          <w:highlight w:val="none"/>
          <w:lang w:eastAsia="zh-CN"/>
        </w:rPr>
        <w:t>（</w:t>
      </w:r>
      <w:r>
        <w:rPr>
          <w:rFonts w:hint="eastAsia" w:ascii="楷体_GB2312" w:hAnsi="楷体_GB2312" w:eastAsia="楷体_GB2312" w:cs="楷体_GB2312"/>
          <w:color w:val="auto"/>
          <w:sz w:val="28"/>
          <w:szCs w:val="28"/>
          <w:highlight w:val="none"/>
          <w:lang w:val="en-US" w:eastAsia="zh-CN"/>
        </w:rPr>
        <w:t>一</w:t>
      </w:r>
      <w:r>
        <w:rPr>
          <w:rFonts w:hint="eastAsia" w:ascii="楷体_GB2312" w:hAnsi="楷体_GB2312" w:eastAsia="楷体_GB2312" w:cs="楷体_GB2312"/>
          <w:color w:val="auto"/>
          <w:sz w:val="28"/>
          <w:szCs w:val="28"/>
          <w:highlight w:val="none"/>
          <w:lang w:eastAsia="zh-CN"/>
        </w:rPr>
        <w:t>）项目编号</w:t>
      </w:r>
      <w:r>
        <w:rPr>
          <w:rFonts w:hint="eastAsia" w:ascii="仿宋_GB2312" w:hAnsi="宋体" w:eastAsia="仿宋_GB2312"/>
          <w:color w:val="auto"/>
          <w:sz w:val="28"/>
          <w:szCs w:val="28"/>
          <w:highlight w:val="none"/>
          <w:lang w:eastAsia="zh-CN"/>
        </w:rPr>
        <w:t>：</w:t>
      </w:r>
      <w:r>
        <w:rPr>
          <w:rFonts w:hint="eastAsia" w:ascii="仿宋_GB2312" w:eastAsia="仿宋_GB2312"/>
          <w:color w:val="auto"/>
          <w:sz w:val="28"/>
          <w:szCs w:val="28"/>
          <w:highlight w:val="none"/>
          <w:lang w:val="en-US" w:eastAsia="zh-CN"/>
        </w:rPr>
        <w:t>深龙七医采[LGQY2026ZW011]</w:t>
      </w:r>
    </w:p>
    <w:p w14:paraId="6B080A3C">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楷体_GB2312" w:hAnsi="楷体_GB2312" w:eastAsia="楷体_GB2312" w:cs="楷体_GB2312"/>
          <w:color w:val="auto"/>
          <w:sz w:val="28"/>
          <w:szCs w:val="28"/>
          <w:highlight w:val="none"/>
          <w:lang w:eastAsia="zh-CN"/>
        </w:rPr>
        <w:t>（</w:t>
      </w:r>
      <w:r>
        <w:rPr>
          <w:rFonts w:hint="eastAsia" w:ascii="楷体_GB2312" w:hAnsi="楷体_GB2312" w:eastAsia="楷体_GB2312" w:cs="楷体_GB2312"/>
          <w:color w:val="auto"/>
          <w:sz w:val="28"/>
          <w:szCs w:val="28"/>
          <w:highlight w:val="none"/>
          <w:lang w:val="en-US" w:eastAsia="zh-CN"/>
        </w:rPr>
        <w:t>二</w:t>
      </w:r>
      <w:r>
        <w:rPr>
          <w:rFonts w:hint="eastAsia" w:ascii="楷体_GB2312" w:hAnsi="楷体_GB2312" w:eastAsia="楷体_GB2312" w:cs="楷体_GB2312"/>
          <w:color w:val="auto"/>
          <w:sz w:val="28"/>
          <w:szCs w:val="28"/>
          <w:highlight w:val="none"/>
          <w:lang w:eastAsia="zh-CN"/>
        </w:rPr>
        <w:t>）项目名</w:t>
      </w:r>
      <w:r>
        <w:rPr>
          <w:rFonts w:hint="eastAsia" w:ascii="楷体_GB2312" w:hAnsi="楷体_GB2312" w:eastAsia="楷体_GB2312" w:cs="楷体_GB2312"/>
          <w:color w:val="auto"/>
          <w:sz w:val="28"/>
          <w:szCs w:val="28"/>
          <w:highlight w:val="none"/>
          <w:lang w:val="en-US" w:eastAsia="zh-CN"/>
        </w:rPr>
        <w:t>称：</w:t>
      </w:r>
      <w:r>
        <w:rPr>
          <w:rFonts w:hint="eastAsia" w:ascii="仿宋_GB2312" w:hAnsi="仿宋_GB2312" w:eastAsia="仿宋_GB2312" w:cs="仿宋_GB2312"/>
          <w:color w:val="auto"/>
          <w:sz w:val="28"/>
          <w:szCs w:val="28"/>
          <w:highlight w:val="none"/>
        </w:rPr>
        <w:t>深圳市龙岗区第七人民医院2026-2027年度五金耗材项目</w:t>
      </w:r>
    </w:p>
    <w:p w14:paraId="5BA79210">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宋体" w:eastAsia="仿宋_GB2312"/>
          <w:color w:val="auto"/>
          <w:sz w:val="28"/>
          <w:szCs w:val="28"/>
          <w:highlight w:val="none"/>
          <w:lang w:eastAsia="zh-CN"/>
        </w:rPr>
      </w:pPr>
      <w:r>
        <w:rPr>
          <w:rFonts w:hint="eastAsia" w:ascii="楷体_GB2312" w:hAnsi="楷体_GB2312" w:eastAsia="楷体_GB2312" w:cs="楷体_GB2312"/>
          <w:color w:val="auto"/>
          <w:sz w:val="28"/>
          <w:szCs w:val="28"/>
          <w:highlight w:val="none"/>
          <w:lang w:eastAsia="zh-CN"/>
        </w:rPr>
        <w:t>（</w:t>
      </w:r>
      <w:r>
        <w:rPr>
          <w:rFonts w:hint="eastAsia" w:ascii="楷体_GB2312" w:hAnsi="楷体_GB2312" w:eastAsia="楷体_GB2312" w:cs="楷体_GB2312"/>
          <w:color w:val="auto"/>
          <w:sz w:val="28"/>
          <w:szCs w:val="28"/>
          <w:highlight w:val="none"/>
          <w:lang w:val="en-US" w:eastAsia="zh-CN"/>
        </w:rPr>
        <w:t>三</w:t>
      </w:r>
      <w:r>
        <w:rPr>
          <w:rFonts w:hint="eastAsia" w:ascii="楷体_GB2312" w:hAnsi="楷体_GB2312" w:eastAsia="楷体_GB2312" w:cs="楷体_GB2312"/>
          <w:color w:val="auto"/>
          <w:sz w:val="28"/>
          <w:szCs w:val="28"/>
          <w:highlight w:val="none"/>
          <w:lang w:eastAsia="zh-CN"/>
        </w:rPr>
        <w:t>）采购数量：</w:t>
      </w:r>
      <w:r>
        <w:rPr>
          <w:rFonts w:hint="eastAsia" w:ascii="仿宋_GB2312" w:hAnsi="宋体" w:eastAsia="仿宋_GB2312"/>
          <w:color w:val="auto"/>
          <w:sz w:val="28"/>
          <w:szCs w:val="28"/>
          <w:highlight w:val="none"/>
          <w:lang w:val="en-US" w:eastAsia="zh-CN"/>
        </w:rPr>
        <w:t>1项</w:t>
      </w:r>
    </w:p>
    <w:p w14:paraId="64B5F440">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default" w:ascii="仿宋_GB2312" w:hAnsi="宋体" w:eastAsia="仿宋_GB2312"/>
          <w:color w:val="auto"/>
          <w:sz w:val="28"/>
          <w:szCs w:val="28"/>
          <w:highlight w:val="none"/>
          <w:lang w:val="en-US" w:eastAsia="zh-CN"/>
        </w:rPr>
      </w:pPr>
      <w:r>
        <w:rPr>
          <w:rFonts w:hint="eastAsia" w:ascii="楷体_GB2312" w:hAnsi="楷体_GB2312" w:eastAsia="楷体_GB2312" w:cs="楷体_GB2312"/>
          <w:color w:val="auto"/>
          <w:sz w:val="28"/>
          <w:szCs w:val="28"/>
          <w:highlight w:val="none"/>
          <w:lang w:eastAsia="zh-CN"/>
        </w:rPr>
        <w:t>（</w:t>
      </w:r>
      <w:r>
        <w:rPr>
          <w:rFonts w:hint="eastAsia" w:ascii="楷体_GB2312" w:hAnsi="楷体_GB2312" w:eastAsia="楷体_GB2312" w:cs="楷体_GB2312"/>
          <w:color w:val="auto"/>
          <w:sz w:val="28"/>
          <w:szCs w:val="28"/>
          <w:highlight w:val="none"/>
          <w:lang w:val="en-US" w:eastAsia="zh-CN"/>
        </w:rPr>
        <w:t>四</w:t>
      </w:r>
      <w:r>
        <w:rPr>
          <w:rFonts w:hint="eastAsia" w:ascii="楷体_GB2312" w:hAnsi="楷体_GB2312" w:eastAsia="楷体_GB2312" w:cs="楷体_GB2312"/>
          <w:color w:val="auto"/>
          <w:sz w:val="28"/>
          <w:szCs w:val="28"/>
          <w:highlight w:val="none"/>
          <w:lang w:eastAsia="zh-CN"/>
        </w:rPr>
        <w:t>）预算金额（最高限</w:t>
      </w:r>
      <w:r>
        <w:rPr>
          <w:rFonts w:hint="eastAsia" w:ascii="楷体_GB2312" w:hAnsi="楷体_GB2312" w:eastAsia="楷体_GB2312" w:cs="楷体_GB2312"/>
          <w:color w:val="auto"/>
          <w:sz w:val="28"/>
          <w:szCs w:val="28"/>
          <w:highlight w:val="none"/>
          <w:lang w:val="en-US" w:eastAsia="zh-CN"/>
        </w:rPr>
        <w:t>价</w:t>
      </w:r>
      <w:r>
        <w:rPr>
          <w:rFonts w:hint="eastAsia" w:ascii="楷体_GB2312" w:hAnsi="楷体_GB2312" w:eastAsia="楷体_GB2312" w:cs="楷体_GB2312"/>
          <w:color w:val="auto"/>
          <w:sz w:val="28"/>
          <w:szCs w:val="28"/>
          <w:highlight w:val="none"/>
          <w:lang w:eastAsia="zh-CN"/>
        </w:rPr>
        <w:t>）：</w:t>
      </w:r>
      <w:r>
        <w:rPr>
          <w:rFonts w:hint="eastAsia" w:ascii="仿宋_GB2312" w:hAnsi="仿宋_GB2312" w:eastAsia="仿宋_GB2312" w:cs="仿宋_GB2312"/>
          <w:kern w:val="0"/>
          <w:sz w:val="32"/>
          <w:szCs w:val="32"/>
          <w:lang w:val="en-US" w:eastAsia="zh-CN" w:bidi="ar-SA"/>
        </w:rPr>
        <w:t>15万</w:t>
      </w:r>
      <w:r>
        <w:rPr>
          <w:rFonts w:hint="eastAsia" w:ascii="仿宋_GB2312" w:hAnsi="宋体" w:eastAsia="仿宋_GB2312"/>
          <w:color w:val="auto"/>
          <w:sz w:val="28"/>
          <w:szCs w:val="28"/>
          <w:highlight w:val="none"/>
          <w:lang w:val="en-US" w:eastAsia="zh-CN"/>
        </w:rPr>
        <w:t>元</w:t>
      </w:r>
    </w:p>
    <w:p w14:paraId="34B1BDE2">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黑体" w:hAnsi="黑体" w:eastAsia="黑体" w:cs="黑体"/>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二、资质要求</w:t>
      </w:r>
    </w:p>
    <w:p w14:paraId="26F0919A">
      <w:pPr>
        <w:pStyle w:val="27"/>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楷体_GB2312" w:hAnsi="楷体_GB2312" w:eastAsia="楷体_GB2312" w:cs="楷体_GB2312"/>
          <w:color w:val="auto"/>
          <w:kern w:val="2"/>
          <w:sz w:val="28"/>
          <w:szCs w:val="28"/>
          <w:highlight w:val="none"/>
          <w:lang w:val="en-US" w:eastAsia="zh-CN" w:bidi="ar-SA"/>
        </w:rPr>
      </w:pPr>
      <w:r>
        <w:rPr>
          <w:rFonts w:hint="eastAsia" w:ascii="楷体_GB2312" w:hAnsi="楷体_GB2312" w:eastAsia="楷体_GB2312" w:cs="楷体_GB2312"/>
          <w:color w:val="auto"/>
          <w:kern w:val="2"/>
          <w:sz w:val="28"/>
          <w:szCs w:val="28"/>
          <w:highlight w:val="none"/>
          <w:lang w:val="en-US" w:eastAsia="zh-CN" w:bidi="ar-SA"/>
        </w:rPr>
        <w:t>（一）基本资格条件</w:t>
      </w:r>
    </w:p>
    <w:p w14:paraId="5ECECDD1">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满足《中华人民共和国政府采购法》第二十二条规定（须提供具有独立承担民事责任能力的法人或其他组织的营业执照或法人证书等证明材料复印件或扫描件以及《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3261E910">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2.落实政府采购政策需满足的资格要求：无。</w:t>
      </w:r>
    </w:p>
    <w:p w14:paraId="68228A3B">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楷体_GB2312" w:hAnsi="楷体_GB2312" w:eastAsia="楷体_GB2312" w:cs="楷体_GB2312"/>
          <w:color w:val="auto"/>
          <w:kern w:val="2"/>
          <w:sz w:val="28"/>
          <w:szCs w:val="28"/>
          <w:highlight w:val="none"/>
          <w:lang w:val="en-US" w:eastAsia="zh-CN" w:bidi="ar-SA"/>
        </w:rPr>
      </w:pPr>
      <w:r>
        <w:rPr>
          <w:rFonts w:hint="eastAsia" w:ascii="楷体_GB2312" w:hAnsi="楷体_GB2312" w:eastAsia="楷体_GB2312" w:cs="楷体_GB2312"/>
          <w:color w:val="auto"/>
          <w:kern w:val="2"/>
          <w:sz w:val="28"/>
          <w:szCs w:val="28"/>
          <w:highlight w:val="none"/>
          <w:lang w:val="en-US" w:eastAsia="zh-CN" w:bidi="ar-SA"/>
        </w:rPr>
        <w:t>（二）本项目的特定资格要求</w:t>
      </w:r>
    </w:p>
    <w:p w14:paraId="34F5BE6E">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1.参与本项目投标前三年内，在经营活动中没有重大违法记录（须按本项目投标文件格式要求提供《投标及履约承诺函》加盖投标人公章）；</w:t>
      </w:r>
    </w:p>
    <w:p w14:paraId="146FF9D4">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2.参与本项目政府采购活动时不存在被有关部门禁止参与政府采购活动且在有效期内的情况（须按本项目投标文件格式要求提供《投标及履约承诺函》加盖投标人公章）；</w:t>
      </w:r>
    </w:p>
    <w:p w14:paraId="61DBE2BA">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3.单位负责人为同一人或者存在直接控股、管理关系的不同供应商，不得参加同一合同项下的政府采购活动（须按本项目投标文件格式要求提供《投标及履约承诺函》加盖投标人公章）；</w:t>
      </w:r>
    </w:p>
    <w:p w14:paraId="7F006EFF">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除单一来源采购项目外，为采购项目提供整体设计、规范编制或者项目管理、监理、检测等服务的供应商，不得再参加该采购项目的其他采购活动（须按本项目投标文件格式要求提供《投标及履约承诺函》加盖投标人公章）；</w:t>
      </w:r>
    </w:p>
    <w:p w14:paraId="4C612C96">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5.参与本项目不存在《深圳市财政局政府采购供应商信用信息管理办法》列明的严重违法失信行为（须按本项目投标文件格式要求提供《投标及履约承诺函》加盖投标人公章）；</w:t>
      </w:r>
    </w:p>
    <w:p w14:paraId="71B87BC6">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6.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3699E77E">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7.投标人未被列入失信被执行人、重大税收违法案件当事人名单及政府采购严重违法失信行为记录名单（“信用中国”“信用服务”栏的“重大税收违法失信主体”“失信被执行人”，“中国政府采购网”“政府采购严重违法失信行为记录名单”以及“深圳市政府采购监管网”为投标人信用信息查询渠道，相关信息以开标当日的查询结果为准）；</w:t>
      </w:r>
    </w:p>
    <w:p w14:paraId="1CF6C274">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8.投标人须提供国家企业信用信息公示系统或机关赋码和事业单位登记管理网或全国社会组织信用信息公示平台网站截图，作为不同供应商之间不存在单位负责人为同一人或者直接控股、管理关系的补充证明；</w:t>
      </w:r>
    </w:p>
    <w:p w14:paraId="79B8C9C2">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9.本项目不接受联合体投标，不允许分包或转包。</w:t>
      </w:r>
    </w:p>
    <w:p w14:paraId="0AB6890F">
      <w:pPr>
        <w:pStyle w:val="27"/>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三、采购方式：</w:t>
      </w:r>
      <w:r>
        <w:rPr>
          <w:rFonts w:hint="eastAsia" w:ascii="仿宋_GB2312" w:hAnsi="仿宋_GB2312" w:eastAsia="仿宋_GB2312" w:cs="仿宋_GB2312"/>
          <w:color w:val="auto"/>
          <w:kern w:val="2"/>
          <w:sz w:val="28"/>
          <w:szCs w:val="28"/>
          <w:highlight w:val="none"/>
          <w:lang w:val="en-US" w:eastAsia="zh-CN" w:bidi="ar-SA"/>
        </w:rPr>
        <w:t>院内公开招标</w:t>
      </w:r>
    </w:p>
    <w:p w14:paraId="5F909AA3">
      <w:pPr>
        <w:pStyle w:val="27"/>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四、评标方法：</w:t>
      </w:r>
      <w:r>
        <w:rPr>
          <w:rFonts w:hint="eastAsia" w:ascii="仿宋_GB2312" w:hAnsi="仿宋_GB2312" w:eastAsia="仿宋_GB2312" w:cs="仿宋_GB2312"/>
          <w:color w:val="auto"/>
          <w:kern w:val="2"/>
          <w:sz w:val="28"/>
          <w:szCs w:val="28"/>
          <w:highlight w:val="none"/>
          <w:lang w:val="en-US" w:eastAsia="zh-CN" w:bidi="ar-SA"/>
        </w:rPr>
        <w:t>综合评分法</w:t>
      </w:r>
    </w:p>
    <w:p w14:paraId="468BD61F">
      <w:pPr>
        <w:pStyle w:val="27"/>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黑体" w:hAnsi="黑体" w:eastAsia="黑体" w:cs="黑体"/>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五、投标人报名资料要求</w:t>
      </w:r>
    </w:p>
    <w:p w14:paraId="051AC7B2">
      <w:pPr>
        <w:pStyle w:val="27"/>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（一）院内采购报名表。</w:t>
      </w:r>
    </w:p>
    <w:p w14:paraId="4D0DF6AE">
      <w:pPr>
        <w:pStyle w:val="27"/>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（二）法定代表人参加的提供法定代表人资格证明书及个人身份证复印件；非法定代表人参加的须提供法定代表人资格证明书及法定代表人身份证复印件、法定代表人授权书及授权代表人身份证复印件。</w:t>
      </w:r>
    </w:p>
    <w:p w14:paraId="6580B047">
      <w:pPr>
        <w:pStyle w:val="29"/>
        <w:keepNext w:val="0"/>
        <w:keepLines w:val="0"/>
        <w:pageBreakBefore w:val="0"/>
        <w:kinsoku/>
        <w:wordWrap/>
        <w:overflowPunct/>
        <w:topLinePunct w:val="0"/>
        <w:autoSpaceDE/>
        <w:autoSpaceDN/>
        <w:bidi w:val="0"/>
        <w:adjustRightInd/>
        <w:snapToGrid/>
        <w:spacing w:line="540" w:lineRule="exact"/>
        <w:ind w:firstLine="56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（三）供应商须提供具有独立承担民事责任能力的法人或其他组织或个体工商户的营业执照或法人证书等证明材料复印件或扫描件。</w:t>
      </w:r>
    </w:p>
    <w:p w14:paraId="0E05C9DC">
      <w:pPr>
        <w:pStyle w:val="29"/>
        <w:keepNext w:val="0"/>
        <w:keepLines w:val="0"/>
        <w:pageBreakBefore w:val="0"/>
        <w:kinsoku/>
        <w:wordWrap/>
        <w:overflowPunct/>
        <w:topLinePunct w:val="0"/>
        <w:autoSpaceDE/>
        <w:autoSpaceDN/>
        <w:bidi w:val="0"/>
        <w:adjustRightInd/>
        <w:snapToGrid/>
        <w:spacing w:line="540" w:lineRule="exact"/>
        <w:ind w:firstLine="56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（四）供应商基本情况表。</w:t>
      </w:r>
    </w:p>
    <w:p w14:paraId="60004138">
      <w:pPr>
        <w:pStyle w:val="27"/>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（五）提供法定代表人、主要经营负责人、投标授权代表人、项目负责人（如有）、主要技术人员（如有）最近一个月的社保证明。</w:t>
      </w:r>
    </w:p>
    <w:p w14:paraId="0CBDD22B">
      <w:pPr>
        <w:pStyle w:val="27"/>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六）通过以下官网的信用信息查询记录网络截图并加盖投标人公章：①信用中国②中国政府采购网③深圳市政府采购监管网④国家企业信用信息公示系统或机关赋码和事业单位登记管理网或全国社会组织信用信息公示平台。相关信息以开标当日的查询结果为准。</w:t>
      </w:r>
    </w:p>
    <w:p w14:paraId="7DB5C593">
      <w:pPr>
        <w:pStyle w:val="27"/>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（七）投标及履约承诺函。</w:t>
      </w:r>
    </w:p>
    <w:p w14:paraId="09135FC3">
      <w:pPr>
        <w:pStyle w:val="27"/>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以上资料均须在有效期内并加盖投标方公章。本项目实行资格预审，投标人报名时将进行资格审查，未经审查或审查未通过的不能参与投标。</w:t>
      </w:r>
    </w:p>
    <w:p w14:paraId="11B2D3B8">
      <w:pPr>
        <w:pStyle w:val="27"/>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default" w:ascii="黑体" w:hAnsi="黑体" w:eastAsia="黑体" w:cs="黑体"/>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六、报名方式：</w:t>
      </w:r>
      <w:r>
        <w:rPr>
          <w:rFonts w:hint="eastAsia" w:ascii="仿宋_GB2312" w:hAnsi="仿宋_GB2312" w:eastAsia="仿宋_GB2312" w:cs="仿宋_GB2312"/>
          <w:color w:val="auto"/>
          <w:kern w:val="2"/>
          <w:sz w:val="28"/>
          <w:szCs w:val="28"/>
          <w:highlight w:val="none"/>
          <w:lang w:val="en-US" w:eastAsia="zh-CN" w:bidi="ar-SA"/>
        </w:rPr>
        <w:t>现场报名或邮寄（选择邮寄方式需与采购人电话确认是否已签收并通过报名）或线上邮箱报名</w:t>
      </w:r>
      <w:r>
        <w:rPr>
          <w:rFonts w:hint="eastAsia" w:ascii="仿宋_GB2312" w:hAnsi="仿宋_GB2312" w:eastAsia="仿宋_GB2312" w:cs="仿宋_GB2312"/>
          <w:i w:val="0"/>
          <w:iCs w:val="0"/>
          <w:caps w:val="0"/>
          <w:color w:val="auto"/>
          <w:spacing w:val="0"/>
          <w:sz w:val="28"/>
          <w:szCs w:val="28"/>
          <w:shd w:val="clear" w:fill="FFFFFF"/>
        </w:rPr>
        <w:t>w-qqy-zcb@lg.gov.cn</w:t>
      </w:r>
      <w:r>
        <w:rPr>
          <w:rFonts w:hint="eastAsia" w:ascii="仿宋_GB2312" w:hAnsi="仿宋_GB2312" w:eastAsia="仿宋_GB2312" w:cs="仿宋_GB2312"/>
          <w:i w:val="0"/>
          <w:iCs w:val="0"/>
          <w:caps w:val="0"/>
          <w:color w:val="auto"/>
          <w:spacing w:val="0"/>
          <w:sz w:val="28"/>
          <w:szCs w:val="28"/>
          <w:shd w:val="clear" w:fill="FFFFFF"/>
          <w:lang w:eastAsia="zh-CN"/>
        </w:rPr>
        <w:t>（</w:t>
      </w:r>
      <w:r>
        <w:rPr>
          <w:rFonts w:hint="eastAsia" w:ascii="仿宋_GB2312" w:hAnsi="仿宋_GB2312" w:eastAsia="仿宋_GB2312" w:cs="仿宋_GB2312"/>
          <w:i w:val="0"/>
          <w:iCs w:val="0"/>
          <w:caps w:val="0"/>
          <w:color w:val="auto"/>
          <w:spacing w:val="0"/>
          <w:sz w:val="28"/>
          <w:szCs w:val="28"/>
          <w:shd w:val="clear" w:fill="FFFFFF"/>
          <w:lang w:val="en-US" w:eastAsia="zh-CN"/>
        </w:rPr>
        <w:t>纸质报名资料开标时与标书一起提交</w:t>
      </w:r>
      <w:r>
        <w:rPr>
          <w:rFonts w:hint="eastAsia" w:ascii="仿宋_GB2312" w:hAnsi="仿宋_GB2312" w:eastAsia="仿宋_GB2312" w:cs="仿宋_GB2312"/>
          <w:i w:val="0"/>
          <w:iCs w:val="0"/>
          <w:caps w:val="0"/>
          <w:color w:val="auto"/>
          <w:spacing w:val="0"/>
          <w:sz w:val="28"/>
          <w:szCs w:val="28"/>
          <w:shd w:val="clear" w:fill="FFFFFF"/>
          <w:lang w:eastAsia="zh-CN"/>
        </w:rPr>
        <w:t>）</w:t>
      </w:r>
      <w:r>
        <w:rPr>
          <w:rFonts w:hint="eastAsia" w:ascii="仿宋_GB2312" w:hAnsi="仿宋_GB2312" w:eastAsia="仿宋_GB2312" w:cs="仿宋_GB2312"/>
          <w:color w:val="auto"/>
          <w:kern w:val="2"/>
          <w:sz w:val="28"/>
          <w:szCs w:val="28"/>
          <w:highlight w:val="none"/>
          <w:lang w:val="en-US" w:eastAsia="zh-CN" w:bidi="ar-SA"/>
        </w:rPr>
        <w:t>。</w:t>
      </w:r>
    </w:p>
    <w:p w14:paraId="1A729DA4">
      <w:pPr>
        <w:pStyle w:val="27"/>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七、报名截止时间及地点：</w:t>
      </w:r>
      <w:r>
        <w:rPr>
          <w:rFonts w:hint="eastAsia" w:ascii="仿宋_GB2312" w:hAnsi="仿宋_GB2312" w:eastAsia="仿宋_GB2312" w:cs="仿宋_GB2312"/>
          <w:color w:val="auto"/>
          <w:kern w:val="2"/>
          <w:sz w:val="28"/>
          <w:szCs w:val="28"/>
          <w:highlight w:val="none"/>
          <w:lang w:val="en-US" w:eastAsia="zh-CN" w:bidi="ar-SA"/>
        </w:rPr>
        <w:t>2026年9月2日17:00，布吉街道吉华路175号综合楼810招采办。</w:t>
      </w:r>
    </w:p>
    <w:p w14:paraId="027AE798">
      <w:pPr>
        <w:pStyle w:val="27"/>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default" w:ascii="黑体" w:hAnsi="黑体" w:eastAsia="黑体" w:cs="黑体"/>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八、递交投标文件截止时间及方式：</w:t>
      </w:r>
      <w:r>
        <w:rPr>
          <w:rFonts w:hint="eastAsia" w:ascii="仿宋_GB2312" w:hAnsi="仿宋_GB2312" w:eastAsia="仿宋_GB2312" w:cs="仿宋_GB2312"/>
          <w:color w:val="auto"/>
          <w:kern w:val="2"/>
          <w:sz w:val="28"/>
          <w:szCs w:val="28"/>
          <w:highlight w:val="none"/>
          <w:lang w:val="en-US" w:eastAsia="zh-CN" w:bidi="ar-SA"/>
        </w:rPr>
        <w:t>递交投标文件截止时间为2026年9月3日12：00，投标文件要求密封盖章并现场递交或邮寄(为避免快递未按时送达，应确保投标文件</w:t>
      </w:r>
      <w:r>
        <w:rPr>
          <w:rFonts w:hint="eastAsia" w:ascii="仿宋_GB2312" w:hAnsi="仿宋_GB2312" w:eastAsia="仿宋_GB2312" w:cs="仿宋_GB2312"/>
          <w:i w:val="0"/>
          <w:iCs w:val="0"/>
          <w:caps w:val="0"/>
          <w:color w:val="auto"/>
          <w:spacing w:val="0"/>
          <w:sz w:val="28"/>
          <w:szCs w:val="28"/>
          <w:shd w:val="clear" w:fill="FFFFFF"/>
        </w:rPr>
        <w:t>在递交</w:t>
      </w:r>
      <w:r>
        <w:rPr>
          <w:rFonts w:hint="eastAsia" w:ascii="仿宋_GB2312" w:hAnsi="仿宋_GB2312" w:eastAsia="仿宋_GB2312" w:cs="仿宋_GB2312"/>
          <w:i w:val="0"/>
          <w:iCs w:val="0"/>
          <w:caps w:val="0"/>
          <w:color w:val="auto"/>
          <w:spacing w:val="0"/>
          <w:sz w:val="28"/>
          <w:szCs w:val="28"/>
          <w:shd w:val="clear" w:fill="FFFFFF"/>
          <w:lang w:val="en-US" w:eastAsia="zh-CN"/>
        </w:rPr>
        <w:t>投标文件</w:t>
      </w:r>
      <w:r>
        <w:rPr>
          <w:rFonts w:hint="eastAsia" w:ascii="仿宋_GB2312" w:hAnsi="仿宋_GB2312" w:eastAsia="仿宋_GB2312" w:cs="仿宋_GB2312"/>
          <w:i w:val="0"/>
          <w:iCs w:val="0"/>
          <w:caps w:val="0"/>
          <w:color w:val="auto"/>
          <w:spacing w:val="0"/>
          <w:sz w:val="28"/>
          <w:szCs w:val="28"/>
          <w:shd w:val="clear" w:fill="FFFFFF"/>
        </w:rPr>
        <w:t>截止时间前送达</w:t>
      </w:r>
      <w:r>
        <w:rPr>
          <w:rFonts w:hint="eastAsia" w:ascii="仿宋_GB2312" w:hAnsi="仿宋_GB2312" w:eastAsia="仿宋_GB2312" w:cs="仿宋_GB2312"/>
          <w:color w:val="auto"/>
          <w:kern w:val="2"/>
          <w:sz w:val="28"/>
          <w:szCs w:val="28"/>
          <w:highlight w:val="none"/>
          <w:lang w:val="en-US" w:eastAsia="zh-CN" w:bidi="ar-SA"/>
        </w:rPr>
        <w:t>布吉街道吉华路175号综合楼810招采办,并及时与收件人联系确认是否收到投标文件,邮寄方式的递交时间以送达我院由我院代表签收的时间为准，逾期收到或不符合规定的投标文件恕不接受）。</w:t>
      </w:r>
    </w:p>
    <w:p w14:paraId="4BBCC153">
      <w:pPr>
        <w:pStyle w:val="27"/>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九、开标时间及地点：</w:t>
      </w:r>
      <w:r>
        <w:rPr>
          <w:rFonts w:hint="eastAsia" w:ascii="仿宋_GB2312" w:hAnsi="仿宋_GB2312" w:eastAsia="仿宋_GB2312" w:cs="仿宋_GB2312"/>
          <w:color w:val="auto"/>
          <w:kern w:val="2"/>
          <w:sz w:val="28"/>
          <w:szCs w:val="28"/>
          <w:highlight w:val="none"/>
          <w:lang w:val="en-US" w:eastAsia="zh-CN" w:bidi="ar-SA"/>
        </w:rPr>
        <w:t>2026年9月3日15:00，深圳市龙岗区布吉街道吉华路175号龙岭院区综合楼1002会议室（如有变动，另行通知）。</w:t>
      </w:r>
    </w:p>
    <w:p w14:paraId="1F2CBB5F">
      <w:pPr>
        <w:pStyle w:val="27"/>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十、联系人及联系电话：</w:t>
      </w:r>
      <w:r>
        <w:rPr>
          <w:rFonts w:hint="eastAsia" w:ascii="仿宋_GB2312" w:hAnsi="仿宋_GB2312" w:eastAsia="仿宋_GB2312" w:cs="仿宋_GB2312"/>
          <w:color w:val="auto"/>
          <w:kern w:val="2"/>
          <w:sz w:val="28"/>
          <w:szCs w:val="28"/>
          <w:highlight w:val="none"/>
          <w:lang w:val="en-US" w:eastAsia="zh-CN" w:bidi="ar-SA"/>
        </w:rPr>
        <w:t>陈工、李工，0755-28740606-3810。</w:t>
      </w:r>
    </w:p>
    <w:p w14:paraId="51E27233">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60" w:firstLineChars="200"/>
        <w:jc w:val="left"/>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kern w:val="2"/>
          <w:sz w:val="28"/>
          <w:szCs w:val="28"/>
          <w:highlight w:val="none"/>
          <w:lang w:val="en-US" w:eastAsia="zh-CN" w:bidi="ar-SA"/>
        </w:rPr>
        <w:t>十一、</w:t>
      </w:r>
      <w:r>
        <w:rPr>
          <w:rFonts w:hint="eastAsia" w:ascii="黑体" w:hAnsi="黑体" w:eastAsia="黑体" w:cs="黑体"/>
          <w:color w:val="auto"/>
          <w:sz w:val="28"/>
          <w:szCs w:val="28"/>
        </w:rPr>
        <w:t>监督部门</w:t>
      </w:r>
    </w:p>
    <w:p w14:paraId="121BA9A2">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640"/>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医院纪审科监督联系电话</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李女士，0755-28740471。</w:t>
      </w:r>
    </w:p>
    <w:p w14:paraId="4E72FA22">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64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sz w:val="28"/>
          <w:szCs w:val="28"/>
        </w:rPr>
        <w:t>项目所属一级预算单位监督联系电话</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0755-89551103。</w:t>
      </w:r>
    </w:p>
    <w:p w14:paraId="20F4DC2D">
      <w:pPr>
        <w:pStyle w:val="27"/>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十二、公告日期：</w:t>
      </w:r>
      <w:r>
        <w:rPr>
          <w:rFonts w:hint="eastAsia" w:ascii="仿宋_GB2312" w:hAnsi="仿宋_GB2312" w:eastAsia="仿宋_GB2312" w:cs="仿宋_GB2312"/>
          <w:color w:val="auto"/>
          <w:kern w:val="2"/>
          <w:sz w:val="28"/>
          <w:szCs w:val="28"/>
          <w:highlight w:val="none"/>
          <w:lang w:val="en-US" w:eastAsia="zh-CN" w:bidi="ar-SA"/>
        </w:rPr>
        <w:t>自公告发布之日起5个工作日。</w:t>
      </w:r>
    </w:p>
    <w:p w14:paraId="4A21C442">
      <w:pPr>
        <w:pStyle w:val="27"/>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p>
    <w:p w14:paraId="12DC5FE6">
      <w:pPr>
        <w:pStyle w:val="29"/>
        <w:keepNext w:val="0"/>
        <w:keepLines w:val="0"/>
        <w:pageBreakBefore w:val="0"/>
        <w:kinsoku/>
        <w:wordWrap/>
        <w:overflowPunct/>
        <w:topLinePunct w:val="0"/>
        <w:autoSpaceDE/>
        <w:autoSpaceDN/>
        <w:bidi w:val="0"/>
        <w:adjustRightInd/>
        <w:snapToGrid/>
        <w:spacing w:line="540" w:lineRule="exact"/>
        <w:ind w:firstLine="560"/>
        <w:jc w:val="left"/>
        <w:textAlignment w:val="auto"/>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附件：</w:t>
      </w:r>
    </w:p>
    <w:p w14:paraId="309AC269">
      <w:pPr>
        <w:pStyle w:val="29"/>
        <w:keepNext w:val="0"/>
        <w:keepLines w:val="0"/>
        <w:pageBreakBefore w:val="0"/>
        <w:kinsoku/>
        <w:wordWrap/>
        <w:overflowPunct/>
        <w:topLinePunct w:val="0"/>
        <w:autoSpaceDE/>
        <w:autoSpaceDN/>
        <w:bidi w:val="0"/>
        <w:adjustRightInd/>
        <w:snapToGrid/>
        <w:spacing w:line="540" w:lineRule="exact"/>
        <w:ind w:left="0" w:leftChars="0" w:firstLine="560" w:firstLineChars="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1.深圳市龙岗区第七人民医院院内公开采购报名表</w:t>
      </w:r>
    </w:p>
    <w:p w14:paraId="16415918">
      <w:pPr>
        <w:keepNext w:val="0"/>
        <w:keepLines w:val="0"/>
        <w:pageBreakBefore w:val="0"/>
        <w:kinsoku/>
        <w:wordWrap/>
        <w:overflowPunct/>
        <w:topLinePunct w:val="0"/>
        <w:autoSpaceDE/>
        <w:autoSpaceDN/>
        <w:bidi w:val="0"/>
        <w:adjustRightInd/>
        <w:snapToGrid/>
        <w:spacing w:line="540" w:lineRule="exact"/>
        <w:ind w:left="839" w:leftChars="266" w:hanging="280" w:hangingChars="100"/>
        <w:jc w:val="both"/>
        <w:textAlignment w:val="auto"/>
        <w:rPr>
          <w:rFonts w:ascii="仿宋_GB2312" w:eastAsia="仿宋_GB2312"/>
          <w:color w:val="auto"/>
          <w:sz w:val="28"/>
          <w:szCs w:val="28"/>
          <w:highlight w:val="none"/>
        </w:rPr>
      </w:pPr>
      <w:r>
        <w:rPr>
          <w:rFonts w:hint="eastAsia" w:ascii="仿宋_GB2312" w:hAnsi="仿宋_GB2312" w:eastAsia="仿宋_GB2312" w:cs="仿宋_GB2312"/>
          <w:color w:val="auto"/>
          <w:kern w:val="2"/>
          <w:sz w:val="28"/>
          <w:szCs w:val="28"/>
          <w:highlight w:val="none"/>
          <w:lang w:val="en-US" w:eastAsia="zh-CN" w:bidi="ar-SA"/>
        </w:rPr>
        <w:t>2.</w:t>
      </w:r>
      <w:r>
        <w:rPr>
          <w:rFonts w:hint="eastAsia" w:ascii="仿宋_GB2312" w:hAnsi="宋体" w:eastAsia="仿宋_GB2312"/>
          <w:color w:val="auto"/>
          <w:sz w:val="28"/>
          <w:szCs w:val="28"/>
          <w:highlight w:val="none"/>
        </w:rPr>
        <w:t>深圳市龙岗区第七人民医院2026-2027年度五金耗材</w:t>
      </w:r>
      <w:r>
        <w:rPr>
          <w:rFonts w:hint="eastAsia" w:ascii="仿宋_GB2312" w:hAnsi="宋体" w:eastAsia="仿宋_GB2312"/>
          <w:color w:val="auto"/>
          <w:sz w:val="28"/>
          <w:szCs w:val="28"/>
          <w:highlight w:val="none"/>
          <w:lang w:val="en-US" w:eastAsia="zh-CN"/>
        </w:rPr>
        <w:t>项目</w:t>
      </w:r>
      <w:r>
        <w:rPr>
          <w:rFonts w:hint="eastAsia" w:ascii="仿宋_GB2312" w:hAnsi="仿宋_GB2312" w:eastAsia="仿宋_GB2312" w:cs="仿宋_GB2312"/>
          <w:color w:val="auto"/>
          <w:kern w:val="2"/>
          <w:sz w:val="28"/>
          <w:szCs w:val="28"/>
          <w:highlight w:val="none"/>
          <w:lang w:val="en-US" w:eastAsia="zh-CN" w:bidi="ar-SA"/>
        </w:rPr>
        <w:t>招标文件</w:t>
      </w:r>
    </w:p>
    <w:p w14:paraId="0FEE7B78">
      <w:pPr>
        <w:pStyle w:val="29"/>
        <w:keepNext w:val="0"/>
        <w:keepLines w:val="0"/>
        <w:pageBreakBefore w:val="0"/>
        <w:kinsoku/>
        <w:wordWrap/>
        <w:overflowPunct/>
        <w:topLinePunct w:val="0"/>
        <w:autoSpaceDE/>
        <w:autoSpaceDN/>
        <w:bidi w:val="0"/>
        <w:adjustRightInd/>
        <w:snapToGrid/>
        <w:spacing w:line="540" w:lineRule="exact"/>
        <w:ind w:firstLine="0" w:firstLineChars="0"/>
        <w:jc w:val="both"/>
        <w:textAlignment w:val="auto"/>
        <w:rPr>
          <w:rFonts w:hint="eastAsia" w:ascii="仿宋_GB2312" w:eastAsia="仿宋_GB2312"/>
          <w:color w:val="auto"/>
          <w:sz w:val="28"/>
          <w:szCs w:val="28"/>
          <w:highlight w:val="none"/>
        </w:rPr>
      </w:pPr>
    </w:p>
    <w:p w14:paraId="6C0E92D5">
      <w:pPr>
        <w:pStyle w:val="29"/>
        <w:keepNext w:val="0"/>
        <w:keepLines w:val="0"/>
        <w:pageBreakBefore w:val="0"/>
        <w:kinsoku/>
        <w:wordWrap/>
        <w:overflowPunct/>
        <w:topLinePunct w:val="0"/>
        <w:autoSpaceDE/>
        <w:autoSpaceDN/>
        <w:bidi w:val="0"/>
        <w:adjustRightInd/>
        <w:snapToGrid/>
        <w:spacing w:line="540" w:lineRule="exact"/>
        <w:ind w:firstLine="560"/>
        <w:jc w:val="right"/>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rPr>
        <w:t>深圳市龙岗区第七人民医院</w:t>
      </w:r>
    </w:p>
    <w:p w14:paraId="186520DF">
      <w:pPr>
        <w:pStyle w:val="29"/>
        <w:keepNext w:val="0"/>
        <w:keepLines w:val="0"/>
        <w:pageBreakBefore w:val="0"/>
        <w:kinsoku/>
        <w:wordWrap/>
        <w:overflowPunct/>
        <w:topLinePunct w:val="0"/>
        <w:autoSpaceDE/>
        <w:autoSpaceDN/>
        <w:bidi w:val="0"/>
        <w:adjustRightInd/>
        <w:snapToGrid/>
        <w:spacing w:line="540" w:lineRule="exact"/>
        <w:ind w:firstLine="560"/>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eastAsia="仿宋_GB2312"/>
          <w:color w:val="auto"/>
          <w:sz w:val="28"/>
          <w:szCs w:val="28"/>
          <w:highlight w:val="none"/>
        </w:rPr>
        <w:t xml:space="preserve">                                      </w:t>
      </w:r>
      <w:r>
        <w:rPr>
          <w:rFonts w:hint="eastAsia" w:ascii="仿宋_GB2312" w:hAnsi="仿宋_GB2312" w:eastAsia="仿宋_GB2312" w:cs="仿宋_GB2312"/>
          <w:color w:val="auto"/>
          <w:sz w:val="28"/>
          <w:szCs w:val="28"/>
          <w:highlight w:val="none"/>
          <w:lang w:val="en-US" w:eastAsia="zh-CN"/>
        </w:rPr>
        <w:t>2026年8月26日</w:t>
      </w:r>
    </w:p>
    <w:p w14:paraId="5E15408F">
      <w:pPr>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br w:type="page"/>
      </w:r>
    </w:p>
    <w:p w14:paraId="0CADE602">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ascii="仿宋_GB2312" w:hAnsi="仿宋_GB2312" w:eastAsia="仿宋_GB2312" w:cs="仿宋_GB2312"/>
          <w:b/>
          <w:bCs/>
          <w:color w:val="auto"/>
          <w:sz w:val="44"/>
          <w:szCs w:val="44"/>
          <w:highlight w:val="none"/>
        </w:rPr>
      </w:pPr>
      <w:r>
        <w:rPr>
          <w:rFonts w:hint="eastAsia" w:ascii="仿宋_GB2312" w:hAnsi="仿宋_GB2312" w:eastAsia="仿宋_GB2312" w:cs="仿宋_GB2312"/>
          <w:b/>
          <w:bCs/>
          <w:color w:val="auto"/>
          <w:kern w:val="2"/>
          <w:sz w:val="44"/>
          <w:szCs w:val="44"/>
          <w:lang w:val="en-US" w:eastAsia="zh-CN" w:bidi="ar-SA"/>
        </w:rPr>
        <w:t>第二章</w:t>
      </w:r>
      <w:r>
        <w:rPr>
          <w:rFonts w:hint="eastAsia" w:ascii="仿宋_GB2312" w:hAnsi="仿宋_GB2312" w:eastAsia="仿宋_GB2312" w:cs="仿宋_GB2312"/>
          <w:b/>
          <w:bCs/>
          <w:color w:val="auto"/>
          <w:sz w:val="44"/>
          <w:szCs w:val="44"/>
          <w:highlight w:val="none"/>
        </w:rPr>
        <w:t>院内公开采购项目需求</w:t>
      </w:r>
    </w:p>
    <w:p w14:paraId="35454CAC">
      <w:pPr>
        <w:pStyle w:val="27"/>
        <w:keepNext w:val="0"/>
        <w:keepLines w:val="0"/>
        <w:pageBreakBefore w:val="0"/>
        <w:numPr>
          <w:ilvl w:val="0"/>
          <w:numId w:val="0"/>
        </w:numPr>
        <w:kinsoku/>
        <w:wordWrap/>
        <w:overflowPunct/>
        <w:topLinePunct w:val="0"/>
        <w:autoSpaceDE/>
        <w:autoSpaceDN/>
        <w:bidi w:val="0"/>
        <w:adjustRightInd/>
        <w:snapToGrid/>
        <w:spacing w:line="560" w:lineRule="exact"/>
        <w:ind w:right="-82" w:rightChars="-39" w:firstLine="422" w:firstLineChars="200"/>
        <w:jc w:val="both"/>
        <w:textAlignment w:val="auto"/>
        <w:rPr>
          <w:rFonts w:hint="eastAsia" w:cs="宋体"/>
          <w:b/>
          <w:color w:val="auto"/>
          <w:szCs w:val="21"/>
          <w:highlight w:val="none"/>
          <w:lang w:eastAsia="zh-CN"/>
        </w:rPr>
      </w:pPr>
    </w:p>
    <w:p w14:paraId="4A647CB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strike/>
          <w:dstrike w:val="0"/>
          <w:color w:val="auto"/>
          <w:kern w:val="2"/>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一、项目概况：</w:t>
      </w:r>
      <w:r>
        <w:rPr>
          <w:rFonts w:hint="eastAsia" w:ascii="仿宋_GB2312" w:hAnsi="仿宋_GB2312" w:eastAsia="仿宋_GB2312" w:cs="仿宋_GB2312"/>
          <w:color w:val="auto"/>
          <w:sz w:val="28"/>
          <w:szCs w:val="28"/>
          <w:highlight w:val="none"/>
        </w:rPr>
        <w:t>我院</w:t>
      </w:r>
      <w:r>
        <w:rPr>
          <w:rFonts w:hint="eastAsia" w:ascii="仿宋_GB2312" w:hAnsi="仿宋_GB2312" w:eastAsia="仿宋_GB2312" w:cs="仿宋_GB2312"/>
          <w:color w:val="auto"/>
          <w:sz w:val="28"/>
          <w:szCs w:val="28"/>
          <w:highlight w:val="none"/>
          <w:lang w:val="en-US" w:eastAsia="zh-CN"/>
        </w:rPr>
        <w:t>需采购</w:t>
      </w:r>
      <w:r>
        <w:rPr>
          <w:rFonts w:hint="eastAsia" w:ascii="仿宋_GB2312" w:hAnsi="仿宋_GB2312" w:eastAsia="仿宋_GB2312" w:cs="仿宋_GB2312"/>
          <w:color w:val="auto"/>
          <w:sz w:val="28"/>
          <w:szCs w:val="28"/>
          <w:highlight w:val="none"/>
        </w:rPr>
        <w:t>2026-2027年度五金耗材服务</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供应商须负责全院（含院本部及下属社康）五金耗材的供应及配送服务，涵盖但不限于各类水管配件、阀门、龙头、门锁、合页、闭门器、灯具、开关插座、电线电缆、五金工具等日常维修维护所需耗材</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确保临床及后勤运维工作正常运转。</w:t>
      </w:r>
    </w:p>
    <w:p w14:paraId="53AAC8D7">
      <w:pPr>
        <w:pStyle w:val="3"/>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黑体" w:hAnsi="黑体" w:eastAsia="黑体" w:cs="黑体"/>
          <w:b w:val="0"/>
          <w:bCs w:val="0"/>
          <w:color w:val="auto"/>
          <w:kern w:val="0"/>
          <w:sz w:val="28"/>
          <w:szCs w:val="28"/>
          <w:highlight w:val="none"/>
          <w:lang w:val="en-US" w:eastAsia="zh-CN" w:bidi="ar-SA"/>
        </w:rPr>
        <w:t>二、预算金额（最高限价）：</w:t>
      </w:r>
      <w:r>
        <w:rPr>
          <w:rFonts w:hint="eastAsia" w:ascii="仿宋_GB2312" w:hAnsi="仿宋_GB2312" w:eastAsia="仿宋_GB2312" w:cs="仿宋_GB2312"/>
          <w:color w:val="auto"/>
          <w:kern w:val="2"/>
          <w:sz w:val="28"/>
          <w:szCs w:val="28"/>
          <w:highlight w:val="none"/>
          <w:lang w:val="en-US" w:eastAsia="zh-CN" w:bidi="ar-SA"/>
        </w:rPr>
        <w:t>15万</w:t>
      </w:r>
      <w:r>
        <w:rPr>
          <w:rFonts w:hint="eastAsia" w:ascii="仿宋_GB2312" w:hAnsi="仿宋_GB2312" w:eastAsia="仿宋_GB2312" w:cs="仿宋_GB2312"/>
          <w:color w:val="auto"/>
          <w:kern w:val="2"/>
          <w:sz w:val="28"/>
          <w:szCs w:val="28"/>
          <w:highlight w:val="none"/>
        </w:rPr>
        <w:t>元</w:t>
      </w:r>
      <w:r>
        <w:rPr>
          <w:rFonts w:hint="eastAsia" w:ascii="仿宋_GB2312" w:hAnsi="仿宋_GB2312" w:eastAsia="仿宋_GB2312" w:cs="仿宋_GB2312"/>
          <w:color w:val="auto"/>
          <w:kern w:val="2"/>
          <w:sz w:val="28"/>
          <w:szCs w:val="28"/>
          <w:highlight w:val="none"/>
          <w:lang w:eastAsia="zh-CN"/>
        </w:rPr>
        <w:t>。</w:t>
      </w:r>
    </w:p>
    <w:p w14:paraId="38D7D753">
      <w:pPr>
        <w:pStyle w:val="27"/>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仿宋_GB2312" w:hAnsi="仿宋_GB2312" w:eastAsia="仿宋_GB2312" w:cs="仿宋_GB2312"/>
          <w:b/>
          <w:bCs/>
          <w:color w:val="auto"/>
          <w:sz w:val="28"/>
          <w:szCs w:val="28"/>
          <w:highlight w:val="none"/>
        </w:rPr>
      </w:pPr>
      <w:r>
        <w:rPr>
          <w:rFonts w:hint="eastAsia" w:ascii="黑体" w:hAnsi="黑体" w:eastAsia="黑体" w:cs="黑体"/>
          <w:b w:val="0"/>
          <w:bCs w:val="0"/>
          <w:color w:val="auto"/>
          <w:kern w:val="0"/>
          <w:sz w:val="28"/>
          <w:szCs w:val="28"/>
          <w:highlight w:val="none"/>
          <w:lang w:val="en-US" w:eastAsia="zh-CN" w:bidi="ar-SA"/>
        </w:rPr>
        <w:t>三、采购组织形式（勾选）：</w:t>
      </w:r>
      <w:r>
        <w:rPr>
          <w:rFonts w:hint="eastAsia" w:ascii="仿宋_GB2312" w:hAnsi="仿宋_GB2312" w:eastAsia="仿宋_GB2312" w:cs="仿宋_GB2312"/>
          <w:color w:val="auto"/>
          <w:sz w:val="28"/>
          <w:szCs w:val="28"/>
          <w:highlight w:val="none"/>
        </w:rPr>
        <w:t>政府集中采购□、院内集中采购☑、院内委托代理采购□、集团联合采购□、其他□。</w:t>
      </w:r>
    </w:p>
    <w:p w14:paraId="27A91842">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color w:val="auto"/>
          <w:highlight w:val="none"/>
        </w:rPr>
      </w:pPr>
      <w:r>
        <w:rPr>
          <w:rFonts w:hint="eastAsia" w:ascii="黑体" w:hAnsi="黑体" w:eastAsia="黑体" w:cs="黑体"/>
          <w:b w:val="0"/>
          <w:bCs w:val="0"/>
          <w:color w:val="auto"/>
          <w:kern w:val="0"/>
          <w:sz w:val="28"/>
          <w:szCs w:val="28"/>
          <w:highlight w:val="none"/>
          <w:lang w:val="en-US" w:eastAsia="zh-CN" w:bidi="ar-SA"/>
        </w:rPr>
        <w:t>四、采购方式（勾选）：</w:t>
      </w:r>
      <w:r>
        <w:rPr>
          <w:rFonts w:hint="eastAsia" w:ascii="仿宋_GB2312" w:hAnsi="仿宋_GB2312" w:eastAsia="仿宋_GB2312" w:cs="仿宋_GB2312"/>
          <w:color w:val="auto"/>
          <w:sz w:val="28"/>
          <w:szCs w:val="28"/>
          <w:highlight w:val="none"/>
        </w:rPr>
        <w:t>院内招标</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、院内竞价</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、院内邀标□、院内询价</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、竞争性磋商□、院内直接议价□、其他□。</w:t>
      </w:r>
    </w:p>
    <w:p w14:paraId="7B0299F2">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黑体" w:hAnsi="黑体" w:eastAsia="黑体" w:cs="黑体"/>
          <w:b w:val="0"/>
          <w:bCs w:val="0"/>
          <w:color w:val="auto"/>
          <w:kern w:val="0"/>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五、投标人资格要求</w:t>
      </w:r>
    </w:p>
    <w:p w14:paraId="20FD80D5">
      <w:pPr>
        <w:pStyle w:val="27"/>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楷体_GB2312" w:hAnsi="楷体_GB2312" w:eastAsia="楷体_GB2312" w:cs="楷体_GB2312"/>
          <w:color w:val="auto"/>
          <w:kern w:val="2"/>
          <w:sz w:val="28"/>
          <w:szCs w:val="28"/>
          <w:highlight w:val="none"/>
          <w:lang w:val="en-US" w:eastAsia="zh-CN" w:bidi="ar-SA"/>
        </w:rPr>
      </w:pPr>
      <w:r>
        <w:rPr>
          <w:rFonts w:hint="eastAsia" w:ascii="楷体_GB2312" w:hAnsi="楷体_GB2312" w:eastAsia="楷体_GB2312" w:cs="楷体_GB2312"/>
          <w:color w:val="auto"/>
          <w:kern w:val="2"/>
          <w:sz w:val="28"/>
          <w:szCs w:val="28"/>
          <w:highlight w:val="none"/>
          <w:lang w:val="en-US" w:eastAsia="zh-CN" w:bidi="ar-SA"/>
        </w:rPr>
        <w:t>（一）基本资格条件</w:t>
      </w:r>
    </w:p>
    <w:p w14:paraId="23A4FE4F">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满足《中华人民共和国政府采购法》第二十二条规定（须提供具有独立承担民事责任能力的法人或其他组织的营业执照或法人证书等证明材料复印件或扫描件以及《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33AF1E02">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2.落实政府采购政策需满足的资格要求：无。</w:t>
      </w:r>
    </w:p>
    <w:p w14:paraId="20A7A73D">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楷体_GB2312" w:hAnsi="楷体_GB2312" w:eastAsia="楷体_GB2312" w:cs="楷体_GB2312"/>
          <w:color w:val="auto"/>
          <w:kern w:val="2"/>
          <w:sz w:val="28"/>
          <w:szCs w:val="28"/>
          <w:highlight w:val="none"/>
          <w:lang w:val="en-US" w:eastAsia="zh-CN" w:bidi="ar-SA"/>
        </w:rPr>
      </w:pPr>
      <w:r>
        <w:rPr>
          <w:rFonts w:hint="eastAsia" w:ascii="楷体_GB2312" w:hAnsi="楷体_GB2312" w:eastAsia="楷体_GB2312" w:cs="楷体_GB2312"/>
          <w:color w:val="auto"/>
          <w:kern w:val="2"/>
          <w:sz w:val="28"/>
          <w:szCs w:val="28"/>
          <w:highlight w:val="none"/>
          <w:lang w:val="en-US" w:eastAsia="zh-CN" w:bidi="ar-SA"/>
        </w:rPr>
        <w:t>（二）本项目的特定资格要求</w:t>
      </w:r>
    </w:p>
    <w:p w14:paraId="10214140">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1.参与本项目投标前三年内，在经营活动中没有重大违法记录（须按本项目投标文件格式要求提供《投标及履约承诺函》加盖投标人公章）；</w:t>
      </w:r>
    </w:p>
    <w:p w14:paraId="30BC9CA8">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2.参与本项目政府采购活动时不存在被有关部门禁止参与政府采购活动且在有效期内的情况（须按本项目投标文件格式要求提供《投标及履约承诺函》加盖投标人公章）；</w:t>
      </w:r>
    </w:p>
    <w:p w14:paraId="0A1DEFBC">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3.单位负责人为同一人或者存在直接控股、管理关系的不同供应商，不得参加同一合同项下的政府采购活动（须按本项目投标文件格式要求提供《投标及履约承诺函》加盖投标人公章）；</w:t>
      </w:r>
    </w:p>
    <w:p w14:paraId="52E3CB87">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除单一来源采购项目外，为采购项目提供整体设计、规范编制或者项目管理、监理、检测等服务的供应商，不得再参加该采购项目的其他采购活动（须按本项目投标文件格式要求提供《投标及履约承诺函》加盖投标人公章）；</w:t>
      </w:r>
    </w:p>
    <w:p w14:paraId="17D0D351">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5.参与本项目不存在《深圳市财政局政府采购供应商信用信息管理办法》列明的严重违法失信行为（须按本项目投标文件格式要求提供《投标及履约承诺函》加盖投标人公章）；</w:t>
      </w:r>
    </w:p>
    <w:p w14:paraId="657F0D42">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6.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1BE2E728">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7.投标人未被列入失信被执行人、重大税收违法案件当事人名单及政府采购严重违法失信行为记录名单（“信用中国”“信用服务”栏的“重大税收违法失信主体”“失信被执行人”，“中国政府采购网”“政府采购严重违法失信行为记录名单”以及“深圳市政府采购监管网”为投标人信用信息查询渠道，相关信息以开标当日的查询结果为准）；</w:t>
      </w:r>
    </w:p>
    <w:p w14:paraId="6FAA9070">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8.投标人须提供国家企业信用信息公示系统或机关赋码和事业单位登记管理网或全国社会组织信用信息公示平台网站截图，作为不同供应商之间不存在单位负责人为同一人或者直接控股、管理关系的补充证明；</w:t>
      </w:r>
    </w:p>
    <w:p w14:paraId="06F9A66F">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9.本项目不接受联合体投标，不允许分包或转包。</w:t>
      </w:r>
    </w:p>
    <w:p w14:paraId="2526B065">
      <w:pPr>
        <w:keepLines w:val="0"/>
        <w:pageBreakBefore w:val="0"/>
        <w:kinsoku/>
        <w:wordWrap/>
        <w:overflowPunct/>
        <w:topLinePunct w:val="0"/>
        <w:bidi w:val="0"/>
        <w:spacing w:line="560" w:lineRule="exact"/>
        <w:ind w:firstLine="560" w:firstLineChars="200"/>
        <w:rPr>
          <w:rFonts w:hint="default" w:ascii="黑体" w:hAnsi="黑体" w:eastAsia="黑体" w:cs="黑体"/>
          <w:b w:val="0"/>
          <w:bCs w:val="0"/>
          <w:color w:val="auto"/>
          <w:kern w:val="0"/>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六、货物清单及要求</w:t>
      </w:r>
    </w:p>
    <w:p w14:paraId="6A555766">
      <w:pPr>
        <w:keepLines w:val="0"/>
        <w:pageBreakBefore w:val="0"/>
        <w:widowControl/>
        <w:numPr>
          <w:ilvl w:val="-1"/>
          <w:numId w:val="0"/>
        </w:numPr>
        <w:kinsoku/>
        <w:wordWrap/>
        <w:overflowPunct/>
        <w:topLinePunct w:val="0"/>
        <w:bidi w:val="0"/>
        <w:spacing w:line="560" w:lineRule="exact"/>
        <w:ind w:leftChars="0" w:firstLine="560" w:firstLineChars="200"/>
        <w:rPr>
          <w:rFonts w:hint="eastAsia" w:ascii="楷体_GB2312" w:hAnsi="楷体_GB2312" w:eastAsia="楷体_GB2312" w:cs="楷体_GB2312"/>
          <w:b w:val="0"/>
          <w:bCs w:val="0"/>
          <w:strike w:val="0"/>
          <w:dstrike w:val="0"/>
          <w:color w:val="auto"/>
          <w:sz w:val="28"/>
          <w:szCs w:val="28"/>
          <w:highlight w:val="none"/>
          <w:lang w:val="en-US" w:eastAsia="zh-CN"/>
        </w:rPr>
      </w:pPr>
      <w:r>
        <w:rPr>
          <w:rFonts w:hint="eastAsia" w:ascii="楷体_GB2312" w:hAnsi="楷体_GB2312" w:eastAsia="楷体_GB2312" w:cs="楷体_GB2312"/>
          <w:b w:val="0"/>
          <w:bCs w:val="0"/>
          <w:strike w:val="0"/>
          <w:dstrike w:val="0"/>
          <w:color w:val="auto"/>
          <w:sz w:val="28"/>
          <w:szCs w:val="28"/>
          <w:highlight w:val="none"/>
          <w:lang w:eastAsia="zh-CN"/>
        </w:rPr>
        <w:t>（</w:t>
      </w:r>
      <w:r>
        <w:rPr>
          <w:rFonts w:hint="eastAsia" w:ascii="楷体_GB2312" w:hAnsi="楷体_GB2312" w:eastAsia="楷体_GB2312" w:cs="楷体_GB2312"/>
          <w:b w:val="0"/>
          <w:bCs w:val="0"/>
          <w:strike w:val="0"/>
          <w:dstrike w:val="0"/>
          <w:color w:val="auto"/>
          <w:sz w:val="28"/>
          <w:szCs w:val="28"/>
          <w:highlight w:val="none"/>
          <w:lang w:val="en-US" w:eastAsia="zh-CN"/>
        </w:rPr>
        <w:t>一</w:t>
      </w:r>
      <w:r>
        <w:rPr>
          <w:rFonts w:hint="eastAsia" w:ascii="楷体_GB2312" w:hAnsi="楷体_GB2312" w:eastAsia="楷体_GB2312" w:cs="楷体_GB2312"/>
          <w:b w:val="0"/>
          <w:bCs w:val="0"/>
          <w:strike w:val="0"/>
          <w:dstrike w:val="0"/>
          <w:color w:val="auto"/>
          <w:sz w:val="28"/>
          <w:szCs w:val="28"/>
          <w:highlight w:val="none"/>
          <w:lang w:eastAsia="zh-CN"/>
        </w:rPr>
        <w:t>）</w:t>
      </w:r>
      <w:r>
        <w:rPr>
          <w:rFonts w:hint="eastAsia" w:ascii="楷体_GB2312" w:hAnsi="楷体_GB2312" w:eastAsia="楷体_GB2312" w:cs="楷体_GB2312"/>
          <w:b w:val="0"/>
          <w:bCs w:val="0"/>
          <w:strike w:val="0"/>
          <w:dstrike w:val="0"/>
          <w:color w:val="auto"/>
          <w:sz w:val="28"/>
          <w:szCs w:val="28"/>
          <w:highlight w:val="none"/>
          <w:lang w:val="en-US" w:eastAsia="zh-CN"/>
        </w:rPr>
        <w:t>需求货物清单</w:t>
      </w:r>
    </w:p>
    <w:tbl>
      <w:tblPr>
        <w:tblStyle w:val="19"/>
        <w:tblW w:w="905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7"/>
        <w:gridCol w:w="1166"/>
        <w:gridCol w:w="4714"/>
        <w:gridCol w:w="795"/>
        <w:gridCol w:w="1605"/>
      </w:tblGrid>
      <w:tr w14:paraId="0246D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8690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5487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物品名称</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81FA2">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bCs/>
                <w:i w:val="0"/>
                <w:iCs w:val="0"/>
                <w:color w:val="000000"/>
                <w:sz w:val="22"/>
                <w:szCs w:val="22"/>
                <w:highlight w:val="none"/>
                <w:u w:val="none"/>
                <w:lang w:val="en-US"/>
              </w:rPr>
            </w:pPr>
            <w:r>
              <w:rPr>
                <w:rFonts w:hint="eastAsia" w:ascii="宋体" w:hAnsi="宋体" w:eastAsia="宋体" w:cs="宋体"/>
                <w:b/>
                <w:bCs/>
                <w:i w:val="0"/>
                <w:iCs w:val="0"/>
                <w:color w:val="000000"/>
                <w:kern w:val="0"/>
                <w:sz w:val="22"/>
                <w:szCs w:val="22"/>
                <w:highlight w:val="none"/>
                <w:u w:val="none"/>
                <w:lang w:val="en-US" w:eastAsia="zh-CN" w:bidi="ar"/>
              </w:rPr>
              <w:t>规格型号</w:t>
            </w:r>
            <w:r>
              <w:rPr>
                <w:rFonts w:hint="eastAsia" w:ascii="宋体" w:hAnsi="宋体" w:cs="宋体"/>
                <w:b/>
                <w:bCs/>
                <w:i w:val="0"/>
                <w:iCs w:val="0"/>
                <w:color w:val="000000"/>
                <w:kern w:val="0"/>
                <w:sz w:val="22"/>
                <w:szCs w:val="22"/>
                <w:highlight w:val="none"/>
                <w:u w:val="none"/>
                <w:lang w:val="en-US" w:eastAsia="zh-CN" w:bidi="ar"/>
              </w:rPr>
              <w:t>及</w:t>
            </w:r>
            <w:r>
              <w:rPr>
                <w:rFonts w:hint="eastAsia" w:ascii="宋体" w:hAnsi="宋体" w:cs="宋体"/>
                <w:b/>
                <w:bCs/>
                <w:color w:val="000000"/>
                <w:kern w:val="0"/>
                <w:sz w:val="22"/>
                <w:szCs w:val="22"/>
                <w:highlight w:val="none"/>
                <w:u w:val="none"/>
                <w:lang w:val="en-US" w:eastAsia="zh-CN" w:bidi="ar"/>
              </w:rPr>
              <w:t>技术要求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F4F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单位</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750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单价最高限价</w:t>
            </w:r>
          </w:p>
          <w:p w14:paraId="313A97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（元）</w:t>
            </w:r>
          </w:p>
        </w:tc>
      </w:tr>
      <w:tr w14:paraId="27C69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521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B2D6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LED灯管</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6B99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额定电压AC220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240V，50Hz，功率16W，T8灯头G13，长度0.9m，色温6000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6500K，显色指数Ra≥80，光效≥100lm/W，符合GB/T24906</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B9A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CC8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r>
      <w:tr w14:paraId="001C8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25D7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CA05E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LED灯管</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9DF4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额定电压AC220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240V，50Hz，功率18W，T8灯头G13，长度1.2m，色温6000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6500K，显色指数Ra≥80，光效≥100lm/W，符合GB/T24906</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BB32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9EE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r>
      <w:tr w14:paraId="2ECC9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6F8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A535D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LED灯管</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CE87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额定电压AC220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240V，50Hz，功率40W，T8灯头G13，长度1.2m，色温6000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6500K，显色指数Ra≥80，光效≥100lm/W，符合GB/T24906</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7B7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支</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0D3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w:t>
            </w:r>
          </w:p>
        </w:tc>
      </w:tr>
      <w:tr w14:paraId="6A55E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D93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98A9D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LED灯模组</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944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额定电压AC220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240V，50Hz，功率36W，圆形，直径30cm，色温6000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6500K，显色指数Ra≥80，磁铁吸附安装</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480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5C77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w:t>
            </w:r>
          </w:p>
        </w:tc>
      </w:tr>
      <w:tr w14:paraId="10E28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19E3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17AB0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LED灯模组</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463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额定电压AC220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240V，50Hz，功率15W，圆形，直径12cm，色温6000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6500K，显色指数Ra≥80，磁铁吸附安装</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139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D54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r>
      <w:tr w14:paraId="1AD73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F9B8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FA47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LED灯泡</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C77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额定电压AC220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240V，50Hz，功率5W，E27螺口，色温6000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6500K，Ra≥80，符合GB/T24908</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885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D89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10258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C0C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8D88D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LED灯泡</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6326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额定电压AC220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240V，50Hz，功率10W，E27螺口，色温6000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6500K，Ra≥80，符合GB/T24908</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BDD5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6D6F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r>
      <w:tr w14:paraId="1B08F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14F0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6DFB7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LED灯模组</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C754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额定电压AC220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240V，50Hz，功率48W，圆形，直径50cm，色温6000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6500K，显色指数Ra≥80，磁铁吸附安装</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FA8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29D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w:t>
            </w:r>
          </w:p>
        </w:tc>
      </w:tr>
      <w:tr w14:paraId="0649F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C68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E8E62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LED平板灯</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142B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额定电压AC220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240V，50Hz，功率9W，圆形，直径10cm，边框白色，色温6000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6500K，Ra≥80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454D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5D7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w:t>
            </w:r>
          </w:p>
        </w:tc>
      </w:tr>
      <w:tr w14:paraId="7EF98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2C2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22F8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LED平板灯盘</w:t>
            </w:r>
            <w:r>
              <w:rPr>
                <w:rFonts w:hint="eastAsia" w:ascii="宋体" w:hAnsi="宋体" w:eastAsia="宋体" w:cs="宋体"/>
                <w:i w:val="0"/>
                <w:iCs w:val="0"/>
                <w:color w:val="FF0000"/>
                <w:kern w:val="0"/>
                <w:sz w:val="22"/>
                <w:szCs w:val="22"/>
                <w:highlight w:val="none"/>
                <w:u w:val="none"/>
                <w:lang w:val="en-US" w:eastAsia="zh-CN" w:bidi="ar"/>
              </w:rPr>
              <w:t>（核心产品）</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9E78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额定电压：220V</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240，功率：48W，边框：白色，流明≥3800lm，色温6500K，尺寸：600*600mm</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5BB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CE47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68</w:t>
            </w:r>
          </w:p>
        </w:tc>
      </w:tr>
      <w:tr w14:paraId="448CD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6010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FC22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LED平板灯盘</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7F73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额定电压AC220</w:t>
            </w:r>
            <w:r>
              <w:rPr>
                <w:rFonts w:hint="eastAsia" w:ascii="宋体" w:hAnsi="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t>240V，50Hz，功率28W，300*300mm，白色边框，色温6500K，Ra≥80，适配集成吊顶安装</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478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D35C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r>
      <w:tr w14:paraId="10E3D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138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5E5F7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LED平板灯盘</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199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额定电压AC220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240V，50Hz，功率68W，300*1200mm，白色边框，色温6500K，Ra≥80，适配集成吊顶安装</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576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D14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78</w:t>
            </w:r>
          </w:p>
        </w:tc>
      </w:tr>
      <w:tr w14:paraId="0CC2C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94F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61BCC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LED平板灯盘</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7606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额定电压AC220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240V，50Hz，功率120W，600*1200mm，白色边框，色温6500K，Ra≥80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90E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60E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130</w:t>
            </w:r>
          </w:p>
        </w:tc>
      </w:tr>
      <w:tr w14:paraId="5F11B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8E9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503B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LED筒灯</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220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额定电压AC220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240V，功率15W，4寸规格，色温4000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6500K，Ra≥80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C576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658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r>
      <w:tr w14:paraId="1F99F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6D3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ED1D8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LED筒灯</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3A24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额定电压AC220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240V，功率9W，3.5寸规格，开孔适配，色温4000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6500K，Ra≥80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909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EF42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r>
      <w:tr w14:paraId="358E8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BC9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91663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PPR截止阀</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5D82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材质PPR+铜阀芯，4分规格，适配DN20管道，符合GB/T18742，耐压≥1.2MPa</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0A5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5C6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r>
      <w:tr w14:paraId="7C2B8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E56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EB2B5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PPR内牙弯头</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D59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材质PPR，内嵌铜丝扣，4分DN20，符合GB/T18742，耐压≥1.2MPa</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C283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60E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r>
      <w:tr w14:paraId="1A43E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401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7FEA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PPR热熔机</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119D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输入电压220V，适配4分</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1寸PPR管件热熔焊接</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9A9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E3F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75</w:t>
            </w:r>
          </w:p>
        </w:tc>
      </w:tr>
      <w:tr w14:paraId="22B85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E12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F6D0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PPR热水管</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D647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聚丙烯PPR材质，4分DN20热水管，符合GB/T18742，耐温70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95℃，耐压≥1.2MPa</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35F8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条</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D71C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r>
      <w:tr w14:paraId="3D92A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AEFB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269B4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PPR弯头</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4AC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材质PPR，4分DN20，符合GB/T18742，耐压≥1.2MPa</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8460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A7B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0.8</w:t>
            </w:r>
          </w:p>
        </w:tc>
      </w:tr>
      <w:tr w14:paraId="49FD3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AAD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EBBF5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PPR直通</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C0E2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材质PPR，4分DN20，符合GB/T18742，耐压≥1.2MPa</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999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0D0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w:t>
            </w:r>
          </w:p>
        </w:tc>
      </w:tr>
      <w:tr w14:paraId="0AF52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269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62361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PVC给水管</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D394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U给水，1寸DN32，符合GB/T10002.1，耐压≥1.0MPa，卫生符合GB/T17219</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A20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条</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641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r>
      <w:tr w14:paraId="2564B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0AE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28A11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PVC给水管</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622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U给水，6分DN25，符合GB/T10002.1，耐压≥1.0MPa，卫生符合GB/T17219</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A8E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条</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2FD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r>
      <w:tr w14:paraId="56A2C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A3F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6A31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PVC内牙弯头</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CDF1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U材质，4分*4分，符合GB/T10002.2，耐压≥1.0MPa</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F51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62B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r>
      <w:tr w14:paraId="2ACB8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6F5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A42C9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PVC内牙直通</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2E1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U材质，4分*4分，符合GB/T10002.2，耐压≥1.0MPa</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945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0E6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w:t>
            </w:r>
          </w:p>
        </w:tc>
      </w:tr>
      <w:tr w14:paraId="2887C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D5C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1B60F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PVC水管</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208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U给水，4分DN20，符合GB/T10002.1，耐压≥1.0MPa，卫生符合GB/T17219</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413C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条</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855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r>
      <w:tr w14:paraId="6E924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A55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57F7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PVC外牙直通</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082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U材质，外丝4分*4分，符合GB/T10002.2，耐压≥1.0MPa</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4C2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AAB9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0.8</w:t>
            </w:r>
          </w:p>
        </w:tc>
      </w:tr>
      <w:tr w14:paraId="1B40B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DE3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269D1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PVC弯头</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6FA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U管件，4分DN20，符合GB/T10002.2，耐压≥1.0MPa</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04E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C7DA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0.8</w:t>
            </w:r>
          </w:p>
        </w:tc>
      </w:tr>
      <w:tr w14:paraId="78C11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AA9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A89DC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PVC弯头</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FBA6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U管件，6分DN25，符合GB/T10002.2，耐压≥1.0MPa</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C0B0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18FB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r>
      <w:tr w14:paraId="70E5C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ECCF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11806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PVC弯头</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9574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U管件，DN50，符合GB/T10002.2，耐压≥1.0MPa</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063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EBE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0984C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436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71B5C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PVC弯头45度</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671C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U管件，45°4分DN20，符合GB/T10002.2，耐压≥1.0MPa</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6C6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F74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0.8</w:t>
            </w:r>
          </w:p>
        </w:tc>
      </w:tr>
      <w:tr w14:paraId="27D5C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B63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85B7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PVC饮水管内牙弯头</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3830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U饮水专用管件，内嵌金属丝扣4分×4分，耐压≥1.0MPa</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DC44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5F6A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w:t>
            </w:r>
          </w:p>
        </w:tc>
      </w:tr>
      <w:tr w14:paraId="4EF83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31B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B0902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PVC饮水管内牙弯头</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76EE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U饮水专用管件，内嵌金属丝扣6分×6分，耐压≥1.0MPa</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D75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D3B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3DD4B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3E93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03D41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PVC饮水管内牙直通</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B5A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U饮水专用管件，内嵌金属丝扣4分×4分，耐压≥1.0MPa</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7F9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549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w:t>
            </w:r>
          </w:p>
        </w:tc>
      </w:tr>
      <w:tr w14:paraId="6D80B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B21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E156B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PVC饮水管内牙直通</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445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U饮水专用管件，内嵌金属丝扣6分×6分，耐压≥1.0MPa</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426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834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r>
      <w:tr w14:paraId="166D3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5C4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735BB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PVC饮水管三通</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C4D0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U饮水专用三通，4分规格，耐压≥1.0MPa</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92C6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81B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r>
      <w:tr w14:paraId="47EAE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9A0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CD1C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PVC饮水管三通</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E192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U饮水专用三通，6分规格，耐压≥1.0MPa</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1BB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411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r>
      <w:tr w14:paraId="04AF0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753A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B1C1E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PVC饮水管弯头</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9A55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U饮水专用弯头，4分规格，耐压≥1.0MPa</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376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AFD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r>
      <w:tr w14:paraId="19D78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9B21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37FAA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PVC饮水管弯头</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3770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U饮水专用弯头，6分规格，耐压≥1.0MPa</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7DA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884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r>
      <w:tr w14:paraId="40E53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1949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9DC81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PVC饮水管直通</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27F1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U饮水专用直通，4分规格，耐压≥1.0MPa</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9AA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611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0.7</w:t>
            </w:r>
          </w:p>
        </w:tc>
      </w:tr>
      <w:tr w14:paraId="4BA7B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C42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E48BF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PVC饮水管直通</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EC1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U饮水专用直通，6分规格，耐压≥1.0MPa</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D27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3FD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0.8</w:t>
            </w:r>
          </w:p>
        </w:tc>
      </w:tr>
      <w:tr w14:paraId="6361E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D488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10237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PVC英制水管</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DADF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U英制给水管6分，管材耐压≥1.0MPa</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D3C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条</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8B7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r>
      <w:tr w14:paraId="0CF58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03C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59351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PVC直通</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0460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U管件，4分DN20，符合GB/T10002.2，耐压≥1.0MPa</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E91E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C62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w:t>
            </w:r>
          </w:p>
        </w:tc>
      </w:tr>
      <w:tr w14:paraId="585E4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A9C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75D34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PVC直通</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0AE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U管件，6分DN25，符合GB/T10002.2，耐压≥1.0MPa</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128C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2E7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0.8</w:t>
            </w:r>
          </w:p>
        </w:tc>
      </w:tr>
      <w:tr w14:paraId="259DD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603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AC578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PVC直通</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B201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U变径直通，63转50mm，耐压≥1.0MPa</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6E8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885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r>
      <w:tr w14:paraId="232AB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65A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05D01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白板盖</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527D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材质阻燃PC，86型规格，颜色镜瓷白，尺寸86mm×86mm，安装适配86型底盒</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88C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8305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r>
      <w:tr w14:paraId="31D95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C25B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9FB4A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百叶排气扇</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7D1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额定电压AC220V</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240V，50Hz，12寸百叶式，带自动开合百叶，外壳阻燃ABS</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F171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B3D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118</w:t>
            </w:r>
          </w:p>
        </w:tc>
      </w:tr>
      <w:tr w14:paraId="2B864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2329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F1109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百叶排气扇</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E6C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额定电压AC220V</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240V，50Hz，10寸百叶式，带自动开合百叶，外壳阻燃ABS</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ABC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台</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749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87</w:t>
            </w:r>
          </w:p>
        </w:tc>
      </w:tr>
      <w:tr w14:paraId="0BB5F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B4AE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0CFAF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百叶排气扇</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1E94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额定电压AC220V</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240V，50Hz，8寸百叶式，带自动开合百叶，外壳阻燃ABS</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996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台</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D2B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w:t>
            </w:r>
          </w:p>
        </w:tc>
      </w:tr>
      <w:tr w14:paraId="1AF3D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BE3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C2A59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活动扳手</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CB39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材质碳钢，10寸规格，锻造成型，调节螺杆灵活无卡顿，表面防锈处理，无裂纹砂眼</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21C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86BD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w:t>
            </w:r>
          </w:p>
        </w:tc>
      </w:tr>
      <w:tr w14:paraId="70C60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F158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32715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活动扳手</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ECFB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材质碳钢，8寸规格，锻造成型，调节螺杆灵活无卡顿，表面防锈处理，无裂纹砂眼</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377B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4F29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r>
      <w:tr w14:paraId="65AA7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857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7413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闭门器</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6D72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主体铝合金壳体，液压缓冲结构，适配房间门，门距10cm</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A49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A820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w:t>
            </w:r>
          </w:p>
        </w:tc>
      </w:tr>
      <w:tr w14:paraId="2DE6B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385D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8977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闭门器</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A86F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主体铝合金壳体，液压缓冲结构，适配双开门，安装距35cm</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23E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01F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75</w:t>
            </w:r>
          </w:p>
        </w:tc>
      </w:tr>
      <w:tr w14:paraId="06EE3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592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9FBC5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编织软水管</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FF3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材质304不锈钢编织网，内管三元乙丙橡胶，长度60CM，连接口径G1/2*G1/2，耐压≥1.0MPa</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E18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条</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7B8C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49581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921E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AC55F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编织软水管</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B38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材质304不锈钢编织网，内管三元乙丙橡胶，长度40CM，连接口径G1/2*G1/2，耐压≥1.0MPa</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66E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条</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96A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3CC88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183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EEDE2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编织软水管</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922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304不锈钢编织层，内管三元乙丙橡胶，4分转2分变径接头，长度60cm，耐压≥1.0MPa</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609B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条</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DA78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r>
      <w:tr w14:paraId="30C90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409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5AF5E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编织软水管</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86C4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材质304不锈钢编织网，内管三元乙丙橡胶，长度100CM，连接口径G1/2*G1/2，耐压≥1.0MPa</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BA1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条</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26B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r>
      <w:tr w14:paraId="0E15D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3CD4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A9294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波纹管</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31D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4分规格，外层铁皮防护，内层耐温软管，抗弯折，适配燃气/给排水管路</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6363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卷</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D52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w:t>
            </w:r>
          </w:p>
        </w:tc>
      </w:tr>
      <w:tr w14:paraId="33884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927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7BD61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玻璃胶</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AB9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中性硅酮防霉胶，净含量750g，防霉等级一级，适用于玻璃、陶瓷、金属</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C4A9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支</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8E0C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r>
      <w:tr w14:paraId="173B2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683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A656E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玻璃门铰链组</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5D28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不锈钢材质，12寸双向铰链，适配无框玻璃门，开合转动顺滑，承重满足常规玻璃门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8C9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付</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1E8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110</w:t>
            </w:r>
          </w:p>
        </w:tc>
      </w:tr>
      <w:tr w14:paraId="1D841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C6B0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CC2B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玻璃纸</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3C3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PVC磨砂遮光膜，规格120*500CM，透光不透视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13E6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份</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8D0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r>
      <w:tr w14:paraId="6C536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3016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D11D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不锈钢半边码</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0A5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不锈钢材质1寸管卡半边码，冲压成型，防锈，适配管道固定安装</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D215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7ADF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r>
      <w:tr w14:paraId="0EE54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D65E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564F5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不锈钢半边码</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B2D5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不锈钢材质4分管卡半边码，冲压成型，边缘无毛刺，防锈，适配管道固定安装</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47C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条</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8B4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0.5</w:t>
            </w:r>
          </w:p>
        </w:tc>
      </w:tr>
      <w:tr w14:paraId="772BA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00C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130F2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不锈钢冰铲</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4D59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304不锈钢材质，规格10cm*50cm，一体冲压成型，耐腐蚀</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99B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15F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36.5</w:t>
            </w:r>
          </w:p>
        </w:tc>
      </w:tr>
      <w:tr w14:paraId="6EE28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D4D8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21C2C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不锈钢插销</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944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304不锈钢材质，4寸规格，滑动顺畅无卡滞，表面抛光防锈，适用于门窗闭锁</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2E15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付</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58D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0C977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792E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5571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不锈钢抽水泵</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9B9F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额定电压AC220V</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240V，50Hz，型号QCK</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45M，不锈钢泵体，扬程满足45M工况</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E6D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288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495</w:t>
            </w:r>
          </w:p>
        </w:tc>
      </w:tr>
      <w:tr w14:paraId="46346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0A9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A6DEE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不锈钢挂钩</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18A8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304不锈钢材质，6钩一体式，配套安装螺丝，表面抛光，挂钩圆角处理，防锈耐腐蚀</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2513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2218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6.8</w:t>
            </w:r>
          </w:p>
        </w:tc>
      </w:tr>
      <w:tr w14:paraId="5A815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A73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4B1A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不锈钢挂锁</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497D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锁体不锈钢材质，锁梁30CM，开关顺畅，防撬防锈，钥匙插拔顺滑</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DE5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9B5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r>
      <w:tr w14:paraId="33EE4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8E8D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08F89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不锈钢豪华门锁</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8705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不锈钢执手门锁，螺丝孔距35cm，锁舌伸缩顺畅，表面抛光防锈，适配室内木门安装</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DBA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118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w:t>
            </w:r>
          </w:p>
        </w:tc>
      </w:tr>
      <w:tr w14:paraId="3167F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167E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927AE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不锈钢豪华锁</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C89C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不锈钢球形门锁，适配木门，锁芯启闭灵活，抗暴力扭转，表面抛光防锈，安装孔位通用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3CA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2B5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r>
      <w:tr w14:paraId="4F58B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A787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345A1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不锈钢蝴蝶钩</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8D2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不锈钢单蝴蝶挂钩，冲压成型，边角圆滑，防锈，安装孔规整，挂接牢固不易脱落</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8669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8F9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6D30F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04B8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9C3BF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不锈钢拉手</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63D6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不锈钢房门拉手，带安装固定孔，表面抛光，边角打磨圆滑，耐腐蚀，受力不易变形</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D13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F0C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60A39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E5BF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DD8E3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不锈钢螺栓</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3F24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304不锈钢螺栓组件（螺栓+平垫+弹垫+螺母），规格ø10*40，螺纹完整，防锈耐腐蚀</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B24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5426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r>
      <w:tr w14:paraId="38AED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52B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7AE9D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不锈钢螺栓</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26B1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304不锈钢螺栓组件（螺栓+平垫+弹垫+螺母），规格ø8*35，螺纹完整，防锈耐腐蚀</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2E9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4E2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r>
      <w:tr w14:paraId="494BF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033C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EC3C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不锈钢内接</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174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304不锈钢4分内丝接头，螺纹规整无崩牙密封面平整，耐压≥1.0MPa，防锈耐腐蚀</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B2E0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E4D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r>
      <w:tr w14:paraId="6F703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670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D46E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不锈钢内接</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B13C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304不锈钢4分内丝接头，螺纹规整无崩牙，密封面平整，耐压≥1.0MPa，防锈耐腐蚀</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D73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958B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r>
      <w:tr w14:paraId="6C196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D5F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E6DC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不锈钢三通</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F85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304不锈钢4分三通管件，无砂眼气孔，耐压≥1.0MPa</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9D4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ABE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8.3</w:t>
            </w:r>
          </w:p>
        </w:tc>
      </w:tr>
      <w:tr w14:paraId="0ADF9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40E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5D5E7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不锈钢水管</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99C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304不锈钢4分水管，内外抛光无毛刺，耐腐蚀，耐压≥1.0MPa，适配水暖管路</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DD8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根</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EF4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r>
      <w:tr w14:paraId="252FB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2BE3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28A74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不锈钢铁马护栏</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F586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304不锈钢铁马，焊接牢固，焊缝打磨平整，表面抛光，结构稳固，防倾倒，防锈耐候</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119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B08B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w:t>
            </w:r>
          </w:p>
        </w:tc>
      </w:tr>
      <w:tr w14:paraId="278DD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657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0EFC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不锈钢托架</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CBBC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Style w:val="42"/>
                <w:highlight w:val="none"/>
                <w:lang w:val="en-US" w:eastAsia="zh-CN" w:bidi="ar"/>
              </w:rPr>
              <w:t>304不锈钢托架</w:t>
            </w:r>
            <w:r>
              <w:rPr>
                <w:kern w:val="0"/>
                <w:highlight w:val="none"/>
                <w:lang w:val="en-US" w:eastAsia="zh-CN" w:bidi="ar"/>
              </w:rPr>
              <w:t>，规格</w:t>
            </w:r>
            <w:r>
              <w:rPr>
                <w:rFonts w:hint="eastAsia"/>
                <w:kern w:val="0"/>
                <w:highlight w:val="none"/>
                <w:lang w:bidi="ar"/>
              </w:rPr>
              <w:t>50*50*10</w:t>
            </w:r>
            <w:r>
              <w:rPr>
                <w:rFonts w:hint="eastAsia"/>
                <w:kern w:val="0"/>
                <w:highlight w:val="none"/>
                <w:lang w:val="en-US" w:eastAsia="zh-CN" w:bidi="ar"/>
              </w:rPr>
              <w:t>cm</w:t>
            </w:r>
            <w:r>
              <w:rPr>
                <w:kern w:val="0"/>
                <w:highlight w:val="none"/>
                <w:lang w:val="en-US" w:eastAsia="zh-CN" w:bidi="ar"/>
              </w:rPr>
              <w:t>，焊接</w:t>
            </w:r>
            <w:r>
              <w:rPr>
                <w:rStyle w:val="42"/>
                <w:highlight w:val="none"/>
                <w:lang w:val="en-US" w:eastAsia="zh-CN" w:bidi="ar"/>
              </w:rPr>
              <w:t>牢固，边角打磨，防锈，适配设备、管路支撑</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7BDC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021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64</w:t>
            </w:r>
          </w:p>
        </w:tc>
      </w:tr>
      <w:tr w14:paraId="32D8A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ACD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32EAA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不锈钢外牙直通</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33E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304不锈钢4分外丝直通，耐压≥1.0MPa，无砂眼气孔，防锈耐腐蚀</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268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554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6FE35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076B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25B57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不锈钢弯头</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7220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304不锈钢4分弯头管件，丝牙规整，无砂眼，耐压≥1.0MPa，转角过渡圆滑，防锈耐腐蚀</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D3B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5EE1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13A87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A44D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8CA2C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不锈钢网</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B69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304不锈钢丝网，网孔1cm，高度1米，焊点牢固，无断丝，防锈耐腐蚀，抗外力撕扯</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2EFB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米</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0FC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r>
      <w:tr w14:paraId="219A2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B43A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7DC19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不锈钢下水头</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B9B5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不锈钢下水头，ø5规格，接口圆滑，无毛刺，密封垫圈配套齐全，排水通畅，防锈耐腐蚀</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B3C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4B5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71522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F17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067A3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不锈钢下水头</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B110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不锈钢下水头，ø11规格，接口圆滑，无毛刺，密封垫圈配套齐全，防锈耐腐蚀</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17E3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91A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r>
      <w:tr w14:paraId="51D8A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5AE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244C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不锈钢直通</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6D3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304不锈钢4分直通接头，螺纹完整，无砂眼气孔，耐压≥1.0MPa</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FE9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D92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4B0AF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FBC4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0F87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插头</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CEAA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额定250V/10A，二脚电源插头，外壳阻燃PC，</w:t>
            </w:r>
            <w:r>
              <w:rPr>
                <w:highlight w:val="none"/>
              </w:rPr>
              <w:t>符合GB/T 2099.1-2021</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377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B8B9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r>
      <w:tr w14:paraId="3497D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A32E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4D5C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插头</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4A19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额定250V/10A，三脚电源插头，外壳阻燃PC，</w:t>
            </w:r>
            <w:r>
              <w:rPr>
                <w:highlight w:val="none"/>
              </w:rPr>
              <w:t>符合GB/T 2099.1-2021</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131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0799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r>
      <w:tr w14:paraId="27533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A14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C034E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插座</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7EDD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AC220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240V，10A额定电流，定时控制功能，外壳阻燃PC，</w:t>
            </w:r>
            <w:r>
              <w:rPr>
                <w:highlight w:val="none"/>
              </w:rPr>
              <w:t>符合GB/T 2099.1-2021</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41D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4AFD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w:t>
            </w:r>
          </w:p>
        </w:tc>
      </w:tr>
      <w:tr w14:paraId="4E0EF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75D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6681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插座</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584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250V/10A，带独立开关，阻燃PC外壳，</w:t>
            </w:r>
            <w:r>
              <w:rPr>
                <w:highlight w:val="none"/>
              </w:rPr>
              <w:t>符合GB/T 2099.1-2021</w:t>
            </w:r>
            <w:r>
              <w:rPr>
                <w:rFonts w:hint="eastAsia" w:ascii="宋体" w:hAnsi="宋体" w:eastAsia="宋体" w:cs="宋体"/>
                <w:i w:val="0"/>
                <w:iCs w:val="0"/>
                <w:color w:val="000000"/>
                <w:kern w:val="0"/>
                <w:sz w:val="22"/>
                <w:szCs w:val="22"/>
                <w:highlight w:val="none"/>
                <w:u w:val="none"/>
                <w:lang w:val="en-US" w:eastAsia="zh-CN" w:bidi="ar"/>
              </w:rPr>
              <w:t>安全标准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0AD7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DFD5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10.5</w:t>
            </w:r>
          </w:p>
        </w:tc>
      </w:tr>
      <w:tr w14:paraId="6BEF1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B97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C483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插座</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1E9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250V/10A，带独立控制开关，阻燃PC材质</w:t>
            </w:r>
            <w:r>
              <w:rPr>
                <w:highlight w:val="none"/>
              </w:rPr>
              <w:t>符合GB/T 2099.1-2021</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5F8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F5E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r>
      <w:tr w14:paraId="25AA6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E956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C19A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插座</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990C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250V/10A三孔插座，阻燃PC外壳，</w:t>
            </w:r>
            <w:r>
              <w:rPr>
                <w:highlight w:val="none"/>
              </w:rPr>
              <w:t>符合GB/T 2099.1-2021</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E51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891C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r>
      <w:tr w14:paraId="28697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E3B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95AA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插座</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C561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250V/16A三脚插座，带独立开关，阻燃PC外壳，</w:t>
            </w:r>
            <w:r>
              <w:rPr>
                <w:highlight w:val="none"/>
              </w:rPr>
              <w:t>符合GB/T 2099.1-2021</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7112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06E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r>
      <w:tr w14:paraId="62D56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6DFF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D36DD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插座</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A890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AC220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240V，16A，集成漏电保护模块，漏电动作电流≤30mA，动作时间≤0.1S，阻燃外壳</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C97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65D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r>
      <w:tr w14:paraId="367D2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63C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E9D64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插座</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9E93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250V/10A，一转六孔转换插座，阻燃PC壳体，绝缘防护满足</w:t>
            </w:r>
            <w:r>
              <w:rPr>
                <w:highlight w:val="none"/>
              </w:rPr>
              <w:t>GB/T 2099.1-2021</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398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20AC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w:t>
            </w:r>
          </w:p>
        </w:tc>
      </w:tr>
      <w:tr w14:paraId="2B852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2E4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AD980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冲击钻头</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EA6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硬质合金刀头，16mm规格，适用于混凝土墙体钻孔，排屑槽规整</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B4A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9B03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r>
      <w:tr w14:paraId="70D38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6F7C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1FB4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冲击钻头</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8883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硬质合金刀头，10mm规格，适用于混凝土墙体钻孔，排屑槽规整</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74D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支</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BF2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r>
      <w:tr w14:paraId="4DCC6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C04E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CD27D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冲击钻头</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6BDD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硬质合金刀头，6mm规格，适用于混凝土墙体钻孔，排屑槽规整</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280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支</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FBAC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r>
      <w:tr w14:paraId="3A54D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826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347E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冲水阀</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090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阀体铜合金材质，适配蹲便器大便冲水耐压无渗漏</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8EA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F9D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68</w:t>
            </w:r>
          </w:p>
        </w:tc>
      </w:tr>
      <w:tr w14:paraId="49D74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030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3CBA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冲水箱</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FBEB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规格双按，材质PP材料，排水接口适配，密封配件齐全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8C5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B73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78</w:t>
            </w:r>
          </w:p>
        </w:tc>
      </w:tr>
      <w:tr w14:paraId="1E025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9D50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CA7D3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抽屉锁</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B3C7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锁壳锌合金，锁芯铜质，ø19规格，抗锈蚀，适配普通抽屉柜体安装</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B158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4F5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r>
      <w:tr w14:paraId="7314F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FD2B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4E15E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抽屉锁</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2EA7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锁壳锌合金，锁芯铜质，ø22规格，抗锈蚀，适配普通抽屉柜体安装</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3F3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C48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r>
      <w:tr w14:paraId="324D4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505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43A04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抽屉锁</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90A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锁壳锌合金，锁芯铜质，ø25规格，抗锈蚀，适配普通抽屉柜体安装</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B8D9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D3A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r>
      <w:tr w14:paraId="6E6CC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EC78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71647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抽屉锁</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59D4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锌合金锁体，配套4寸不锈钢锁牌，锁牌抛光防锈，螺丝孔位齐全，安装便捷</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4DA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5ED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r>
      <w:tr w14:paraId="66906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A51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91FD4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除锈剂</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058C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容量500ml，溶剂型除锈润滑，可去除金属锈迹，具备防锈润滑双重效果，罐体耐压安全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95E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支</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C55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56D73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5F1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DD2E3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橱柜拉手</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FC7D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不锈钢/实木材质，2cm规格，边角打磨圆滑无毛刺，表面抗老化处理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F4C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E2F6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r>
      <w:tr w14:paraId="2B1DB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FF6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9ED42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磁贴</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31BA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A4尺寸软磁贴，吸附牢固，表面可书写，适配白板、金属板面使用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D0D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张</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210D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w:t>
            </w:r>
          </w:p>
        </w:tc>
      </w:tr>
      <w:tr w14:paraId="34013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E86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D9601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大便冲水阀面板</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FC13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人体红外感应，供电AC220V，感应距离可调，触发灵敏，面板抗污易清洁，适配蹲便器冲水阀体，防水等级IPX4</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6B0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25D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245</w:t>
            </w:r>
          </w:p>
        </w:tc>
      </w:tr>
      <w:tr w14:paraId="0CB8D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CEF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6627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三节导轨</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B1BB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冷轧钢材质，12寸三节滚珠导轨，抽拉顺滑无卡顿，静音，表面防锈镀锌处理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CFB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BC93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r>
      <w:tr w14:paraId="50B78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B1B4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33DE9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三节导轨</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2CEF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冷轧钢材质，14寸三节滚珠导轨，抽拉顺滑无卡顿，静音，表面防锈镀锌处理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559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付</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FFE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w:t>
            </w:r>
          </w:p>
        </w:tc>
      </w:tr>
      <w:tr w14:paraId="4FF1C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44B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E409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三节导轨</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35AB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冷轧钢材质，16寸三节滚珠导轨，抽拉顺滑无卡顿，静音，表面防锈镀锌处理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A66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付</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5DBA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w:t>
            </w:r>
          </w:p>
        </w:tc>
      </w:tr>
      <w:tr w14:paraId="3DA8C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0EC2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C8F8E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灯座</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CB30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E27螺口灯座，外壳阻燃绝缘材质，适配E27灯泡</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F17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65A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r>
      <w:tr w14:paraId="078EB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BAA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A87C0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底盒</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4E1A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阻燃PVC材质，86型/75型暗装底盒，螺丝孔位牢固，适配开关插座安装</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32E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8F4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r>
      <w:tr w14:paraId="06F28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AA01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E9F66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底盒</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F90C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阻燃PVC材质，86型双联暗装底盒，定位孔准确，适配两位开关插座面板</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B91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7297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r>
      <w:tr w14:paraId="74155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9EB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28482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电笔</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0405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数显测电笔，带背光指示灯，检测电压范围AC12</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250V，绝缘外壳，握持防滑，读数直观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FBB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支</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07B9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3D2FA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78FC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BDDC7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电池</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E67F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23A碱性电池，输出电压12V，不漏液，适配遥控器、门禁发射器等设备</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946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粒</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157C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3B9D6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890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9C66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电池</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1741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R14（3号）碱性电池，电压1.5V，防漏液，适用于各类小家电设备</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E8A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对</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19A5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312E2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4D1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BFB6F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电池</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322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AA（5号）碱性电池，1.5V，防漏液，适配各类普通用电设备</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5C4A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粒</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923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w:t>
            </w:r>
          </w:p>
        </w:tc>
      </w:tr>
      <w:tr w14:paraId="7052D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1C3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3D63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电池</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C7B6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AAA（7号）碱性电池，1.5V，防漏液，适配遥控器、小型电器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B29E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粒</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9F76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w:t>
            </w:r>
          </w:p>
        </w:tc>
      </w:tr>
      <w:tr w14:paraId="67F22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E1C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F821F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电池</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05A0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R20（2号）碱性电池，电压1.5V，无漏液</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1B01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对</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5E9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r>
      <w:tr w14:paraId="038E2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04ED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CD669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电池</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0D8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3V锂锰纽扣电池，低自放电，防漏液，适配遥控器、主板、感应设备</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1CB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粒</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A22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w:t>
            </w:r>
          </w:p>
        </w:tc>
      </w:tr>
      <w:tr w14:paraId="2F9F4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B3D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9944F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电磁阀</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1885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4分水用电磁阀，工作电压AC220V，阀体铜质，密封橡胶件耐水老化，启闭响应迅速，耐压≥1.0MPa，防水防尘</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DEF4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909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63</w:t>
            </w:r>
          </w:p>
        </w:tc>
      </w:tr>
      <w:tr w14:paraId="3BF39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5E6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19897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电风扇</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2B03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AC220V</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50Hz，扇叶400mm，壁挂安装，档位调节正常，运转平稳噪音低，网罩防护牢固</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1E0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台</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5376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185</w:t>
            </w:r>
          </w:p>
        </w:tc>
      </w:tr>
      <w:tr w14:paraId="0F9E7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B5EC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9E2A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电风扇</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3009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AC220V</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50Hz，1200mm吊扇，运行平稳</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69A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台</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4CC0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159</w:t>
            </w:r>
          </w:p>
        </w:tc>
      </w:tr>
      <w:tr w14:paraId="73B21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D4C3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1C09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电风扇</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74DD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AC220V</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50Hz，10寸夹扇，夹持结构牢固，角度可调，外壳阻燃</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0B63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台</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58BA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r>
      <w:tr w14:paraId="37C53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DC0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6262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电工胶布</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07BF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PVC绝缘电工胶带，长度20m，耐温80℃，耐压600V</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8FF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卷</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4280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r>
      <w:tr w14:paraId="6BD02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1EB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6F71E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电话水晶头</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9DC0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RJ11四芯屏蔽水晶头，镀金三叉触点，屏蔽外壳，适配四芯电话线，压接牢固，信号抗干扰</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154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8F7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0.45</w:t>
            </w:r>
          </w:p>
        </w:tc>
      </w:tr>
      <w:tr w14:paraId="18D87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A48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32C81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电话线</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BBDE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四芯屏蔽电话线，导体铜质，外层屏蔽层，绝缘外皮耐磨，抗干扰，适合室内电话布线</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2CD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米</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38D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0.8</w:t>
            </w:r>
          </w:p>
        </w:tc>
      </w:tr>
      <w:tr w14:paraId="04D59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1EB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6FEB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电缆剪</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7B89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合金钢刀头，型号J130，最大剪切120mm²电缆，剪口锋利，手柄绝缘防滑，杠杆省力</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96F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5086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430</w:t>
            </w:r>
          </w:p>
        </w:tc>
      </w:tr>
      <w:tr w14:paraId="691E9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6FF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F2A4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电缆线</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28BD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RVV护套电缆3×1.5mm²，铜芯导体，绝缘护套PVC，电压等级300/500V，符合GB/T5023.5标准，外皮耐磨抗老化</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6D4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米</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8AF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w:t>
            </w:r>
          </w:p>
        </w:tc>
      </w:tr>
      <w:tr w14:paraId="62658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7D3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E004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电缆线</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56B0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RVV护套电缆3×1.0mm²，铜芯导体，绝缘护套PVC，电压等级300/500V，符合GB/T5023.5标准，外皮耐磨抗老化</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87C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米</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96B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w:t>
            </w:r>
          </w:p>
        </w:tc>
      </w:tr>
      <w:tr w14:paraId="114A0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156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3C00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电脑桌滑轨</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516B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冷轧钢材质，16寸键盘滑轨，配套安装支架，滑动顺畅静音，防锈镀锌，安装孔位适配电脑桌键盘托架</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8C4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付</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7198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w:t>
            </w:r>
          </w:p>
        </w:tc>
      </w:tr>
      <w:tr w14:paraId="698EC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6520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1F7A7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电排插</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C1B9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额定250V/10A，线长≥1.8m，总控开关，阻燃外壳，符合</w:t>
            </w:r>
            <w:r>
              <w:rPr>
                <w:highlight w:val="none"/>
              </w:rPr>
              <w:t>GB/T 2099.7-2015</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C4F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856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w:t>
            </w:r>
          </w:p>
        </w:tc>
      </w:tr>
      <w:tr w14:paraId="7FF6D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E1A9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17138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电排插</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F08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额定250V/10A，4位插孔带开关，无电源线，阻燃PC壳体</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9DD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3C7E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30.8</w:t>
            </w:r>
          </w:p>
        </w:tc>
      </w:tr>
      <w:tr w14:paraId="12C85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BF2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51010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电排插</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FF5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额定250V/10A，线长≥3m，4位插孔带开关，阻燃外壳</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7D54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1594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53.2</w:t>
            </w:r>
          </w:p>
        </w:tc>
      </w:tr>
      <w:tr w14:paraId="5B41C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F56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2C47B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电排插</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0F3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额定250V/10A，线长≥5m，5位插孔带开关，阻燃外壳</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0B8F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475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66.5</w:t>
            </w:r>
          </w:p>
        </w:tc>
      </w:tr>
      <w:tr w14:paraId="13D00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FE1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42700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电排插</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9EB1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额定250V/10A，线长≥1.8m，5位插孔带开关，阻燃PC外壳</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EFDC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4373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54.15</w:t>
            </w:r>
          </w:p>
        </w:tc>
      </w:tr>
      <w:tr w14:paraId="6623C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0EF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37234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电排插</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A4F4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250V/10A，一转三转换排插，无外接电源线，阻燃壳体</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F71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500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w:t>
            </w:r>
          </w:p>
        </w:tc>
      </w:tr>
      <w:tr w14:paraId="0C880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DD8B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797D3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电筒</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CF13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65W强光探照手电筒，外壳抗摔，具备多档位调光</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E29E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EFD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w:t>
            </w:r>
          </w:p>
        </w:tc>
      </w:tr>
      <w:tr w14:paraId="22756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3D5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8BD5B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电线</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048F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BVR</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1mm²多股铜芯软电线，450/750V，绝缘PVC，</w:t>
            </w:r>
            <w:r>
              <w:rPr>
                <w:highlight w:val="none"/>
              </w:rPr>
              <w:t>符合JB/T 8734.3</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569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米</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82E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1.22</w:t>
            </w:r>
          </w:p>
        </w:tc>
      </w:tr>
      <w:tr w14:paraId="66D3D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BDD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316B1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电线</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C5E7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BVR</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1.5mm²多股铜芯软电线，450/750V，绝缘PVC，</w:t>
            </w:r>
            <w:r>
              <w:rPr>
                <w:highlight w:val="none"/>
              </w:rPr>
              <w:t>符合JB/T 8734.3</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03B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米</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76F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1.69</w:t>
            </w:r>
          </w:p>
        </w:tc>
      </w:tr>
      <w:tr w14:paraId="64F2B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821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048B8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电线</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F21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BVR</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2.5mm²多股铜芯软电线，450/750V，绝缘PVC，</w:t>
            </w:r>
            <w:r>
              <w:rPr>
                <w:highlight w:val="none"/>
              </w:rPr>
              <w:t>符合JB/T 8734.3</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ADA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米</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21E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2.73</w:t>
            </w:r>
          </w:p>
        </w:tc>
      </w:tr>
      <w:tr w14:paraId="5C364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EEA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2CCA4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电线</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992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BVR</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4mm²多股铜芯软电线，450/750V，绝缘PVC，</w:t>
            </w:r>
            <w:r>
              <w:rPr>
                <w:highlight w:val="none"/>
              </w:rPr>
              <w:t>符合JB/T 8734.3</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B29B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米</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5DC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4.33</w:t>
            </w:r>
          </w:p>
        </w:tc>
      </w:tr>
      <w:tr w14:paraId="67AE5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225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298E3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电线</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939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BVR</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6mm²多股铜芯软电线，450/750V，绝缘PVC，</w:t>
            </w:r>
            <w:r>
              <w:rPr>
                <w:highlight w:val="none"/>
              </w:rPr>
              <w:t>符合JB/T 8734.3</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4CE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米</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A26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6.3</w:t>
            </w:r>
          </w:p>
        </w:tc>
      </w:tr>
      <w:tr w14:paraId="4F91C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F073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F9D2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电线</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24CD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BVR</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10mm²多股铜芯软电线，450/750V，绝缘PVC，</w:t>
            </w:r>
            <w:r>
              <w:rPr>
                <w:highlight w:val="none"/>
              </w:rPr>
              <w:t>符合JB/T 8734.3</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8CFB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米</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B81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10.8</w:t>
            </w:r>
          </w:p>
        </w:tc>
      </w:tr>
      <w:tr w14:paraId="2425B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1FB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1E48B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电箱</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070B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阻燃塑料配电箱，4</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6回路，壳体抗冲击，导轨齐全，进出线孔预留，适合室内空开安装</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F8BF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A9A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w:t>
            </w:r>
          </w:p>
        </w:tc>
      </w:tr>
      <w:tr w14:paraId="1EBFC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D7C3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9B48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电箱柜锁</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C545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锌合金电箱锁，4寸规格，锁舌伸缩灵活，钥匙启闭顺畅，防锈，适配电控柜门锁紧</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ECA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9393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w:t>
            </w:r>
          </w:p>
        </w:tc>
      </w:tr>
      <w:tr w14:paraId="333DD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F62A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33C02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电子密码锁</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C9AC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木门执手电子密码锁，支持密码、钥匙开启，供电稳定，低电量提醒，防水防锈，适配室内木门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660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8AEB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395</w:t>
            </w:r>
          </w:p>
        </w:tc>
      </w:tr>
      <w:tr w14:paraId="32807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386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D9035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定向轮</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2B81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3寸定向脚轮，铁芯橡胶轮面，转动顺滑，耐磨减震，支架钢板冲压成型，焊接牢固</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18C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B8D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w:t>
            </w:r>
          </w:p>
        </w:tc>
      </w:tr>
      <w:tr w14:paraId="4D921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4D9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01CD3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镀锌内接</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D734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热镀锌管件，4分内丝内接，螺纹规整，镀锌防锈，无砂眼气孔，耐压≥1.0MPa，适配镀锌管路连接</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2ED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8CE5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r>
      <w:tr w14:paraId="3E57A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F55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F5225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镀锌三通</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64D1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热镀锌管件，4分三通，螺纹完整，镀锌防锈，无砂眼气孔，耐压≥1.0MPa，适用于镀锌管路分流连接</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A3A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657F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6145F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AF1E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9E058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镀锌弯头</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84EA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热镀锌管件，4分90°弯头，螺纹规整，无裂纹砂眼，耐压≥1.0MPa</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1FB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408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r>
      <w:tr w14:paraId="16CF9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FCB1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DF01D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镀锌直通</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1BD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热镀锌管件，4分直通，螺纹完整，镀锌防锈，无砂眼气孔，耐压≥1.0MPa</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04D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018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r>
      <w:tr w14:paraId="63C65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41A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6161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断路器</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196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塑壳断路器，额定电流160A，额定电压400V，具备过载、短路保护，执行</w:t>
            </w:r>
            <w:r>
              <w:rPr>
                <w:highlight w:val="none"/>
              </w:rPr>
              <w:t>GB/T 10963.1-2020</w:t>
            </w:r>
            <w:r>
              <w:rPr>
                <w:rFonts w:hint="eastAsia" w:ascii="宋体" w:hAnsi="宋体" w:eastAsia="宋体" w:cs="宋体"/>
                <w:i w:val="0"/>
                <w:iCs w:val="0"/>
                <w:color w:val="000000"/>
                <w:kern w:val="0"/>
                <w:sz w:val="22"/>
                <w:szCs w:val="22"/>
                <w:highlight w:val="none"/>
                <w:u w:val="none"/>
                <w:lang w:val="en-US" w:eastAsia="zh-CN" w:bidi="ar"/>
              </w:rPr>
              <w:t>标准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74B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7D5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245</w:t>
            </w:r>
          </w:p>
        </w:tc>
      </w:tr>
      <w:tr w14:paraId="727FD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388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78EE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多功能切割片</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7A36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金刚石瓷砖切割片，4寸规格，刀头锋利，切割平整不崩边，适配角磨机使用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F11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片</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CFB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19.5</w:t>
            </w:r>
          </w:p>
        </w:tc>
      </w:tr>
      <w:tr w14:paraId="010AB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431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E998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发泡胶</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7E8F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聚氨酯泡沫填缝剂，净含量900g，适用于缝隙填充密封</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7466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支</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0B8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r>
      <w:tr w14:paraId="369BE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79E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2F703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发热管</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52EB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石英红外发热管，AC220V，功率300W，绝缘防护，耐冷热冲击不易爆裂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DD93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条</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493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w:t>
            </w:r>
          </w:p>
        </w:tc>
      </w:tr>
      <w:tr w14:paraId="48FB4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537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0A8A0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阀芯</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2946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陶瓷片阀芯，40mm规格，耐冷热交替，适配冷热混水龙头</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44B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83E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r>
      <w:tr w14:paraId="1452C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062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7AE55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防爆灯</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5727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额定电压AC220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240V，功率40W，外壳隔爆结构，灯罩抗冲击，接线腔密封</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C570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63D8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r>
      <w:tr w14:paraId="3C9C5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CBB4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0033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防滑地垫</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CE3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橡胶防滑地垫，厚度5mm，表面防滑纹理适用于地面防滑防护</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39C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平方米</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79CC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w:t>
            </w:r>
          </w:p>
        </w:tc>
      </w:tr>
      <w:tr w14:paraId="181EF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BCC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E181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防火门锁</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FF4B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防火门锁，适配双开门，锁体耐高温，抗变形，适配防火门安装使用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C2F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FCD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w:t>
            </w:r>
          </w:p>
        </w:tc>
      </w:tr>
      <w:tr w14:paraId="2B829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07E6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E8618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防水盖</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6B1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阻燃PVC材质，75型插座防水盒，密封胶圈配套，防尘防水，适配75型底盒面板安装</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014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65D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w:t>
            </w:r>
          </w:p>
        </w:tc>
      </w:tr>
      <w:tr w14:paraId="58D27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D0A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8767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防水盖</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F011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阻燃PVC材质，86型插座防水盒，配套密封胶圈，防尘防水，抗老化，适配86型开关插座面板</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9C7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9882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w:t>
            </w:r>
          </w:p>
        </w:tc>
      </w:tr>
      <w:tr w14:paraId="57D23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ACB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F52AB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防松螺丝</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28D0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碳钢防松螺丝，6厘规格，自带防松结构，表面防锈处理，紧固后不易松动脱落</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D2C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9AD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w:t>
            </w:r>
          </w:p>
        </w:tc>
      </w:tr>
      <w:tr w14:paraId="5E33A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1E4C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2D16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浮球阀</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C441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1寸浮球阀，阀体耐腐蚀，浮球浮力稳定，水位控制灵敏，启闭密封不漏水，适用于水箱自动进水控制</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69F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605C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r>
      <w:tr w14:paraId="4D749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72F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1B41F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感应水龙头</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289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材质：全铜，电源电压：220V/50HZ,使用水温：1</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80℃，适用水压：0.5</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7.5bar，进水口管径：1/2，感应方式：红外感应，防交叉感染</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626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F55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180</w:t>
            </w:r>
          </w:p>
        </w:tc>
      </w:tr>
      <w:tr w14:paraId="679AE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CF4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167EF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感应水龙头（洗手盆）</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FF3B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全铜主体，红外感应出水，AC220V供电，感应距离可调，出水稳定，密封无渗漏，适配普通洗手盆立式安装</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E322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813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130</w:t>
            </w:r>
          </w:p>
        </w:tc>
      </w:tr>
      <w:tr w14:paraId="3B7BF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DE7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81271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感应水龙头（洗手盆）</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F0E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全铜加高主体，红外感应控制，电压AC220V，感应灵敏，防误触发</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F28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D5E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230</w:t>
            </w:r>
          </w:p>
        </w:tc>
      </w:tr>
      <w:tr w14:paraId="03104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421C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FC7F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感应小便阀</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A80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暗装式红外感应小便冲洗阀，AC220V供电，阀体密封，防水防潮，适配小便斗暗装工况</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8B3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F8BD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135</w:t>
            </w:r>
          </w:p>
        </w:tc>
      </w:tr>
      <w:tr w14:paraId="604D8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DB22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8AC5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钢丝钳</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B3C5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高碳钢材质，6寸钢丝钳，剪切锋利，铰接间隙小，手柄绝缘防滑，表面防锈处理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A252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E42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r>
      <w:tr w14:paraId="76929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161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0D8AB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钢丝钳</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8BCF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高碳钢材质，8寸钢丝钳，剪切锋利，铰接间隙小，手柄绝缘防滑，表面防锈处理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E42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174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w:t>
            </w:r>
          </w:p>
        </w:tc>
      </w:tr>
      <w:tr w14:paraId="532F9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7A8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E6C4B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高压浮球阀</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728C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1.5寸高压浮球阀，适用于高压供水水箱进水控制</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0E6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C8CF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w:t>
            </w:r>
          </w:p>
        </w:tc>
      </w:tr>
      <w:tr w14:paraId="746D4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1592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B2BCA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高压浮球阀</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F75F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1寸高压浮球阀，关闭无滴水，适合高压供水水箱使用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A76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F80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r>
      <w:tr w14:paraId="5450B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4AA8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3BE27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工具锤</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238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锤头高碳钢300g，木柄/塑柄连接牢固，锤头无卷边崩口，防锈处理，适合维修敲击作业</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61B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付</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391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6DAEB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58B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E5491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挂物密码锁</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625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4位数字密码锁，锁体合金材质，密码设置重置方便，防撬防锈，适用于柜子、箱包闭锁</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4E33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0AD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r>
      <w:tr w14:paraId="272B3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A6C8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C220B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光管支架</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317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0.9米T8灯管支架，适配30W灯管，外壳金属喷涂防锈，接线端子牢固，绝缘安全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45DA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支</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F36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w:t>
            </w:r>
          </w:p>
        </w:tc>
      </w:tr>
      <w:tr w14:paraId="58889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E9D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0E7A7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光管支架</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C1C2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1.2米T8灯管支架，适配40W灯管，金属壳体喷涂防锈</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A86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支</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79DD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r>
      <w:tr w14:paraId="79B52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5E8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34EC2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柜锁</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E9D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锌合金柜锁，规格20，锁芯铜质，防锈，适配文件柜、储物柜安装</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D50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6C2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r>
      <w:tr w14:paraId="239F5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993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D542A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柜锁</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B146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锌合金柜锁，规格25，锁芯铜质，防锈，适配文件柜、储物柜安装</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BA8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8979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r>
      <w:tr w14:paraId="5997D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E548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D5484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合页</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78DC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304不锈钢4寸房门合页，转动开合顺滑无卡顿，滚珠轴承结构，表面抛光防锈，螺丝孔位规整</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4F2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付</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95A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r>
      <w:tr w14:paraId="75413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88F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AEF6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喉箍</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244A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不锈钢喉箍，可调范围适配64mm管径，拧紧锁紧牢靠，边缘无毛刺，耐腐蚀，用于软管卡箍固定</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8A7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748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r>
      <w:tr w14:paraId="42718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8C3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908F2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花洒软管</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980C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主体材质304不锈钢，内管为三元乙丙橡胶，连接口径1/2*1/2，长度：150cm，耐温耐压，防爆防扭，不渗漏</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0B7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条</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AE47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r>
      <w:tr w14:paraId="2CB0A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F741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568F1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花洒头</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4F95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主体材质ABS，表面电镀，接口直径1/2，13cm增压出水，出水孔不易堵塞，多档出水模式，耐腐蚀</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BF2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81F8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r>
      <w:tr w14:paraId="19DEF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28C9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10095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花洒座</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BE85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不锈钢免钉花洒底座，背胶粘接牢固，角度可调节，适配标准花洒手柄，</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1E2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B6AC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r>
      <w:tr w14:paraId="7775E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AE6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86FE5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滑轮</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5C3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推拉门滑轮组件，轴承转动顺滑，耐磨轮体，承重满足室内推拉门，抗磨损，安装调节方便</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274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A6AC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w:t>
            </w:r>
          </w:p>
        </w:tc>
      </w:tr>
      <w:tr w14:paraId="300B2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7B98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6CE5D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滑轮组</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8790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型号388门窗滑轮组，轮体耐磨，轴承转动灵活，防锈，适配轻型推拉门窗</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EB45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付</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1E9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r>
      <w:tr w14:paraId="0B808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346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46BC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混水阀</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EF4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主体铜合金，陶瓷阀芯，冷热水混水调节，螺纹接口4分，耐压无渗漏，表面电镀抗腐蚀</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E3D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0A41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w:t>
            </w:r>
          </w:p>
        </w:tc>
      </w:tr>
      <w:tr w14:paraId="4EC9F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9D3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57624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继电器</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0988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型号RM22TG20中间继电器，线圈工作稳定，触点通断可靠，适配工控回路信号切换</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FAB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080D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w:t>
            </w:r>
          </w:p>
        </w:tc>
      </w:tr>
      <w:tr w14:paraId="585CF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C966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CDC49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尖嘴钳</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E7C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高碳钢6寸尖嘴钳，手柄绝缘防滑，表面防锈处理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C2C2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974D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w:t>
            </w:r>
          </w:p>
        </w:tc>
      </w:tr>
      <w:tr w14:paraId="19F37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6EBF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C9693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尖嘴钳</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502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高碳钢8寸尖嘴钳，手柄绝缘防滑，防锈处理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FA3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9D1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r>
      <w:tr w14:paraId="605C8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552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6D9A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键盘滑轨组</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BE66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冷轧钢键盘滑轨，配套安装底座，抽拉顺滑静音，防锈镀锌处理，孔位通用，适配电脑桌键盘托架</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1544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95D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w:t>
            </w:r>
          </w:p>
        </w:tc>
      </w:tr>
      <w:tr w14:paraId="28A22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B748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E447E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交流接触器</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0C50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交流接触器LCI</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50，触点电流50A，适用于电机负载控制</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834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644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145</w:t>
            </w:r>
          </w:p>
        </w:tc>
      </w:tr>
      <w:tr w14:paraId="7B5CB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491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57F61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交流接触器</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FB6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交流接触器LCI</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65，额定工作电流65A，满足动力回路通断控制</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130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421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220</w:t>
            </w:r>
          </w:p>
        </w:tc>
      </w:tr>
      <w:tr w14:paraId="1FEB7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C96D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DB19D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交流接触器</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A3E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Style w:val="42"/>
                <w:highlight w:val="none"/>
                <w:lang w:val="en-US" w:eastAsia="zh-CN" w:bidi="ar"/>
              </w:rPr>
              <w:t>规格：LC1D09M7C电压：220V,电流：9A，尺寸：86</w:t>
            </w:r>
            <w:r>
              <w:rPr>
                <w:rStyle w:val="43"/>
                <w:highlight w:val="none"/>
                <w:lang w:val="en-US" w:eastAsia="zh-CN" w:bidi="ar"/>
              </w:rPr>
              <w:t>77</w:t>
            </w:r>
            <w:r>
              <w:rPr>
                <w:rStyle w:val="42"/>
                <w:highlight w:val="none"/>
                <w:lang w:val="en-US" w:eastAsia="zh-CN" w:bidi="ar"/>
              </w:rPr>
              <w:t>45mm</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58C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10B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r>
      <w:tr w14:paraId="6C087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E4E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2DF33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胶塞</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1FC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塑胶膨胀胶塞，6厘规格，墙体锚固咬合紧密，适配6mm膨胀螺丝</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456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盒</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086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0E6AA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DFF8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232C1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胶水</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803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氰基丙烯酸乙酯快干胶，固化速度快，适用于金属、塑料、木材小面积粘接</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747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瓶</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5EBA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0842F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DD4D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A6CF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角阀</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13C3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规格：4分：材质：全铜，进出口尺寸：1/2，长度76mm,阀芯：陶瓷片阀芯，密封不漏水</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936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90E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r>
      <w:tr w14:paraId="29055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24EE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A97E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角码</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8E5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304不锈钢L型角码30*30mm，冲压成型，边角打磨，螺丝孔规整，防锈，用于构件直角固定连接</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B69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30B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w:t>
            </w:r>
          </w:p>
        </w:tc>
      </w:tr>
      <w:tr w14:paraId="2F633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0050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1C3B1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角磨机碳刷</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0CA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角磨机专用碳刷型号04</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150s#，适配对应型号角磨机电机</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B21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付</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9F6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r>
      <w:tr w14:paraId="6318A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06A7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CA732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角磨机压板</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249E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4寸角磨机砂轮压板，钢材冲压，螺纹规格匹配，压紧牢固，防止切割片松动脱落</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405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71A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r>
      <w:tr w14:paraId="2B525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F947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9F312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脚轮</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D152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2寸活动刹车脚轮，橡胶轮面，支架钢板冲压，承重满足轻型设备转运，防锈处理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5EE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C77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r>
      <w:tr w14:paraId="6C990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B44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CD85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脚轮</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82BB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规格100mm×32mm脚轮，铁芯橡胶轮体，轮面耐磨抗冲击，支架焊接牢固，适用于手推车设备承载</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8A0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4BD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w:t>
            </w:r>
          </w:p>
        </w:tc>
      </w:tr>
      <w:tr w14:paraId="5D81E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B2F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6E4BE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介刀</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273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合金钢刀片18mm×100mm，刀身ABS外壳，刀片卡位锁紧牢固，刀尖锋利，可分段折断，握持防滑，适合裁切作业</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308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1E1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r>
      <w:tr w14:paraId="350D5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33D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1B4B5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介刀片</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A658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18mm加厚发黑美工刀片，合金钢材质，刃口锋利，分段易折断，防锈，一盒多片包装，适配大号介刀</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957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盒</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CD8A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r>
      <w:tr w14:paraId="4F13F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AD00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83D2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卷尺</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7BCA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ABS抗摔外壳，5m钢卷尺，尺带刻度印刷清晰耐磨，尺钩活动可调</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1CC5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A2B3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r>
      <w:tr w14:paraId="46AD7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C08B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AFFCA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绝缘管</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4C3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PVC绝缘套管，外径10mm，绝缘耐压≥600V，耐老化，用于电线线束防护绝缘</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BB1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条</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3B63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r>
      <w:tr w14:paraId="77377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5EC3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DDEB4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绝缘胶垫</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E7F9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橡胶绝缘胶垫，规格1m×5m，绝缘耐压满足配电房使用，表面防滑纹路，无刺鼻异味</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9F2D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卷</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C7A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220</w:t>
            </w:r>
          </w:p>
        </w:tc>
      </w:tr>
      <w:tr w14:paraId="1BB4C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5279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F2F55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卡码</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9096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镀锌管卡码6分，冲压成型，孔位规整，防锈，用于PVC、PPR管道墙面固定，夹持稳固不易松脱</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2DF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B7D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w:t>
            </w:r>
          </w:p>
        </w:tc>
      </w:tr>
      <w:tr w14:paraId="20FF3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DB7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6176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卡座</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EF1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金属86底盒修复卡座，弹性夹持，适配破损86暗盒修复安装，保障面板固定牢靠</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9135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6B33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3051B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F548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AA8C6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开关</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824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86型二位墙壁开关，阻燃PC面板，额定10A/250V，符合</w:t>
            </w:r>
            <w:r>
              <w:rPr>
                <w:highlight w:val="none"/>
              </w:rPr>
              <w:t>GB/T 2099.1-2021</w:t>
            </w:r>
            <w:r>
              <w:rPr>
                <w:rFonts w:hint="eastAsia" w:ascii="宋体" w:hAnsi="宋体" w:eastAsia="宋体" w:cs="宋体"/>
                <w:i w:val="0"/>
                <w:iCs w:val="0"/>
                <w:color w:val="000000"/>
                <w:kern w:val="0"/>
                <w:sz w:val="22"/>
                <w:szCs w:val="22"/>
                <w:highlight w:val="none"/>
                <w:u w:val="none"/>
                <w:lang w:val="en-US" w:eastAsia="zh-CN" w:bidi="ar"/>
              </w:rPr>
              <w:t>电气安全标准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43E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9EB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r>
      <w:tr w14:paraId="6D0D1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1A84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AA465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开关</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EA8D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86型三位墙壁开关，镜瓷白阻燃PC材质，额定电流10A，单控通断可靠，抗老化不易变色</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9E28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CCD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r>
      <w:tr w14:paraId="10547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F87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A70C1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开关</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535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时间时控开关，工作电压AC220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240V，触点容量满足负载，定时设置简单，计时准确，具备手动强制通断功能</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CDBD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CF0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w:t>
            </w:r>
          </w:p>
        </w:tc>
      </w:tr>
      <w:tr w14:paraId="1EF7A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57D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769E2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开关</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7AB2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86型一位单控开关，阻燃PC材质，额定10A/250V，符合</w:t>
            </w:r>
            <w:r>
              <w:rPr>
                <w:highlight w:val="none"/>
              </w:rPr>
              <w:t>GB/T 2099.1-2021</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3C33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7403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4C73B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D71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6180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开孔器</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FD0E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合金开孔器，直径50mm，刀齿锋利，焊接牢固，适用于金属、塑料板材开孔，排屑顺畅，不易崩齿</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2E0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2ED9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w:t>
            </w:r>
          </w:p>
        </w:tc>
      </w:tr>
      <w:tr w14:paraId="50207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4E46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A692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空调挡板</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3117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ABS塑料空调挡风板，可伸缩73</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103cm，角度可调，安装简易，避免直吹，抗老化不易变形</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480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24E0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w:t>
            </w:r>
          </w:p>
        </w:tc>
      </w:tr>
      <w:tr w14:paraId="52FF8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E82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E3D14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空调挡板</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2CE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ABS材质空调挡风板，长度140cm，可调节角度，卡扣安装牢固，不易脆裂，阻挡空调直吹</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B8A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D63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w:t>
            </w:r>
          </w:p>
        </w:tc>
      </w:tr>
      <w:tr w14:paraId="1069F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EB15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53B4B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空调排水管</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9F71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加厚PVC空调排水管，2分规格，抗弯折，耐老化，排水通畅不渗水，适配室内机冷凝水排放</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D53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卷</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DCC6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w:t>
            </w:r>
          </w:p>
        </w:tc>
      </w:tr>
      <w:tr w14:paraId="49710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ECB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A17C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空调遥控器</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4E32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材质ABS，产品尺寸适配常规空调遥控，可控距离≤8米</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DE3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CDD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r>
      <w:tr w14:paraId="49B3F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B27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3B691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空气开关</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1E07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2P32A空气开关，额定电压400V，具备过载、短路保护，分断时间≤0.1S，执行</w:t>
            </w:r>
            <w:r>
              <w:rPr>
                <w:highlight w:val="none"/>
              </w:rPr>
              <w:t>GB/T 10963.1-2020</w:t>
            </w:r>
            <w:r>
              <w:rPr>
                <w:rFonts w:hint="eastAsia" w:ascii="宋体" w:hAnsi="宋体" w:eastAsia="宋体" w:cs="宋体"/>
                <w:i w:val="0"/>
                <w:iCs w:val="0"/>
                <w:color w:val="000000"/>
                <w:kern w:val="0"/>
                <w:sz w:val="22"/>
                <w:szCs w:val="22"/>
                <w:highlight w:val="none"/>
                <w:u w:val="none"/>
                <w:lang w:val="en-US" w:eastAsia="zh-CN" w:bidi="ar"/>
              </w:rPr>
              <w:t>标准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837D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条</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9011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w:t>
            </w:r>
          </w:p>
        </w:tc>
      </w:tr>
      <w:tr w14:paraId="5466F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FB4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4672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空气开关</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AE9C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两极空气开关2P</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60A，过载短路双重保护，脱扣器热磁式，外壳阻燃，符合</w:t>
            </w:r>
            <w:r>
              <w:rPr>
                <w:highlight w:val="none"/>
              </w:rPr>
              <w:t>GB/T 10963.1-2020</w:t>
            </w:r>
            <w:r>
              <w:rPr>
                <w:rFonts w:hint="eastAsia" w:ascii="宋体" w:hAnsi="宋体" w:eastAsia="宋体" w:cs="宋体"/>
                <w:i w:val="0"/>
                <w:iCs w:val="0"/>
                <w:color w:val="000000"/>
                <w:kern w:val="0"/>
                <w:sz w:val="22"/>
                <w:szCs w:val="22"/>
                <w:highlight w:val="none"/>
                <w:u w:val="none"/>
                <w:lang w:val="en-US" w:eastAsia="zh-CN" w:bidi="ar"/>
              </w:rPr>
              <w:t>标准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2A42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09B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w:t>
            </w:r>
          </w:p>
        </w:tc>
      </w:tr>
      <w:tr w14:paraId="116D7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4C0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6C660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空气开关</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0045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3P60A空气开关，适用于三相回路，过载短路保护，分断时间≤0.1S，阻燃壳体，接线端子紧固牢靠符合</w:t>
            </w:r>
            <w:r>
              <w:rPr>
                <w:highlight w:val="none"/>
              </w:rPr>
              <w:t>GB/T 10963.1-2020</w:t>
            </w:r>
            <w:r>
              <w:rPr>
                <w:rFonts w:hint="eastAsia" w:ascii="宋体" w:hAnsi="宋体" w:eastAsia="宋体" w:cs="宋体"/>
                <w:i w:val="0"/>
                <w:iCs w:val="0"/>
                <w:color w:val="000000"/>
                <w:kern w:val="0"/>
                <w:sz w:val="22"/>
                <w:szCs w:val="22"/>
                <w:highlight w:val="none"/>
                <w:u w:val="none"/>
                <w:lang w:val="en-US" w:eastAsia="zh-CN" w:bidi="ar"/>
              </w:rPr>
              <w:t>标准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6B5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567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w:t>
            </w:r>
          </w:p>
        </w:tc>
      </w:tr>
      <w:tr w14:paraId="30C04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693C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7BBCE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空气开关</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6E05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2P20A空开，额定电压400V，热磁脱扣，过载短路保护，外壳阻燃，符合</w:t>
            </w:r>
            <w:r>
              <w:rPr>
                <w:highlight w:val="none"/>
              </w:rPr>
              <w:t>GB/T 10963.1-2020</w:t>
            </w:r>
            <w:r>
              <w:rPr>
                <w:rFonts w:hint="eastAsia" w:ascii="宋体" w:hAnsi="宋体" w:eastAsia="宋体" w:cs="宋体"/>
                <w:i w:val="0"/>
                <w:iCs w:val="0"/>
                <w:color w:val="000000"/>
                <w:kern w:val="0"/>
                <w:sz w:val="22"/>
                <w:szCs w:val="22"/>
                <w:highlight w:val="none"/>
                <w:u w:val="none"/>
                <w:lang w:val="en-US" w:eastAsia="zh-CN" w:bidi="ar"/>
              </w:rPr>
              <w:t>标准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AD6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0647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w:t>
            </w:r>
          </w:p>
        </w:tc>
      </w:tr>
      <w:tr w14:paraId="1D63F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314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A2A14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快速活接</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43B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1寸管道快速活接，拆装免热熔，密封圈密封可靠，耐压≥1.0MPa，适配PPR/PVC管路快速对接，无渗漏</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6DA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EBA6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w:t>
            </w:r>
          </w:p>
        </w:tc>
      </w:tr>
      <w:tr w14:paraId="1F4ED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F6AB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D3DDD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拉手</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8E9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锌合金平开窗拉手，表面喷涂防锈，锁止牢固，螺丝孔位通用，适配平开窗扇</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511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180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w:t>
            </w:r>
          </w:p>
        </w:tc>
      </w:tr>
      <w:tr w14:paraId="3A509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7D2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51C5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拉手</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709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圆形柜门拉手直径3cm，合金材质，安装孔距标准，受力不易断裂，表面抗腐蚀处理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9416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5B6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w:t>
            </w:r>
          </w:p>
        </w:tc>
      </w:tr>
      <w:tr w14:paraId="74E89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9E78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F773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龙头开关阀</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8ED8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全铜阀体，4分冷热进水，陶瓷阀芯，螺纹规整，耐压无滴漏，适配各类冷热水龙头控制</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692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8E46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83</w:t>
            </w:r>
          </w:p>
        </w:tc>
      </w:tr>
      <w:tr w14:paraId="1CE74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1DA8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8754E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漏电开关</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7B4B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2P/32A漏电开关，极数：2P，分断时间：0.1S，额定电流：32A，额定电压：230V/400V，脱扣器形式：热磁式，执行标准：GB/T10963.1</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2005</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EAF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64FC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w:t>
            </w:r>
          </w:p>
        </w:tc>
      </w:tr>
      <w:tr w14:paraId="5BA29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397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40BC9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漏电开关</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1F32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1P+N25A漏电保护器，漏电动作电流≤30mA，动作时间≤0.1S，过载短路保护，阻燃外壳，执行标准：GB/T10963.1</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2005</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41EE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ED6B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r>
      <w:tr w14:paraId="0EB96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88A1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3E70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漏电开关</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593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3P</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25A漏电开关，适配三相供电回路，漏电保护30mA，动作时间≤0.1S，兼具过载短路保护，壳体阻燃绝缘</w:t>
            </w:r>
            <w:r>
              <w:rPr>
                <w:rFonts w:hint="eastAsia" w:ascii="宋体" w:hAnsi="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t>执行标准：GB/T10963.1</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2005</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E8C5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111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w:t>
            </w:r>
          </w:p>
        </w:tc>
      </w:tr>
      <w:tr w14:paraId="039CF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8370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1056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漏电开关</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EFD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规格：2P/16A,漏电开关：极数：2P，分断时间：0.1S，额定电流：16A,额定电压：230V/400V，脱扣器形式：热磁式，执行标准：GB/T10963.1</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2005</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6452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CF89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w:t>
            </w:r>
          </w:p>
        </w:tc>
      </w:tr>
      <w:tr w14:paraId="1E73C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2A6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BC831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漏电开关</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243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规格:4P/63A：极数：4P，分断时间：0.1S，额定电流：63A,额定电压：230V/400V，脱扣器形式：热磁式，执行标准：GB/T10963.1</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2005</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7DA1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ED1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w:t>
            </w:r>
          </w:p>
        </w:tc>
      </w:tr>
      <w:tr w14:paraId="0E892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E62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5E134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漏电开关</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4F5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2P</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40A漏电保护器，漏电动作≤30mA，分断时间≤0.1S，热磁脱扣，过载短路漏电三重保护，阻燃壳体</w:t>
            </w:r>
            <w:r>
              <w:rPr>
                <w:rFonts w:hint="eastAsia" w:ascii="宋体" w:hAnsi="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t>执行标准：GB/T10963.1</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2005</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A6E9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FEF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w:t>
            </w:r>
          </w:p>
        </w:tc>
      </w:tr>
      <w:tr w14:paraId="6C88F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7FF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CA005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漏电开关</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AC79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三相3P+N</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63A漏电开关，额定电压400V，漏电动作电流30mA，动作时间≤0.1S，接线端子牢固，执行标准：GB/T10963.1</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2005</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7F4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B50E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w:t>
            </w:r>
          </w:p>
        </w:tc>
      </w:tr>
      <w:tr w14:paraId="2D152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E17F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39A58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漏电开关</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E5C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三相40A漏电保护开关，热磁脱扣，漏电30mA具备短路过载保护，外壳阻燃绝缘，适配三相设备</w:t>
            </w:r>
            <w:r>
              <w:rPr>
                <w:rFonts w:hint="eastAsia" w:ascii="宋体" w:hAnsi="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t>执行标准：GB/T10963.1</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2005</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60F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CD83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r>
      <w:tr w14:paraId="7F6E1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582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8997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螺丝</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7E05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碳钢带钩膨胀螺丝，8厘规格，挂钩焊接牢固，防锈处理，用于物件吊挂固定</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BA29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E6B5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0.8</w:t>
            </w:r>
          </w:p>
        </w:tc>
      </w:tr>
      <w:tr w14:paraId="4DFA5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316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A72F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螺丝批</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9362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一字螺丝刀，杆径6mm杆长150mm，杆身合金钢，刀头淬火硬化，手柄防滑，扭矩传递好，符合手动工具要求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0C4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支</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C6D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3654F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81D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8336F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螺丝批</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7776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十字螺丝刀，杆径6mm杆长150mm，合金钢杆，手柄防滑绝缘，不易崩口，维修拆装适用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ABE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支</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C37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12BE9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53E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CFD2C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落地扇</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91E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AC220V</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50Hz，扇叶400mm落地扇，三档调速，底座配重稳固，网罩防护牢固</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F28C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台</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827D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165</w:t>
            </w:r>
          </w:p>
        </w:tc>
      </w:tr>
      <w:tr w14:paraId="06F4D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9A5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42CC1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麻花钻咀</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38F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高速钢麻花钻头6mm，刃口锋利，排屑槽规整，适用于钢材、木材钻孔，不易崩刃</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743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支</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DEF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r>
      <w:tr w14:paraId="05AFF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EC1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3A9B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麻花钻咀</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64E7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高速钢麻花钻4mm，切削锋利，适合金属木材钻孔</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058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B936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65B2B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BE54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F833F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麻花钻咀</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6217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高速钢麻花钻头3mm，刃口锋利，适用于薄金属、木材钻孔作业</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507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支</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ABA5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r>
      <w:tr w14:paraId="44899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8792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4945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马桶盖</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AAF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PP材质大U型马桶盖板，安装孔距可调，盖板开合平稳，抗冲击，不易发黄老化，拆装方便</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772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54F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r>
      <w:tr w14:paraId="51691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5C5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A28F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码仔</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98C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镀锌管码4分，冲压成型，边缘无毛刺，防锈，用于管道紧固，螺丝配套，固定牢靠</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33D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64FC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w:t>
            </w:r>
          </w:p>
        </w:tc>
      </w:tr>
      <w:tr w14:paraId="7DB34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E2D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1C8F5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门把手</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0409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不锈钢房门把手12寸，表面抛光，孔距通用，防锈耐腐蚀</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768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付</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8A28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r>
      <w:tr w14:paraId="247D0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722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16602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门插销</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8F0E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304不锈钢4寸门插销，栓体滑动顺畅无卡滞，锁孔对位准确，表面抛光防锈，适用于室内房门闭锁</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EB3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A37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r>
      <w:tr w14:paraId="2EB11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245C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1914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门禁开关</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A13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86型出门按钮，阻燃PC面板适配门禁控制系统</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E4B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EBBC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r>
      <w:tr w14:paraId="523A0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08D4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1ECF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门铃</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F19E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86型按键式门铃，ABS外壳，按压发声清晰，接线端子牢靠，适配室内有线门铃回路使用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EF2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20EB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r>
      <w:tr w14:paraId="388CB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FC4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BB01F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门栓</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7B6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304不锈钢6寸门栓，滑动顺畅，锁止可靠，边角打磨，防锈，适用于房门、柜门机械闭锁</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18EC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4625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77DFD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973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6C5FD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门锁</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AAC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卫生间隔断锁，适配门厚5cm，指示锁结构，无钥匙，开关顺畅，抗潮湿防锈，适配公厕隔断门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0DA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25EA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r>
      <w:tr w14:paraId="21AE9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66D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BF506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门锁</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E968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卫生间执手锁，螺丝孔距15cm，锁体防水防潮，适配卫生间木门，表面防锈处理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3C0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3E1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w:t>
            </w:r>
          </w:p>
        </w:tc>
      </w:tr>
      <w:tr w14:paraId="1C3DE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5E9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71CD0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门锁芯</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68DF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防火门锁专用锁芯，铜质锁芯，耐高温，适配防火门锁体，满足防火门配套使用要求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AA5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997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w:t>
            </w:r>
          </w:p>
        </w:tc>
      </w:tr>
      <w:tr w14:paraId="13B49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41C0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E0DE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门吸</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02B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304不锈钢门吸，碰撞缓冲，底座安装牢固，表面抛光防锈，适配室内房门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080E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B6B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26CF1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94B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5444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密码锁</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FBA9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50mm长梁密码挂锁，合金锁体，数字密码设置重置便捷，防撬防锈，适用于柜子、仓库门闭锁</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804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715F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w:t>
            </w:r>
          </w:p>
        </w:tc>
      </w:tr>
      <w:tr w14:paraId="01566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B8F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574FE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免钉胶</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7E22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聚氨酯免钉胶，净含量750g，无需打孔，固化后具备韧性，抗老化，适用于金属、木材、瓷砖粘接，符合GB18583</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2008</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B65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支</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4E2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4B09F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49D3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FF21B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木方</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DEE0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实木木方规格3cm×4cm，干燥处理，无开裂、腐朽、虫眼，适合维修加固、辅料搭建使用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828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条</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77FA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r>
      <w:tr w14:paraId="68467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9D9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B8CB1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耐候胶</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58D3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硅酮耐候密封胶，净含量900g，耐高低温，防水密封，适用于室外门窗缝隙填缝密封</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0AF0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支</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5CDC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9.5</w:t>
            </w:r>
          </w:p>
        </w:tc>
      </w:tr>
      <w:tr w14:paraId="4DB4F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B74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71111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内六角套装组</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F37E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镍铬合金钢内六角扳手，10支成套，硬度高，表面防锈处理，收纳包装齐全，拆装各类内六角螺丝</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1BC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614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r>
      <w:tr w14:paraId="7349C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CCD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BABF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内外牙直通</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A3D7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黄铜内外牙直通，规格20mm，螺纹完整，无砂眼气孔，耐压≥1.0MPa</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9A3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C37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r>
      <w:tr w14:paraId="78109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6E4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DEEDA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内牙直通</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2E89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黄铜6分内牙直通，丝牙规整，密封面平整，耐压≥1.0MPa，防锈耐腐蚀，水暖管路连接使用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313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13C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w:t>
            </w:r>
          </w:p>
        </w:tc>
      </w:tr>
      <w:tr w14:paraId="4A0C9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CE05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5CF30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尼龙扎带</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D02C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尼龙扎带4mm×200mm，抗老化，锁紧咬合牢固，不易断裂，适用于线缆捆扎整理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57D4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包</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FCF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r>
      <w:tr w14:paraId="33A0F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1BC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9A65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尼龙扎带</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3DC8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尼龙扎带4mm×300mm，耐低温抗老化，锁齿锁紧可靠，适用于线缆、管路捆扎固定</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72F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包</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6A7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r>
      <w:tr w14:paraId="1B4C6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F32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3033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排气扇</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5655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AC220V</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50Hz，10寸管道式排气扇，电机运转平稳，噪音低，外壳阻燃ABS</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8AB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台</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B2B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73</w:t>
            </w:r>
          </w:p>
        </w:tc>
      </w:tr>
      <w:tr w14:paraId="58335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B24D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77193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排气扇</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5782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AC220V</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50Hz，8寸管道排气扇，阻燃外壳，接口适配管道</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F2A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台</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FB8E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r>
      <w:tr w14:paraId="37391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8C9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1C1E3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排水管</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9643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不锈钢洗手盆下水管，长度1米，螺纹接口标准，防臭结构，排水通畅，耐腐蚀，密封垫圈配套齐全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860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条</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C7FA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6333F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9C85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6686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皮尺</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17AF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50米纤维皮卷尺，尺带耐磨不易撕裂，刻度印刷清晰，尺头固定牢固，适用于场地、建筑测量作业</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220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270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r>
      <w:tr w14:paraId="000B7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E27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00C9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切割片</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391E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4寸树脂加厚切割片，基体牢固，切割锋利，适配角磨机，用于金属切割作业</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0A5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片</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AF99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r>
      <w:tr w14:paraId="20ED6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DCA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E09B3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球阀</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24AB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黄铜球阀，规格4分，球体转动灵活，密封PTFE垫片，耐压≥1.6MPa，开关无渗漏，水暖管路通断控制</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FB0D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91B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r>
      <w:tr w14:paraId="4BF9B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3C2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58EF1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球阀</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289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U球阀DN20，阀体无砂眼裂纹，开关手柄操作顺畅，粘接端口平整，耐压≥1.0MPa，给排水管路控制</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A31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46A0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r>
      <w:tr w14:paraId="2D80D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0BF7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C5591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热继电器</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7AEF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型号LRN08N热过载继电器，电流调节范围准确，适配交流接触器，用于电机过载保护</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E324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CCA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r>
      <w:tr w14:paraId="39D36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D9DF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45EE8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热水器拉爆螺丝</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23C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碳钢拉爆膨胀螺丝，规格12mm×120mm，防锈，适用于电热水器挂墙固定</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2BA3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5A6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34A98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EE05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4244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三联锁</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F28D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锌合金三联柜锁，规格16，锁芯铜质，适配文件柜三联联动闭锁</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3FD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B13B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r>
      <w:tr w14:paraId="64F95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5C2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E1C00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砂纸</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051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2000目水磨砂纸，可干湿两用，适用于金属、漆面抛光打磨作业</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906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张</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B3C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r>
      <w:tr w14:paraId="39DB3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96E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CAC01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投光灯</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37FF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AC220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240V，100WLED投光灯，外壳铝合金散热，防护等级IP65，色温6000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6500K，Ra≥80，户外照明，防水防尘</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5C36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CE4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75</w:t>
            </w:r>
          </w:p>
        </w:tc>
      </w:tr>
      <w:tr w14:paraId="1397F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D956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3A0A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射钉</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017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射钉规格52，配套塑料胶粒，钢材淬火处理，适配射钉器，墙体紧固作业使用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9F82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盒</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915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579BC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1F1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C8AF1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手电筒</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5CF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可充电强光手电筒，铝合金外壳抗摔，多档位调光，续航稳定，适合现场维修照明</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2D0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支</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3978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w:t>
            </w:r>
          </w:p>
        </w:tc>
      </w:tr>
      <w:tr w14:paraId="09A0E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E4CD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7C39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手电钻</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B84B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12V锂电手电钻，夹头夹持牢固，正反转可调，转速档位可调，机身绝缘安全，适合维修钻孔拆装</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1E51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CF3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241</w:t>
            </w:r>
          </w:p>
        </w:tc>
      </w:tr>
      <w:tr w14:paraId="381DC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7FD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9EF4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手喷漆</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7BB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容量600ml气雾手喷漆，漆膜干燥快，用于金属表面修补上色</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E679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瓶</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E34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3F808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C7E0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A5AE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手推车</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E7D6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平板手推车60cm×90cm，车体钢板/加厚塑料，轮组耐磨静音，焊接牢固，承重稳定，适用于物料转运搬运</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3BA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台</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2B9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290</w:t>
            </w:r>
          </w:p>
        </w:tc>
      </w:tr>
      <w:tr w14:paraId="238C6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48F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81091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双活接球阀PVC</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DA1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U双活接球阀DN50，两端活接便于拆装，手柄开关灵活，耐压≥1.0MPa，给排水管路通断</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B2CA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8D8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w:t>
            </w:r>
          </w:p>
        </w:tc>
      </w:tr>
      <w:tr w14:paraId="6865C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AF6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55A6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双活接球阀PVC</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F1F7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U双活接球阀DN60，密封不漏水，耐压≥1.0MPa</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141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1AFF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w:t>
            </w:r>
          </w:p>
        </w:tc>
      </w:tr>
      <w:tr w14:paraId="64436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EB3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0C585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双面海绵粘胶</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9C44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泡棉双面胶，宽度2cm，海绵基材具备缓冲，抗老化，适用于铭牌、小件构件粘贴固定</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C9F1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7FE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1E295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E342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E3493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水泵</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BD91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YE2立式涡流泵，AC380V电机，泵体密封，运行平稳噪音低，机械密封耐磨损，供水增压使用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92C0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组</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286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890</w:t>
            </w:r>
          </w:p>
        </w:tc>
      </w:tr>
      <w:tr w14:paraId="747CE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4EA0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8E207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水泵</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BE1C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排污泵型号W015</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2.2，功率2.2KW，AC380V，具备防堵塞结构，机械密封，适合污水提升排放</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518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台</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A45A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485</w:t>
            </w:r>
          </w:p>
        </w:tc>
      </w:tr>
      <w:tr w14:paraId="69793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FAF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E491A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水泵</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504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热水循环泵PH</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150，适配热水管路，耐温满足热水工况，密封无渗漏</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EDE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A24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1050</w:t>
            </w:r>
          </w:p>
        </w:tc>
      </w:tr>
      <w:tr w14:paraId="3249C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20CE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9885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水泵</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579F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自吸泵型号1ZDB65</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B，AC220V，泵体密封，适合无负压供水取水增压</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342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台</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2157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485</w:t>
            </w:r>
          </w:p>
        </w:tc>
      </w:tr>
      <w:tr w14:paraId="62A89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1F53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09989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水表</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382C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6分干式水表，计数表盘不进水，接口螺纹规整，耐压无渗漏，读数清晰</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4BA8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2725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68</w:t>
            </w:r>
          </w:p>
        </w:tc>
      </w:tr>
      <w:tr w14:paraId="556E8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838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D45C0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水管</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866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网状纤维增强胶管，16厘规格，内层橡胶，纤维编织增强层，耐压抗弯折，耐老化，给排水输水使用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7ED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米</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979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w:t>
            </w:r>
          </w:p>
        </w:tc>
      </w:tr>
      <w:tr w14:paraId="33331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752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CA43F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水管</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162D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4分纤维网状增强胶管，耐弯折，耐压≥1.0MPa，抗老化，适用于临时输水、设备供水管路</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420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米</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FDF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r>
      <w:tr w14:paraId="5D18E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877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6F4AA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水管</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62CB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6分网状纤维胶管，多层结构，抗拉伸抗弯折，耐候抗老化，用于设备供水、临时输水</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F2D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米</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CF95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r>
      <w:tr w14:paraId="20DC8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F171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5224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水管</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A614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花洒进水软管，304不锈钢编织，内管三元乙丙橡胶，两端标准4分螺纹，防爆防扭不漏水</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A40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F003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w:t>
            </w:r>
          </w:p>
        </w:tc>
      </w:tr>
      <w:tr w14:paraId="377ED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613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EB43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水管剪刀</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093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水管剪最大剪切1寸管材，SK5合金钢刀刃，剪切切口平整，适配PVC、PPR管材裁切</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B39E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0584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w:t>
            </w:r>
          </w:p>
        </w:tc>
      </w:tr>
      <w:tr w14:paraId="321EF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D1E3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93E3D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水管钳</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667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14寸水管钳，铬钒合金钢材质，钳口齿纹咬合牢固，用于水暖管件拆装作业</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C388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3464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r>
      <w:tr w14:paraId="1E364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86BD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AD2E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水胶布</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1400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PTFE聚四氟乙烯生料带，长度20米，水暖螺纹接口密封缠绕使用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4DE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0C0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0EBED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B1D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411CD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水龙头</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FF1D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全铜三联冷热浴缸龙头，陶瓷阀芯，接口4分，表面电镀，耐压无滴漏，配套出水软管配件齐全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71F1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A9EE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160</w:t>
            </w:r>
          </w:p>
        </w:tc>
      </w:tr>
      <w:tr w14:paraId="1B79A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A2F0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EC2D5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水龙头</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5A6E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开水器专用水龙头，铜材质，耐温，出水口防溅，适配开水器出水接口，无渗漏</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8019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DCB6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r>
      <w:tr w14:paraId="55F7E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478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0102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水龙头</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A54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4分全铜单冷水龙头，陶瓷阀芯，螺纹标准，表面电镀，耐压不漏水，适用于普通给水点位</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407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1242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w:t>
            </w:r>
          </w:p>
        </w:tc>
      </w:tr>
      <w:tr w14:paraId="2A55D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8230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59106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水龙头</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00B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全铜冷热面盆龙头，陶瓷片阀芯，4分进水接口，电镀表面抗腐蚀，密封无滴漏</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54C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FFC5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98</w:t>
            </w:r>
          </w:p>
        </w:tc>
      </w:tr>
      <w:tr w14:paraId="66E7F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6036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9EDF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水龙头</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E9E5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全铜高弯冷热龙头，陶瓷阀芯，4分进水口，电镀工艺，无漏水</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8394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2A0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110</w:t>
            </w:r>
          </w:p>
        </w:tc>
      </w:tr>
      <w:tr w14:paraId="4C054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1EB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8459F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水龙头</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1AA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洗手盆单冷水龙头，铜主体，陶瓷阀芯，4分进水接口，出水柔和防溅，适配普通陶瓷洗手盆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DB2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8A3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r>
      <w:tr w14:paraId="7515E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9F3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05FC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水位控制器</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E2E6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电子水位控制器，线缆长度3米，AC220V工作电压，高低水位自动启停，防水探头，水箱水位自动控制</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1E4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A28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w:t>
            </w:r>
          </w:p>
        </w:tc>
      </w:tr>
      <w:tr w14:paraId="48D02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90F1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75D0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水位控制器</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99E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型号DF</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96A电子水位控制器，AC220V供电，继电器输出，具备高低水位自动控制，外壳绝缘防尘，适配各类水箱液位控制</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01C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C369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r>
      <w:tr w14:paraId="1845E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D6D1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4ED65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水箱配件</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0A84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马桶整套进水、排水配件，ABS工程塑料，适配常规坐便器，密封胶圈齐全，无漏水渗水</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1BF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35A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r>
      <w:tr w14:paraId="1C37A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064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A96C1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锁片</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08A0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钢制锁片4cm，冲压成型，表面防锈，孔位规整，配套锁具安装</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9AC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CF3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r>
      <w:tr w14:paraId="238DF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E8F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4B823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锁舌</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99F6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球形门锁专用锁舌，长度3cm，金属材质，适配室内球形锁锁体，安装孔位通用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D5C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9DFB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r>
      <w:tr w14:paraId="1EC18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A67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AE68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锁头</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48B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防盗门球形锁头，适配门厚5cm，表面防锈处理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CFF4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1E2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r>
      <w:tr w14:paraId="5A5AC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10B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CF09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锁头</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4E23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执手锁专用锁芯，适配孔距15cm执手门锁，铜质锁芯，防技术开启，</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21CC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D73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r>
      <w:tr w14:paraId="4BFBD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9F6D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053D5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锁头</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D50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玻璃门U型伸缩锁，锁梁可伸缩调节，合金锁体，防撬防锈，适配无框玻璃门闭锁</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893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61C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r>
      <w:tr w14:paraId="51D86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DC0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300C7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套筒</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88EB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铬钒钢套筒14mm，适配扳手使用，内壁规整</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647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FD02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r>
      <w:tr w14:paraId="47850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F8D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D24DA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套筒</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0CF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铬钒钢套筒6mm，淬火处理，适配手动拆装维修作业</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D07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CA19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r>
      <w:tr w14:paraId="59B88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33B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F8C64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梯子</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BC51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4级铝合金人字梯，防滑脚垫，铆接牢固</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C4F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AD5B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158</w:t>
            </w:r>
          </w:p>
        </w:tc>
      </w:tr>
      <w:tr w14:paraId="595F4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D5B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5837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梯子</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6306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6级铝合金人字梯，高强度铝合金型材，踏板防滑，脚垫耐磨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BE9D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B8D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190</w:t>
            </w:r>
          </w:p>
        </w:tc>
      </w:tr>
      <w:tr w14:paraId="4876C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500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37360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天地销</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5778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304不锈钢8寸天地插销，防锈耐腐蚀，适配双开门、防火门闭锁</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A62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80F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r>
      <w:tr w14:paraId="716BC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78B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4A224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贴钩</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179F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塑料/金属单挂钩，背胶或者螺丝两种安装方式，挂钩圆角处理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418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31D4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r>
      <w:tr w14:paraId="729CF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52D2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A0DDF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铁钩</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EF43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碳钢1寸铁钩，冲压成型，螺纹完整，表面防锈喷漆，用于墙面物件吊挂，受力不易弯折</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7DB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45C8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w:t>
            </w:r>
          </w:p>
        </w:tc>
      </w:tr>
      <w:tr w14:paraId="11F40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F21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EC751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铁链</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27EB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8号铁链，碳钢材质，环扣焊接牢固，镀锌防锈，用于吊挂、防护牵拉使用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784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米</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424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r>
      <w:tr w14:paraId="2E344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20B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05ED7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铁链</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583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6号铁链，碳钢材质，镀锌防锈，不易断裂，适用于轻型吊挂、防护绑定</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7B9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米</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C5F4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36EB8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D07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9B91D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铁马护栏</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2FE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铁马护栏，尺寸150*100cm，重量7.5kg，表面喷塑防锈，防倾倒，临时隔离防护使用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D7E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174D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w:t>
            </w:r>
          </w:p>
        </w:tc>
      </w:tr>
      <w:tr w14:paraId="636F1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1B8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3FB7D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铁门锁</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2DD4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防盗门月牙钥匙门锁，合金锁壳，月牙锁芯，防撬，适配普通防盗门安装</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498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1493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r>
      <w:tr w14:paraId="24462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9D0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CC2F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铁皮剪</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4DB5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18寸铁皮剪，高碳钢刃口，适合薄铁皮、薄板剪切作业，防锈处理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3D8D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C63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w:t>
            </w:r>
          </w:p>
        </w:tc>
      </w:tr>
      <w:tr w14:paraId="710B9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E46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C8742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铁锹</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214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铁锹，铁质锹头，配1米手柄，铆接牢固，适合铲沙、铲土维修作业</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AF4D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A71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r>
      <w:tr w14:paraId="48ECB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2D4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BE580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铁丝</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AFC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22号镀锌铁丝，镀锌防锈，用于绑扎、固定各类构件</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9DB1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斤</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62F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6273C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24A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E487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铜锁芯</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6FFA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黄铜执手门锁锁芯，弹子结构，耐磨抗锈蚀，适配常规室内执手门锁更换</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010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DE4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w:t>
            </w:r>
          </w:p>
        </w:tc>
      </w:tr>
      <w:tr w14:paraId="7B988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B29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AE82C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万用表</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F8A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指针/数显万用表，可测电压、电流、电阻（量程2000Ω），表笔绝缘</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A613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D40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145</w:t>
            </w:r>
          </w:p>
        </w:tc>
      </w:tr>
      <w:tr w14:paraId="1B119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1A7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78912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吸顶灯</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91E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AC220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240V，14W人体感应吸顶灯，感应触发灵敏，延时熄灭，色温6000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6500K，Ra≥80，外壳阻燃</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9D1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64B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r>
      <w:tr w14:paraId="1DCA0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785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34969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吸顶灯</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274A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额定电压AC220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240V，功率36W，圆形吸顶灯，色温6500K，显色指数Ra≥80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89B4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ED4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w:t>
            </w:r>
          </w:p>
        </w:tc>
      </w:tr>
      <w:tr w14:paraId="76061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F8E1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FC95C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洗手盆</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B012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陶瓷洗手盆，高温陶瓷烧制，釉面光洁致密，抗污易清洁，配套下水组件，</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B4E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5CB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110</w:t>
            </w:r>
          </w:p>
        </w:tc>
      </w:tr>
      <w:tr w14:paraId="3DE13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F11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B5D5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洗手盆排水管</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ED51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S型防臭洗手盆排水管，长度1米，PVC材质，可伸缩调节，水封防臭，接口适配常规陶瓷洗手盆，排水通畅不渗漏</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409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1F3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r>
      <w:tr w14:paraId="31019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F39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DD0DB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下水管</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803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PVC下水管，长度1米，接口适配，排水通畅，抗老化不易脆裂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01E8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条</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14E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r>
      <w:tr w14:paraId="04E98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387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3EA67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下水头</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75D1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陶瓷面盆下水头，金属主体，配套密封橡胶垫圈，防溢水，适配常规陶瓷洗手盆开孔</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727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B4F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5F91B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28E5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09264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线槽</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82E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PVC地面线槽，宽度7cm，高强度PVC材质，抗压耐踩，盖板卡扣牢固，用于地面线缆防护敷设</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AC2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6E3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r>
      <w:tr w14:paraId="6384A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540F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FD492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线槽（厚）</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1DC1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加厚PVC线槽4分，阻燃，用于室内明装布线防护</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CDF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条</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193C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w:t>
            </w:r>
          </w:p>
        </w:tc>
      </w:tr>
      <w:tr w14:paraId="4D276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FE9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98E3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线槽（厚）</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F18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加厚PVC线槽6分，阻燃PVC材质，适用于室内明装电线敷设</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E35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条</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E4F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6.4</w:t>
            </w:r>
          </w:p>
        </w:tc>
      </w:tr>
      <w:tr w14:paraId="1B368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737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C21FD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线管（厚）</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7F31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加厚阻燃PVC线管4分，抗压，绝缘，弯管不易开裂，穿线防护使用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776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条</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AC3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r>
      <w:tr w14:paraId="1C8BB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A66E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25F0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线管（厚）</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219B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加厚阻燃PVC线管6分，高强度抗冲击，可冷弯，不易脆裂，用于建筑电线穿管防护</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9E25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条</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455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5.2</w:t>
            </w:r>
          </w:p>
        </w:tc>
      </w:tr>
      <w:tr w14:paraId="385D9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9D89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C9A5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橡胶路锥</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633D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橡胶路锥，重量5.5kg，橡胶材质，耐碾压，不易碎裂，反光标识清晰醒目，道路警示隔离使用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EF0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6BB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r>
      <w:tr w14:paraId="055B6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A73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0247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橡胶门塞</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28A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橡胶门挡，高弹性橡胶，防滑底座，阻挡门扇撞击，适配各类室内房门使用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FEE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567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7.5</w:t>
            </w:r>
          </w:p>
        </w:tc>
      </w:tr>
      <w:tr w14:paraId="2E350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D7F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9974D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消毒灯驱动器</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5702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AC220V输入，适配40W紫外线消毒灯管，绝缘外壳，适配T8消毒灯管支架</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220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D509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r>
      <w:tr w14:paraId="57678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1DC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01B6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消毒灯支架</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05A3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1.2米T8紫外线消毒灯支架，金属壳体，配套2米吊绳，适配紫外线灯管安装</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3B6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AD3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w:t>
            </w:r>
          </w:p>
        </w:tc>
      </w:tr>
      <w:tr w14:paraId="2137D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7895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0CD6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斜口钳</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A2F7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高碳钢6寸斜口钳，手柄防滑绝缘，表面防锈处理，电工维修适用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CCA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DB2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w:t>
            </w:r>
          </w:p>
        </w:tc>
      </w:tr>
      <w:tr w14:paraId="6EFE4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D51C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FA140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信箱锁</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FAFF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信箱锁，锁芯直径ø22，锌合金锁壳，铜锁芯，抗锈蚀，适配信箱、小型柜体闭锁</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DB2F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ACA0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r>
      <w:tr w14:paraId="76F6B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9F9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27C2E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烟斗胶</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38B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不锈钢烟斗铰链，液压缓冲，防锈耐腐蚀，适配柜门缓冲闭合</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7C2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B44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3A65A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B6A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6BDD4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遥控浮球阀</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5532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AC220V电动遥控浮球阀，阀体耐压，密封不漏水，可远程控制水箱进水开闭</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96F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3B43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680</w:t>
            </w:r>
          </w:p>
        </w:tc>
      </w:tr>
      <w:tr w14:paraId="62257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2E9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41FBF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遥控器盒</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B78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塑料遥控器收纳盒，3格分区，ABS材质，抗摔，壁挂安装孔位，用于遥控器分类收纳保护</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F30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94A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r>
      <w:tr w14:paraId="576D6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076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83B80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液位控制器</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D105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AC220V液位控制器，探头耐水耐腐蚀，高低液位检测准确，继电器输出，外壳绝缘防尘，水池水箱液位自动控制</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63E6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94EE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75</w:t>
            </w:r>
          </w:p>
        </w:tc>
      </w:tr>
      <w:tr w14:paraId="46FE5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A0B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6965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医用脚轮</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596E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6寸医用活动刹车脚轮，TPR静音轮面，支架耐腐蚀，转动顺滑，适用于医疗设备推车承载</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C350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2B08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r>
      <w:tr w14:paraId="14339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0664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EA7FA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饮水管</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F79A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食品级饮水软管，2分规格，材质安全无毒，耐水压，抗老化，适配直饮水机水路管路</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8DD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米</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71D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4D132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FED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C9C4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饮水管胶水</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E42F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PVC饮水管路专用胶水，容量500g</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BF53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瓶</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EA6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r>
      <w:tr w14:paraId="7904B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742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DB2E9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饮水机球阀</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45C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3分饮水机专用球阀，阀体耐腐蚀，开关灵活，密封无渗水，适配直饮水机水路通断控制</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7E0F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0333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4B92D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1EF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FF8D6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饮水机水管</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BA20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食品级3分饮水管，耐水压，抗老化，适配饮水机内部及外接管路</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442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米</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B06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r>
      <w:tr w14:paraId="66AB4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969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B86EF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扎箍</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93C5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金属扎箍2寸，锁紧紧固牢靠，边缘无毛刺，防锈，用于软管管道抱紧固定</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71C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C73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w:t>
            </w:r>
          </w:p>
        </w:tc>
      </w:tr>
      <w:tr w14:paraId="25F83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FEE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96E01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闸阀</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A5D4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黄铜闸阀，6分规格，阀板启闭到位，螺纹规整，耐压≥1.0MPa，密封无渗漏，水暖管路通断控制</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678D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E974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r>
      <w:tr w14:paraId="176EA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74E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49E6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闸阀</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FDFF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DN65闸阀，铸铁/铜阀体，适用于给排水主管路通断，法兰或螺纹接口规整</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609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D27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w:t>
            </w:r>
          </w:p>
        </w:tc>
      </w:tr>
      <w:tr w14:paraId="4E4B1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3A4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9A66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闸阀</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E1C4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黄铜闸阀，4分规格，启闭操作灵活，螺纹完整，密封面平整，耐压≥1.0MPa，无砂眼气孔</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443A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C517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r>
      <w:tr w14:paraId="24F9B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52E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3E3BF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闸阀PPR</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45A4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PPR+铜芯闸阀，6分DN25，符合GB/T18742，可热熔连接，耐压≥1.2MPa，密封严实不漏水，适配PPR热水管路</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DBD5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7E2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w:t>
            </w:r>
          </w:p>
        </w:tc>
      </w:tr>
      <w:tr w14:paraId="22DC0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C749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5AF32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直阀</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6F8F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全铜4分直阀，陶瓷阀芯，耐压≥1.0MPa，防锈耐腐蚀，无滴漏，给水支路控制使用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F9EE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0FF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r>
      <w:tr w14:paraId="2E47F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61D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6896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直通</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C240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U变径直通50转32mm，无砂眼裂纹，粘接端面平整，耐压≥1.0MPa，用于不同管径管路对接</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937A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E45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r>
      <w:tr w14:paraId="1BB0F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EBA9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DC9DF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直通</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BFA9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U直通DN32，管件粘接口平整，无气泡缺陷，耐压≥1.0MPa，给排水管路对接使用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1D5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9C2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r>
      <w:tr w14:paraId="2A8FF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211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5A53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直通</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EF2D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U变径直通32mm转6分，粘接面平整，耐压≥1.0MPa，管路异径连接</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14D4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F2F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r>
      <w:tr w14:paraId="7BEB6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825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97FA8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轴承</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5D72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滚动轴承型号6305，轴承钢材质，转动顺滑，适用于电机、转动设备</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9043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F59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r>
      <w:tr w14:paraId="2BAF1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ECF6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7A055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自攻螺丝</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5FBA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碳钢沉头自攻螺丝，规格3.5mm×20mm，螺纹锋利，表面镀锌防锈，适用于板材、木构件紧固，一盒足量包装</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8EEE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盒</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ECF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r>
      <w:tr w14:paraId="16EDF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701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E45A6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自攻螺丝</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5226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碳钢沉头自攻螺丝，3.5mm×25mm，镀锌防锈，咬合板材牢固，维修安装紧固用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3E1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盒</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4100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r>
      <w:tr w14:paraId="466A7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826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88E7F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自攻螺丝</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9478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碳钢自攻螺丝，长度25mm，镀锌防锈，适配木材、薄金属板材紧固，包装整齐，不易混料</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7CA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盒</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10B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r>
      <w:tr w14:paraId="63BE0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2F32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9D5C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钻咀</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65D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加长冲击钻咀16mm×500mm，硬质合金刀头，排屑槽顺畅，用于混凝土深孔钻孔作业</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2959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支</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87C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w:t>
            </w:r>
          </w:p>
        </w:tc>
      </w:tr>
      <w:tr w14:paraId="01772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126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364</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186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钻头</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88E2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硬质合金陶瓷钻头，直径6mm，适用于瓷砖、陶瓷制品打孔作业</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610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支</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29E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r>
    </w:tbl>
    <w:p w14:paraId="6B275675">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default" w:ascii="仿宋_GB2312" w:hAnsi="仿宋_GB2312" w:eastAsia="仿宋_GB2312" w:cs="仿宋_GB2312"/>
          <w:color w:val="auto"/>
          <w:kern w:val="2"/>
          <w:sz w:val="28"/>
          <w:szCs w:val="28"/>
          <w:highlight w:val="none"/>
          <w:lang w:val="en-US" w:eastAsia="zh-CN" w:bidi="ar-SA"/>
        </w:rPr>
      </w:pPr>
      <w:r>
        <w:rPr>
          <w:rFonts w:hint="default" w:ascii="仿宋_GB2312" w:hAnsi="仿宋_GB2312" w:eastAsia="仿宋_GB2312" w:cs="仿宋_GB2312"/>
          <w:color w:val="auto"/>
          <w:kern w:val="2"/>
          <w:sz w:val="28"/>
          <w:szCs w:val="28"/>
          <w:highlight w:val="none"/>
          <w:lang w:val="en-US" w:eastAsia="zh-CN" w:bidi="ar-SA"/>
        </w:rPr>
        <w:t>核心产品说明：</w:t>
      </w:r>
    </w:p>
    <w:p w14:paraId="14B6F990">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default" w:ascii="仿宋_GB2312" w:hAnsi="仿宋_GB2312" w:eastAsia="仿宋_GB2312" w:cs="仿宋_GB2312"/>
          <w:color w:val="FF0000"/>
          <w:kern w:val="2"/>
          <w:sz w:val="28"/>
          <w:szCs w:val="28"/>
          <w:highlight w:val="none"/>
          <w:lang w:val="en-US" w:eastAsia="zh-CN" w:bidi="ar-SA"/>
        </w:rPr>
      </w:pPr>
      <w:r>
        <w:rPr>
          <w:rFonts w:hint="default" w:ascii="仿宋_GB2312" w:hAnsi="仿宋_GB2312" w:eastAsia="仿宋_GB2312" w:cs="仿宋_GB2312"/>
          <w:color w:val="auto"/>
          <w:kern w:val="2"/>
          <w:sz w:val="28"/>
          <w:szCs w:val="28"/>
          <w:highlight w:val="none"/>
          <w:lang w:val="en-US" w:eastAsia="zh-CN" w:bidi="ar-SA"/>
        </w:rPr>
        <w:t>本项目核心产品为</w:t>
      </w:r>
      <w:r>
        <w:rPr>
          <w:rFonts w:hint="default" w:ascii="仿宋_GB2312" w:hAnsi="仿宋_GB2312" w:eastAsia="仿宋_GB2312" w:cs="仿宋_GB2312"/>
          <w:b/>
          <w:bCs/>
          <w:color w:val="auto"/>
          <w:kern w:val="2"/>
          <w:sz w:val="28"/>
          <w:szCs w:val="28"/>
          <w:highlight w:val="none"/>
          <w:u w:val="single"/>
          <w:lang w:val="en-US" w:eastAsia="zh-CN" w:bidi="ar-SA"/>
        </w:rPr>
        <w:t>序号</w:t>
      </w:r>
      <w:r>
        <w:rPr>
          <w:rFonts w:hint="eastAsia" w:ascii="仿宋_GB2312" w:hAnsi="仿宋_GB2312" w:eastAsia="仿宋_GB2312" w:cs="仿宋_GB2312"/>
          <w:b/>
          <w:bCs/>
          <w:color w:val="auto"/>
          <w:kern w:val="2"/>
          <w:sz w:val="28"/>
          <w:szCs w:val="28"/>
          <w:highlight w:val="none"/>
          <w:u w:val="single"/>
          <w:lang w:val="en-US" w:eastAsia="zh-CN" w:bidi="ar-SA"/>
        </w:rPr>
        <w:t>10</w:t>
      </w:r>
      <w:r>
        <w:rPr>
          <w:rFonts w:hint="default" w:ascii="仿宋_GB2312" w:hAnsi="仿宋_GB2312" w:eastAsia="仿宋_GB2312" w:cs="仿宋_GB2312"/>
          <w:b/>
          <w:bCs/>
          <w:color w:val="auto"/>
          <w:kern w:val="2"/>
          <w:sz w:val="28"/>
          <w:szCs w:val="28"/>
          <w:highlight w:val="none"/>
          <w:u w:val="single"/>
          <w:lang w:val="en-US" w:eastAsia="zh-CN" w:bidi="ar-SA"/>
        </w:rPr>
        <w:t>“LED平板灯盘”</w:t>
      </w:r>
      <w:r>
        <w:rPr>
          <w:rFonts w:hint="default" w:ascii="仿宋_GB2312" w:hAnsi="仿宋_GB2312" w:eastAsia="仿宋_GB2312" w:cs="仿宋_GB2312"/>
          <w:color w:val="auto"/>
          <w:kern w:val="2"/>
          <w:sz w:val="28"/>
          <w:szCs w:val="28"/>
          <w:highlight w:val="none"/>
          <w:lang w:val="en-US" w:eastAsia="zh-CN" w:bidi="ar-SA"/>
        </w:rPr>
        <w:t>。</w:t>
      </w:r>
      <w:bookmarkStart w:id="0" w:name="OLE_LINK10"/>
      <w:r>
        <w:rPr>
          <w:rFonts w:hint="default" w:ascii="仿宋_GB2312" w:hAnsi="仿宋_GB2312" w:eastAsia="仿宋_GB2312" w:cs="仿宋_GB2312"/>
          <w:color w:val="auto"/>
          <w:kern w:val="2"/>
          <w:sz w:val="28"/>
          <w:szCs w:val="28"/>
          <w:highlight w:val="none"/>
          <w:lang w:val="en-US" w:eastAsia="zh-CN" w:bidi="ar-SA"/>
        </w:rPr>
        <w:t>如同时有两家或两家以上（均为制造商的合法代理商）通过资格审查及符合性审查的合格投标人所投核心产品为相同品牌的，按一家投标人计算。在此种情况下，评审后得分最高的同品牌投标人获得中标人推荐资格；评审得分相同的由报价相对最低的获得中标人推荐资格；评审得分及报价均相同的由技术部分评分相对最高的获得中标人推荐资格；以上均相同的由评标委员会采取随机抽取方式确定，其他同品牌投标人不作为中标候选人。</w:t>
      </w:r>
      <w:bookmarkEnd w:id="0"/>
    </w:p>
    <w:p w14:paraId="1E2C5795">
      <w:pPr>
        <w:keepNext w:val="0"/>
        <w:keepLines w:val="0"/>
        <w:pageBreakBefore w:val="0"/>
        <w:widowControl/>
        <w:numPr>
          <w:ilvl w:val="0"/>
          <w:numId w:val="0"/>
        </w:numPr>
        <w:shd w:val="clear"/>
        <w:kinsoku/>
        <w:wordWrap/>
        <w:overflowPunct/>
        <w:topLinePunct w:val="0"/>
        <w:autoSpaceDE/>
        <w:autoSpaceDN/>
        <w:bidi w:val="0"/>
        <w:adjustRightInd/>
        <w:snapToGrid/>
        <w:spacing w:line="560" w:lineRule="exact"/>
        <w:ind w:firstLine="560" w:firstLineChars="200"/>
        <w:jc w:val="left"/>
        <w:textAlignment w:val="auto"/>
        <w:rPr>
          <w:rFonts w:hint="eastAsia" w:ascii="楷体_GB2312" w:hAnsi="楷体_GB2312" w:eastAsia="楷体_GB2312" w:cs="楷体_GB2312"/>
          <w:color w:val="auto"/>
          <w:kern w:val="2"/>
          <w:sz w:val="28"/>
          <w:szCs w:val="28"/>
          <w:highlight w:val="none"/>
          <w:lang w:val="en-US" w:eastAsia="zh-CN" w:bidi="ar-SA"/>
        </w:rPr>
      </w:pPr>
      <w:r>
        <w:rPr>
          <w:rFonts w:hint="eastAsia" w:ascii="楷体_GB2312" w:hAnsi="楷体_GB2312" w:eastAsia="楷体_GB2312" w:cs="楷体_GB2312"/>
          <w:color w:val="auto"/>
          <w:kern w:val="2"/>
          <w:sz w:val="28"/>
          <w:szCs w:val="28"/>
          <w:highlight w:val="none"/>
          <w:lang w:val="en-US" w:eastAsia="zh-CN" w:bidi="ar-SA"/>
        </w:rPr>
        <w:t>（二）投标人资格及供货能力要求</w:t>
      </w:r>
    </w:p>
    <w:p w14:paraId="4C8DDF6D">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1.本项目接受具备国内贸易、商贸经营等经营范围的综合性供应商参与投标。</w:t>
      </w:r>
    </w:p>
    <w:p w14:paraId="4DC2D79A">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44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宋体" w:hAnsi="宋体" w:cs="宋体"/>
          <w:bCs/>
          <w:color w:val="auto"/>
          <w:sz w:val="22"/>
          <w:szCs w:val="22"/>
          <w:highlight w:val="none"/>
        </w:rPr>
        <w:t>★</w:t>
      </w:r>
      <w:r>
        <w:rPr>
          <w:rFonts w:hint="eastAsia" w:ascii="仿宋_GB2312" w:hAnsi="仿宋_GB2312" w:eastAsia="仿宋_GB2312" w:cs="仿宋_GB2312"/>
          <w:color w:val="auto"/>
          <w:kern w:val="2"/>
          <w:sz w:val="28"/>
          <w:szCs w:val="28"/>
          <w:highlight w:val="none"/>
          <w:lang w:val="en-US" w:eastAsia="zh-CN" w:bidi="ar-SA"/>
        </w:rPr>
        <w:t>2.</w:t>
      </w:r>
      <w:r>
        <w:rPr>
          <w:rFonts w:hint="eastAsia" w:ascii="仿宋_GB2312" w:hAnsi="仿宋_GB2312" w:eastAsia="仿宋_GB2312" w:cs="仿宋_GB2312"/>
          <w:color w:val="auto"/>
          <w:sz w:val="28"/>
          <w:szCs w:val="28"/>
          <w:highlight w:val="none"/>
        </w:rPr>
        <w:t>投标人提供的产品必须符合国家规定的相应强制标准。</w:t>
      </w:r>
      <w:r>
        <w:rPr>
          <w:rFonts w:hint="eastAsia" w:ascii="仿宋_GB2312" w:hAnsi="仿宋_GB2312" w:eastAsia="仿宋_GB2312" w:cs="仿宋_GB2312"/>
          <w:color w:val="auto"/>
          <w:kern w:val="2"/>
          <w:sz w:val="28"/>
          <w:szCs w:val="28"/>
          <w:highlight w:val="none"/>
          <w:lang w:val="en-US" w:eastAsia="zh-CN" w:bidi="ar-SA"/>
        </w:rPr>
        <w:t>具备覆盖全品类物资的合法稳定供应渠道，并独立承担全部供应、配送、售后及法律责任。投标人须出具书面《履约能力承诺函》（格式自拟，加盖公章），承诺内容包括但不限于：中标后所供全部产品</w:t>
      </w:r>
      <w:r>
        <w:rPr>
          <w:rFonts w:hint="eastAsia" w:ascii="仿宋_GB2312" w:hAnsi="仿宋_GB2312" w:eastAsia="仿宋_GB2312" w:cs="仿宋_GB2312"/>
          <w:color w:val="auto"/>
          <w:sz w:val="28"/>
          <w:szCs w:val="28"/>
          <w:highlight w:val="none"/>
        </w:rPr>
        <w:t>符合国家规定的相应强制标准</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kern w:val="2"/>
          <w:sz w:val="28"/>
          <w:szCs w:val="28"/>
          <w:highlight w:val="none"/>
          <w:lang w:val="en-US" w:eastAsia="zh-CN" w:bidi="ar-SA"/>
        </w:rPr>
        <w:t>来源合法、渠道正规、质量合格，并独立承担全部供应、配送、售后及由此产生的全部法律责任。（未提供承诺函的按无效投标处理）</w:t>
      </w:r>
    </w:p>
    <w:p w14:paraId="5F26497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kern w:val="2"/>
          <w:sz w:val="28"/>
          <w:szCs w:val="28"/>
          <w:lang w:val="en-US" w:eastAsia="zh-CN" w:bidi="ar-SA"/>
        </w:rPr>
        <w:t>3.</w:t>
      </w:r>
      <w:r>
        <w:rPr>
          <w:rFonts w:hint="eastAsia" w:ascii="仿宋_GB2312" w:hAnsi="仿宋_GB2312" w:eastAsia="仿宋_GB2312" w:cs="仿宋_GB2312"/>
          <w:bCs w:val="0"/>
          <w:color w:val="auto"/>
          <w:kern w:val="2"/>
          <w:sz w:val="28"/>
          <w:szCs w:val="28"/>
          <w:highlight w:val="none"/>
        </w:rPr>
        <w:t>签订合同后</w:t>
      </w:r>
      <w:r>
        <w:rPr>
          <w:rFonts w:hint="eastAsia" w:ascii="仿宋_GB2312" w:hAnsi="仿宋_GB2312" w:eastAsia="仿宋_GB2312" w:cs="仿宋_GB2312"/>
          <w:bCs w:val="0"/>
          <w:color w:val="auto"/>
          <w:kern w:val="2"/>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采购人提出采购需求下单，</w:t>
      </w:r>
      <w:r>
        <w:rPr>
          <w:rFonts w:hint="eastAsia" w:ascii="仿宋_GB2312" w:hAnsi="仿宋_GB2312" w:eastAsia="仿宋_GB2312" w:cs="仿宋_GB2312"/>
          <w:bCs w:val="0"/>
          <w:color w:val="auto"/>
          <w:kern w:val="2"/>
          <w:sz w:val="28"/>
          <w:szCs w:val="28"/>
          <w:highlight w:val="none"/>
          <w:lang w:val="en-US" w:eastAsia="zh-CN"/>
        </w:rPr>
        <w:t>成品</w:t>
      </w:r>
      <w:r>
        <w:rPr>
          <w:rFonts w:hint="eastAsia" w:ascii="仿宋_GB2312" w:hAnsi="仿宋_GB2312" w:eastAsia="仿宋_GB2312" w:cs="仿宋_GB2312"/>
          <w:b w:val="0"/>
          <w:bCs w:val="0"/>
          <w:color w:val="auto"/>
          <w:kern w:val="2"/>
          <w:sz w:val="28"/>
          <w:szCs w:val="28"/>
          <w:highlight w:val="none"/>
          <w:lang w:val="en-US" w:eastAsia="zh-CN"/>
        </w:rPr>
        <w:t>2</w:t>
      </w:r>
      <w:r>
        <w:rPr>
          <w:rFonts w:hint="eastAsia" w:ascii="仿宋_GB2312" w:hAnsi="仿宋_GB2312" w:eastAsia="仿宋_GB2312" w:cs="仿宋_GB2312"/>
          <w:bCs w:val="0"/>
          <w:color w:val="auto"/>
          <w:kern w:val="2"/>
          <w:sz w:val="28"/>
          <w:szCs w:val="28"/>
          <w:highlight w:val="none"/>
          <w:lang w:val="en-US" w:eastAsia="zh-CN"/>
        </w:rPr>
        <w:t>个工作日</w:t>
      </w:r>
      <w:r>
        <w:rPr>
          <w:rFonts w:hint="eastAsia" w:ascii="仿宋_GB2312" w:hAnsi="仿宋_GB2312" w:eastAsia="仿宋_GB2312" w:cs="仿宋_GB2312"/>
          <w:bCs w:val="0"/>
          <w:color w:val="auto"/>
          <w:kern w:val="2"/>
          <w:sz w:val="28"/>
          <w:szCs w:val="28"/>
          <w:highlight w:val="none"/>
        </w:rPr>
        <w:t>内送达</w:t>
      </w:r>
      <w:r>
        <w:rPr>
          <w:rFonts w:hint="eastAsia" w:ascii="仿宋_GB2312" w:hAnsi="仿宋_GB2312" w:eastAsia="仿宋_GB2312" w:cs="仿宋_GB2312"/>
          <w:bCs w:val="0"/>
          <w:color w:val="auto"/>
          <w:kern w:val="2"/>
          <w:sz w:val="28"/>
          <w:szCs w:val="28"/>
          <w:highlight w:val="none"/>
          <w:lang w:eastAsia="zh-CN"/>
        </w:rPr>
        <w:t>，</w:t>
      </w:r>
      <w:r>
        <w:rPr>
          <w:rFonts w:hint="eastAsia" w:ascii="仿宋_GB2312" w:hAnsi="仿宋_GB2312" w:eastAsia="仿宋_GB2312" w:cs="仿宋_GB2312"/>
          <w:bCs w:val="0"/>
          <w:color w:val="auto"/>
          <w:kern w:val="2"/>
          <w:sz w:val="28"/>
          <w:szCs w:val="28"/>
          <w:highlight w:val="none"/>
          <w:lang w:val="en-US" w:eastAsia="zh-CN"/>
        </w:rPr>
        <w:t>最迟不超过</w:t>
      </w:r>
      <w:r>
        <w:rPr>
          <w:rFonts w:hint="eastAsia" w:ascii="仿宋_GB2312" w:hAnsi="仿宋_GB2312" w:eastAsia="仿宋_GB2312" w:cs="仿宋_GB2312"/>
          <w:b w:val="0"/>
          <w:bCs w:val="0"/>
          <w:color w:val="auto"/>
          <w:kern w:val="2"/>
          <w:sz w:val="28"/>
          <w:szCs w:val="28"/>
          <w:highlight w:val="none"/>
          <w:lang w:val="en-US" w:eastAsia="zh-CN"/>
        </w:rPr>
        <w:t>5</w:t>
      </w:r>
      <w:r>
        <w:rPr>
          <w:rFonts w:hint="eastAsia" w:ascii="仿宋_GB2312" w:hAnsi="仿宋_GB2312" w:eastAsia="仿宋_GB2312" w:cs="仿宋_GB2312"/>
          <w:bCs w:val="0"/>
          <w:color w:val="auto"/>
          <w:kern w:val="2"/>
          <w:sz w:val="28"/>
          <w:szCs w:val="28"/>
          <w:highlight w:val="none"/>
          <w:lang w:val="en-US" w:eastAsia="zh-CN"/>
        </w:rPr>
        <w:t>个工作日</w:t>
      </w:r>
      <w:r>
        <w:rPr>
          <w:rFonts w:hint="eastAsia" w:ascii="仿宋_GB2312" w:hAnsi="仿宋_GB2312" w:eastAsia="仿宋_GB2312" w:cs="仿宋_GB2312"/>
          <w:bCs w:val="0"/>
          <w:color w:val="auto"/>
          <w:kern w:val="2"/>
          <w:sz w:val="28"/>
          <w:szCs w:val="28"/>
          <w:highlight w:val="none"/>
        </w:rPr>
        <w:t>。</w:t>
      </w:r>
      <w:r>
        <w:rPr>
          <w:rFonts w:hint="eastAsia" w:ascii="仿宋_GB2312" w:hAnsi="仿宋_GB2312" w:eastAsia="仿宋_GB2312" w:cs="仿宋_GB2312"/>
          <w:color w:val="auto"/>
          <w:sz w:val="28"/>
          <w:szCs w:val="28"/>
          <w:highlight w:val="none"/>
          <w:lang w:val="en-US" w:eastAsia="zh-CN"/>
        </w:rPr>
        <w:t>按照采购人的</w:t>
      </w:r>
      <w:r>
        <w:rPr>
          <w:rFonts w:hint="eastAsia" w:ascii="仿宋_GB2312" w:hAnsi="仿宋_GB2312" w:eastAsia="仿宋_GB2312" w:cs="仿宋_GB2312"/>
          <w:bCs w:val="0"/>
          <w:color w:val="auto"/>
          <w:kern w:val="2"/>
          <w:sz w:val="28"/>
          <w:szCs w:val="28"/>
          <w:highlight w:val="none"/>
        </w:rPr>
        <w:t>采购需求数量，做到分批分次不定时送货</w:t>
      </w:r>
      <w:r>
        <w:rPr>
          <w:rFonts w:hint="eastAsia" w:ascii="仿宋_GB2312" w:hAnsi="仿宋_GB2312" w:eastAsia="仿宋_GB2312" w:cs="仿宋_GB2312"/>
          <w:color w:val="auto"/>
          <w:sz w:val="28"/>
          <w:szCs w:val="28"/>
          <w:highlight w:val="none"/>
          <w:lang w:val="en-US" w:eastAsia="zh-CN"/>
        </w:rPr>
        <w:t>，</w:t>
      </w:r>
      <w:r>
        <w:rPr>
          <w:rFonts w:hint="eastAsia" w:ascii="仿宋_GB2312" w:hAnsi="仿宋_GB2312" w:eastAsia="仿宋_GB2312" w:cs="仿宋_GB2312"/>
          <w:color w:val="auto"/>
          <w:kern w:val="2"/>
          <w:sz w:val="28"/>
          <w:szCs w:val="28"/>
          <w:highlight w:val="none"/>
        </w:rPr>
        <w:t>中标方负责把货物免费运送至采购</w:t>
      </w:r>
      <w:r>
        <w:rPr>
          <w:rFonts w:hint="eastAsia" w:ascii="仿宋_GB2312" w:hAnsi="仿宋_GB2312" w:eastAsia="仿宋_GB2312" w:cs="仿宋_GB2312"/>
          <w:color w:val="auto"/>
          <w:kern w:val="2"/>
          <w:sz w:val="28"/>
          <w:szCs w:val="28"/>
          <w:highlight w:val="none"/>
          <w:lang w:eastAsia="zh-CN"/>
        </w:rPr>
        <w:t>人</w:t>
      </w:r>
      <w:r>
        <w:rPr>
          <w:rFonts w:hint="eastAsia" w:ascii="仿宋_GB2312" w:hAnsi="仿宋_GB2312" w:eastAsia="仿宋_GB2312" w:cs="仿宋_GB2312"/>
          <w:color w:val="auto"/>
          <w:kern w:val="2"/>
          <w:sz w:val="28"/>
          <w:szCs w:val="28"/>
          <w:highlight w:val="none"/>
        </w:rPr>
        <w:t>指定地点</w:t>
      </w:r>
      <w:r>
        <w:rPr>
          <w:rFonts w:hint="eastAsia" w:ascii="仿宋_GB2312" w:hAnsi="仿宋_GB2312" w:eastAsia="仿宋_GB2312" w:cs="仿宋_GB2312"/>
          <w:color w:val="auto"/>
          <w:kern w:val="2"/>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否则一切后果由中标人负责。</w:t>
      </w:r>
    </w:p>
    <w:p w14:paraId="58EEFDFD">
      <w:pPr>
        <w:pStyle w:val="32"/>
        <w:tabs>
          <w:tab w:val="left" w:pos="426"/>
        </w:tabs>
        <w:spacing w:line="360" w:lineRule="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4.中标方</w:t>
      </w:r>
      <w:r>
        <w:rPr>
          <w:rFonts w:hint="eastAsia" w:ascii="仿宋_GB2312" w:hAnsi="仿宋_GB2312" w:eastAsia="仿宋_GB2312" w:cs="仿宋_GB2312"/>
          <w:color w:val="auto"/>
          <w:kern w:val="2"/>
          <w:sz w:val="28"/>
          <w:szCs w:val="28"/>
          <w:highlight w:val="none"/>
        </w:rPr>
        <w:t>交货时要提供货物明细单一式</w:t>
      </w:r>
      <w:r>
        <w:rPr>
          <w:rFonts w:hint="eastAsia" w:ascii="仿宋_GB2312" w:hAnsi="仿宋_GB2312" w:eastAsia="仿宋_GB2312" w:cs="仿宋_GB2312"/>
          <w:color w:val="auto"/>
          <w:kern w:val="2"/>
          <w:sz w:val="28"/>
          <w:szCs w:val="28"/>
          <w:highlight w:val="none"/>
          <w:lang w:val="en-US" w:eastAsia="zh-CN"/>
        </w:rPr>
        <w:t>叁</w:t>
      </w:r>
      <w:r>
        <w:rPr>
          <w:rFonts w:hint="eastAsia" w:ascii="仿宋_GB2312" w:hAnsi="仿宋_GB2312" w:eastAsia="仿宋_GB2312" w:cs="仿宋_GB2312"/>
          <w:color w:val="auto"/>
          <w:kern w:val="2"/>
          <w:sz w:val="28"/>
          <w:szCs w:val="28"/>
          <w:highlight w:val="none"/>
        </w:rPr>
        <w:t>份</w:t>
      </w:r>
      <w:r>
        <w:rPr>
          <w:rFonts w:hint="eastAsia" w:ascii="仿宋_GB2312" w:hAnsi="仿宋_GB2312" w:eastAsia="仿宋_GB2312" w:cs="仿宋_GB2312"/>
          <w:color w:val="auto"/>
          <w:kern w:val="2"/>
          <w:sz w:val="28"/>
          <w:szCs w:val="28"/>
          <w:highlight w:val="none"/>
          <w:lang w:eastAsia="zh-CN"/>
        </w:rPr>
        <w:t>，</w:t>
      </w:r>
      <w:r>
        <w:rPr>
          <w:rFonts w:hint="eastAsia" w:ascii="仿宋_GB2312" w:hAnsi="仿宋_GB2312" w:eastAsia="仿宋_GB2312" w:cs="仿宋_GB2312"/>
          <w:color w:val="auto"/>
          <w:kern w:val="2"/>
          <w:sz w:val="28"/>
          <w:szCs w:val="28"/>
          <w:highlight w:val="none"/>
        </w:rPr>
        <w:t>明细清单应注明货物名称</w:t>
      </w:r>
      <w:r>
        <w:rPr>
          <w:rFonts w:hint="eastAsia" w:ascii="仿宋_GB2312" w:hAnsi="仿宋_GB2312" w:eastAsia="仿宋_GB2312" w:cs="仿宋_GB2312"/>
          <w:color w:val="auto"/>
          <w:kern w:val="2"/>
          <w:sz w:val="28"/>
          <w:szCs w:val="28"/>
          <w:highlight w:val="none"/>
          <w:lang w:eastAsia="zh-CN"/>
        </w:rPr>
        <w:t>、</w:t>
      </w:r>
      <w:r>
        <w:rPr>
          <w:rFonts w:hint="eastAsia" w:ascii="仿宋_GB2312" w:hAnsi="仿宋_GB2312" w:eastAsia="仿宋_GB2312" w:cs="仿宋_GB2312"/>
          <w:color w:val="auto"/>
          <w:kern w:val="2"/>
          <w:sz w:val="28"/>
          <w:szCs w:val="28"/>
          <w:highlight w:val="none"/>
        </w:rPr>
        <w:t>数量</w:t>
      </w:r>
      <w:r>
        <w:rPr>
          <w:rFonts w:hint="eastAsia" w:ascii="仿宋_GB2312" w:hAnsi="仿宋_GB2312" w:eastAsia="仿宋_GB2312" w:cs="仿宋_GB2312"/>
          <w:color w:val="auto"/>
          <w:kern w:val="2"/>
          <w:sz w:val="28"/>
          <w:szCs w:val="28"/>
          <w:highlight w:val="none"/>
          <w:lang w:eastAsia="zh-CN"/>
        </w:rPr>
        <w:t>、</w:t>
      </w:r>
      <w:r>
        <w:rPr>
          <w:rFonts w:hint="eastAsia" w:ascii="仿宋_GB2312" w:hAnsi="仿宋_GB2312" w:eastAsia="仿宋_GB2312" w:cs="仿宋_GB2312"/>
          <w:color w:val="auto"/>
          <w:kern w:val="2"/>
          <w:sz w:val="28"/>
          <w:szCs w:val="28"/>
          <w:highlight w:val="none"/>
          <w:lang w:val="en-US" w:eastAsia="zh-CN"/>
        </w:rPr>
        <w:t>价格、总价等</w:t>
      </w:r>
      <w:r>
        <w:rPr>
          <w:rFonts w:hint="eastAsia" w:ascii="仿宋_GB2312" w:hAnsi="仿宋_GB2312" w:eastAsia="仿宋_GB2312" w:cs="仿宋_GB2312"/>
          <w:color w:val="auto"/>
          <w:kern w:val="2"/>
          <w:sz w:val="28"/>
          <w:szCs w:val="28"/>
          <w:highlight w:val="none"/>
        </w:rPr>
        <w:t>。</w:t>
      </w:r>
      <w:r>
        <w:rPr>
          <w:rFonts w:hint="eastAsia" w:ascii="仿宋_GB2312" w:hAnsi="仿宋_GB2312" w:eastAsia="仿宋_GB2312" w:cs="仿宋_GB2312"/>
          <w:bCs w:val="0"/>
          <w:color w:val="auto"/>
          <w:sz w:val="28"/>
          <w:szCs w:val="28"/>
          <w:highlight w:val="none"/>
          <w:lang w:eastAsia="zh-CN"/>
        </w:rPr>
        <w:t>中标</w:t>
      </w:r>
      <w:r>
        <w:rPr>
          <w:rFonts w:hint="eastAsia" w:ascii="仿宋_GB2312" w:hAnsi="仿宋_GB2312" w:eastAsia="仿宋_GB2312" w:cs="仿宋_GB2312"/>
          <w:bCs w:val="0"/>
          <w:color w:val="auto"/>
          <w:sz w:val="28"/>
          <w:szCs w:val="28"/>
          <w:highlight w:val="none"/>
          <w:lang w:val="en-US" w:eastAsia="zh-CN"/>
        </w:rPr>
        <w:t>人</w:t>
      </w:r>
      <w:r>
        <w:rPr>
          <w:rFonts w:hint="eastAsia" w:ascii="仿宋_GB2312" w:hAnsi="仿宋_GB2312" w:eastAsia="仿宋_GB2312" w:cs="仿宋_GB2312"/>
          <w:color w:val="auto"/>
          <w:kern w:val="2"/>
          <w:sz w:val="28"/>
          <w:szCs w:val="28"/>
          <w:highlight w:val="none"/>
        </w:rPr>
        <w:t>所提供的货物</w:t>
      </w:r>
      <w:r>
        <w:rPr>
          <w:rFonts w:hint="eastAsia" w:ascii="仿宋_GB2312" w:hAnsi="仿宋_GB2312" w:eastAsia="仿宋_GB2312" w:cs="仿宋_GB2312"/>
          <w:color w:val="auto"/>
          <w:kern w:val="2"/>
          <w:sz w:val="28"/>
          <w:szCs w:val="28"/>
          <w:highlight w:val="none"/>
          <w:lang w:val="en-US" w:eastAsia="zh-CN"/>
        </w:rPr>
        <w:t>应符合现行国家标准，保证产品质量，质量三包，</w:t>
      </w:r>
      <w:r>
        <w:rPr>
          <w:rFonts w:hint="eastAsia" w:ascii="仿宋_GB2312" w:hAnsi="仿宋_GB2312" w:eastAsia="仿宋_GB2312" w:cs="仿宋_GB2312"/>
          <w:color w:val="auto"/>
          <w:kern w:val="2"/>
          <w:sz w:val="28"/>
          <w:szCs w:val="28"/>
          <w:highlight w:val="none"/>
        </w:rPr>
        <w:t>必须与</w:t>
      </w:r>
      <w:r>
        <w:rPr>
          <w:rFonts w:hint="eastAsia" w:ascii="仿宋_GB2312" w:hAnsi="仿宋_GB2312" w:eastAsia="仿宋_GB2312" w:cs="仿宋_GB2312"/>
          <w:color w:val="auto"/>
          <w:kern w:val="2"/>
          <w:sz w:val="28"/>
          <w:szCs w:val="28"/>
          <w:highlight w:val="none"/>
          <w:lang w:val="en-US" w:eastAsia="zh-CN"/>
        </w:rPr>
        <w:t>采购人</w:t>
      </w:r>
      <w:r>
        <w:rPr>
          <w:rFonts w:hint="eastAsia" w:ascii="仿宋_GB2312" w:hAnsi="仿宋_GB2312" w:eastAsia="仿宋_GB2312" w:cs="仿宋_GB2312"/>
          <w:color w:val="auto"/>
          <w:kern w:val="2"/>
          <w:sz w:val="28"/>
          <w:szCs w:val="28"/>
          <w:highlight w:val="none"/>
        </w:rPr>
        <w:t>下单规格型号一致，否则</w:t>
      </w:r>
      <w:r>
        <w:rPr>
          <w:rFonts w:hint="eastAsia" w:ascii="仿宋_GB2312" w:hAnsi="仿宋_GB2312" w:eastAsia="仿宋_GB2312" w:cs="仿宋_GB2312"/>
          <w:color w:val="auto"/>
          <w:kern w:val="2"/>
          <w:sz w:val="28"/>
          <w:szCs w:val="28"/>
          <w:highlight w:val="none"/>
          <w:lang w:val="en-US" w:eastAsia="zh-CN"/>
        </w:rPr>
        <w:t>采购人</w:t>
      </w:r>
      <w:r>
        <w:rPr>
          <w:rFonts w:hint="eastAsia" w:ascii="仿宋_GB2312" w:hAnsi="仿宋_GB2312" w:eastAsia="仿宋_GB2312" w:cs="仿宋_GB2312"/>
          <w:color w:val="auto"/>
          <w:kern w:val="2"/>
          <w:sz w:val="28"/>
          <w:szCs w:val="28"/>
          <w:highlight w:val="none"/>
        </w:rPr>
        <w:t>有权拒收货。</w:t>
      </w:r>
      <w:r>
        <w:rPr>
          <w:rFonts w:hint="eastAsia" w:ascii="仿宋_GB2312" w:hAnsi="仿宋_GB2312" w:eastAsia="仿宋_GB2312" w:cs="仿宋_GB2312"/>
          <w:bCs w:val="0"/>
          <w:color w:val="auto"/>
          <w:sz w:val="28"/>
          <w:szCs w:val="28"/>
          <w:highlight w:val="none"/>
        </w:rPr>
        <w:t>提供的产品质量不符合双方约定或者有瑕疵、缺陷的，</w:t>
      </w:r>
      <w:r>
        <w:rPr>
          <w:rFonts w:hint="eastAsia" w:ascii="仿宋_GB2312" w:hAnsi="仿宋_GB2312" w:eastAsia="仿宋_GB2312" w:cs="仿宋_GB2312"/>
          <w:bCs w:val="0"/>
          <w:color w:val="auto"/>
          <w:sz w:val="28"/>
          <w:szCs w:val="28"/>
          <w:highlight w:val="none"/>
          <w:lang w:eastAsia="zh-CN"/>
        </w:rPr>
        <w:t>中标方</w:t>
      </w:r>
      <w:r>
        <w:rPr>
          <w:rFonts w:hint="eastAsia" w:ascii="仿宋_GB2312" w:hAnsi="仿宋_GB2312" w:eastAsia="仿宋_GB2312" w:cs="仿宋_GB2312"/>
          <w:bCs w:val="0"/>
          <w:color w:val="auto"/>
          <w:sz w:val="28"/>
          <w:szCs w:val="28"/>
          <w:highlight w:val="none"/>
        </w:rPr>
        <w:t>应承担包括但不限于退换货等违约责任，并赔偿因此给</w:t>
      </w:r>
      <w:r>
        <w:rPr>
          <w:rFonts w:hint="eastAsia" w:ascii="仿宋_GB2312" w:hAnsi="仿宋_GB2312" w:eastAsia="仿宋_GB2312" w:cs="仿宋_GB2312"/>
          <w:bCs w:val="0"/>
          <w:color w:val="auto"/>
          <w:sz w:val="28"/>
          <w:szCs w:val="28"/>
          <w:highlight w:val="none"/>
          <w:lang w:eastAsia="zh-CN"/>
        </w:rPr>
        <w:t>采购人</w:t>
      </w:r>
      <w:r>
        <w:rPr>
          <w:rFonts w:hint="eastAsia" w:ascii="仿宋_GB2312" w:hAnsi="仿宋_GB2312" w:eastAsia="仿宋_GB2312" w:cs="仿宋_GB2312"/>
          <w:bCs w:val="0"/>
          <w:color w:val="auto"/>
          <w:sz w:val="28"/>
          <w:szCs w:val="28"/>
          <w:highlight w:val="none"/>
        </w:rPr>
        <w:t>造成的全部损失。</w:t>
      </w:r>
    </w:p>
    <w:p w14:paraId="43921E5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5.</w:t>
      </w:r>
      <w:r>
        <w:rPr>
          <w:rFonts w:hint="default" w:ascii="仿宋_GB2312" w:hAnsi="仿宋_GB2312" w:eastAsia="仿宋_GB2312" w:cs="仿宋_GB2312"/>
          <w:color w:val="auto"/>
          <w:kern w:val="2"/>
          <w:sz w:val="28"/>
          <w:szCs w:val="28"/>
          <w:highlight w:val="none"/>
          <w:lang w:val="en-US" w:eastAsia="zh-CN" w:bidi="ar-SA"/>
        </w:rPr>
        <w:t>本《采购货物清单》旨在为投标人理解本项目采购范围、产品规格及进行报价提供基础和参考。采购人保留在合同期内根据实际需求，在本项目采购品类及最高限价范围内调整具体产品款式、规格细节等内容的权利，最终以采购人下达的实际订单为准。</w:t>
      </w:r>
    </w:p>
    <w:p w14:paraId="40DA680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lang w:val="en-US" w:eastAsia="zh-CN" w:bidi="ar-SA"/>
        </w:rPr>
        <w:t>6</w:t>
      </w:r>
      <w:r>
        <w:rPr>
          <w:rFonts w:hint="default" w:ascii="仿宋_GB2312" w:hAnsi="仿宋_GB2312" w:eastAsia="仿宋_GB2312" w:cs="仿宋_GB2312"/>
          <w:color w:val="auto"/>
          <w:kern w:val="2"/>
          <w:sz w:val="28"/>
          <w:szCs w:val="28"/>
          <w:lang w:val="en-US" w:eastAsia="zh-CN" w:bidi="ar-SA"/>
        </w:rPr>
        <w:t>.</w:t>
      </w:r>
      <w:r>
        <w:rPr>
          <w:rFonts w:hint="default" w:ascii="仿宋_GB2312" w:hAnsi="仿宋_GB2312" w:eastAsia="仿宋_GB2312" w:cs="仿宋_GB2312"/>
          <w:color w:val="auto"/>
          <w:kern w:val="2"/>
          <w:sz w:val="28"/>
          <w:szCs w:val="28"/>
          <w:highlight w:val="none"/>
          <w:lang w:val="en-US" w:eastAsia="zh-CN" w:bidi="ar-SA"/>
        </w:rPr>
        <w:t>合同期内，如采购人需要取消清单中某一品类的采购，</w:t>
      </w:r>
      <w:r>
        <w:rPr>
          <w:rFonts w:hint="eastAsia" w:ascii="仿宋_GB2312" w:hAnsi="仿宋_GB2312" w:eastAsia="仿宋_GB2312" w:cs="仿宋_GB2312"/>
          <w:color w:val="auto"/>
          <w:kern w:val="2"/>
          <w:sz w:val="28"/>
          <w:szCs w:val="28"/>
          <w:highlight w:val="none"/>
          <w:lang w:val="en-US" w:eastAsia="zh-CN" w:bidi="ar-SA"/>
        </w:rPr>
        <w:t>可</w:t>
      </w:r>
      <w:r>
        <w:rPr>
          <w:rFonts w:hint="default" w:ascii="仿宋_GB2312" w:hAnsi="仿宋_GB2312" w:eastAsia="仿宋_GB2312" w:cs="仿宋_GB2312"/>
          <w:color w:val="auto"/>
          <w:kern w:val="2"/>
          <w:sz w:val="28"/>
          <w:szCs w:val="28"/>
          <w:highlight w:val="none"/>
          <w:lang w:val="en-US" w:eastAsia="zh-CN" w:bidi="ar-SA"/>
        </w:rPr>
        <w:t>提前3个工作日书面通知中标人，中标人不得以此为由要求采购人承担违约责任或补偿。</w:t>
      </w:r>
    </w:p>
    <w:p w14:paraId="6FE50FC4">
      <w:pPr>
        <w:keepLines w:val="0"/>
        <w:pageBreakBefore w:val="0"/>
        <w:widowControl/>
        <w:numPr>
          <w:ilvl w:val="0"/>
          <w:numId w:val="0"/>
        </w:numPr>
        <w:kinsoku/>
        <w:wordWrap/>
        <w:overflowPunct/>
        <w:topLinePunct w:val="0"/>
        <w:bidi w:val="0"/>
        <w:spacing w:line="560" w:lineRule="exact"/>
        <w:ind w:leftChars="0" w:firstLine="560" w:firstLineChars="200"/>
        <w:jc w:val="left"/>
        <w:rPr>
          <w:rFonts w:hint="eastAsia" w:ascii="楷体_GB2312" w:hAnsi="楷体_GB2312" w:eastAsia="楷体_GB2312" w:cs="楷体_GB2312"/>
          <w:b w:val="0"/>
          <w:bCs w:val="0"/>
          <w:color w:val="auto"/>
          <w:sz w:val="28"/>
          <w:szCs w:val="28"/>
          <w:highlight w:val="none"/>
          <w:lang w:val="en-US" w:eastAsia="zh-CN"/>
        </w:rPr>
      </w:pPr>
      <w:r>
        <w:rPr>
          <w:rFonts w:hint="eastAsia" w:ascii="楷体_GB2312" w:hAnsi="楷体_GB2312" w:eastAsia="楷体_GB2312" w:cs="楷体_GB2312"/>
          <w:b w:val="0"/>
          <w:bCs w:val="0"/>
          <w:color w:val="auto"/>
          <w:sz w:val="28"/>
          <w:szCs w:val="28"/>
          <w:highlight w:val="none"/>
          <w:lang w:val="en-US" w:eastAsia="zh-CN"/>
        </w:rPr>
        <w:t>（三）商务要求</w:t>
      </w:r>
    </w:p>
    <w:p w14:paraId="4EA04EA9">
      <w:pPr>
        <w:pStyle w:val="27"/>
        <w:keepNext w:val="0"/>
        <w:keepLines w:val="0"/>
        <w:pageBreakBefore w:val="0"/>
        <w:kinsoku/>
        <w:wordWrap/>
        <w:overflowPunct/>
        <w:topLinePunct w:val="0"/>
        <w:bidi w:val="0"/>
        <w:spacing w:line="360" w:lineRule="auto"/>
        <w:ind w:firstLine="560" w:firstLineChars="200"/>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b w:val="0"/>
          <w:bCs w:val="0"/>
          <w:color w:val="auto"/>
          <w:sz w:val="28"/>
          <w:szCs w:val="28"/>
          <w:highlight w:val="none"/>
        </w:rPr>
        <w:t>★</w:t>
      </w:r>
      <w:r>
        <w:rPr>
          <w:rFonts w:hint="eastAsia" w:ascii="仿宋_GB2312" w:hAnsi="仿宋_GB2312" w:eastAsia="仿宋_GB2312" w:cs="仿宋_GB2312"/>
          <w:b w:val="0"/>
          <w:bCs w:val="0"/>
          <w:color w:val="auto"/>
          <w:sz w:val="28"/>
          <w:szCs w:val="28"/>
          <w:highlight w:val="none"/>
          <w:lang w:val="en-US" w:eastAsia="zh-CN"/>
        </w:rPr>
        <w:t>1.服务</w:t>
      </w:r>
      <w:r>
        <w:rPr>
          <w:rFonts w:hint="eastAsia" w:ascii="仿宋_GB2312" w:hAnsi="仿宋_GB2312" w:eastAsia="仿宋_GB2312" w:cs="仿宋_GB2312"/>
          <w:b w:val="0"/>
          <w:bCs w:val="0"/>
          <w:color w:val="auto"/>
          <w:sz w:val="28"/>
          <w:szCs w:val="28"/>
          <w:highlight w:val="none"/>
          <w:lang w:eastAsia="zh-CN"/>
        </w:rPr>
        <w:t>期</w:t>
      </w:r>
      <w:r>
        <w:rPr>
          <w:rFonts w:hint="eastAsia" w:ascii="仿宋_GB2312" w:hAnsi="仿宋_GB2312" w:eastAsia="仿宋_GB2312" w:cs="仿宋_GB2312"/>
          <w:b w:val="0"/>
          <w:bCs w:val="0"/>
          <w:color w:val="auto"/>
          <w:sz w:val="28"/>
          <w:szCs w:val="28"/>
          <w:highlight w:val="none"/>
          <w:lang w:val="en-US" w:eastAsia="zh-CN"/>
        </w:rPr>
        <w:t>限</w:t>
      </w:r>
      <w:r>
        <w:rPr>
          <w:rFonts w:hint="eastAsia" w:ascii="仿宋_GB2312" w:hAnsi="仿宋_GB2312" w:eastAsia="仿宋_GB2312" w:cs="仿宋_GB2312"/>
          <w:b w:val="0"/>
          <w:bCs w:val="0"/>
          <w:color w:val="auto"/>
          <w:sz w:val="28"/>
          <w:szCs w:val="28"/>
          <w:highlight w:val="none"/>
          <w:lang w:eastAsia="zh-CN"/>
        </w:rPr>
        <w:t>：</w:t>
      </w:r>
      <w:r>
        <w:rPr>
          <w:rFonts w:hint="default" w:ascii="仿宋_GB2312" w:hAnsi="仿宋_GB2312" w:eastAsia="仿宋_GB2312" w:cs="仿宋_GB2312"/>
          <w:color w:val="auto"/>
          <w:kern w:val="2"/>
          <w:sz w:val="28"/>
          <w:szCs w:val="28"/>
          <w:highlight w:val="none"/>
          <w:lang w:val="en-US" w:eastAsia="zh-CN" w:bidi="ar-SA"/>
        </w:rPr>
        <w:t>本项目服务期限为1年。第一年为本次招标的中标服务期限，若合同履行结束后，采购人根据合同内容和招投标文件（供应商的资质、货物的详细技术参数符合程度等）进行履约评价，项目履约评价为“良好”及以上、供应商相关资质、信用情况审核合格，经双方协商同意可续签，但总体合同履行期限最长不得超过二十四个月。</w:t>
      </w:r>
    </w:p>
    <w:p w14:paraId="057DB6E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b w:val="0"/>
          <w:bCs w:val="0"/>
          <w:color w:val="auto"/>
          <w:sz w:val="28"/>
          <w:szCs w:val="28"/>
          <w:highlight w:val="none"/>
        </w:rPr>
      </w:pPr>
      <w:r>
        <w:rPr>
          <w:rFonts w:hint="default" w:ascii="仿宋_GB2312" w:hAnsi="仿宋_GB2312" w:eastAsia="仿宋_GB2312" w:cs="仿宋_GB2312"/>
          <w:b w:val="0"/>
          <w:bCs w:val="0"/>
          <w:color w:val="auto"/>
          <w:sz w:val="28"/>
          <w:szCs w:val="28"/>
          <w:highlight w:val="none"/>
          <w:lang w:val="en-US" w:eastAsia="zh-CN"/>
        </w:rPr>
        <w:t>2.</w:t>
      </w:r>
      <w:r>
        <w:rPr>
          <w:rFonts w:hint="default" w:ascii="仿宋_GB2312" w:hAnsi="仿宋_GB2312" w:eastAsia="仿宋_GB2312" w:cs="仿宋_GB2312"/>
          <w:b w:val="0"/>
          <w:bCs w:val="0"/>
          <w:color w:val="auto"/>
          <w:sz w:val="28"/>
          <w:szCs w:val="28"/>
          <w:highlight w:val="none"/>
        </w:rPr>
        <w:t>交货地点：深圳</w:t>
      </w:r>
      <w:r>
        <w:rPr>
          <w:rFonts w:hint="default" w:ascii="仿宋_GB2312" w:hAnsi="仿宋_GB2312" w:eastAsia="仿宋_GB2312" w:cs="仿宋_GB2312"/>
          <w:b w:val="0"/>
          <w:bCs w:val="0"/>
          <w:color w:val="auto"/>
          <w:sz w:val="28"/>
          <w:szCs w:val="28"/>
          <w:highlight w:val="none"/>
          <w:lang w:val="en-US" w:eastAsia="zh-CN"/>
        </w:rPr>
        <w:t>市</w:t>
      </w:r>
      <w:r>
        <w:rPr>
          <w:rFonts w:hint="default" w:ascii="仿宋_GB2312" w:hAnsi="仿宋_GB2312" w:eastAsia="仿宋_GB2312" w:cs="仿宋_GB2312"/>
          <w:b w:val="0"/>
          <w:bCs w:val="0"/>
          <w:color w:val="auto"/>
          <w:sz w:val="28"/>
          <w:szCs w:val="28"/>
          <w:highlight w:val="none"/>
        </w:rPr>
        <w:t>龙岗区</w:t>
      </w:r>
      <w:r>
        <w:rPr>
          <w:rFonts w:hint="default" w:ascii="仿宋_GB2312" w:hAnsi="仿宋_GB2312" w:eastAsia="仿宋_GB2312" w:cs="仿宋_GB2312"/>
          <w:b w:val="0"/>
          <w:bCs w:val="0"/>
          <w:color w:val="auto"/>
          <w:sz w:val="28"/>
          <w:szCs w:val="28"/>
          <w:highlight w:val="none"/>
          <w:lang w:val="en-US" w:eastAsia="zh-CN"/>
        </w:rPr>
        <w:t>第七</w:t>
      </w:r>
      <w:r>
        <w:rPr>
          <w:rFonts w:hint="default" w:ascii="仿宋_GB2312" w:hAnsi="仿宋_GB2312" w:eastAsia="仿宋_GB2312" w:cs="仿宋_GB2312"/>
          <w:b w:val="0"/>
          <w:bCs w:val="0"/>
          <w:color w:val="auto"/>
          <w:sz w:val="28"/>
          <w:szCs w:val="28"/>
          <w:highlight w:val="none"/>
        </w:rPr>
        <w:t>人民医院</w:t>
      </w:r>
      <w:r>
        <w:rPr>
          <w:rFonts w:hint="default" w:ascii="仿宋_GB2312" w:hAnsi="仿宋_GB2312" w:eastAsia="仿宋_GB2312" w:cs="仿宋_GB2312"/>
          <w:b w:val="0"/>
          <w:bCs w:val="0"/>
          <w:color w:val="auto"/>
          <w:sz w:val="28"/>
          <w:szCs w:val="28"/>
          <w:highlight w:val="none"/>
          <w:lang w:val="en-US" w:eastAsia="zh-CN"/>
        </w:rPr>
        <w:t>指定地点</w:t>
      </w:r>
      <w:r>
        <w:rPr>
          <w:rFonts w:hint="default" w:ascii="仿宋_GB2312" w:hAnsi="仿宋_GB2312" w:eastAsia="仿宋_GB2312" w:cs="仿宋_GB2312"/>
          <w:b w:val="0"/>
          <w:bCs w:val="0"/>
          <w:color w:val="auto"/>
          <w:sz w:val="28"/>
          <w:szCs w:val="28"/>
          <w:highlight w:val="none"/>
        </w:rPr>
        <w:t>。</w:t>
      </w:r>
    </w:p>
    <w:p w14:paraId="1D28CF46">
      <w:pPr>
        <w:snapToGrid w:val="0"/>
        <w:spacing w:line="560" w:lineRule="exact"/>
        <w:ind w:firstLine="560" w:firstLineChars="200"/>
        <w:rPr>
          <w:rFonts w:hint="default" w:ascii="仿宋_GB2312" w:hAnsi="仿宋_GB2312" w:eastAsia="仿宋_GB2312" w:cs="仿宋_GB2312"/>
          <w:b w:val="0"/>
          <w:bCs w:val="0"/>
          <w:color w:val="auto"/>
          <w:sz w:val="28"/>
          <w:szCs w:val="28"/>
          <w:highlight w:val="none"/>
          <w:lang w:val="en-US"/>
        </w:rPr>
      </w:pPr>
      <w:r>
        <w:rPr>
          <w:rFonts w:hint="eastAsia" w:ascii="仿宋_GB2312" w:hAnsi="仿宋_GB2312" w:eastAsia="仿宋_GB2312" w:cs="仿宋_GB2312"/>
          <w:b w:val="0"/>
          <w:bCs w:val="0"/>
          <w:color w:val="auto"/>
          <w:sz w:val="28"/>
          <w:szCs w:val="28"/>
          <w:highlight w:val="none"/>
          <w:lang w:val="en-US" w:eastAsia="zh-CN"/>
        </w:rPr>
        <w:t>3.</w:t>
      </w:r>
      <w:r>
        <w:rPr>
          <w:rFonts w:hint="default" w:ascii="仿宋_GB2312" w:hAnsi="仿宋_GB2312" w:eastAsia="仿宋_GB2312" w:cs="仿宋_GB2312"/>
          <w:b w:val="0"/>
          <w:bCs w:val="0"/>
          <w:color w:val="auto"/>
          <w:sz w:val="28"/>
          <w:szCs w:val="28"/>
          <w:highlight w:val="none"/>
        </w:rPr>
        <w:t>付款方式：</w:t>
      </w:r>
      <w:r>
        <w:rPr>
          <w:rFonts w:hint="default" w:ascii="仿宋_GB2312" w:hAnsi="仿宋_GB2312" w:eastAsia="仿宋_GB2312" w:cs="仿宋_GB2312"/>
          <w:color w:val="auto"/>
          <w:kern w:val="2"/>
          <w:sz w:val="28"/>
          <w:szCs w:val="28"/>
          <w:highlight w:val="none"/>
          <w:lang w:val="en-US" w:eastAsia="zh-CN" w:bidi="ar-SA"/>
        </w:rPr>
        <w:t>以转账方式、分批付款，每月底双方共同核对当月实际送货量，经采购人确认无误后</w:t>
      </w:r>
      <w:r>
        <w:rPr>
          <w:rFonts w:hint="eastAsia" w:ascii="仿宋_GB2312" w:hAnsi="仿宋_GB2312" w:eastAsia="仿宋_GB2312" w:cs="仿宋_GB2312"/>
          <w:color w:val="auto"/>
          <w:sz w:val="28"/>
          <w:szCs w:val="28"/>
          <w:highlight w:val="none"/>
          <w:lang w:val="en-US" w:eastAsia="zh-CN"/>
        </w:rPr>
        <w:t>并</w:t>
      </w:r>
      <w:r>
        <w:rPr>
          <w:rFonts w:hint="eastAsia" w:ascii="仿宋_GB2312" w:hAnsi="仿宋_GB2312" w:eastAsia="仿宋_GB2312" w:cs="仿宋_GB2312"/>
          <w:color w:val="auto"/>
          <w:kern w:val="2"/>
          <w:sz w:val="28"/>
          <w:szCs w:val="28"/>
          <w:highlight w:val="none"/>
          <w:lang w:val="en-US" w:eastAsia="zh-CN" w:bidi="ar-SA"/>
        </w:rPr>
        <w:t>收到</w:t>
      </w:r>
      <w:r>
        <w:rPr>
          <w:rFonts w:hint="default" w:ascii="仿宋_GB2312" w:hAnsi="仿宋_GB2312" w:eastAsia="仿宋_GB2312" w:cs="仿宋_GB2312"/>
          <w:color w:val="auto"/>
          <w:kern w:val="2"/>
          <w:sz w:val="28"/>
          <w:szCs w:val="28"/>
          <w:highlight w:val="none"/>
          <w:lang w:val="en-US" w:eastAsia="zh-CN" w:bidi="ar-SA"/>
        </w:rPr>
        <w:t>有效等额合规发票及相关凭证资料（送货单、验收单等）</w:t>
      </w:r>
      <w:r>
        <w:rPr>
          <w:rFonts w:hint="eastAsia" w:ascii="仿宋_GB2312" w:hAnsi="仿宋_GB2312" w:eastAsia="仿宋_GB2312" w:cs="仿宋_GB2312"/>
          <w:color w:val="auto"/>
          <w:kern w:val="2"/>
          <w:sz w:val="28"/>
          <w:szCs w:val="28"/>
          <w:highlight w:val="none"/>
          <w:lang w:val="en-US" w:eastAsia="zh-CN" w:bidi="ar-SA"/>
        </w:rPr>
        <w:t>后</w:t>
      </w:r>
      <w:r>
        <w:rPr>
          <w:rFonts w:hint="default" w:ascii="仿宋_GB2312" w:hAnsi="仿宋_GB2312" w:eastAsia="仿宋_GB2312" w:cs="仿宋_GB2312"/>
          <w:color w:val="auto"/>
          <w:kern w:val="2"/>
          <w:sz w:val="28"/>
          <w:szCs w:val="28"/>
          <w:highlight w:val="none"/>
          <w:lang w:val="en-US" w:eastAsia="zh-CN" w:bidi="ar-SA"/>
        </w:rPr>
        <w:t>，</w:t>
      </w:r>
      <w:r>
        <w:rPr>
          <w:rFonts w:hint="eastAsia" w:ascii="仿宋_GB2312" w:hAnsi="仿宋_GB2312" w:eastAsia="仿宋_GB2312" w:cs="仿宋_GB2312"/>
          <w:color w:val="auto"/>
          <w:kern w:val="2"/>
          <w:sz w:val="28"/>
          <w:szCs w:val="28"/>
          <w:highlight w:val="none"/>
          <w:lang w:val="en-US" w:eastAsia="zh-CN" w:bidi="ar-SA"/>
        </w:rPr>
        <w:t>10个工作日内</w:t>
      </w:r>
      <w:r>
        <w:rPr>
          <w:rFonts w:hint="default" w:ascii="仿宋_GB2312" w:hAnsi="仿宋_GB2312" w:eastAsia="仿宋_GB2312" w:cs="仿宋_GB2312"/>
          <w:color w:val="auto"/>
          <w:kern w:val="2"/>
          <w:sz w:val="28"/>
          <w:szCs w:val="28"/>
          <w:highlight w:val="none"/>
          <w:lang w:val="en-US" w:eastAsia="zh-CN" w:bidi="ar-SA"/>
        </w:rPr>
        <w:t>支付到中标人指定账户，如因财政审批程序导致采购人付款延迟的，采购人不承担违约责任。</w:t>
      </w:r>
    </w:p>
    <w:p w14:paraId="4B10CD8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4.</w:t>
      </w:r>
      <w:r>
        <w:rPr>
          <w:rFonts w:hint="eastAsia" w:ascii="仿宋_GB2312" w:hAnsi="仿宋_GB2312" w:eastAsia="仿宋_GB2312" w:cs="仿宋_GB2312"/>
          <w:color w:val="auto"/>
          <w:sz w:val="28"/>
          <w:szCs w:val="28"/>
          <w:highlight w:val="none"/>
        </w:rPr>
        <w:t>报价模式：本项目采用“折扣率报价法”。采购人随招标文件一并发布附有基准单价的《采购货物清单》，投标人须根据该清单中各项物资的基准单价，结合自身成本及市场因素，报出一个统一的折扣率（%），折扣率须</w:t>
      </w: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rPr>
        <w:t>精确到百分比小数点后两位（如：85.00%）。折扣率在合同履行期内固定不变，不因任何因素调整。</w:t>
      </w:r>
    </w:p>
    <w:p w14:paraId="565081A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报价范围：投标人所报折扣率须涵盖完成本项目全部物资供应所需的一切费用，包括但不限于：货物本身价款、包装费、运输费、装卸费、保险费、售后服务费、利润、税金及合同明示或暗示的所有责任、义务和风险等全部费用。投标人应充分考虑报价风险，中标后不得以任何理由要求追加费用或调整折扣率。</w:t>
      </w:r>
    </w:p>
    <w:p w14:paraId="0A7B129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结算公式：各项物资结算单价=该物资基准单价×中标折扣率</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结算总价=</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各项物资结算单价×实际验收合格数量</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之和。</w:t>
      </w:r>
    </w:p>
    <w:p w14:paraId="7B94BD4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结算方式：合同最终结算金额按实际交付验收合格的物资种类及数量，依据上述结算单价据实结算</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实际结算总金额不得超过</w:t>
      </w:r>
      <w:r>
        <w:rPr>
          <w:rFonts w:hint="eastAsia" w:ascii="仿宋_GB2312" w:hAnsi="仿宋_GB2312" w:eastAsia="仿宋_GB2312" w:cs="仿宋_GB2312"/>
          <w:color w:val="auto"/>
          <w:sz w:val="28"/>
          <w:szCs w:val="28"/>
          <w:highlight w:val="none"/>
          <w:lang w:val="en-US" w:eastAsia="zh-CN"/>
        </w:rPr>
        <w:t>本项目最高限价150000</w:t>
      </w:r>
      <w:r>
        <w:rPr>
          <w:rFonts w:hint="eastAsia" w:ascii="仿宋_GB2312" w:hAnsi="仿宋_GB2312" w:eastAsia="仿宋_GB2312" w:cs="仿宋_GB2312"/>
          <w:color w:val="auto"/>
          <w:sz w:val="28"/>
          <w:szCs w:val="28"/>
          <w:highlight w:val="none"/>
        </w:rPr>
        <w:t>.00元。</w:t>
      </w:r>
    </w:p>
    <w:p w14:paraId="34C1B94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rPr>
        <w:t>★</w:t>
      </w:r>
      <w:r>
        <w:rPr>
          <w:rFonts w:hint="eastAsia" w:ascii="仿宋_GB2312" w:hAnsi="仿宋_GB2312" w:eastAsia="仿宋_GB2312" w:cs="仿宋_GB2312"/>
          <w:color w:val="auto"/>
          <w:sz w:val="28"/>
          <w:szCs w:val="28"/>
          <w:highlight w:val="none"/>
          <w:lang w:val="en-US" w:eastAsia="zh-CN"/>
        </w:rPr>
        <w:t>5.运输及包装要求</w:t>
      </w:r>
    </w:p>
    <w:p w14:paraId="0F067E1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（1）中标人负责把货物免费运送至采购人指定地点（深圳市内）。</w:t>
      </w:r>
    </w:p>
    <w:p w14:paraId="7ED9033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（2）中标人交货时要提供货物明细单一式两份，明细清单应注明货物名称、到货数量、规格、供货日期等信息。</w:t>
      </w:r>
    </w:p>
    <w:p w14:paraId="43F3E59F">
      <w:pPr>
        <w:keepLines w:val="0"/>
        <w:pageBreakBefore w:val="0"/>
        <w:widowControl/>
        <w:numPr>
          <w:ilvl w:val="-1"/>
          <w:numId w:val="0"/>
        </w:numPr>
        <w:kinsoku/>
        <w:wordWrap/>
        <w:overflowPunct/>
        <w:topLinePunct w:val="0"/>
        <w:bidi w:val="0"/>
        <w:spacing w:line="560" w:lineRule="exact"/>
        <w:ind w:leftChars="0" w:firstLine="560" w:firstLineChars="200"/>
        <w:rPr>
          <w:rFonts w:hint="eastAsia" w:ascii="楷体_GB2312" w:hAnsi="楷体_GB2312" w:eastAsia="楷体_GB2312" w:cs="楷体_GB2312"/>
          <w:b w:val="0"/>
          <w:bCs w:val="0"/>
          <w:color w:val="auto"/>
          <w:sz w:val="28"/>
          <w:szCs w:val="28"/>
          <w:highlight w:val="none"/>
          <w:lang w:val="en-US" w:eastAsia="zh-CN"/>
        </w:rPr>
      </w:pPr>
      <w:r>
        <w:rPr>
          <w:rFonts w:hint="eastAsia" w:ascii="楷体_GB2312" w:hAnsi="楷体_GB2312" w:eastAsia="楷体_GB2312" w:cs="楷体_GB2312"/>
          <w:b w:val="0"/>
          <w:bCs w:val="0"/>
          <w:color w:val="auto"/>
          <w:sz w:val="28"/>
          <w:szCs w:val="28"/>
          <w:highlight w:val="none"/>
          <w:lang w:val="en-US" w:eastAsia="zh-CN"/>
        </w:rPr>
        <w:t>6.验收及售后服务</w:t>
      </w:r>
    </w:p>
    <w:p w14:paraId="6392BDD8">
      <w:pPr>
        <w:pStyle w:val="27"/>
        <w:keepNext w:val="0"/>
        <w:keepLines w:val="0"/>
        <w:pageBreakBefore w:val="0"/>
        <w:kinsoku/>
        <w:wordWrap/>
        <w:overflowPunct/>
        <w:topLinePunct w:val="0"/>
        <w:bidi w:val="0"/>
        <w:spacing w:line="360" w:lineRule="auto"/>
        <w:ind w:firstLine="560" w:firstLineChars="20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kern w:val="2"/>
          <w:sz w:val="28"/>
          <w:szCs w:val="28"/>
          <w:highlight w:val="none"/>
          <w:lang w:val="en-US" w:eastAsia="zh-CN" w:bidi="ar-SA"/>
        </w:rPr>
        <w:t>按照合同以及由仓库验收员负责。货物抵达指定地点后，验收人员根据采购内容的实际情况，查验各项随货单据、送货单/备货单等是否齐全，验收员在验收过程中应进行外观检查，查看是否存在型号不相符、进水、破损、变形等质量问题。如发现数量不符、破损时，应当及时替换处理。查验合格后由验收员在送货单上签名并签章，送货单应有一联留存备查。</w:t>
      </w:r>
    </w:p>
    <w:p w14:paraId="5DF820F1">
      <w:pPr>
        <w:pStyle w:val="27"/>
        <w:keepNext w:val="0"/>
        <w:keepLines w:val="0"/>
        <w:pageBreakBefore w:val="0"/>
        <w:kinsoku/>
        <w:wordWrap/>
        <w:overflowPunct/>
        <w:topLinePunct w:val="0"/>
        <w:bidi w:val="0"/>
        <w:spacing w:line="360" w:lineRule="auto"/>
        <w:ind w:firstLine="560" w:firstLineChars="20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kern w:val="2"/>
          <w:sz w:val="28"/>
          <w:szCs w:val="28"/>
          <w:highlight w:val="none"/>
          <w:lang w:val="en-US" w:eastAsia="zh-CN" w:bidi="ar-SA"/>
        </w:rPr>
        <w:t>中标供应商配送的货物在质保期内如存在质量问题，供应商应在3个工作日内完成处理，并无条件退货。由于供应商的原因，未按照协议约定配送产品的，采购人有权要求中标人按照配送产品费用的5%支付违约金，并赔偿甲方由此受到的损失。</w:t>
      </w:r>
    </w:p>
    <w:p w14:paraId="194A4DE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b w:val="0"/>
          <w:bCs w:val="0"/>
          <w:color w:val="auto"/>
          <w:sz w:val="28"/>
          <w:szCs w:val="28"/>
          <w:highlight w:val="none"/>
          <w:lang w:val="en-US" w:eastAsia="zh-CN"/>
        </w:rPr>
        <w:t>任何时候，中标人均不能免除因产品本身的缺陷所应负的责任，中标人有义务对所提供的货物进行维护或更换。</w:t>
      </w:r>
    </w:p>
    <w:p w14:paraId="1E5D3CC9">
      <w:pPr>
        <w:pStyle w:val="27"/>
        <w:keepNext w:val="0"/>
        <w:keepLines w:val="0"/>
        <w:pageBreakBefore w:val="0"/>
        <w:numPr>
          <w:ilvl w:val="0"/>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b w:val="0"/>
          <w:bCs w:val="0"/>
          <w:color w:val="auto"/>
          <w:kern w:val="2"/>
          <w:sz w:val="28"/>
          <w:szCs w:val="28"/>
          <w:highlight w:val="none"/>
          <w:lang w:val="en-US" w:eastAsia="zh-CN" w:bidi="ar-SA"/>
        </w:rPr>
        <w:t>中标人提供售后服务，根据采购人的需求提供售后服务。中标人交付的货物应当完全符合招投标文件所规定、订单约定的货物、数量、质量和规格要求。中标人提供的货物不符合招投标文件和订单规定的，采购人有权拒收货物，由此引起的损失及责任，由中标人承担。</w:t>
      </w:r>
    </w:p>
    <w:p w14:paraId="02074D1D">
      <w:pPr>
        <w:pStyle w:val="27"/>
        <w:keepNext w:val="0"/>
        <w:keepLines w:val="0"/>
        <w:pageBreakBefore w:val="0"/>
        <w:numPr>
          <w:ilvl w:val="0"/>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rPr>
        <w:t>（5）</w:t>
      </w:r>
      <w:r>
        <w:rPr>
          <w:rFonts w:hint="eastAsia" w:ascii="仿宋_GB2312" w:hAnsi="仿宋_GB2312" w:eastAsia="仿宋_GB2312" w:cs="仿宋_GB2312"/>
          <w:b w:val="0"/>
          <w:bCs w:val="0"/>
          <w:color w:val="auto"/>
          <w:kern w:val="2"/>
          <w:sz w:val="28"/>
          <w:szCs w:val="28"/>
          <w:highlight w:val="none"/>
          <w:lang w:val="en-US" w:eastAsia="zh-CN" w:bidi="ar-SA"/>
        </w:rPr>
        <w:t>必须是达到国家标准或行业标准，具备出厂合格证的无表面划损、无任何缺陷的全新原装产品且无任何侵权行为。</w:t>
      </w:r>
    </w:p>
    <w:p w14:paraId="18A0176B">
      <w:pPr>
        <w:pStyle w:val="27"/>
        <w:keepNext w:val="0"/>
        <w:keepLines w:val="0"/>
        <w:pageBreakBefore w:val="0"/>
        <w:numPr>
          <w:ilvl w:val="0"/>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rPr>
        <w:t>（6）</w:t>
      </w:r>
      <w:r>
        <w:rPr>
          <w:rFonts w:hint="eastAsia" w:ascii="仿宋_GB2312" w:hAnsi="仿宋_GB2312" w:eastAsia="仿宋_GB2312" w:cs="仿宋_GB2312"/>
          <w:b w:val="0"/>
          <w:bCs w:val="0"/>
          <w:color w:val="auto"/>
          <w:kern w:val="2"/>
          <w:sz w:val="28"/>
          <w:szCs w:val="28"/>
          <w:highlight w:val="none"/>
          <w:lang w:val="en-US" w:eastAsia="zh-CN" w:bidi="ar-SA"/>
        </w:rPr>
        <w:t>采购人在中国使用该货物或货物的任何一部分时，免受第三方提出的侵犯其专利权、商标权或工业设计权等知识产权的起诉或司法干预。如果发生上诉起诉或干预，则其法律责任均由中标人负责。</w:t>
      </w:r>
    </w:p>
    <w:p w14:paraId="184294CC">
      <w:pPr>
        <w:pStyle w:val="27"/>
        <w:keepNext w:val="0"/>
        <w:keepLines w:val="0"/>
        <w:pageBreakBefore w:val="0"/>
        <w:numPr>
          <w:ilvl w:val="0"/>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b w:val="0"/>
          <w:bCs w:val="0"/>
          <w:color w:val="auto"/>
          <w:kern w:val="2"/>
          <w:sz w:val="28"/>
          <w:szCs w:val="28"/>
          <w:highlight w:val="none"/>
          <w:lang w:val="en-US" w:eastAsia="zh-CN" w:bidi="ar-SA"/>
        </w:rPr>
        <w:t>提供的供货清单检验产品合格证、使用说明和其他的技术资料、检查产品及附件须完整无损，符合要求。如有损坏、缺件等情况，中标人自行负责。</w:t>
      </w:r>
    </w:p>
    <w:p w14:paraId="340FD8AE">
      <w:pPr>
        <w:pStyle w:val="27"/>
        <w:keepNext w:val="0"/>
        <w:keepLines w:val="0"/>
        <w:pageBreakBefore w:val="0"/>
        <w:numPr>
          <w:ilvl w:val="0"/>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rPr>
        <w:t>（8）</w:t>
      </w:r>
      <w:r>
        <w:rPr>
          <w:rFonts w:hint="eastAsia" w:ascii="仿宋_GB2312" w:hAnsi="仿宋_GB2312" w:eastAsia="仿宋_GB2312" w:cs="仿宋_GB2312"/>
          <w:b w:val="0"/>
          <w:bCs w:val="0"/>
          <w:color w:val="auto"/>
          <w:kern w:val="2"/>
          <w:sz w:val="28"/>
          <w:szCs w:val="28"/>
          <w:highlight w:val="none"/>
          <w:lang w:val="en-US" w:eastAsia="zh-CN" w:bidi="ar-SA"/>
        </w:rPr>
        <w:t>货物送达采购人指定地点后，采购人立即进行现场验收。</w:t>
      </w:r>
    </w:p>
    <w:p w14:paraId="5262C585">
      <w:pPr>
        <w:pStyle w:val="27"/>
        <w:keepNext w:val="0"/>
        <w:keepLines w:val="0"/>
        <w:pageBreakBefore w:val="0"/>
        <w:numPr>
          <w:ilvl w:val="0"/>
          <w:numId w:val="0"/>
        </w:numPr>
        <w:kinsoku/>
        <w:wordWrap/>
        <w:overflowPunct/>
        <w:topLinePunct w:val="0"/>
        <w:autoSpaceDE/>
        <w:autoSpaceDN/>
        <w:bidi w:val="0"/>
        <w:snapToGrid/>
        <w:spacing w:line="560" w:lineRule="exact"/>
        <w:ind w:firstLine="560" w:firstLineChars="200"/>
        <w:textAlignment w:val="auto"/>
        <w:rPr>
          <w:rFonts w:hint="default" w:ascii="仿宋_GB2312" w:hAnsi="仿宋_GB2312" w:eastAsia="仿宋_GB2312" w:cs="仿宋_GB2312"/>
          <w:b w:val="0"/>
          <w:bCs w:val="0"/>
          <w:color w:val="auto"/>
          <w:kern w:val="2"/>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rPr>
        <w:t>（9）</w:t>
      </w:r>
      <w:r>
        <w:rPr>
          <w:rFonts w:hint="eastAsia" w:ascii="仿宋_GB2312" w:hAnsi="仿宋_GB2312" w:eastAsia="仿宋_GB2312" w:cs="仿宋_GB2312"/>
          <w:b w:val="0"/>
          <w:bCs w:val="0"/>
          <w:color w:val="auto"/>
          <w:kern w:val="2"/>
          <w:sz w:val="28"/>
          <w:szCs w:val="28"/>
          <w:highlight w:val="none"/>
          <w:lang w:val="en-US" w:eastAsia="zh-CN" w:bidi="ar-SA"/>
        </w:rPr>
        <w:t>产品应符合货物采购合同的技术要求，如没有提及适用标准，则应符合中华人民共和国国家标准或行业标准，如果中华人民共和国没有相关标准的，则采用货物来源国适用的官方标准。这些标准必须是有关机构发布的最新版本的标准。</w:t>
      </w:r>
    </w:p>
    <w:p w14:paraId="7DCA19BF">
      <w:pPr>
        <w:pStyle w:val="39"/>
        <w:spacing w:line="360" w:lineRule="auto"/>
        <w:rPr>
          <w:rFonts w:hint="eastAsia" w:ascii="楷体_GB2312" w:hAnsi="楷体_GB2312" w:eastAsia="楷体_GB2312" w:cs="楷体_GB2312"/>
          <w:b w:val="0"/>
          <w:bCs w:val="0"/>
          <w:color w:val="auto"/>
          <w:kern w:val="2"/>
          <w:sz w:val="28"/>
          <w:szCs w:val="28"/>
          <w:highlight w:val="none"/>
          <w:lang w:val="en-US" w:eastAsia="zh-CN" w:bidi="ar-SA"/>
        </w:rPr>
      </w:pPr>
      <w:r>
        <w:rPr>
          <w:rFonts w:hint="eastAsia" w:ascii="楷体_GB2312" w:hAnsi="楷体_GB2312" w:eastAsia="楷体_GB2312" w:cs="楷体_GB2312"/>
          <w:b w:val="0"/>
          <w:bCs w:val="0"/>
          <w:color w:val="auto"/>
          <w:kern w:val="2"/>
          <w:sz w:val="28"/>
          <w:szCs w:val="28"/>
          <w:highlight w:val="none"/>
          <w:lang w:val="en-US" w:eastAsia="zh-CN" w:bidi="ar-SA"/>
        </w:rPr>
        <w:t>7.违约责任</w:t>
      </w:r>
    </w:p>
    <w:p w14:paraId="595F6197">
      <w:pPr>
        <w:pStyle w:val="39"/>
        <w:spacing w:line="360" w:lineRule="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仿宋_GB2312" w:hAnsi="仿宋_GB2312" w:eastAsia="仿宋_GB2312" w:cs="仿宋_GB2312"/>
          <w:b w:val="0"/>
          <w:bCs w:val="0"/>
          <w:color w:val="auto"/>
          <w:kern w:val="2"/>
          <w:sz w:val="28"/>
          <w:szCs w:val="28"/>
          <w:highlight w:val="none"/>
          <w:lang w:val="en-US" w:eastAsia="zh-CN" w:bidi="ar-SA"/>
        </w:rPr>
        <w:t>（1）中标人未能按合同约定的时间供货的，每逾期一日，应按合同总金额的0.05%向采购人支付违约金；逾期超过3日的，采购人有权单方解除合同，并要求中标人赔偿损失。</w:t>
      </w:r>
    </w:p>
    <w:p w14:paraId="060688FF">
      <w:pPr>
        <w:pStyle w:val="39"/>
        <w:spacing w:line="360" w:lineRule="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仿宋_GB2312" w:hAnsi="仿宋_GB2312" w:eastAsia="仿宋_GB2312" w:cs="仿宋_GB2312"/>
          <w:b w:val="0"/>
          <w:bCs w:val="0"/>
          <w:color w:val="auto"/>
          <w:kern w:val="2"/>
          <w:sz w:val="28"/>
          <w:szCs w:val="28"/>
          <w:highlight w:val="none"/>
          <w:lang w:val="en-US" w:eastAsia="zh-CN" w:bidi="ar-SA"/>
        </w:rPr>
        <w:t>（2）中标人须无条件接受采购人在供货过程中的监督。如发现中标人无能力完成该批货物供货、用料、工艺不符合技术规范要求、有外包现象、生产不能按计划进行等，采购人有权废标或中止合同，由此带来的损失由中标人自负，并报政府采购主管部门进行相应处罚。</w:t>
      </w:r>
    </w:p>
    <w:p w14:paraId="280A9444">
      <w:pPr>
        <w:pStyle w:val="39"/>
        <w:spacing w:line="360" w:lineRule="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仿宋_GB2312" w:hAnsi="仿宋_GB2312" w:eastAsia="仿宋_GB2312" w:cs="仿宋_GB2312"/>
          <w:b w:val="0"/>
          <w:bCs w:val="0"/>
          <w:color w:val="auto"/>
          <w:kern w:val="2"/>
          <w:sz w:val="28"/>
          <w:szCs w:val="28"/>
          <w:highlight w:val="none"/>
          <w:lang w:val="en-US" w:eastAsia="zh-CN" w:bidi="ar-SA"/>
        </w:rPr>
        <w:t>（3）中标人交付的货物经采购人验收发现不符合招标文件技术、质量标准要求的，采购人有权拒收该批次不合格货物，并书面通知中标人。中标人应在收到通知后48小时内将合格货物免费更换、补货送达采购人指定地点，相关费用由中标人承担。中标人逾期未更换、补货或更换、补货后仍不合格的，采购人有权自行或委托第三方进行处理，由此产生的费用由中标人承担，并有权从未支付的合同款项中直接扣除。</w:t>
      </w:r>
    </w:p>
    <w:p w14:paraId="39D91E6E">
      <w:pPr>
        <w:pStyle w:val="39"/>
        <w:spacing w:line="360" w:lineRule="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仿宋_GB2312" w:hAnsi="仿宋_GB2312" w:eastAsia="仿宋_GB2312" w:cs="仿宋_GB2312"/>
          <w:b w:val="0"/>
          <w:bCs w:val="0"/>
          <w:color w:val="auto"/>
          <w:kern w:val="2"/>
          <w:sz w:val="28"/>
          <w:szCs w:val="28"/>
          <w:highlight w:val="none"/>
          <w:lang w:val="en-US" w:eastAsia="zh-CN" w:bidi="ar-SA"/>
        </w:rPr>
        <w:t>（4）整批货物出现不合格数量达到该批次交付总数10%时，视为整批货物不合格，采购人有权拒收整批货物，由此造成采购人无法按时配置的，中标人必须向采购人赔偿因此造成的一切损失，采购人同时有权单方解除合同并追究中标人违约责任。</w:t>
      </w:r>
    </w:p>
    <w:p w14:paraId="10832D3F">
      <w:pPr>
        <w:pStyle w:val="39"/>
        <w:spacing w:line="360" w:lineRule="auto"/>
        <w:rPr>
          <w:rFonts w:hint="eastAsia" w:ascii="楷体_GB2312" w:hAnsi="楷体_GB2312" w:eastAsia="楷体_GB2312" w:cs="楷体_GB2312"/>
          <w:b w:val="0"/>
          <w:bCs w:val="0"/>
          <w:color w:val="auto"/>
          <w:kern w:val="2"/>
          <w:sz w:val="28"/>
          <w:szCs w:val="28"/>
          <w:highlight w:val="none"/>
          <w:lang w:val="en-US" w:eastAsia="zh-CN" w:bidi="ar-SA"/>
        </w:rPr>
      </w:pPr>
      <w:r>
        <w:rPr>
          <w:rFonts w:hint="eastAsia" w:ascii="楷体_GB2312" w:hAnsi="楷体_GB2312" w:eastAsia="楷体_GB2312" w:cs="楷体_GB2312"/>
          <w:b w:val="0"/>
          <w:bCs w:val="0"/>
          <w:color w:val="auto"/>
          <w:kern w:val="2"/>
          <w:sz w:val="28"/>
          <w:szCs w:val="28"/>
          <w:highlight w:val="none"/>
          <w:lang w:val="en-US" w:eastAsia="zh-CN" w:bidi="ar-SA"/>
        </w:rPr>
        <w:t>8.签订合同</w:t>
      </w:r>
    </w:p>
    <w:p w14:paraId="5EA688C6">
      <w:pPr>
        <w:pStyle w:val="39"/>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采购人和中标人应当自中标通知书发出之日起十个工作日内，按照招标文件和中标人的投标文件订立书面合同。</w:t>
      </w:r>
    </w:p>
    <w:p w14:paraId="434085CB">
      <w:pPr>
        <w:pStyle w:val="27"/>
        <w:keepNext w:val="0"/>
        <w:keepLines w:val="0"/>
        <w:pageBreakBefore w:val="0"/>
        <w:numPr>
          <w:ilvl w:val="-1"/>
          <w:numId w:val="0"/>
        </w:numPr>
        <w:kinsoku/>
        <w:wordWrap/>
        <w:overflowPunct/>
        <w:topLinePunct w:val="0"/>
        <w:autoSpaceDE/>
        <w:autoSpaceDN/>
        <w:bidi w:val="0"/>
        <w:snapToGrid/>
        <w:spacing w:line="560" w:lineRule="exact"/>
        <w:textAlignment w:val="auto"/>
        <w:rPr>
          <w:rFonts w:hint="eastAsia" w:ascii="仿宋_GB2312" w:hAnsi="仿宋_GB2312" w:eastAsia="仿宋_GB2312" w:cs="仿宋_GB2312"/>
          <w:color w:val="auto"/>
          <w:kern w:val="2"/>
          <w:sz w:val="28"/>
          <w:szCs w:val="28"/>
          <w:highlight w:val="none"/>
          <w:lang w:val="en-US" w:eastAsia="zh-CN" w:bidi="ar-SA"/>
        </w:rPr>
      </w:pPr>
    </w:p>
    <w:p w14:paraId="3A9B418A">
      <w:pPr>
        <w:keepLines w:val="0"/>
        <w:pageBreakBefore w:val="0"/>
        <w:kinsoku/>
        <w:wordWrap/>
        <w:overflowPunct/>
        <w:topLinePunct w:val="0"/>
        <w:bidi w:val="0"/>
        <w:ind w:firstLineChars="200"/>
        <w:rPr>
          <w:rFonts w:hint="default" w:ascii="仿宋_GB2312" w:hAnsi="仿宋_GB2312" w:eastAsia="仿宋_GB2312" w:cs="仿宋_GB2312"/>
          <w:color w:val="auto"/>
          <w:kern w:val="2"/>
          <w:sz w:val="28"/>
          <w:szCs w:val="28"/>
          <w:highlight w:val="none"/>
          <w:lang w:val="en-US" w:eastAsia="zh-CN" w:bidi="ar-SA"/>
        </w:rPr>
      </w:pPr>
      <w:r>
        <w:rPr>
          <w:rFonts w:hint="default" w:ascii="仿宋_GB2312" w:hAnsi="仿宋_GB2312" w:eastAsia="仿宋_GB2312" w:cs="仿宋_GB2312"/>
          <w:color w:val="auto"/>
          <w:kern w:val="2"/>
          <w:sz w:val="28"/>
          <w:szCs w:val="28"/>
          <w:highlight w:val="none"/>
          <w:lang w:val="en-US" w:eastAsia="zh-CN" w:bidi="ar-SA"/>
        </w:rPr>
        <w:br w:type="page"/>
      </w:r>
    </w:p>
    <w:p w14:paraId="1FBF3591">
      <w:pPr>
        <w:keepLines w:val="0"/>
        <w:pageBreakBefore w:val="0"/>
        <w:numPr>
          <w:ilvl w:val="0"/>
          <w:numId w:val="0"/>
        </w:numPr>
        <w:kinsoku/>
        <w:wordWrap/>
        <w:overflowPunct/>
        <w:topLinePunct w:val="0"/>
        <w:bidi w:val="0"/>
        <w:spacing w:line="560" w:lineRule="exact"/>
        <w:jc w:val="center"/>
        <w:rPr>
          <w:rFonts w:ascii="仿宋_GB2312" w:hAnsi="仿宋_GB2312" w:eastAsia="仿宋_GB2312" w:cs="仿宋_GB2312"/>
          <w:b/>
          <w:bCs/>
          <w:color w:val="auto"/>
          <w:sz w:val="36"/>
          <w:szCs w:val="36"/>
          <w:highlight w:val="none"/>
        </w:rPr>
      </w:pPr>
      <w:r>
        <w:rPr>
          <w:rFonts w:ascii="仿宋_GB2312" w:hAnsi="仿宋_GB2312" w:eastAsia="仿宋_GB2312" w:cs="仿宋_GB2312"/>
          <w:b/>
          <w:bCs/>
          <w:color w:val="auto"/>
          <w:kern w:val="2"/>
          <w:sz w:val="36"/>
          <w:szCs w:val="36"/>
          <w:highlight w:val="none"/>
          <w:lang w:val="en-US" w:eastAsia="zh-CN" w:bidi="ar-SA"/>
        </w:rPr>
        <w:t>第</w:t>
      </w:r>
      <w:r>
        <w:rPr>
          <w:rFonts w:hint="eastAsia" w:ascii="仿宋_GB2312" w:hAnsi="仿宋_GB2312" w:eastAsia="仿宋_GB2312" w:cs="仿宋_GB2312"/>
          <w:b/>
          <w:bCs/>
          <w:color w:val="auto"/>
          <w:kern w:val="2"/>
          <w:sz w:val="36"/>
          <w:szCs w:val="36"/>
          <w:highlight w:val="none"/>
          <w:lang w:val="en-US" w:eastAsia="zh-CN" w:bidi="ar-SA"/>
        </w:rPr>
        <w:t>三章 评标标准</w:t>
      </w:r>
    </w:p>
    <w:p w14:paraId="0ADFACDC">
      <w:pPr>
        <w:keepLines w:val="0"/>
        <w:pageBreakBefore w:val="0"/>
        <w:kinsoku/>
        <w:wordWrap/>
        <w:overflowPunct/>
        <w:topLinePunct w:val="0"/>
        <w:bidi w:val="0"/>
        <w:spacing w:line="560" w:lineRule="exact"/>
        <w:rPr>
          <w:rFonts w:hint="eastAsia" w:ascii="仿宋_GB2312" w:hAnsi="仿宋_GB2312" w:eastAsia="仿宋_GB2312" w:cs="仿宋_GB2312"/>
          <w:b/>
          <w:bCs/>
          <w:color w:val="auto"/>
          <w:kern w:val="0"/>
          <w:sz w:val="28"/>
          <w:szCs w:val="28"/>
          <w:highlight w:val="none"/>
        </w:rPr>
      </w:pPr>
    </w:p>
    <w:p w14:paraId="31414591">
      <w:pPr>
        <w:keepLines w:val="0"/>
        <w:pageBreakBefore w:val="0"/>
        <w:kinsoku/>
        <w:wordWrap/>
        <w:overflowPunct/>
        <w:topLinePunct w:val="0"/>
        <w:bidi w:val="0"/>
        <w:spacing w:line="560" w:lineRule="exact"/>
        <w:ind w:firstLine="560" w:firstLineChars="200"/>
        <w:rPr>
          <w:rFonts w:hint="eastAsia" w:ascii="黑体" w:hAnsi="黑体" w:eastAsia="黑体" w:cs="黑体"/>
          <w:b w:val="0"/>
          <w:bCs w:val="0"/>
          <w:color w:val="auto"/>
          <w:kern w:val="0"/>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一、评标方法说明</w:t>
      </w:r>
    </w:p>
    <w:p w14:paraId="4112C79E">
      <w:pPr>
        <w:spacing w:line="360" w:lineRule="exact"/>
        <w:ind w:firstLine="560" w:firstLineChars="200"/>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仿宋_GB2312" w:hAnsi="仿宋_GB2312" w:eastAsia="仿宋_GB2312" w:cs="仿宋_GB2312"/>
          <w:b w:val="0"/>
          <w:bCs w:val="0"/>
          <w:color w:val="auto"/>
          <w:kern w:val="2"/>
          <w:sz w:val="28"/>
          <w:szCs w:val="28"/>
          <w:highlight w:val="none"/>
          <w:lang w:val="en-US" w:eastAsia="zh-CN" w:bidi="ar-SA"/>
        </w:rPr>
        <w:t>评标方法：综合评分法。按照招标文件中规定的各项因素进行量化打分，以评标总得分的平均分最高的投标人为中标候选供应商；采购人根据评标委员会评审结果确定中标候选供应商为中标人。</w:t>
      </w:r>
    </w:p>
    <w:p w14:paraId="10F37642">
      <w:pPr>
        <w:spacing w:line="360" w:lineRule="exact"/>
        <w:ind w:firstLine="560" w:firstLineChars="200"/>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仿宋_GB2312" w:hAnsi="仿宋_GB2312" w:eastAsia="仿宋_GB2312" w:cs="仿宋_GB2312"/>
          <w:b w:val="0"/>
          <w:bCs w:val="0"/>
          <w:color w:val="auto"/>
          <w:kern w:val="2"/>
          <w:sz w:val="28"/>
          <w:szCs w:val="28"/>
          <w:highlight w:val="none"/>
          <w:lang w:val="en-US" w:eastAsia="zh-CN" w:bidi="ar-SA"/>
        </w:rPr>
        <w:t>综合评分法中的价格分统一采用低价优先法计算，即满足采购文件要求且投标价格最低的投标报价为评标基准价，其价格分为满分。其他投标人的价格分统一按照下列公式计算：投标报价得分=(评标基准价/投标报价)×权重。</w:t>
      </w:r>
    </w:p>
    <w:p w14:paraId="2038DA91">
      <w:pPr>
        <w:keepLines w:val="0"/>
        <w:pageBreakBefore w:val="0"/>
        <w:numPr>
          <w:ilvl w:val="0"/>
          <w:numId w:val="1"/>
        </w:numPr>
        <w:kinsoku/>
        <w:wordWrap/>
        <w:overflowPunct/>
        <w:topLinePunct w:val="0"/>
        <w:bidi w:val="0"/>
        <w:spacing w:line="560" w:lineRule="exact"/>
        <w:ind w:firstLine="560" w:firstLineChars="200"/>
        <w:rPr>
          <w:rFonts w:hint="eastAsia" w:ascii="黑体" w:hAnsi="黑体" w:eastAsia="黑体" w:cs="黑体"/>
          <w:b w:val="0"/>
          <w:bCs w:val="0"/>
          <w:color w:val="auto"/>
          <w:kern w:val="0"/>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评分标准</w:t>
      </w:r>
    </w:p>
    <w:tbl>
      <w:tblPr>
        <w:tblStyle w:val="19"/>
        <w:tblpPr w:leftFromText="180" w:rightFromText="180" w:vertAnchor="text" w:horzAnchor="page" w:tblpX="1576" w:tblpY="612"/>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9"/>
        <w:gridCol w:w="604"/>
        <w:gridCol w:w="1635"/>
        <w:gridCol w:w="877"/>
        <w:gridCol w:w="5489"/>
      </w:tblGrid>
      <w:tr w14:paraId="76685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0" w:type="pct"/>
            <w:tcBorders>
              <w:top w:val="single" w:color="auto" w:sz="4" w:space="0"/>
              <w:left w:val="single" w:color="auto" w:sz="4" w:space="0"/>
              <w:bottom w:val="single" w:color="auto" w:sz="4" w:space="0"/>
              <w:right w:val="single" w:color="auto" w:sz="4" w:space="0"/>
            </w:tcBorders>
            <w:noWrap w:val="0"/>
            <w:vAlign w:val="center"/>
          </w:tcPr>
          <w:p w14:paraId="5E0F5DB6">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序号</w:t>
            </w:r>
          </w:p>
        </w:tc>
        <w:tc>
          <w:tcPr>
            <w:tcW w:w="1698" w:type="pct"/>
            <w:gridSpan w:val="3"/>
            <w:tcBorders>
              <w:top w:val="single" w:color="auto" w:sz="4" w:space="0"/>
              <w:left w:val="single" w:color="auto" w:sz="4" w:space="0"/>
              <w:bottom w:val="single" w:color="auto" w:sz="4" w:space="0"/>
              <w:right w:val="single" w:color="auto" w:sz="4" w:space="0"/>
            </w:tcBorders>
            <w:noWrap w:val="0"/>
            <w:vAlign w:val="center"/>
          </w:tcPr>
          <w:p w14:paraId="10C197E2">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评分项</w:t>
            </w:r>
          </w:p>
        </w:tc>
        <w:tc>
          <w:tcPr>
            <w:tcW w:w="2991" w:type="pct"/>
            <w:tcBorders>
              <w:top w:val="single" w:color="auto" w:sz="4" w:space="0"/>
              <w:left w:val="single" w:color="auto" w:sz="4" w:space="0"/>
              <w:bottom w:val="single" w:color="auto" w:sz="4" w:space="0"/>
              <w:right w:val="single" w:color="auto" w:sz="4" w:space="0"/>
            </w:tcBorders>
            <w:noWrap w:val="0"/>
            <w:vAlign w:val="center"/>
          </w:tcPr>
          <w:p w14:paraId="56405565">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权重</w:t>
            </w:r>
          </w:p>
        </w:tc>
      </w:tr>
      <w:tr w14:paraId="6FC0B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0" w:type="pct"/>
            <w:vMerge w:val="restart"/>
            <w:tcBorders>
              <w:top w:val="single" w:color="auto" w:sz="4" w:space="0"/>
              <w:left w:val="single" w:color="auto" w:sz="4" w:space="0"/>
              <w:right w:val="single" w:color="auto" w:sz="4" w:space="0"/>
            </w:tcBorders>
            <w:noWrap w:val="0"/>
            <w:vAlign w:val="center"/>
          </w:tcPr>
          <w:p w14:paraId="735C9061">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1698" w:type="pct"/>
            <w:gridSpan w:val="3"/>
            <w:vMerge w:val="restart"/>
            <w:tcBorders>
              <w:top w:val="single" w:color="auto" w:sz="4" w:space="0"/>
              <w:left w:val="single" w:color="auto" w:sz="4" w:space="0"/>
              <w:right w:val="single" w:color="auto" w:sz="4" w:space="0"/>
            </w:tcBorders>
            <w:noWrap w:val="0"/>
            <w:vAlign w:val="center"/>
          </w:tcPr>
          <w:p w14:paraId="50C87A9D">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价格</w:t>
            </w:r>
          </w:p>
        </w:tc>
        <w:tc>
          <w:tcPr>
            <w:tcW w:w="2991" w:type="pct"/>
            <w:tcBorders>
              <w:top w:val="single" w:color="auto" w:sz="4" w:space="0"/>
              <w:left w:val="single" w:color="auto" w:sz="4" w:space="0"/>
              <w:bottom w:val="single" w:color="auto" w:sz="4" w:space="0"/>
              <w:right w:val="single" w:color="auto" w:sz="4" w:space="0"/>
            </w:tcBorders>
            <w:noWrap w:val="0"/>
            <w:vAlign w:val="center"/>
          </w:tcPr>
          <w:p w14:paraId="354D59FD">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30</w:t>
            </w:r>
          </w:p>
        </w:tc>
      </w:tr>
      <w:tr w14:paraId="7C00C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0" w:type="pct"/>
            <w:vMerge w:val="continue"/>
            <w:tcBorders>
              <w:left w:val="single" w:color="auto" w:sz="4" w:space="0"/>
              <w:bottom w:val="single" w:color="auto" w:sz="4" w:space="0"/>
              <w:right w:val="single" w:color="auto" w:sz="4" w:space="0"/>
            </w:tcBorders>
            <w:noWrap w:val="0"/>
            <w:vAlign w:val="center"/>
          </w:tcPr>
          <w:p w14:paraId="196456F5">
            <w:pPr>
              <w:spacing w:line="240" w:lineRule="auto"/>
              <w:jc w:val="center"/>
              <w:rPr>
                <w:rFonts w:hint="eastAsia" w:ascii="仿宋_GB2312" w:hAnsi="仿宋_GB2312" w:eastAsia="仿宋_GB2312" w:cs="仿宋_GB2312"/>
                <w:color w:val="auto"/>
                <w:sz w:val="24"/>
                <w:szCs w:val="24"/>
                <w:highlight w:val="none"/>
              </w:rPr>
            </w:pPr>
          </w:p>
        </w:tc>
        <w:tc>
          <w:tcPr>
            <w:tcW w:w="1698" w:type="pct"/>
            <w:gridSpan w:val="3"/>
            <w:vMerge w:val="continue"/>
            <w:tcBorders>
              <w:left w:val="single" w:color="auto" w:sz="4" w:space="0"/>
              <w:bottom w:val="single" w:color="auto" w:sz="4" w:space="0"/>
              <w:right w:val="single" w:color="auto" w:sz="4" w:space="0"/>
            </w:tcBorders>
            <w:noWrap w:val="0"/>
            <w:vAlign w:val="center"/>
          </w:tcPr>
          <w:p w14:paraId="788A4628">
            <w:pPr>
              <w:spacing w:line="240" w:lineRule="auto"/>
              <w:jc w:val="center"/>
              <w:rPr>
                <w:rFonts w:hint="eastAsia" w:ascii="仿宋_GB2312" w:hAnsi="仿宋_GB2312" w:eastAsia="仿宋_GB2312" w:cs="仿宋_GB2312"/>
                <w:color w:val="auto"/>
                <w:sz w:val="24"/>
                <w:szCs w:val="24"/>
                <w:highlight w:val="none"/>
              </w:rPr>
            </w:pPr>
          </w:p>
        </w:tc>
        <w:tc>
          <w:tcPr>
            <w:tcW w:w="2991" w:type="pct"/>
            <w:tcBorders>
              <w:top w:val="single" w:color="auto" w:sz="4" w:space="0"/>
              <w:left w:val="single" w:color="auto" w:sz="4" w:space="0"/>
              <w:bottom w:val="single" w:color="auto" w:sz="4" w:space="0"/>
              <w:right w:val="single" w:color="auto" w:sz="4" w:space="0"/>
            </w:tcBorders>
            <w:noWrap w:val="0"/>
            <w:vAlign w:val="center"/>
          </w:tcPr>
          <w:p w14:paraId="63205694">
            <w:pPr>
              <w:spacing w:line="24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综合评分法中的价格分统一采用低价优先法计算。即满足采购文件要求且投标价格最低的投标报价为评标基准价，其价格分为满分。其他投标人的价格分统一按照下列公式计算：投标报价得分=(评标基准价/投标报价)×权重</w:t>
            </w:r>
          </w:p>
        </w:tc>
      </w:tr>
      <w:tr w14:paraId="43F21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0" w:type="pct"/>
            <w:tcBorders>
              <w:top w:val="single" w:color="auto" w:sz="4" w:space="0"/>
              <w:left w:val="single" w:color="auto" w:sz="4" w:space="0"/>
              <w:bottom w:val="single" w:color="auto" w:sz="4" w:space="0"/>
              <w:right w:val="single" w:color="auto" w:sz="4" w:space="0"/>
            </w:tcBorders>
            <w:noWrap w:val="0"/>
            <w:vAlign w:val="center"/>
          </w:tcPr>
          <w:p w14:paraId="58672B68">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p>
        </w:tc>
        <w:tc>
          <w:tcPr>
            <w:tcW w:w="1698" w:type="pct"/>
            <w:gridSpan w:val="3"/>
            <w:tcBorders>
              <w:top w:val="single" w:color="auto" w:sz="4" w:space="0"/>
              <w:left w:val="single" w:color="auto" w:sz="4" w:space="0"/>
              <w:bottom w:val="single" w:color="auto" w:sz="4" w:space="0"/>
              <w:right w:val="single" w:color="auto" w:sz="4" w:space="0"/>
            </w:tcBorders>
            <w:noWrap w:val="0"/>
            <w:vAlign w:val="center"/>
          </w:tcPr>
          <w:p w14:paraId="39434819">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技术</w:t>
            </w:r>
          </w:p>
        </w:tc>
        <w:tc>
          <w:tcPr>
            <w:tcW w:w="2991" w:type="pct"/>
            <w:tcBorders>
              <w:top w:val="single" w:color="auto" w:sz="4" w:space="0"/>
              <w:left w:val="single" w:color="auto" w:sz="4" w:space="0"/>
              <w:bottom w:val="single" w:color="auto" w:sz="4" w:space="0"/>
              <w:right w:val="single" w:color="auto" w:sz="4" w:space="0"/>
            </w:tcBorders>
            <w:noWrap w:val="0"/>
            <w:vAlign w:val="center"/>
          </w:tcPr>
          <w:p w14:paraId="57D87EB3">
            <w:pPr>
              <w:spacing w:line="240" w:lineRule="auto"/>
              <w:jc w:val="center"/>
              <w:rPr>
                <w:rFonts w:hint="default" w:ascii="仿宋_GB2312" w:hAnsi="仿宋_GB2312" w:eastAsia="仿宋_GB2312" w:cs="仿宋_GB2312"/>
                <w:color w:val="auto"/>
                <w:sz w:val="24"/>
                <w:szCs w:val="24"/>
                <w:highlight w:val="none"/>
                <w:lang w:val="en-US"/>
              </w:rPr>
            </w:pPr>
            <w:r>
              <w:rPr>
                <w:rFonts w:hint="eastAsia" w:ascii="仿宋_GB2312" w:hAnsi="仿宋_GB2312" w:eastAsia="仿宋_GB2312" w:cs="仿宋_GB2312"/>
                <w:color w:val="auto"/>
                <w:sz w:val="24"/>
                <w:szCs w:val="24"/>
                <w:highlight w:val="none"/>
                <w:lang w:val="en-US" w:eastAsia="zh-CN"/>
              </w:rPr>
              <w:t>53</w:t>
            </w:r>
          </w:p>
        </w:tc>
      </w:tr>
      <w:tr w14:paraId="08D4B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310" w:type="pct"/>
            <w:vMerge w:val="restart"/>
            <w:tcBorders>
              <w:top w:val="single" w:color="auto" w:sz="4" w:space="0"/>
              <w:left w:val="single" w:color="auto" w:sz="4" w:space="0"/>
              <w:right w:val="single" w:color="auto" w:sz="4" w:space="0"/>
            </w:tcBorders>
            <w:noWrap w:val="0"/>
            <w:vAlign w:val="center"/>
          </w:tcPr>
          <w:p w14:paraId="7365F5AE">
            <w:pPr>
              <w:spacing w:line="240" w:lineRule="auto"/>
              <w:jc w:val="center"/>
              <w:rPr>
                <w:rFonts w:hint="eastAsia" w:ascii="仿宋_GB2312" w:hAnsi="仿宋_GB2312" w:eastAsia="仿宋_GB2312" w:cs="仿宋_GB2312"/>
                <w:color w:val="auto"/>
                <w:sz w:val="24"/>
                <w:szCs w:val="24"/>
                <w:highlight w:val="none"/>
              </w:rPr>
            </w:pPr>
          </w:p>
        </w:tc>
        <w:tc>
          <w:tcPr>
            <w:tcW w:w="329" w:type="pct"/>
            <w:tcBorders>
              <w:top w:val="single" w:color="auto" w:sz="4" w:space="0"/>
              <w:left w:val="single" w:color="auto" w:sz="4" w:space="0"/>
              <w:bottom w:val="single" w:color="auto" w:sz="4" w:space="0"/>
              <w:right w:val="single" w:color="auto" w:sz="4" w:space="0"/>
            </w:tcBorders>
            <w:noWrap w:val="0"/>
            <w:vAlign w:val="center"/>
          </w:tcPr>
          <w:p w14:paraId="700A8482">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行号</w:t>
            </w:r>
          </w:p>
        </w:tc>
        <w:tc>
          <w:tcPr>
            <w:tcW w:w="891" w:type="pct"/>
            <w:tcBorders>
              <w:top w:val="single" w:color="auto" w:sz="4" w:space="0"/>
              <w:left w:val="single" w:color="auto" w:sz="4" w:space="0"/>
              <w:bottom w:val="single" w:color="auto" w:sz="4" w:space="0"/>
              <w:right w:val="single" w:color="auto" w:sz="4" w:space="0"/>
            </w:tcBorders>
            <w:noWrap w:val="0"/>
            <w:vAlign w:val="center"/>
          </w:tcPr>
          <w:p w14:paraId="0F2AEEAD">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内容</w:t>
            </w:r>
          </w:p>
        </w:tc>
        <w:tc>
          <w:tcPr>
            <w:tcW w:w="477" w:type="pct"/>
            <w:tcBorders>
              <w:top w:val="single" w:color="auto" w:sz="4" w:space="0"/>
              <w:left w:val="single" w:color="auto" w:sz="4" w:space="0"/>
              <w:bottom w:val="single" w:color="auto" w:sz="4" w:space="0"/>
              <w:right w:val="single" w:color="auto" w:sz="4" w:space="0"/>
            </w:tcBorders>
            <w:noWrap w:val="0"/>
            <w:vAlign w:val="center"/>
          </w:tcPr>
          <w:p w14:paraId="570F19F8">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权重</w:t>
            </w:r>
          </w:p>
        </w:tc>
        <w:tc>
          <w:tcPr>
            <w:tcW w:w="2991" w:type="pct"/>
            <w:tcBorders>
              <w:top w:val="single" w:color="auto" w:sz="4" w:space="0"/>
              <w:left w:val="single" w:color="auto" w:sz="4" w:space="0"/>
              <w:bottom w:val="single" w:color="auto" w:sz="4" w:space="0"/>
              <w:right w:val="single" w:color="auto" w:sz="4" w:space="0"/>
            </w:tcBorders>
            <w:noWrap w:val="0"/>
            <w:vAlign w:val="center"/>
          </w:tcPr>
          <w:p w14:paraId="73BACA02">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评分准则</w:t>
            </w:r>
          </w:p>
        </w:tc>
      </w:tr>
      <w:tr w14:paraId="4EC01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310" w:type="pct"/>
            <w:vMerge w:val="continue"/>
            <w:tcBorders>
              <w:left w:val="single" w:color="auto" w:sz="4" w:space="0"/>
              <w:right w:val="single" w:color="auto" w:sz="4" w:space="0"/>
            </w:tcBorders>
            <w:noWrap w:val="0"/>
            <w:vAlign w:val="center"/>
          </w:tcPr>
          <w:p w14:paraId="0090F10C">
            <w:pPr>
              <w:spacing w:line="240" w:lineRule="auto"/>
              <w:jc w:val="center"/>
              <w:rPr>
                <w:rFonts w:hint="eastAsia" w:ascii="仿宋_GB2312" w:hAnsi="仿宋_GB2312" w:eastAsia="仿宋_GB2312" w:cs="仿宋_GB2312"/>
                <w:color w:val="auto"/>
                <w:sz w:val="24"/>
                <w:szCs w:val="24"/>
                <w:highlight w:val="none"/>
              </w:rPr>
            </w:pPr>
          </w:p>
        </w:tc>
        <w:tc>
          <w:tcPr>
            <w:tcW w:w="329" w:type="pct"/>
            <w:tcBorders>
              <w:top w:val="single" w:color="auto" w:sz="4" w:space="0"/>
              <w:left w:val="single" w:color="auto" w:sz="4" w:space="0"/>
              <w:bottom w:val="single" w:color="auto" w:sz="4" w:space="0"/>
              <w:right w:val="single" w:color="auto" w:sz="4" w:space="0"/>
            </w:tcBorders>
            <w:noWrap w:val="0"/>
            <w:vAlign w:val="center"/>
          </w:tcPr>
          <w:p w14:paraId="65F2CCF1">
            <w:pPr>
              <w:spacing w:line="240" w:lineRule="auto"/>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w:t>
            </w:r>
          </w:p>
        </w:tc>
        <w:tc>
          <w:tcPr>
            <w:tcW w:w="891" w:type="pct"/>
            <w:tcBorders>
              <w:top w:val="single" w:color="auto" w:sz="4" w:space="0"/>
              <w:left w:val="single" w:color="auto" w:sz="4" w:space="0"/>
              <w:bottom w:val="single" w:color="auto" w:sz="4" w:space="0"/>
              <w:right w:val="single" w:color="auto" w:sz="4" w:space="0"/>
            </w:tcBorders>
            <w:noWrap w:val="0"/>
            <w:vAlign w:val="center"/>
          </w:tcPr>
          <w:p w14:paraId="33CE74FF">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技术</w:t>
            </w:r>
            <w:r>
              <w:rPr>
                <w:rFonts w:hint="eastAsia" w:ascii="仿宋_GB2312" w:hAnsi="仿宋_GB2312" w:eastAsia="仿宋_GB2312" w:cs="仿宋_GB2312"/>
                <w:color w:val="auto"/>
                <w:sz w:val="24"/>
                <w:szCs w:val="24"/>
                <w:highlight w:val="none"/>
                <w:lang w:val="en-US" w:eastAsia="zh-CN"/>
              </w:rPr>
              <w:t>要求</w:t>
            </w:r>
            <w:r>
              <w:rPr>
                <w:rFonts w:hint="eastAsia" w:ascii="仿宋_GB2312" w:hAnsi="仿宋_GB2312" w:eastAsia="仿宋_GB2312" w:cs="仿宋_GB2312"/>
                <w:color w:val="auto"/>
                <w:sz w:val="24"/>
                <w:szCs w:val="24"/>
                <w:highlight w:val="none"/>
              </w:rPr>
              <w:t>偏离情况</w:t>
            </w:r>
          </w:p>
          <w:p w14:paraId="291391CE">
            <w:pPr>
              <w:spacing w:line="240" w:lineRule="auto"/>
              <w:jc w:val="center"/>
              <w:rPr>
                <w:rFonts w:hint="eastAsia" w:ascii="仿宋_GB2312" w:hAnsi="仿宋_GB2312" w:eastAsia="仿宋_GB2312" w:cs="仿宋_GB2312"/>
                <w:color w:val="auto"/>
                <w:sz w:val="24"/>
                <w:szCs w:val="24"/>
                <w:highlight w:val="none"/>
              </w:rPr>
            </w:pPr>
          </w:p>
        </w:tc>
        <w:tc>
          <w:tcPr>
            <w:tcW w:w="477" w:type="pct"/>
            <w:tcBorders>
              <w:top w:val="single" w:color="auto" w:sz="4" w:space="0"/>
              <w:left w:val="single" w:color="auto" w:sz="4" w:space="0"/>
              <w:bottom w:val="single" w:color="auto" w:sz="4" w:space="0"/>
              <w:right w:val="single" w:color="auto" w:sz="4" w:space="0"/>
            </w:tcBorders>
            <w:noWrap w:val="0"/>
            <w:vAlign w:val="center"/>
          </w:tcPr>
          <w:p w14:paraId="5928EC2C">
            <w:pPr>
              <w:spacing w:line="240" w:lineRule="auto"/>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18</w:t>
            </w:r>
          </w:p>
        </w:tc>
        <w:tc>
          <w:tcPr>
            <w:tcW w:w="2991" w:type="pct"/>
            <w:tcBorders>
              <w:top w:val="single" w:color="auto" w:sz="4" w:space="0"/>
              <w:left w:val="single" w:color="auto" w:sz="4" w:space="0"/>
              <w:bottom w:val="single" w:color="auto" w:sz="4" w:space="0"/>
              <w:right w:val="single" w:color="auto" w:sz="4" w:space="0"/>
            </w:tcBorders>
            <w:noWrap w:val="0"/>
            <w:vAlign w:val="center"/>
          </w:tcPr>
          <w:p w14:paraId="2F3404C9">
            <w:pPr>
              <w:jc w:val="left"/>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（一）评分内容</w:t>
            </w:r>
          </w:p>
          <w:p w14:paraId="7AF4CC0E">
            <w:pPr>
              <w:jc w:val="left"/>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根据项目需求中产品技术要求的满足程度进行评价，评审委员会以投标文件《技术要求偏离表》响应情况进行打分。</w:t>
            </w:r>
          </w:p>
          <w:p w14:paraId="61B8D1E2">
            <w:pPr>
              <w:jc w:val="left"/>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（二）评分依据</w:t>
            </w:r>
          </w:p>
          <w:p w14:paraId="6A96B8A4">
            <w:pPr>
              <w:jc w:val="left"/>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color w:val="auto"/>
                <w:sz w:val="24"/>
                <w:highlight w:val="none"/>
              </w:rPr>
              <w:t>各项技术参数指标及要求全部满足的得满分，</w:t>
            </w:r>
            <w:r>
              <w:rPr>
                <w:rFonts w:hint="eastAsia" w:ascii="仿宋_GB2312" w:hAnsi="仿宋_GB2312" w:eastAsia="仿宋_GB2312" w:cs="仿宋_GB2312"/>
                <w:color w:val="auto"/>
                <w:sz w:val="24"/>
                <w:highlight w:val="none"/>
                <w:lang w:val="en-US" w:eastAsia="zh-CN"/>
              </w:rPr>
              <w:t>技术</w:t>
            </w:r>
            <w:r>
              <w:rPr>
                <w:rFonts w:hint="eastAsia" w:ascii="仿宋_GB2312" w:hAnsi="仿宋_GB2312" w:eastAsia="仿宋_GB2312" w:cs="仿宋_GB2312"/>
                <w:color w:val="auto"/>
                <w:sz w:val="24"/>
                <w:highlight w:val="none"/>
              </w:rPr>
              <w:t>参数</w:t>
            </w:r>
            <w:r>
              <w:rPr>
                <w:rFonts w:hint="eastAsia" w:ascii="仿宋_GB2312" w:hAnsi="仿宋_GB2312" w:eastAsia="仿宋_GB2312" w:cs="仿宋_GB2312"/>
                <w:color w:val="auto"/>
                <w:sz w:val="24"/>
                <w:highlight w:val="none"/>
                <w:lang w:val="en-US" w:eastAsia="zh-CN"/>
              </w:rPr>
              <w:t>共364条，</w:t>
            </w:r>
            <w:r>
              <w:rPr>
                <w:rFonts w:hint="eastAsia" w:ascii="仿宋_GB2312" w:hAnsi="仿宋_GB2312" w:eastAsia="仿宋_GB2312" w:cs="仿宋_GB2312"/>
                <w:color w:val="auto"/>
                <w:sz w:val="24"/>
                <w:highlight w:val="none"/>
              </w:rPr>
              <w:t>每负偏离一项扣</w:t>
            </w:r>
            <w:r>
              <w:rPr>
                <w:rFonts w:hint="eastAsia" w:ascii="仿宋_GB2312" w:hAnsi="仿宋_GB2312" w:eastAsia="仿宋_GB2312" w:cs="仿宋_GB2312"/>
                <w:color w:val="auto"/>
                <w:sz w:val="24"/>
                <w:highlight w:val="none"/>
                <w:lang w:val="en-US" w:eastAsia="zh-CN"/>
              </w:rPr>
              <w:t>0.05</w:t>
            </w:r>
            <w:r>
              <w:rPr>
                <w:rFonts w:hint="eastAsia" w:ascii="仿宋_GB2312" w:hAnsi="仿宋_GB2312" w:eastAsia="仿宋_GB2312" w:cs="仿宋_GB2312"/>
                <w:color w:val="auto"/>
                <w:sz w:val="24"/>
                <w:highlight w:val="none"/>
              </w:rPr>
              <w:t>分，扣完为止。</w:t>
            </w:r>
            <w:r>
              <w:rPr>
                <w:rFonts w:hint="eastAsia" w:ascii="仿宋_GB2312" w:hAnsi="仿宋_GB2312" w:eastAsia="仿宋_GB2312" w:cs="仿宋_GB2312"/>
                <w:b w:val="0"/>
                <w:bCs w:val="0"/>
                <w:color w:val="auto"/>
                <w:sz w:val="24"/>
                <w:szCs w:val="24"/>
                <w:highlight w:val="none"/>
                <w:lang w:val="en-US" w:eastAsia="zh-CN"/>
              </w:rPr>
              <w:t>本项最高18分，最低得0分。</w:t>
            </w:r>
          </w:p>
          <w:p w14:paraId="1C84F183">
            <w:pPr>
              <w:spacing w:line="24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val="0"/>
                <w:bCs w:val="0"/>
                <w:color w:val="auto"/>
                <w:sz w:val="24"/>
                <w:szCs w:val="24"/>
                <w:highlight w:val="none"/>
                <w:lang w:val="en-US" w:eastAsia="zh-CN"/>
              </w:rPr>
              <w:t>如技术要求中载明提供证明材料的，需提供对应的证明材料，其余技术要求以投标人填写的响应情况为准。</w:t>
            </w:r>
          </w:p>
        </w:tc>
      </w:tr>
      <w:tr w14:paraId="03D95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0" w:type="pct"/>
            <w:vMerge w:val="continue"/>
            <w:tcBorders>
              <w:left w:val="single" w:color="auto" w:sz="4" w:space="0"/>
              <w:right w:val="single" w:color="auto" w:sz="4" w:space="0"/>
            </w:tcBorders>
            <w:noWrap w:val="0"/>
            <w:vAlign w:val="center"/>
          </w:tcPr>
          <w:p w14:paraId="2A19DA10">
            <w:pPr>
              <w:widowControl/>
              <w:spacing w:line="240" w:lineRule="auto"/>
              <w:jc w:val="center"/>
              <w:rPr>
                <w:rFonts w:hint="eastAsia" w:ascii="仿宋_GB2312" w:hAnsi="仿宋_GB2312" w:eastAsia="仿宋_GB2312" w:cs="仿宋_GB2312"/>
                <w:color w:val="auto"/>
                <w:sz w:val="24"/>
                <w:szCs w:val="24"/>
                <w:highlight w:val="none"/>
              </w:rPr>
            </w:pPr>
          </w:p>
        </w:tc>
        <w:tc>
          <w:tcPr>
            <w:tcW w:w="329" w:type="pct"/>
            <w:tcBorders>
              <w:top w:val="single" w:color="auto" w:sz="4" w:space="0"/>
              <w:left w:val="single" w:color="auto" w:sz="4" w:space="0"/>
              <w:bottom w:val="single" w:color="auto" w:sz="4" w:space="0"/>
              <w:right w:val="single" w:color="auto" w:sz="4" w:space="0"/>
            </w:tcBorders>
            <w:noWrap w:val="0"/>
            <w:vAlign w:val="center"/>
          </w:tcPr>
          <w:p w14:paraId="0CEB64AE">
            <w:pPr>
              <w:spacing w:line="240" w:lineRule="auto"/>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2</w:t>
            </w:r>
          </w:p>
        </w:tc>
        <w:tc>
          <w:tcPr>
            <w:tcW w:w="891" w:type="pct"/>
            <w:tcBorders>
              <w:top w:val="single" w:color="auto" w:sz="4" w:space="0"/>
              <w:left w:val="single" w:color="auto" w:sz="4" w:space="0"/>
              <w:bottom w:val="single" w:color="auto" w:sz="4" w:space="0"/>
              <w:right w:val="single" w:color="auto" w:sz="4" w:space="0"/>
            </w:tcBorders>
            <w:noWrap w:val="0"/>
            <w:vAlign w:val="center"/>
          </w:tcPr>
          <w:p w14:paraId="0AD8E815">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项目配送服务方案</w:t>
            </w:r>
          </w:p>
        </w:tc>
        <w:tc>
          <w:tcPr>
            <w:tcW w:w="477" w:type="pct"/>
            <w:tcBorders>
              <w:top w:val="single" w:color="auto" w:sz="4" w:space="0"/>
              <w:left w:val="single" w:color="auto" w:sz="4" w:space="0"/>
              <w:bottom w:val="single" w:color="auto" w:sz="4" w:space="0"/>
              <w:right w:val="single" w:color="auto" w:sz="4" w:space="0"/>
            </w:tcBorders>
            <w:noWrap w:val="0"/>
            <w:vAlign w:val="center"/>
          </w:tcPr>
          <w:p w14:paraId="0620AA60">
            <w:pPr>
              <w:spacing w:line="240" w:lineRule="auto"/>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lang w:val="en-US" w:eastAsia="zh-CN"/>
              </w:rPr>
              <w:t>2</w:t>
            </w:r>
          </w:p>
        </w:tc>
        <w:tc>
          <w:tcPr>
            <w:tcW w:w="2991" w:type="pct"/>
            <w:tcBorders>
              <w:top w:val="single" w:color="auto" w:sz="4" w:space="0"/>
              <w:left w:val="single" w:color="auto" w:sz="4" w:space="0"/>
              <w:bottom w:val="single" w:color="auto" w:sz="4" w:space="0"/>
              <w:right w:val="single" w:color="auto" w:sz="4" w:space="0"/>
            </w:tcBorders>
            <w:noWrap w:val="0"/>
            <w:vAlign w:val="center"/>
          </w:tcPr>
          <w:p w14:paraId="033DFEB0">
            <w:pPr>
              <w:snapToGrid/>
              <w:spacing w:line="24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（一）评分内容</w:t>
            </w:r>
          </w:p>
          <w:p w14:paraId="0FA6692E">
            <w:pPr>
              <w:snapToGrid/>
              <w:spacing w:line="24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在投标文件中详细说明项目配送服务方案，评标委员会根据以下响应情况评审：</w:t>
            </w:r>
          </w:p>
          <w:p w14:paraId="491CC137">
            <w:pP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1.供货的来源；</w:t>
            </w:r>
          </w:p>
          <w:p w14:paraId="7F5E34AA">
            <w:pP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2.配送服务保障措施；</w:t>
            </w:r>
          </w:p>
          <w:p w14:paraId="1C87AE09">
            <w:pPr>
              <w:snapToGrid/>
              <w:spacing w:line="240" w:lineRule="auto"/>
              <w:jc w:val="left"/>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3.供货服务方案。</w:t>
            </w:r>
          </w:p>
          <w:p w14:paraId="3A624209">
            <w:pPr>
              <w:snapToGrid/>
              <w:spacing w:line="24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2"/>
                <w:sz w:val="24"/>
                <w:szCs w:val="24"/>
                <w:highlight w:val="none"/>
                <w:lang w:val="en-US" w:eastAsia="zh-CN" w:bidi="ar-SA"/>
              </w:rPr>
              <w:t>（二）评分依据</w:t>
            </w:r>
          </w:p>
          <w:p w14:paraId="19C0FECE">
            <w:pPr>
              <w:snapToGrid/>
              <w:spacing w:line="24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1.投标文件满足评审内容情况，本项最高得6分。</w:t>
            </w:r>
          </w:p>
          <w:p w14:paraId="2A823613">
            <w:pPr>
              <w:snapToGrid/>
              <w:spacing w:line="24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每达到1项得2分，未提供方案的不得分。</w:t>
            </w:r>
          </w:p>
          <w:p w14:paraId="61CD1A5D">
            <w:pPr>
              <w:snapToGrid/>
              <w:spacing w:line="240" w:lineRule="auto"/>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24"/>
                <w:highlight w:val="none"/>
              </w:rPr>
              <w:t>2.</w:t>
            </w:r>
            <w:r>
              <w:rPr>
                <w:rFonts w:hint="eastAsia" w:ascii="仿宋_GB2312" w:hAnsi="仿宋_GB2312" w:eastAsia="仿宋_GB2312" w:cs="仿宋_GB2312"/>
                <w:color w:val="auto"/>
                <w:sz w:val="24"/>
                <w:highlight w:val="none"/>
              </w:rPr>
              <w:t>在此基础上，根据服务方案整体合理性、完整性、全面性，针对性等进行评分。</w:t>
            </w:r>
          </w:p>
          <w:p w14:paraId="1C15EA0F">
            <w:pPr>
              <w:snapToGrid/>
              <w:spacing w:line="240" w:lineRule="auto"/>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①服务方案合理性、完整性、全面性、针对性强，加</w:t>
            </w:r>
            <w:r>
              <w:rPr>
                <w:rFonts w:hint="eastAsia" w:ascii="仿宋_GB2312" w:hAnsi="仿宋_GB2312" w:eastAsia="仿宋_GB2312" w:cs="仿宋_GB2312"/>
                <w:color w:val="auto"/>
                <w:sz w:val="24"/>
                <w:highlight w:val="none"/>
                <w:lang w:val="en-US" w:eastAsia="zh-CN"/>
              </w:rPr>
              <w:t>6</w:t>
            </w:r>
            <w:r>
              <w:rPr>
                <w:rFonts w:hint="eastAsia" w:ascii="仿宋_GB2312" w:hAnsi="仿宋_GB2312" w:eastAsia="仿宋_GB2312" w:cs="仿宋_GB2312"/>
                <w:color w:val="auto"/>
                <w:sz w:val="24"/>
                <w:highlight w:val="none"/>
              </w:rPr>
              <w:t>分；</w:t>
            </w:r>
          </w:p>
          <w:p w14:paraId="7C8C52A6">
            <w:pPr>
              <w:snapToGrid/>
              <w:spacing w:line="240" w:lineRule="auto"/>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②服务方案合理性、完整性、全面性、针对性较强，加</w:t>
            </w:r>
            <w:r>
              <w:rPr>
                <w:rFonts w:hint="eastAsia" w:ascii="仿宋_GB2312" w:hAnsi="仿宋_GB2312" w:eastAsia="仿宋_GB2312" w:cs="仿宋_GB2312"/>
                <w:color w:val="auto"/>
                <w:sz w:val="24"/>
                <w:highlight w:val="none"/>
                <w:lang w:val="en-US" w:eastAsia="zh-CN"/>
              </w:rPr>
              <w:t>4</w:t>
            </w:r>
            <w:r>
              <w:rPr>
                <w:rFonts w:hint="eastAsia" w:ascii="仿宋_GB2312" w:hAnsi="仿宋_GB2312" w:eastAsia="仿宋_GB2312" w:cs="仿宋_GB2312"/>
                <w:color w:val="auto"/>
                <w:sz w:val="24"/>
                <w:highlight w:val="none"/>
              </w:rPr>
              <w:t>分；</w:t>
            </w:r>
          </w:p>
          <w:p w14:paraId="1904B363">
            <w:pPr>
              <w:snapToGrid/>
              <w:spacing w:line="240" w:lineRule="auto"/>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③服务方案合理性、完整性、全面性、针对性一般，加</w:t>
            </w: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rPr>
              <w:t>分；</w:t>
            </w:r>
          </w:p>
          <w:p w14:paraId="04161187">
            <w:pPr>
              <w:snapToGrid/>
              <w:spacing w:line="240" w:lineRule="auto"/>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④服务方案合理性、完整性、全面性、针对性差，不加分；</w:t>
            </w:r>
          </w:p>
          <w:p w14:paraId="623854E8">
            <w:pPr>
              <w:snapToGrid/>
              <w:spacing w:line="240" w:lineRule="auto"/>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⑤未提供或完全不符合的不得分。</w:t>
            </w:r>
          </w:p>
          <w:p w14:paraId="3E07D341">
            <w:pPr>
              <w:snapToGrid/>
              <w:spacing w:line="24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highlight w:val="none"/>
              </w:rPr>
              <w:t>注：方案与本项目无关或不相符</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对相关服务的关键要求没有详细说明、服务内容不明确、表述不清晰或不完善；总体设计思路及技术架构合理性较差；服务内容采用的技术路线落后；内容过于简略；服务方法不合理、针对性或可行性欠缺，不足以支撑项目实施等任意一项类似缺陷或瑕疵。</w:t>
            </w:r>
          </w:p>
        </w:tc>
      </w:tr>
      <w:tr w14:paraId="00AF5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0" w:type="pct"/>
            <w:vMerge w:val="continue"/>
            <w:tcBorders>
              <w:left w:val="single" w:color="auto" w:sz="4" w:space="0"/>
              <w:right w:val="single" w:color="auto" w:sz="4" w:space="0"/>
            </w:tcBorders>
            <w:noWrap w:val="0"/>
            <w:vAlign w:val="center"/>
          </w:tcPr>
          <w:p w14:paraId="1077D06D">
            <w:pPr>
              <w:widowControl/>
              <w:spacing w:line="240" w:lineRule="auto"/>
              <w:jc w:val="center"/>
              <w:rPr>
                <w:rFonts w:hint="eastAsia" w:ascii="仿宋_GB2312" w:hAnsi="仿宋_GB2312" w:eastAsia="仿宋_GB2312" w:cs="仿宋_GB2312"/>
                <w:color w:val="auto"/>
                <w:sz w:val="24"/>
                <w:szCs w:val="24"/>
                <w:highlight w:val="none"/>
              </w:rPr>
            </w:pPr>
          </w:p>
        </w:tc>
        <w:tc>
          <w:tcPr>
            <w:tcW w:w="329" w:type="pct"/>
            <w:tcBorders>
              <w:top w:val="single" w:color="auto" w:sz="4" w:space="0"/>
              <w:left w:val="single" w:color="auto" w:sz="4" w:space="0"/>
              <w:bottom w:val="single" w:color="auto" w:sz="4" w:space="0"/>
              <w:right w:val="single" w:color="auto" w:sz="4" w:space="0"/>
            </w:tcBorders>
            <w:noWrap w:val="0"/>
            <w:vAlign w:val="center"/>
          </w:tcPr>
          <w:p w14:paraId="053B865D">
            <w:pPr>
              <w:spacing w:line="240" w:lineRule="auto"/>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3</w:t>
            </w:r>
          </w:p>
        </w:tc>
        <w:tc>
          <w:tcPr>
            <w:tcW w:w="891" w:type="pct"/>
            <w:tcBorders>
              <w:top w:val="single" w:color="auto" w:sz="4" w:space="0"/>
              <w:left w:val="single" w:color="auto" w:sz="4" w:space="0"/>
              <w:bottom w:val="single" w:color="auto" w:sz="4" w:space="0"/>
              <w:right w:val="single" w:color="auto" w:sz="4" w:space="0"/>
            </w:tcBorders>
            <w:noWrap w:val="0"/>
            <w:vAlign w:val="center"/>
          </w:tcPr>
          <w:p w14:paraId="59C2204B">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服务质量保障方案</w:t>
            </w:r>
          </w:p>
        </w:tc>
        <w:tc>
          <w:tcPr>
            <w:tcW w:w="477" w:type="pct"/>
            <w:tcBorders>
              <w:top w:val="single" w:color="auto" w:sz="4" w:space="0"/>
              <w:left w:val="single" w:color="auto" w:sz="4" w:space="0"/>
              <w:bottom w:val="single" w:color="auto" w:sz="4" w:space="0"/>
              <w:right w:val="single" w:color="auto" w:sz="4" w:space="0"/>
            </w:tcBorders>
            <w:noWrap w:val="0"/>
            <w:vAlign w:val="center"/>
          </w:tcPr>
          <w:p w14:paraId="543893D2">
            <w:pPr>
              <w:spacing w:line="240" w:lineRule="auto"/>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lang w:val="en-US" w:eastAsia="zh-CN"/>
              </w:rPr>
              <w:t>2</w:t>
            </w:r>
          </w:p>
        </w:tc>
        <w:tc>
          <w:tcPr>
            <w:tcW w:w="2991" w:type="pct"/>
            <w:tcBorders>
              <w:top w:val="single" w:color="auto" w:sz="4" w:space="0"/>
              <w:left w:val="single" w:color="auto" w:sz="4" w:space="0"/>
              <w:bottom w:val="single" w:color="auto" w:sz="4" w:space="0"/>
              <w:right w:val="single" w:color="auto" w:sz="4" w:space="0"/>
            </w:tcBorders>
            <w:noWrap w:val="0"/>
            <w:vAlign w:val="center"/>
          </w:tcPr>
          <w:p w14:paraId="02AAA9A5">
            <w:pPr>
              <w:snapToGrid/>
              <w:spacing w:line="24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（一）评分内容</w:t>
            </w:r>
          </w:p>
          <w:p w14:paraId="0CE34B4A">
            <w:pPr>
              <w:snapToGrid/>
              <w:spacing w:line="24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投标供应商针对本项目，提供全面、内容详尽、具有针对性的服务质量保障方案，内容包括但不限于：</w:t>
            </w:r>
          </w:p>
          <w:p w14:paraId="5E8BDD37">
            <w:pPr>
              <w:snapToGrid/>
              <w:spacing w:line="24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1.服务响应时间保障；</w:t>
            </w:r>
          </w:p>
          <w:p w14:paraId="66F20EAC">
            <w:pPr>
              <w:snapToGrid/>
              <w:spacing w:line="240" w:lineRule="auto"/>
              <w:jc w:val="lef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2.产品质量保障</w:t>
            </w:r>
            <w:r>
              <w:rPr>
                <w:rFonts w:hint="eastAsia" w:ascii="仿宋_GB2312" w:hAnsi="仿宋_GB2312" w:eastAsia="仿宋_GB2312" w:cs="仿宋_GB2312"/>
                <w:color w:val="auto"/>
                <w:sz w:val="24"/>
                <w:szCs w:val="24"/>
                <w:highlight w:val="none"/>
                <w:lang w:eastAsia="zh-CN"/>
              </w:rPr>
              <w:t>。</w:t>
            </w:r>
          </w:p>
          <w:p w14:paraId="55B53CDD">
            <w:pPr>
              <w:snapToGrid/>
              <w:spacing w:line="24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（二）评分依据</w:t>
            </w:r>
          </w:p>
          <w:p w14:paraId="55BF09E0">
            <w:pPr>
              <w:snapToGrid/>
              <w:spacing w:line="24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1.投标文件满足评审内容情况，本项最高得</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分。</w:t>
            </w:r>
          </w:p>
          <w:p w14:paraId="3C62940E">
            <w:pPr>
              <w:snapToGrid/>
              <w:spacing w:line="24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每达到1项得</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分，未提供方案的不得分。</w:t>
            </w:r>
          </w:p>
          <w:p w14:paraId="0FFDD045">
            <w:pPr>
              <w:snapToGrid/>
              <w:spacing w:line="240" w:lineRule="auto"/>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24"/>
                <w:highlight w:val="none"/>
              </w:rPr>
              <w:t>2.</w:t>
            </w:r>
            <w:r>
              <w:rPr>
                <w:rFonts w:hint="eastAsia" w:ascii="仿宋_GB2312" w:hAnsi="仿宋_GB2312" w:eastAsia="仿宋_GB2312" w:cs="仿宋_GB2312"/>
                <w:color w:val="auto"/>
                <w:sz w:val="24"/>
                <w:highlight w:val="none"/>
              </w:rPr>
              <w:t>在此基础上，根据服务方案整体合理性、完整性、全面性，针对性等进行评分。</w:t>
            </w:r>
          </w:p>
          <w:p w14:paraId="2304848F">
            <w:pPr>
              <w:snapToGrid/>
              <w:spacing w:line="240" w:lineRule="auto"/>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①服务方案合理性、完整性、全面性、针对性强，加</w:t>
            </w:r>
            <w:r>
              <w:rPr>
                <w:rFonts w:hint="eastAsia" w:ascii="仿宋_GB2312" w:hAnsi="仿宋_GB2312" w:eastAsia="仿宋_GB2312" w:cs="仿宋_GB2312"/>
                <w:color w:val="auto"/>
                <w:sz w:val="24"/>
                <w:highlight w:val="none"/>
                <w:lang w:val="en-US" w:eastAsia="zh-CN"/>
              </w:rPr>
              <w:t>6</w:t>
            </w:r>
            <w:r>
              <w:rPr>
                <w:rFonts w:hint="eastAsia" w:ascii="仿宋_GB2312" w:hAnsi="仿宋_GB2312" w:eastAsia="仿宋_GB2312" w:cs="仿宋_GB2312"/>
                <w:color w:val="auto"/>
                <w:sz w:val="24"/>
                <w:highlight w:val="none"/>
              </w:rPr>
              <w:t>分；</w:t>
            </w:r>
          </w:p>
          <w:p w14:paraId="66919F7A">
            <w:pPr>
              <w:snapToGrid/>
              <w:spacing w:line="240" w:lineRule="auto"/>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②服务方案合理性、完整性、全面性、针对性较强，加</w:t>
            </w:r>
            <w:r>
              <w:rPr>
                <w:rFonts w:hint="eastAsia" w:ascii="仿宋_GB2312" w:hAnsi="仿宋_GB2312" w:eastAsia="仿宋_GB2312" w:cs="仿宋_GB2312"/>
                <w:color w:val="auto"/>
                <w:sz w:val="24"/>
                <w:highlight w:val="none"/>
                <w:lang w:val="en-US" w:eastAsia="zh-CN"/>
              </w:rPr>
              <w:t>4</w:t>
            </w:r>
            <w:r>
              <w:rPr>
                <w:rFonts w:hint="eastAsia" w:ascii="仿宋_GB2312" w:hAnsi="仿宋_GB2312" w:eastAsia="仿宋_GB2312" w:cs="仿宋_GB2312"/>
                <w:color w:val="auto"/>
                <w:sz w:val="24"/>
                <w:highlight w:val="none"/>
              </w:rPr>
              <w:t>分；</w:t>
            </w:r>
          </w:p>
          <w:p w14:paraId="6902F36B">
            <w:pPr>
              <w:snapToGrid/>
              <w:spacing w:line="240" w:lineRule="auto"/>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③服务方案合理性、完整性、全面性、针对性一般，加</w:t>
            </w: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rPr>
              <w:t>分；</w:t>
            </w:r>
          </w:p>
          <w:p w14:paraId="7B466066">
            <w:pPr>
              <w:snapToGrid/>
              <w:spacing w:line="240" w:lineRule="auto"/>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④服务方案合理性、完整性、全面性、针对性差，不加分；</w:t>
            </w:r>
          </w:p>
          <w:p w14:paraId="2682BA93">
            <w:pPr>
              <w:snapToGrid/>
              <w:spacing w:line="240" w:lineRule="auto"/>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⑤未提供或完全不符合的不得分。</w:t>
            </w:r>
          </w:p>
          <w:p w14:paraId="1303EB66">
            <w:pPr>
              <w:snapToGrid/>
              <w:spacing w:line="24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highlight w:val="none"/>
              </w:rPr>
              <w:t>注：方案与本项目无关或不相符</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对相关服务的关键要求没有详细说明、服务内容不明确、表述不清晰或不完善；总体设计思路及技术架构合理性较差；服务内容采用的技术路线落后；内容过于简略；服务方法不合理、针对性或可行性欠缺，不足以支撑项目实施等任意一项类似缺陷或瑕疵。</w:t>
            </w:r>
          </w:p>
        </w:tc>
      </w:tr>
      <w:tr w14:paraId="4DDA6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0" w:type="pct"/>
            <w:vMerge w:val="continue"/>
            <w:tcBorders>
              <w:left w:val="single" w:color="auto" w:sz="4" w:space="0"/>
              <w:right w:val="single" w:color="auto" w:sz="4" w:space="0"/>
            </w:tcBorders>
            <w:noWrap w:val="0"/>
            <w:vAlign w:val="center"/>
          </w:tcPr>
          <w:p w14:paraId="2D190412">
            <w:pPr>
              <w:widowControl/>
              <w:spacing w:line="240" w:lineRule="auto"/>
              <w:jc w:val="center"/>
              <w:rPr>
                <w:rFonts w:hint="eastAsia" w:ascii="仿宋_GB2312" w:hAnsi="仿宋_GB2312" w:eastAsia="仿宋_GB2312" w:cs="仿宋_GB2312"/>
                <w:color w:val="auto"/>
                <w:sz w:val="24"/>
                <w:szCs w:val="24"/>
                <w:highlight w:val="none"/>
              </w:rPr>
            </w:pPr>
          </w:p>
        </w:tc>
        <w:tc>
          <w:tcPr>
            <w:tcW w:w="329" w:type="pct"/>
            <w:tcBorders>
              <w:top w:val="single" w:color="auto" w:sz="4" w:space="0"/>
              <w:left w:val="single" w:color="auto" w:sz="4" w:space="0"/>
              <w:bottom w:val="single" w:color="auto" w:sz="4" w:space="0"/>
              <w:right w:val="single" w:color="auto" w:sz="4" w:space="0"/>
            </w:tcBorders>
            <w:noWrap w:val="0"/>
            <w:vAlign w:val="center"/>
          </w:tcPr>
          <w:p w14:paraId="554F1175">
            <w:pPr>
              <w:spacing w:line="240" w:lineRule="auto"/>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4</w:t>
            </w:r>
          </w:p>
        </w:tc>
        <w:tc>
          <w:tcPr>
            <w:tcW w:w="891" w:type="pct"/>
            <w:tcBorders>
              <w:top w:val="single" w:color="auto" w:sz="4" w:space="0"/>
              <w:left w:val="single" w:color="auto" w:sz="4" w:space="0"/>
              <w:bottom w:val="single" w:color="auto" w:sz="4" w:space="0"/>
              <w:right w:val="single" w:color="auto" w:sz="4" w:space="0"/>
            </w:tcBorders>
            <w:noWrap w:val="0"/>
            <w:vAlign w:val="center"/>
          </w:tcPr>
          <w:p w14:paraId="2A595C61">
            <w:pPr>
              <w:spacing w:line="240" w:lineRule="auto"/>
              <w:jc w:val="center"/>
              <w:rPr>
                <w:rFonts w:hint="eastAsia" w:ascii="仿宋_GB2312" w:hAnsi="仿宋_GB2312" w:eastAsia="仿宋_GB2312" w:cs="仿宋_GB2312"/>
                <w:color w:val="auto"/>
                <w:sz w:val="24"/>
                <w:szCs w:val="24"/>
                <w:highlight w:val="none"/>
                <w:lang w:bidi="zh-CN"/>
              </w:rPr>
            </w:pPr>
            <w:r>
              <w:rPr>
                <w:rFonts w:hint="eastAsia" w:ascii="仿宋_GB2312" w:hAnsi="仿宋_GB2312" w:eastAsia="仿宋_GB2312" w:cs="仿宋_GB2312"/>
                <w:color w:val="auto"/>
                <w:sz w:val="24"/>
                <w:szCs w:val="24"/>
                <w:highlight w:val="none"/>
              </w:rPr>
              <w:t>售后服务方案</w:t>
            </w:r>
          </w:p>
        </w:tc>
        <w:tc>
          <w:tcPr>
            <w:tcW w:w="477" w:type="pct"/>
            <w:tcBorders>
              <w:top w:val="single" w:color="auto" w:sz="4" w:space="0"/>
              <w:left w:val="single" w:color="auto" w:sz="4" w:space="0"/>
              <w:bottom w:val="single" w:color="auto" w:sz="4" w:space="0"/>
              <w:right w:val="single" w:color="auto" w:sz="4" w:space="0"/>
            </w:tcBorders>
            <w:noWrap w:val="0"/>
            <w:vAlign w:val="center"/>
          </w:tcPr>
          <w:p w14:paraId="78F3044A">
            <w:pPr>
              <w:spacing w:line="240" w:lineRule="auto"/>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11</w:t>
            </w:r>
          </w:p>
        </w:tc>
        <w:tc>
          <w:tcPr>
            <w:tcW w:w="2991" w:type="pct"/>
            <w:tcBorders>
              <w:top w:val="single" w:color="auto" w:sz="4" w:space="0"/>
              <w:left w:val="single" w:color="auto" w:sz="4" w:space="0"/>
              <w:bottom w:val="single" w:color="auto" w:sz="4" w:space="0"/>
              <w:right w:val="single" w:color="auto" w:sz="4" w:space="0"/>
            </w:tcBorders>
            <w:noWrap w:val="0"/>
            <w:vAlign w:val="center"/>
          </w:tcPr>
          <w:p w14:paraId="24409152">
            <w:pPr>
              <w:spacing w:line="24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（一）评分内容</w:t>
            </w:r>
          </w:p>
          <w:p w14:paraId="74D66FE4">
            <w:pPr>
              <w:spacing w:line="24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根据投标人针对项目提供的售后服务方案进行评审，包括但不限于以下内容：</w:t>
            </w:r>
          </w:p>
          <w:p w14:paraId="4EB95CD6">
            <w:pPr>
              <w:spacing w:line="24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1.质量保证期、质量维护期服务承诺；</w:t>
            </w:r>
          </w:p>
          <w:p w14:paraId="0F4AFD28">
            <w:pPr>
              <w:spacing w:line="24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2.退换货流程及承诺。</w:t>
            </w:r>
          </w:p>
          <w:p w14:paraId="5B4A3B97">
            <w:pPr>
              <w:snapToGrid/>
              <w:spacing w:line="24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（二）评分依据</w:t>
            </w:r>
          </w:p>
          <w:p w14:paraId="672E8F3F">
            <w:pPr>
              <w:snapToGrid/>
              <w:spacing w:line="24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1.投标文件满足评审内容情况，本项最高得</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分。</w:t>
            </w:r>
          </w:p>
          <w:p w14:paraId="6CF19426">
            <w:pPr>
              <w:snapToGrid/>
              <w:spacing w:line="24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每达到1项得</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分，未提供方案的不得分。</w:t>
            </w:r>
          </w:p>
          <w:p w14:paraId="7138C0EE">
            <w:pPr>
              <w:snapToGrid/>
              <w:spacing w:line="240" w:lineRule="auto"/>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24"/>
                <w:highlight w:val="none"/>
              </w:rPr>
              <w:t>2.</w:t>
            </w:r>
            <w:r>
              <w:rPr>
                <w:rFonts w:hint="eastAsia" w:ascii="仿宋_GB2312" w:hAnsi="仿宋_GB2312" w:eastAsia="仿宋_GB2312" w:cs="仿宋_GB2312"/>
                <w:color w:val="auto"/>
                <w:sz w:val="24"/>
                <w:highlight w:val="none"/>
              </w:rPr>
              <w:t>在此基础上，根据服务方案整体合理性、完整性、全面性，针对性等进行评分。</w:t>
            </w:r>
          </w:p>
          <w:p w14:paraId="70070CAE">
            <w:pPr>
              <w:snapToGrid/>
              <w:spacing w:line="240" w:lineRule="auto"/>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①服务方案合理性、完整性、全面性、针对性强，加</w:t>
            </w: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分；</w:t>
            </w:r>
          </w:p>
          <w:p w14:paraId="2F289711">
            <w:pPr>
              <w:snapToGrid/>
              <w:spacing w:line="240" w:lineRule="auto"/>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②服务方案合理性、完整性、全面性、针对性较强，加</w:t>
            </w: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rPr>
              <w:t>分；</w:t>
            </w:r>
          </w:p>
          <w:p w14:paraId="5A50208E">
            <w:pPr>
              <w:snapToGrid/>
              <w:spacing w:line="240" w:lineRule="auto"/>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③服务方案合理性、完整性、全面性、针对性一般，加</w:t>
            </w: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rPr>
              <w:t>分；</w:t>
            </w:r>
          </w:p>
          <w:p w14:paraId="7683718F">
            <w:pPr>
              <w:snapToGrid/>
              <w:spacing w:line="240" w:lineRule="auto"/>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④服务方案合理性、完整性、全面性、针对性差，不加分；</w:t>
            </w:r>
          </w:p>
          <w:p w14:paraId="266FAFEE">
            <w:pPr>
              <w:snapToGrid/>
              <w:spacing w:line="240" w:lineRule="auto"/>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⑤未提供或完全不符合的不得分。</w:t>
            </w:r>
          </w:p>
          <w:p w14:paraId="7FC5B16E">
            <w:pPr>
              <w:ind w:firstLineChars="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highlight w:val="none"/>
              </w:rPr>
              <w:t>注：方案与本项目无关或不相符</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对相关服务的关键要求没有详细说明、服务内容不明确、表述不清晰或不完善；总体设计思路及技术架构合理性较差；服务内容采用的技术路线落后；内容过于简略；服务方法不合理、针对性或可行性欠缺，不足以支撑项目实施等任意一项类似缺陷或瑕疵。</w:t>
            </w:r>
          </w:p>
        </w:tc>
      </w:tr>
      <w:tr w14:paraId="78245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0" w:type="pct"/>
            <w:tcBorders>
              <w:top w:val="single" w:color="auto" w:sz="4" w:space="0"/>
              <w:left w:val="single" w:color="auto" w:sz="4" w:space="0"/>
              <w:bottom w:val="single" w:color="auto" w:sz="4" w:space="0"/>
              <w:right w:val="single" w:color="auto" w:sz="4" w:space="0"/>
            </w:tcBorders>
            <w:noWrap w:val="0"/>
            <w:vAlign w:val="center"/>
          </w:tcPr>
          <w:p w14:paraId="4879F6E3">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p>
        </w:tc>
        <w:tc>
          <w:tcPr>
            <w:tcW w:w="1698" w:type="pct"/>
            <w:gridSpan w:val="3"/>
            <w:tcBorders>
              <w:top w:val="single" w:color="auto" w:sz="4" w:space="0"/>
              <w:left w:val="single" w:color="auto" w:sz="4" w:space="0"/>
              <w:bottom w:val="single" w:color="auto" w:sz="4" w:space="0"/>
              <w:right w:val="single" w:color="auto" w:sz="4" w:space="0"/>
            </w:tcBorders>
            <w:noWrap w:val="0"/>
            <w:vAlign w:val="center"/>
          </w:tcPr>
          <w:p w14:paraId="185AC8B0">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商务</w:t>
            </w:r>
          </w:p>
        </w:tc>
        <w:tc>
          <w:tcPr>
            <w:tcW w:w="2991" w:type="pct"/>
            <w:tcBorders>
              <w:top w:val="single" w:color="auto" w:sz="4" w:space="0"/>
              <w:left w:val="single" w:color="auto" w:sz="4" w:space="0"/>
              <w:bottom w:val="single" w:color="auto" w:sz="4" w:space="0"/>
              <w:right w:val="single" w:color="auto" w:sz="4" w:space="0"/>
            </w:tcBorders>
            <w:noWrap w:val="0"/>
            <w:vAlign w:val="center"/>
          </w:tcPr>
          <w:p w14:paraId="50FE7360">
            <w:pPr>
              <w:spacing w:line="240" w:lineRule="auto"/>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17</w:t>
            </w:r>
          </w:p>
        </w:tc>
      </w:tr>
      <w:tr w14:paraId="206A9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0" w:type="pct"/>
            <w:vMerge w:val="restart"/>
            <w:tcBorders>
              <w:top w:val="single" w:color="auto" w:sz="4" w:space="0"/>
              <w:left w:val="single" w:color="auto" w:sz="4" w:space="0"/>
              <w:right w:val="single" w:color="auto" w:sz="4" w:space="0"/>
            </w:tcBorders>
            <w:noWrap w:val="0"/>
            <w:vAlign w:val="center"/>
          </w:tcPr>
          <w:p w14:paraId="6A9E628B">
            <w:pPr>
              <w:spacing w:line="240" w:lineRule="auto"/>
              <w:jc w:val="center"/>
              <w:rPr>
                <w:rFonts w:hint="eastAsia" w:ascii="仿宋_GB2312" w:hAnsi="仿宋_GB2312" w:eastAsia="仿宋_GB2312" w:cs="仿宋_GB2312"/>
                <w:color w:val="auto"/>
                <w:sz w:val="24"/>
                <w:szCs w:val="24"/>
                <w:highlight w:val="none"/>
              </w:rPr>
            </w:pPr>
          </w:p>
        </w:tc>
        <w:tc>
          <w:tcPr>
            <w:tcW w:w="329" w:type="pct"/>
            <w:tcBorders>
              <w:top w:val="single" w:color="auto" w:sz="4" w:space="0"/>
              <w:left w:val="single" w:color="auto" w:sz="4" w:space="0"/>
              <w:bottom w:val="single" w:color="auto" w:sz="4" w:space="0"/>
              <w:right w:val="single" w:color="auto" w:sz="4" w:space="0"/>
            </w:tcBorders>
            <w:noWrap w:val="0"/>
            <w:vAlign w:val="center"/>
          </w:tcPr>
          <w:p w14:paraId="7F18A4C3">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行号</w:t>
            </w:r>
          </w:p>
        </w:tc>
        <w:tc>
          <w:tcPr>
            <w:tcW w:w="891" w:type="pct"/>
            <w:tcBorders>
              <w:top w:val="single" w:color="auto" w:sz="4" w:space="0"/>
              <w:left w:val="single" w:color="auto" w:sz="4" w:space="0"/>
              <w:bottom w:val="single" w:color="auto" w:sz="4" w:space="0"/>
              <w:right w:val="single" w:color="auto" w:sz="4" w:space="0"/>
            </w:tcBorders>
            <w:noWrap w:val="0"/>
            <w:vAlign w:val="center"/>
          </w:tcPr>
          <w:p w14:paraId="484D1981">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内容</w:t>
            </w:r>
          </w:p>
        </w:tc>
        <w:tc>
          <w:tcPr>
            <w:tcW w:w="477" w:type="pct"/>
            <w:tcBorders>
              <w:top w:val="single" w:color="auto" w:sz="4" w:space="0"/>
              <w:left w:val="single" w:color="auto" w:sz="4" w:space="0"/>
              <w:bottom w:val="single" w:color="auto" w:sz="4" w:space="0"/>
              <w:right w:val="single" w:color="auto" w:sz="4" w:space="0"/>
            </w:tcBorders>
            <w:noWrap w:val="0"/>
            <w:vAlign w:val="center"/>
          </w:tcPr>
          <w:p w14:paraId="7AA2876E">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权重</w:t>
            </w:r>
          </w:p>
        </w:tc>
        <w:tc>
          <w:tcPr>
            <w:tcW w:w="2991" w:type="pct"/>
            <w:tcBorders>
              <w:top w:val="single" w:color="auto" w:sz="4" w:space="0"/>
              <w:left w:val="single" w:color="auto" w:sz="4" w:space="0"/>
              <w:bottom w:val="single" w:color="auto" w:sz="4" w:space="0"/>
              <w:right w:val="single" w:color="auto" w:sz="4" w:space="0"/>
            </w:tcBorders>
            <w:noWrap w:val="0"/>
            <w:vAlign w:val="center"/>
          </w:tcPr>
          <w:p w14:paraId="3A1D2BCD">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评分准则</w:t>
            </w:r>
          </w:p>
        </w:tc>
      </w:tr>
      <w:tr w14:paraId="7737F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0" w:type="pct"/>
            <w:vMerge w:val="continue"/>
            <w:tcBorders>
              <w:top w:val="single" w:color="auto" w:sz="4" w:space="0"/>
              <w:left w:val="single" w:color="auto" w:sz="4" w:space="0"/>
              <w:right w:val="single" w:color="auto" w:sz="4" w:space="0"/>
            </w:tcBorders>
            <w:noWrap w:val="0"/>
            <w:vAlign w:val="center"/>
          </w:tcPr>
          <w:p w14:paraId="3760B713">
            <w:pPr>
              <w:spacing w:line="240" w:lineRule="auto"/>
              <w:jc w:val="center"/>
              <w:rPr>
                <w:rFonts w:hint="eastAsia" w:ascii="仿宋_GB2312" w:hAnsi="仿宋_GB2312" w:eastAsia="仿宋_GB2312" w:cs="仿宋_GB2312"/>
                <w:color w:val="auto"/>
                <w:sz w:val="24"/>
                <w:szCs w:val="24"/>
                <w:highlight w:val="none"/>
              </w:rPr>
            </w:pPr>
          </w:p>
        </w:tc>
        <w:tc>
          <w:tcPr>
            <w:tcW w:w="329" w:type="pct"/>
            <w:tcBorders>
              <w:top w:val="single" w:color="auto" w:sz="4" w:space="0"/>
              <w:left w:val="single" w:color="auto" w:sz="4" w:space="0"/>
              <w:bottom w:val="single" w:color="auto" w:sz="4" w:space="0"/>
              <w:right w:val="single" w:color="auto" w:sz="4" w:space="0"/>
            </w:tcBorders>
            <w:noWrap w:val="0"/>
            <w:vAlign w:val="center"/>
          </w:tcPr>
          <w:p w14:paraId="71659092">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891" w:type="pct"/>
            <w:tcBorders>
              <w:top w:val="single" w:color="auto" w:sz="4" w:space="0"/>
              <w:left w:val="single" w:color="auto" w:sz="4" w:space="0"/>
              <w:bottom w:val="single" w:color="auto" w:sz="4" w:space="0"/>
              <w:right w:val="single" w:color="auto" w:sz="4" w:space="0"/>
            </w:tcBorders>
            <w:noWrap w:val="0"/>
            <w:vAlign w:val="center"/>
          </w:tcPr>
          <w:p w14:paraId="15048822">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同类项目业绩</w:t>
            </w:r>
          </w:p>
        </w:tc>
        <w:tc>
          <w:tcPr>
            <w:tcW w:w="477" w:type="pct"/>
            <w:tcBorders>
              <w:top w:val="single" w:color="auto" w:sz="4" w:space="0"/>
              <w:left w:val="single" w:color="auto" w:sz="4" w:space="0"/>
              <w:bottom w:val="single" w:color="auto" w:sz="4" w:space="0"/>
              <w:right w:val="single" w:color="auto" w:sz="4" w:space="0"/>
            </w:tcBorders>
            <w:noWrap w:val="0"/>
            <w:vAlign w:val="center"/>
          </w:tcPr>
          <w:p w14:paraId="112EE933">
            <w:pPr>
              <w:spacing w:line="240" w:lineRule="auto"/>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6</w:t>
            </w:r>
          </w:p>
        </w:tc>
        <w:tc>
          <w:tcPr>
            <w:tcW w:w="2991" w:type="pct"/>
            <w:tcBorders>
              <w:top w:val="single" w:color="auto" w:sz="4" w:space="0"/>
              <w:left w:val="single" w:color="auto" w:sz="4" w:space="0"/>
              <w:bottom w:val="single" w:color="auto" w:sz="4" w:space="0"/>
              <w:right w:val="single" w:color="auto" w:sz="4" w:space="0"/>
            </w:tcBorders>
            <w:noWrap w:val="0"/>
            <w:vAlign w:val="center"/>
          </w:tcPr>
          <w:p w14:paraId="27631F43">
            <w:pPr>
              <w:spacing w:line="24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（一）评分内容</w:t>
            </w:r>
          </w:p>
          <w:p w14:paraId="29BE2C54">
            <w:pPr>
              <w:spacing w:line="24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投标人自2021年1月1日至投标截止时间前完成的同类项目业绩(以合同签订时间为准)，每项业绩得2分，最高得</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分。</w:t>
            </w:r>
          </w:p>
          <w:p w14:paraId="259A229E">
            <w:pPr>
              <w:spacing w:line="24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（二）证明文件</w:t>
            </w:r>
          </w:p>
          <w:p w14:paraId="005D58F7">
            <w:pPr>
              <w:spacing w:line="24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1.提供合同关键信息复印件或扫描件。通过合同关键信息无法判断是否得分的，需同时提供能证明得分的</w:t>
            </w:r>
            <w:r>
              <w:rPr>
                <w:rFonts w:hint="eastAsia" w:ascii="仿宋_GB2312" w:hAnsi="仿宋_GB2312" w:eastAsia="仿宋_GB2312" w:cs="仿宋_GB2312"/>
                <w:color w:val="auto"/>
                <w:sz w:val="24"/>
                <w:szCs w:val="24"/>
                <w:highlight w:val="none"/>
                <w:lang w:eastAsia="zh-CN"/>
              </w:rPr>
              <w:t>其他证明</w:t>
            </w:r>
            <w:r>
              <w:rPr>
                <w:rFonts w:hint="eastAsia" w:ascii="仿宋_GB2312" w:hAnsi="仿宋_GB2312" w:eastAsia="仿宋_GB2312" w:cs="仿宋_GB2312"/>
                <w:color w:val="auto"/>
                <w:sz w:val="24"/>
                <w:szCs w:val="24"/>
                <w:highlight w:val="none"/>
              </w:rPr>
              <w:t>资料，如项目报告或合同甲方出具的证明文件等。</w:t>
            </w:r>
          </w:p>
          <w:p w14:paraId="4C776ACA">
            <w:pPr>
              <w:spacing w:line="24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2.以上材料提供复印件或扫描件，原件备查。未提供有效证明材料的或者提供的证明材料不符合要求的或者提供的证明材料不清晰导致评审专家无法辨认的，一律作不得分处理。</w:t>
            </w:r>
          </w:p>
        </w:tc>
      </w:tr>
      <w:tr w14:paraId="74751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0" w:type="pct"/>
            <w:vMerge w:val="continue"/>
            <w:tcBorders>
              <w:top w:val="single" w:color="auto" w:sz="4" w:space="0"/>
              <w:left w:val="single" w:color="auto" w:sz="4" w:space="0"/>
              <w:right w:val="single" w:color="auto" w:sz="4" w:space="0"/>
            </w:tcBorders>
            <w:noWrap w:val="0"/>
            <w:vAlign w:val="center"/>
          </w:tcPr>
          <w:p w14:paraId="73F1838D">
            <w:pPr>
              <w:spacing w:line="240" w:lineRule="auto"/>
              <w:jc w:val="center"/>
              <w:rPr>
                <w:rFonts w:hint="eastAsia" w:ascii="仿宋_GB2312" w:hAnsi="仿宋_GB2312" w:eastAsia="仿宋_GB2312" w:cs="仿宋_GB2312"/>
                <w:color w:val="auto"/>
                <w:sz w:val="24"/>
                <w:szCs w:val="24"/>
                <w:highlight w:val="none"/>
              </w:rPr>
            </w:pPr>
          </w:p>
        </w:tc>
        <w:tc>
          <w:tcPr>
            <w:tcW w:w="329" w:type="pct"/>
            <w:tcBorders>
              <w:top w:val="single" w:color="auto" w:sz="4" w:space="0"/>
              <w:left w:val="single" w:color="auto" w:sz="4" w:space="0"/>
              <w:bottom w:val="single" w:color="auto" w:sz="4" w:space="0"/>
              <w:right w:val="single" w:color="auto" w:sz="4" w:space="0"/>
            </w:tcBorders>
            <w:noWrap w:val="0"/>
            <w:vAlign w:val="center"/>
          </w:tcPr>
          <w:p w14:paraId="317D0F76">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p>
        </w:tc>
        <w:tc>
          <w:tcPr>
            <w:tcW w:w="891" w:type="pct"/>
            <w:tcBorders>
              <w:top w:val="single" w:color="auto" w:sz="4" w:space="0"/>
              <w:left w:val="single" w:color="auto" w:sz="4" w:space="0"/>
              <w:bottom w:val="single" w:color="auto" w:sz="4" w:space="0"/>
              <w:right w:val="single" w:color="auto" w:sz="4" w:space="0"/>
            </w:tcBorders>
            <w:noWrap w:val="0"/>
            <w:vAlign w:val="center"/>
          </w:tcPr>
          <w:p w14:paraId="3025944A">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履约评价</w:t>
            </w:r>
          </w:p>
        </w:tc>
        <w:tc>
          <w:tcPr>
            <w:tcW w:w="477" w:type="pct"/>
            <w:tcBorders>
              <w:top w:val="single" w:color="auto" w:sz="4" w:space="0"/>
              <w:left w:val="single" w:color="auto" w:sz="4" w:space="0"/>
              <w:bottom w:val="single" w:color="auto" w:sz="4" w:space="0"/>
              <w:right w:val="single" w:color="auto" w:sz="4" w:space="0"/>
            </w:tcBorders>
            <w:noWrap w:val="0"/>
            <w:vAlign w:val="center"/>
          </w:tcPr>
          <w:p w14:paraId="7B3067E0">
            <w:pPr>
              <w:spacing w:line="240" w:lineRule="auto"/>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6</w:t>
            </w:r>
          </w:p>
        </w:tc>
        <w:tc>
          <w:tcPr>
            <w:tcW w:w="2991" w:type="pct"/>
            <w:tcBorders>
              <w:top w:val="single" w:color="auto" w:sz="4" w:space="0"/>
              <w:left w:val="single" w:color="auto" w:sz="4" w:space="0"/>
              <w:bottom w:val="single" w:color="auto" w:sz="4" w:space="0"/>
              <w:right w:val="single" w:color="auto" w:sz="4" w:space="0"/>
            </w:tcBorders>
            <w:noWrap w:val="0"/>
            <w:vAlign w:val="center"/>
          </w:tcPr>
          <w:p w14:paraId="61EEEE16">
            <w:pPr>
              <w:spacing w:line="24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（一）评分内容</w:t>
            </w:r>
          </w:p>
          <w:p w14:paraId="551A02F4">
            <w:pPr>
              <w:spacing w:line="240" w:lineRule="auto"/>
              <w:jc w:val="left"/>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color w:val="auto"/>
                <w:sz w:val="24"/>
                <w:szCs w:val="24"/>
                <w:highlight w:val="none"/>
              </w:rPr>
              <w:t>投标人在上述“同类项目业绩”评审项中判定为有效业绩的，提供用户出具的履约评价且评价为优（或履约评价中最高等级）的，每份得2分，评价为合格（或履约评价中次高等级）的，每份得1分，其他情况不得分。最高得</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分。</w:t>
            </w:r>
            <w:r>
              <w:rPr>
                <w:rFonts w:hint="eastAsia" w:ascii="仿宋_GB2312" w:hAnsi="仿宋_GB2312" w:eastAsia="仿宋_GB2312" w:cs="仿宋_GB2312"/>
                <w:color w:val="auto"/>
                <w:sz w:val="24"/>
                <w:szCs w:val="24"/>
                <w:highlight w:val="none"/>
              </w:rPr>
              <w:br w:type="textWrapping"/>
            </w:r>
            <w:r>
              <w:rPr>
                <w:rFonts w:hint="eastAsia" w:ascii="仿宋_GB2312" w:hAnsi="仿宋_GB2312" w:eastAsia="仿宋_GB2312" w:cs="仿宋_GB2312"/>
                <w:b w:val="0"/>
                <w:color w:val="auto"/>
                <w:sz w:val="24"/>
                <w:szCs w:val="24"/>
                <w:highlight w:val="none"/>
              </w:rPr>
              <w:t>（二）证明文件</w:t>
            </w:r>
          </w:p>
          <w:p w14:paraId="21F323B5">
            <w:pPr>
              <w:spacing w:line="24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提供用户出具的履约评价（加盖用户单位公章）扫描件或复印件，原件备查。未提供有效证明材料的或者提供的证明材料不符合要求的或者提供的证明材料不清晰导致评审专家无法辨认的，一律作不得分处理。</w:t>
            </w:r>
          </w:p>
        </w:tc>
      </w:tr>
      <w:tr w14:paraId="3EC45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0" w:type="pct"/>
            <w:vMerge w:val="continue"/>
            <w:tcBorders>
              <w:left w:val="single" w:color="auto" w:sz="4" w:space="0"/>
              <w:right w:val="single" w:color="auto" w:sz="4" w:space="0"/>
            </w:tcBorders>
            <w:noWrap w:val="0"/>
            <w:vAlign w:val="center"/>
          </w:tcPr>
          <w:p w14:paraId="59576E8D">
            <w:pPr>
              <w:spacing w:line="240" w:lineRule="auto"/>
              <w:jc w:val="center"/>
              <w:rPr>
                <w:rFonts w:hint="eastAsia" w:ascii="仿宋_GB2312" w:hAnsi="仿宋_GB2312" w:eastAsia="仿宋_GB2312" w:cs="仿宋_GB2312"/>
                <w:color w:val="auto"/>
                <w:sz w:val="24"/>
                <w:szCs w:val="24"/>
                <w:highlight w:val="none"/>
              </w:rPr>
            </w:pPr>
          </w:p>
        </w:tc>
        <w:tc>
          <w:tcPr>
            <w:tcW w:w="329" w:type="pct"/>
            <w:tcBorders>
              <w:top w:val="single" w:color="auto" w:sz="4" w:space="0"/>
              <w:left w:val="single" w:color="auto" w:sz="4" w:space="0"/>
              <w:bottom w:val="single" w:color="auto" w:sz="4" w:space="0"/>
              <w:right w:val="single" w:color="auto" w:sz="4" w:space="0"/>
            </w:tcBorders>
            <w:noWrap w:val="0"/>
            <w:vAlign w:val="center"/>
          </w:tcPr>
          <w:p w14:paraId="7BE3DC4C">
            <w:pPr>
              <w:spacing w:line="240" w:lineRule="auto"/>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3</w:t>
            </w:r>
          </w:p>
        </w:tc>
        <w:tc>
          <w:tcPr>
            <w:tcW w:w="891" w:type="pct"/>
            <w:tcBorders>
              <w:top w:val="single" w:color="auto" w:sz="4" w:space="0"/>
              <w:left w:val="single" w:color="auto" w:sz="4" w:space="0"/>
              <w:bottom w:val="single" w:color="auto" w:sz="4" w:space="0"/>
              <w:right w:val="single" w:color="auto" w:sz="4" w:space="0"/>
            </w:tcBorders>
            <w:noWrap w:val="0"/>
            <w:vAlign w:val="center"/>
          </w:tcPr>
          <w:p w14:paraId="4DCEE97A">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诚信情况</w:t>
            </w:r>
          </w:p>
        </w:tc>
        <w:tc>
          <w:tcPr>
            <w:tcW w:w="477" w:type="pct"/>
            <w:tcBorders>
              <w:top w:val="single" w:color="auto" w:sz="4" w:space="0"/>
              <w:left w:val="single" w:color="auto" w:sz="4" w:space="0"/>
              <w:bottom w:val="single" w:color="auto" w:sz="4" w:space="0"/>
              <w:right w:val="single" w:color="auto" w:sz="4" w:space="0"/>
            </w:tcBorders>
            <w:noWrap w:val="0"/>
            <w:vAlign w:val="center"/>
          </w:tcPr>
          <w:p w14:paraId="7A3887C5">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w:t>
            </w:r>
          </w:p>
        </w:tc>
        <w:tc>
          <w:tcPr>
            <w:tcW w:w="2991" w:type="pct"/>
            <w:tcBorders>
              <w:top w:val="single" w:color="auto" w:sz="4" w:space="0"/>
              <w:left w:val="single" w:color="auto" w:sz="4" w:space="0"/>
              <w:bottom w:val="single" w:color="auto" w:sz="4" w:space="0"/>
              <w:right w:val="single" w:color="auto" w:sz="4" w:space="0"/>
            </w:tcBorders>
            <w:noWrap w:val="0"/>
            <w:vAlign w:val="top"/>
          </w:tcPr>
          <w:p w14:paraId="2EE92D4F">
            <w:pPr>
              <w:spacing w:line="24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highlight w:val="none"/>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5分。（采购代理机构通过“信用中国”、“中国政府采购网”、“深圳市政府采购监管网”以及市、区财政部门认定的其他渠道查询供应商信用信息，投标人无需提供证明材料。）</w:t>
            </w:r>
          </w:p>
        </w:tc>
      </w:tr>
    </w:tbl>
    <w:p w14:paraId="762179B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备注：1.价格、技术、商务</w:t>
      </w:r>
      <w:r>
        <w:rPr>
          <w:rFonts w:hint="eastAsia" w:ascii="仿宋_GB2312" w:hAnsi="仿宋_GB2312" w:eastAsia="仿宋_GB2312" w:cs="仿宋_GB2312"/>
          <w:bCs/>
          <w:color w:val="auto"/>
          <w:kern w:val="0"/>
          <w:sz w:val="28"/>
          <w:szCs w:val="28"/>
          <w:highlight w:val="none"/>
          <w:lang w:eastAsia="zh-CN"/>
        </w:rPr>
        <w:t>、</w:t>
      </w:r>
      <w:r>
        <w:rPr>
          <w:rFonts w:hint="eastAsia" w:ascii="仿宋_GB2312" w:hAnsi="仿宋_GB2312" w:eastAsia="仿宋_GB2312" w:cs="仿宋_GB2312"/>
          <w:bCs/>
          <w:color w:val="auto"/>
          <w:kern w:val="0"/>
          <w:sz w:val="28"/>
          <w:szCs w:val="28"/>
          <w:highlight w:val="none"/>
          <w:lang w:val="en-US" w:eastAsia="zh-CN"/>
        </w:rPr>
        <w:t>诚信</w:t>
      </w:r>
      <w:r>
        <w:rPr>
          <w:rFonts w:hint="eastAsia" w:ascii="仿宋_GB2312" w:hAnsi="仿宋_GB2312" w:eastAsia="仿宋_GB2312" w:cs="仿宋_GB2312"/>
          <w:bCs/>
          <w:color w:val="auto"/>
          <w:kern w:val="0"/>
          <w:sz w:val="28"/>
          <w:szCs w:val="28"/>
          <w:highlight w:val="none"/>
        </w:rPr>
        <w:t>部分累加分为100分。</w:t>
      </w:r>
    </w:p>
    <w:p w14:paraId="7822684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bCs/>
          <w:color w:val="auto"/>
          <w:kern w:val="0"/>
          <w:sz w:val="28"/>
          <w:szCs w:val="28"/>
          <w:highlight w:val="none"/>
          <w:lang w:val="en-US" w:eastAsia="zh-CN"/>
        </w:rPr>
      </w:pPr>
      <w:r>
        <w:rPr>
          <w:rFonts w:hint="eastAsia" w:ascii="仿宋_GB2312" w:hAnsi="仿宋_GB2312" w:eastAsia="仿宋_GB2312" w:cs="仿宋_GB2312"/>
          <w:bCs/>
          <w:color w:val="auto"/>
          <w:kern w:val="0"/>
          <w:sz w:val="28"/>
          <w:szCs w:val="28"/>
          <w:highlight w:val="none"/>
        </w:rPr>
        <w:t>2.各投标人得分精确到小数点后两位。</w:t>
      </w:r>
    </w:p>
    <w:p w14:paraId="17D94BF5">
      <w:pPr>
        <w:pStyle w:val="27"/>
        <w:keepLines w:val="0"/>
        <w:pageBreakBefore w:val="0"/>
        <w:kinsoku/>
        <w:wordWrap/>
        <w:overflowPunct/>
        <w:topLinePunct w:val="0"/>
        <w:bidi w:val="0"/>
        <w:spacing w:line="520" w:lineRule="exact"/>
        <w:ind w:firstLine="560" w:firstLineChars="200"/>
        <w:rPr>
          <w:rFonts w:hint="eastAsia" w:ascii="黑体" w:hAnsi="黑体" w:eastAsia="黑体" w:cs="黑体"/>
          <w:b w:val="0"/>
          <w:bCs w:val="0"/>
          <w:color w:val="auto"/>
          <w:kern w:val="0"/>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三、政策导向</w:t>
      </w:r>
    </w:p>
    <w:p w14:paraId="4A2A731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（1）投标人提供的服务</w:t>
      </w:r>
      <w:r>
        <w:rPr>
          <w:rFonts w:hint="eastAsia" w:ascii="仿宋_GB2312" w:hAnsi="仿宋_GB2312" w:eastAsia="仿宋_GB2312" w:cs="仿宋_GB2312"/>
          <w:bCs/>
          <w:color w:val="auto"/>
          <w:kern w:val="0"/>
          <w:sz w:val="28"/>
          <w:szCs w:val="28"/>
          <w:highlight w:val="none"/>
          <w:lang w:eastAsia="zh-CN"/>
        </w:rPr>
        <w:t>全部</w:t>
      </w:r>
      <w:r>
        <w:rPr>
          <w:rFonts w:hint="eastAsia" w:ascii="仿宋_GB2312" w:hAnsi="仿宋_GB2312" w:eastAsia="仿宋_GB2312" w:cs="仿宋_GB2312"/>
          <w:bCs/>
          <w:color w:val="auto"/>
          <w:kern w:val="0"/>
          <w:sz w:val="28"/>
          <w:szCs w:val="28"/>
          <w:highlight w:val="none"/>
        </w:rPr>
        <w:t>由优惠主体承接，则对其投标总价给予</w:t>
      </w:r>
      <w:r>
        <w:rPr>
          <w:rFonts w:hint="eastAsia" w:ascii="仿宋_GB2312" w:hAnsi="仿宋_GB2312" w:eastAsia="仿宋_GB2312" w:cs="仿宋_GB2312"/>
          <w:b/>
          <w:bCs w:val="0"/>
          <w:color w:val="auto"/>
          <w:kern w:val="0"/>
          <w:sz w:val="28"/>
          <w:szCs w:val="28"/>
          <w:highlight w:val="none"/>
          <w:u w:val="single"/>
        </w:rPr>
        <w:t>10%</w:t>
      </w:r>
      <w:r>
        <w:rPr>
          <w:rFonts w:hint="eastAsia" w:ascii="仿宋_GB2312" w:hAnsi="仿宋_GB2312" w:eastAsia="仿宋_GB2312" w:cs="仿宋_GB2312"/>
          <w:bCs/>
          <w:color w:val="auto"/>
          <w:kern w:val="0"/>
          <w:sz w:val="28"/>
          <w:szCs w:val="28"/>
          <w:highlight w:val="none"/>
        </w:rPr>
        <w:t>的扣除，用扣除后的价格参与评审。满足多项优惠政策的企业，不重复享受多项价格扣除政策。</w:t>
      </w:r>
    </w:p>
    <w:p w14:paraId="63D7039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r>
        <w:rPr>
          <w:rFonts w:hint="eastAsia" w:ascii="仿宋_GB2312" w:hAnsi="仿宋_GB2312" w:eastAsia="仿宋_GB2312" w:cs="仿宋_GB2312"/>
          <w:bCs/>
          <w:color w:val="auto"/>
          <w:kern w:val="0"/>
          <w:sz w:val="28"/>
          <w:szCs w:val="28"/>
          <w:highlight w:val="none"/>
          <w:lang w:eastAsia="zh-CN"/>
        </w:rPr>
        <w:t>（</w:t>
      </w:r>
      <w:r>
        <w:rPr>
          <w:rFonts w:hint="eastAsia" w:ascii="仿宋_GB2312" w:hAnsi="仿宋_GB2312" w:eastAsia="仿宋_GB2312" w:cs="仿宋_GB2312"/>
          <w:bCs/>
          <w:color w:val="auto"/>
          <w:kern w:val="0"/>
          <w:sz w:val="28"/>
          <w:szCs w:val="28"/>
          <w:highlight w:val="none"/>
        </w:rPr>
        <w:t>b</w:t>
      </w:r>
      <w:r>
        <w:rPr>
          <w:rFonts w:hint="eastAsia" w:ascii="仿宋_GB2312" w:hAnsi="仿宋_GB2312" w:eastAsia="仿宋_GB2312" w:cs="仿宋_GB2312"/>
          <w:bCs/>
          <w:color w:val="auto"/>
          <w:kern w:val="0"/>
          <w:sz w:val="28"/>
          <w:szCs w:val="28"/>
          <w:highlight w:val="none"/>
          <w:lang w:eastAsia="zh-CN"/>
        </w:rPr>
        <w:t>）</w:t>
      </w:r>
      <w:r>
        <w:rPr>
          <w:rFonts w:hint="eastAsia" w:ascii="仿宋_GB2312" w:hAnsi="仿宋_GB2312" w:eastAsia="仿宋_GB2312" w:cs="仿宋_GB2312"/>
          <w:bCs/>
          <w:color w:val="auto"/>
          <w:kern w:val="0"/>
          <w:sz w:val="28"/>
          <w:szCs w:val="28"/>
          <w:highlight w:val="none"/>
        </w:rPr>
        <w:t>优惠主体承接是指提供服务的人员为中小企业依照《中华人民共和国劳动合同法》订立劳动合同的从业人员。</w:t>
      </w:r>
    </w:p>
    <w:p w14:paraId="432ACE4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（2）根据《工业和信息化部、国家统计局、国家发展和改革委员会、财政部关于印发中小企业划型标准规定的通知》（工信部联企业〔2011〕300号），本项目各采购标的对应的中小企业划分标准所属行业均为：</w:t>
      </w:r>
      <w:r>
        <w:rPr>
          <w:rFonts w:hint="eastAsia" w:ascii="仿宋_GB2312" w:hAnsi="仿宋_GB2312" w:eastAsia="仿宋_GB2312" w:cs="仿宋_GB2312"/>
          <w:b/>
          <w:bCs w:val="0"/>
          <w:color w:val="auto"/>
          <w:kern w:val="0"/>
          <w:sz w:val="28"/>
          <w:szCs w:val="28"/>
          <w:highlight w:val="none"/>
          <w:u w:val="single"/>
          <w:lang w:val="en-US" w:eastAsia="zh-CN"/>
        </w:rPr>
        <w:t>批发</w:t>
      </w:r>
      <w:r>
        <w:rPr>
          <w:rFonts w:hint="eastAsia" w:ascii="仿宋_GB2312" w:hAnsi="仿宋_GB2312" w:eastAsia="仿宋_GB2312" w:cs="仿宋_GB2312"/>
          <w:b/>
          <w:bCs w:val="0"/>
          <w:color w:val="auto"/>
          <w:kern w:val="0"/>
          <w:sz w:val="28"/>
          <w:szCs w:val="28"/>
          <w:highlight w:val="none"/>
          <w:u w:val="single"/>
        </w:rPr>
        <w:t>业</w:t>
      </w:r>
      <w:r>
        <w:rPr>
          <w:rFonts w:hint="eastAsia" w:ascii="仿宋_GB2312" w:hAnsi="仿宋_GB2312" w:eastAsia="仿宋_GB2312" w:cs="仿宋_GB2312"/>
          <w:bCs/>
          <w:color w:val="auto"/>
          <w:kern w:val="0"/>
          <w:sz w:val="28"/>
          <w:szCs w:val="28"/>
          <w:highlight w:val="none"/>
        </w:rPr>
        <w:t>。</w:t>
      </w:r>
    </w:p>
    <w:p w14:paraId="2472082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（3）小型企业、微型企业、残疾人福利性单位作为优</w:t>
      </w:r>
      <w:bookmarkStart w:id="19" w:name="_GoBack"/>
      <w:bookmarkEnd w:id="19"/>
      <w:r>
        <w:rPr>
          <w:rFonts w:hint="eastAsia" w:ascii="仿宋_GB2312" w:hAnsi="仿宋_GB2312" w:eastAsia="仿宋_GB2312" w:cs="仿宋_GB2312"/>
          <w:bCs/>
          <w:color w:val="auto"/>
          <w:kern w:val="0"/>
          <w:sz w:val="28"/>
          <w:szCs w:val="28"/>
          <w:highlight w:val="none"/>
        </w:rPr>
        <w:t>惠主体的认定资料为《中小企业声明函</w:t>
      </w:r>
      <w:r>
        <w:rPr>
          <w:rFonts w:hint="eastAsia" w:ascii="仿宋_GB2312" w:hAnsi="仿宋_GB2312" w:eastAsia="仿宋_GB2312" w:cs="仿宋_GB2312"/>
          <w:bCs/>
          <w:color w:val="auto"/>
          <w:kern w:val="0"/>
          <w:sz w:val="28"/>
          <w:szCs w:val="28"/>
          <w:highlight w:val="none"/>
          <w:lang w:eastAsia="zh-CN"/>
        </w:rPr>
        <w:t>》《</w:t>
      </w:r>
      <w:r>
        <w:rPr>
          <w:rFonts w:hint="eastAsia" w:ascii="仿宋_GB2312" w:hAnsi="仿宋_GB2312" w:eastAsia="仿宋_GB2312" w:cs="仿宋_GB2312"/>
          <w:bCs/>
          <w:color w:val="auto"/>
          <w:kern w:val="0"/>
          <w:sz w:val="28"/>
          <w:szCs w:val="28"/>
          <w:highlight w:val="none"/>
        </w:rPr>
        <w:t>残疾人福利性单位声明函》；监狱企业作为优惠主体的认定资料为省级以上监狱管理局、戒毒管理局出具的监狱企业证明文件。监狱企业或者代理提供监狱企业货物的供应商</w:t>
      </w:r>
      <w:r>
        <w:rPr>
          <w:rFonts w:hint="eastAsia" w:ascii="仿宋_GB2312" w:hAnsi="仿宋_GB2312" w:eastAsia="仿宋_GB2312" w:cs="仿宋_GB2312"/>
          <w:bCs/>
          <w:color w:val="auto"/>
          <w:kern w:val="0"/>
          <w:sz w:val="28"/>
          <w:szCs w:val="28"/>
          <w:highlight w:val="none"/>
          <w:lang w:eastAsia="zh-CN"/>
        </w:rPr>
        <w:t>如需</w:t>
      </w:r>
      <w:r>
        <w:rPr>
          <w:rFonts w:hint="eastAsia" w:ascii="仿宋_GB2312" w:hAnsi="仿宋_GB2312" w:eastAsia="仿宋_GB2312" w:cs="仿宋_GB2312"/>
          <w:bCs/>
          <w:color w:val="auto"/>
          <w:kern w:val="0"/>
          <w:sz w:val="28"/>
          <w:szCs w:val="28"/>
          <w:highlight w:val="none"/>
        </w:rPr>
        <w:t>享受优惠政策，除上述资料外，还须提供省级以上监狱管理局、戒毒管理局出具的监狱企业证明文件。</w:t>
      </w:r>
    </w:p>
    <w:p w14:paraId="38499547">
      <w:pPr>
        <w:keepLines w:val="0"/>
        <w:pageBreakBefore w:val="0"/>
        <w:kinsoku/>
        <w:wordWrap/>
        <w:overflowPunct/>
        <w:topLinePunct w:val="0"/>
        <w:bidi w:val="0"/>
        <w:spacing w:line="520" w:lineRule="exact"/>
        <w:ind w:firstLine="560" w:firstLineChars="200"/>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（4）享受价格扣除获得政府采购合同的，小微企业不得将合同分包给大中型企业。</w:t>
      </w:r>
    </w:p>
    <w:p w14:paraId="5AB5AD67">
      <w:pPr>
        <w:keepNext w:val="0"/>
        <w:keepLines w:val="0"/>
        <w:pageBreakBefore w:val="0"/>
        <w:widowControl/>
        <w:numPr>
          <w:ilvl w:val="-1"/>
          <w:numId w:val="0"/>
        </w:numPr>
        <w:kinsoku/>
        <w:wordWrap/>
        <w:overflowPunct/>
        <w:topLinePunct w:val="0"/>
        <w:autoSpaceDE/>
        <w:autoSpaceDN/>
        <w:bidi w:val="0"/>
        <w:adjustRightInd/>
        <w:spacing w:line="240" w:lineRule="auto"/>
        <w:jc w:val="left"/>
        <w:textAlignment w:val="auto"/>
        <w:rPr>
          <w:rFonts w:ascii="仿宋_GB2312" w:hAnsi="仿宋_GB2312" w:eastAsia="仿宋_GB2312" w:cs="仿宋_GB2312"/>
          <w:b/>
          <w:bCs/>
          <w:color w:val="auto"/>
          <w:kern w:val="2"/>
          <w:sz w:val="36"/>
          <w:szCs w:val="36"/>
          <w:highlight w:val="none"/>
          <w:lang w:val="en-US" w:eastAsia="zh-CN" w:bidi="ar-SA"/>
        </w:rPr>
      </w:pPr>
      <w:r>
        <w:rPr>
          <w:rFonts w:ascii="仿宋_GB2312" w:hAnsi="仿宋_GB2312" w:eastAsia="仿宋_GB2312" w:cs="仿宋_GB2312"/>
          <w:b/>
          <w:bCs/>
          <w:color w:val="auto"/>
          <w:kern w:val="2"/>
          <w:sz w:val="36"/>
          <w:szCs w:val="36"/>
          <w:highlight w:val="none"/>
          <w:lang w:val="en-US" w:eastAsia="zh-CN" w:bidi="ar-SA"/>
        </w:rPr>
        <w:br w:type="page"/>
      </w:r>
    </w:p>
    <w:p w14:paraId="02524CC4">
      <w:pPr>
        <w:keepNext w:val="0"/>
        <w:keepLines w:val="0"/>
        <w:pageBreakBefore w:val="0"/>
        <w:widowControl w:val="0"/>
        <w:numPr>
          <w:ilvl w:val="0"/>
          <w:numId w:val="0"/>
        </w:numPr>
        <w:kinsoku/>
        <w:wordWrap/>
        <w:overflowPunct/>
        <w:topLinePunct w:val="0"/>
        <w:autoSpaceDE/>
        <w:autoSpaceDN/>
        <w:bidi w:val="0"/>
        <w:adjustRightInd/>
        <w:spacing w:line="560" w:lineRule="exact"/>
        <w:jc w:val="center"/>
        <w:textAlignment w:val="auto"/>
        <w:rPr>
          <w:rFonts w:ascii="仿宋_GB2312" w:hAnsi="仿宋_GB2312" w:eastAsia="仿宋_GB2312" w:cs="仿宋_GB2312"/>
          <w:b/>
          <w:bCs/>
          <w:color w:val="auto"/>
          <w:sz w:val="36"/>
          <w:szCs w:val="36"/>
          <w:highlight w:val="none"/>
        </w:rPr>
      </w:pPr>
      <w:r>
        <w:rPr>
          <w:rFonts w:ascii="仿宋_GB2312" w:hAnsi="仿宋_GB2312" w:eastAsia="仿宋_GB2312" w:cs="仿宋_GB2312"/>
          <w:b/>
          <w:bCs/>
          <w:color w:val="auto"/>
          <w:kern w:val="2"/>
          <w:sz w:val="36"/>
          <w:szCs w:val="36"/>
          <w:highlight w:val="none"/>
          <w:lang w:val="en-US" w:eastAsia="zh-CN" w:bidi="ar-SA"/>
        </w:rPr>
        <w:t>第</w:t>
      </w:r>
      <w:r>
        <w:rPr>
          <w:rFonts w:hint="eastAsia" w:ascii="仿宋_GB2312" w:hAnsi="仿宋_GB2312" w:eastAsia="仿宋_GB2312" w:cs="仿宋_GB2312"/>
          <w:b/>
          <w:bCs/>
          <w:color w:val="auto"/>
          <w:kern w:val="2"/>
          <w:sz w:val="36"/>
          <w:szCs w:val="36"/>
          <w:highlight w:val="none"/>
          <w:lang w:val="en-US" w:eastAsia="zh-CN" w:bidi="ar-SA"/>
        </w:rPr>
        <w:t>四</w:t>
      </w:r>
      <w:r>
        <w:rPr>
          <w:rFonts w:ascii="仿宋_GB2312" w:hAnsi="仿宋_GB2312" w:eastAsia="仿宋_GB2312" w:cs="仿宋_GB2312"/>
          <w:b/>
          <w:bCs/>
          <w:color w:val="auto"/>
          <w:kern w:val="2"/>
          <w:sz w:val="36"/>
          <w:szCs w:val="36"/>
          <w:highlight w:val="none"/>
          <w:lang w:val="en-US" w:eastAsia="zh-CN" w:bidi="ar-SA"/>
        </w:rPr>
        <w:t>章</w:t>
      </w:r>
      <w:r>
        <w:rPr>
          <w:rFonts w:hint="eastAsia" w:ascii="仿宋_GB2312" w:hAnsi="仿宋_GB2312" w:eastAsia="仿宋_GB2312" w:cs="仿宋_GB2312"/>
          <w:b/>
          <w:bCs/>
          <w:color w:val="auto"/>
          <w:kern w:val="2"/>
          <w:sz w:val="36"/>
          <w:szCs w:val="36"/>
          <w:highlight w:val="none"/>
          <w:lang w:val="en-US" w:eastAsia="zh-CN" w:bidi="ar-SA"/>
        </w:rPr>
        <w:t xml:space="preserve"> </w:t>
      </w:r>
      <w:r>
        <w:rPr>
          <w:rFonts w:hint="eastAsia" w:ascii="仿宋_GB2312" w:hAnsi="仿宋_GB2312" w:eastAsia="仿宋_GB2312" w:cs="仿宋_GB2312"/>
          <w:b/>
          <w:bCs/>
          <w:color w:val="auto"/>
          <w:sz w:val="36"/>
          <w:szCs w:val="36"/>
          <w:highlight w:val="none"/>
        </w:rPr>
        <w:t>投标须知</w:t>
      </w:r>
    </w:p>
    <w:p w14:paraId="76400483">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一、为充分体现公平、公正、公开原则，择优选择供应商，参加投标的单位必须满足本项目投标供应商的资质要求。</w:t>
      </w:r>
    </w:p>
    <w:p w14:paraId="192C87AA">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一</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本项目的潜在供应商应在递交投标文件截止日之前到医院招采办报名投标。</w:t>
      </w:r>
    </w:p>
    <w:p w14:paraId="2E81C620">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b/>
          <w:bCs/>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二</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符合条件的供应商严格按照采购单位提供的招标文件，认真填写投标资料，并在规定时间</w:t>
      </w:r>
      <w:r>
        <w:rPr>
          <w:rFonts w:hint="eastAsia" w:ascii="仿宋" w:hAnsi="仿宋" w:eastAsia="仿宋" w:cs="仿宋"/>
          <w:color w:val="auto"/>
          <w:sz w:val="28"/>
          <w:szCs w:val="28"/>
          <w:highlight w:val="none"/>
          <w:lang w:val="en-US" w:eastAsia="zh-CN"/>
        </w:rPr>
        <w:t>内</w:t>
      </w:r>
      <w:r>
        <w:rPr>
          <w:rFonts w:hint="eastAsia" w:ascii="仿宋" w:hAnsi="仿宋" w:eastAsia="仿宋" w:cs="仿宋"/>
          <w:color w:val="auto"/>
          <w:sz w:val="28"/>
          <w:szCs w:val="28"/>
          <w:highlight w:val="none"/>
        </w:rPr>
        <w:t>将</w:t>
      </w:r>
      <w:r>
        <w:rPr>
          <w:rFonts w:hint="eastAsia" w:ascii="仿宋" w:hAnsi="仿宋" w:eastAsia="仿宋" w:cs="仿宋"/>
          <w:b/>
          <w:bCs/>
          <w:color w:val="auto"/>
          <w:sz w:val="28"/>
          <w:szCs w:val="28"/>
          <w:highlight w:val="none"/>
        </w:rPr>
        <w:t>投标文件密封</w:t>
      </w:r>
      <w:r>
        <w:rPr>
          <w:rFonts w:hint="eastAsia" w:ascii="仿宋" w:hAnsi="仿宋" w:eastAsia="仿宋" w:cs="仿宋"/>
          <w:color w:val="auto"/>
          <w:sz w:val="28"/>
          <w:szCs w:val="28"/>
          <w:highlight w:val="none"/>
        </w:rPr>
        <w:t>送达指定地点。投标单位法定代表人或授权代</w:t>
      </w:r>
      <w:r>
        <w:rPr>
          <w:rFonts w:hint="eastAsia" w:ascii="仿宋" w:hAnsi="仿宋" w:eastAsia="仿宋" w:cs="仿宋"/>
          <w:color w:val="auto"/>
          <w:sz w:val="28"/>
          <w:szCs w:val="28"/>
          <w:highlight w:val="none"/>
          <w:lang w:eastAsia="zh-CN"/>
        </w:rPr>
        <w:t>表人</w:t>
      </w:r>
      <w:r>
        <w:rPr>
          <w:rFonts w:hint="eastAsia" w:ascii="仿宋" w:hAnsi="仿宋" w:eastAsia="仿宋" w:cs="仿宋"/>
          <w:color w:val="auto"/>
          <w:sz w:val="28"/>
          <w:szCs w:val="28"/>
          <w:highlight w:val="none"/>
        </w:rPr>
        <w:t>在规定的时间内未递交投标资料的，视为自动放弃。</w:t>
      </w:r>
    </w:p>
    <w:p w14:paraId="0BBA1B91">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三</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院内公开招标有效投标的供应商不足三家，不得开标。</w:t>
      </w:r>
    </w:p>
    <w:p w14:paraId="78115AD0">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四</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存在下列情形的，应予废标：</w:t>
      </w:r>
    </w:p>
    <w:p w14:paraId="0A32C47A">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符合专业条件的供应商或者对招标文件作实质性响应的供应商不足三家的；</w:t>
      </w:r>
    </w:p>
    <w:p w14:paraId="076C1D4C">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出现影响采购公正的违法、违规行为的；</w:t>
      </w:r>
    </w:p>
    <w:p w14:paraId="7BDE460E">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投标人的报价均超过采购预算或最高限价，采购人不能支付的；</w:t>
      </w:r>
    </w:p>
    <w:p w14:paraId="25DAFF7E">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kern w:val="0"/>
          <w:sz w:val="28"/>
          <w:szCs w:val="28"/>
          <w:highlight w:val="none"/>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因重大变故，采购任务取消的。</w:t>
      </w:r>
    </w:p>
    <w:p w14:paraId="3DBE4C32">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五</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投标文件有效期</w:t>
      </w:r>
    </w:p>
    <w:p w14:paraId="608DEE34">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在递交投标文件截止日期之后的60天内有效</w:t>
      </w:r>
      <w:r>
        <w:rPr>
          <w:rFonts w:hint="eastAsia" w:ascii="仿宋" w:hAnsi="仿宋" w:eastAsia="仿宋" w:cs="仿宋"/>
          <w:color w:val="auto"/>
          <w:sz w:val="28"/>
          <w:szCs w:val="28"/>
          <w:highlight w:val="none"/>
          <w:lang w:val="en-US" w:eastAsia="zh-CN"/>
        </w:rPr>
        <w:t>；</w:t>
      </w:r>
    </w:p>
    <w:p w14:paraId="40145FC1">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在原定投标文件有效期满之前，如果出现特殊情况，招采办可以书面形式向供应商提出延长投标文件有效期的要求。</w:t>
      </w:r>
    </w:p>
    <w:p w14:paraId="058475C4">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二、需提供资料及标准</w:t>
      </w:r>
    </w:p>
    <w:p w14:paraId="668E52AF">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color w:val="auto"/>
          <w:sz w:val="28"/>
          <w:szCs w:val="36"/>
          <w:highlight w:val="none"/>
        </w:rPr>
        <w:t>（一）投标文件的规定。投标文件</w:t>
      </w:r>
      <w:r>
        <w:rPr>
          <w:rFonts w:hint="eastAsia" w:ascii="仿宋_GB2312" w:hAnsi="仿宋_GB2312" w:eastAsia="仿宋_GB2312" w:cs="仿宋_GB2312"/>
          <w:b/>
          <w:bCs/>
          <w:color w:val="auto"/>
          <w:sz w:val="28"/>
          <w:szCs w:val="36"/>
          <w:highlight w:val="none"/>
        </w:rPr>
        <w:t>须密封装袋</w:t>
      </w:r>
      <w:r>
        <w:rPr>
          <w:rFonts w:hint="eastAsia" w:ascii="仿宋_GB2312" w:hAnsi="仿宋_GB2312" w:eastAsia="仿宋_GB2312" w:cs="仿宋_GB2312"/>
          <w:color w:val="auto"/>
          <w:sz w:val="28"/>
          <w:szCs w:val="36"/>
          <w:highlight w:val="none"/>
        </w:rPr>
        <w:t>，制作</w:t>
      </w:r>
      <w:r>
        <w:rPr>
          <w:rFonts w:hint="eastAsia" w:ascii="仿宋_GB2312" w:hAnsi="仿宋_GB2312" w:eastAsia="仿宋_GB2312" w:cs="仿宋_GB2312"/>
          <w:b/>
          <w:bCs/>
          <w:color w:val="auto"/>
          <w:sz w:val="28"/>
          <w:szCs w:val="36"/>
          <w:highlight w:val="none"/>
        </w:rPr>
        <w:t>一本正本，2本副本（另：提交一本电子投标文件，用U盘拷贝，U盘不退还，并标明项目名称和公司名称）</w:t>
      </w:r>
      <w:r>
        <w:rPr>
          <w:rFonts w:hint="eastAsia" w:ascii="仿宋_GB2312" w:hAnsi="仿宋_GB2312" w:eastAsia="仿宋_GB2312" w:cs="仿宋_GB2312"/>
          <w:color w:val="auto"/>
          <w:sz w:val="28"/>
          <w:szCs w:val="36"/>
          <w:highlight w:val="none"/>
        </w:rPr>
        <w:t>，每份投标文件必须装订且须在封面上清楚标明“</w:t>
      </w:r>
      <w:r>
        <w:rPr>
          <w:rFonts w:hint="eastAsia" w:ascii="仿宋_GB2312" w:hAnsi="仿宋_GB2312" w:eastAsia="仿宋_GB2312" w:cs="仿宋_GB2312"/>
          <w:b/>
          <w:bCs/>
          <w:color w:val="auto"/>
          <w:sz w:val="28"/>
          <w:szCs w:val="36"/>
          <w:highlight w:val="none"/>
        </w:rPr>
        <w:t>正本</w:t>
      </w:r>
      <w:r>
        <w:rPr>
          <w:rFonts w:hint="eastAsia" w:ascii="仿宋_GB2312" w:hAnsi="仿宋_GB2312" w:eastAsia="仿宋_GB2312" w:cs="仿宋_GB2312"/>
          <w:color w:val="auto"/>
          <w:sz w:val="28"/>
          <w:szCs w:val="36"/>
          <w:highlight w:val="none"/>
        </w:rPr>
        <w:t>”或“</w:t>
      </w:r>
      <w:r>
        <w:rPr>
          <w:rFonts w:hint="eastAsia" w:ascii="仿宋_GB2312" w:hAnsi="仿宋_GB2312" w:eastAsia="仿宋_GB2312" w:cs="仿宋_GB2312"/>
          <w:b/>
          <w:bCs/>
          <w:color w:val="auto"/>
          <w:sz w:val="28"/>
          <w:szCs w:val="36"/>
          <w:highlight w:val="none"/>
        </w:rPr>
        <w:t>副本</w:t>
      </w:r>
      <w:r>
        <w:rPr>
          <w:rFonts w:hint="eastAsia" w:ascii="仿宋_GB2312" w:hAnsi="仿宋_GB2312" w:eastAsia="仿宋_GB2312" w:cs="仿宋_GB2312"/>
          <w:color w:val="auto"/>
          <w:sz w:val="28"/>
          <w:szCs w:val="36"/>
          <w:highlight w:val="none"/>
        </w:rPr>
        <w:t>”字样。一旦正本与副本不符，以正本为准。 投标文件不得涂改和增删，如要修改错漏处，必须由同一签署人</w:t>
      </w:r>
      <w:r>
        <w:rPr>
          <w:rFonts w:hint="eastAsia" w:ascii="仿宋_GB2312" w:hAnsi="仿宋_GB2312" w:eastAsia="仿宋_GB2312" w:cs="仿宋_GB2312"/>
          <w:b/>
          <w:bCs/>
          <w:color w:val="auto"/>
          <w:sz w:val="28"/>
          <w:szCs w:val="36"/>
          <w:highlight w:val="none"/>
        </w:rPr>
        <w:t>在修改处签字或盖章</w:t>
      </w:r>
      <w:r>
        <w:rPr>
          <w:rFonts w:hint="eastAsia" w:ascii="仿宋_GB2312" w:hAnsi="仿宋_GB2312" w:eastAsia="仿宋_GB2312" w:cs="仿宋_GB2312"/>
          <w:color w:val="auto"/>
          <w:sz w:val="28"/>
          <w:szCs w:val="36"/>
          <w:highlight w:val="none"/>
        </w:rPr>
        <w:t>。</w:t>
      </w:r>
    </w:p>
    <w:p w14:paraId="71EC49AA">
      <w:pPr>
        <w:keepNext w:val="0"/>
        <w:keepLines w:val="0"/>
        <w:pageBreakBefore w:val="0"/>
        <w:widowControl w:val="0"/>
        <w:kinsoku/>
        <w:wordWrap/>
        <w:overflowPunct/>
        <w:topLinePunct w:val="0"/>
        <w:autoSpaceDE/>
        <w:autoSpaceDN/>
        <w:bidi w:val="0"/>
        <w:adjustRightInd/>
        <w:spacing w:line="540" w:lineRule="exact"/>
        <w:ind w:firstLine="562" w:firstLineChars="200"/>
        <w:textAlignment w:val="auto"/>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（二）提供本项目开标一览表一份，开标一览表须加盖公章并单独密封，供应商须在开标一览表上签名确认。</w:t>
      </w:r>
    </w:p>
    <w:p w14:paraId="12625CD5">
      <w:pPr>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kern w:val="0"/>
          <w:sz w:val="28"/>
          <w:szCs w:val="28"/>
          <w:highlight w:val="none"/>
        </w:rPr>
        <w:t>（三）资料封面注有公司名称、地址、联系人、手机号码、办公电话和邮箱地址。</w:t>
      </w:r>
    </w:p>
    <w:p w14:paraId="4FF65084">
      <w:pPr>
        <w:keepNext w:val="0"/>
        <w:keepLines w:val="0"/>
        <w:pageBreakBefore w:val="0"/>
        <w:widowControl w:val="0"/>
        <w:numPr>
          <w:ilvl w:val="-1"/>
          <w:numId w:val="0"/>
        </w:numPr>
        <w:kinsoku/>
        <w:wordWrap/>
        <w:overflowPunct/>
        <w:topLinePunct w:val="0"/>
        <w:autoSpaceDE/>
        <w:autoSpaceDN/>
        <w:bidi w:val="0"/>
        <w:adjustRightInd/>
        <w:snapToGrid w:val="0"/>
        <w:spacing w:line="540" w:lineRule="exact"/>
        <w:ind w:left="-5" w:firstLine="560" w:firstLineChars="200"/>
        <w:jc w:val="left"/>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lang w:val="en-US" w:eastAsia="zh-CN"/>
        </w:rPr>
        <w:t>1.</w:t>
      </w:r>
      <w:r>
        <w:rPr>
          <w:rFonts w:hint="eastAsia" w:ascii="仿宋_GB2312" w:hAnsi="仿宋_GB2312" w:eastAsia="仿宋_GB2312" w:cs="仿宋_GB2312"/>
          <w:snapToGrid w:val="0"/>
          <w:color w:val="auto"/>
          <w:kern w:val="144"/>
          <w:sz w:val="28"/>
          <w:szCs w:val="28"/>
          <w:highlight w:val="none"/>
        </w:rPr>
        <w:t>所有资料要有封面、目录、页码、装订成册。</w:t>
      </w:r>
    </w:p>
    <w:p w14:paraId="576768C6">
      <w:pPr>
        <w:keepNext w:val="0"/>
        <w:keepLines w:val="0"/>
        <w:pageBreakBefore w:val="0"/>
        <w:widowControl w:val="0"/>
        <w:numPr>
          <w:ilvl w:val="-1"/>
          <w:numId w:val="0"/>
        </w:numPr>
        <w:kinsoku/>
        <w:wordWrap/>
        <w:overflowPunct/>
        <w:topLinePunct w:val="0"/>
        <w:autoSpaceDE/>
        <w:autoSpaceDN/>
        <w:bidi w:val="0"/>
        <w:adjustRightInd/>
        <w:snapToGrid w:val="0"/>
        <w:spacing w:line="540" w:lineRule="exact"/>
        <w:ind w:left="-5" w:firstLine="560" w:firstLineChars="200"/>
        <w:jc w:val="left"/>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lang w:val="en-US" w:eastAsia="zh-CN"/>
        </w:rPr>
        <w:t>2.</w:t>
      </w:r>
      <w:r>
        <w:rPr>
          <w:rFonts w:hint="eastAsia" w:ascii="仿宋_GB2312" w:hAnsi="仿宋_GB2312" w:eastAsia="仿宋_GB2312" w:cs="仿宋_GB2312"/>
          <w:snapToGrid w:val="0"/>
          <w:color w:val="auto"/>
          <w:kern w:val="144"/>
          <w:sz w:val="28"/>
          <w:szCs w:val="28"/>
          <w:highlight w:val="none"/>
        </w:rPr>
        <w:t>所有资料</w:t>
      </w:r>
      <w:r>
        <w:rPr>
          <w:rFonts w:hint="eastAsia" w:ascii="仿宋_GB2312" w:hAnsi="仿宋_GB2312" w:eastAsia="仿宋_GB2312" w:cs="仿宋_GB2312"/>
          <w:b/>
          <w:bCs/>
          <w:snapToGrid w:val="0"/>
          <w:color w:val="auto"/>
          <w:kern w:val="144"/>
          <w:sz w:val="28"/>
          <w:szCs w:val="28"/>
          <w:highlight w:val="none"/>
        </w:rPr>
        <w:t>每页须加盖公章</w:t>
      </w:r>
      <w:r>
        <w:rPr>
          <w:rFonts w:hint="eastAsia" w:ascii="仿宋_GB2312" w:hAnsi="仿宋_GB2312" w:eastAsia="仿宋_GB2312" w:cs="仿宋_GB2312"/>
          <w:snapToGrid w:val="0"/>
          <w:color w:val="auto"/>
          <w:kern w:val="144"/>
          <w:sz w:val="28"/>
          <w:szCs w:val="28"/>
          <w:highlight w:val="none"/>
        </w:rPr>
        <w:t>。</w:t>
      </w:r>
    </w:p>
    <w:p w14:paraId="74335A41">
      <w:pPr>
        <w:keepNext w:val="0"/>
        <w:keepLines w:val="0"/>
        <w:pageBreakBefore w:val="0"/>
        <w:widowControl w:val="0"/>
        <w:numPr>
          <w:ilvl w:val="-1"/>
          <w:numId w:val="0"/>
        </w:numPr>
        <w:kinsoku/>
        <w:wordWrap/>
        <w:overflowPunct/>
        <w:topLinePunct w:val="0"/>
        <w:autoSpaceDE/>
        <w:autoSpaceDN/>
        <w:bidi w:val="0"/>
        <w:adjustRightInd/>
        <w:snapToGrid w:val="0"/>
        <w:spacing w:line="540" w:lineRule="exact"/>
        <w:ind w:left="-5" w:firstLine="560" w:firstLineChars="200"/>
        <w:jc w:val="left"/>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lang w:val="en-US" w:eastAsia="zh-CN"/>
        </w:rPr>
        <w:t>3.</w:t>
      </w:r>
      <w:r>
        <w:rPr>
          <w:rFonts w:hint="eastAsia" w:ascii="仿宋_GB2312" w:hAnsi="仿宋_GB2312" w:eastAsia="仿宋_GB2312" w:cs="仿宋_GB2312"/>
          <w:snapToGrid w:val="0"/>
          <w:color w:val="auto"/>
          <w:kern w:val="144"/>
          <w:sz w:val="28"/>
          <w:szCs w:val="28"/>
          <w:highlight w:val="none"/>
        </w:rPr>
        <w:t>所有资料须</w:t>
      </w:r>
      <w:r>
        <w:rPr>
          <w:rFonts w:hint="eastAsia" w:ascii="仿宋_GB2312" w:hAnsi="仿宋_GB2312" w:eastAsia="仿宋_GB2312" w:cs="仿宋_GB2312"/>
          <w:b/>
          <w:bCs/>
          <w:snapToGrid w:val="0"/>
          <w:color w:val="auto"/>
          <w:kern w:val="144"/>
          <w:sz w:val="28"/>
          <w:szCs w:val="28"/>
          <w:highlight w:val="none"/>
        </w:rPr>
        <w:t>密封并加盖公章</w:t>
      </w:r>
      <w:r>
        <w:rPr>
          <w:rFonts w:hint="eastAsia" w:ascii="仿宋_GB2312" w:hAnsi="仿宋_GB2312" w:eastAsia="仿宋_GB2312" w:cs="仿宋_GB2312"/>
          <w:snapToGrid w:val="0"/>
          <w:color w:val="auto"/>
          <w:kern w:val="144"/>
          <w:sz w:val="28"/>
          <w:szCs w:val="28"/>
          <w:highlight w:val="none"/>
        </w:rPr>
        <w:t>。</w:t>
      </w:r>
    </w:p>
    <w:p w14:paraId="2D33DBF2">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rPr>
        <w:t>（四）携带完整资料到招采办报名登记好公司名称、业务代表姓名、联系电话及提供的产品项目。</w:t>
      </w:r>
    </w:p>
    <w:p w14:paraId="47181939">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rPr>
        <w:t>（五）经取得院内公开采购的项目在验收时，其实际质量与其参加院内公开采购时提供的条件不符或在规定时间内拒签合同以及不按合同条款执行合同者均视为不履行合约，我院将其供应商列入我院黑名单及上报有关部门，在一年内不允许该公司参加我院内公开采购活动。</w:t>
      </w:r>
    </w:p>
    <w:p w14:paraId="4413E4DE">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color w:val="auto"/>
          <w:sz w:val="28"/>
          <w:szCs w:val="36"/>
          <w:highlight w:val="none"/>
        </w:rPr>
      </w:pPr>
      <w:r>
        <w:rPr>
          <w:rFonts w:hint="eastAsia" w:ascii="仿宋_GB2312" w:hAnsi="仿宋_GB2312" w:eastAsia="仿宋_GB2312" w:cs="仿宋_GB2312"/>
          <w:color w:val="auto"/>
          <w:sz w:val="28"/>
          <w:szCs w:val="36"/>
          <w:highlight w:val="none"/>
        </w:rPr>
        <w:t>（六）投标人的产品质量及服务承诺书不能严重低于招标文件中的服务要求标准</w:t>
      </w:r>
      <w:r>
        <w:rPr>
          <w:rFonts w:hint="eastAsia" w:ascii="仿宋_GB2312" w:hAnsi="仿宋_GB2312" w:eastAsia="仿宋_GB2312" w:cs="仿宋_GB2312"/>
          <w:color w:val="auto"/>
          <w:sz w:val="28"/>
          <w:szCs w:val="36"/>
          <w:highlight w:val="none"/>
          <w:lang w:val="en-US" w:eastAsia="zh-CN"/>
        </w:rPr>
        <w:t>作</w:t>
      </w:r>
      <w:r>
        <w:rPr>
          <w:rFonts w:hint="eastAsia" w:ascii="仿宋_GB2312" w:hAnsi="仿宋_GB2312" w:eastAsia="仿宋_GB2312" w:cs="仿宋_GB2312"/>
          <w:color w:val="auto"/>
          <w:sz w:val="28"/>
          <w:szCs w:val="36"/>
          <w:highlight w:val="none"/>
        </w:rPr>
        <w:t>出响应，允许出现负偏差，但不得出现严重负偏差。</w:t>
      </w:r>
    </w:p>
    <w:p w14:paraId="0FAF9074">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color w:val="auto"/>
          <w:sz w:val="28"/>
          <w:szCs w:val="36"/>
          <w:highlight w:val="none"/>
        </w:rPr>
        <w:t>（七）评审结束，中标结果公示</w:t>
      </w:r>
      <w:r>
        <w:rPr>
          <w:rFonts w:hint="eastAsia" w:ascii="仿宋_GB2312" w:hAnsi="仿宋_GB2312" w:eastAsia="仿宋_GB2312" w:cs="仿宋_GB2312"/>
          <w:b w:val="0"/>
          <w:bCs w:val="0"/>
          <w:color w:val="auto"/>
          <w:sz w:val="28"/>
          <w:szCs w:val="36"/>
          <w:highlight w:val="none"/>
        </w:rPr>
        <w:t>3天</w:t>
      </w:r>
      <w:r>
        <w:rPr>
          <w:rFonts w:hint="eastAsia" w:ascii="仿宋_GB2312" w:hAnsi="仿宋_GB2312" w:eastAsia="仿宋_GB2312" w:cs="仿宋_GB2312"/>
          <w:color w:val="auto"/>
          <w:sz w:val="28"/>
          <w:szCs w:val="36"/>
          <w:highlight w:val="none"/>
        </w:rPr>
        <w:t>，中标供应商须在收到我院中标通知书后</w:t>
      </w:r>
      <w:r>
        <w:rPr>
          <w:rFonts w:hint="eastAsia" w:ascii="仿宋_GB2312" w:hAnsi="仿宋_GB2312" w:eastAsia="仿宋_GB2312" w:cs="仿宋_GB2312"/>
          <w:b/>
          <w:bCs/>
          <w:color w:val="auto"/>
          <w:sz w:val="28"/>
          <w:szCs w:val="36"/>
          <w:highlight w:val="none"/>
        </w:rPr>
        <w:t>10个工作日内</w:t>
      </w:r>
      <w:r>
        <w:rPr>
          <w:rFonts w:hint="eastAsia" w:ascii="仿宋_GB2312" w:hAnsi="仿宋_GB2312" w:eastAsia="仿宋_GB2312" w:cs="仿宋_GB2312"/>
          <w:color w:val="auto"/>
          <w:sz w:val="28"/>
          <w:szCs w:val="36"/>
          <w:highlight w:val="none"/>
        </w:rPr>
        <w:t>到我院签署合同，超过</w:t>
      </w:r>
      <w:r>
        <w:rPr>
          <w:rFonts w:hint="eastAsia" w:ascii="仿宋_GB2312" w:hAnsi="仿宋_GB2312" w:eastAsia="仿宋_GB2312" w:cs="仿宋_GB2312"/>
          <w:b/>
          <w:bCs/>
          <w:color w:val="auto"/>
          <w:sz w:val="28"/>
          <w:szCs w:val="36"/>
          <w:highlight w:val="none"/>
        </w:rPr>
        <w:t>10个工作日</w:t>
      </w:r>
      <w:r>
        <w:rPr>
          <w:rFonts w:hint="eastAsia" w:ascii="仿宋_GB2312" w:hAnsi="仿宋_GB2312" w:eastAsia="仿宋_GB2312" w:cs="仿宋_GB2312"/>
          <w:color w:val="auto"/>
          <w:sz w:val="28"/>
          <w:szCs w:val="36"/>
          <w:highlight w:val="none"/>
        </w:rPr>
        <w:t>未前来</w:t>
      </w:r>
      <w:r>
        <w:rPr>
          <w:rFonts w:hint="eastAsia" w:ascii="仿宋_GB2312" w:hAnsi="仿宋_GB2312" w:eastAsia="仿宋_GB2312" w:cs="仿宋_GB2312"/>
          <w:color w:val="auto"/>
          <w:sz w:val="28"/>
          <w:szCs w:val="36"/>
          <w:highlight w:val="none"/>
          <w:lang w:eastAsia="zh-CN"/>
        </w:rPr>
        <w:t>签订</w:t>
      </w:r>
      <w:r>
        <w:rPr>
          <w:rFonts w:hint="eastAsia" w:ascii="仿宋_GB2312" w:hAnsi="仿宋_GB2312" w:eastAsia="仿宋_GB2312" w:cs="仿宋_GB2312"/>
          <w:color w:val="auto"/>
          <w:sz w:val="28"/>
          <w:szCs w:val="36"/>
          <w:highlight w:val="none"/>
        </w:rPr>
        <w:t>合同的，我院有权宣布本次采购结果作废，重新确定供应商。</w:t>
      </w:r>
    </w:p>
    <w:p w14:paraId="47CA3DAE">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三、招标文件的澄清</w:t>
      </w:r>
    </w:p>
    <w:p w14:paraId="0EE36386">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1.投标人在收到招标文件后，可以对已发出的招标文件进行必要的澄清或者修改。澄清或者修改应当在原公告发布媒体上发布澄清（更正/变更）公告。</w:t>
      </w:r>
    </w:p>
    <w:p w14:paraId="1A8D5FF0">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无论出于何种原因，采购人可以主动地或在解答投标人提出的疑问时对已发出的招标文件进行必要的澄清或修改（更正）的，于投标截止时间前在指定媒体上发布公告，并通知所有报名及购买招标文件的投标人，报名招标文件的投标人在收到澄清或修改（更正）通知后应按要求以书面形式（传真有效）予以确认，如在24小时之内无书面回函则视为同意修改内容，并有责任履行相应的义务。</w:t>
      </w:r>
    </w:p>
    <w:p w14:paraId="35EF1463">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3.采购人发出的澄清或修改（更正/变更）的内容为招标文件的组成部分，并对供应商具有约束力。</w:t>
      </w:r>
    </w:p>
    <w:p w14:paraId="57BE7C5B">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对招标文件中描述有歧义或前后不一致的地方，评标委员会有权进行评判，但对同一条款的评判应适用于每个投标人。</w:t>
      </w:r>
    </w:p>
    <w:p w14:paraId="01C262B0">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 w:hAnsi="仿宋" w:eastAsia="仿宋" w:cs="仿宋"/>
          <w:color w:val="auto"/>
          <w:sz w:val="28"/>
          <w:szCs w:val="28"/>
          <w:highlight w:val="none"/>
        </w:rPr>
      </w:pPr>
      <w:r>
        <w:rPr>
          <w:rFonts w:hint="eastAsia" w:ascii="仿宋" w:hAnsi="仿宋" w:eastAsia="仿宋" w:cs="仿宋"/>
          <w:b/>
          <w:bCs/>
          <w:color w:val="auto"/>
          <w:sz w:val="28"/>
          <w:szCs w:val="28"/>
          <w:highlight w:val="none"/>
        </w:rPr>
        <w:t>四、招标文件的补充和修正</w:t>
      </w:r>
    </w:p>
    <w:p w14:paraId="691F9D0C">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1.</w:t>
      </w:r>
      <w:r>
        <w:rPr>
          <w:rFonts w:hint="eastAsia" w:ascii="仿宋" w:hAnsi="仿宋" w:eastAsia="仿宋" w:cs="仿宋"/>
          <w:color w:val="auto"/>
          <w:sz w:val="28"/>
          <w:szCs w:val="28"/>
          <w:highlight w:val="none"/>
        </w:rPr>
        <w:t>采购人可以对已发出的招标文件进行必要的澄清或者修改。澄清或者修改应当在原公告发布媒体上发布澄清（更正/变更）公告。</w:t>
      </w:r>
    </w:p>
    <w:p w14:paraId="5291BE8A">
      <w:pPr>
        <w:pStyle w:val="3"/>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2.</w:t>
      </w:r>
      <w:r>
        <w:rPr>
          <w:rFonts w:ascii="仿宋" w:hAnsi="仿宋" w:eastAsia="仿宋" w:cs="仿宋"/>
          <w:color w:val="auto"/>
          <w:sz w:val="28"/>
          <w:szCs w:val="28"/>
          <w:highlight w:val="none"/>
        </w:rPr>
        <w:t>采购人对招标文件的补充和修正，将以电子文件等方式发给所有获得招标文件的供应商，补充通知作为招标文件的组成部分，对同意参与招标单位起约束作用。</w:t>
      </w:r>
    </w:p>
    <w:p w14:paraId="3FA8B555">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五、投标文件有效期</w:t>
      </w:r>
    </w:p>
    <w:p w14:paraId="736C3142">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0" w:leftChars="0"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kern w:val="2"/>
          <w:sz w:val="28"/>
          <w:szCs w:val="28"/>
          <w:highlight w:val="none"/>
          <w:lang w:val="en-US" w:eastAsia="zh-CN" w:bidi="ar-SA"/>
        </w:rPr>
        <w:t>1.</w:t>
      </w:r>
      <w:r>
        <w:rPr>
          <w:rFonts w:hint="eastAsia" w:ascii="仿宋" w:hAnsi="仿宋" w:eastAsia="仿宋" w:cs="仿宋"/>
          <w:color w:val="auto"/>
          <w:sz w:val="28"/>
          <w:szCs w:val="28"/>
          <w:highlight w:val="none"/>
        </w:rPr>
        <w:t>在递交投标文件截止日期之后的60天内有效。</w:t>
      </w:r>
    </w:p>
    <w:p w14:paraId="747CB119">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0" w:leftChars="0"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kern w:val="2"/>
          <w:sz w:val="28"/>
          <w:szCs w:val="28"/>
          <w:highlight w:val="none"/>
          <w:lang w:val="en-US" w:eastAsia="zh-CN" w:bidi="ar-SA"/>
        </w:rPr>
        <w:t>2.</w:t>
      </w:r>
      <w:r>
        <w:rPr>
          <w:rFonts w:hint="eastAsia" w:ascii="仿宋" w:hAnsi="仿宋" w:eastAsia="仿宋" w:cs="仿宋"/>
          <w:color w:val="auto"/>
          <w:sz w:val="28"/>
          <w:szCs w:val="28"/>
          <w:highlight w:val="none"/>
        </w:rPr>
        <w:t>在原定投标文件有效期满之前，如果出现特殊情况，招采办可以书面形式向投标人提出延长投标文件有效期的要求。</w:t>
      </w:r>
    </w:p>
    <w:p w14:paraId="21DBFBD9">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0" w:leftChars="0"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kern w:val="2"/>
          <w:sz w:val="28"/>
          <w:szCs w:val="28"/>
          <w:highlight w:val="none"/>
          <w:lang w:val="en-US" w:eastAsia="zh-CN" w:bidi="ar-SA"/>
        </w:rPr>
        <w:t>3.</w:t>
      </w:r>
      <w:r>
        <w:rPr>
          <w:rFonts w:hint="eastAsia" w:ascii="仿宋" w:hAnsi="仿宋" w:eastAsia="仿宋" w:cs="仿宋"/>
          <w:color w:val="auto"/>
          <w:sz w:val="28"/>
          <w:szCs w:val="28"/>
          <w:highlight w:val="none"/>
        </w:rPr>
        <w:t>质疑期限：凡对招标文件有任何质疑的（包括认为招标文件的技术指标或参数存在排他性或歧视性条款），请于开标之日前提出疑问，逾期不予处理。</w:t>
      </w:r>
    </w:p>
    <w:p w14:paraId="77E1E683">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0" w:leftChars="0" w:firstLine="420" w:firstLineChars="200"/>
        <w:textAlignment w:val="auto"/>
        <w:rPr>
          <w:rFonts w:hint="eastAsia" w:ascii="仿宋" w:hAnsi="仿宋" w:eastAsia="仿宋" w:cs="仿宋"/>
          <w:color w:val="auto"/>
          <w:sz w:val="28"/>
          <w:szCs w:val="28"/>
          <w:highlight w:val="none"/>
        </w:rPr>
      </w:pPr>
      <w:r>
        <w:rPr>
          <w:rFonts w:hint="eastAsia" w:cs="黑体"/>
          <w:color w:val="auto"/>
          <w:kern w:val="2"/>
          <w:sz w:val="21"/>
          <w:szCs w:val="24"/>
          <w:highlight w:val="none"/>
          <w:lang w:val="en-US" w:eastAsia="zh-CN" w:bidi="ar-SA"/>
        </w:rPr>
        <w:t>4.</w:t>
      </w:r>
      <w:r>
        <w:rPr>
          <w:rFonts w:hint="eastAsia" w:ascii="仿宋" w:hAnsi="仿宋" w:eastAsia="仿宋" w:cs="仿宋"/>
          <w:color w:val="auto"/>
          <w:sz w:val="28"/>
          <w:szCs w:val="28"/>
          <w:highlight w:val="none"/>
        </w:rPr>
        <w:t>招采办将</w:t>
      </w:r>
      <w:r>
        <w:rPr>
          <w:rFonts w:hint="eastAsia" w:ascii="仿宋" w:hAnsi="仿宋" w:eastAsia="仿宋" w:cs="仿宋"/>
          <w:color w:val="auto"/>
          <w:sz w:val="28"/>
          <w:szCs w:val="28"/>
          <w:highlight w:val="none"/>
          <w:lang w:val="en-US" w:eastAsia="zh-CN"/>
        </w:rPr>
        <w:t>作</w:t>
      </w:r>
      <w:r>
        <w:rPr>
          <w:rFonts w:hint="eastAsia" w:ascii="仿宋" w:hAnsi="仿宋" w:eastAsia="仿宋" w:cs="仿宋"/>
          <w:color w:val="auto"/>
          <w:sz w:val="28"/>
          <w:szCs w:val="28"/>
          <w:highlight w:val="none"/>
        </w:rPr>
        <w:t>出澄清和解答，逾期未提交质疑文件的视同无问题。</w:t>
      </w:r>
    </w:p>
    <w:p w14:paraId="3399F5C1">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0" w:leftChars="0" w:firstLine="560" w:firstLineChars="200"/>
        <w:textAlignment w:val="auto"/>
        <w:rPr>
          <w:rFonts w:hint="eastAsia" w:ascii="仿宋" w:hAnsi="仿宋" w:eastAsia="仿宋" w:cs="仿宋"/>
          <w:color w:val="auto"/>
          <w:sz w:val="28"/>
          <w:szCs w:val="28"/>
          <w:highlight w:val="none"/>
        </w:rPr>
      </w:pPr>
    </w:p>
    <w:p w14:paraId="6543C229">
      <w:pPr>
        <w:keepNext w:val="0"/>
        <w:keepLines w:val="0"/>
        <w:pageBreakBefore w:val="0"/>
        <w:widowControl w:val="0"/>
        <w:kinsoku/>
        <w:wordWrap/>
        <w:overflowPunct/>
        <w:topLinePunct w:val="0"/>
        <w:bidi w:val="0"/>
        <w:adjustRightInd/>
        <w:spacing w:line="500" w:lineRule="exact"/>
        <w:jc w:val="center"/>
        <w:textAlignment w:val="auto"/>
        <w:outlineLvl w:val="0"/>
        <w:rPr>
          <w:rFonts w:hint="eastAsia" w:ascii="宋体" w:hAnsi="宋体"/>
          <w:color w:val="auto"/>
          <w:sz w:val="24"/>
          <w:highlight w:val="none"/>
        </w:rPr>
      </w:pPr>
      <w:bookmarkStart w:id="1" w:name="_Toc20472"/>
      <w:r>
        <w:rPr>
          <w:rFonts w:hint="eastAsia" w:asciiTheme="minorEastAsia" w:hAnsiTheme="minorEastAsia" w:eastAsiaTheme="minorEastAsia"/>
          <w:b/>
          <w:bCs/>
          <w:color w:val="auto"/>
          <w:sz w:val="44"/>
          <w:szCs w:val="44"/>
          <w:highlight w:val="none"/>
        </w:rPr>
        <w:t>特别警示条款</w:t>
      </w:r>
      <w:bookmarkEnd w:id="1"/>
    </w:p>
    <w:p w14:paraId="03F41CEE">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bookmarkStart w:id="2" w:name="_Toc16742"/>
      <w:bookmarkStart w:id="3" w:name="_Toc28128"/>
      <w:bookmarkStart w:id="4" w:name="_Toc4719"/>
    </w:p>
    <w:p w14:paraId="0CE0E7C3">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一、《深圳经济特区政府采购条例》</w:t>
      </w:r>
      <w:bookmarkEnd w:id="2"/>
      <w:bookmarkEnd w:id="3"/>
      <w:bookmarkEnd w:id="4"/>
    </w:p>
    <w:p w14:paraId="33F30090">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3367DFE3">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（一）在采购活动中应当回避而未回避的；</w:t>
      </w:r>
    </w:p>
    <w:p w14:paraId="686B490F">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（二）未按本条例规定签订、履行采购合同，造成严重后果的；</w:t>
      </w:r>
    </w:p>
    <w:p w14:paraId="725105E0">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（三）隐瞒真实情况，提供虚假资料的；</w:t>
      </w:r>
    </w:p>
    <w:p w14:paraId="5999A526">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（四）以非法手段排斥其他供应商参与竞争的；</w:t>
      </w:r>
    </w:p>
    <w:p w14:paraId="5FA0A1E0">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（五）与其他采购参加人串通投标的；</w:t>
      </w:r>
    </w:p>
    <w:p w14:paraId="5E7989C5">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（六）恶意投诉的；</w:t>
      </w:r>
    </w:p>
    <w:p w14:paraId="3396B32E">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（七）向采购项目相关人行贿或者提供其他不当利益的；</w:t>
      </w:r>
    </w:p>
    <w:p w14:paraId="435E04F1">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（八）阻碍、抗拒主管部门监督检查的；</w:t>
      </w:r>
    </w:p>
    <w:p w14:paraId="0C408532">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olor w:val="auto"/>
          <w:sz w:val="28"/>
          <w:szCs w:val="28"/>
          <w:highlight w:val="none"/>
        </w:rPr>
      </w:pPr>
      <w:r>
        <w:rPr>
          <w:rFonts w:hint="eastAsia" w:ascii="仿宋" w:hAnsi="仿宋" w:eastAsia="仿宋" w:cs="仿宋"/>
          <w:color w:val="auto"/>
          <w:sz w:val="28"/>
          <w:szCs w:val="28"/>
          <w:highlight w:val="none"/>
        </w:rPr>
        <w:t>（九）其他违反本条例规定的行为。</w:t>
      </w:r>
    </w:p>
    <w:p w14:paraId="617F6161">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bookmarkStart w:id="5" w:name="_Toc4026"/>
      <w:bookmarkStart w:id="6" w:name="_Toc6288"/>
      <w:bookmarkStart w:id="7" w:name="_Toc17680"/>
      <w:r>
        <w:rPr>
          <w:rFonts w:hint="eastAsia" w:ascii="仿宋" w:hAnsi="仿宋" w:eastAsia="仿宋" w:cs="仿宋"/>
          <w:color w:val="auto"/>
          <w:sz w:val="28"/>
          <w:szCs w:val="28"/>
          <w:highlight w:val="none"/>
        </w:rPr>
        <w:t>二、《深圳经济特区政府采购条例实施细则》</w:t>
      </w:r>
      <w:bookmarkEnd w:id="5"/>
      <w:bookmarkEnd w:id="6"/>
      <w:bookmarkEnd w:id="7"/>
    </w:p>
    <w:p w14:paraId="3D161AB9">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第七十五条  供应商有下列情形的，属于采购条例所称的串通投标行为，按照采购条例第五十七条有关规定处理：</w:t>
      </w:r>
    </w:p>
    <w:p w14:paraId="270D631D">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（一）投标供应商之间相互约定给予未中标的供应商利益补偿；</w:t>
      </w:r>
    </w:p>
    <w:p w14:paraId="6B00D0E7">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（二）不同投标供应商的法定代表人、主要经营负责人、项目投标授权代表人、项目负责人、主要技术人员为同一人、属于同一单位或者在同一单位缴纳社会保险；</w:t>
      </w:r>
    </w:p>
    <w:p w14:paraId="616A7AF2">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（三）不同投标供应商的投标文件由同一单位或者同一人编制，或者由同一人分阶段参与编制的；</w:t>
      </w:r>
    </w:p>
    <w:p w14:paraId="4F6C327C">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（四）不同投标供应商的投标文件或部分投标文件相互混装；</w:t>
      </w:r>
    </w:p>
    <w:p w14:paraId="50D13781">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（五）不同投标供应商的投标文件内容存在非正常一致；</w:t>
      </w:r>
    </w:p>
    <w:p w14:paraId="4CBC0D7C">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（六）由同一单位工作人员为两家以上（含两家）供应商进行同一项投标活动的；</w:t>
      </w:r>
    </w:p>
    <w:p w14:paraId="3B90D334">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（七）主管部门依照法律法规认定的其他情形。</w:t>
      </w:r>
    </w:p>
    <w:p w14:paraId="0F03561C">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第七十七条  供应商有下列情形之一的，属于隐瞒真实情况，提供虚假资料，按照采购条例第五十七条的有关规定处理：</w:t>
      </w:r>
    </w:p>
    <w:p w14:paraId="5A8E5D18">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（一）通过转让或者租借等方式从其他单位获取资格或者资质证书投标的；</w:t>
      </w:r>
    </w:p>
    <w:p w14:paraId="50EEAB9F">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（二）由其他单位或者其他单位负责人在投标供应商编制的投标文件上加盖印章或者签字的；</w:t>
      </w:r>
    </w:p>
    <w:p w14:paraId="25AA6495">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（三）项目负责人或者主要技术人员不是本单位人员的；</w:t>
      </w:r>
    </w:p>
    <w:p w14:paraId="00982594">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（四）投标保证金不是从投标供应商基本账户转出的；</w:t>
      </w:r>
    </w:p>
    <w:p w14:paraId="4935D526">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（五）其他隐瞒真实情况、提供虚假资料的行为。</w:t>
      </w:r>
    </w:p>
    <w:p w14:paraId="20B05EB7">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投标供应商不能提供项目负责人或者主要技术人员的劳动合同、社会保险等劳动关系证明材料的，视为存在前款第（三）项规定的情形。</w:t>
      </w:r>
    </w:p>
    <w:p w14:paraId="016B0F50">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bookmarkStart w:id="8" w:name="_Toc5544"/>
      <w:bookmarkStart w:id="9" w:name="_Toc13409"/>
      <w:bookmarkStart w:id="10" w:name="_Toc12769"/>
      <w:r>
        <w:rPr>
          <w:rFonts w:hint="eastAsia" w:ascii="仿宋" w:hAnsi="仿宋" w:eastAsia="仿宋" w:cs="仿宋"/>
          <w:color w:val="auto"/>
          <w:sz w:val="28"/>
          <w:szCs w:val="28"/>
          <w:highlight w:val="none"/>
        </w:rPr>
        <w:t>三、《中华人民共和国政府采购法实施条例》</w:t>
      </w:r>
      <w:bookmarkEnd w:id="8"/>
      <w:bookmarkEnd w:id="9"/>
      <w:bookmarkEnd w:id="10"/>
    </w:p>
    <w:p w14:paraId="0BDAEFDF">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第十八条  单位负责人为同一人或者存在直接控股、管理关系的不同供应商，不得参加同一合同项下的政府采购活动。</w:t>
      </w:r>
    </w:p>
    <w:p w14:paraId="7DDEB632">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除单一来源采购项目外，为采购项目提供整体设计、规范编制或者项目管理、监理、检测等服务的供应商，不得再参加该采购项目的其他采购活动。</w:t>
      </w:r>
    </w:p>
    <w:p w14:paraId="7BC720EC">
      <w:pPr>
        <w:keepNext w:val="0"/>
        <w:keepLines w:val="0"/>
        <w:pageBreakBefore w:val="0"/>
        <w:widowControl w:val="0"/>
        <w:kinsoku/>
        <w:wordWrap/>
        <w:overflowPunct/>
        <w:topLinePunct w:val="0"/>
        <w:autoSpaceDE w:val="0"/>
        <w:autoSpaceDN w:val="0"/>
        <w:bidi w:val="0"/>
        <w:adjustRightInd/>
        <w:spacing w:line="500" w:lineRule="exact"/>
        <w:ind w:firstLine="498" w:firstLineChars="177"/>
        <w:textAlignment w:val="auto"/>
        <w:rPr>
          <w:rFonts w:hint="eastAsia" w:ascii="仿宋_GB2312" w:eastAsia="仿宋_GB2312" w:hAnsiTheme="minorEastAsia"/>
          <w:b/>
          <w:color w:val="auto"/>
          <w:sz w:val="28"/>
          <w:highlight w:val="none"/>
        </w:rPr>
      </w:pPr>
      <w:r>
        <w:rPr>
          <w:rFonts w:hint="eastAsia" w:ascii="仿宋_GB2312" w:eastAsia="仿宋_GB2312" w:hAnsiTheme="minorEastAsia"/>
          <w:b/>
          <w:color w:val="auto"/>
          <w:sz w:val="28"/>
          <w:szCs w:val="28"/>
          <w:highlight w:val="none"/>
        </w:rPr>
        <w:t>投标供应商涉嫌存在串通投标等违法行为的，将书面报告财政主管部门依法处理。</w:t>
      </w:r>
    </w:p>
    <w:p w14:paraId="1C723065">
      <w:pPr>
        <w:keepNext w:val="0"/>
        <w:keepLines w:val="0"/>
        <w:pageBreakBefore w:val="0"/>
        <w:widowControl w:val="0"/>
        <w:kinsoku/>
        <w:wordWrap/>
        <w:overflowPunct/>
        <w:topLinePunct w:val="0"/>
        <w:bidi w:val="0"/>
        <w:spacing w:line="560" w:lineRule="exact"/>
        <w:jc w:val="center"/>
        <w:textAlignment w:val="auto"/>
        <w:rPr>
          <w:rFonts w:hint="eastAsia" w:ascii="仿宋_GB2312" w:hAnsi="仿宋_GB2312" w:eastAsia="仿宋_GB2312" w:cs="仿宋_GB2312"/>
          <w:b/>
          <w:bCs/>
          <w:color w:val="auto"/>
          <w:sz w:val="36"/>
          <w:szCs w:val="36"/>
          <w:highlight w:val="none"/>
        </w:rPr>
      </w:pPr>
    </w:p>
    <w:p w14:paraId="250E7814">
      <w:pPr>
        <w:keepNext w:val="0"/>
        <w:keepLines w:val="0"/>
        <w:pageBreakBefore w:val="0"/>
        <w:widowControl w:val="0"/>
        <w:kinsoku/>
        <w:wordWrap/>
        <w:overflowPunct/>
        <w:topLinePunct w:val="0"/>
        <w:bidi w:val="0"/>
        <w:spacing w:line="560" w:lineRule="exact"/>
        <w:jc w:val="center"/>
        <w:textAlignment w:val="auto"/>
        <w:rPr>
          <w:rFonts w:ascii="仿宋_GB2312" w:hAnsi="仿宋_GB2312" w:eastAsia="仿宋_GB2312" w:cs="仿宋_GB2312"/>
          <w:b/>
          <w:bCs/>
          <w:color w:val="auto"/>
          <w:sz w:val="36"/>
          <w:szCs w:val="36"/>
          <w:highlight w:val="none"/>
        </w:rPr>
      </w:pPr>
      <w:r>
        <w:rPr>
          <w:rFonts w:hint="eastAsia" w:ascii="仿宋_GB2312" w:hAnsi="仿宋_GB2312" w:eastAsia="仿宋_GB2312" w:cs="仿宋_GB2312"/>
          <w:b/>
          <w:bCs/>
          <w:color w:val="auto"/>
          <w:sz w:val="36"/>
          <w:szCs w:val="36"/>
          <w:highlight w:val="none"/>
        </w:rPr>
        <w:t>投标文件初审表</w:t>
      </w:r>
    </w:p>
    <w:p w14:paraId="73A3BE3D">
      <w:pPr>
        <w:keepNext w:val="0"/>
        <w:keepLines w:val="0"/>
        <w:pageBreakBefore w:val="0"/>
        <w:widowControl w:val="0"/>
        <w:kinsoku/>
        <w:wordWrap/>
        <w:overflowPunct/>
        <w:topLinePunct w:val="0"/>
        <w:bidi w:val="0"/>
        <w:spacing w:line="560" w:lineRule="exact"/>
        <w:jc w:val="center"/>
        <w:textAlignment w:val="auto"/>
        <w:rPr>
          <w:rFonts w:asciiTheme="majorEastAsia" w:hAnsiTheme="majorEastAsia" w:eastAsiaTheme="majorEastAsia"/>
          <w:color w:val="auto"/>
          <w:sz w:val="30"/>
          <w:szCs w:val="30"/>
          <w:highlight w:val="none"/>
        </w:rPr>
      </w:pPr>
      <w:r>
        <w:rPr>
          <w:rFonts w:hint="eastAsia" w:ascii="仿宋" w:hAnsi="仿宋" w:eastAsia="仿宋" w:cs="仿宋"/>
          <w:b/>
          <w:color w:val="auto"/>
          <w:sz w:val="22"/>
          <w:szCs w:val="28"/>
          <w:highlight w:val="none"/>
        </w:rPr>
        <w:t>（凡未满足下列情形的，投标文件无效，投标作无效投标处理）</w:t>
      </w:r>
    </w:p>
    <w:p w14:paraId="0876A219">
      <w:pPr>
        <w:pStyle w:val="3"/>
        <w:keepNext w:val="0"/>
        <w:keepLines w:val="0"/>
        <w:pageBreakBefore w:val="0"/>
        <w:widowControl w:val="0"/>
        <w:kinsoku/>
        <w:wordWrap/>
        <w:overflowPunct/>
        <w:topLinePunct w:val="0"/>
        <w:bidi w:val="0"/>
        <w:spacing w:line="560" w:lineRule="exact"/>
        <w:jc w:val="center"/>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（一）资格性审查表</w:t>
      </w:r>
    </w:p>
    <w:tbl>
      <w:tblPr>
        <w:tblStyle w:val="19"/>
        <w:tblW w:w="10090" w:type="dxa"/>
        <w:tblInd w:w="-5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7634"/>
        <w:gridCol w:w="1573"/>
      </w:tblGrid>
      <w:tr w14:paraId="3F15F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883" w:type="dxa"/>
            <w:vAlign w:val="center"/>
          </w:tcPr>
          <w:p w14:paraId="504E411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宋体" w:cs="宋体"/>
                <w:b/>
                <w:color w:val="auto"/>
                <w:highlight w:val="none"/>
              </w:rPr>
            </w:pPr>
            <w:r>
              <w:rPr>
                <w:rFonts w:hint="eastAsia" w:ascii="宋体" w:cs="宋体"/>
                <w:b/>
                <w:color w:val="auto"/>
                <w:highlight w:val="none"/>
              </w:rPr>
              <w:t>序号</w:t>
            </w:r>
          </w:p>
        </w:tc>
        <w:tc>
          <w:tcPr>
            <w:tcW w:w="7634" w:type="dxa"/>
            <w:vAlign w:val="center"/>
          </w:tcPr>
          <w:p w14:paraId="050A367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宋体" w:cs="宋体"/>
                <w:b/>
                <w:color w:val="auto"/>
                <w:highlight w:val="none"/>
              </w:rPr>
            </w:pPr>
            <w:r>
              <w:rPr>
                <w:rFonts w:hint="eastAsia" w:ascii="宋体" w:hAnsi="宋体" w:cs="宋体"/>
                <w:b/>
                <w:color w:val="auto"/>
                <w:highlight w:val="none"/>
              </w:rPr>
              <w:t>评 审 内 容</w:t>
            </w:r>
          </w:p>
        </w:tc>
        <w:tc>
          <w:tcPr>
            <w:tcW w:w="1573" w:type="dxa"/>
            <w:vAlign w:val="center"/>
          </w:tcPr>
          <w:p w14:paraId="4A0193F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自查情况</w:t>
            </w:r>
          </w:p>
          <w:p w14:paraId="11C4272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cs="宋体"/>
                <w:b/>
                <w:color w:val="auto"/>
                <w:highlight w:val="none"/>
              </w:rPr>
            </w:pPr>
            <w:r>
              <w:rPr>
                <w:rFonts w:hint="eastAsia" w:ascii="宋体" w:hAnsi="宋体"/>
                <w:color w:val="auto"/>
                <w:szCs w:val="21"/>
                <w:highlight w:val="none"/>
                <w:lang w:eastAsia="zh-CN"/>
              </w:rPr>
              <w:t>（填写“</w:t>
            </w:r>
            <w:r>
              <w:rPr>
                <w:rFonts w:hint="eastAsia" w:ascii="宋体" w:hAnsi="宋体"/>
                <w:color w:val="auto"/>
                <w:szCs w:val="21"/>
                <w:highlight w:val="none"/>
                <w:lang w:val="en-US" w:eastAsia="zh-CN"/>
              </w:rPr>
              <w:t>满足</w:t>
            </w:r>
            <w:r>
              <w:rPr>
                <w:rFonts w:hint="eastAsia" w:ascii="宋体" w:hAnsi="宋体"/>
                <w:color w:val="auto"/>
                <w:szCs w:val="21"/>
                <w:highlight w:val="none"/>
                <w:lang w:eastAsia="zh-CN"/>
              </w:rPr>
              <w:t>”或“</w:t>
            </w:r>
            <w:r>
              <w:rPr>
                <w:rFonts w:hint="eastAsia" w:ascii="宋体" w:hAnsi="宋体"/>
                <w:color w:val="auto"/>
                <w:szCs w:val="21"/>
                <w:highlight w:val="none"/>
                <w:lang w:val="en-US" w:eastAsia="zh-CN"/>
              </w:rPr>
              <w:t>不满足</w:t>
            </w:r>
            <w:r>
              <w:rPr>
                <w:rFonts w:hint="eastAsia" w:ascii="宋体" w:hAnsi="宋体"/>
                <w:color w:val="auto"/>
                <w:szCs w:val="21"/>
                <w:highlight w:val="none"/>
                <w:lang w:eastAsia="zh-CN"/>
              </w:rPr>
              <w:t>”）</w:t>
            </w:r>
          </w:p>
        </w:tc>
      </w:tr>
      <w:tr w14:paraId="78723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3" w:type="dxa"/>
            <w:vAlign w:val="center"/>
          </w:tcPr>
          <w:p w14:paraId="5E738FF9">
            <w:pPr>
              <w:keepNext w:val="0"/>
              <w:keepLines w:val="0"/>
              <w:pageBreakBefore w:val="0"/>
              <w:widowControl w:val="0"/>
              <w:numPr>
                <w:ilvl w:val="0"/>
                <w:numId w:val="2"/>
              </w:numPr>
              <w:tabs>
                <w:tab w:val="left" w:pos="176"/>
                <w:tab w:val="left" w:pos="612"/>
              </w:tabs>
              <w:kinsoku/>
              <w:wordWrap/>
              <w:overflowPunct/>
              <w:topLinePunct w:val="0"/>
              <w:autoSpaceDE/>
              <w:autoSpaceDN/>
              <w:bidi w:val="0"/>
              <w:adjustRightInd/>
              <w:snapToGrid/>
              <w:spacing w:line="240" w:lineRule="atLeast"/>
              <w:ind w:left="342"/>
              <w:jc w:val="center"/>
              <w:textAlignment w:val="auto"/>
              <w:rPr>
                <w:rFonts w:ascii="宋体" w:hAnsi="宋体" w:cs="宋体"/>
                <w:color w:val="auto"/>
                <w:highlight w:val="none"/>
              </w:rPr>
            </w:pPr>
          </w:p>
        </w:tc>
        <w:tc>
          <w:tcPr>
            <w:tcW w:w="7634" w:type="dxa"/>
            <w:vAlign w:val="center"/>
          </w:tcPr>
          <w:p w14:paraId="21689F8A">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具备招标文件中规定要求的资格，且资格证明文件齐全</w:t>
            </w:r>
            <w:r>
              <w:rPr>
                <w:rFonts w:hint="eastAsia" w:ascii="宋体" w:hAnsi="宋体" w:cs="宋体"/>
                <w:color w:val="auto"/>
                <w:sz w:val="22"/>
                <w:szCs w:val="22"/>
                <w:highlight w:val="none"/>
                <w:lang w:eastAsia="zh-CN"/>
              </w:rPr>
              <w:t>。</w:t>
            </w:r>
          </w:p>
        </w:tc>
        <w:tc>
          <w:tcPr>
            <w:tcW w:w="1573" w:type="dxa"/>
            <w:vAlign w:val="center"/>
          </w:tcPr>
          <w:p w14:paraId="098B1FB0">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p>
        </w:tc>
      </w:tr>
      <w:tr w14:paraId="1F844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3" w:type="dxa"/>
            <w:vAlign w:val="center"/>
          </w:tcPr>
          <w:p w14:paraId="60EE1F73">
            <w:pPr>
              <w:keepNext w:val="0"/>
              <w:keepLines w:val="0"/>
              <w:pageBreakBefore w:val="0"/>
              <w:widowControl w:val="0"/>
              <w:numPr>
                <w:ilvl w:val="0"/>
                <w:numId w:val="2"/>
              </w:numPr>
              <w:tabs>
                <w:tab w:val="left" w:pos="176"/>
                <w:tab w:val="left" w:pos="612"/>
              </w:tabs>
              <w:kinsoku/>
              <w:wordWrap/>
              <w:overflowPunct/>
              <w:topLinePunct w:val="0"/>
              <w:autoSpaceDE/>
              <w:autoSpaceDN/>
              <w:bidi w:val="0"/>
              <w:adjustRightInd/>
              <w:snapToGrid/>
              <w:spacing w:line="240" w:lineRule="atLeast"/>
              <w:ind w:left="342"/>
              <w:jc w:val="center"/>
              <w:textAlignment w:val="auto"/>
              <w:rPr>
                <w:rFonts w:ascii="宋体" w:hAnsi="宋体" w:cs="宋体"/>
                <w:color w:val="auto"/>
                <w:highlight w:val="none"/>
              </w:rPr>
            </w:pPr>
          </w:p>
        </w:tc>
        <w:tc>
          <w:tcPr>
            <w:tcW w:w="7634" w:type="dxa"/>
            <w:vAlign w:val="center"/>
          </w:tcPr>
          <w:p w14:paraId="0D681B65">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投标及履约承诺函已提交并符合招标文件要求的</w:t>
            </w:r>
            <w:r>
              <w:rPr>
                <w:rFonts w:hint="eastAsia" w:ascii="宋体" w:hAnsi="宋体" w:cs="宋体"/>
                <w:color w:val="auto"/>
                <w:sz w:val="22"/>
                <w:szCs w:val="22"/>
                <w:highlight w:val="none"/>
                <w:lang w:eastAsia="zh-CN"/>
              </w:rPr>
              <w:t>。</w:t>
            </w:r>
          </w:p>
        </w:tc>
        <w:tc>
          <w:tcPr>
            <w:tcW w:w="1573" w:type="dxa"/>
            <w:vAlign w:val="center"/>
          </w:tcPr>
          <w:p w14:paraId="397DCFA1">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p>
        </w:tc>
      </w:tr>
      <w:tr w14:paraId="50662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3" w:type="dxa"/>
            <w:vAlign w:val="center"/>
          </w:tcPr>
          <w:p w14:paraId="6BB838C5">
            <w:pPr>
              <w:keepNext w:val="0"/>
              <w:keepLines w:val="0"/>
              <w:pageBreakBefore w:val="0"/>
              <w:widowControl w:val="0"/>
              <w:numPr>
                <w:ilvl w:val="0"/>
                <w:numId w:val="2"/>
              </w:numPr>
              <w:tabs>
                <w:tab w:val="left" w:pos="176"/>
                <w:tab w:val="left" w:pos="612"/>
              </w:tabs>
              <w:kinsoku/>
              <w:wordWrap/>
              <w:overflowPunct/>
              <w:topLinePunct w:val="0"/>
              <w:autoSpaceDE/>
              <w:autoSpaceDN/>
              <w:bidi w:val="0"/>
              <w:adjustRightInd/>
              <w:snapToGrid/>
              <w:spacing w:line="240" w:lineRule="atLeast"/>
              <w:ind w:left="342"/>
              <w:jc w:val="center"/>
              <w:textAlignment w:val="auto"/>
              <w:rPr>
                <w:rFonts w:ascii="宋体" w:hAnsi="宋体" w:cs="宋体"/>
                <w:color w:val="auto"/>
                <w:highlight w:val="none"/>
              </w:rPr>
            </w:pPr>
            <w:bookmarkStart w:id="11" w:name="_Toc15975"/>
          </w:p>
        </w:tc>
        <w:tc>
          <w:tcPr>
            <w:tcW w:w="7634" w:type="dxa"/>
            <w:vAlign w:val="center"/>
          </w:tcPr>
          <w:p w14:paraId="5C8529A5">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供应商基本情况表已提交，提供法定代表人、主要经营负责人、项目投标授权代表人、项目负责人</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如有</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、主要技术人员</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如有</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最近一个月的社会保险证明。</w:t>
            </w:r>
          </w:p>
          <w:p w14:paraId="4102471D">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备注：</w:t>
            </w:r>
          </w:p>
          <w:p w14:paraId="5302DD37">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1.法定代表人、主要经营负责人、项目投标授权代表人的社会保险未由投标人单位缴纳，亦须提供相应单位为其缴纳的社会保险证明。</w:t>
            </w:r>
          </w:p>
          <w:p w14:paraId="4D997173">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2.项目负责人和主要技术人员的社会保险须由投标人单位缴纳。</w:t>
            </w:r>
          </w:p>
          <w:p w14:paraId="4D86651D">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3.投标人为新成立企业且成立时间不足一个月可提供加盖投标人公章的情况说明或者证明材料亦视为符合。</w:t>
            </w:r>
          </w:p>
          <w:p w14:paraId="52336704">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4.若为退休人员，提供退休证明。如依法不需要缴纳社会保险的，应提供相应文件证明。</w:t>
            </w:r>
          </w:p>
          <w:p w14:paraId="7340F0D6">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5.若因社保部门原因无法提供的，需提供劳动合同及社保部门官方通知证明</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或官网公告截图</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w:t>
            </w:r>
          </w:p>
          <w:p w14:paraId="3964569C">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6.如本项目未安排项目负责人、主要技术人员的，无需提供项目负责人、主要技术人员的社保。</w:t>
            </w:r>
          </w:p>
        </w:tc>
        <w:tc>
          <w:tcPr>
            <w:tcW w:w="1573" w:type="dxa"/>
            <w:vAlign w:val="center"/>
          </w:tcPr>
          <w:p w14:paraId="5CC808C0">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p>
        </w:tc>
      </w:tr>
      <w:tr w14:paraId="11B88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3" w:type="dxa"/>
            <w:vAlign w:val="center"/>
          </w:tcPr>
          <w:p w14:paraId="3E684BEF">
            <w:pPr>
              <w:keepNext w:val="0"/>
              <w:keepLines w:val="0"/>
              <w:pageBreakBefore w:val="0"/>
              <w:widowControl w:val="0"/>
              <w:numPr>
                <w:ilvl w:val="0"/>
                <w:numId w:val="2"/>
              </w:numPr>
              <w:tabs>
                <w:tab w:val="left" w:pos="176"/>
                <w:tab w:val="left" w:pos="612"/>
              </w:tabs>
              <w:kinsoku/>
              <w:wordWrap/>
              <w:overflowPunct/>
              <w:topLinePunct w:val="0"/>
              <w:autoSpaceDE/>
              <w:autoSpaceDN/>
              <w:bidi w:val="0"/>
              <w:adjustRightInd/>
              <w:snapToGrid/>
              <w:spacing w:line="240" w:lineRule="atLeast"/>
              <w:ind w:left="342"/>
              <w:jc w:val="center"/>
              <w:textAlignment w:val="auto"/>
              <w:rPr>
                <w:rFonts w:ascii="宋体" w:hAnsi="宋体" w:cs="宋体"/>
                <w:color w:val="auto"/>
                <w:highlight w:val="none"/>
              </w:rPr>
            </w:pPr>
          </w:p>
        </w:tc>
        <w:tc>
          <w:tcPr>
            <w:tcW w:w="7634" w:type="dxa"/>
            <w:vAlign w:val="center"/>
          </w:tcPr>
          <w:p w14:paraId="08FDCA9C">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不同供应商的法定代表人、主要经营负责人、项目投标授权代表人、项目负责人</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如有</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、主要技术人员</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如有</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不存在为同一人或在同一单位缴纳社会保险；或者不存在直接控股、管理关系；不存在因违法行为而被禁止参加政府采购活动等情形。</w:t>
            </w:r>
          </w:p>
        </w:tc>
        <w:tc>
          <w:tcPr>
            <w:tcW w:w="1573" w:type="dxa"/>
            <w:vAlign w:val="center"/>
          </w:tcPr>
          <w:p w14:paraId="0D72E518">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p>
        </w:tc>
      </w:tr>
      <w:bookmarkEnd w:id="11"/>
    </w:tbl>
    <w:p w14:paraId="3B31C909">
      <w:pPr>
        <w:pStyle w:val="3"/>
        <w:spacing w:line="240" w:lineRule="atLeast"/>
        <w:rPr>
          <w:color w:val="auto"/>
          <w:highlight w:val="none"/>
        </w:rPr>
      </w:pPr>
    </w:p>
    <w:p w14:paraId="1086FB1E">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投标人（公章）：</w:t>
      </w:r>
    </w:p>
    <w:p w14:paraId="54195EDC">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法定代表人或其授权代表签名：</w:t>
      </w:r>
    </w:p>
    <w:p w14:paraId="6479DF1A">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日期：      年    月    日</w:t>
      </w:r>
    </w:p>
    <w:p w14:paraId="5E86E3E6">
      <w:pPr>
        <w:rPr>
          <w:color w:val="auto"/>
          <w:highlight w:val="none"/>
        </w:rPr>
      </w:pPr>
    </w:p>
    <w:p w14:paraId="6E4CF838">
      <w:pPr>
        <w:rPr>
          <w:color w:val="auto"/>
          <w:highlight w:val="none"/>
        </w:rPr>
      </w:pPr>
    </w:p>
    <w:p w14:paraId="5C6921E8">
      <w:pPr>
        <w:rPr>
          <w:color w:val="auto"/>
          <w:highlight w:val="none"/>
        </w:rPr>
      </w:pPr>
    </w:p>
    <w:p w14:paraId="39636D20">
      <w:pPr>
        <w:rPr>
          <w:color w:val="auto"/>
          <w:highlight w:val="none"/>
        </w:rPr>
      </w:pPr>
    </w:p>
    <w:p w14:paraId="601E21B8">
      <w:pPr>
        <w:rPr>
          <w:color w:val="auto"/>
          <w:highlight w:val="none"/>
        </w:rPr>
      </w:pPr>
    </w:p>
    <w:p w14:paraId="08E44F5D">
      <w:pPr>
        <w:rPr>
          <w:color w:val="auto"/>
          <w:highlight w:val="none"/>
        </w:rPr>
      </w:pPr>
    </w:p>
    <w:p w14:paraId="05DDC4E6">
      <w:pPr>
        <w:pStyle w:val="3"/>
        <w:keepNext w:val="0"/>
        <w:keepLines w:val="0"/>
        <w:pageBreakBefore w:val="0"/>
        <w:widowControl w:val="0"/>
        <w:kinsoku/>
        <w:wordWrap/>
        <w:overflowPunct/>
        <w:topLinePunct w:val="0"/>
        <w:bidi w:val="0"/>
        <w:spacing w:line="560" w:lineRule="exact"/>
        <w:jc w:val="center"/>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（二）符合性检查表</w:t>
      </w:r>
    </w:p>
    <w:tbl>
      <w:tblPr>
        <w:tblStyle w:val="19"/>
        <w:tblW w:w="101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7650"/>
        <w:gridCol w:w="1613"/>
      </w:tblGrid>
      <w:tr w14:paraId="1FB3D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910" w:type="dxa"/>
            <w:noWrap/>
            <w:vAlign w:val="center"/>
          </w:tcPr>
          <w:p w14:paraId="53626F18">
            <w:pPr>
              <w:keepNext w:val="0"/>
              <w:keepLines w:val="0"/>
              <w:pageBreakBefore w:val="0"/>
              <w:widowControl w:val="0"/>
              <w:kinsoku/>
              <w:wordWrap/>
              <w:overflowPunct/>
              <w:topLinePunct w:val="0"/>
              <w:bidi w:val="0"/>
              <w:spacing w:line="240" w:lineRule="atLeast"/>
              <w:jc w:val="left"/>
              <w:textAlignment w:val="auto"/>
              <w:rPr>
                <w:rFonts w:ascii="宋体" w:hAnsi="宋体" w:cs="宋体"/>
                <w:b/>
                <w:color w:val="auto"/>
                <w:highlight w:val="none"/>
              </w:rPr>
            </w:pPr>
            <w:r>
              <w:rPr>
                <w:rFonts w:hint="eastAsia" w:ascii="宋体" w:hAnsi="宋体" w:cs="宋体"/>
                <w:b/>
                <w:color w:val="auto"/>
                <w:highlight w:val="none"/>
              </w:rPr>
              <w:t>序号</w:t>
            </w:r>
          </w:p>
        </w:tc>
        <w:tc>
          <w:tcPr>
            <w:tcW w:w="7650" w:type="dxa"/>
            <w:noWrap/>
            <w:vAlign w:val="center"/>
          </w:tcPr>
          <w:p w14:paraId="5A9F4736">
            <w:pPr>
              <w:keepNext w:val="0"/>
              <w:keepLines w:val="0"/>
              <w:pageBreakBefore w:val="0"/>
              <w:widowControl w:val="0"/>
              <w:kinsoku/>
              <w:wordWrap/>
              <w:overflowPunct/>
              <w:topLinePunct w:val="0"/>
              <w:bidi w:val="0"/>
              <w:spacing w:line="240" w:lineRule="atLeast"/>
              <w:jc w:val="left"/>
              <w:textAlignment w:val="auto"/>
              <w:rPr>
                <w:rFonts w:ascii="宋体" w:hAnsi="宋体" w:cs="宋体"/>
                <w:b/>
                <w:color w:val="auto"/>
                <w:highlight w:val="none"/>
              </w:rPr>
            </w:pPr>
            <w:r>
              <w:rPr>
                <w:rFonts w:hint="eastAsia" w:ascii="宋体" w:hAnsi="宋体" w:cs="宋体"/>
                <w:b/>
                <w:color w:val="auto"/>
                <w:highlight w:val="none"/>
              </w:rPr>
              <w:t>评审内容</w:t>
            </w:r>
          </w:p>
        </w:tc>
        <w:tc>
          <w:tcPr>
            <w:tcW w:w="1613" w:type="dxa"/>
            <w:noWrap/>
            <w:vAlign w:val="center"/>
          </w:tcPr>
          <w:p w14:paraId="7F49BDDC">
            <w:pPr>
              <w:keepNext w:val="0"/>
              <w:keepLines w:val="0"/>
              <w:pageBreakBefore w:val="0"/>
              <w:widowControl w:val="0"/>
              <w:kinsoku/>
              <w:wordWrap/>
              <w:overflowPunct/>
              <w:topLinePunct w:val="0"/>
              <w:bidi w:val="0"/>
              <w:spacing w:line="240" w:lineRule="atLeast"/>
              <w:jc w:val="left"/>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自查情况</w:t>
            </w:r>
          </w:p>
          <w:p w14:paraId="533D1F13">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
                <w:color w:val="auto"/>
                <w:highlight w:val="none"/>
              </w:rPr>
            </w:pPr>
            <w:r>
              <w:rPr>
                <w:rFonts w:hint="eastAsia" w:ascii="宋体" w:hAnsi="宋体"/>
                <w:color w:val="auto"/>
                <w:szCs w:val="21"/>
                <w:highlight w:val="none"/>
                <w:lang w:eastAsia="zh-CN"/>
              </w:rPr>
              <w:t>（填写“</w:t>
            </w:r>
            <w:r>
              <w:rPr>
                <w:rFonts w:hint="eastAsia" w:ascii="宋体" w:hAnsi="宋体"/>
                <w:color w:val="auto"/>
                <w:szCs w:val="21"/>
                <w:highlight w:val="none"/>
                <w:lang w:val="en-US" w:eastAsia="zh-CN"/>
              </w:rPr>
              <w:t>满足</w:t>
            </w:r>
            <w:r>
              <w:rPr>
                <w:rFonts w:hint="eastAsia" w:ascii="宋体" w:hAnsi="宋体"/>
                <w:color w:val="auto"/>
                <w:szCs w:val="21"/>
                <w:highlight w:val="none"/>
                <w:lang w:eastAsia="zh-CN"/>
              </w:rPr>
              <w:t>”或“</w:t>
            </w:r>
            <w:r>
              <w:rPr>
                <w:rFonts w:hint="eastAsia" w:ascii="宋体" w:hAnsi="宋体"/>
                <w:color w:val="auto"/>
                <w:szCs w:val="21"/>
                <w:highlight w:val="none"/>
                <w:lang w:val="en-US" w:eastAsia="zh-CN"/>
              </w:rPr>
              <w:t>不满足</w:t>
            </w:r>
            <w:r>
              <w:rPr>
                <w:rFonts w:hint="eastAsia" w:ascii="宋体" w:hAnsi="宋体"/>
                <w:color w:val="auto"/>
                <w:szCs w:val="21"/>
                <w:highlight w:val="none"/>
                <w:lang w:eastAsia="zh-CN"/>
              </w:rPr>
              <w:t>”）</w:t>
            </w:r>
          </w:p>
        </w:tc>
      </w:tr>
      <w:tr w14:paraId="1846B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910" w:type="dxa"/>
            <w:noWrap/>
            <w:vAlign w:val="center"/>
          </w:tcPr>
          <w:p w14:paraId="04ABB746">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1</w:t>
            </w:r>
          </w:p>
        </w:tc>
        <w:tc>
          <w:tcPr>
            <w:tcW w:w="7650" w:type="dxa"/>
            <w:noWrap/>
            <w:vAlign w:val="center"/>
          </w:tcPr>
          <w:p w14:paraId="75BFC050">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color w:val="auto"/>
                <w:highlight w:val="none"/>
              </w:rPr>
              <w:t>未</w:t>
            </w:r>
            <w:r>
              <w:rPr>
                <w:rFonts w:hint="eastAsia" w:ascii="宋体" w:hAnsi="宋体" w:cs="宋体"/>
                <w:bCs/>
                <w:color w:val="auto"/>
                <w:sz w:val="22"/>
                <w:szCs w:val="22"/>
                <w:highlight w:val="none"/>
              </w:rPr>
              <w:t>将一个包中的内容拆开投标。</w:t>
            </w:r>
          </w:p>
        </w:tc>
        <w:tc>
          <w:tcPr>
            <w:tcW w:w="1613" w:type="dxa"/>
            <w:noWrap/>
            <w:vAlign w:val="center"/>
          </w:tcPr>
          <w:p w14:paraId="41B76A8B">
            <w:pPr>
              <w:keepNext w:val="0"/>
              <w:keepLines w:val="0"/>
              <w:pageBreakBefore w:val="0"/>
              <w:widowControl w:val="0"/>
              <w:kinsoku/>
              <w:wordWrap/>
              <w:overflowPunct/>
              <w:topLinePunct w:val="0"/>
              <w:bidi w:val="0"/>
              <w:spacing w:line="240" w:lineRule="atLeast"/>
              <w:jc w:val="left"/>
              <w:textAlignment w:val="auto"/>
              <w:rPr>
                <w:rFonts w:hint="eastAsia"/>
                <w:color w:val="auto"/>
                <w:highlight w:val="none"/>
              </w:rPr>
            </w:pPr>
          </w:p>
        </w:tc>
      </w:tr>
      <w:tr w14:paraId="6AAA8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10" w:type="dxa"/>
            <w:noWrap/>
            <w:vAlign w:val="center"/>
          </w:tcPr>
          <w:p w14:paraId="46173349">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2</w:t>
            </w:r>
          </w:p>
        </w:tc>
        <w:tc>
          <w:tcPr>
            <w:tcW w:w="7650" w:type="dxa"/>
            <w:noWrap/>
            <w:vAlign w:val="center"/>
          </w:tcPr>
          <w:p w14:paraId="16CA9773">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招标文件未规定允许有替代方案时，对同一货物投标时，</w:t>
            </w:r>
            <w:r>
              <w:rPr>
                <w:rFonts w:hint="eastAsia"/>
                <w:color w:val="auto"/>
                <w:highlight w:val="none"/>
              </w:rPr>
              <w:t>未</w:t>
            </w:r>
            <w:r>
              <w:rPr>
                <w:rFonts w:hint="eastAsia" w:ascii="宋体" w:hAnsi="宋体" w:cs="宋体"/>
                <w:bCs/>
                <w:color w:val="auto"/>
                <w:sz w:val="22"/>
                <w:szCs w:val="22"/>
                <w:highlight w:val="none"/>
              </w:rPr>
              <w:t>同时提供两套或两套以上的投标方案。</w:t>
            </w:r>
          </w:p>
        </w:tc>
        <w:tc>
          <w:tcPr>
            <w:tcW w:w="1613" w:type="dxa"/>
            <w:noWrap/>
            <w:vAlign w:val="center"/>
          </w:tcPr>
          <w:p w14:paraId="4C78A2A1">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13C73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910" w:type="dxa"/>
            <w:noWrap/>
            <w:vAlign w:val="center"/>
          </w:tcPr>
          <w:p w14:paraId="1AC31E07">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3</w:t>
            </w:r>
          </w:p>
        </w:tc>
        <w:tc>
          <w:tcPr>
            <w:tcW w:w="7650" w:type="dxa"/>
            <w:noWrap/>
            <w:vAlign w:val="center"/>
          </w:tcPr>
          <w:p w14:paraId="42BBBF1E">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color w:val="auto"/>
                <w:szCs w:val="21"/>
                <w:highlight w:val="none"/>
              </w:rPr>
              <w:t>投标报价按照招标文件要求进行报价，</w:t>
            </w:r>
            <w:r>
              <w:rPr>
                <w:rFonts w:hint="eastAsia" w:ascii="宋体" w:hAnsi="宋体" w:cs="宋体"/>
                <w:bCs/>
                <w:color w:val="auto"/>
                <w:sz w:val="22"/>
                <w:szCs w:val="22"/>
                <w:highlight w:val="none"/>
              </w:rPr>
              <w:t>投标总价或分项报价</w:t>
            </w:r>
            <w:r>
              <w:rPr>
                <w:rFonts w:hint="eastAsia"/>
                <w:color w:val="auto"/>
                <w:highlight w:val="none"/>
              </w:rPr>
              <w:t>未</w:t>
            </w:r>
            <w:r>
              <w:rPr>
                <w:rFonts w:hint="eastAsia" w:ascii="宋体" w:hAnsi="宋体" w:cs="宋体"/>
                <w:bCs/>
                <w:color w:val="auto"/>
                <w:sz w:val="22"/>
                <w:szCs w:val="22"/>
                <w:highlight w:val="none"/>
              </w:rPr>
              <w:t>高于项目预算限额。</w:t>
            </w:r>
          </w:p>
        </w:tc>
        <w:tc>
          <w:tcPr>
            <w:tcW w:w="1613" w:type="dxa"/>
            <w:noWrap/>
            <w:vAlign w:val="center"/>
          </w:tcPr>
          <w:p w14:paraId="3EC612B6">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color w:val="auto"/>
                <w:szCs w:val="21"/>
                <w:highlight w:val="none"/>
              </w:rPr>
            </w:pPr>
          </w:p>
        </w:tc>
      </w:tr>
      <w:tr w14:paraId="4FD80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jc w:val="center"/>
        </w:trPr>
        <w:tc>
          <w:tcPr>
            <w:tcW w:w="910" w:type="dxa"/>
            <w:noWrap/>
            <w:vAlign w:val="center"/>
          </w:tcPr>
          <w:p w14:paraId="78F3782E">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4</w:t>
            </w:r>
          </w:p>
        </w:tc>
        <w:tc>
          <w:tcPr>
            <w:tcW w:w="7650" w:type="dxa"/>
            <w:noWrap/>
            <w:vAlign w:val="center"/>
          </w:tcPr>
          <w:p w14:paraId="1D7244B2">
            <w:pPr>
              <w:keepNext w:val="0"/>
              <w:keepLines w:val="0"/>
              <w:pageBreakBefore w:val="0"/>
              <w:widowControl w:val="0"/>
              <w:kinsoku/>
              <w:wordWrap/>
              <w:overflowPunct/>
              <w:topLinePunct w:val="0"/>
              <w:bidi w:val="0"/>
              <w:spacing w:line="240" w:lineRule="atLeast"/>
              <w:jc w:val="left"/>
              <w:textAlignment w:val="auto"/>
              <w:rPr>
                <w:rFonts w:hint="eastAsia" w:ascii="宋体" w:hAnsi="宋体" w:eastAsia="宋体" w:cs="宋体"/>
                <w:bCs/>
                <w:color w:val="auto"/>
                <w:sz w:val="22"/>
                <w:szCs w:val="22"/>
                <w:highlight w:val="none"/>
                <w:lang w:eastAsia="zh-CN"/>
              </w:rPr>
            </w:pPr>
            <w:r>
              <w:rPr>
                <w:rFonts w:hint="eastAsia" w:ascii="宋体" w:hAnsi="宋体" w:eastAsia="宋体" w:cs="宋体"/>
                <w:color w:val="auto"/>
                <w:szCs w:val="21"/>
                <w:highlight w:val="none"/>
              </w:rPr>
              <w:t>本项目评审中出现下列情形之一的，评审委员会应当启动异常低价投标(响应)审查程序：（1）投标（响应）报价低于全部通过符合性审查供应商投标（响应）报价平均值50%的，即投标（响应）报价&lt;全部通过符合性审查供应商投标（响应）报价平均值×50%；（2）投标（响应）报价低于通过符合性审查且报价次低供应商投标（响应）报价50%的，即投标（响应）报价&lt;通过符合性审查且报价次低供应商投标（响应）报价×50%；（3）投标（响应）报价低于采购项目最高限价45%的，即投标（响应）报价&lt;采购项目最高限价×45%；（4）评审委员会基于专业判断，认为供应商报价过低，有可能影响产品质量或者不能诚信履约的其他情形</w:t>
            </w:r>
            <w:r>
              <w:rPr>
                <w:rFonts w:hint="eastAsia" w:ascii="宋体" w:hAnsi="宋体" w:eastAsia="宋体" w:cs="宋体"/>
                <w:color w:val="auto"/>
                <w:szCs w:val="21"/>
                <w:highlight w:val="none"/>
                <w:lang w:eastAsia="zh-CN"/>
              </w:rPr>
              <w:t>。</w:t>
            </w:r>
          </w:p>
        </w:tc>
        <w:tc>
          <w:tcPr>
            <w:tcW w:w="1613" w:type="dxa"/>
            <w:noWrap/>
            <w:vAlign w:val="center"/>
          </w:tcPr>
          <w:p w14:paraId="25791CCE">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0DFB3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10" w:type="dxa"/>
            <w:noWrap/>
            <w:vAlign w:val="center"/>
          </w:tcPr>
          <w:p w14:paraId="1C06FB8C">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5</w:t>
            </w:r>
          </w:p>
        </w:tc>
        <w:tc>
          <w:tcPr>
            <w:tcW w:w="7650" w:type="dxa"/>
            <w:noWrap/>
            <w:vAlign w:val="center"/>
          </w:tcPr>
          <w:p w14:paraId="37758648">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同一项目未出现两个或以上报价、单价汇总与总价不符的情况。评委会有权要求投标供应商在规定时间内进行书面澄清说明，投标供应商不能及时进行澄清说明的，评标委员会应当将其作为无效投标处理。</w:t>
            </w:r>
          </w:p>
        </w:tc>
        <w:tc>
          <w:tcPr>
            <w:tcW w:w="1613" w:type="dxa"/>
            <w:noWrap/>
            <w:vAlign w:val="center"/>
          </w:tcPr>
          <w:p w14:paraId="07D43DF7">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28DA8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10" w:type="dxa"/>
            <w:noWrap/>
            <w:vAlign w:val="center"/>
          </w:tcPr>
          <w:p w14:paraId="3168266D">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6</w:t>
            </w:r>
          </w:p>
        </w:tc>
        <w:tc>
          <w:tcPr>
            <w:tcW w:w="7650" w:type="dxa"/>
            <w:noWrap/>
            <w:vAlign w:val="center"/>
          </w:tcPr>
          <w:p w14:paraId="25902A72">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投标报价无缺漏项目或未对采购文件规定的服务清单项目及数量进行修改。</w:t>
            </w:r>
          </w:p>
        </w:tc>
        <w:tc>
          <w:tcPr>
            <w:tcW w:w="1613" w:type="dxa"/>
            <w:noWrap/>
            <w:vAlign w:val="center"/>
          </w:tcPr>
          <w:p w14:paraId="27B2BADC">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2D436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910" w:type="dxa"/>
            <w:noWrap/>
            <w:vAlign w:val="center"/>
          </w:tcPr>
          <w:p w14:paraId="0E6874E8">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7</w:t>
            </w:r>
          </w:p>
        </w:tc>
        <w:tc>
          <w:tcPr>
            <w:tcW w:w="7650" w:type="dxa"/>
            <w:noWrap/>
            <w:vAlign w:val="center"/>
          </w:tcPr>
          <w:p w14:paraId="6BE878F1">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所投产品、工程、服务在质量、技术、方案等方面实质性满足采购文件要求，本项目实质性条款以标注“★”条款为准（是否实质性满足招标文件要求，由评审委员会根据《实质性条款响应情况表》作出评判）。</w:t>
            </w:r>
          </w:p>
        </w:tc>
        <w:tc>
          <w:tcPr>
            <w:tcW w:w="1613" w:type="dxa"/>
            <w:noWrap/>
            <w:vAlign w:val="center"/>
          </w:tcPr>
          <w:p w14:paraId="7432A175">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23661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910" w:type="dxa"/>
            <w:noWrap/>
            <w:vAlign w:val="center"/>
          </w:tcPr>
          <w:p w14:paraId="7AAB84DE">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8</w:t>
            </w:r>
          </w:p>
        </w:tc>
        <w:tc>
          <w:tcPr>
            <w:tcW w:w="7650" w:type="dxa"/>
            <w:noWrap/>
            <w:vAlign w:val="center"/>
          </w:tcPr>
          <w:p w14:paraId="25A966B0">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开标一览表》《投标及履约承诺函》按采购文件规定的格式和内容响应；按采购文件对投标文件组成的要求提供投标文件的（投标文件组成完整）；按照招标文件要求提供密封投标文件；投标文件的数量、密封、签字盖章符合采购文件要求，提供投标文件电子文档；按照采购文件规定的样式及要求填写“法定代表人资格证明书”或“</w:t>
            </w:r>
            <w:r>
              <w:rPr>
                <w:rFonts w:hint="eastAsia" w:ascii="宋体" w:hAnsi="宋体" w:cs="宋体"/>
                <w:bCs/>
                <w:color w:val="auto"/>
                <w:sz w:val="22"/>
                <w:szCs w:val="22"/>
                <w:highlight w:val="none"/>
                <w:lang w:bidi="ar"/>
              </w:rPr>
              <w:t>法定代表人授权书</w:t>
            </w:r>
            <w:r>
              <w:rPr>
                <w:rFonts w:hint="eastAsia" w:ascii="宋体" w:hAnsi="宋体" w:cs="宋体"/>
                <w:bCs/>
                <w:color w:val="auto"/>
                <w:sz w:val="22"/>
                <w:szCs w:val="22"/>
                <w:highlight w:val="none"/>
              </w:rPr>
              <w:t>”或“分项报价表”。</w:t>
            </w:r>
          </w:p>
        </w:tc>
        <w:tc>
          <w:tcPr>
            <w:tcW w:w="1613" w:type="dxa"/>
            <w:noWrap/>
            <w:vAlign w:val="center"/>
          </w:tcPr>
          <w:p w14:paraId="02D70EF9">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5E93F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910" w:type="dxa"/>
            <w:noWrap/>
            <w:vAlign w:val="center"/>
          </w:tcPr>
          <w:p w14:paraId="07CEF882">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9</w:t>
            </w:r>
          </w:p>
        </w:tc>
        <w:tc>
          <w:tcPr>
            <w:tcW w:w="7650" w:type="dxa"/>
            <w:noWrap/>
            <w:vAlign w:val="center"/>
          </w:tcPr>
          <w:p w14:paraId="382F2AF5">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与其他投标供应商的投标文件未存在异常雷同现象的。</w:t>
            </w:r>
          </w:p>
        </w:tc>
        <w:tc>
          <w:tcPr>
            <w:tcW w:w="1613" w:type="dxa"/>
            <w:noWrap/>
            <w:vAlign w:val="center"/>
          </w:tcPr>
          <w:p w14:paraId="12292A5A">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0ED48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10" w:type="dxa"/>
            <w:noWrap/>
            <w:vAlign w:val="center"/>
          </w:tcPr>
          <w:p w14:paraId="664E4992">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10</w:t>
            </w:r>
          </w:p>
        </w:tc>
        <w:tc>
          <w:tcPr>
            <w:tcW w:w="7650" w:type="dxa"/>
            <w:noWrap/>
            <w:vAlign w:val="center"/>
          </w:tcPr>
          <w:p w14:paraId="637CA11D">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未存在招标文件规定的其他投标无效情形。</w:t>
            </w:r>
          </w:p>
        </w:tc>
        <w:tc>
          <w:tcPr>
            <w:tcW w:w="1613" w:type="dxa"/>
            <w:noWrap/>
            <w:vAlign w:val="center"/>
          </w:tcPr>
          <w:p w14:paraId="11CBF54E">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5285C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910" w:type="dxa"/>
            <w:noWrap/>
            <w:vAlign w:val="center"/>
          </w:tcPr>
          <w:p w14:paraId="58EE33C6">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11</w:t>
            </w:r>
          </w:p>
        </w:tc>
        <w:tc>
          <w:tcPr>
            <w:tcW w:w="7650" w:type="dxa"/>
            <w:noWrap/>
            <w:vAlign w:val="center"/>
          </w:tcPr>
          <w:p w14:paraId="65277D9E">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法律、法规规定的其他情形。</w:t>
            </w:r>
          </w:p>
        </w:tc>
        <w:tc>
          <w:tcPr>
            <w:tcW w:w="1613" w:type="dxa"/>
            <w:noWrap/>
            <w:vAlign w:val="center"/>
          </w:tcPr>
          <w:p w14:paraId="1D06731F">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bl>
    <w:p w14:paraId="5B781F85">
      <w:pPr>
        <w:keepNext w:val="0"/>
        <w:keepLines w:val="0"/>
        <w:pageBreakBefore w:val="0"/>
        <w:widowControl w:val="0"/>
        <w:kinsoku/>
        <w:wordWrap/>
        <w:overflowPunct/>
        <w:topLinePunct w:val="0"/>
        <w:bidi w:val="0"/>
        <w:spacing w:line="240" w:lineRule="atLeast"/>
        <w:jc w:val="both"/>
        <w:textAlignment w:val="auto"/>
        <w:rPr>
          <w:rFonts w:hint="eastAsia" w:ascii="宋体" w:hAnsi="宋体" w:cs="宋体"/>
          <w:color w:val="auto"/>
          <w:highlight w:val="none"/>
        </w:rPr>
      </w:pPr>
    </w:p>
    <w:p w14:paraId="4C48802D">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投标人（公章）：</w:t>
      </w:r>
    </w:p>
    <w:p w14:paraId="05132CCD">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法定代表人或其授权代表签名：</w:t>
      </w:r>
    </w:p>
    <w:p w14:paraId="17D18F09">
      <w:pPr>
        <w:keepNext w:val="0"/>
        <w:keepLines w:val="0"/>
        <w:pageBreakBefore w:val="0"/>
        <w:widowControl w:val="0"/>
        <w:kinsoku/>
        <w:wordWrap/>
        <w:overflowPunct/>
        <w:topLinePunct w:val="0"/>
        <w:bidi w:val="0"/>
        <w:spacing w:line="240" w:lineRule="atLeast"/>
        <w:jc w:val="both"/>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日期：      年    月    日</w:t>
      </w:r>
    </w:p>
    <w:p w14:paraId="05684BD7">
      <w:pPr>
        <w:keepNext w:val="0"/>
        <w:keepLines w:val="0"/>
        <w:pageBreakBefore w:val="0"/>
        <w:widowControl w:val="0"/>
        <w:kinsoku/>
        <w:wordWrap/>
        <w:overflowPunct/>
        <w:topLinePunct w:val="0"/>
        <w:bidi w:val="0"/>
        <w:spacing w:line="240" w:lineRule="atLeast"/>
        <w:jc w:val="both"/>
        <w:textAlignment w:val="auto"/>
        <w:rPr>
          <w:rFonts w:hint="eastAsia" w:ascii="宋体" w:hAnsi="宋体" w:cs="宋体"/>
          <w:color w:val="auto"/>
          <w:sz w:val="22"/>
          <w:szCs w:val="22"/>
          <w:highlight w:val="none"/>
        </w:rPr>
      </w:pPr>
    </w:p>
    <w:p w14:paraId="10170BA1">
      <w:pPr>
        <w:keepNext w:val="0"/>
        <w:keepLines w:val="0"/>
        <w:pageBreakBefore w:val="0"/>
        <w:widowControl w:val="0"/>
        <w:kinsoku/>
        <w:wordWrap/>
        <w:overflowPunct/>
        <w:topLinePunct w:val="0"/>
        <w:bidi w:val="0"/>
        <w:spacing w:line="240" w:lineRule="atLeast"/>
        <w:jc w:val="both"/>
        <w:textAlignment w:val="auto"/>
        <w:rPr>
          <w:rFonts w:hint="eastAsia" w:ascii="宋体" w:hAnsi="宋体" w:eastAsia="宋体" w:cs="宋体"/>
          <w:b/>
          <w:bCs/>
          <w:color w:val="auto"/>
          <w:sz w:val="40"/>
          <w:szCs w:val="40"/>
          <w:highlight w:val="none"/>
          <w:lang w:eastAsia="zh-CN"/>
        </w:rPr>
      </w:pPr>
      <w:r>
        <w:rPr>
          <w:rFonts w:hint="eastAsia" w:ascii="宋体" w:hAnsi="宋体" w:cs="宋体"/>
          <w:color w:val="auto"/>
          <w:highlight w:val="none"/>
        </w:rPr>
        <w:t>说明：</w:t>
      </w:r>
      <w:r>
        <w:rPr>
          <w:rFonts w:hint="eastAsia" w:ascii="宋体" w:hAnsi="宋体"/>
          <w:color w:val="auto"/>
          <w:highlight w:val="none"/>
        </w:rPr>
        <w:t>投标人必须严格按照《资格性审查表》《符合性检查表》的评审内容的要求如实提供材料</w:t>
      </w:r>
      <w:r>
        <w:rPr>
          <w:rFonts w:hint="eastAsia" w:ascii="宋体" w:hAnsi="宋体"/>
          <w:bCs/>
          <w:color w:val="auto"/>
          <w:highlight w:val="none"/>
        </w:rPr>
        <w:t>并应加盖投标人公章</w:t>
      </w:r>
      <w:r>
        <w:rPr>
          <w:rFonts w:hint="eastAsia" w:ascii="宋体" w:hAnsi="宋体"/>
          <w:bCs/>
          <w:color w:val="auto"/>
          <w:highlight w:val="none"/>
          <w:lang w:eastAsia="zh-CN"/>
        </w:rPr>
        <w:t>，</w:t>
      </w:r>
      <w:r>
        <w:rPr>
          <w:rFonts w:hint="eastAsia" w:ascii="宋体" w:hAnsi="宋体"/>
          <w:color w:val="auto"/>
          <w:highlight w:val="none"/>
        </w:rPr>
        <w:t>对缺漏或不符合项将直接导致无效投标</w:t>
      </w:r>
      <w:r>
        <w:rPr>
          <w:rFonts w:hint="eastAsia" w:ascii="宋体" w:cs="宋体"/>
          <w:color w:val="auto"/>
          <w:szCs w:val="21"/>
          <w:highlight w:val="none"/>
        </w:rPr>
        <w:t>。</w:t>
      </w:r>
    </w:p>
    <w:p w14:paraId="4C342FE6">
      <w:pPr>
        <w:pStyle w:val="3"/>
        <w:spacing w:line="400" w:lineRule="exact"/>
        <w:jc w:val="center"/>
        <w:rPr>
          <w:rFonts w:ascii="宋体" w:hAnsi="宋体" w:cs="宋体"/>
          <w:b/>
          <w:bCs/>
          <w:color w:val="auto"/>
          <w:sz w:val="32"/>
          <w:szCs w:val="32"/>
          <w:highlight w:val="none"/>
        </w:rPr>
      </w:pPr>
      <w:bookmarkStart w:id="12" w:name="_Toc417"/>
      <w:bookmarkStart w:id="13" w:name="_Toc20190"/>
      <w:bookmarkStart w:id="14" w:name="_Toc24877"/>
      <w:r>
        <w:rPr>
          <w:rFonts w:hint="eastAsia" w:ascii="宋体" w:hAnsi="宋体" w:cs="宋体"/>
          <w:b/>
          <w:bCs/>
          <w:color w:val="auto"/>
          <w:sz w:val="28"/>
          <w:szCs w:val="28"/>
          <w:highlight w:val="none"/>
        </w:rPr>
        <w:t>（三）供应商自查表</w:t>
      </w:r>
      <w:bookmarkEnd w:id="12"/>
      <w:bookmarkEnd w:id="13"/>
      <w:bookmarkEnd w:id="14"/>
    </w:p>
    <w:p w14:paraId="407BCA7F">
      <w:pPr>
        <w:spacing w:before="157" w:line="198" w:lineRule="auto"/>
        <w:ind w:left="126" w:right="-21" w:rightChars="-10"/>
        <w:jc w:val="center"/>
        <w:rPr>
          <w:color w:val="auto"/>
          <w:highlight w:val="none"/>
        </w:rPr>
      </w:pPr>
      <w:r>
        <w:rPr>
          <w:rFonts w:hint="eastAsia" w:ascii="宋体" w:hAnsi="宋体" w:cs="宋体"/>
          <w:color w:val="auto"/>
          <w:szCs w:val="21"/>
          <w:highlight w:val="none"/>
        </w:rPr>
        <w:t xml:space="preserve">填表单位：（加盖单位公章）       </w:t>
      </w:r>
      <w:r>
        <w:rPr>
          <w:rFonts w:hint="eastAsia" w:ascii="宋体" w:hAnsi="宋体" w:cs="宋体"/>
          <w:color w:val="auto"/>
          <w:spacing w:val="4"/>
          <w:szCs w:val="21"/>
          <w:highlight w:val="none"/>
        </w:rPr>
        <w:t xml:space="preserve">             </w:t>
      </w:r>
      <w:r>
        <w:rPr>
          <w:rFonts w:hint="eastAsia" w:ascii="宋体" w:hAnsi="宋体" w:cs="宋体"/>
          <w:color w:val="auto"/>
          <w:szCs w:val="21"/>
          <w:highlight w:val="none"/>
        </w:rPr>
        <w:t>填表日期：</w:t>
      </w:r>
      <w:r>
        <w:rPr>
          <w:rFonts w:hint="eastAsia" w:ascii="宋体" w:hAnsi="宋体" w:cs="宋体"/>
          <w:color w:val="auto"/>
          <w:spacing w:val="13"/>
          <w:szCs w:val="21"/>
          <w:highlight w:val="none"/>
        </w:rPr>
        <w:t xml:space="preserve">   </w:t>
      </w:r>
      <w:r>
        <w:rPr>
          <w:rFonts w:hint="eastAsia" w:ascii="宋体" w:hAnsi="宋体" w:cs="宋体"/>
          <w:color w:val="auto"/>
          <w:szCs w:val="21"/>
          <w:highlight w:val="none"/>
        </w:rPr>
        <w:t>年   月   日</w:t>
      </w:r>
    </w:p>
    <w:tbl>
      <w:tblPr>
        <w:tblStyle w:val="19"/>
        <w:tblW w:w="102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5985"/>
        <w:gridCol w:w="2820"/>
        <w:gridCol w:w="780"/>
      </w:tblGrid>
      <w:tr w14:paraId="33CA7147">
        <w:tblPrEx>
          <w:tblCellMar>
            <w:top w:w="0" w:type="dxa"/>
            <w:left w:w="108" w:type="dxa"/>
            <w:bottom w:w="0" w:type="dxa"/>
            <w:right w:w="108" w:type="dxa"/>
          </w:tblCellMar>
        </w:tblPrEx>
        <w:trPr>
          <w:trHeight w:val="342" w:hRule="atLeast"/>
          <w:jc w:val="center"/>
        </w:trPr>
        <w:tc>
          <w:tcPr>
            <w:tcW w:w="661" w:type="dxa"/>
            <w:vAlign w:val="center"/>
          </w:tcPr>
          <w:p w14:paraId="68A0BB3C">
            <w:pPr>
              <w:spacing w:line="360" w:lineRule="exact"/>
              <w:jc w:val="center"/>
              <w:rPr>
                <w:rFonts w:ascii="宋体" w:hAnsi="宋体"/>
                <w:color w:val="auto"/>
                <w:szCs w:val="21"/>
                <w:highlight w:val="none"/>
              </w:rPr>
            </w:pPr>
            <w:r>
              <w:rPr>
                <w:rFonts w:hint="eastAsia" w:ascii="宋体" w:hAnsi="宋体"/>
                <w:color w:val="auto"/>
                <w:szCs w:val="21"/>
                <w:highlight w:val="none"/>
              </w:rPr>
              <w:t>序号</w:t>
            </w:r>
          </w:p>
        </w:tc>
        <w:tc>
          <w:tcPr>
            <w:tcW w:w="5985" w:type="dxa"/>
            <w:vAlign w:val="center"/>
          </w:tcPr>
          <w:p w14:paraId="18A8F60A">
            <w:pPr>
              <w:spacing w:line="360" w:lineRule="exact"/>
              <w:jc w:val="center"/>
              <w:rPr>
                <w:rFonts w:ascii="宋体" w:hAnsi="宋体"/>
                <w:color w:val="auto"/>
                <w:szCs w:val="21"/>
                <w:highlight w:val="none"/>
              </w:rPr>
            </w:pPr>
            <w:r>
              <w:rPr>
                <w:rFonts w:hint="eastAsia" w:ascii="宋体" w:hAnsi="宋体"/>
                <w:color w:val="auto"/>
                <w:szCs w:val="21"/>
                <w:highlight w:val="none"/>
              </w:rPr>
              <w:t>是否存在以下投标违规行为</w:t>
            </w:r>
          </w:p>
        </w:tc>
        <w:tc>
          <w:tcPr>
            <w:tcW w:w="2820" w:type="dxa"/>
            <w:vAlign w:val="center"/>
          </w:tcPr>
          <w:p w14:paraId="09EBF523">
            <w:pPr>
              <w:spacing w:line="360" w:lineRule="exact"/>
              <w:jc w:val="center"/>
              <w:rPr>
                <w:rFonts w:ascii="宋体" w:hAnsi="宋体"/>
                <w:color w:val="auto"/>
                <w:szCs w:val="21"/>
                <w:highlight w:val="none"/>
              </w:rPr>
            </w:pPr>
            <w:r>
              <w:rPr>
                <w:rFonts w:hint="eastAsia" w:ascii="宋体" w:hAnsi="宋体"/>
                <w:color w:val="auto"/>
                <w:szCs w:val="21"/>
                <w:highlight w:val="none"/>
              </w:rPr>
              <w:t>自查情况</w:t>
            </w:r>
          </w:p>
          <w:p w14:paraId="7D8A4E26">
            <w:pPr>
              <w:spacing w:line="360" w:lineRule="exact"/>
              <w:jc w:val="center"/>
              <w:rPr>
                <w:rFonts w:ascii="宋体" w:hAnsi="宋体"/>
                <w:color w:val="auto"/>
                <w:szCs w:val="21"/>
                <w:highlight w:val="none"/>
              </w:rPr>
            </w:pPr>
            <w:r>
              <w:rPr>
                <w:rFonts w:hint="eastAsia" w:ascii="宋体" w:hAnsi="宋体"/>
                <w:color w:val="auto"/>
                <w:szCs w:val="21"/>
                <w:highlight w:val="none"/>
              </w:rPr>
              <w:t>（填写“不存在”或“存在”）</w:t>
            </w:r>
          </w:p>
        </w:tc>
        <w:tc>
          <w:tcPr>
            <w:tcW w:w="780" w:type="dxa"/>
            <w:vAlign w:val="center"/>
          </w:tcPr>
          <w:p w14:paraId="6C3016DE">
            <w:pPr>
              <w:spacing w:line="360" w:lineRule="exact"/>
              <w:jc w:val="center"/>
              <w:rPr>
                <w:rFonts w:ascii="宋体" w:hAnsi="宋体"/>
                <w:color w:val="auto"/>
                <w:szCs w:val="21"/>
                <w:highlight w:val="none"/>
              </w:rPr>
            </w:pPr>
            <w:r>
              <w:rPr>
                <w:rFonts w:hint="eastAsia" w:ascii="宋体" w:hAnsi="宋体"/>
                <w:color w:val="auto"/>
                <w:szCs w:val="21"/>
                <w:highlight w:val="none"/>
              </w:rPr>
              <w:t>备注</w:t>
            </w:r>
          </w:p>
        </w:tc>
      </w:tr>
      <w:tr w14:paraId="58A13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661" w:type="dxa"/>
            <w:vAlign w:val="center"/>
          </w:tcPr>
          <w:p w14:paraId="65ED3477">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5985" w:type="dxa"/>
            <w:vAlign w:val="center"/>
          </w:tcPr>
          <w:p w14:paraId="577A1125">
            <w:pPr>
              <w:jc w:val="left"/>
              <w:rPr>
                <w:rFonts w:ascii="宋体" w:hAnsi="宋体" w:cs="宋体"/>
                <w:color w:val="auto"/>
                <w:highlight w:val="none"/>
              </w:rPr>
            </w:pPr>
            <w:r>
              <w:rPr>
                <w:rFonts w:hint="eastAsia" w:ascii="宋体" w:hAnsi="宋体" w:cs="宋体"/>
                <w:bCs/>
                <w:color w:val="auto"/>
                <w:szCs w:val="21"/>
                <w:highlight w:val="none"/>
              </w:rPr>
              <w:t>投标供应商之间相互约定给予未中标的供应商利益补偿。</w:t>
            </w:r>
          </w:p>
        </w:tc>
        <w:tc>
          <w:tcPr>
            <w:tcW w:w="2820" w:type="dxa"/>
            <w:vAlign w:val="center"/>
          </w:tcPr>
          <w:p w14:paraId="659EB058">
            <w:pPr>
              <w:spacing w:line="360" w:lineRule="exact"/>
              <w:jc w:val="center"/>
              <w:rPr>
                <w:rFonts w:ascii="宋体" w:hAnsi="宋体"/>
                <w:b/>
                <w:color w:val="auto"/>
                <w:szCs w:val="21"/>
                <w:highlight w:val="none"/>
              </w:rPr>
            </w:pPr>
          </w:p>
        </w:tc>
        <w:tc>
          <w:tcPr>
            <w:tcW w:w="780" w:type="dxa"/>
            <w:vAlign w:val="center"/>
          </w:tcPr>
          <w:p w14:paraId="72A40AB4">
            <w:pPr>
              <w:spacing w:line="360" w:lineRule="exact"/>
              <w:jc w:val="center"/>
              <w:rPr>
                <w:rFonts w:ascii="宋体" w:hAnsi="宋体"/>
                <w:b/>
                <w:color w:val="auto"/>
                <w:szCs w:val="21"/>
                <w:highlight w:val="none"/>
              </w:rPr>
            </w:pPr>
          </w:p>
        </w:tc>
      </w:tr>
      <w:tr w14:paraId="14FFA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61" w:type="dxa"/>
            <w:vAlign w:val="center"/>
          </w:tcPr>
          <w:p w14:paraId="38D555EB">
            <w:pPr>
              <w:spacing w:line="360" w:lineRule="exact"/>
              <w:jc w:val="center"/>
              <w:rPr>
                <w:rFonts w:ascii="宋体" w:hAnsi="宋体"/>
                <w:color w:val="auto"/>
                <w:szCs w:val="21"/>
                <w:highlight w:val="none"/>
              </w:rPr>
            </w:pPr>
            <w:r>
              <w:rPr>
                <w:rFonts w:hint="eastAsia" w:ascii="宋体" w:hAnsi="宋体"/>
                <w:color w:val="auto"/>
                <w:szCs w:val="21"/>
                <w:highlight w:val="none"/>
              </w:rPr>
              <w:t>2</w:t>
            </w:r>
          </w:p>
        </w:tc>
        <w:tc>
          <w:tcPr>
            <w:tcW w:w="5985" w:type="dxa"/>
            <w:vAlign w:val="center"/>
          </w:tcPr>
          <w:p w14:paraId="0B14C166">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不同投标供应商的法定代表人、主要经营负责人、项目投标授权代表人、项目负责人、主要技术人员为同一人、属于同一单位或者在同一单位缴纳社会保险。</w:t>
            </w:r>
          </w:p>
        </w:tc>
        <w:tc>
          <w:tcPr>
            <w:tcW w:w="2820" w:type="dxa"/>
            <w:vAlign w:val="center"/>
          </w:tcPr>
          <w:p w14:paraId="0567D3CF">
            <w:pPr>
              <w:spacing w:line="360" w:lineRule="exact"/>
              <w:jc w:val="center"/>
              <w:rPr>
                <w:rFonts w:ascii="宋体" w:hAnsi="宋体"/>
                <w:b/>
                <w:color w:val="auto"/>
                <w:szCs w:val="21"/>
                <w:highlight w:val="none"/>
              </w:rPr>
            </w:pPr>
          </w:p>
        </w:tc>
        <w:tc>
          <w:tcPr>
            <w:tcW w:w="780" w:type="dxa"/>
            <w:vAlign w:val="center"/>
          </w:tcPr>
          <w:p w14:paraId="1E5569AC">
            <w:pPr>
              <w:spacing w:line="360" w:lineRule="exact"/>
              <w:jc w:val="center"/>
              <w:rPr>
                <w:rFonts w:ascii="宋体" w:hAnsi="宋体"/>
                <w:b/>
                <w:color w:val="auto"/>
                <w:szCs w:val="21"/>
                <w:highlight w:val="none"/>
              </w:rPr>
            </w:pPr>
          </w:p>
        </w:tc>
      </w:tr>
      <w:tr w14:paraId="1377C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661" w:type="dxa"/>
            <w:vAlign w:val="center"/>
          </w:tcPr>
          <w:p w14:paraId="5194D6E5">
            <w:pPr>
              <w:spacing w:line="360" w:lineRule="exact"/>
              <w:jc w:val="center"/>
              <w:rPr>
                <w:rFonts w:ascii="宋体" w:hAnsi="宋体"/>
                <w:color w:val="auto"/>
                <w:szCs w:val="21"/>
                <w:highlight w:val="none"/>
              </w:rPr>
            </w:pPr>
            <w:r>
              <w:rPr>
                <w:rFonts w:hint="eastAsia" w:ascii="宋体" w:hAnsi="宋体"/>
                <w:color w:val="auto"/>
                <w:szCs w:val="21"/>
                <w:highlight w:val="none"/>
              </w:rPr>
              <w:t>3</w:t>
            </w:r>
          </w:p>
        </w:tc>
        <w:tc>
          <w:tcPr>
            <w:tcW w:w="5985" w:type="dxa"/>
            <w:vAlign w:val="center"/>
          </w:tcPr>
          <w:p w14:paraId="21D8111E">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不同投标供应商的投标文件由同一单位或者同一人编制，或者由同一人分阶段参与编制的。</w:t>
            </w:r>
          </w:p>
        </w:tc>
        <w:tc>
          <w:tcPr>
            <w:tcW w:w="2820" w:type="dxa"/>
            <w:vAlign w:val="center"/>
          </w:tcPr>
          <w:p w14:paraId="41D7D476">
            <w:pPr>
              <w:spacing w:line="360" w:lineRule="exact"/>
              <w:jc w:val="center"/>
              <w:rPr>
                <w:rFonts w:ascii="宋体" w:hAnsi="宋体"/>
                <w:b/>
                <w:color w:val="auto"/>
                <w:szCs w:val="21"/>
                <w:highlight w:val="none"/>
              </w:rPr>
            </w:pPr>
          </w:p>
        </w:tc>
        <w:tc>
          <w:tcPr>
            <w:tcW w:w="780" w:type="dxa"/>
            <w:vAlign w:val="center"/>
          </w:tcPr>
          <w:p w14:paraId="57721005">
            <w:pPr>
              <w:spacing w:line="360" w:lineRule="exact"/>
              <w:jc w:val="center"/>
              <w:rPr>
                <w:rFonts w:ascii="宋体" w:hAnsi="宋体"/>
                <w:b/>
                <w:color w:val="auto"/>
                <w:szCs w:val="21"/>
                <w:highlight w:val="none"/>
              </w:rPr>
            </w:pPr>
          </w:p>
        </w:tc>
      </w:tr>
      <w:tr w14:paraId="02557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661" w:type="dxa"/>
            <w:vAlign w:val="center"/>
          </w:tcPr>
          <w:p w14:paraId="4C5E168B">
            <w:pPr>
              <w:spacing w:line="360" w:lineRule="exact"/>
              <w:jc w:val="center"/>
              <w:rPr>
                <w:rFonts w:ascii="宋体" w:hAnsi="宋体"/>
                <w:color w:val="auto"/>
                <w:szCs w:val="21"/>
                <w:highlight w:val="none"/>
              </w:rPr>
            </w:pPr>
            <w:r>
              <w:rPr>
                <w:rFonts w:hint="eastAsia" w:ascii="宋体" w:hAnsi="宋体"/>
                <w:color w:val="auto"/>
                <w:szCs w:val="21"/>
                <w:highlight w:val="none"/>
              </w:rPr>
              <w:t>4</w:t>
            </w:r>
          </w:p>
        </w:tc>
        <w:tc>
          <w:tcPr>
            <w:tcW w:w="5985" w:type="dxa"/>
            <w:vAlign w:val="center"/>
          </w:tcPr>
          <w:p w14:paraId="1F5996DB">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不同投标供应商的投标文件或部分投标文件相互混装。</w:t>
            </w:r>
          </w:p>
        </w:tc>
        <w:tc>
          <w:tcPr>
            <w:tcW w:w="2820" w:type="dxa"/>
            <w:vAlign w:val="center"/>
          </w:tcPr>
          <w:p w14:paraId="47461243">
            <w:pPr>
              <w:spacing w:line="360" w:lineRule="exact"/>
              <w:jc w:val="center"/>
              <w:rPr>
                <w:rFonts w:ascii="宋体" w:hAnsi="宋体"/>
                <w:b/>
                <w:color w:val="auto"/>
                <w:szCs w:val="21"/>
                <w:highlight w:val="none"/>
              </w:rPr>
            </w:pPr>
          </w:p>
        </w:tc>
        <w:tc>
          <w:tcPr>
            <w:tcW w:w="780" w:type="dxa"/>
            <w:vAlign w:val="center"/>
          </w:tcPr>
          <w:p w14:paraId="02734804">
            <w:pPr>
              <w:spacing w:line="360" w:lineRule="exact"/>
              <w:jc w:val="center"/>
              <w:rPr>
                <w:rFonts w:ascii="宋体" w:hAnsi="宋体"/>
                <w:b/>
                <w:color w:val="auto"/>
                <w:szCs w:val="21"/>
                <w:highlight w:val="none"/>
              </w:rPr>
            </w:pPr>
          </w:p>
        </w:tc>
      </w:tr>
      <w:tr w14:paraId="0090D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1" w:type="dxa"/>
            <w:vAlign w:val="center"/>
          </w:tcPr>
          <w:p w14:paraId="62885374">
            <w:pPr>
              <w:spacing w:line="360" w:lineRule="exact"/>
              <w:jc w:val="center"/>
              <w:rPr>
                <w:rFonts w:ascii="宋体" w:hAnsi="宋体"/>
                <w:color w:val="auto"/>
                <w:szCs w:val="21"/>
                <w:highlight w:val="none"/>
              </w:rPr>
            </w:pPr>
            <w:r>
              <w:rPr>
                <w:rFonts w:hint="eastAsia" w:ascii="宋体" w:hAnsi="宋体"/>
                <w:color w:val="auto"/>
                <w:szCs w:val="21"/>
                <w:highlight w:val="none"/>
              </w:rPr>
              <w:t>5</w:t>
            </w:r>
          </w:p>
        </w:tc>
        <w:tc>
          <w:tcPr>
            <w:tcW w:w="5985" w:type="dxa"/>
            <w:vAlign w:val="center"/>
          </w:tcPr>
          <w:p w14:paraId="575FFB75">
            <w:pPr>
              <w:jc w:val="left"/>
              <w:rPr>
                <w:rFonts w:ascii="宋体" w:hAnsi="宋体" w:cs="宋体"/>
                <w:snapToGrid w:val="0"/>
                <w:color w:val="auto"/>
                <w:kern w:val="0"/>
                <w:szCs w:val="21"/>
                <w:highlight w:val="none"/>
              </w:rPr>
            </w:pPr>
            <w:r>
              <w:rPr>
                <w:color w:val="auto"/>
                <w:szCs w:val="21"/>
                <w:highlight w:val="none"/>
              </w:rPr>
              <w:t>不同投标供应商的投标文件内容存在非正常一致。</w:t>
            </w:r>
          </w:p>
        </w:tc>
        <w:tc>
          <w:tcPr>
            <w:tcW w:w="2820" w:type="dxa"/>
            <w:vAlign w:val="center"/>
          </w:tcPr>
          <w:p w14:paraId="304CEE85">
            <w:pPr>
              <w:spacing w:line="360" w:lineRule="exact"/>
              <w:jc w:val="center"/>
              <w:rPr>
                <w:rFonts w:ascii="宋体" w:hAnsi="宋体"/>
                <w:b/>
                <w:color w:val="auto"/>
                <w:szCs w:val="21"/>
                <w:highlight w:val="none"/>
              </w:rPr>
            </w:pPr>
          </w:p>
        </w:tc>
        <w:tc>
          <w:tcPr>
            <w:tcW w:w="780" w:type="dxa"/>
            <w:vAlign w:val="center"/>
          </w:tcPr>
          <w:p w14:paraId="7D0C1FA4">
            <w:pPr>
              <w:spacing w:line="360" w:lineRule="exact"/>
              <w:jc w:val="center"/>
              <w:rPr>
                <w:rFonts w:ascii="宋体" w:hAnsi="宋体"/>
                <w:b/>
                <w:color w:val="auto"/>
                <w:szCs w:val="21"/>
                <w:highlight w:val="none"/>
              </w:rPr>
            </w:pPr>
          </w:p>
        </w:tc>
      </w:tr>
      <w:tr w14:paraId="78FC3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1" w:type="dxa"/>
            <w:vAlign w:val="center"/>
          </w:tcPr>
          <w:p w14:paraId="1E742FBC">
            <w:pPr>
              <w:spacing w:line="360" w:lineRule="exact"/>
              <w:jc w:val="center"/>
              <w:rPr>
                <w:rFonts w:ascii="宋体" w:hAnsi="宋体"/>
                <w:color w:val="auto"/>
                <w:szCs w:val="21"/>
                <w:highlight w:val="none"/>
              </w:rPr>
            </w:pPr>
            <w:r>
              <w:rPr>
                <w:rFonts w:hint="eastAsia" w:ascii="宋体" w:hAnsi="宋体"/>
                <w:color w:val="auto"/>
                <w:szCs w:val="21"/>
                <w:highlight w:val="none"/>
              </w:rPr>
              <w:t>6</w:t>
            </w:r>
          </w:p>
        </w:tc>
        <w:tc>
          <w:tcPr>
            <w:tcW w:w="5985" w:type="dxa"/>
            <w:vAlign w:val="center"/>
          </w:tcPr>
          <w:p w14:paraId="14057DCE">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由同一单位工作人员为两家以上（含两家）供应商进行同一项投标活动。</w:t>
            </w:r>
          </w:p>
        </w:tc>
        <w:tc>
          <w:tcPr>
            <w:tcW w:w="2820" w:type="dxa"/>
            <w:vAlign w:val="center"/>
          </w:tcPr>
          <w:p w14:paraId="0B168DC0">
            <w:pPr>
              <w:spacing w:line="360" w:lineRule="exact"/>
              <w:jc w:val="center"/>
              <w:rPr>
                <w:rFonts w:ascii="宋体" w:hAnsi="宋体"/>
                <w:b/>
                <w:color w:val="auto"/>
                <w:szCs w:val="21"/>
                <w:highlight w:val="none"/>
              </w:rPr>
            </w:pPr>
          </w:p>
        </w:tc>
        <w:tc>
          <w:tcPr>
            <w:tcW w:w="780" w:type="dxa"/>
            <w:vAlign w:val="center"/>
          </w:tcPr>
          <w:p w14:paraId="500E3F35">
            <w:pPr>
              <w:spacing w:line="360" w:lineRule="exact"/>
              <w:jc w:val="center"/>
              <w:rPr>
                <w:rFonts w:ascii="宋体" w:hAnsi="宋体"/>
                <w:b/>
                <w:color w:val="auto"/>
                <w:szCs w:val="21"/>
                <w:highlight w:val="none"/>
              </w:rPr>
            </w:pPr>
          </w:p>
        </w:tc>
      </w:tr>
      <w:tr w14:paraId="4C844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661" w:type="dxa"/>
            <w:vAlign w:val="center"/>
          </w:tcPr>
          <w:p w14:paraId="21F8E4C7">
            <w:pPr>
              <w:spacing w:line="360" w:lineRule="exact"/>
              <w:jc w:val="center"/>
              <w:rPr>
                <w:rFonts w:ascii="宋体" w:hAnsi="宋体"/>
                <w:color w:val="auto"/>
                <w:szCs w:val="21"/>
                <w:highlight w:val="none"/>
              </w:rPr>
            </w:pPr>
            <w:r>
              <w:rPr>
                <w:rFonts w:hint="eastAsia" w:ascii="宋体" w:hAnsi="宋体"/>
                <w:color w:val="auto"/>
                <w:szCs w:val="21"/>
                <w:highlight w:val="none"/>
              </w:rPr>
              <w:t>7</w:t>
            </w:r>
          </w:p>
        </w:tc>
        <w:tc>
          <w:tcPr>
            <w:tcW w:w="5985" w:type="dxa"/>
            <w:vAlign w:val="center"/>
          </w:tcPr>
          <w:p w14:paraId="63411619">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不同投标人的投标文件载明的项目管理成员或者联系人员为同一人。</w:t>
            </w:r>
          </w:p>
        </w:tc>
        <w:tc>
          <w:tcPr>
            <w:tcW w:w="2820" w:type="dxa"/>
            <w:vAlign w:val="center"/>
          </w:tcPr>
          <w:p w14:paraId="0FA7DB70">
            <w:pPr>
              <w:spacing w:line="360" w:lineRule="exact"/>
              <w:jc w:val="center"/>
              <w:rPr>
                <w:rFonts w:ascii="宋体" w:hAnsi="宋体"/>
                <w:b/>
                <w:color w:val="auto"/>
                <w:szCs w:val="21"/>
                <w:highlight w:val="none"/>
              </w:rPr>
            </w:pPr>
          </w:p>
        </w:tc>
        <w:tc>
          <w:tcPr>
            <w:tcW w:w="780" w:type="dxa"/>
            <w:vAlign w:val="center"/>
          </w:tcPr>
          <w:p w14:paraId="480B891E">
            <w:pPr>
              <w:spacing w:line="360" w:lineRule="exact"/>
              <w:jc w:val="center"/>
              <w:rPr>
                <w:rFonts w:ascii="宋体" w:hAnsi="宋体"/>
                <w:b/>
                <w:color w:val="auto"/>
                <w:szCs w:val="21"/>
                <w:highlight w:val="none"/>
              </w:rPr>
            </w:pPr>
          </w:p>
        </w:tc>
      </w:tr>
      <w:tr w14:paraId="1CA0C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1" w:type="dxa"/>
            <w:vAlign w:val="center"/>
          </w:tcPr>
          <w:p w14:paraId="44E7E53C">
            <w:pPr>
              <w:spacing w:line="360" w:lineRule="exact"/>
              <w:jc w:val="center"/>
              <w:rPr>
                <w:rFonts w:ascii="宋体" w:hAnsi="宋体"/>
                <w:color w:val="auto"/>
                <w:szCs w:val="21"/>
                <w:highlight w:val="none"/>
              </w:rPr>
            </w:pPr>
            <w:r>
              <w:rPr>
                <w:rFonts w:hint="eastAsia" w:ascii="宋体" w:hAnsi="宋体"/>
                <w:color w:val="auto"/>
                <w:szCs w:val="21"/>
                <w:highlight w:val="none"/>
              </w:rPr>
              <w:t>8</w:t>
            </w:r>
          </w:p>
        </w:tc>
        <w:tc>
          <w:tcPr>
            <w:tcW w:w="5985" w:type="dxa"/>
            <w:vAlign w:val="center"/>
          </w:tcPr>
          <w:p w14:paraId="5BD10D15">
            <w:pPr>
              <w:jc w:val="left"/>
              <w:rPr>
                <w:rFonts w:ascii="宋体" w:hAnsi="宋体" w:cs="宋体"/>
                <w:snapToGrid w:val="0"/>
                <w:color w:val="auto"/>
                <w:kern w:val="0"/>
                <w:szCs w:val="21"/>
                <w:highlight w:val="none"/>
              </w:rPr>
            </w:pPr>
            <w:r>
              <w:rPr>
                <w:rFonts w:hint="eastAsia" w:ascii="宋体" w:hAnsi="宋体" w:cs="宋体"/>
                <w:color w:val="auto"/>
                <w:highlight w:val="none"/>
              </w:rPr>
              <w:t>不同投标人的投标报价呈规律性差异。</w:t>
            </w:r>
          </w:p>
        </w:tc>
        <w:tc>
          <w:tcPr>
            <w:tcW w:w="2820" w:type="dxa"/>
            <w:vAlign w:val="center"/>
          </w:tcPr>
          <w:p w14:paraId="7A5F414E">
            <w:pPr>
              <w:spacing w:line="360" w:lineRule="exact"/>
              <w:jc w:val="center"/>
              <w:rPr>
                <w:rFonts w:ascii="宋体" w:hAnsi="宋体"/>
                <w:b/>
                <w:color w:val="auto"/>
                <w:szCs w:val="21"/>
                <w:highlight w:val="none"/>
              </w:rPr>
            </w:pPr>
          </w:p>
        </w:tc>
        <w:tc>
          <w:tcPr>
            <w:tcW w:w="780" w:type="dxa"/>
            <w:vAlign w:val="center"/>
          </w:tcPr>
          <w:p w14:paraId="6AAE8FB0">
            <w:pPr>
              <w:spacing w:line="360" w:lineRule="exact"/>
              <w:jc w:val="center"/>
              <w:rPr>
                <w:rFonts w:ascii="宋体" w:hAnsi="宋体"/>
                <w:b/>
                <w:color w:val="auto"/>
                <w:szCs w:val="21"/>
                <w:highlight w:val="none"/>
              </w:rPr>
            </w:pPr>
          </w:p>
        </w:tc>
      </w:tr>
      <w:tr w14:paraId="3B428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661" w:type="dxa"/>
            <w:vAlign w:val="center"/>
          </w:tcPr>
          <w:p w14:paraId="001FE0C7">
            <w:pPr>
              <w:spacing w:line="360" w:lineRule="exact"/>
              <w:jc w:val="center"/>
              <w:rPr>
                <w:rFonts w:ascii="宋体" w:hAnsi="宋体"/>
                <w:color w:val="auto"/>
                <w:szCs w:val="21"/>
                <w:highlight w:val="none"/>
              </w:rPr>
            </w:pPr>
            <w:r>
              <w:rPr>
                <w:rFonts w:hint="eastAsia" w:ascii="宋体" w:hAnsi="宋体"/>
                <w:color w:val="auto"/>
                <w:szCs w:val="21"/>
                <w:highlight w:val="none"/>
              </w:rPr>
              <w:t>9</w:t>
            </w:r>
          </w:p>
        </w:tc>
        <w:tc>
          <w:tcPr>
            <w:tcW w:w="5985" w:type="dxa"/>
            <w:vAlign w:val="center"/>
          </w:tcPr>
          <w:p w14:paraId="4C08CE3A">
            <w:pPr>
              <w:jc w:val="left"/>
              <w:rPr>
                <w:rFonts w:ascii="宋体" w:hAnsi="宋体" w:cs="宋体"/>
                <w:snapToGrid w:val="0"/>
                <w:color w:val="auto"/>
                <w:kern w:val="0"/>
                <w:szCs w:val="21"/>
                <w:highlight w:val="none"/>
              </w:rPr>
            </w:pPr>
            <w:r>
              <w:rPr>
                <w:rFonts w:hint="eastAsia" w:ascii="宋体" w:hAnsi="宋体" w:cs="宋体"/>
                <w:color w:val="auto"/>
                <w:highlight w:val="none"/>
              </w:rPr>
              <w:t>不同投标人的投标保证金从同一单位或者个人的账户转出。</w:t>
            </w:r>
          </w:p>
        </w:tc>
        <w:tc>
          <w:tcPr>
            <w:tcW w:w="2820" w:type="dxa"/>
            <w:vAlign w:val="center"/>
          </w:tcPr>
          <w:p w14:paraId="7AB8B3E4">
            <w:pPr>
              <w:spacing w:line="360" w:lineRule="exact"/>
              <w:jc w:val="center"/>
              <w:rPr>
                <w:rFonts w:ascii="宋体" w:hAnsi="宋体"/>
                <w:b/>
                <w:color w:val="auto"/>
                <w:szCs w:val="21"/>
                <w:highlight w:val="none"/>
              </w:rPr>
            </w:pPr>
          </w:p>
        </w:tc>
        <w:tc>
          <w:tcPr>
            <w:tcW w:w="780" w:type="dxa"/>
            <w:vAlign w:val="center"/>
          </w:tcPr>
          <w:p w14:paraId="30151E79">
            <w:pPr>
              <w:spacing w:line="360" w:lineRule="exact"/>
              <w:jc w:val="center"/>
              <w:rPr>
                <w:rFonts w:ascii="宋体" w:hAnsi="宋体"/>
                <w:b/>
                <w:color w:val="auto"/>
                <w:szCs w:val="21"/>
                <w:highlight w:val="none"/>
              </w:rPr>
            </w:pPr>
          </w:p>
        </w:tc>
      </w:tr>
      <w:tr w14:paraId="5F104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6C0A2CE9">
            <w:pPr>
              <w:spacing w:line="360" w:lineRule="exact"/>
              <w:jc w:val="center"/>
              <w:rPr>
                <w:rFonts w:ascii="宋体" w:hAnsi="宋体"/>
                <w:color w:val="auto"/>
                <w:szCs w:val="21"/>
                <w:highlight w:val="none"/>
              </w:rPr>
            </w:pPr>
            <w:r>
              <w:rPr>
                <w:rFonts w:hint="eastAsia" w:ascii="宋体" w:hAnsi="宋体"/>
                <w:color w:val="auto"/>
                <w:szCs w:val="21"/>
                <w:highlight w:val="none"/>
              </w:rPr>
              <w:t>10</w:t>
            </w:r>
          </w:p>
        </w:tc>
        <w:tc>
          <w:tcPr>
            <w:tcW w:w="5985" w:type="dxa"/>
            <w:vAlign w:val="center"/>
          </w:tcPr>
          <w:p w14:paraId="4192540D">
            <w:pPr>
              <w:jc w:val="left"/>
              <w:rPr>
                <w:rFonts w:ascii="宋体" w:hAnsi="宋体" w:cs="宋体"/>
                <w:color w:val="auto"/>
                <w:szCs w:val="21"/>
                <w:highlight w:val="none"/>
              </w:rPr>
            </w:pPr>
            <w:r>
              <w:rPr>
                <w:rFonts w:hint="eastAsia" w:ascii="宋体" w:hAnsi="宋体"/>
                <w:color w:val="auto"/>
                <w:szCs w:val="21"/>
                <w:highlight w:val="none"/>
              </w:rPr>
              <w:t>投标人之间协商投标报价等投标文件的实质性内容。</w:t>
            </w:r>
          </w:p>
        </w:tc>
        <w:tc>
          <w:tcPr>
            <w:tcW w:w="2820" w:type="dxa"/>
            <w:vAlign w:val="center"/>
          </w:tcPr>
          <w:p w14:paraId="49AD0697">
            <w:pPr>
              <w:spacing w:line="360" w:lineRule="exact"/>
              <w:jc w:val="center"/>
              <w:rPr>
                <w:rFonts w:ascii="宋体" w:hAnsi="宋体"/>
                <w:b/>
                <w:color w:val="auto"/>
                <w:szCs w:val="21"/>
                <w:highlight w:val="none"/>
              </w:rPr>
            </w:pPr>
          </w:p>
        </w:tc>
        <w:tc>
          <w:tcPr>
            <w:tcW w:w="780" w:type="dxa"/>
            <w:vAlign w:val="center"/>
          </w:tcPr>
          <w:p w14:paraId="79D029E9">
            <w:pPr>
              <w:spacing w:line="360" w:lineRule="exact"/>
              <w:jc w:val="center"/>
              <w:rPr>
                <w:rFonts w:ascii="宋体" w:hAnsi="宋体"/>
                <w:b/>
                <w:color w:val="auto"/>
                <w:szCs w:val="21"/>
                <w:highlight w:val="none"/>
              </w:rPr>
            </w:pPr>
          </w:p>
        </w:tc>
      </w:tr>
      <w:tr w14:paraId="3CFFE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200297B2">
            <w:pPr>
              <w:spacing w:line="360" w:lineRule="exact"/>
              <w:jc w:val="center"/>
              <w:rPr>
                <w:rFonts w:ascii="宋体" w:hAnsi="宋体"/>
                <w:color w:val="auto"/>
                <w:szCs w:val="21"/>
                <w:highlight w:val="none"/>
              </w:rPr>
            </w:pPr>
            <w:r>
              <w:rPr>
                <w:rFonts w:hint="eastAsia" w:ascii="宋体" w:hAnsi="宋体"/>
                <w:color w:val="auto"/>
                <w:szCs w:val="21"/>
                <w:highlight w:val="none"/>
              </w:rPr>
              <w:t>11</w:t>
            </w:r>
          </w:p>
        </w:tc>
        <w:tc>
          <w:tcPr>
            <w:tcW w:w="5985" w:type="dxa"/>
            <w:vAlign w:val="center"/>
          </w:tcPr>
          <w:p w14:paraId="6E6D2121">
            <w:pPr>
              <w:jc w:val="left"/>
              <w:rPr>
                <w:rFonts w:ascii="宋体" w:hAnsi="宋体" w:cs="宋体"/>
                <w:color w:val="auto"/>
                <w:szCs w:val="21"/>
                <w:highlight w:val="none"/>
              </w:rPr>
            </w:pPr>
            <w:r>
              <w:rPr>
                <w:rFonts w:hint="eastAsia" w:ascii="宋体" w:hAnsi="宋体"/>
                <w:color w:val="auto"/>
                <w:szCs w:val="21"/>
                <w:highlight w:val="none"/>
              </w:rPr>
              <w:t>投标人之间约定中标人。</w:t>
            </w:r>
          </w:p>
        </w:tc>
        <w:tc>
          <w:tcPr>
            <w:tcW w:w="2820" w:type="dxa"/>
            <w:vAlign w:val="center"/>
          </w:tcPr>
          <w:p w14:paraId="1B63767D">
            <w:pPr>
              <w:spacing w:line="360" w:lineRule="exact"/>
              <w:jc w:val="center"/>
              <w:rPr>
                <w:rFonts w:ascii="宋体" w:hAnsi="宋体"/>
                <w:b/>
                <w:color w:val="auto"/>
                <w:szCs w:val="21"/>
                <w:highlight w:val="none"/>
              </w:rPr>
            </w:pPr>
          </w:p>
        </w:tc>
        <w:tc>
          <w:tcPr>
            <w:tcW w:w="780" w:type="dxa"/>
            <w:vAlign w:val="center"/>
          </w:tcPr>
          <w:p w14:paraId="7E0EEDA8">
            <w:pPr>
              <w:spacing w:line="360" w:lineRule="exact"/>
              <w:jc w:val="center"/>
              <w:rPr>
                <w:rFonts w:ascii="宋体" w:hAnsi="宋体"/>
                <w:b/>
                <w:color w:val="auto"/>
                <w:szCs w:val="21"/>
                <w:highlight w:val="none"/>
              </w:rPr>
            </w:pPr>
          </w:p>
        </w:tc>
      </w:tr>
      <w:tr w14:paraId="114E6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7A5815F4">
            <w:pPr>
              <w:spacing w:line="360" w:lineRule="exact"/>
              <w:jc w:val="center"/>
              <w:rPr>
                <w:rFonts w:ascii="宋体" w:hAnsi="宋体"/>
                <w:color w:val="auto"/>
                <w:szCs w:val="21"/>
                <w:highlight w:val="none"/>
              </w:rPr>
            </w:pPr>
            <w:r>
              <w:rPr>
                <w:rFonts w:hint="eastAsia" w:ascii="宋体" w:hAnsi="宋体"/>
                <w:color w:val="auto"/>
                <w:szCs w:val="21"/>
                <w:highlight w:val="none"/>
              </w:rPr>
              <w:t>12</w:t>
            </w:r>
          </w:p>
        </w:tc>
        <w:tc>
          <w:tcPr>
            <w:tcW w:w="5985" w:type="dxa"/>
            <w:vAlign w:val="center"/>
          </w:tcPr>
          <w:p w14:paraId="5856E29C">
            <w:pPr>
              <w:jc w:val="left"/>
              <w:rPr>
                <w:rFonts w:ascii="宋体" w:hAnsi="宋体" w:cs="宋体"/>
                <w:color w:val="auto"/>
                <w:szCs w:val="21"/>
                <w:highlight w:val="none"/>
              </w:rPr>
            </w:pPr>
            <w:r>
              <w:rPr>
                <w:rFonts w:hint="eastAsia" w:ascii="宋体" w:hAnsi="宋体"/>
                <w:color w:val="auto"/>
                <w:szCs w:val="21"/>
                <w:highlight w:val="none"/>
              </w:rPr>
              <w:t>投标人之间约定部分投标人放弃投标或者中标。</w:t>
            </w:r>
          </w:p>
        </w:tc>
        <w:tc>
          <w:tcPr>
            <w:tcW w:w="2820" w:type="dxa"/>
            <w:vAlign w:val="center"/>
          </w:tcPr>
          <w:p w14:paraId="601FDD92">
            <w:pPr>
              <w:spacing w:line="360" w:lineRule="exact"/>
              <w:jc w:val="center"/>
              <w:rPr>
                <w:rFonts w:ascii="宋体" w:hAnsi="宋体"/>
                <w:b/>
                <w:color w:val="auto"/>
                <w:szCs w:val="21"/>
                <w:highlight w:val="none"/>
              </w:rPr>
            </w:pPr>
          </w:p>
        </w:tc>
        <w:tc>
          <w:tcPr>
            <w:tcW w:w="780" w:type="dxa"/>
            <w:vAlign w:val="center"/>
          </w:tcPr>
          <w:p w14:paraId="7E894851">
            <w:pPr>
              <w:spacing w:line="360" w:lineRule="exact"/>
              <w:jc w:val="center"/>
              <w:rPr>
                <w:rFonts w:ascii="宋体" w:hAnsi="宋体"/>
                <w:b/>
                <w:color w:val="auto"/>
                <w:szCs w:val="21"/>
                <w:highlight w:val="none"/>
              </w:rPr>
            </w:pPr>
          </w:p>
        </w:tc>
      </w:tr>
      <w:tr w14:paraId="4C455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28544EBF">
            <w:pPr>
              <w:spacing w:line="360" w:lineRule="exact"/>
              <w:jc w:val="center"/>
              <w:rPr>
                <w:rFonts w:ascii="宋体" w:hAnsi="宋体"/>
                <w:color w:val="auto"/>
                <w:szCs w:val="21"/>
                <w:highlight w:val="none"/>
              </w:rPr>
            </w:pPr>
            <w:r>
              <w:rPr>
                <w:rFonts w:hint="eastAsia" w:ascii="宋体" w:hAnsi="宋体"/>
                <w:color w:val="auto"/>
                <w:szCs w:val="21"/>
                <w:highlight w:val="none"/>
              </w:rPr>
              <w:t>13</w:t>
            </w:r>
          </w:p>
        </w:tc>
        <w:tc>
          <w:tcPr>
            <w:tcW w:w="5985" w:type="dxa"/>
            <w:vAlign w:val="center"/>
          </w:tcPr>
          <w:p w14:paraId="1A9051B6">
            <w:pPr>
              <w:jc w:val="left"/>
              <w:rPr>
                <w:rFonts w:ascii="宋体" w:hAnsi="宋体" w:cs="宋体"/>
                <w:color w:val="auto"/>
                <w:szCs w:val="21"/>
                <w:highlight w:val="none"/>
              </w:rPr>
            </w:pPr>
            <w:r>
              <w:rPr>
                <w:rFonts w:hint="eastAsia" w:ascii="宋体" w:hAnsi="宋体"/>
                <w:color w:val="auto"/>
                <w:szCs w:val="21"/>
                <w:highlight w:val="none"/>
              </w:rPr>
              <w:t>属于同一集团、协会、商会等组织成员的投标人按照该组织要求协同投标。</w:t>
            </w:r>
          </w:p>
        </w:tc>
        <w:tc>
          <w:tcPr>
            <w:tcW w:w="2820" w:type="dxa"/>
            <w:vAlign w:val="center"/>
          </w:tcPr>
          <w:p w14:paraId="55919434">
            <w:pPr>
              <w:spacing w:line="360" w:lineRule="exact"/>
              <w:jc w:val="center"/>
              <w:rPr>
                <w:rFonts w:ascii="宋体" w:hAnsi="宋体"/>
                <w:b/>
                <w:color w:val="auto"/>
                <w:szCs w:val="21"/>
                <w:highlight w:val="none"/>
              </w:rPr>
            </w:pPr>
          </w:p>
        </w:tc>
        <w:tc>
          <w:tcPr>
            <w:tcW w:w="780" w:type="dxa"/>
            <w:vAlign w:val="center"/>
          </w:tcPr>
          <w:p w14:paraId="3EEB0BEA">
            <w:pPr>
              <w:spacing w:line="360" w:lineRule="exact"/>
              <w:jc w:val="center"/>
              <w:rPr>
                <w:rFonts w:ascii="宋体" w:hAnsi="宋体"/>
                <w:b/>
                <w:color w:val="auto"/>
                <w:szCs w:val="21"/>
                <w:highlight w:val="none"/>
              </w:rPr>
            </w:pPr>
          </w:p>
        </w:tc>
      </w:tr>
      <w:tr w14:paraId="4577A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0424D106">
            <w:pPr>
              <w:spacing w:line="360" w:lineRule="exact"/>
              <w:jc w:val="center"/>
              <w:rPr>
                <w:rFonts w:ascii="宋体" w:hAnsi="宋体"/>
                <w:color w:val="auto"/>
                <w:szCs w:val="21"/>
                <w:highlight w:val="none"/>
              </w:rPr>
            </w:pPr>
            <w:r>
              <w:rPr>
                <w:rFonts w:hint="eastAsia" w:ascii="宋体" w:hAnsi="宋体"/>
                <w:color w:val="auto"/>
                <w:szCs w:val="21"/>
                <w:highlight w:val="none"/>
              </w:rPr>
              <w:t>14</w:t>
            </w:r>
          </w:p>
        </w:tc>
        <w:tc>
          <w:tcPr>
            <w:tcW w:w="5985" w:type="dxa"/>
            <w:vAlign w:val="center"/>
          </w:tcPr>
          <w:p w14:paraId="3F0A6038">
            <w:pPr>
              <w:jc w:val="left"/>
              <w:rPr>
                <w:rFonts w:ascii="宋体" w:hAnsi="宋体" w:cs="宋体"/>
                <w:color w:val="auto"/>
                <w:szCs w:val="21"/>
                <w:highlight w:val="none"/>
              </w:rPr>
            </w:pPr>
            <w:r>
              <w:rPr>
                <w:rFonts w:hint="eastAsia" w:ascii="宋体" w:hAnsi="宋体"/>
                <w:color w:val="auto"/>
                <w:szCs w:val="21"/>
                <w:highlight w:val="none"/>
              </w:rPr>
              <w:t>投标人之间为谋取中标或者排斥特定投标人而采取的其他联合行动。</w:t>
            </w:r>
          </w:p>
        </w:tc>
        <w:tc>
          <w:tcPr>
            <w:tcW w:w="2820" w:type="dxa"/>
            <w:vAlign w:val="center"/>
          </w:tcPr>
          <w:p w14:paraId="72440121">
            <w:pPr>
              <w:spacing w:line="360" w:lineRule="exact"/>
              <w:jc w:val="center"/>
              <w:rPr>
                <w:rFonts w:ascii="宋体" w:hAnsi="宋体"/>
                <w:b/>
                <w:color w:val="auto"/>
                <w:szCs w:val="21"/>
                <w:highlight w:val="none"/>
              </w:rPr>
            </w:pPr>
          </w:p>
        </w:tc>
        <w:tc>
          <w:tcPr>
            <w:tcW w:w="780" w:type="dxa"/>
            <w:vAlign w:val="center"/>
          </w:tcPr>
          <w:p w14:paraId="6D1EBEE0">
            <w:pPr>
              <w:spacing w:line="360" w:lineRule="exact"/>
              <w:jc w:val="center"/>
              <w:rPr>
                <w:rFonts w:ascii="宋体" w:hAnsi="宋体"/>
                <w:b/>
                <w:color w:val="auto"/>
                <w:szCs w:val="21"/>
                <w:highlight w:val="none"/>
              </w:rPr>
            </w:pPr>
          </w:p>
        </w:tc>
      </w:tr>
      <w:tr w14:paraId="48A54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7A7D3488">
            <w:pPr>
              <w:spacing w:line="360" w:lineRule="exact"/>
              <w:jc w:val="center"/>
              <w:rPr>
                <w:rFonts w:ascii="宋体" w:hAnsi="宋体"/>
                <w:color w:val="auto"/>
                <w:szCs w:val="21"/>
                <w:highlight w:val="none"/>
              </w:rPr>
            </w:pPr>
            <w:r>
              <w:rPr>
                <w:rFonts w:hint="eastAsia" w:ascii="宋体" w:hAnsi="宋体"/>
                <w:color w:val="auto"/>
                <w:szCs w:val="21"/>
                <w:highlight w:val="none"/>
              </w:rPr>
              <w:t>15</w:t>
            </w:r>
          </w:p>
        </w:tc>
        <w:tc>
          <w:tcPr>
            <w:tcW w:w="5985" w:type="dxa"/>
            <w:vAlign w:val="center"/>
          </w:tcPr>
          <w:p w14:paraId="6C8ACFE0">
            <w:pPr>
              <w:jc w:val="left"/>
              <w:rPr>
                <w:rFonts w:ascii="宋体" w:hAnsi="宋体" w:cs="宋体"/>
                <w:color w:val="auto"/>
                <w:szCs w:val="21"/>
                <w:highlight w:val="none"/>
              </w:rPr>
            </w:pPr>
            <w:r>
              <w:rPr>
                <w:rFonts w:hint="eastAsia" w:ascii="宋体" w:hAnsi="宋体"/>
                <w:snapToGrid w:val="0"/>
                <w:color w:val="auto"/>
                <w:highlight w:val="none"/>
              </w:rPr>
              <w:t>其他与政府采购活动参加人串通投标的</w:t>
            </w:r>
            <w:r>
              <w:rPr>
                <w:rFonts w:hint="eastAsia" w:ascii="宋体" w:hAnsi="宋体" w:cs="宋体"/>
                <w:color w:val="auto"/>
                <w:szCs w:val="21"/>
                <w:highlight w:val="none"/>
              </w:rPr>
              <w:t>行为。</w:t>
            </w:r>
          </w:p>
        </w:tc>
        <w:tc>
          <w:tcPr>
            <w:tcW w:w="2820" w:type="dxa"/>
            <w:vAlign w:val="center"/>
          </w:tcPr>
          <w:p w14:paraId="6AB9F7B9">
            <w:pPr>
              <w:spacing w:line="360" w:lineRule="exact"/>
              <w:jc w:val="center"/>
              <w:rPr>
                <w:rFonts w:ascii="宋体" w:hAnsi="宋体"/>
                <w:b/>
                <w:color w:val="auto"/>
                <w:szCs w:val="21"/>
                <w:highlight w:val="none"/>
              </w:rPr>
            </w:pPr>
          </w:p>
        </w:tc>
        <w:tc>
          <w:tcPr>
            <w:tcW w:w="780" w:type="dxa"/>
            <w:vAlign w:val="center"/>
          </w:tcPr>
          <w:p w14:paraId="792E57AC">
            <w:pPr>
              <w:spacing w:line="360" w:lineRule="exact"/>
              <w:jc w:val="center"/>
              <w:rPr>
                <w:rFonts w:ascii="宋体" w:hAnsi="宋体"/>
                <w:b/>
                <w:color w:val="auto"/>
                <w:szCs w:val="21"/>
                <w:highlight w:val="none"/>
              </w:rPr>
            </w:pPr>
          </w:p>
        </w:tc>
      </w:tr>
      <w:tr w14:paraId="54F39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41CB72D7">
            <w:pPr>
              <w:spacing w:line="360" w:lineRule="exact"/>
              <w:jc w:val="center"/>
              <w:rPr>
                <w:rFonts w:ascii="宋体" w:hAnsi="宋体"/>
                <w:color w:val="auto"/>
                <w:szCs w:val="21"/>
                <w:highlight w:val="none"/>
              </w:rPr>
            </w:pPr>
            <w:r>
              <w:rPr>
                <w:rFonts w:hint="eastAsia" w:ascii="宋体" w:hAnsi="宋体"/>
                <w:color w:val="auto"/>
                <w:szCs w:val="21"/>
                <w:highlight w:val="none"/>
              </w:rPr>
              <w:t>16</w:t>
            </w:r>
          </w:p>
        </w:tc>
        <w:tc>
          <w:tcPr>
            <w:tcW w:w="5985" w:type="dxa"/>
            <w:vAlign w:val="center"/>
          </w:tcPr>
          <w:p w14:paraId="1CF15534">
            <w:pPr>
              <w:jc w:val="left"/>
              <w:rPr>
                <w:rFonts w:ascii="宋体" w:hAnsi="宋体" w:cs="宋体"/>
                <w:snapToGrid w:val="0"/>
                <w:color w:val="auto"/>
                <w:kern w:val="0"/>
                <w:szCs w:val="21"/>
                <w:highlight w:val="none"/>
              </w:rPr>
            </w:pPr>
            <w:r>
              <w:rPr>
                <w:rFonts w:hint="eastAsia" w:ascii="宋体" w:hAnsi="宋体" w:cs="宋体"/>
                <w:color w:val="auto"/>
                <w:szCs w:val="21"/>
                <w:highlight w:val="none"/>
              </w:rPr>
              <w:t>通过转让或者租借等方式从其他单位获取资格或者资质证书投标。</w:t>
            </w:r>
          </w:p>
        </w:tc>
        <w:tc>
          <w:tcPr>
            <w:tcW w:w="2820" w:type="dxa"/>
            <w:vAlign w:val="center"/>
          </w:tcPr>
          <w:p w14:paraId="5B1650B1">
            <w:pPr>
              <w:spacing w:line="360" w:lineRule="exact"/>
              <w:jc w:val="center"/>
              <w:rPr>
                <w:rFonts w:ascii="宋体" w:hAnsi="宋体"/>
                <w:b/>
                <w:color w:val="auto"/>
                <w:szCs w:val="21"/>
                <w:highlight w:val="none"/>
              </w:rPr>
            </w:pPr>
          </w:p>
        </w:tc>
        <w:tc>
          <w:tcPr>
            <w:tcW w:w="780" w:type="dxa"/>
            <w:vAlign w:val="center"/>
          </w:tcPr>
          <w:p w14:paraId="1F2EA73B">
            <w:pPr>
              <w:spacing w:line="360" w:lineRule="exact"/>
              <w:jc w:val="center"/>
              <w:rPr>
                <w:rFonts w:ascii="宋体" w:hAnsi="宋体"/>
                <w:b/>
                <w:color w:val="auto"/>
                <w:szCs w:val="21"/>
                <w:highlight w:val="none"/>
              </w:rPr>
            </w:pPr>
          </w:p>
        </w:tc>
      </w:tr>
      <w:tr w14:paraId="70CA4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661" w:type="dxa"/>
            <w:vAlign w:val="center"/>
          </w:tcPr>
          <w:p w14:paraId="4C08CC9B">
            <w:pPr>
              <w:spacing w:line="360" w:lineRule="exact"/>
              <w:jc w:val="center"/>
              <w:rPr>
                <w:rFonts w:ascii="宋体" w:hAnsi="宋体"/>
                <w:color w:val="auto"/>
                <w:szCs w:val="21"/>
                <w:highlight w:val="none"/>
              </w:rPr>
            </w:pPr>
            <w:r>
              <w:rPr>
                <w:rFonts w:hint="eastAsia" w:ascii="宋体" w:hAnsi="宋体"/>
                <w:color w:val="auto"/>
                <w:szCs w:val="21"/>
                <w:highlight w:val="none"/>
              </w:rPr>
              <w:t>17</w:t>
            </w:r>
          </w:p>
        </w:tc>
        <w:tc>
          <w:tcPr>
            <w:tcW w:w="5985" w:type="dxa"/>
            <w:vAlign w:val="center"/>
          </w:tcPr>
          <w:p w14:paraId="6D255F5A">
            <w:pPr>
              <w:jc w:val="left"/>
              <w:rPr>
                <w:rFonts w:ascii="宋体" w:hAnsi="宋体" w:cs="宋体"/>
                <w:snapToGrid w:val="0"/>
                <w:color w:val="auto"/>
                <w:kern w:val="0"/>
                <w:szCs w:val="21"/>
                <w:highlight w:val="none"/>
              </w:rPr>
            </w:pPr>
            <w:r>
              <w:rPr>
                <w:rFonts w:hint="eastAsia" w:ascii="宋体" w:hAnsi="宋体" w:cs="宋体"/>
                <w:color w:val="auto"/>
                <w:szCs w:val="21"/>
                <w:highlight w:val="none"/>
              </w:rPr>
              <w:t>由其他单位或者其他单位负责人在投标供应商编制的投标文件上加盖印章或者签字。</w:t>
            </w:r>
          </w:p>
        </w:tc>
        <w:tc>
          <w:tcPr>
            <w:tcW w:w="2820" w:type="dxa"/>
            <w:vAlign w:val="center"/>
          </w:tcPr>
          <w:p w14:paraId="53CB6676">
            <w:pPr>
              <w:spacing w:line="360" w:lineRule="exact"/>
              <w:jc w:val="center"/>
              <w:rPr>
                <w:rFonts w:ascii="宋体" w:hAnsi="宋体"/>
                <w:b/>
                <w:color w:val="auto"/>
                <w:szCs w:val="21"/>
                <w:highlight w:val="none"/>
              </w:rPr>
            </w:pPr>
          </w:p>
        </w:tc>
        <w:tc>
          <w:tcPr>
            <w:tcW w:w="780" w:type="dxa"/>
            <w:vAlign w:val="center"/>
          </w:tcPr>
          <w:p w14:paraId="33DABE05">
            <w:pPr>
              <w:spacing w:line="360" w:lineRule="exact"/>
              <w:jc w:val="center"/>
              <w:rPr>
                <w:rFonts w:ascii="宋体" w:hAnsi="宋体"/>
                <w:b/>
                <w:color w:val="auto"/>
                <w:szCs w:val="21"/>
                <w:highlight w:val="none"/>
              </w:rPr>
            </w:pPr>
          </w:p>
        </w:tc>
      </w:tr>
      <w:tr w14:paraId="4ACC2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61" w:type="dxa"/>
            <w:vAlign w:val="center"/>
          </w:tcPr>
          <w:p w14:paraId="78974623">
            <w:pPr>
              <w:spacing w:line="360" w:lineRule="exact"/>
              <w:jc w:val="center"/>
              <w:rPr>
                <w:rFonts w:ascii="宋体" w:hAnsi="宋体"/>
                <w:color w:val="auto"/>
                <w:szCs w:val="21"/>
                <w:highlight w:val="none"/>
              </w:rPr>
            </w:pPr>
            <w:r>
              <w:rPr>
                <w:rFonts w:hint="eastAsia" w:ascii="宋体" w:hAnsi="宋体"/>
                <w:color w:val="auto"/>
                <w:szCs w:val="21"/>
                <w:highlight w:val="none"/>
              </w:rPr>
              <w:t>18</w:t>
            </w:r>
          </w:p>
        </w:tc>
        <w:tc>
          <w:tcPr>
            <w:tcW w:w="5985" w:type="dxa"/>
            <w:vAlign w:val="center"/>
          </w:tcPr>
          <w:p w14:paraId="0BE35667">
            <w:pPr>
              <w:jc w:val="left"/>
              <w:rPr>
                <w:rFonts w:ascii="宋体" w:hAnsi="宋体" w:cs="宋体"/>
                <w:snapToGrid w:val="0"/>
                <w:color w:val="auto"/>
                <w:kern w:val="0"/>
                <w:szCs w:val="21"/>
                <w:highlight w:val="none"/>
              </w:rPr>
            </w:pPr>
            <w:r>
              <w:rPr>
                <w:rFonts w:hint="eastAsia" w:ascii="宋体" w:hAnsi="宋体" w:cs="宋体"/>
                <w:color w:val="auto"/>
                <w:szCs w:val="21"/>
                <w:highlight w:val="none"/>
              </w:rPr>
              <w:t>项目负责人或者主要技术人员不是本单位人员，不能提供项目负责人或者主要技术人员的劳动合同、社会保险等劳动关系证明材料。</w:t>
            </w:r>
          </w:p>
        </w:tc>
        <w:tc>
          <w:tcPr>
            <w:tcW w:w="2820" w:type="dxa"/>
            <w:vAlign w:val="center"/>
          </w:tcPr>
          <w:p w14:paraId="250AC152">
            <w:pPr>
              <w:spacing w:line="360" w:lineRule="exact"/>
              <w:jc w:val="center"/>
              <w:rPr>
                <w:rFonts w:ascii="宋体" w:hAnsi="宋体"/>
                <w:b/>
                <w:color w:val="auto"/>
                <w:szCs w:val="21"/>
                <w:highlight w:val="none"/>
              </w:rPr>
            </w:pPr>
          </w:p>
        </w:tc>
        <w:tc>
          <w:tcPr>
            <w:tcW w:w="780" w:type="dxa"/>
            <w:vAlign w:val="center"/>
          </w:tcPr>
          <w:p w14:paraId="22E422B2">
            <w:pPr>
              <w:spacing w:line="360" w:lineRule="exact"/>
              <w:jc w:val="center"/>
              <w:rPr>
                <w:rFonts w:ascii="宋体" w:hAnsi="宋体"/>
                <w:b/>
                <w:color w:val="auto"/>
                <w:szCs w:val="21"/>
                <w:highlight w:val="none"/>
              </w:rPr>
            </w:pPr>
          </w:p>
        </w:tc>
      </w:tr>
      <w:tr w14:paraId="2B03E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661" w:type="dxa"/>
            <w:vAlign w:val="center"/>
          </w:tcPr>
          <w:p w14:paraId="3EADB8FE">
            <w:pPr>
              <w:spacing w:line="360" w:lineRule="exact"/>
              <w:jc w:val="center"/>
              <w:rPr>
                <w:rFonts w:ascii="宋体" w:hAnsi="宋体"/>
                <w:color w:val="auto"/>
                <w:szCs w:val="21"/>
                <w:highlight w:val="none"/>
              </w:rPr>
            </w:pPr>
            <w:r>
              <w:rPr>
                <w:rFonts w:hint="eastAsia" w:ascii="宋体" w:hAnsi="宋体"/>
                <w:color w:val="auto"/>
                <w:szCs w:val="21"/>
                <w:highlight w:val="none"/>
              </w:rPr>
              <w:t>19</w:t>
            </w:r>
          </w:p>
        </w:tc>
        <w:tc>
          <w:tcPr>
            <w:tcW w:w="5985" w:type="dxa"/>
            <w:vAlign w:val="center"/>
          </w:tcPr>
          <w:p w14:paraId="52BCCAA5">
            <w:pPr>
              <w:jc w:val="left"/>
              <w:rPr>
                <w:rFonts w:ascii="宋体" w:hAnsi="宋体" w:cs="宋体"/>
                <w:snapToGrid w:val="0"/>
                <w:color w:val="auto"/>
                <w:kern w:val="0"/>
                <w:szCs w:val="21"/>
                <w:highlight w:val="none"/>
              </w:rPr>
            </w:pPr>
            <w:r>
              <w:rPr>
                <w:rFonts w:hint="eastAsia" w:ascii="宋体" w:hAnsi="宋体" w:cs="宋体"/>
                <w:color w:val="auto"/>
                <w:szCs w:val="21"/>
                <w:highlight w:val="none"/>
              </w:rPr>
              <w:t>投标保证金不是从投标供应商基本账户转出。</w:t>
            </w:r>
          </w:p>
        </w:tc>
        <w:tc>
          <w:tcPr>
            <w:tcW w:w="2820" w:type="dxa"/>
            <w:vAlign w:val="center"/>
          </w:tcPr>
          <w:p w14:paraId="00858134">
            <w:pPr>
              <w:spacing w:line="360" w:lineRule="exact"/>
              <w:jc w:val="center"/>
              <w:rPr>
                <w:rFonts w:ascii="宋体" w:hAnsi="宋体"/>
                <w:b/>
                <w:color w:val="auto"/>
                <w:szCs w:val="21"/>
                <w:highlight w:val="none"/>
              </w:rPr>
            </w:pPr>
          </w:p>
        </w:tc>
        <w:tc>
          <w:tcPr>
            <w:tcW w:w="780" w:type="dxa"/>
            <w:vAlign w:val="center"/>
          </w:tcPr>
          <w:p w14:paraId="7B7D521B">
            <w:pPr>
              <w:spacing w:line="360" w:lineRule="exact"/>
              <w:jc w:val="center"/>
              <w:rPr>
                <w:rFonts w:ascii="宋体" w:hAnsi="宋体"/>
                <w:b/>
                <w:color w:val="auto"/>
                <w:szCs w:val="21"/>
                <w:highlight w:val="none"/>
              </w:rPr>
            </w:pPr>
          </w:p>
        </w:tc>
      </w:tr>
      <w:tr w14:paraId="7C289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661" w:type="dxa"/>
            <w:vAlign w:val="center"/>
          </w:tcPr>
          <w:p w14:paraId="02502E34">
            <w:pPr>
              <w:spacing w:line="360" w:lineRule="exact"/>
              <w:jc w:val="center"/>
              <w:rPr>
                <w:rFonts w:ascii="宋体" w:hAnsi="宋体"/>
                <w:color w:val="auto"/>
                <w:szCs w:val="21"/>
                <w:highlight w:val="none"/>
              </w:rPr>
            </w:pPr>
            <w:r>
              <w:rPr>
                <w:rFonts w:hint="eastAsia" w:ascii="宋体" w:hAnsi="宋体"/>
                <w:color w:val="auto"/>
                <w:szCs w:val="21"/>
                <w:highlight w:val="none"/>
              </w:rPr>
              <w:t>20</w:t>
            </w:r>
          </w:p>
        </w:tc>
        <w:tc>
          <w:tcPr>
            <w:tcW w:w="5985" w:type="dxa"/>
            <w:vAlign w:val="center"/>
          </w:tcPr>
          <w:p w14:paraId="2CFF134C">
            <w:pPr>
              <w:jc w:val="left"/>
              <w:rPr>
                <w:rFonts w:ascii="宋体" w:hAnsi="宋体" w:cs="宋体"/>
                <w:snapToGrid w:val="0"/>
                <w:color w:val="auto"/>
                <w:kern w:val="0"/>
                <w:szCs w:val="21"/>
                <w:highlight w:val="none"/>
              </w:rPr>
            </w:pPr>
            <w:r>
              <w:rPr>
                <w:color w:val="auto"/>
                <w:szCs w:val="21"/>
                <w:highlight w:val="none"/>
              </w:rPr>
              <w:t>其他隐瞒真实情况、提供虚假资料的行为。</w:t>
            </w:r>
          </w:p>
        </w:tc>
        <w:tc>
          <w:tcPr>
            <w:tcW w:w="2820" w:type="dxa"/>
            <w:vAlign w:val="center"/>
          </w:tcPr>
          <w:p w14:paraId="03C09E28">
            <w:pPr>
              <w:spacing w:line="360" w:lineRule="exact"/>
              <w:jc w:val="center"/>
              <w:rPr>
                <w:rFonts w:ascii="宋体" w:hAnsi="宋体"/>
                <w:b/>
                <w:color w:val="auto"/>
                <w:szCs w:val="21"/>
                <w:highlight w:val="none"/>
              </w:rPr>
            </w:pPr>
          </w:p>
        </w:tc>
        <w:tc>
          <w:tcPr>
            <w:tcW w:w="780" w:type="dxa"/>
            <w:vAlign w:val="center"/>
          </w:tcPr>
          <w:p w14:paraId="2A61D68F">
            <w:pPr>
              <w:spacing w:line="360" w:lineRule="exact"/>
              <w:jc w:val="center"/>
              <w:rPr>
                <w:rFonts w:ascii="宋体" w:hAnsi="宋体"/>
                <w:b/>
                <w:color w:val="auto"/>
                <w:szCs w:val="21"/>
                <w:highlight w:val="none"/>
              </w:rPr>
            </w:pPr>
          </w:p>
        </w:tc>
      </w:tr>
    </w:tbl>
    <w:p w14:paraId="77E13EBC">
      <w:pPr>
        <w:keepNext w:val="0"/>
        <w:keepLines w:val="0"/>
        <w:pageBreakBefore w:val="0"/>
        <w:widowControl w:val="0"/>
        <w:numPr>
          <w:ilvl w:val="0"/>
          <w:numId w:val="0"/>
        </w:numPr>
        <w:kinsoku/>
        <w:wordWrap/>
        <w:overflowPunct/>
        <w:topLinePunct w:val="0"/>
        <w:bidi w:val="0"/>
        <w:snapToGrid w:val="0"/>
        <w:spacing w:line="560" w:lineRule="exact"/>
        <w:ind w:left="0" w:leftChars="0" w:firstLine="420" w:firstLineChars="200"/>
        <w:textAlignment w:val="auto"/>
        <w:rPr>
          <w:rFonts w:hint="eastAsia" w:ascii="仿宋" w:hAnsi="仿宋" w:eastAsia="仿宋" w:cs="仿宋"/>
          <w:color w:val="auto"/>
          <w:sz w:val="28"/>
          <w:szCs w:val="28"/>
          <w:highlight w:val="none"/>
        </w:rPr>
      </w:pPr>
      <w:r>
        <w:rPr>
          <w:rFonts w:hint="eastAsia" w:ascii="宋体" w:hAnsi="宋体" w:cs="宋体"/>
          <w:color w:val="auto"/>
          <w:szCs w:val="21"/>
          <w:highlight w:val="none"/>
        </w:rPr>
        <w:t>注：投标供应商出现上述与其他采购参加人串通投标、隐瞒真实情况</w:t>
      </w:r>
      <w:r>
        <w:rPr>
          <w:rFonts w:hint="eastAsia" w:cs="宋体"/>
          <w:color w:val="auto"/>
          <w:szCs w:val="21"/>
          <w:highlight w:val="none"/>
        </w:rPr>
        <w:t>或者</w:t>
      </w:r>
      <w:r>
        <w:rPr>
          <w:rFonts w:hint="eastAsia" w:ascii="宋体" w:hAnsi="宋体" w:cs="宋体"/>
          <w:color w:val="auto"/>
          <w:szCs w:val="21"/>
          <w:highlight w:val="none"/>
        </w:rPr>
        <w:t>提供虚假资料行为的，将依法承担法律责任。</w:t>
      </w:r>
    </w:p>
    <w:p w14:paraId="04D4DEBA">
      <w:pPr>
        <w:keepLines w:val="0"/>
        <w:pageBreakBefore w:val="0"/>
        <w:numPr>
          <w:ilvl w:val="0"/>
          <w:numId w:val="0"/>
        </w:numPr>
        <w:kinsoku/>
        <w:wordWrap/>
        <w:overflowPunct/>
        <w:topLinePunct w:val="0"/>
        <w:bidi w:val="0"/>
        <w:snapToGrid w:val="0"/>
        <w:spacing w:line="56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44"/>
          <w:szCs w:val="44"/>
          <w:highlight w:val="none"/>
        </w:rPr>
        <w:t>第五章  供应商标书</w:t>
      </w:r>
    </w:p>
    <w:tbl>
      <w:tblPr>
        <w:tblStyle w:val="19"/>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3BBF6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5" w:hRule="atLeast"/>
          <w:jc w:val="center"/>
        </w:trPr>
        <w:tc>
          <w:tcPr>
            <w:tcW w:w="9061" w:type="dxa"/>
            <w:noWrap/>
            <w:vAlign w:val="center"/>
          </w:tcPr>
          <w:p w14:paraId="1D7DB89D">
            <w:pPr>
              <w:keepLines w:val="0"/>
              <w:pageBreakBefore w:val="0"/>
              <w:kinsoku/>
              <w:wordWrap/>
              <w:overflowPunct/>
              <w:topLinePunct w:val="0"/>
              <w:bidi w:val="0"/>
              <w:snapToGrid w:val="0"/>
              <w:spacing w:line="560" w:lineRule="exact"/>
              <w:jc w:val="center"/>
              <w:rPr>
                <w:rFonts w:hint="eastAsia" w:ascii="仿宋" w:hAnsi="仿宋" w:eastAsia="仿宋" w:cs="仿宋"/>
                <w:b/>
                <w:bCs/>
                <w:color w:val="auto"/>
                <w:sz w:val="96"/>
                <w:szCs w:val="96"/>
                <w:highlight w:val="none"/>
              </w:rPr>
            </w:pPr>
          </w:p>
          <w:p w14:paraId="7EF9DD18">
            <w:pPr>
              <w:keepLines w:val="0"/>
              <w:pageBreakBefore w:val="0"/>
              <w:kinsoku/>
              <w:wordWrap/>
              <w:overflowPunct/>
              <w:topLinePunct w:val="0"/>
              <w:bidi w:val="0"/>
              <w:snapToGrid w:val="0"/>
              <w:spacing w:line="560" w:lineRule="exact"/>
              <w:jc w:val="center"/>
              <w:rPr>
                <w:rFonts w:hint="eastAsia" w:ascii="仿宋" w:hAnsi="仿宋" w:eastAsia="仿宋" w:cs="仿宋"/>
                <w:color w:val="auto"/>
                <w:sz w:val="72"/>
                <w:szCs w:val="72"/>
                <w:highlight w:val="none"/>
                <w:lang w:eastAsia="zh-CN"/>
              </w:rPr>
            </w:pPr>
            <w:r>
              <w:rPr>
                <w:rFonts w:hint="eastAsia" w:ascii="仿宋" w:hAnsi="仿宋" w:eastAsia="仿宋" w:cs="仿宋"/>
                <w:b/>
                <w:bCs/>
                <w:color w:val="auto"/>
                <w:sz w:val="56"/>
                <w:szCs w:val="56"/>
                <w:highlight w:val="none"/>
                <w:lang w:val="en-US" w:eastAsia="zh-CN"/>
              </w:rPr>
              <w:t>投标书</w:t>
            </w:r>
          </w:p>
          <w:p w14:paraId="10CD0069">
            <w:pPr>
              <w:keepLines w:val="0"/>
              <w:pageBreakBefore w:val="0"/>
              <w:kinsoku/>
              <w:wordWrap/>
              <w:overflowPunct/>
              <w:topLinePunct w:val="0"/>
              <w:bidi w:val="0"/>
              <w:snapToGrid w:val="0"/>
              <w:spacing w:line="560" w:lineRule="exact"/>
              <w:rPr>
                <w:rFonts w:ascii="仿宋" w:hAnsi="仿宋" w:eastAsia="仿宋" w:cs="仿宋"/>
                <w:color w:val="auto"/>
                <w:sz w:val="72"/>
                <w:szCs w:val="72"/>
                <w:highlight w:val="none"/>
              </w:rPr>
            </w:pPr>
          </w:p>
          <w:p w14:paraId="5E977B5D">
            <w:pPr>
              <w:pStyle w:val="27"/>
              <w:keepLines w:val="0"/>
              <w:pageBreakBefore w:val="0"/>
              <w:numPr>
                <w:ilvl w:val="0"/>
                <w:numId w:val="0"/>
              </w:numPr>
              <w:kinsoku/>
              <w:wordWrap/>
              <w:overflowPunct/>
              <w:topLinePunct w:val="0"/>
              <w:bidi w:val="0"/>
              <w:snapToGrid w:val="0"/>
              <w:spacing w:line="560" w:lineRule="exact"/>
              <w:jc w:val="center"/>
              <w:rPr>
                <w:rFonts w:hint="eastAsia" w:ascii="仿宋_GB2312" w:hAnsi="仿宋_GB2312" w:eastAsia="仿宋_GB2312" w:cs="仿宋_GB2312"/>
                <w:b w:val="0"/>
                <w:bCs w:val="0"/>
                <w:color w:val="auto"/>
                <w:sz w:val="44"/>
                <w:szCs w:val="44"/>
                <w:highlight w:val="none"/>
                <w:lang w:val="en-US" w:eastAsia="zh-CN"/>
              </w:rPr>
            </w:pPr>
            <w:r>
              <w:rPr>
                <w:rFonts w:hint="eastAsia" w:ascii="仿宋_GB2312" w:hAnsi="仿宋_GB2312" w:eastAsia="仿宋_GB2312" w:cs="仿宋_GB2312"/>
                <w:color w:val="auto"/>
                <w:sz w:val="44"/>
                <w:szCs w:val="44"/>
                <w:highlight w:val="none"/>
              </w:rPr>
              <w:t>项目名称</w:t>
            </w:r>
            <w:r>
              <w:rPr>
                <w:rFonts w:hint="eastAsia" w:ascii="仿宋_GB2312" w:hAnsi="仿宋_GB2312" w:eastAsia="仿宋_GB2312" w:cs="仿宋_GB2312"/>
                <w:color w:val="auto"/>
                <w:sz w:val="44"/>
                <w:szCs w:val="44"/>
                <w:highlight w:val="none"/>
                <w:lang w:eastAsia="zh-CN"/>
              </w:rPr>
              <w:t>：</w:t>
            </w:r>
            <w:r>
              <w:rPr>
                <w:rFonts w:hint="eastAsia" w:ascii="仿宋_GB2312" w:hAnsi="仿宋_GB2312" w:eastAsia="仿宋_GB2312" w:cs="仿宋_GB2312"/>
                <w:color w:val="auto"/>
                <w:sz w:val="44"/>
                <w:szCs w:val="44"/>
                <w:highlight w:val="none"/>
              </w:rPr>
              <w:t>深圳市龙岗区第七人民医院2026-2027年度五金耗材</w:t>
            </w:r>
            <w:r>
              <w:rPr>
                <w:rFonts w:hint="eastAsia" w:ascii="仿宋_GB2312" w:hAnsi="仿宋_GB2312" w:eastAsia="仿宋_GB2312" w:cs="仿宋_GB2312"/>
                <w:color w:val="auto"/>
                <w:sz w:val="44"/>
                <w:szCs w:val="44"/>
                <w:highlight w:val="none"/>
                <w:lang w:val="en-US" w:eastAsia="zh-CN"/>
              </w:rPr>
              <w:t>采购项目</w:t>
            </w:r>
          </w:p>
          <w:p w14:paraId="188831BB">
            <w:pPr>
              <w:keepLines w:val="0"/>
              <w:pageBreakBefore w:val="0"/>
              <w:kinsoku/>
              <w:wordWrap/>
              <w:overflowPunct/>
              <w:topLinePunct w:val="0"/>
              <w:bidi w:val="0"/>
              <w:snapToGrid w:val="0"/>
              <w:spacing w:line="560" w:lineRule="exact"/>
              <w:ind w:left="0" w:firstLine="0" w:firstLineChars="0"/>
              <w:rPr>
                <w:rFonts w:ascii="仿宋_GB2312" w:hAnsi="仿宋_GB2312" w:eastAsia="仿宋_GB2312" w:cs="仿宋_GB2312"/>
                <w:color w:val="auto"/>
                <w:sz w:val="44"/>
                <w:szCs w:val="44"/>
                <w:highlight w:val="none"/>
              </w:rPr>
            </w:pPr>
          </w:p>
          <w:p w14:paraId="42A31658">
            <w:pPr>
              <w:pStyle w:val="32"/>
              <w:keepLines w:val="0"/>
              <w:pageBreakBefore w:val="0"/>
              <w:kinsoku/>
              <w:wordWrap/>
              <w:overflowPunct/>
              <w:topLinePunct w:val="0"/>
              <w:bidi w:val="0"/>
              <w:snapToGrid w:val="0"/>
              <w:spacing w:line="560" w:lineRule="exact"/>
              <w:ind w:firstLine="0" w:firstLineChars="0"/>
              <w:jc w:val="center"/>
              <w:rPr>
                <w:rFonts w:ascii="仿宋_GB2312" w:hAnsi="仿宋_GB2312" w:eastAsia="仿宋_GB2312" w:cs="仿宋_GB2312"/>
                <w:color w:val="auto"/>
                <w:sz w:val="44"/>
                <w:szCs w:val="44"/>
                <w:highlight w:val="none"/>
              </w:rPr>
            </w:pPr>
            <w:r>
              <w:rPr>
                <w:rFonts w:hint="eastAsia" w:ascii="仿宋_GB2312" w:hAnsi="仿宋_GB2312" w:eastAsia="仿宋_GB2312" w:cs="仿宋_GB2312"/>
                <w:color w:val="auto"/>
                <w:sz w:val="44"/>
                <w:szCs w:val="44"/>
                <w:highlight w:val="none"/>
              </w:rPr>
              <w:t>（</w:t>
            </w:r>
            <w:r>
              <w:rPr>
                <w:rFonts w:hint="eastAsia" w:ascii="仿宋_GB2312" w:hAnsi="仿宋_GB2312" w:eastAsia="仿宋_GB2312" w:cs="仿宋_GB2312"/>
                <w:color w:val="auto"/>
                <w:sz w:val="36"/>
                <w:szCs w:val="36"/>
                <w:highlight w:val="none"/>
                <w:lang w:val="en-US" w:eastAsia="zh-CN"/>
              </w:rPr>
              <w:t>深龙七医采[LGQY2026ZW011]</w:t>
            </w:r>
            <w:r>
              <w:rPr>
                <w:rFonts w:hint="eastAsia" w:ascii="仿宋_GB2312" w:hAnsi="仿宋_GB2312" w:eastAsia="仿宋_GB2312" w:cs="仿宋_GB2312"/>
                <w:color w:val="auto"/>
                <w:sz w:val="44"/>
                <w:szCs w:val="44"/>
                <w:highlight w:val="none"/>
              </w:rPr>
              <w:t>）</w:t>
            </w:r>
          </w:p>
          <w:p w14:paraId="643B4117">
            <w:pPr>
              <w:pStyle w:val="32"/>
              <w:keepLines w:val="0"/>
              <w:pageBreakBefore w:val="0"/>
              <w:kinsoku/>
              <w:wordWrap/>
              <w:overflowPunct/>
              <w:topLinePunct w:val="0"/>
              <w:bidi w:val="0"/>
              <w:snapToGrid w:val="0"/>
              <w:spacing w:line="560" w:lineRule="exact"/>
              <w:ind w:firstLine="0" w:firstLineChars="0"/>
              <w:jc w:val="center"/>
              <w:rPr>
                <w:rFonts w:ascii="仿宋_GB2312" w:hAnsi="仿宋_GB2312" w:eastAsia="仿宋_GB2312" w:cs="仿宋_GB2312"/>
                <w:color w:val="auto"/>
                <w:sz w:val="44"/>
                <w:szCs w:val="44"/>
                <w:highlight w:val="none"/>
              </w:rPr>
            </w:pPr>
          </w:p>
          <w:p w14:paraId="21424E73">
            <w:pPr>
              <w:keepLines w:val="0"/>
              <w:pageBreakBefore w:val="0"/>
              <w:kinsoku/>
              <w:wordWrap/>
              <w:overflowPunct/>
              <w:topLinePunct w:val="0"/>
              <w:bidi w:val="0"/>
              <w:snapToGrid w:val="0"/>
              <w:spacing w:line="560" w:lineRule="exact"/>
              <w:jc w:val="center"/>
              <w:rPr>
                <w:rFonts w:ascii="仿宋_GB2312" w:hAnsi="仿宋_GB2312" w:eastAsia="仿宋_GB2312" w:cs="仿宋_GB2312"/>
                <w:color w:val="auto"/>
                <w:sz w:val="44"/>
                <w:szCs w:val="44"/>
                <w:highlight w:val="none"/>
              </w:rPr>
            </w:pPr>
            <w:r>
              <w:rPr>
                <w:rFonts w:hint="eastAsia" w:ascii="仿宋_GB2312" w:hAnsi="仿宋_GB2312" w:eastAsia="仿宋_GB2312" w:cs="仿宋_GB2312"/>
                <w:color w:val="auto"/>
                <w:sz w:val="44"/>
                <w:szCs w:val="44"/>
                <w:highlight w:val="none"/>
              </w:rPr>
              <w:t>采购单位：深圳市龙岗区第七人民医院</w:t>
            </w:r>
          </w:p>
          <w:p w14:paraId="45438788">
            <w:pPr>
              <w:keepLines w:val="0"/>
              <w:pageBreakBefore w:val="0"/>
              <w:kinsoku/>
              <w:wordWrap/>
              <w:overflowPunct/>
              <w:topLinePunct w:val="0"/>
              <w:bidi w:val="0"/>
              <w:snapToGrid w:val="0"/>
              <w:spacing w:line="560" w:lineRule="exact"/>
              <w:jc w:val="center"/>
              <w:rPr>
                <w:rFonts w:ascii="仿宋_GB2312" w:hAnsi="仿宋_GB2312" w:eastAsia="仿宋_GB2312" w:cs="仿宋_GB2312"/>
                <w:b/>
                <w:color w:val="auto"/>
                <w:sz w:val="44"/>
                <w:szCs w:val="44"/>
                <w:highlight w:val="none"/>
              </w:rPr>
            </w:pPr>
            <w:r>
              <w:rPr>
                <w:rFonts w:hint="eastAsia" w:ascii="仿宋_GB2312" w:hAnsi="仿宋_GB2312" w:eastAsia="仿宋_GB2312" w:cs="仿宋_GB2312"/>
                <w:b/>
                <w:color w:val="auto"/>
                <w:sz w:val="44"/>
                <w:szCs w:val="44"/>
                <w:highlight w:val="none"/>
              </w:rPr>
              <w:t>（</w:t>
            </w:r>
            <w:r>
              <w:rPr>
                <w:rFonts w:hint="eastAsia" w:ascii="仿宋_GB2312" w:hAnsi="仿宋_GB2312" w:eastAsia="仿宋_GB2312" w:cs="仿宋_GB2312"/>
                <w:color w:val="auto"/>
                <w:sz w:val="44"/>
                <w:szCs w:val="44"/>
                <w:highlight w:val="none"/>
              </w:rPr>
              <w:t>202</w:t>
            </w:r>
            <w:r>
              <w:rPr>
                <w:rFonts w:hint="eastAsia" w:ascii="仿宋_GB2312" w:hAnsi="仿宋_GB2312" w:eastAsia="仿宋_GB2312" w:cs="仿宋_GB2312"/>
                <w:color w:val="auto"/>
                <w:sz w:val="44"/>
                <w:szCs w:val="44"/>
                <w:highlight w:val="none"/>
                <w:lang w:val="en-US" w:eastAsia="zh-CN"/>
              </w:rPr>
              <w:t>6</w:t>
            </w:r>
            <w:r>
              <w:rPr>
                <w:rFonts w:hint="eastAsia" w:ascii="仿宋_GB2312" w:hAnsi="仿宋_GB2312" w:eastAsia="仿宋_GB2312" w:cs="仿宋_GB2312"/>
                <w:color w:val="auto"/>
                <w:sz w:val="44"/>
                <w:szCs w:val="44"/>
                <w:highlight w:val="none"/>
              </w:rPr>
              <w:t>年</w:t>
            </w:r>
            <w:r>
              <w:rPr>
                <w:rFonts w:hint="eastAsia" w:ascii="仿宋_GB2312" w:hAnsi="仿宋_GB2312" w:eastAsia="仿宋_GB2312" w:cs="仿宋_GB2312"/>
                <w:b/>
                <w:color w:val="auto"/>
                <w:sz w:val="44"/>
                <w:szCs w:val="44"/>
                <w:highlight w:val="none"/>
              </w:rPr>
              <w:t>）</w:t>
            </w:r>
          </w:p>
          <w:p w14:paraId="60D5C2B0">
            <w:pPr>
              <w:keepLines w:val="0"/>
              <w:pageBreakBefore w:val="0"/>
              <w:kinsoku/>
              <w:wordWrap/>
              <w:overflowPunct/>
              <w:topLinePunct w:val="0"/>
              <w:bidi w:val="0"/>
              <w:snapToGrid w:val="0"/>
              <w:spacing w:line="560" w:lineRule="exact"/>
              <w:rPr>
                <w:rFonts w:ascii="仿宋" w:hAnsi="仿宋" w:eastAsia="仿宋" w:cs="仿宋"/>
                <w:b/>
                <w:color w:val="auto"/>
                <w:sz w:val="36"/>
                <w:szCs w:val="36"/>
                <w:highlight w:val="none"/>
              </w:rPr>
            </w:pPr>
          </w:p>
          <w:p w14:paraId="105DD06D">
            <w:pPr>
              <w:keepLines w:val="0"/>
              <w:pageBreakBefore w:val="0"/>
              <w:kinsoku/>
              <w:wordWrap/>
              <w:overflowPunct/>
              <w:topLinePunct w:val="0"/>
              <w:bidi w:val="0"/>
              <w:snapToGrid w:val="0"/>
              <w:spacing w:line="560" w:lineRule="exact"/>
              <w:jc w:val="left"/>
              <w:rPr>
                <w:rFonts w:ascii="仿宋" w:hAnsi="仿宋" w:eastAsia="仿宋" w:cs="仿宋"/>
                <w:b/>
                <w:color w:val="auto"/>
                <w:sz w:val="40"/>
                <w:szCs w:val="40"/>
                <w:highlight w:val="none"/>
              </w:rPr>
            </w:pPr>
            <w:r>
              <w:rPr>
                <w:rFonts w:hint="eastAsia" w:ascii="仿宋" w:hAnsi="仿宋" w:eastAsia="仿宋" w:cs="仿宋"/>
                <w:b/>
                <w:color w:val="auto"/>
                <w:sz w:val="40"/>
                <w:szCs w:val="40"/>
                <w:highlight w:val="none"/>
              </w:rPr>
              <w:t>投标人：</w:t>
            </w:r>
          </w:p>
          <w:p w14:paraId="2EAD63A0">
            <w:pPr>
              <w:keepLines w:val="0"/>
              <w:pageBreakBefore w:val="0"/>
              <w:kinsoku/>
              <w:wordWrap/>
              <w:overflowPunct/>
              <w:topLinePunct w:val="0"/>
              <w:bidi w:val="0"/>
              <w:snapToGrid w:val="0"/>
              <w:spacing w:line="560" w:lineRule="exact"/>
              <w:jc w:val="left"/>
              <w:rPr>
                <w:rFonts w:ascii="仿宋" w:hAnsi="仿宋" w:eastAsia="仿宋" w:cs="仿宋"/>
                <w:b/>
                <w:color w:val="auto"/>
                <w:sz w:val="40"/>
                <w:szCs w:val="40"/>
                <w:highlight w:val="none"/>
              </w:rPr>
            </w:pPr>
            <w:r>
              <w:rPr>
                <w:rFonts w:hint="eastAsia" w:ascii="仿宋" w:hAnsi="仿宋" w:eastAsia="仿宋" w:cs="仿宋"/>
                <w:b/>
                <w:color w:val="auto"/>
                <w:sz w:val="40"/>
                <w:szCs w:val="40"/>
                <w:highlight w:val="none"/>
              </w:rPr>
              <w:t>地  址：</w:t>
            </w:r>
          </w:p>
          <w:p w14:paraId="70EFA74C">
            <w:pPr>
              <w:keepLines w:val="0"/>
              <w:pageBreakBefore w:val="0"/>
              <w:kinsoku/>
              <w:wordWrap/>
              <w:overflowPunct/>
              <w:topLinePunct w:val="0"/>
              <w:bidi w:val="0"/>
              <w:snapToGrid w:val="0"/>
              <w:spacing w:line="560" w:lineRule="exact"/>
              <w:jc w:val="left"/>
              <w:rPr>
                <w:rFonts w:ascii="仿宋" w:hAnsi="仿宋" w:eastAsia="仿宋" w:cs="仿宋"/>
                <w:b/>
                <w:color w:val="auto"/>
                <w:sz w:val="40"/>
                <w:szCs w:val="40"/>
                <w:highlight w:val="none"/>
              </w:rPr>
            </w:pPr>
            <w:r>
              <w:rPr>
                <w:rFonts w:hint="eastAsia" w:ascii="仿宋" w:hAnsi="仿宋" w:eastAsia="仿宋" w:cs="仿宋"/>
                <w:b/>
                <w:color w:val="auto"/>
                <w:sz w:val="40"/>
                <w:szCs w:val="40"/>
                <w:highlight w:val="none"/>
              </w:rPr>
              <w:t>联系人：</w:t>
            </w:r>
          </w:p>
          <w:p w14:paraId="6B7F8E30">
            <w:pPr>
              <w:keepLines w:val="0"/>
              <w:pageBreakBefore w:val="0"/>
              <w:kinsoku/>
              <w:wordWrap/>
              <w:overflowPunct/>
              <w:topLinePunct w:val="0"/>
              <w:bidi w:val="0"/>
              <w:snapToGrid w:val="0"/>
              <w:spacing w:line="560" w:lineRule="exact"/>
              <w:jc w:val="left"/>
              <w:rPr>
                <w:rFonts w:ascii="仿宋" w:hAnsi="仿宋" w:eastAsia="仿宋" w:cs="仿宋"/>
                <w:b/>
                <w:color w:val="auto"/>
                <w:sz w:val="40"/>
                <w:szCs w:val="40"/>
                <w:highlight w:val="none"/>
              </w:rPr>
            </w:pPr>
            <w:r>
              <w:rPr>
                <w:rFonts w:hint="eastAsia" w:ascii="仿宋" w:hAnsi="仿宋" w:eastAsia="仿宋" w:cs="仿宋"/>
                <w:b/>
                <w:color w:val="auto"/>
                <w:sz w:val="40"/>
                <w:szCs w:val="40"/>
                <w:highlight w:val="none"/>
              </w:rPr>
              <w:t>电  话：</w:t>
            </w:r>
          </w:p>
          <w:p w14:paraId="01257A12">
            <w:pPr>
              <w:keepLines w:val="0"/>
              <w:pageBreakBefore w:val="0"/>
              <w:kinsoku/>
              <w:wordWrap/>
              <w:overflowPunct/>
              <w:topLinePunct w:val="0"/>
              <w:bidi w:val="0"/>
              <w:snapToGrid w:val="0"/>
              <w:spacing w:line="560" w:lineRule="exact"/>
              <w:jc w:val="left"/>
              <w:rPr>
                <w:rFonts w:ascii="仿宋" w:hAnsi="仿宋" w:eastAsia="仿宋" w:cs="仿宋"/>
                <w:color w:val="auto"/>
                <w:sz w:val="28"/>
                <w:highlight w:val="none"/>
              </w:rPr>
            </w:pPr>
            <w:r>
              <w:rPr>
                <w:rFonts w:hint="eastAsia" w:ascii="仿宋" w:hAnsi="仿宋" w:eastAsia="仿宋" w:cs="仿宋"/>
                <w:b/>
                <w:color w:val="auto"/>
                <w:sz w:val="40"/>
                <w:szCs w:val="40"/>
                <w:highlight w:val="none"/>
              </w:rPr>
              <w:t>邮  箱：</w:t>
            </w:r>
          </w:p>
        </w:tc>
      </w:tr>
    </w:tbl>
    <w:p w14:paraId="333F28C9">
      <w:pPr>
        <w:keepLines w:val="0"/>
        <w:pageBreakBefore w:val="0"/>
        <w:kinsoku/>
        <w:wordWrap/>
        <w:overflowPunct/>
        <w:topLinePunct w:val="0"/>
        <w:bidi w:val="0"/>
        <w:spacing w:line="560" w:lineRule="exact"/>
        <w:jc w:val="center"/>
        <w:rPr>
          <w:rFonts w:hint="eastAsia" w:ascii="仿宋_GB2312" w:hAnsi="仿宋_GB2312" w:eastAsia="仿宋_GB2312" w:cs="仿宋_GB2312"/>
          <w:color w:val="auto"/>
          <w:sz w:val="28"/>
          <w:szCs w:val="28"/>
          <w:highlight w:val="none"/>
        </w:rPr>
      </w:pPr>
      <w:r>
        <w:rPr>
          <w:rFonts w:hint="eastAsia" w:ascii="宋体" w:hAnsi="宋体" w:cs="宋体"/>
          <w:b/>
          <w:bCs/>
          <w:color w:val="auto"/>
          <w:sz w:val="44"/>
          <w:szCs w:val="44"/>
          <w:highlight w:val="none"/>
        </w:rPr>
        <w:t>目录</w:t>
      </w:r>
      <w:r>
        <w:rPr>
          <w:rFonts w:hint="eastAsia" w:ascii="宋体" w:hAnsi="宋体" w:cs="宋体"/>
          <w:b/>
          <w:bCs/>
          <w:color w:val="auto"/>
          <w:sz w:val="28"/>
          <w:szCs w:val="28"/>
          <w:highlight w:val="none"/>
        </w:rPr>
        <w:t>（附页码）</w:t>
      </w:r>
    </w:p>
    <w:p w14:paraId="7891ED59">
      <w:pPr>
        <w:keepNext w:val="0"/>
        <w:keepLines w:val="0"/>
        <w:pageBreakBefore w:val="0"/>
        <w:tabs>
          <w:tab w:val="left" w:pos="630"/>
          <w:tab w:val="left" w:pos="840"/>
        </w:tabs>
        <w:kinsoku/>
        <w:wordWrap/>
        <w:overflowPunct/>
        <w:topLinePunct w:val="0"/>
        <w:autoSpaceDE/>
        <w:autoSpaceDN/>
        <w:bidi w:val="0"/>
        <w:adjustRightInd/>
        <w:snapToGrid/>
        <w:spacing w:line="48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1.封面</w:t>
      </w:r>
    </w:p>
    <w:p w14:paraId="4BAE1766">
      <w:pPr>
        <w:keepNext w:val="0"/>
        <w:keepLines w:val="0"/>
        <w:pageBreakBefore w:val="0"/>
        <w:tabs>
          <w:tab w:val="left" w:pos="630"/>
          <w:tab w:val="left" w:pos="840"/>
        </w:tabs>
        <w:kinsoku/>
        <w:wordWrap/>
        <w:overflowPunct/>
        <w:topLinePunct w:val="0"/>
        <w:autoSpaceDE/>
        <w:autoSpaceDN/>
        <w:bidi w:val="0"/>
        <w:adjustRightInd/>
        <w:snapToGrid/>
        <w:spacing w:line="48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2.目录</w:t>
      </w:r>
    </w:p>
    <w:p w14:paraId="3D21D751">
      <w:pPr>
        <w:keepNext w:val="0"/>
        <w:keepLines w:val="0"/>
        <w:pageBreakBefore w:val="0"/>
        <w:tabs>
          <w:tab w:val="left" w:pos="630"/>
          <w:tab w:val="left" w:pos="840"/>
        </w:tabs>
        <w:kinsoku/>
        <w:wordWrap/>
        <w:overflowPunct/>
        <w:topLinePunct w:val="0"/>
        <w:autoSpaceDE/>
        <w:autoSpaceDN/>
        <w:bidi w:val="0"/>
        <w:adjustRightInd/>
        <w:snapToGrid/>
        <w:spacing w:line="48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3.法定代表人资格证明书及身份证复印件</w:t>
      </w:r>
    </w:p>
    <w:p w14:paraId="5B2D8CA8">
      <w:pPr>
        <w:keepNext w:val="0"/>
        <w:keepLines w:val="0"/>
        <w:pageBreakBefore w:val="0"/>
        <w:widowControl/>
        <w:tabs>
          <w:tab w:val="left" w:pos="630"/>
          <w:tab w:val="left" w:pos="840"/>
        </w:tabs>
        <w:kinsoku/>
        <w:wordWrap/>
        <w:overflowPunct/>
        <w:topLinePunct w:val="0"/>
        <w:autoSpaceDE/>
        <w:autoSpaceDN/>
        <w:bidi w:val="0"/>
        <w:adjustRightInd/>
        <w:snapToGrid/>
        <w:spacing w:line="480" w:lineRule="exact"/>
        <w:ind w:left="42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w:t>
      </w:r>
      <w:r>
        <w:rPr>
          <w:rFonts w:hint="eastAsia" w:ascii="仿宋_GB2312" w:hAnsi="仿宋_GB2312" w:eastAsia="仿宋_GB2312" w:cs="仿宋_GB2312"/>
          <w:color w:val="auto"/>
          <w:sz w:val="28"/>
          <w:szCs w:val="28"/>
          <w:highlight w:val="none"/>
          <w:lang w:bidi="ar"/>
        </w:rPr>
        <w:t>法定代表人授权书</w:t>
      </w:r>
      <w:r>
        <w:rPr>
          <w:rFonts w:hint="eastAsia" w:ascii="仿宋_GB2312" w:hAnsi="仿宋_GB2312" w:eastAsia="仿宋_GB2312" w:cs="仿宋_GB2312"/>
          <w:color w:val="auto"/>
          <w:sz w:val="28"/>
          <w:szCs w:val="28"/>
          <w:highlight w:val="none"/>
        </w:rPr>
        <w:t>及授权代表人身份证复印件（如有）</w:t>
      </w:r>
    </w:p>
    <w:p w14:paraId="7DBCE87B">
      <w:pPr>
        <w:keepNext w:val="0"/>
        <w:keepLines w:val="0"/>
        <w:pageBreakBefore w:val="0"/>
        <w:widowControl/>
        <w:tabs>
          <w:tab w:val="left" w:pos="630"/>
          <w:tab w:val="left" w:pos="840"/>
        </w:tabs>
        <w:kinsoku/>
        <w:wordWrap/>
        <w:overflowPunct/>
        <w:topLinePunct w:val="0"/>
        <w:autoSpaceDE/>
        <w:autoSpaceDN/>
        <w:bidi w:val="0"/>
        <w:adjustRightInd/>
        <w:snapToGrid/>
        <w:spacing w:line="480" w:lineRule="exact"/>
        <w:ind w:left="420"/>
        <w:jc w:val="left"/>
        <w:textAlignment w:val="auto"/>
        <w:rPr>
          <w:rFonts w:hint="eastAsia" w:ascii="仿宋_GB2312" w:hAnsi="仿宋_GB2312" w:eastAsia="仿宋_GB2312" w:cs="仿宋_GB2312"/>
          <w:color w:val="auto"/>
          <w:sz w:val="28"/>
          <w:szCs w:val="28"/>
          <w:highlight w:val="none"/>
          <w:lang w:val="en-US" w:eastAsia="zh-CN" w:bidi="ar"/>
        </w:rPr>
      </w:pPr>
      <w:r>
        <w:rPr>
          <w:rFonts w:hint="eastAsia" w:ascii="仿宋_GB2312" w:hAnsi="仿宋_GB2312" w:eastAsia="仿宋_GB2312" w:cs="仿宋_GB2312"/>
          <w:color w:val="auto"/>
          <w:sz w:val="28"/>
          <w:szCs w:val="28"/>
          <w:highlight w:val="none"/>
        </w:rPr>
        <w:t>5.独立承担民事责任能力的法人或其他组织或个体工商户的营业执照</w:t>
      </w:r>
      <w:r>
        <w:rPr>
          <w:rFonts w:hint="eastAsia" w:ascii="仿宋_GB2312" w:hAnsi="仿宋_GB2312" w:eastAsia="仿宋_GB2312" w:cs="仿宋_GB2312"/>
          <w:color w:val="auto"/>
          <w:sz w:val="28"/>
          <w:szCs w:val="28"/>
          <w:highlight w:val="none"/>
          <w:lang w:bidi="ar"/>
        </w:rPr>
        <w:t>或法人证书等证明材料复印件</w:t>
      </w:r>
      <w:r>
        <w:rPr>
          <w:rFonts w:hint="eastAsia" w:ascii="仿宋_GB2312" w:hAnsi="仿宋_GB2312" w:eastAsia="仿宋_GB2312" w:cs="仿宋_GB2312"/>
          <w:color w:val="auto"/>
          <w:sz w:val="28"/>
          <w:szCs w:val="28"/>
          <w:highlight w:val="none"/>
          <w:lang w:val="en-US" w:eastAsia="zh-CN" w:bidi="ar"/>
        </w:rPr>
        <w:t>或扫描件</w:t>
      </w:r>
    </w:p>
    <w:p w14:paraId="4517F327">
      <w:pPr>
        <w:keepNext w:val="0"/>
        <w:keepLines w:val="0"/>
        <w:pageBreakBefore w:val="0"/>
        <w:widowControl/>
        <w:tabs>
          <w:tab w:val="left" w:pos="630"/>
          <w:tab w:val="left" w:pos="840"/>
        </w:tabs>
        <w:kinsoku/>
        <w:wordWrap/>
        <w:overflowPunct/>
        <w:topLinePunct w:val="0"/>
        <w:autoSpaceDE/>
        <w:autoSpaceDN/>
        <w:bidi w:val="0"/>
        <w:adjustRightInd/>
        <w:snapToGrid/>
        <w:spacing w:line="480" w:lineRule="exact"/>
        <w:ind w:left="420"/>
        <w:jc w:val="left"/>
        <w:textAlignment w:val="auto"/>
        <w:rPr>
          <w:rFonts w:hint="eastAsia" w:ascii="仿宋_GB2312" w:hAnsi="仿宋_GB2312" w:eastAsia="仿宋_GB2312" w:cs="仿宋_GB2312"/>
          <w:color w:val="auto"/>
          <w:sz w:val="28"/>
          <w:szCs w:val="28"/>
          <w:highlight w:val="none"/>
          <w:lang w:bidi="ar"/>
        </w:rPr>
      </w:pPr>
      <w:r>
        <w:rPr>
          <w:rFonts w:hint="eastAsia" w:ascii="仿宋_GB2312" w:hAnsi="仿宋_GB2312" w:eastAsia="仿宋_GB2312" w:cs="仿宋_GB2312"/>
          <w:color w:val="auto"/>
          <w:sz w:val="28"/>
          <w:szCs w:val="28"/>
          <w:highlight w:val="none"/>
          <w:lang w:val="en-US" w:eastAsia="zh-CN" w:bidi="ar"/>
        </w:rPr>
        <w:t>6.</w:t>
      </w:r>
      <w:r>
        <w:rPr>
          <w:rFonts w:hint="eastAsia" w:ascii="仿宋_GB2312" w:hAnsi="仿宋_GB2312" w:eastAsia="仿宋_GB2312" w:cs="仿宋_GB2312"/>
          <w:color w:val="auto"/>
          <w:sz w:val="28"/>
          <w:szCs w:val="28"/>
          <w:highlight w:val="none"/>
          <w:lang w:bidi="ar"/>
        </w:rPr>
        <w:t>投标文件初审表</w:t>
      </w:r>
    </w:p>
    <w:p w14:paraId="2EFF2CD0">
      <w:pPr>
        <w:keepNext w:val="0"/>
        <w:keepLines w:val="0"/>
        <w:pageBreakBefore w:val="0"/>
        <w:widowControl/>
        <w:tabs>
          <w:tab w:val="left" w:pos="630"/>
          <w:tab w:val="left" w:pos="840"/>
        </w:tabs>
        <w:kinsoku/>
        <w:wordWrap/>
        <w:overflowPunct/>
        <w:topLinePunct w:val="0"/>
        <w:autoSpaceDE/>
        <w:autoSpaceDN/>
        <w:bidi w:val="0"/>
        <w:adjustRightInd/>
        <w:snapToGrid/>
        <w:spacing w:line="480" w:lineRule="exact"/>
        <w:ind w:left="420"/>
        <w:jc w:val="left"/>
        <w:textAlignment w:val="auto"/>
        <w:rPr>
          <w:rFonts w:hint="eastAsia" w:ascii="仿宋_GB2312" w:hAnsi="仿宋_GB2312" w:eastAsia="仿宋_GB2312" w:cs="仿宋_GB2312"/>
          <w:color w:val="auto"/>
          <w:sz w:val="28"/>
          <w:szCs w:val="28"/>
          <w:highlight w:val="none"/>
          <w:lang w:bidi="ar"/>
        </w:rPr>
      </w:pPr>
      <w:r>
        <w:rPr>
          <w:rFonts w:hint="eastAsia" w:ascii="仿宋_GB2312" w:hAnsi="仿宋_GB2312" w:eastAsia="仿宋_GB2312" w:cs="仿宋_GB2312"/>
          <w:color w:val="auto"/>
          <w:sz w:val="28"/>
          <w:szCs w:val="28"/>
          <w:highlight w:val="none"/>
          <w:lang w:val="en-US" w:eastAsia="zh-CN" w:bidi="ar"/>
        </w:rPr>
        <w:t>7</w:t>
      </w:r>
      <w:r>
        <w:rPr>
          <w:rFonts w:hint="eastAsia" w:ascii="仿宋_GB2312" w:hAnsi="仿宋_GB2312" w:eastAsia="仿宋_GB2312" w:cs="仿宋_GB2312"/>
          <w:color w:val="auto"/>
          <w:sz w:val="28"/>
          <w:szCs w:val="28"/>
          <w:highlight w:val="none"/>
          <w:lang w:bidi="ar"/>
        </w:rPr>
        <w:t>.供应商自查表</w:t>
      </w:r>
    </w:p>
    <w:p w14:paraId="653054CE">
      <w:pPr>
        <w:keepNext w:val="0"/>
        <w:keepLines w:val="0"/>
        <w:pageBreakBefore w:val="0"/>
        <w:widowControl/>
        <w:tabs>
          <w:tab w:val="left" w:pos="630"/>
          <w:tab w:val="left" w:pos="840"/>
        </w:tabs>
        <w:kinsoku/>
        <w:wordWrap/>
        <w:overflowPunct/>
        <w:topLinePunct w:val="0"/>
        <w:autoSpaceDE/>
        <w:autoSpaceDN/>
        <w:bidi w:val="0"/>
        <w:adjustRightInd/>
        <w:snapToGrid/>
        <w:spacing w:line="480" w:lineRule="exact"/>
        <w:ind w:left="420"/>
        <w:jc w:val="left"/>
        <w:textAlignment w:val="auto"/>
        <w:rPr>
          <w:rFonts w:hint="eastAsia" w:ascii="仿宋_GB2312" w:hAnsi="仿宋_GB2312" w:eastAsia="仿宋_GB2312" w:cs="仿宋_GB2312"/>
          <w:color w:val="auto"/>
          <w:sz w:val="28"/>
          <w:szCs w:val="28"/>
          <w:highlight w:val="none"/>
          <w:lang w:bidi="ar"/>
        </w:rPr>
      </w:pPr>
      <w:r>
        <w:rPr>
          <w:rFonts w:hint="eastAsia" w:ascii="仿宋_GB2312" w:hAnsi="仿宋_GB2312" w:eastAsia="仿宋_GB2312" w:cs="仿宋_GB2312"/>
          <w:color w:val="auto"/>
          <w:sz w:val="28"/>
          <w:szCs w:val="28"/>
          <w:highlight w:val="none"/>
          <w:lang w:val="en-US" w:eastAsia="zh-CN" w:bidi="ar"/>
        </w:rPr>
        <w:t>8</w:t>
      </w:r>
      <w:r>
        <w:rPr>
          <w:rFonts w:hint="eastAsia" w:ascii="仿宋_GB2312" w:hAnsi="仿宋_GB2312" w:eastAsia="仿宋_GB2312" w:cs="仿宋_GB2312"/>
          <w:color w:val="auto"/>
          <w:sz w:val="28"/>
          <w:szCs w:val="28"/>
          <w:highlight w:val="none"/>
          <w:lang w:bidi="ar"/>
        </w:rPr>
        <w:t>.投标函</w:t>
      </w:r>
    </w:p>
    <w:p w14:paraId="145F5452">
      <w:pPr>
        <w:keepNext w:val="0"/>
        <w:keepLines w:val="0"/>
        <w:pageBreakBefore w:val="0"/>
        <w:widowControl/>
        <w:tabs>
          <w:tab w:val="left" w:pos="630"/>
          <w:tab w:val="left" w:pos="840"/>
        </w:tabs>
        <w:kinsoku/>
        <w:wordWrap/>
        <w:overflowPunct/>
        <w:topLinePunct w:val="0"/>
        <w:autoSpaceDE/>
        <w:autoSpaceDN/>
        <w:bidi w:val="0"/>
        <w:adjustRightInd/>
        <w:snapToGrid/>
        <w:spacing w:line="480" w:lineRule="exact"/>
        <w:ind w:left="420"/>
        <w:jc w:val="left"/>
        <w:textAlignment w:val="auto"/>
        <w:rPr>
          <w:rFonts w:hint="eastAsia" w:ascii="仿宋_GB2312" w:hAnsi="仿宋_GB2312" w:eastAsia="仿宋_GB2312" w:cs="仿宋_GB2312"/>
          <w:color w:val="auto"/>
          <w:sz w:val="28"/>
          <w:szCs w:val="28"/>
          <w:highlight w:val="none"/>
          <w:lang w:bidi="ar"/>
        </w:rPr>
      </w:pPr>
      <w:r>
        <w:rPr>
          <w:rFonts w:hint="eastAsia" w:ascii="仿宋_GB2312" w:hAnsi="仿宋_GB2312" w:eastAsia="仿宋_GB2312" w:cs="仿宋_GB2312"/>
          <w:color w:val="auto"/>
          <w:sz w:val="28"/>
          <w:szCs w:val="28"/>
          <w:highlight w:val="none"/>
          <w:lang w:val="en-US" w:eastAsia="zh-CN" w:bidi="ar"/>
        </w:rPr>
        <w:t>9</w:t>
      </w:r>
      <w:r>
        <w:rPr>
          <w:rFonts w:hint="eastAsia" w:ascii="仿宋_GB2312" w:hAnsi="仿宋_GB2312" w:eastAsia="仿宋_GB2312" w:cs="仿宋_GB2312"/>
          <w:color w:val="auto"/>
          <w:sz w:val="28"/>
          <w:szCs w:val="28"/>
          <w:highlight w:val="none"/>
          <w:lang w:bidi="ar"/>
        </w:rPr>
        <w:t>.投标及履约承诺函</w:t>
      </w:r>
    </w:p>
    <w:p w14:paraId="7E35A4A4">
      <w:pPr>
        <w:keepNext w:val="0"/>
        <w:keepLines w:val="0"/>
        <w:pageBreakBefore w:val="0"/>
        <w:widowControl/>
        <w:tabs>
          <w:tab w:val="left" w:pos="630"/>
          <w:tab w:val="left" w:pos="840"/>
        </w:tabs>
        <w:kinsoku/>
        <w:wordWrap/>
        <w:overflowPunct/>
        <w:topLinePunct w:val="0"/>
        <w:autoSpaceDE/>
        <w:autoSpaceDN/>
        <w:bidi w:val="0"/>
        <w:adjustRightInd/>
        <w:snapToGrid/>
        <w:spacing w:line="480" w:lineRule="exact"/>
        <w:ind w:left="420"/>
        <w:jc w:val="left"/>
        <w:textAlignment w:val="auto"/>
        <w:rPr>
          <w:rFonts w:hint="eastAsia" w:ascii="仿宋_GB2312" w:hAnsi="仿宋_GB2312" w:eastAsia="仿宋_GB2312" w:cs="仿宋_GB2312"/>
          <w:color w:val="auto"/>
          <w:sz w:val="28"/>
          <w:szCs w:val="28"/>
          <w:highlight w:val="none"/>
          <w:lang w:val="zh-CN" w:bidi="ar"/>
        </w:rPr>
      </w:pPr>
      <w:r>
        <w:rPr>
          <w:rFonts w:hint="eastAsia" w:ascii="仿宋_GB2312" w:hAnsi="仿宋_GB2312" w:eastAsia="仿宋_GB2312" w:cs="仿宋_GB2312"/>
          <w:color w:val="auto"/>
          <w:sz w:val="28"/>
          <w:szCs w:val="28"/>
          <w:highlight w:val="none"/>
          <w:lang w:val="en-US" w:eastAsia="zh-CN" w:bidi="ar"/>
        </w:rPr>
        <w:t>10</w:t>
      </w:r>
      <w:r>
        <w:rPr>
          <w:rFonts w:hint="eastAsia" w:ascii="仿宋_GB2312" w:hAnsi="仿宋_GB2312" w:eastAsia="仿宋_GB2312" w:cs="仿宋_GB2312"/>
          <w:color w:val="auto"/>
          <w:sz w:val="28"/>
          <w:szCs w:val="28"/>
          <w:highlight w:val="none"/>
          <w:lang w:val="zh-CN" w:bidi="ar"/>
        </w:rPr>
        <w:t>.供应商基本情况表</w:t>
      </w:r>
    </w:p>
    <w:p w14:paraId="689ED7CD">
      <w:pPr>
        <w:keepNext w:val="0"/>
        <w:keepLines w:val="0"/>
        <w:pageBreakBefore w:val="0"/>
        <w:widowControl/>
        <w:tabs>
          <w:tab w:val="left" w:pos="630"/>
          <w:tab w:val="left" w:pos="840"/>
        </w:tabs>
        <w:kinsoku/>
        <w:wordWrap/>
        <w:overflowPunct/>
        <w:topLinePunct w:val="0"/>
        <w:autoSpaceDE/>
        <w:autoSpaceDN/>
        <w:bidi w:val="0"/>
        <w:adjustRightInd/>
        <w:snapToGrid/>
        <w:spacing w:line="480" w:lineRule="exact"/>
        <w:ind w:left="420"/>
        <w:jc w:val="left"/>
        <w:textAlignment w:val="auto"/>
        <w:rPr>
          <w:rFonts w:hint="eastAsia" w:ascii="仿宋_GB2312" w:hAnsi="仿宋_GB2312" w:eastAsia="仿宋_GB2312" w:cs="仿宋_GB2312"/>
          <w:color w:val="auto"/>
          <w:sz w:val="28"/>
          <w:szCs w:val="28"/>
          <w:highlight w:val="none"/>
          <w:lang w:val="zh-CN" w:bidi="ar"/>
        </w:rPr>
      </w:pPr>
      <w:r>
        <w:rPr>
          <w:rFonts w:hint="eastAsia" w:ascii="仿宋_GB2312" w:hAnsi="仿宋_GB2312" w:eastAsia="仿宋_GB2312" w:cs="仿宋_GB2312"/>
          <w:color w:val="auto"/>
          <w:sz w:val="28"/>
          <w:szCs w:val="28"/>
          <w:highlight w:val="none"/>
          <w:lang w:val="en-US" w:eastAsia="zh-CN" w:bidi="ar"/>
        </w:rPr>
        <w:t>11</w:t>
      </w:r>
      <w:r>
        <w:rPr>
          <w:rFonts w:hint="eastAsia" w:ascii="仿宋_GB2312" w:hAnsi="仿宋_GB2312" w:eastAsia="仿宋_GB2312" w:cs="仿宋_GB2312"/>
          <w:color w:val="auto"/>
          <w:sz w:val="28"/>
          <w:szCs w:val="28"/>
          <w:highlight w:val="none"/>
          <w:lang w:val="zh-CN" w:bidi="ar"/>
        </w:rPr>
        <w:t>.社会保险证明</w:t>
      </w:r>
    </w:p>
    <w:p w14:paraId="544B0E5A">
      <w:pPr>
        <w:keepNext w:val="0"/>
        <w:keepLines w:val="0"/>
        <w:pageBreakBefore w:val="0"/>
        <w:widowControl/>
        <w:tabs>
          <w:tab w:val="left" w:pos="630"/>
          <w:tab w:val="left" w:pos="840"/>
        </w:tabs>
        <w:kinsoku/>
        <w:wordWrap/>
        <w:overflowPunct/>
        <w:topLinePunct w:val="0"/>
        <w:autoSpaceDE/>
        <w:autoSpaceDN/>
        <w:bidi w:val="0"/>
        <w:adjustRightInd/>
        <w:snapToGrid/>
        <w:spacing w:line="480" w:lineRule="exact"/>
        <w:ind w:left="420"/>
        <w:jc w:val="left"/>
        <w:textAlignment w:val="auto"/>
        <w:rPr>
          <w:rFonts w:hint="eastAsia" w:ascii="仿宋_GB2312" w:hAnsi="仿宋_GB2312" w:eastAsia="仿宋_GB2312" w:cs="仿宋_GB2312"/>
          <w:color w:val="auto"/>
          <w:sz w:val="28"/>
          <w:szCs w:val="28"/>
          <w:highlight w:val="none"/>
          <w:lang w:val="zh-CN" w:bidi="ar"/>
        </w:rPr>
      </w:pPr>
      <w:r>
        <w:rPr>
          <w:rFonts w:hint="eastAsia" w:ascii="仿宋_GB2312" w:hAnsi="仿宋_GB2312" w:eastAsia="仿宋_GB2312" w:cs="仿宋_GB2312"/>
          <w:color w:val="auto"/>
          <w:sz w:val="28"/>
          <w:szCs w:val="28"/>
          <w:highlight w:val="none"/>
          <w:lang w:val="en-US" w:eastAsia="zh-CN" w:bidi="ar"/>
        </w:rPr>
        <w:t>12</w:t>
      </w:r>
      <w:r>
        <w:rPr>
          <w:rFonts w:hint="eastAsia" w:ascii="仿宋_GB2312" w:hAnsi="仿宋_GB2312" w:eastAsia="仿宋_GB2312" w:cs="仿宋_GB2312"/>
          <w:color w:val="auto"/>
          <w:sz w:val="28"/>
          <w:szCs w:val="28"/>
          <w:highlight w:val="none"/>
          <w:lang w:val="zh-CN" w:bidi="ar"/>
        </w:rPr>
        <w:t>.开标一览表</w:t>
      </w:r>
    </w:p>
    <w:p w14:paraId="329C821D">
      <w:pPr>
        <w:keepNext w:val="0"/>
        <w:keepLines w:val="0"/>
        <w:pageBreakBefore w:val="0"/>
        <w:widowControl/>
        <w:tabs>
          <w:tab w:val="left" w:pos="630"/>
          <w:tab w:val="left" w:pos="840"/>
        </w:tabs>
        <w:kinsoku/>
        <w:wordWrap/>
        <w:overflowPunct/>
        <w:topLinePunct w:val="0"/>
        <w:autoSpaceDE/>
        <w:autoSpaceDN/>
        <w:bidi w:val="0"/>
        <w:adjustRightInd/>
        <w:snapToGrid/>
        <w:spacing w:line="480" w:lineRule="exact"/>
        <w:ind w:left="420"/>
        <w:jc w:val="left"/>
        <w:textAlignment w:val="auto"/>
        <w:rPr>
          <w:rFonts w:hint="eastAsia" w:ascii="仿宋_GB2312" w:hAnsi="仿宋_GB2312" w:eastAsia="仿宋_GB2312" w:cs="仿宋_GB2312"/>
          <w:color w:val="auto"/>
          <w:sz w:val="28"/>
          <w:szCs w:val="28"/>
          <w:highlight w:val="none"/>
          <w:lang w:val="zh-CN" w:bidi="ar"/>
        </w:rPr>
      </w:pPr>
      <w:r>
        <w:rPr>
          <w:rFonts w:hint="eastAsia" w:ascii="仿宋_GB2312" w:hAnsi="仿宋_GB2312" w:eastAsia="仿宋_GB2312" w:cs="仿宋_GB2312"/>
          <w:color w:val="auto"/>
          <w:sz w:val="28"/>
          <w:szCs w:val="28"/>
          <w:highlight w:val="none"/>
          <w:lang w:val="en-US" w:eastAsia="zh-CN" w:bidi="ar"/>
        </w:rPr>
        <w:t>13.</w:t>
      </w:r>
      <w:r>
        <w:rPr>
          <w:rFonts w:hint="eastAsia" w:ascii="仿宋_GB2312" w:hAnsi="仿宋_GB2312" w:eastAsia="仿宋_GB2312" w:cs="仿宋_GB2312"/>
          <w:color w:val="auto"/>
          <w:sz w:val="28"/>
          <w:szCs w:val="28"/>
          <w:highlight w:val="none"/>
          <w:lang w:val="zh-CN" w:bidi="ar"/>
        </w:rPr>
        <w:t>分</w:t>
      </w:r>
      <w:r>
        <w:rPr>
          <w:rFonts w:hint="eastAsia" w:ascii="仿宋_GB2312" w:hAnsi="仿宋_GB2312" w:eastAsia="仿宋_GB2312" w:cs="仿宋_GB2312"/>
          <w:color w:val="auto"/>
          <w:sz w:val="28"/>
          <w:szCs w:val="28"/>
          <w:highlight w:val="none"/>
          <w:lang w:val="en-US" w:eastAsia="zh-CN" w:bidi="ar"/>
        </w:rPr>
        <w:t>项</w:t>
      </w:r>
      <w:r>
        <w:rPr>
          <w:rFonts w:hint="eastAsia" w:ascii="仿宋_GB2312" w:hAnsi="仿宋_GB2312" w:eastAsia="仿宋_GB2312" w:cs="仿宋_GB2312"/>
          <w:color w:val="auto"/>
          <w:sz w:val="28"/>
          <w:szCs w:val="28"/>
          <w:highlight w:val="none"/>
          <w:lang w:val="zh-CN" w:bidi="ar"/>
        </w:rPr>
        <w:t>报价表</w:t>
      </w:r>
    </w:p>
    <w:p w14:paraId="2FF86FCB">
      <w:pPr>
        <w:keepNext w:val="0"/>
        <w:keepLines w:val="0"/>
        <w:pageBreakBefore w:val="0"/>
        <w:widowControl/>
        <w:tabs>
          <w:tab w:val="left" w:pos="630"/>
          <w:tab w:val="left" w:pos="840"/>
        </w:tabs>
        <w:kinsoku/>
        <w:wordWrap/>
        <w:overflowPunct/>
        <w:topLinePunct w:val="0"/>
        <w:autoSpaceDE/>
        <w:autoSpaceDN/>
        <w:bidi w:val="0"/>
        <w:adjustRightInd/>
        <w:snapToGrid/>
        <w:spacing w:line="480" w:lineRule="exact"/>
        <w:ind w:left="420"/>
        <w:jc w:val="left"/>
        <w:textAlignment w:val="auto"/>
        <w:rPr>
          <w:rFonts w:hint="eastAsia" w:ascii="仿宋_GB2312" w:hAnsi="仿宋_GB2312" w:eastAsia="仿宋_GB2312" w:cs="仿宋_GB2312"/>
          <w:color w:val="auto"/>
          <w:sz w:val="28"/>
          <w:szCs w:val="28"/>
          <w:highlight w:val="none"/>
          <w:lang w:val="en-US" w:eastAsia="zh-CN" w:bidi="ar"/>
        </w:rPr>
      </w:pPr>
      <w:r>
        <w:rPr>
          <w:rFonts w:hint="eastAsia" w:ascii="仿宋_GB2312" w:hAnsi="仿宋_GB2312" w:eastAsia="仿宋_GB2312" w:cs="仿宋_GB2312"/>
          <w:color w:val="auto"/>
          <w:sz w:val="28"/>
          <w:szCs w:val="28"/>
          <w:highlight w:val="none"/>
          <w:lang w:val="en-US" w:eastAsia="zh-CN" w:bidi="ar"/>
        </w:rPr>
        <w:t>14.</w:t>
      </w:r>
      <w:r>
        <w:rPr>
          <w:rFonts w:hint="eastAsia" w:ascii="仿宋_GB2312" w:hAnsi="仿宋_GB2312" w:eastAsia="仿宋_GB2312" w:cs="仿宋_GB2312"/>
          <w:color w:val="auto"/>
          <w:sz w:val="28"/>
          <w:szCs w:val="28"/>
          <w:highlight w:val="none"/>
          <w:lang w:val="zh-CN" w:bidi="ar"/>
        </w:rPr>
        <w:t>实质性条款响应情况表</w:t>
      </w:r>
    </w:p>
    <w:p w14:paraId="514DD85B">
      <w:pPr>
        <w:keepNext w:val="0"/>
        <w:keepLines w:val="0"/>
        <w:pageBreakBefore w:val="0"/>
        <w:widowControl/>
        <w:tabs>
          <w:tab w:val="left" w:pos="630"/>
          <w:tab w:val="left" w:pos="840"/>
        </w:tabs>
        <w:kinsoku/>
        <w:wordWrap/>
        <w:overflowPunct/>
        <w:topLinePunct w:val="0"/>
        <w:autoSpaceDE/>
        <w:autoSpaceDN/>
        <w:bidi w:val="0"/>
        <w:adjustRightInd/>
        <w:snapToGrid/>
        <w:spacing w:line="480" w:lineRule="exact"/>
        <w:ind w:left="420"/>
        <w:jc w:val="left"/>
        <w:textAlignment w:val="auto"/>
        <w:rPr>
          <w:rFonts w:hint="eastAsia" w:ascii="仿宋_GB2312" w:hAnsi="仿宋_GB2312" w:eastAsia="仿宋_GB2312" w:cs="仿宋_GB2312"/>
          <w:color w:val="auto"/>
          <w:sz w:val="28"/>
          <w:szCs w:val="28"/>
          <w:highlight w:val="none"/>
          <w:lang w:val="zh-CN" w:bidi="ar"/>
        </w:rPr>
      </w:pPr>
      <w:r>
        <w:rPr>
          <w:rFonts w:hint="eastAsia" w:ascii="仿宋_GB2312" w:hAnsi="仿宋_GB2312" w:eastAsia="仿宋_GB2312" w:cs="仿宋_GB2312"/>
          <w:color w:val="auto"/>
          <w:sz w:val="28"/>
          <w:szCs w:val="28"/>
          <w:highlight w:val="none"/>
          <w:lang w:val="en-US" w:eastAsia="zh-CN" w:bidi="ar"/>
        </w:rPr>
        <w:t>15</w:t>
      </w:r>
      <w:r>
        <w:rPr>
          <w:rFonts w:hint="eastAsia" w:ascii="仿宋_GB2312" w:hAnsi="仿宋_GB2312" w:eastAsia="仿宋_GB2312" w:cs="仿宋_GB2312"/>
          <w:color w:val="auto"/>
          <w:sz w:val="28"/>
          <w:szCs w:val="28"/>
          <w:highlight w:val="none"/>
          <w:lang w:val="zh-CN" w:bidi="ar"/>
        </w:rPr>
        <w:t>.商务条款偏离表</w:t>
      </w:r>
    </w:p>
    <w:p w14:paraId="2345FEC2">
      <w:pPr>
        <w:keepNext w:val="0"/>
        <w:keepLines w:val="0"/>
        <w:pageBreakBefore w:val="0"/>
        <w:widowControl/>
        <w:tabs>
          <w:tab w:val="left" w:pos="630"/>
          <w:tab w:val="left" w:pos="840"/>
        </w:tabs>
        <w:kinsoku/>
        <w:wordWrap/>
        <w:overflowPunct/>
        <w:topLinePunct w:val="0"/>
        <w:autoSpaceDE/>
        <w:autoSpaceDN/>
        <w:bidi w:val="0"/>
        <w:adjustRightInd/>
        <w:snapToGrid/>
        <w:spacing w:line="480" w:lineRule="exact"/>
        <w:ind w:left="420"/>
        <w:jc w:val="left"/>
        <w:textAlignment w:val="auto"/>
        <w:rPr>
          <w:rFonts w:hint="eastAsia" w:ascii="仿宋_GB2312" w:hAnsi="仿宋_GB2312" w:eastAsia="仿宋_GB2312" w:cs="仿宋_GB2312"/>
          <w:strike w:val="0"/>
          <w:dstrike w:val="0"/>
          <w:color w:val="auto"/>
          <w:sz w:val="28"/>
          <w:szCs w:val="28"/>
          <w:highlight w:val="none"/>
          <w:lang w:val="en-US" w:eastAsia="zh-CN" w:bidi="ar"/>
        </w:rPr>
      </w:pPr>
      <w:r>
        <w:rPr>
          <w:rFonts w:hint="eastAsia" w:ascii="仿宋_GB2312" w:hAnsi="仿宋_GB2312" w:eastAsia="仿宋_GB2312" w:cs="仿宋_GB2312"/>
          <w:color w:val="auto"/>
          <w:sz w:val="28"/>
          <w:szCs w:val="28"/>
          <w:highlight w:val="none"/>
          <w:lang w:val="en-US" w:eastAsia="zh-CN" w:bidi="ar"/>
        </w:rPr>
        <w:t>16</w:t>
      </w:r>
      <w:r>
        <w:rPr>
          <w:rFonts w:hint="eastAsia" w:ascii="仿宋_GB2312" w:hAnsi="仿宋_GB2312" w:eastAsia="仿宋_GB2312" w:cs="仿宋_GB2312"/>
          <w:color w:val="auto"/>
          <w:sz w:val="28"/>
          <w:szCs w:val="28"/>
          <w:highlight w:val="none"/>
          <w:lang w:val="zh-CN" w:bidi="ar"/>
        </w:rPr>
        <w:t>.</w:t>
      </w:r>
      <w:r>
        <w:rPr>
          <w:rFonts w:hint="eastAsia" w:ascii="仿宋_GB2312" w:hAnsi="仿宋_GB2312" w:eastAsia="仿宋_GB2312" w:cs="仿宋_GB2312"/>
          <w:strike w:val="0"/>
          <w:dstrike w:val="0"/>
          <w:color w:val="auto"/>
          <w:sz w:val="28"/>
          <w:szCs w:val="28"/>
          <w:highlight w:val="none"/>
          <w:lang w:val="en-US" w:eastAsia="zh-CN" w:bidi="ar"/>
        </w:rPr>
        <w:t>服务</w:t>
      </w:r>
      <w:r>
        <w:rPr>
          <w:rFonts w:hint="eastAsia" w:ascii="仿宋_GB2312" w:hAnsi="仿宋_GB2312" w:eastAsia="仿宋_GB2312" w:cs="仿宋_GB2312"/>
          <w:strike w:val="0"/>
          <w:dstrike w:val="0"/>
          <w:color w:val="auto"/>
          <w:sz w:val="28"/>
          <w:szCs w:val="28"/>
          <w:highlight w:val="none"/>
          <w:lang w:val="zh-CN" w:bidi="ar"/>
        </w:rPr>
        <w:t>条款偏离</w:t>
      </w:r>
      <w:r>
        <w:rPr>
          <w:rFonts w:hint="eastAsia" w:ascii="仿宋_GB2312" w:hAnsi="仿宋_GB2312" w:eastAsia="仿宋_GB2312" w:cs="仿宋_GB2312"/>
          <w:strike w:val="0"/>
          <w:dstrike w:val="0"/>
          <w:color w:val="auto"/>
          <w:sz w:val="28"/>
          <w:szCs w:val="28"/>
          <w:highlight w:val="none"/>
          <w:lang w:val="en-US" w:eastAsia="zh-CN" w:bidi="ar"/>
        </w:rPr>
        <w:t>表</w:t>
      </w:r>
    </w:p>
    <w:p w14:paraId="259F8B4C">
      <w:pPr>
        <w:keepNext w:val="0"/>
        <w:keepLines w:val="0"/>
        <w:pageBreakBefore w:val="0"/>
        <w:widowControl/>
        <w:tabs>
          <w:tab w:val="left" w:pos="630"/>
          <w:tab w:val="left" w:pos="840"/>
        </w:tabs>
        <w:kinsoku/>
        <w:wordWrap/>
        <w:overflowPunct/>
        <w:topLinePunct w:val="0"/>
        <w:autoSpaceDE/>
        <w:autoSpaceDN/>
        <w:bidi w:val="0"/>
        <w:adjustRightInd/>
        <w:snapToGrid/>
        <w:spacing w:line="480" w:lineRule="exact"/>
        <w:ind w:left="420"/>
        <w:jc w:val="left"/>
        <w:textAlignment w:val="auto"/>
        <w:rPr>
          <w:rFonts w:hint="eastAsia" w:ascii="仿宋_GB2312" w:hAnsi="仿宋_GB2312" w:eastAsia="仿宋_GB2312" w:cs="仿宋_GB2312"/>
          <w:color w:val="auto"/>
          <w:sz w:val="28"/>
          <w:szCs w:val="28"/>
          <w:highlight w:val="none"/>
          <w:lang w:val="en-US" w:eastAsia="zh-CN" w:bidi="ar"/>
        </w:rPr>
      </w:pPr>
      <w:r>
        <w:rPr>
          <w:rFonts w:hint="eastAsia" w:ascii="仿宋_GB2312" w:hAnsi="仿宋_GB2312" w:eastAsia="仿宋_GB2312" w:cs="仿宋_GB2312"/>
          <w:color w:val="auto"/>
          <w:sz w:val="28"/>
          <w:szCs w:val="28"/>
          <w:highlight w:val="none"/>
          <w:lang w:val="en-US" w:eastAsia="zh-CN" w:bidi="ar"/>
        </w:rPr>
        <w:t>17.技术要求偏离表</w:t>
      </w:r>
    </w:p>
    <w:p w14:paraId="7D8AAB02">
      <w:pPr>
        <w:keepNext w:val="0"/>
        <w:keepLines w:val="0"/>
        <w:pageBreakBefore w:val="0"/>
        <w:tabs>
          <w:tab w:val="left" w:pos="630"/>
          <w:tab w:val="left" w:pos="840"/>
        </w:tabs>
        <w:kinsoku/>
        <w:wordWrap/>
        <w:overflowPunct/>
        <w:topLinePunct w:val="0"/>
        <w:autoSpaceDE/>
        <w:autoSpaceDN/>
        <w:bidi w:val="0"/>
        <w:adjustRightInd/>
        <w:snapToGrid/>
        <w:spacing w:line="480" w:lineRule="exact"/>
        <w:ind w:left="42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18.项目配送服务方案</w:t>
      </w:r>
    </w:p>
    <w:p w14:paraId="1E1C631E">
      <w:pPr>
        <w:keepNext w:val="0"/>
        <w:keepLines w:val="0"/>
        <w:pageBreakBefore w:val="0"/>
        <w:tabs>
          <w:tab w:val="left" w:pos="630"/>
          <w:tab w:val="left" w:pos="840"/>
        </w:tabs>
        <w:kinsoku/>
        <w:wordWrap/>
        <w:overflowPunct/>
        <w:topLinePunct w:val="0"/>
        <w:autoSpaceDE/>
        <w:autoSpaceDN/>
        <w:bidi w:val="0"/>
        <w:adjustRightInd/>
        <w:snapToGrid/>
        <w:spacing w:line="480" w:lineRule="exact"/>
        <w:ind w:left="42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19.服务质量保障方案</w:t>
      </w:r>
    </w:p>
    <w:p w14:paraId="7F5B9DBB">
      <w:pPr>
        <w:keepNext w:val="0"/>
        <w:keepLines w:val="0"/>
        <w:pageBreakBefore w:val="0"/>
        <w:tabs>
          <w:tab w:val="left" w:pos="630"/>
          <w:tab w:val="left" w:pos="840"/>
        </w:tabs>
        <w:kinsoku/>
        <w:wordWrap/>
        <w:overflowPunct/>
        <w:topLinePunct w:val="0"/>
        <w:autoSpaceDE/>
        <w:autoSpaceDN/>
        <w:bidi w:val="0"/>
        <w:adjustRightInd/>
        <w:snapToGrid/>
        <w:spacing w:line="480" w:lineRule="exact"/>
        <w:ind w:left="42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20.售后服务方案</w:t>
      </w:r>
    </w:p>
    <w:p w14:paraId="02285DD5">
      <w:pPr>
        <w:keepNext w:val="0"/>
        <w:keepLines w:val="0"/>
        <w:pageBreakBefore w:val="0"/>
        <w:tabs>
          <w:tab w:val="left" w:pos="630"/>
          <w:tab w:val="left" w:pos="840"/>
        </w:tabs>
        <w:kinsoku/>
        <w:wordWrap/>
        <w:overflowPunct/>
        <w:topLinePunct w:val="0"/>
        <w:autoSpaceDE/>
        <w:autoSpaceDN/>
        <w:bidi w:val="0"/>
        <w:adjustRightInd/>
        <w:snapToGrid/>
        <w:spacing w:line="480" w:lineRule="exact"/>
        <w:ind w:left="42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21.同类项目业绩</w:t>
      </w:r>
    </w:p>
    <w:p w14:paraId="58426FAA">
      <w:pPr>
        <w:keepNext w:val="0"/>
        <w:keepLines w:val="0"/>
        <w:pageBreakBefore w:val="0"/>
        <w:tabs>
          <w:tab w:val="left" w:pos="630"/>
          <w:tab w:val="left" w:pos="840"/>
        </w:tabs>
        <w:kinsoku/>
        <w:wordWrap/>
        <w:overflowPunct/>
        <w:topLinePunct w:val="0"/>
        <w:autoSpaceDE/>
        <w:autoSpaceDN/>
        <w:bidi w:val="0"/>
        <w:adjustRightInd/>
        <w:snapToGrid/>
        <w:spacing w:line="480" w:lineRule="exact"/>
        <w:ind w:left="42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22.履约评价</w:t>
      </w:r>
    </w:p>
    <w:p w14:paraId="41C049F7">
      <w:pPr>
        <w:keepNext w:val="0"/>
        <w:keepLines w:val="0"/>
        <w:pageBreakBefore w:val="0"/>
        <w:tabs>
          <w:tab w:val="left" w:pos="630"/>
          <w:tab w:val="left" w:pos="840"/>
        </w:tabs>
        <w:kinsoku/>
        <w:wordWrap/>
        <w:overflowPunct/>
        <w:topLinePunct w:val="0"/>
        <w:autoSpaceDE/>
        <w:autoSpaceDN/>
        <w:bidi w:val="0"/>
        <w:adjustRightInd/>
        <w:snapToGrid/>
        <w:spacing w:line="48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2</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lang w:val="zh-CN"/>
        </w:rPr>
        <w:t>.企业诚信</w:t>
      </w:r>
    </w:p>
    <w:p w14:paraId="53CF467C">
      <w:pPr>
        <w:keepNext w:val="0"/>
        <w:keepLines w:val="0"/>
        <w:pageBreakBefore w:val="0"/>
        <w:tabs>
          <w:tab w:val="left" w:pos="630"/>
          <w:tab w:val="left" w:pos="840"/>
        </w:tabs>
        <w:kinsoku/>
        <w:wordWrap/>
        <w:overflowPunct/>
        <w:topLinePunct w:val="0"/>
        <w:autoSpaceDE/>
        <w:autoSpaceDN/>
        <w:bidi w:val="0"/>
        <w:adjustRightInd/>
        <w:snapToGrid/>
        <w:spacing w:line="48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en-US" w:eastAsia="zh-CN"/>
        </w:rPr>
        <w:t>24.</w:t>
      </w:r>
      <w:r>
        <w:rPr>
          <w:rFonts w:hint="eastAsia" w:ascii="仿宋_GB2312" w:hAnsi="仿宋_GB2312" w:eastAsia="仿宋_GB2312" w:cs="仿宋_GB2312"/>
          <w:color w:val="auto"/>
          <w:sz w:val="28"/>
          <w:szCs w:val="28"/>
          <w:highlight w:val="none"/>
          <w:lang w:val="zh-CN"/>
        </w:rPr>
        <w:t>中小企业声明函</w:t>
      </w:r>
    </w:p>
    <w:p w14:paraId="64605576">
      <w:pPr>
        <w:keepNext w:val="0"/>
        <w:keepLines w:val="0"/>
        <w:pageBreakBefore w:val="0"/>
        <w:tabs>
          <w:tab w:val="left" w:pos="630"/>
          <w:tab w:val="left" w:pos="840"/>
        </w:tabs>
        <w:kinsoku/>
        <w:wordWrap/>
        <w:overflowPunct/>
        <w:topLinePunct w:val="0"/>
        <w:autoSpaceDE/>
        <w:autoSpaceDN/>
        <w:bidi w:val="0"/>
        <w:adjustRightInd/>
        <w:snapToGrid/>
        <w:spacing w:line="48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2</w:t>
      </w:r>
      <w:r>
        <w:rPr>
          <w:rFonts w:hint="eastAsia" w:ascii="仿宋_GB2312" w:hAnsi="仿宋_GB2312" w:eastAsia="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lang w:val="zh-CN"/>
        </w:rPr>
        <w:t>.其他证明材料</w:t>
      </w:r>
    </w:p>
    <w:p w14:paraId="20DE5C59">
      <w:pPr>
        <w:keepLines w:val="0"/>
        <w:pageBreakBefore w:val="0"/>
        <w:kinsoku/>
        <w:wordWrap/>
        <w:overflowPunct/>
        <w:topLinePunct w:val="0"/>
        <w:bidi w:val="0"/>
        <w:spacing w:line="500" w:lineRule="exact"/>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投标函</w:t>
      </w:r>
    </w:p>
    <w:p w14:paraId="4FCD970D">
      <w:pPr>
        <w:keepLines w:val="0"/>
        <w:pageBreakBefore w:val="0"/>
        <w:kinsoku/>
        <w:wordWrap/>
        <w:overflowPunct/>
        <w:topLinePunct w:val="0"/>
        <w:bidi w:val="0"/>
        <w:spacing w:line="500" w:lineRule="exact"/>
        <w:jc w:val="center"/>
        <w:rPr>
          <w:rFonts w:hint="eastAsia" w:ascii="仿宋" w:hAnsi="仿宋" w:eastAsia="仿宋" w:cs="仿宋"/>
          <w:b/>
          <w:bCs/>
          <w:color w:val="auto"/>
          <w:sz w:val="36"/>
          <w:szCs w:val="44"/>
          <w:highlight w:val="none"/>
        </w:rPr>
      </w:pPr>
    </w:p>
    <w:p w14:paraId="6F4F1AD9">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深圳市龙岗区第七人民医院：</w:t>
      </w:r>
    </w:p>
    <w:p w14:paraId="46154812">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rPr>
        <w:t>我司已经认真仔细阅读了贵单位关于</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p>
    <w:p w14:paraId="0E63D2F6">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项目的招标文件，完全同意招标文件中的所有条款，愿意按招标文件要求，决定以投标</w:t>
      </w:r>
      <w:r>
        <w:rPr>
          <w:rFonts w:hint="eastAsia" w:ascii="仿宋_GB2312" w:hAnsi="仿宋_GB2312" w:eastAsia="仿宋_GB2312" w:cs="仿宋_GB2312"/>
          <w:color w:val="auto"/>
          <w:sz w:val="28"/>
          <w:szCs w:val="28"/>
          <w:highlight w:val="none"/>
          <w:lang w:val="en-US" w:eastAsia="zh-CN"/>
        </w:rPr>
        <w:t>折扣率</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参与投标并按招标文件要求承包上述项目，并许以如下承诺：</w:t>
      </w:r>
    </w:p>
    <w:p w14:paraId="6536D615">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1.我方愿意向招标人提供与本次招标的相关资料，并对其真实性、合法性、有效性负责。</w:t>
      </w:r>
    </w:p>
    <w:p w14:paraId="1B2EC3FA">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2.我方将严格履行本投标文件中的全部承诺和责任，并遵守招标文件中对投标人的所有规定。</w:t>
      </w:r>
    </w:p>
    <w:p w14:paraId="6828278F">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3.我方完全理解招标人有保留在授标之前，任何时候根据评标委员会的意见接受或拒绝任何投标的权利，并完全理解招标人对此无解释的义务。</w:t>
      </w:r>
    </w:p>
    <w:p w14:paraId="1AB87139">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4.我方完全理解招标人不保证投标价最低的投标人中标。</w:t>
      </w:r>
    </w:p>
    <w:p w14:paraId="6555491F">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5.我方承诺在此次招标过程中涉及的一切应当保密的事项，不向任何第三方泄露，否则承担一切法律责任。</w:t>
      </w:r>
    </w:p>
    <w:p w14:paraId="052F8873">
      <w:pPr>
        <w:keepLines w:val="0"/>
        <w:pageBreakBefore w:val="0"/>
        <w:kinsoku/>
        <w:wordWrap/>
        <w:overflowPunct/>
        <w:topLinePunct w:val="0"/>
        <w:bidi w:val="0"/>
        <w:spacing w:line="500" w:lineRule="exact"/>
        <w:ind w:firstLine="560" w:firstLineChars="200"/>
        <w:rPr>
          <w:color w:val="auto"/>
          <w:sz w:val="28"/>
          <w:szCs w:val="28"/>
          <w:highlight w:val="none"/>
        </w:rPr>
      </w:pPr>
      <w:r>
        <w:rPr>
          <w:rFonts w:hint="eastAsia" w:ascii="仿宋_GB2312" w:hAnsi="仿宋_GB2312" w:eastAsia="仿宋_GB2312" w:cs="仿宋_GB2312"/>
          <w:color w:val="auto"/>
          <w:sz w:val="28"/>
          <w:szCs w:val="28"/>
          <w:highlight w:val="none"/>
        </w:rPr>
        <w:t>6.我方如果中标，我方承诺中标后按照采购相关规定与采购人签订合同，将保证履行我方投标文件所响应的全部责任和义务，按质、按量、按期完成合同中的全部任务。如因我方原因未在规定时限内与采购人签订合同的，愿意接受相关部门作出的相应处理。除非另外达成协议并生效，贵方中标通知书和本投标文件将构成合同组成部分。</w:t>
      </w:r>
    </w:p>
    <w:p w14:paraId="1BF76020">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w:t>
      </w:r>
    </w:p>
    <w:p w14:paraId="34CF1B5D">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p>
    <w:p w14:paraId="5C798945">
      <w:pPr>
        <w:keepLines w:val="0"/>
        <w:pageBreakBefore w:val="0"/>
        <w:kinsoku/>
        <w:wordWrap/>
        <w:overflowPunct/>
        <w:topLinePunct w:val="0"/>
        <w:bidi w:val="0"/>
        <w:spacing w:line="500" w:lineRule="exact"/>
        <w:ind w:firstLine="3360" w:firstLineChars="1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法定代表人或其授权代表人（签字）：</w:t>
      </w:r>
    </w:p>
    <w:p w14:paraId="54A4898D">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t xml:space="preserve">      投标单位全称（加盖公章）：</w:t>
      </w:r>
    </w:p>
    <w:p w14:paraId="6683604E">
      <w:pPr>
        <w:spacing w:line="500" w:lineRule="exact"/>
        <w:ind w:firstLine="2800" w:firstLineChars="1000"/>
        <w:rPr>
          <w:rFonts w:hint="eastAsia" w:ascii="宋体" w:hAnsi="宋体" w:cs="宋体"/>
          <w:b/>
          <w:bCs/>
          <w:color w:val="auto"/>
          <w:sz w:val="44"/>
          <w:szCs w:val="44"/>
          <w:highlight w:val="none"/>
        </w:rPr>
      </w:pPr>
      <w:r>
        <w:rPr>
          <w:rFonts w:hint="eastAsia" w:ascii="仿宋_GB2312" w:hAnsi="仿宋_GB2312" w:eastAsia="仿宋_GB2312" w:cs="仿宋_GB2312"/>
          <w:color w:val="auto"/>
          <w:sz w:val="28"/>
          <w:szCs w:val="28"/>
          <w:highlight w:val="none"/>
          <w:lang w:val="en-US" w:eastAsia="zh-CN"/>
        </w:rPr>
        <w:t>日期：</w:t>
      </w:r>
      <w:r>
        <w:rPr>
          <w:rFonts w:hint="eastAsia" w:ascii="仿宋_GB2312" w:hAnsi="仿宋_GB2312" w:eastAsia="仿宋_GB2312" w:cs="仿宋_GB2312"/>
          <w:color w:val="auto"/>
          <w:sz w:val="28"/>
          <w:szCs w:val="28"/>
          <w:highlight w:val="none"/>
        </w:rPr>
        <w:t xml:space="preserve">      年    月    日</w:t>
      </w:r>
    </w:p>
    <w:p w14:paraId="653A1835">
      <w:pPr>
        <w:keepLines w:val="0"/>
        <w:pageBreakBefore w:val="0"/>
        <w:kinsoku/>
        <w:wordWrap/>
        <w:overflowPunct/>
        <w:topLinePunct w:val="0"/>
        <w:bidi w:val="0"/>
        <w:spacing w:line="560" w:lineRule="exact"/>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投标及履约承诺函</w:t>
      </w:r>
    </w:p>
    <w:p w14:paraId="58F4072E">
      <w:pPr>
        <w:keepLines w:val="0"/>
        <w:pageBreakBefore w:val="0"/>
        <w:kinsoku/>
        <w:wordWrap/>
        <w:overflowPunct/>
        <w:topLinePunct w:val="0"/>
        <w:bidi w:val="0"/>
        <w:spacing w:line="560" w:lineRule="exact"/>
        <w:rPr>
          <w:rFonts w:hint="eastAsia" w:ascii="仿宋_GB2312" w:hAnsi="仿宋_GB2312" w:eastAsia="仿宋_GB2312" w:cs="仿宋_GB2312"/>
          <w:color w:val="auto"/>
          <w:sz w:val="32"/>
          <w:szCs w:val="32"/>
          <w:highlight w:val="none"/>
        </w:rPr>
      </w:pPr>
    </w:p>
    <w:p w14:paraId="42FCA651">
      <w:pPr>
        <w:keepLines w:val="0"/>
        <w:pageBreakBefore w:val="0"/>
        <w:kinsoku/>
        <w:wordWrap/>
        <w:overflowPunct/>
        <w:topLinePunct w:val="0"/>
        <w:bidi w:val="0"/>
        <w:spacing w:line="56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深圳市龙岗区第七人民医院：</w:t>
      </w:r>
    </w:p>
    <w:p w14:paraId="5B5B4050">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我公司参与</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项目，编号：</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（以下简称“本项目”）院内采购活动，承诺：</w:t>
      </w:r>
    </w:p>
    <w:p w14:paraId="7D59E8A1">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1.我单位参与本项目所投标（响应）的货物、工程或服务，不存在侵犯知识产权的情况；已知悉并同意中标（成交）结果信息公示（公开）的内容。</w:t>
      </w:r>
    </w:p>
    <w:p w14:paraId="1E4F046D">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2.我单位参与该项目投标，符合采购文件关于联合体及进口产品的相关资格要求。</w:t>
      </w:r>
    </w:p>
    <w:p w14:paraId="56D6D529">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3.我单位参与本项目投标前三年内，在经营活动中没有重大违法记录。</w:t>
      </w:r>
    </w:p>
    <w:p w14:paraId="19A0E442">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4.我单位参与本项目政府采购活动时不存在被有关部门禁止参与政府采购活动且在有效期内的情况。</w:t>
      </w:r>
    </w:p>
    <w:p w14:paraId="6C9D3B86">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5.我单位具备《中华人民共和国政府采购法》第二十二条的条件。</w:t>
      </w:r>
    </w:p>
    <w:p w14:paraId="7DFFA703">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6.我单位未被列入失信被执行人、重大税收违法案件当事人名单（重大税收违法失信主体）、政府采购严重违法失信行为记录名单。</w:t>
      </w:r>
    </w:p>
    <w:p w14:paraId="22F3ED0B">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14:paraId="704C1252">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8.我单位如果中标，做到守信，不偷工减料，依照本项目采购文件需求内容、签署的采购合同及本单位在投标中所作的一切承诺履约。我单位对本项目的报价负责，中标后将严格按照本项目采购文件需求、签署的采购合同及我单位在投标中所作的全部承诺履行。</w:t>
      </w:r>
    </w:p>
    <w:p w14:paraId="7F184F3C">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67ADFC30">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9.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0DF2B2F0">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10.我单位承诺中标后项目不转包，未经采购人同意不进行分包。</w:t>
      </w:r>
    </w:p>
    <w:p w14:paraId="2D033B38">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11.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122D0102">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12.我单位保证，若所投货物涉及《财政部生态环境部关于印发节能产品政府采购品目清单的通知》（财库〔2019〕19号）列明的政府采购强制产品，则所投该产品符合节能产品的认证要求。</w:t>
      </w:r>
    </w:p>
    <w:p w14:paraId="67D3D0C6">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13.我单位保证，不存在“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的情形。</w:t>
      </w:r>
    </w:p>
    <w:p w14:paraId="088B1AAB">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14.我单位保证，若所投产品列入强制性产品认证目录的，则所投该产品须获得强制性产品认证证书（即</w:t>
      </w:r>
      <w:r>
        <w:rPr>
          <w:rFonts w:hint="eastAsia" w:ascii="仿宋_GB2312" w:hAnsi="仿宋_GB2312" w:eastAsia="仿宋_GB2312" w:cs="仿宋_GB2312"/>
          <w:color w:val="auto"/>
          <w:sz w:val="28"/>
          <w:szCs w:val="28"/>
          <w:highlight w:val="none"/>
          <w:lang w:eastAsia="zh-CN"/>
        </w:rPr>
        <w:t>3C</w:t>
      </w:r>
      <w:r>
        <w:rPr>
          <w:rFonts w:hint="eastAsia" w:ascii="仿宋_GB2312" w:hAnsi="仿宋_GB2312" w:eastAsia="仿宋_GB2312" w:cs="仿宋_GB2312"/>
          <w:color w:val="auto"/>
          <w:sz w:val="28"/>
          <w:szCs w:val="28"/>
          <w:highlight w:val="none"/>
        </w:rPr>
        <w:t>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3E6D9F49">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15.我单位清楚，如存在违反投标承诺行为情节严重的，将根据《深圳市财政局关于印发&lt;深圳市财政局政府采购供应商信用信息管理办法&gt;的通知》，依法被列入失信信息。</w:t>
      </w:r>
    </w:p>
    <w:p w14:paraId="03D85DB4">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16.我单位保证，参与本项目不存在《深圳市财政局政府采购供应商信用信息管理办法》列明的严重违法失信行为。</w:t>
      </w:r>
    </w:p>
    <w:p w14:paraId="4B336911">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p>
    <w:p w14:paraId="48141971">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以上承诺，如有违反，愿依照国家相关法律法规处理，并承担由此给采购人带来的损失。</w:t>
      </w:r>
    </w:p>
    <w:p w14:paraId="4F7E116B">
      <w:pPr>
        <w:keepLines w:val="0"/>
        <w:pageBreakBefore w:val="0"/>
        <w:widowControl/>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p>
    <w:p w14:paraId="059E07E7">
      <w:pPr>
        <w:keepLines w:val="0"/>
        <w:pageBreakBefore w:val="0"/>
        <w:widowControl/>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p>
    <w:p w14:paraId="2C6BCB6D">
      <w:pPr>
        <w:keepLines w:val="0"/>
        <w:pageBreakBefore w:val="0"/>
        <w:widowControl/>
        <w:kinsoku/>
        <w:wordWrap/>
        <w:overflowPunct/>
        <w:topLinePunct w:val="0"/>
        <w:bidi w:val="0"/>
        <w:spacing w:line="560" w:lineRule="exact"/>
        <w:ind w:firstLine="3080" w:firstLineChars="11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投标人（公章）：</w:t>
      </w:r>
    </w:p>
    <w:p w14:paraId="4BDFB4BB">
      <w:pPr>
        <w:keepLines w:val="0"/>
        <w:pageBreakBefore w:val="0"/>
        <w:widowControl/>
        <w:kinsoku/>
        <w:wordWrap/>
        <w:overflowPunct/>
        <w:topLinePunct w:val="0"/>
        <w:bidi w:val="0"/>
        <w:spacing w:line="560" w:lineRule="exact"/>
        <w:ind w:firstLine="3080" w:firstLineChars="11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法定代表人或其授权代表签名：</w:t>
      </w:r>
    </w:p>
    <w:p w14:paraId="6D1086DB">
      <w:pPr>
        <w:keepLines w:val="0"/>
        <w:pageBreakBefore w:val="0"/>
        <w:widowControl/>
        <w:kinsoku/>
        <w:wordWrap/>
        <w:overflowPunct/>
        <w:topLinePunct w:val="0"/>
        <w:bidi w:val="0"/>
        <w:spacing w:line="560" w:lineRule="exact"/>
        <w:ind w:firstLine="3080" w:firstLineChars="1100"/>
        <w:jc w:val="left"/>
        <w:rPr>
          <w:rFonts w:hint="eastAsia" w:ascii="宋体" w:hAnsi="宋体" w:cs="宋体"/>
          <w:color w:val="auto"/>
          <w:kern w:val="0"/>
          <w:sz w:val="44"/>
          <w:szCs w:val="44"/>
          <w:highlight w:val="none"/>
          <w:lang w:bidi="ar"/>
        </w:rPr>
      </w:pPr>
      <w:r>
        <w:rPr>
          <w:rFonts w:hint="eastAsia" w:ascii="仿宋_GB2312" w:hAnsi="仿宋_GB2312" w:eastAsia="仿宋_GB2312" w:cs="仿宋_GB2312"/>
          <w:color w:val="auto"/>
          <w:sz w:val="28"/>
          <w:szCs w:val="28"/>
          <w:highlight w:val="none"/>
        </w:rPr>
        <w:t>日期：      年    月    日</w:t>
      </w:r>
      <w:bookmarkStart w:id="15" w:name="_Toc24111"/>
    </w:p>
    <w:p w14:paraId="705FBFEF">
      <w:pPr>
        <w:keepLines w:val="0"/>
        <w:pageBreakBefore w:val="0"/>
        <w:widowControl/>
        <w:kinsoku/>
        <w:wordWrap/>
        <w:overflowPunct/>
        <w:topLinePunct w:val="0"/>
        <w:bidi w:val="0"/>
        <w:spacing w:line="560" w:lineRule="exact"/>
        <w:jc w:val="center"/>
        <w:textAlignment w:val="center"/>
        <w:rPr>
          <w:rFonts w:hint="eastAsia" w:ascii="宋体" w:hAnsi="宋体" w:cs="宋体"/>
          <w:color w:val="auto"/>
          <w:kern w:val="0"/>
          <w:sz w:val="44"/>
          <w:szCs w:val="44"/>
          <w:highlight w:val="none"/>
          <w:lang w:bidi="ar"/>
        </w:rPr>
      </w:pPr>
    </w:p>
    <w:p w14:paraId="40B123D2">
      <w:pPr>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br w:type="page"/>
      </w:r>
    </w:p>
    <w:p w14:paraId="6B511097">
      <w:pPr>
        <w:keepLines w:val="0"/>
        <w:pageBreakBefore w:val="0"/>
        <w:widowControl/>
        <w:kinsoku/>
        <w:wordWrap/>
        <w:overflowPunct/>
        <w:topLinePunct w:val="0"/>
        <w:bidi w:val="0"/>
        <w:spacing w:line="560" w:lineRule="exact"/>
        <w:jc w:val="both"/>
        <w:textAlignment w:val="center"/>
        <w:rPr>
          <w:rFonts w:hint="eastAsia" w:ascii="宋体" w:hAnsi="宋体" w:cs="宋体"/>
          <w:color w:val="auto"/>
          <w:kern w:val="0"/>
          <w:sz w:val="44"/>
          <w:szCs w:val="44"/>
          <w:highlight w:val="none"/>
          <w:lang w:bidi="ar"/>
        </w:rPr>
      </w:pPr>
    </w:p>
    <w:p w14:paraId="3C20DEF2">
      <w:pPr>
        <w:keepLines w:val="0"/>
        <w:pageBreakBefore w:val="0"/>
        <w:widowControl/>
        <w:kinsoku/>
        <w:wordWrap/>
        <w:overflowPunct/>
        <w:topLinePunct w:val="0"/>
        <w:bidi w:val="0"/>
        <w:spacing w:line="560" w:lineRule="exact"/>
        <w:jc w:val="center"/>
        <w:textAlignment w:val="center"/>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t>法定代表人证明书</w:t>
      </w:r>
    </w:p>
    <w:p w14:paraId="00A29916">
      <w:pPr>
        <w:keepLines w:val="0"/>
        <w:pageBreakBefore w:val="0"/>
        <w:kinsoku/>
        <w:wordWrap/>
        <w:overflowPunct/>
        <w:topLinePunct w:val="0"/>
        <w:bidi w:val="0"/>
        <w:spacing w:line="560" w:lineRule="exact"/>
        <w:rPr>
          <w:rFonts w:hint="eastAsia" w:ascii="仿宋" w:hAnsi="仿宋" w:eastAsia="仿宋" w:cs="仿宋"/>
          <w:color w:val="auto"/>
          <w:sz w:val="28"/>
          <w:szCs w:val="28"/>
          <w:highlight w:val="none"/>
        </w:rPr>
      </w:pPr>
    </w:p>
    <w:p w14:paraId="19316D8E">
      <w:pPr>
        <w:keepLines w:val="0"/>
        <w:pageBreakBefore w:val="0"/>
        <w:kinsoku/>
        <w:wordWrap/>
        <w:overflowPunct/>
        <w:topLinePunct w:val="0"/>
        <w:bidi w:val="0"/>
        <w:spacing w:line="56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先生/小姐，现任我单位</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职务，为法定代表人，特此证明。</w:t>
      </w:r>
    </w:p>
    <w:p w14:paraId="62776053">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p>
    <w:p w14:paraId="24B7239E">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有效日期：               签发日期：  </w:t>
      </w:r>
    </w:p>
    <w:p w14:paraId="36652721">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单位：                   （盖章）</w:t>
      </w:r>
    </w:p>
    <w:p w14:paraId="33B1BF17">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附：</w:t>
      </w:r>
    </w:p>
    <w:p w14:paraId="132B235F">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代表人性别：        年龄：       身份证号码：</w:t>
      </w:r>
    </w:p>
    <w:p w14:paraId="1F4166D2">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营业执照号码：                   经济性质：</w:t>
      </w:r>
    </w:p>
    <w:p w14:paraId="47C6F86B">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主营（产）：</w:t>
      </w:r>
    </w:p>
    <w:p w14:paraId="02E41978">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兼营（产）：</w:t>
      </w:r>
    </w:p>
    <w:p w14:paraId="28A6A335">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进口物品经营许可证号码：</w:t>
      </w:r>
    </w:p>
    <w:p w14:paraId="37116AE9">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主营（产）：</w:t>
      </w:r>
    </w:p>
    <w:p w14:paraId="59C4A884">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兼营（产）：</w:t>
      </w:r>
    </w:p>
    <w:p w14:paraId="0867CA27">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p>
    <w:p w14:paraId="07B9755B">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身份证复印件：</w:t>
      </w:r>
    </w:p>
    <w:tbl>
      <w:tblPr>
        <w:tblStyle w:val="19"/>
        <w:tblW w:w="0" w:type="auto"/>
        <w:tblInd w:w="19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60"/>
      </w:tblGrid>
      <w:tr w14:paraId="7B45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1" w:hRule="atLeast"/>
        </w:trPr>
        <w:tc>
          <w:tcPr>
            <w:tcW w:w="5460" w:type="dxa"/>
            <w:noWrap/>
          </w:tcPr>
          <w:p w14:paraId="5E4B37D2">
            <w:pPr>
              <w:keepLines w:val="0"/>
              <w:pageBreakBefore w:val="0"/>
              <w:kinsoku/>
              <w:wordWrap/>
              <w:overflowPunct/>
              <w:topLinePunct w:val="0"/>
              <w:bidi w:val="0"/>
              <w:spacing w:line="560" w:lineRule="exact"/>
              <w:rPr>
                <w:color w:val="auto"/>
                <w:highlight w:val="none"/>
              </w:rPr>
            </w:pPr>
          </w:p>
          <w:p w14:paraId="1130F0D1">
            <w:pPr>
              <w:keepLines w:val="0"/>
              <w:pageBreakBefore w:val="0"/>
              <w:kinsoku/>
              <w:wordWrap/>
              <w:overflowPunct/>
              <w:topLinePunct w:val="0"/>
              <w:bidi w:val="0"/>
              <w:spacing w:line="560" w:lineRule="exact"/>
              <w:rPr>
                <w:color w:val="auto"/>
                <w:highlight w:val="none"/>
              </w:rPr>
            </w:pPr>
          </w:p>
          <w:p w14:paraId="24784DD0">
            <w:pPr>
              <w:pStyle w:val="8"/>
              <w:keepLines w:val="0"/>
              <w:pageBreakBefore w:val="0"/>
              <w:kinsoku/>
              <w:wordWrap/>
              <w:overflowPunct/>
              <w:topLinePunct w:val="0"/>
              <w:bidi w:val="0"/>
              <w:spacing w:line="560" w:lineRule="exact"/>
              <w:rPr>
                <w:rFonts w:hint="eastAsia"/>
                <w:color w:val="auto"/>
                <w:highlight w:val="none"/>
              </w:rPr>
            </w:pPr>
          </w:p>
          <w:p w14:paraId="1C9E57D7">
            <w:pPr>
              <w:keepLines w:val="0"/>
              <w:pageBreakBefore w:val="0"/>
              <w:kinsoku/>
              <w:wordWrap/>
              <w:overflowPunct/>
              <w:topLinePunct w:val="0"/>
              <w:bidi w:val="0"/>
              <w:spacing w:line="560" w:lineRule="exact"/>
              <w:ind w:firstLine="2100" w:firstLineChars="1000"/>
              <w:rPr>
                <w:color w:val="auto"/>
                <w:highlight w:val="none"/>
              </w:rPr>
            </w:pPr>
            <w:r>
              <w:rPr>
                <w:rFonts w:hint="eastAsia"/>
                <w:color w:val="auto"/>
                <w:highlight w:val="none"/>
              </w:rPr>
              <w:t>正反面</w:t>
            </w:r>
          </w:p>
        </w:tc>
      </w:tr>
    </w:tbl>
    <w:p w14:paraId="2AA0E9E7">
      <w:pPr>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br w:type="page"/>
      </w:r>
    </w:p>
    <w:p w14:paraId="3C2B8FD6">
      <w:pPr>
        <w:keepNext w:val="0"/>
        <w:keepLines w:val="0"/>
        <w:pageBreakBefore w:val="0"/>
        <w:widowControl/>
        <w:kinsoku/>
        <w:wordWrap/>
        <w:overflowPunct/>
        <w:topLinePunct w:val="0"/>
        <w:autoSpaceDE/>
        <w:autoSpaceDN/>
        <w:bidi w:val="0"/>
        <w:adjustRightInd/>
        <w:snapToGrid/>
        <w:spacing w:line="500" w:lineRule="exact"/>
        <w:jc w:val="center"/>
        <w:textAlignment w:val="center"/>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t>法定代表人授权书</w:t>
      </w:r>
    </w:p>
    <w:p w14:paraId="740D9D4D">
      <w:pPr>
        <w:keepNext w:val="0"/>
        <w:keepLines w:val="0"/>
        <w:pageBreakBefore w:val="0"/>
        <w:kinsoku/>
        <w:wordWrap/>
        <w:overflowPunct/>
        <w:topLinePunct w:val="0"/>
        <w:autoSpaceDE/>
        <w:autoSpaceDN/>
        <w:bidi w:val="0"/>
        <w:adjustRightInd/>
        <w:snapToGrid/>
        <w:spacing w:line="500" w:lineRule="exact"/>
        <w:rPr>
          <w:color w:val="auto"/>
          <w:highlight w:val="none"/>
        </w:rPr>
      </w:pPr>
    </w:p>
    <w:p w14:paraId="1B85ADD5">
      <w:pPr>
        <w:keepNext w:val="0"/>
        <w:keepLines w:val="0"/>
        <w:pageBreakBefore w:val="0"/>
        <w:kinsoku/>
        <w:wordWrap/>
        <w:overflowPunct/>
        <w:topLinePunct w:val="0"/>
        <w:autoSpaceDE/>
        <w:autoSpaceDN/>
        <w:bidi w:val="0"/>
        <w:adjustRightInd/>
        <w:snapToGrid/>
        <w:spacing w:line="50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授权书声明：注册于（国家或地区的名称）的（公司名称）的在下面签字的（法定代表人姓名、职务）代表本公司授权（单位名称）的在下面签字的（被授权人的姓名、职务）为本公司的合法代理人，就（项目名称）投标及参加项目谈判，以本公司名义处理一切与之有关的事务。</w:t>
      </w:r>
    </w:p>
    <w:p w14:paraId="2F0FE2B7">
      <w:pPr>
        <w:keepNext w:val="0"/>
        <w:keepLines w:val="0"/>
        <w:pageBreakBefore w:val="0"/>
        <w:kinsoku/>
        <w:wordWrap/>
        <w:overflowPunct/>
        <w:topLinePunct w:val="0"/>
        <w:autoSpaceDE/>
        <w:autoSpaceDN/>
        <w:bidi w:val="0"/>
        <w:adjustRightInd/>
        <w:snapToGrid/>
        <w:spacing w:line="50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本授权书于</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日签字生效，有效期至</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p>
    <w:p w14:paraId="6E50950C">
      <w:pPr>
        <w:keepNext w:val="0"/>
        <w:keepLines w:val="0"/>
        <w:pageBreakBefore w:val="0"/>
        <w:kinsoku/>
        <w:wordWrap/>
        <w:overflowPunct/>
        <w:topLinePunct w:val="0"/>
        <w:autoSpaceDE/>
        <w:autoSpaceDN/>
        <w:bidi w:val="0"/>
        <w:adjustRightInd/>
        <w:snapToGrid/>
        <w:spacing w:line="50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特此声明。</w:t>
      </w:r>
    </w:p>
    <w:p w14:paraId="47124F6E">
      <w:pPr>
        <w:keepNext w:val="0"/>
        <w:keepLines w:val="0"/>
        <w:pageBreakBefore w:val="0"/>
        <w:kinsoku/>
        <w:wordWrap/>
        <w:overflowPunct/>
        <w:topLinePunct w:val="0"/>
        <w:autoSpaceDE/>
        <w:autoSpaceDN/>
        <w:bidi w:val="0"/>
        <w:adjustRightInd/>
        <w:snapToGrid/>
        <w:spacing w:line="500" w:lineRule="exact"/>
        <w:ind w:firstLine="560" w:firstLineChars="200"/>
        <w:rPr>
          <w:rFonts w:hint="eastAsia" w:ascii="仿宋" w:hAnsi="仿宋" w:eastAsia="仿宋" w:cs="仿宋"/>
          <w:color w:val="auto"/>
          <w:sz w:val="28"/>
          <w:szCs w:val="28"/>
          <w:highlight w:val="none"/>
        </w:rPr>
      </w:pPr>
    </w:p>
    <w:p w14:paraId="56B151E8">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法定代表人签字： </w:t>
      </w:r>
    </w:p>
    <w:p w14:paraId="58B8FF56">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被授权人签字：　</w:t>
      </w:r>
    </w:p>
    <w:p w14:paraId="08ED7474">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单位盖章：　</w:t>
      </w:r>
    </w:p>
    <w:p w14:paraId="07229DD0">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附：</w:t>
      </w:r>
    </w:p>
    <w:p w14:paraId="11B6B536">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被授权人姓名：                       身份证号：</w:t>
      </w:r>
    </w:p>
    <w:p w14:paraId="1D4A79D4">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职务：</w:t>
      </w:r>
    </w:p>
    <w:p w14:paraId="303A48EA">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详细通信地址：</w:t>
      </w:r>
    </w:p>
    <w:p w14:paraId="22B497A1">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邮政编码：</w:t>
      </w:r>
    </w:p>
    <w:p w14:paraId="67B67467">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联系电话：</w:t>
      </w:r>
    </w:p>
    <w:p w14:paraId="40FC6ABD">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移动电话：</w:t>
      </w:r>
    </w:p>
    <w:p w14:paraId="03F54140">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传真：</w:t>
      </w:r>
    </w:p>
    <w:p w14:paraId="578C9AB3">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身份证复印件：</w:t>
      </w:r>
    </w:p>
    <w:tbl>
      <w:tblPr>
        <w:tblStyle w:val="19"/>
        <w:tblW w:w="0" w:type="auto"/>
        <w:tblInd w:w="19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80"/>
      </w:tblGrid>
      <w:tr w14:paraId="1E88F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01" w:hRule="atLeast"/>
        </w:trPr>
        <w:tc>
          <w:tcPr>
            <w:tcW w:w="5580" w:type="dxa"/>
            <w:noWrap/>
          </w:tcPr>
          <w:p w14:paraId="02A19685">
            <w:pPr>
              <w:keepNext w:val="0"/>
              <w:keepLines w:val="0"/>
              <w:pageBreakBefore w:val="0"/>
              <w:kinsoku/>
              <w:wordWrap/>
              <w:overflowPunct/>
              <w:topLinePunct w:val="0"/>
              <w:autoSpaceDE/>
              <w:autoSpaceDN/>
              <w:bidi w:val="0"/>
              <w:adjustRightInd/>
              <w:snapToGrid/>
              <w:spacing w:line="500" w:lineRule="exact"/>
              <w:rPr>
                <w:color w:val="auto"/>
                <w:highlight w:val="none"/>
              </w:rPr>
            </w:pPr>
          </w:p>
          <w:p w14:paraId="4FC65DB3">
            <w:pPr>
              <w:keepNext w:val="0"/>
              <w:keepLines w:val="0"/>
              <w:pageBreakBefore w:val="0"/>
              <w:kinsoku/>
              <w:wordWrap/>
              <w:overflowPunct/>
              <w:topLinePunct w:val="0"/>
              <w:autoSpaceDE/>
              <w:autoSpaceDN/>
              <w:bidi w:val="0"/>
              <w:adjustRightInd/>
              <w:snapToGrid/>
              <w:spacing w:line="500" w:lineRule="exact"/>
              <w:rPr>
                <w:color w:val="auto"/>
                <w:highlight w:val="none"/>
              </w:rPr>
            </w:pPr>
          </w:p>
          <w:p w14:paraId="0354F573">
            <w:pPr>
              <w:keepNext w:val="0"/>
              <w:keepLines w:val="0"/>
              <w:pageBreakBefore w:val="0"/>
              <w:kinsoku/>
              <w:wordWrap/>
              <w:overflowPunct/>
              <w:topLinePunct w:val="0"/>
              <w:autoSpaceDE/>
              <w:autoSpaceDN/>
              <w:bidi w:val="0"/>
              <w:adjustRightInd/>
              <w:snapToGrid/>
              <w:spacing w:line="500" w:lineRule="exact"/>
              <w:ind w:firstLine="2310" w:firstLineChars="1100"/>
              <w:rPr>
                <w:color w:val="auto"/>
                <w:highlight w:val="none"/>
              </w:rPr>
            </w:pPr>
          </w:p>
          <w:p w14:paraId="5480EFBE">
            <w:pPr>
              <w:keepNext w:val="0"/>
              <w:keepLines w:val="0"/>
              <w:pageBreakBefore w:val="0"/>
              <w:kinsoku/>
              <w:wordWrap/>
              <w:overflowPunct/>
              <w:topLinePunct w:val="0"/>
              <w:autoSpaceDE/>
              <w:autoSpaceDN/>
              <w:bidi w:val="0"/>
              <w:adjustRightInd/>
              <w:snapToGrid/>
              <w:spacing w:line="500" w:lineRule="exact"/>
              <w:ind w:firstLine="2310" w:firstLineChars="1100"/>
              <w:rPr>
                <w:color w:val="auto"/>
                <w:highlight w:val="none"/>
              </w:rPr>
            </w:pPr>
            <w:r>
              <w:rPr>
                <w:rFonts w:hint="eastAsia"/>
                <w:color w:val="auto"/>
                <w:highlight w:val="none"/>
              </w:rPr>
              <w:t>正反面</w:t>
            </w:r>
          </w:p>
        </w:tc>
      </w:tr>
    </w:tbl>
    <w:p w14:paraId="3E3C99D2">
      <w:pPr>
        <w:pStyle w:val="3"/>
        <w:keepLines w:val="0"/>
        <w:pageBreakBefore w:val="0"/>
        <w:kinsoku/>
        <w:wordWrap/>
        <w:overflowPunct/>
        <w:topLinePunct w:val="0"/>
        <w:bidi w:val="0"/>
        <w:spacing w:line="560" w:lineRule="exact"/>
        <w:ind w:left="420" w:hanging="420"/>
        <w:jc w:val="center"/>
        <w:rPr>
          <w:rFonts w:hint="eastAsia" w:ascii="宋体" w:hAnsi="宋体" w:cs="宋体"/>
          <w:b/>
          <w:bCs/>
          <w:color w:val="auto"/>
          <w:sz w:val="44"/>
          <w:szCs w:val="44"/>
          <w:highlight w:val="none"/>
        </w:rPr>
      </w:pPr>
    </w:p>
    <w:p w14:paraId="574C9A14">
      <w:pPr>
        <w:pStyle w:val="3"/>
        <w:keepLines w:val="0"/>
        <w:pageBreakBefore w:val="0"/>
        <w:kinsoku/>
        <w:wordWrap/>
        <w:overflowPunct/>
        <w:topLinePunct w:val="0"/>
        <w:bidi w:val="0"/>
        <w:spacing w:line="560" w:lineRule="exact"/>
        <w:ind w:left="420" w:hanging="420"/>
        <w:jc w:val="center"/>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t>供应商基本情况表</w:t>
      </w:r>
      <w:bookmarkEnd w:id="15"/>
    </w:p>
    <w:p w14:paraId="753C56C5">
      <w:pPr>
        <w:keepLines w:val="0"/>
        <w:pageBreakBefore w:val="0"/>
        <w:kinsoku/>
        <w:wordWrap/>
        <w:overflowPunct/>
        <w:topLinePunct w:val="0"/>
        <w:bidi w:val="0"/>
        <w:spacing w:line="560" w:lineRule="exact"/>
        <w:rPr>
          <w:color w:val="auto"/>
          <w:highlight w:val="none"/>
          <w:u w:val="single"/>
        </w:rPr>
      </w:pPr>
      <w:r>
        <w:rPr>
          <w:rFonts w:hint="eastAsia"/>
          <w:color w:val="auto"/>
          <w:highlight w:val="none"/>
        </w:rPr>
        <w:t>填表单位：</w:t>
      </w:r>
      <w:r>
        <w:rPr>
          <w:rFonts w:hint="eastAsia"/>
          <w:color w:val="auto"/>
          <w:highlight w:val="none"/>
          <w:u w:val="single"/>
        </w:rPr>
        <w:t xml:space="preserve">           </w:t>
      </w:r>
      <w:r>
        <w:rPr>
          <w:rFonts w:hint="eastAsia"/>
          <w:color w:val="auto"/>
          <w:highlight w:val="none"/>
        </w:rPr>
        <w:t xml:space="preserve"> （加盖单位公章）                       填表日期：      年  月  日</w:t>
      </w:r>
    </w:p>
    <w:tbl>
      <w:tblPr>
        <w:tblStyle w:val="20"/>
        <w:tblW w:w="9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2"/>
        <w:gridCol w:w="1957"/>
        <w:gridCol w:w="1429"/>
        <w:gridCol w:w="1583"/>
        <w:gridCol w:w="1583"/>
        <w:gridCol w:w="1583"/>
      </w:tblGrid>
      <w:tr w14:paraId="04079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1362" w:type="dxa"/>
            <w:vAlign w:val="center"/>
          </w:tcPr>
          <w:p w14:paraId="3F1EC8DC">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采购单位</w:t>
            </w:r>
          </w:p>
        </w:tc>
        <w:tc>
          <w:tcPr>
            <w:tcW w:w="3386" w:type="dxa"/>
            <w:gridSpan w:val="2"/>
            <w:vAlign w:val="center"/>
          </w:tcPr>
          <w:p w14:paraId="1F52FF13">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3166" w:type="dxa"/>
            <w:gridSpan w:val="2"/>
            <w:vAlign w:val="center"/>
          </w:tcPr>
          <w:p w14:paraId="7F8D9E08">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1583" w:type="dxa"/>
            <w:vAlign w:val="center"/>
          </w:tcPr>
          <w:p w14:paraId="3055194E">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75905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362" w:type="dxa"/>
            <w:vAlign w:val="center"/>
          </w:tcPr>
          <w:p w14:paraId="6DC9224E">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投标（响应）供应商</w:t>
            </w:r>
          </w:p>
        </w:tc>
        <w:tc>
          <w:tcPr>
            <w:tcW w:w="3386" w:type="dxa"/>
            <w:gridSpan w:val="2"/>
            <w:vAlign w:val="center"/>
          </w:tcPr>
          <w:p w14:paraId="69661E9D">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3166" w:type="dxa"/>
            <w:gridSpan w:val="2"/>
            <w:vAlign w:val="center"/>
          </w:tcPr>
          <w:p w14:paraId="5D063347">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供应商统一社会信用代码</w:t>
            </w:r>
          </w:p>
        </w:tc>
        <w:tc>
          <w:tcPr>
            <w:tcW w:w="1583" w:type="dxa"/>
            <w:vAlign w:val="center"/>
          </w:tcPr>
          <w:p w14:paraId="1EACEC90">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24E2C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497" w:type="dxa"/>
            <w:gridSpan w:val="6"/>
            <w:vAlign w:val="center"/>
          </w:tcPr>
          <w:p w14:paraId="0E607C95">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投标（响应）供应商相关人员情况</w:t>
            </w:r>
          </w:p>
        </w:tc>
      </w:tr>
      <w:tr w14:paraId="73D9E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428BA24C">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957" w:type="dxa"/>
            <w:vAlign w:val="center"/>
          </w:tcPr>
          <w:p w14:paraId="66F66B1E">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职务</w:t>
            </w:r>
          </w:p>
        </w:tc>
        <w:tc>
          <w:tcPr>
            <w:tcW w:w="1429" w:type="dxa"/>
            <w:vAlign w:val="center"/>
          </w:tcPr>
          <w:p w14:paraId="199BAA95">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583" w:type="dxa"/>
            <w:vAlign w:val="center"/>
          </w:tcPr>
          <w:p w14:paraId="6FDE867D">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身份证号码</w:t>
            </w:r>
          </w:p>
        </w:tc>
        <w:tc>
          <w:tcPr>
            <w:tcW w:w="1583" w:type="dxa"/>
            <w:vAlign w:val="center"/>
          </w:tcPr>
          <w:p w14:paraId="6DEC8A20">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劳动合同</w:t>
            </w:r>
          </w:p>
          <w:p w14:paraId="4FE37D91">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关系单位</w:t>
            </w:r>
          </w:p>
        </w:tc>
        <w:tc>
          <w:tcPr>
            <w:tcW w:w="1583" w:type="dxa"/>
            <w:vAlign w:val="center"/>
          </w:tcPr>
          <w:p w14:paraId="26B08C44">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缴纳社会</w:t>
            </w:r>
          </w:p>
          <w:p w14:paraId="3E5D15E7">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保险单位</w:t>
            </w:r>
          </w:p>
        </w:tc>
      </w:tr>
      <w:tr w14:paraId="43BF5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1362" w:type="dxa"/>
            <w:vAlign w:val="center"/>
          </w:tcPr>
          <w:p w14:paraId="545A7A1B">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957" w:type="dxa"/>
            <w:vAlign w:val="center"/>
          </w:tcPr>
          <w:p w14:paraId="0BC86FA3">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法定代表人/单位负责人</w:t>
            </w:r>
          </w:p>
        </w:tc>
        <w:tc>
          <w:tcPr>
            <w:tcW w:w="1429" w:type="dxa"/>
            <w:vAlign w:val="center"/>
          </w:tcPr>
          <w:p w14:paraId="3DA1375B">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7C2D8FBC">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1C25A9BB">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62834277">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3CAB1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1362" w:type="dxa"/>
            <w:vAlign w:val="center"/>
          </w:tcPr>
          <w:p w14:paraId="7C813E63">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957" w:type="dxa"/>
            <w:vAlign w:val="center"/>
          </w:tcPr>
          <w:p w14:paraId="7E5B9014">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主要经营负责人</w:t>
            </w:r>
          </w:p>
        </w:tc>
        <w:tc>
          <w:tcPr>
            <w:tcW w:w="1429" w:type="dxa"/>
            <w:vAlign w:val="center"/>
          </w:tcPr>
          <w:p w14:paraId="2206085E">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26CDDD7F">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2CC3859A">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5612DE90">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4D5D7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59706FE2">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957" w:type="dxa"/>
            <w:vAlign w:val="center"/>
          </w:tcPr>
          <w:p w14:paraId="16797280">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项目投标授权代表人</w:t>
            </w:r>
          </w:p>
        </w:tc>
        <w:tc>
          <w:tcPr>
            <w:tcW w:w="1429" w:type="dxa"/>
            <w:vAlign w:val="center"/>
          </w:tcPr>
          <w:p w14:paraId="222AA7F3">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77534FED">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2AA0816A">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20937148">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1A529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2785E04D">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957" w:type="dxa"/>
            <w:vAlign w:val="center"/>
          </w:tcPr>
          <w:p w14:paraId="2C25A639">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项目负责人</w:t>
            </w:r>
          </w:p>
        </w:tc>
        <w:tc>
          <w:tcPr>
            <w:tcW w:w="1429" w:type="dxa"/>
            <w:vAlign w:val="center"/>
          </w:tcPr>
          <w:p w14:paraId="2135702F">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1C609FA9">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73878568">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481D0013">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44FA9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362" w:type="dxa"/>
            <w:vAlign w:val="center"/>
          </w:tcPr>
          <w:p w14:paraId="7D884FC7">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1957" w:type="dxa"/>
            <w:vAlign w:val="center"/>
          </w:tcPr>
          <w:p w14:paraId="77B19510">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主要技术人员</w:t>
            </w:r>
          </w:p>
        </w:tc>
        <w:tc>
          <w:tcPr>
            <w:tcW w:w="1429" w:type="dxa"/>
            <w:vAlign w:val="center"/>
          </w:tcPr>
          <w:p w14:paraId="2FC4855F">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46849D96">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0C7E6550">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3B294703">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257B7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790D7D74">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1957" w:type="dxa"/>
            <w:vAlign w:val="center"/>
          </w:tcPr>
          <w:p w14:paraId="16235CD1">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投标文件编制人员</w:t>
            </w:r>
          </w:p>
        </w:tc>
        <w:tc>
          <w:tcPr>
            <w:tcW w:w="1429" w:type="dxa"/>
            <w:vAlign w:val="center"/>
          </w:tcPr>
          <w:p w14:paraId="79CAB3DE">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560C0440">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080528B7">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26F2BC68">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1A0B2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231A2BAA">
            <w:pPr>
              <w:keepLines w:val="0"/>
              <w:pageBreakBefore w:val="0"/>
              <w:kinsoku/>
              <w:wordWrap/>
              <w:overflowPunct/>
              <w:topLinePunct w:val="0"/>
              <w:bidi w:val="0"/>
              <w:spacing w:line="560" w:lineRule="exact"/>
              <w:jc w:val="left"/>
              <w:rPr>
                <w:rFonts w:hint="eastAsia" w:ascii="宋体" w:hAnsi="宋体" w:cs="宋体"/>
                <w:color w:val="auto"/>
                <w:szCs w:val="21"/>
                <w:highlight w:val="none"/>
              </w:rPr>
            </w:pPr>
            <w:r>
              <w:rPr>
                <w:rFonts w:hint="eastAsia" w:ascii="宋体" w:hAnsi="宋体" w:cs="宋体"/>
                <w:b/>
                <w:bCs/>
                <w:color w:val="auto"/>
                <w:szCs w:val="21"/>
                <w:highlight w:val="none"/>
              </w:rPr>
              <w:t>说明：同一职务有多人担任（如主要技术人员），应分行填写。</w:t>
            </w:r>
          </w:p>
        </w:tc>
      </w:tr>
      <w:tr w14:paraId="1B24E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1BBC2E7C">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b/>
                <w:bCs/>
                <w:color w:val="auto"/>
                <w:szCs w:val="21"/>
                <w:highlight w:val="none"/>
              </w:rPr>
              <w:t>投标（响应）供应商关联关系情况</w:t>
            </w:r>
          </w:p>
        </w:tc>
      </w:tr>
      <w:tr w14:paraId="62064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10787BEA">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3386" w:type="dxa"/>
            <w:gridSpan w:val="2"/>
            <w:vAlign w:val="center"/>
          </w:tcPr>
          <w:p w14:paraId="4FBAB5F3">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关联关系类型</w:t>
            </w:r>
          </w:p>
        </w:tc>
        <w:tc>
          <w:tcPr>
            <w:tcW w:w="1583" w:type="dxa"/>
            <w:vAlign w:val="center"/>
          </w:tcPr>
          <w:p w14:paraId="42D175C0">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关联主体名称</w:t>
            </w:r>
          </w:p>
        </w:tc>
        <w:tc>
          <w:tcPr>
            <w:tcW w:w="3166" w:type="dxa"/>
            <w:gridSpan w:val="2"/>
            <w:vAlign w:val="center"/>
          </w:tcPr>
          <w:p w14:paraId="74151569">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04108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15EC9BE7">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3386" w:type="dxa"/>
            <w:gridSpan w:val="2"/>
            <w:vAlign w:val="center"/>
          </w:tcPr>
          <w:p w14:paraId="31D45E01">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控股股东</w:t>
            </w:r>
          </w:p>
        </w:tc>
        <w:tc>
          <w:tcPr>
            <w:tcW w:w="1583" w:type="dxa"/>
            <w:vAlign w:val="center"/>
          </w:tcPr>
          <w:p w14:paraId="56532692">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3166" w:type="dxa"/>
            <w:gridSpan w:val="2"/>
            <w:vAlign w:val="center"/>
          </w:tcPr>
          <w:p w14:paraId="4BE4B1DD">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 xml:space="preserve">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 </w:t>
            </w:r>
          </w:p>
          <w:p w14:paraId="18E87A5E">
            <w:pPr>
              <w:keepLines w:val="0"/>
              <w:pageBreakBefore w:val="0"/>
              <w:kinsoku/>
              <w:wordWrap/>
              <w:overflowPunct/>
              <w:topLinePunct w:val="0"/>
              <w:bidi w:val="0"/>
              <w:spacing w:line="560" w:lineRule="exact"/>
              <w:rPr>
                <w:rFonts w:hint="eastAsia" w:ascii="宋体" w:hAnsi="宋体" w:cs="宋体"/>
                <w:color w:val="auto"/>
                <w:szCs w:val="21"/>
                <w:highlight w:val="none"/>
              </w:rPr>
            </w:pPr>
            <w:r>
              <w:rPr>
                <w:rFonts w:hint="eastAsia" w:ascii="宋体" w:hAnsi="宋体" w:cs="宋体"/>
                <w:color w:val="auto"/>
                <w:szCs w:val="21"/>
                <w:highlight w:val="none"/>
              </w:rPr>
              <w:t>影响的股东。</w:t>
            </w:r>
          </w:p>
        </w:tc>
      </w:tr>
      <w:tr w14:paraId="665EF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5D7668D0">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3386" w:type="dxa"/>
            <w:gridSpan w:val="2"/>
            <w:vAlign w:val="center"/>
          </w:tcPr>
          <w:p w14:paraId="57F76186">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管理关系</w:t>
            </w:r>
          </w:p>
        </w:tc>
        <w:tc>
          <w:tcPr>
            <w:tcW w:w="1583" w:type="dxa"/>
            <w:vAlign w:val="center"/>
          </w:tcPr>
          <w:p w14:paraId="20432E68">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3166" w:type="dxa"/>
            <w:gridSpan w:val="2"/>
            <w:vAlign w:val="center"/>
          </w:tcPr>
          <w:p w14:paraId="66BBCBEE">
            <w:pPr>
              <w:keepLines w:val="0"/>
              <w:pageBreakBefore w:val="0"/>
              <w:kinsoku/>
              <w:wordWrap/>
              <w:overflowPunct/>
              <w:topLinePunct w:val="0"/>
              <w:bidi w:val="0"/>
              <w:spacing w:line="560" w:lineRule="exact"/>
              <w:rPr>
                <w:rFonts w:hint="eastAsia" w:ascii="宋体" w:hAnsi="宋体" w:cs="宋体"/>
                <w:color w:val="auto"/>
                <w:szCs w:val="21"/>
                <w:highlight w:val="none"/>
              </w:rPr>
            </w:pPr>
            <w:r>
              <w:rPr>
                <w:rFonts w:hint="eastAsia" w:ascii="宋体" w:hAnsi="宋体" w:eastAsia="宋体" w:cs="宋体"/>
                <w:color w:val="auto"/>
                <w:sz w:val="21"/>
                <w:szCs w:val="21"/>
                <w:highlight w:val="none"/>
                <w:vertAlign w:val="baseline"/>
                <w:lang w:val="en-US" w:eastAsia="zh-CN"/>
              </w:rPr>
              <w:t>指对投标（响应）供应商不具有出资持股关系，但对其存在管理关系的主体。</w:t>
            </w:r>
          </w:p>
        </w:tc>
      </w:tr>
      <w:tr w14:paraId="48C5E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9497" w:type="dxa"/>
            <w:gridSpan w:val="6"/>
            <w:vAlign w:val="center"/>
          </w:tcPr>
          <w:p w14:paraId="3EE60425">
            <w:pPr>
              <w:keepLines w:val="0"/>
              <w:pageBreakBefore w:val="0"/>
              <w:kinsoku/>
              <w:wordWrap/>
              <w:overflowPunct/>
              <w:topLinePunct w:val="0"/>
              <w:bidi w:val="0"/>
              <w:spacing w:line="560" w:lineRule="exact"/>
              <w:jc w:val="left"/>
              <w:rPr>
                <w:rFonts w:hint="eastAsia" w:ascii="宋体" w:hAnsi="宋体" w:cs="宋体"/>
                <w:color w:val="auto"/>
                <w:szCs w:val="21"/>
                <w:highlight w:val="none"/>
              </w:rPr>
            </w:pPr>
            <w:r>
              <w:rPr>
                <w:rFonts w:hint="eastAsia" w:ascii="宋体" w:hAnsi="宋体" w:cs="宋体"/>
                <w:b/>
                <w:bCs/>
                <w:color w:val="auto"/>
                <w:szCs w:val="21"/>
                <w:highlight w:val="none"/>
              </w:rPr>
              <w:t>说明：同一关联关系类型有多个主体的，应分行填写。</w:t>
            </w:r>
          </w:p>
        </w:tc>
      </w:tr>
    </w:tbl>
    <w:p w14:paraId="169B89C0">
      <w:pPr>
        <w:keepLines w:val="0"/>
        <w:pageBreakBefore w:val="0"/>
        <w:kinsoku/>
        <w:wordWrap/>
        <w:overflowPunct/>
        <w:topLinePunct w:val="0"/>
        <w:bidi w:val="0"/>
        <w:spacing w:line="560" w:lineRule="exact"/>
        <w:rPr>
          <w:rFonts w:hint="eastAsia" w:ascii="宋体" w:hAnsi="宋体" w:cs="宋体"/>
          <w:b/>
          <w:bCs/>
          <w:color w:val="auto"/>
          <w:highlight w:val="none"/>
        </w:rPr>
      </w:pPr>
      <w:r>
        <w:rPr>
          <w:rFonts w:hint="eastAsia" w:ascii="宋体" w:hAnsi="宋体" w:cs="宋体"/>
          <w:b/>
          <w:bCs/>
          <w:color w:val="auto"/>
          <w:highlight w:val="none"/>
        </w:rPr>
        <w:t>备注：</w:t>
      </w:r>
    </w:p>
    <w:p w14:paraId="71047082">
      <w:pPr>
        <w:keepLines w:val="0"/>
        <w:pageBreakBefore w:val="0"/>
        <w:kinsoku/>
        <w:wordWrap/>
        <w:overflowPunct/>
        <w:topLinePunct w:val="0"/>
        <w:bidi w:val="0"/>
        <w:spacing w:line="560" w:lineRule="exact"/>
        <w:rPr>
          <w:rFonts w:hint="eastAsia" w:ascii="宋体" w:hAnsi="宋体" w:cs="宋体"/>
          <w:b/>
          <w:bCs/>
          <w:color w:val="auto"/>
          <w:highlight w:val="none"/>
        </w:rPr>
      </w:pPr>
      <w:r>
        <w:rPr>
          <w:rFonts w:hint="eastAsia" w:ascii="宋体" w:hAnsi="宋体" w:cs="宋体"/>
          <w:b/>
          <w:bCs/>
          <w:color w:val="auto"/>
          <w:highlight w:val="none"/>
        </w:rPr>
        <w:t>1.本表中填报的人员姓名、身份证号码、缴纳社会保险单位应与社保证明材料中显示的信息相同。</w:t>
      </w:r>
    </w:p>
    <w:p w14:paraId="7BE82FC5">
      <w:pPr>
        <w:keepLines w:val="0"/>
        <w:pageBreakBefore w:val="0"/>
        <w:kinsoku/>
        <w:wordWrap/>
        <w:overflowPunct/>
        <w:topLinePunct w:val="0"/>
        <w:bidi w:val="0"/>
        <w:spacing w:line="560" w:lineRule="exact"/>
        <w:rPr>
          <w:rFonts w:hint="eastAsia" w:ascii="宋体" w:hAnsi="宋体" w:cs="宋体"/>
          <w:b/>
          <w:bCs/>
          <w:color w:val="auto"/>
          <w:highlight w:val="none"/>
        </w:rPr>
      </w:pPr>
      <w:r>
        <w:rPr>
          <w:rFonts w:hint="eastAsia" w:ascii="宋体" w:hAnsi="宋体" w:cs="宋体"/>
          <w:b/>
          <w:bCs/>
          <w:color w:val="auto"/>
          <w:highlight w:val="none"/>
        </w:rPr>
        <w:t>2.投标（响应）供应商未按要求填报《供应商基本情况表》或未加盖公章或未按要求提供证明材料的，将按投标（响应）无效处理。</w:t>
      </w:r>
    </w:p>
    <w:p w14:paraId="4ACE39CE">
      <w:pPr>
        <w:keepLines w:val="0"/>
        <w:pageBreakBefore w:val="0"/>
        <w:kinsoku/>
        <w:wordWrap/>
        <w:overflowPunct/>
        <w:topLinePunct w:val="0"/>
        <w:bidi w:val="0"/>
        <w:spacing w:line="560" w:lineRule="exact"/>
        <w:rPr>
          <w:rFonts w:hint="eastAsia" w:ascii="宋体" w:hAnsi="宋体" w:cs="宋体"/>
          <w:color w:val="auto"/>
          <w:sz w:val="30"/>
          <w:szCs w:val="30"/>
          <w:highlight w:val="none"/>
        </w:rPr>
      </w:pPr>
      <w:r>
        <w:rPr>
          <w:rFonts w:hint="eastAsia" w:ascii="宋体" w:hAnsi="宋体" w:cs="宋体"/>
          <w:color w:val="auto"/>
          <w:sz w:val="30"/>
          <w:szCs w:val="30"/>
          <w:highlight w:val="none"/>
        </w:rPr>
        <w:br w:type="page"/>
      </w:r>
    </w:p>
    <w:p w14:paraId="31F99780">
      <w:pPr>
        <w:pStyle w:val="3"/>
        <w:keepNext w:val="0"/>
        <w:keepLines w:val="0"/>
        <w:pageBreakBefore w:val="0"/>
        <w:widowControl w:val="0"/>
        <w:kinsoku/>
        <w:wordWrap/>
        <w:overflowPunct/>
        <w:topLinePunct w:val="0"/>
        <w:bidi w:val="0"/>
        <w:adjustRightInd/>
        <w:snapToGrid/>
        <w:spacing w:line="500" w:lineRule="exact"/>
        <w:ind w:left="420" w:hanging="420"/>
        <w:jc w:val="center"/>
        <w:textAlignment w:val="auto"/>
        <w:rPr>
          <w:rFonts w:hint="eastAsia" w:ascii="宋体" w:hAnsi="宋体" w:cs="宋体"/>
          <w:color w:val="auto"/>
          <w:kern w:val="0"/>
          <w:sz w:val="44"/>
          <w:szCs w:val="44"/>
          <w:highlight w:val="none"/>
          <w:lang w:bidi="ar"/>
        </w:rPr>
      </w:pPr>
      <w:bookmarkStart w:id="16" w:name="_Toc14311"/>
      <w:bookmarkStart w:id="17" w:name="_Toc17532"/>
      <w:r>
        <w:rPr>
          <w:rFonts w:hint="eastAsia" w:ascii="宋体" w:hAnsi="宋体" w:cs="宋体"/>
          <w:color w:val="auto"/>
          <w:kern w:val="0"/>
          <w:sz w:val="44"/>
          <w:szCs w:val="44"/>
          <w:highlight w:val="none"/>
          <w:lang w:bidi="ar"/>
        </w:rPr>
        <w:t>提供社会保险证明</w:t>
      </w:r>
      <w:bookmarkEnd w:id="16"/>
      <w:bookmarkEnd w:id="17"/>
    </w:p>
    <w:p w14:paraId="4A3D1128">
      <w:pPr>
        <w:pStyle w:val="26"/>
        <w:keepNext w:val="0"/>
        <w:keepLines w:val="0"/>
        <w:pageBreakBefore w:val="0"/>
        <w:widowControl w:val="0"/>
        <w:kinsoku/>
        <w:wordWrap/>
        <w:overflowPunct/>
        <w:topLinePunct w:val="0"/>
        <w:bidi w:val="0"/>
        <w:adjustRightInd/>
        <w:snapToGrid/>
        <w:spacing w:line="500" w:lineRule="exact"/>
        <w:textAlignment w:val="auto"/>
        <w:rPr>
          <w:color w:val="auto"/>
          <w:highlight w:val="none"/>
        </w:rPr>
      </w:pPr>
    </w:p>
    <w:p w14:paraId="7F8F741C">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提供法定代表人最近一个月的社保证明：</w:t>
      </w:r>
    </w:p>
    <w:p w14:paraId="35137C98">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提供主要经营负责人最近一个月的社保证明：</w:t>
      </w:r>
    </w:p>
    <w:p w14:paraId="328A47E7">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项目投标授权代表人最近一个月的社保证明：</w:t>
      </w:r>
    </w:p>
    <w:p w14:paraId="337C7CE3">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提供项目负责人最近一个月的社保证明（如有）：</w:t>
      </w:r>
    </w:p>
    <w:p w14:paraId="222213C5">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提供主要技术人员最近一个月的社保证明（如有）：</w:t>
      </w:r>
    </w:p>
    <w:p w14:paraId="7263D4C1">
      <w:pPr>
        <w:keepNext w:val="0"/>
        <w:keepLines w:val="0"/>
        <w:pageBreakBefore w:val="0"/>
        <w:widowControl w:val="0"/>
        <w:kinsoku/>
        <w:wordWrap/>
        <w:overflowPunct/>
        <w:topLinePunct w:val="0"/>
        <w:bidi w:val="0"/>
        <w:adjustRightInd/>
        <w:snapToGrid/>
        <w:spacing w:line="500" w:lineRule="exact"/>
        <w:textAlignment w:val="auto"/>
        <w:rPr>
          <w:rFonts w:hint="eastAsia" w:ascii="宋体" w:hAnsi="宋体"/>
          <w:color w:val="auto"/>
          <w:sz w:val="28"/>
          <w:szCs w:val="28"/>
          <w:highlight w:val="none"/>
        </w:rPr>
      </w:pPr>
    </w:p>
    <w:p w14:paraId="3FA6FCEF">
      <w:pPr>
        <w:pStyle w:val="8"/>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color w:val="auto"/>
          <w:sz w:val="28"/>
          <w:szCs w:val="28"/>
          <w:highlight w:val="none"/>
        </w:rPr>
      </w:pPr>
      <w:r>
        <w:rPr>
          <w:rFonts w:hint="eastAsia"/>
          <w:color w:val="auto"/>
          <w:sz w:val="28"/>
          <w:szCs w:val="28"/>
          <w:highlight w:val="none"/>
        </w:rPr>
        <w:t>注：</w:t>
      </w:r>
    </w:p>
    <w:p w14:paraId="09BD7FA8">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1.法定代表人、主要经营负责人、项目投标授权代表人的社会保险未由投标人单位缴纳，亦须提供相应单位为其缴纳的社会保险证明（须体现投标人的单位信息）。</w:t>
      </w:r>
    </w:p>
    <w:p w14:paraId="35DF8CDA">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2.项目负责人和主要技术人员的社会保险须由投标人单位缴纳（须体现投标人的单位信息）。</w:t>
      </w:r>
    </w:p>
    <w:p w14:paraId="246C4421">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3.投标人为新成立企业且成立时间不足一个月可提供加盖投标人公章的情况说明或者证明材料亦视为符合。</w:t>
      </w:r>
    </w:p>
    <w:p w14:paraId="1A20D1F9">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4.由于社保部门或税务部门的原因最近一个月的社保证明无法提供的可往前顺延一个月。</w:t>
      </w:r>
    </w:p>
    <w:p w14:paraId="3A7BD8AF">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5.如依法不需要缴纳社会保险的，应提供相应文件证明；如为退休返聘人员提供退休证明和聘用合同。</w:t>
      </w:r>
    </w:p>
    <w:p w14:paraId="2EC1A156">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6.若因社保部门原因无法提供的，需提供劳动合同及社保部门官方通知证明（或官网公告截图）。</w:t>
      </w:r>
    </w:p>
    <w:p w14:paraId="65E6CCDB">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7.如本项目未安排项目负责人、主要技术人员的，无需提供项目负责人、主要技术人员的社会保险证明。</w:t>
      </w:r>
    </w:p>
    <w:p w14:paraId="5D90A46D">
      <w:pP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br w:type="page"/>
      </w:r>
    </w:p>
    <w:p w14:paraId="09AD85F2">
      <w:pPr>
        <w:keepLines w:val="0"/>
        <w:pageBreakBefore w:val="0"/>
        <w:kinsoku/>
        <w:wordWrap/>
        <w:overflowPunct/>
        <w:topLinePunct w:val="0"/>
        <w:bidi w:val="0"/>
        <w:spacing w:line="560" w:lineRule="exact"/>
        <w:jc w:val="both"/>
        <w:rPr>
          <w:rFonts w:hint="eastAsia" w:ascii="宋体" w:hAnsi="宋体" w:cs="宋体"/>
          <w:b/>
          <w:bCs/>
          <w:color w:val="auto"/>
          <w:sz w:val="44"/>
          <w:szCs w:val="44"/>
          <w:highlight w:val="none"/>
        </w:rPr>
      </w:pPr>
    </w:p>
    <w:p w14:paraId="7007B28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黑体"/>
          <w:color w:val="auto"/>
          <w:sz w:val="32"/>
          <w:szCs w:val="32"/>
          <w:highlight w:val="none"/>
        </w:rPr>
      </w:pPr>
      <w:r>
        <w:rPr>
          <w:rFonts w:hint="eastAsia" w:ascii="宋体" w:hAnsi="宋体" w:cs="宋体"/>
          <w:b/>
          <w:bCs/>
          <w:color w:val="auto"/>
          <w:sz w:val="44"/>
          <w:szCs w:val="44"/>
          <w:highlight w:val="none"/>
        </w:rPr>
        <w:t>政府采购优惠政策（根据实际情况提供）</w:t>
      </w:r>
    </w:p>
    <w:p w14:paraId="418406DA">
      <w:pPr>
        <w:pStyle w:val="4"/>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ascii="黑体" w:hAnsi="黑体" w:eastAsia="黑体" w:cs="黑体"/>
          <w:bCs/>
          <w:color w:val="auto"/>
          <w:sz w:val="28"/>
          <w:szCs w:val="28"/>
          <w:highlight w:val="none"/>
        </w:rPr>
      </w:pPr>
      <w:r>
        <w:rPr>
          <w:rFonts w:ascii="黑体" w:hAnsi="黑体" w:eastAsia="黑体" w:cs="黑体"/>
          <w:color w:val="auto"/>
          <w:sz w:val="28"/>
          <w:szCs w:val="28"/>
          <w:highlight w:val="none"/>
        </w:rPr>
        <w:t>一、投标人情况及资格证明文件</w:t>
      </w:r>
    </w:p>
    <w:p w14:paraId="6235418C">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outlineLvl w:val="3"/>
        <w:rPr>
          <w:rFonts w:hint="eastAsia" w:ascii="楷体" w:hAnsi="楷体" w:eastAsia="楷体" w:cs="楷体"/>
          <w:bCs/>
          <w:color w:val="auto"/>
          <w:sz w:val="28"/>
          <w:szCs w:val="28"/>
          <w:highlight w:val="none"/>
        </w:rPr>
      </w:pPr>
      <w:r>
        <w:rPr>
          <w:rFonts w:hint="eastAsia" w:ascii="楷体" w:hAnsi="楷体" w:eastAsia="楷体" w:cs="楷体"/>
          <w:bCs/>
          <w:color w:val="auto"/>
          <w:sz w:val="28"/>
          <w:szCs w:val="28"/>
          <w:highlight w:val="none"/>
        </w:rPr>
        <w:t>（一）投标人资格证明文件</w:t>
      </w:r>
    </w:p>
    <w:p w14:paraId="396E8F6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eastAsia="仿宋_GB2312"/>
          <w:b/>
          <w:bCs/>
          <w:color w:val="auto"/>
          <w:sz w:val="28"/>
          <w:szCs w:val="28"/>
          <w:highlight w:val="none"/>
        </w:rPr>
      </w:pPr>
      <w:r>
        <w:rPr>
          <w:rFonts w:hint="eastAsia" w:ascii="仿宋_GB2312" w:hAnsi="仿宋_GB2312" w:eastAsia="仿宋_GB2312" w:cs="仿宋_GB2312"/>
          <w:color w:val="auto"/>
          <w:sz w:val="28"/>
          <w:szCs w:val="28"/>
          <w:highlight w:val="none"/>
        </w:rPr>
        <w:t>[特别提示：投标人须按本招标文件第一册第一章招标公告“申请人的资格要求”（即投标人资格要求）提供相关的资格证明资料，未提供或提供不完整、不符合要求的，将作投标无效处理]</w:t>
      </w:r>
    </w:p>
    <w:p w14:paraId="2650C45B">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outlineLvl w:val="3"/>
        <w:rPr>
          <w:rFonts w:hint="eastAsia" w:ascii="楷体" w:hAnsi="楷体" w:eastAsia="楷体" w:cs="楷体"/>
          <w:bCs/>
          <w:color w:val="auto"/>
          <w:sz w:val="28"/>
          <w:szCs w:val="28"/>
          <w:highlight w:val="none"/>
        </w:rPr>
      </w:pPr>
      <w:r>
        <w:rPr>
          <w:rFonts w:hint="eastAsia" w:ascii="楷体" w:hAnsi="楷体" w:eastAsia="楷体" w:cs="楷体"/>
          <w:bCs/>
          <w:color w:val="auto"/>
          <w:sz w:val="28"/>
          <w:szCs w:val="28"/>
          <w:highlight w:val="none"/>
        </w:rPr>
        <w:t>（二）中小企业声明函、残疾人福利性单位声明函及监狱企业声明函</w:t>
      </w:r>
    </w:p>
    <w:p w14:paraId="39148C5B">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填写指引：</w:t>
      </w:r>
    </w:p>
    <w:p w14:paraId="3F22E866">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该部分内容由投标人根据自身实际情况填写，不符合要求的投标人可以不填写或直接删除相应的声明函。投标人提供的声明函不属实的，属于提供虚假资料谋取中标，依照《中华人民共和国政府采购法》等国家有关规定追究相应责任。</w:t>
      </w:r>
    </w:p>
    <w:p w14:paraId="2857CE25">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2.该部分内容填写需要参考的相关文件：</w:t>
      </w:r>
    </w:p>
    <w:p w14:paraId="7BE9A225">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（1）财政部《政府采购促进中小企业发展管理办法》（财库〔2020〕46号）；</w:t>
      </w:r>
    </w:p>
    <w:p w14:paraId="3787B351">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（2）《工业和信息化部、国家统计局、国家发展和改革委员会、财政部关于印发中小企业划型标准规定的通知》（工信部联企业〔2011〕300号，以下简称300号文）；</w:t>
      </w:r>
    </w:p>
    <w:p w14:paraId="7AA21088">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（3）《政府采购促进中小企业发展管理办法》（财库〔2020〕46号）；</w:t>
      </w:r>
    </w:p>
    <w:p w14:paraId="13760C0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（4）《关于印发中小企业划型标准规定的通知》（工信部联企业〔2011〕300号）；</w:t>
      </w:r>
    </w:p>
    <w:p w14:paraId="3F1148C1">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color w:val="auto"/>
          <w:sz w:val="28"/>
          <w:szCs w:val="28"/>
          <w:highlight w:val="none"/>
        </w:rPr>
      </w:pPr>
      <w:r>
        <w:rPr>
          <w:rFonts w:hint="eastAsia" w:ascii="仿宋_GB2312" w:hAnsi="仿宋_GB2312" w:eastAsia="仿宋_GB2312" w:cs="仿宋_GB2312"/>
          <w:color w:val="auto"/>
          <w:sz w:val="28"/>
          <w:szCs w:val="28"/>
          <w:highlight w:val="none"/>
        </w:rPr>
        <w:t>（5）《统计上大中小微型企业划分办法（2017）》（国统字〔2017〕213号）；</w:t>
      </w:r>
    </w:p>
    <w:p w14:paraId="37104022">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（6）《关于促进残疾人就业政府采购政策的通知》（财库〔2017〕141号）；</w:t>
      </w:r>
    </w:p>
    <w:p w14:paraId="182C392F">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（7）《关于政府采购支持监狱企业发展有关问题的通知》（财库〔2014〕68号）。</w:t>
      </w:r>
    </w:p>
    <w:p w14:paraId="275712DA">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3.请依照提供的格式和内容填写声明函，不要随意变更格式；声明函不需要盖章或签字；满足多项优惠政策的投标人，不重复享受多项价格扣除政策。</w:t>
      </w:r>
    </w:p>
    <w:p w14:paraId="3E1CAB61">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4.声明函具体填写要求：</w:t>
      </w:r>
    </w:p>
    <w:p w14:paraId="21526F3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（1）声明是中小企业须填写《中小企业声明函》的以下内容：</w:t>
      </w:r>
    </w:p>
    <w:p w14:paraId="574F149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第一处，在“单位名称”下划线处如实填写采购人名称（深圳公共资源交易中心不是本项目的采购人，而是组织实施机构）；</w:t>
      </w:r>
    </w:p>
    <w:p w14:paraId="7EE9772B">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第二处，在“项目名称”下划线处如实填写采购项目名称；</w:t>
      </w:r>
    </w:p>
    <w:p w14:paraId="4929898E">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第三处，在“标的名称”下划线处填写所采购货物（标的）的具体名称；如果涉及多项货物（标的）为同一企业制造，“标的名称”下划线处可以如实填写多项货物；</w:t>
      </w:r>
    </w:p>
    <w:p w14:paraId="61991593">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第四处，在“招标文件中明确的所属行业”下划线处填写采购标的对应的中小企业划分标准所属行业；</w:t>
      </w:r>
    </w:p>
    <w:p w14:paraId="00223665">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w:t>
      </w:r>
    </w:p>
    <w:p w14:paraId="6AA90567">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（2）声明：残疾人福利性单位须填写《残疾人福利性单位声明函》的相关内容，具体参照以上《中小企业声明函》填写要求执行。</w:t>
      </w:r>
    </w:p>
    <w:p w14:paraId="4E915EE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（3）声明：监狱企业须填写《监狱企业声明函》的三项内容（填写位置的字体已加粗），具体参照以上《中小企业声明函》填写要求执行。</w:t>
      </w:r>
    </w:p>
    <w:p w14:paraId="3FE5D2A1">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5.声明函的有效性最终由评审委员会判定；如评审委员会判定声明函无效，相关供应商不享受价格扣除（但不作投标无效处理）。</w:t>
      </w:r>
    </w:p>
    <w:p w14:paraId="7CC7B379">
      <w:pPr>
        <w:pStyle w:val="4"/>
        <w:keepLines w:val="0"/>
        <w:pageBreakBefore w:val="0"/>
        <w:kinsoku/>
        <w:wordWrap/>
        <w:overflowPunct/>
        <w:topLinePunct w:val="0"/>
        <w:bidi w:val="0"/>
        <w:spacing w:beforeAutospacing="0" w:afterAutospacing="0" w:line="560" w:lineRule="exact"/>
        <w:ind w:firstLine="560" w:firstLineChars="200"/>
        <w:jc w:val="both"/>
        <w:rPr>
          <w:rFonts w:ascii="黑体" w:hAnsi="黑体" w:eastAsia="黑体" w:cs="黑体"/>
          <w:color w:val="auto"/>
          <w:sz w:val="28"/>
          <w:szCs w:val="28"/>
          <w:highlight w:val="none"/>
        </w:rPr>
      </w:pPr>
    </w:p>
    <w:p w14:paraId="5B094DEB">
      <w:pPr>
        <w:pStyle w:val="4"/>
        <w:keepLines w:val="0"/>
        <w:pageBreakBefore w:val="0"/>
        <w:kinsoku/>
        <w:wordWrap/>
        <w:overflowPunct/>
        <w:topLinePunct w:val="0"/>
        <w:bidi w:val="0"/>
        <w:spacing w:beforeAutospacing="0" w:afterAutospacing="0" w:line="560" w:lineRule="exact"/>
        <w:jc w:val="both"/>
        <w:rPr>
          <w:rFonts w:hint="eastAsia"/>
          <w:b/>
          <w:color w:val="auto"/>
          <w:sz w:val="36"/>
          <w:szCs w:val="36"/>
          <w:highlight w:val="none"/>
        </w:rPr>
      </w:pPr>
      <w:r>
        <w:rPr>
          <w:rFonts w:ascii="黑体" w:hAnsi="黑体" w:eastAsia="黑体" w:cs="黑体"/>
          <w:color w:val="auto"/>
          <w:sz w:val="28"/>
          <w:szCs w:val="28"/>
          <w:highlight w:val="none"/>
        </w:rPr>
        <w:t>二、相关模板</w:t>
      </w:r>
    </w:p>
    <w:p w14:paraId="77543313">
      <w:pPr>
        <w:pStyle w:val="6"/>
        <w:keepLines w:val="0"/>
        <w:pageBreakBefore w:val="0"/>
        <w:kinsoku/>
        <w:wordWrap/>
        <w:overflowPunct/>
        <w:topLinePunct w:val="0"/>
        <w:bidi w:val="0"/>
        <w:adjustRightInd w:val="0"/>
        <w:snapToGrid w:val="0"/>
        <w:spacing w:line="560" w:lineRule="exact"/>
        <w:ind w:firstLine="0"/>
        <w:jc w:val="center"/>
        <w:outlineLvl w:val="3"/>
        <w:rPr>
          <w:rFonts w:hint="eastAsia" w:ascii="仿宋_GB2312" w:hAnsi="仿宋_GB2312" w:eastAsia="仿宋_GB2312" w:cs="仿宋_GB2312"/>
          <w:b/>
          <w:color w:val="auto"/>
          <w:kern w:val="2"/>
          <w:sz w:val="36"/>
          <w:szCs w:val="36"/>
          <w:highlight w:val="none"/>
          <w:lang w:val="en-US" w:eastAsia="zh-CN" w:bidi="ar-SA"/>
        </w:rPr>
      </w:pPr>
      <w:r>
        <w:rPr>
          <w:rFonts w:hint="eastAsia" w:ascii="仿宋_GB2312" w:hAnsi="仿宋_GB2312" w:eastAsia="仿宋_GB2312" w:cs="仿宋_GB2312"/>
          <w:b/>
          <w:color w:val="auto"/>
          <w:kern w:val="2"/>
          <w:sz w:val="36"/>
          <w:szCs w:val="36"/>
          <w:highlight w:val="none"/>
          <w:lang w:val="en-US" w:eastAsia="zh-CN" w:bidi="ar-SA"/>
        </w:rPr>
        <w:t>（一）中小企业声明函</w:t>
      </w:r>
    </w:p>
    <w:p w14:paraId="4BB17519">
      <w:pPr>
        <w:pStyle w:val="8"/>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本公司（联合体）郑重声明，根据《政府采购促进中小企业发展管理办法》（财库﹝2020﹞46号）的规定，本公司（联合体）参加（单位名称）的（项目名称）采购活动，提供的货物全部由符合政策要求的中小企业制造。相关企业（含联合体中的中小企业、签订分包意向协议的中小企业）的具体情况如下：</w:t>
      </w:r>
    </w:p>
    <w:p w14:paraId="5E69EE50">
      <w:pPr>
        <w:pStyle w:val="8"/>
        <w:keepLines w:val="0"/>
        <w:pageBreakBefore w:val="0"/>
        <w:kinsoku/>
        <w:wordWrap/>
        <w:overflowPunct/>
        <w:topLinePunct w:val="0"/>
        <w:bidi w:val="0"/>
        <w:spacing w:line="560" w:lineRule="exact"/>
        <w:ind w:firstLine="64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 xml:space="preserve"> 1.</w:t>
      </w:r>
      <w:r>
        <w:rPr>
          <w:rFonts w:hint="eastAsia" w:ascii="仿宋_GB2312" w:hAnsi="仿宋_GB2312" w:eastAsia="仿宋_GB2312" w:cs="仿宋_GB2312"/>
          <w:color w:val="auto"/>
          <w:kern w:val="2"/>
          <w:sz w:val="28"/>
          <w:szCs w:val="28"/>
          <w:highlight w:val="none"/>
          <w:u w:val="single"/>
          <w:lang w:val="en-US" w:eastAsia="zh-CN" w:bidi="ar-SA"/>
        </w:rPr>
        <w:t xml:space="preserve"> （采购标的名称）</w:t>
      </w:r>
      <w:r>
        <w:rPr>
          <w:rFonts w:hint="eastAsia" w:ascii="仿宋_GB2312" w:hAnsi="仿宋_GB2312" w:eastAsia="仿宋_GB2312" w:cs="仿宋_GB2312"/>
          <w:color w:val="auto"/>
          <w:kern w:val="2"/>
          <w:sz w:val="28"/>
          <w:szCs w:val="28"/>
          <w:highlight w:val="none"/>
          <w:lang w:val="en-US" w:eastAsia="zh-CN" w:bidi="ar-SA"/>
        </w:rPr>
        <w:t>，属于</w:t>
      </w:r>
      <w:r>
        <w:rPr>
          <w:rFonts w:hint="eastAsia" w:ascii="仿宋_GB2312" w:hAnsi="仿宋_GB2312" w:eastAsia="仿宋_GB2312" w:cs="仿宋_GB2312"/>
          <w:color w:val="auto"/>
          <w:kern w:val="2"/>
          <w:sz w:val="28"/>
          <w:szCs w:val="28"/>
          <w:highlight w:val="none"/>
          <w:u w:val="single"/>
          <w:lang w:val="en-US" w:eastAsia="zh-CN" w:bidi="ar-SA"/>
        </w:rPr>
        <w:t xml:space="preserve"> 工业 </w:t>
      </w:r>
      <w:r>
        <w:rPr>
          <w:rFonts w:hint="eastAsia" w:ascii="仿宋_GB2312" w:hAnsi="仿宋_GB2312" w:eastAsia="仿宋_GB2312" w:cs="仿宋_GB2312"/>
          <w:color w:val="auto"/>
          <w:kern w:val="2"/>
          <w:sz w:val="28"/>
          <w:szCs w:val="28"/>
          <w:highlight w:val="none"/>
          <w:lang w:val="en-US" w:eastAsia="zh-CN" w:bidi="ar-SA"/>
        </w:rPr>
        <w:t>行业；制造商为</w:t>
      </w:r>
      <w:r>
        <w:rPr>
          <w:rFonts w:hint="eastAsia" w:ascii="仿宋_GB2312" w:hAnsi="仿宋_GB2312" w:eastAsia="仿宋_GB2312" w:cs="仿宋_GB2312"/>
          <w:color w:val="auto"/>
          <w:kern w:val="2"/>
          <w:sz w:val="28"/>
          <w:szCs w:val="28"/>
          <w:highlight w:val="none"/>
          <w:u w:val="single"/>
          <w:lang w:val="en-US" w:eastAsia="zh-CN" w:bidi="ar-SA"/>
        </w:rPr>
        <w:t>（企业名称）</w:t>
      </w:r>
      <w:r>
        <w:rPr>
          <w:rFonts w:hint="eastAsia" w:ascii="仿宋_GB2312" w:hAnsi="仿宋_GB2312" w:eastAsia="仿宋_GB2312" w:cs="仿宋_GB2312"/>
          <w:color w:val="auto"/>
          <w:kern w:val="2"/>
          <w:sz w:val="28"/>
          <w:szCs w:val="28"/>
          <w:highlight w:val="none"/>
          <w:lang w:val="en-US" w:eastAsia="zh-CN" w:bidi="ar-SA"/>
        </w:rPr>
        <w:t>，从业人员</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u w:val="single"/>
          <w:lang w:val="en-US" w:eastAsia="zh-CN" w:bidi="ar-SA"/>
        </w:rPr>
        <w:tab/>
      </w:r>
      <w:r>
        <w:rPr>
          <w:rFonts w:hint="eastAsia" w:ascii="仿宋_GB2312" w:hAnsi="仿宋_GB2312" w:eastAsia="仿宋_GB2312" w:cs="仿宋_GB2312"/>
          <w:color w:val="auto"/>
          <w:kern w:val="2"/>
          <w:sz w:val="28"/>
          <w:szCs w:val="28"/>
          <w:highlight w:val="none"/>
          <w:lang w:val="en-US" w:eastAsia="zh-CN" w:bidi="ar-SA"/>
        </w:rPr>
        <w:t>人，营业收入为</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u w:val="single"/>
          <w:lang w:val="en-US" w:eastAsia="zh-CN" w:bidi="ar-SA"/>
        </w:rPr>
        <w:tab/>
      </w:r>
      <w:r>
        <w:rPr>
          <w:rFonts w:hint="eastAsia" w:ascii="仿宋_GB2312" w:hAnsi="仿宋_GB2312" w:eastAsia="仿宋_GB2312" w:cs="仿宋_GB2312"/>
          <w:color w:val="auto"/>
          <w:kern w:val="2"/>
          <w:sz w:val="28"/>
          <w:szCs w:val="28"/>
          <w:highlight w:val="none"/>
          <w:lang w:val="en-US" w:eastAsia="zh-CN" w:bidi="ar-SA"/>
        </w:rPr>
        <w:t>万元，资产总额为</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u w:val="single"/>
          <w:lang w:val="en-US" w:eastAsia="zh-CN" w:bidi="ar-SA"/>
        </w:rPr>
        <w:tab/>
      </w:r>
      <w:r>
        <w:rPr>
          <w:rFonts w:hint="eastAsia" w:ascii="仿宋_GB2312" w:hAnsi="仿宋_GB2312" w:eastAsia="仿宋_GB2312" w:cs="仿宋_GB2312"/>
          <w:color w:val="auto"/>
          <w:kern w:val="2"/>
          <w:sz w:val="28"/>
          <w:szCs w:val="28"/>
          <w:highlight w:val="none"/>
          <w:lang w:val="en-US" w:eastAsia="zh-CN" w:bidi="ar-SA"/>
        </w:rPr>
        <w:t>万元，属于</w:t>
      </w:r>
      <w:r>
        <w:rPr>
          <w:rFonts w:hint="eastAsia" w:ascii="仿宋_GB2312" w:hAnsi="仿宋_GB2312" w:eastAsia="仿宋_GB2312" w:cs="仿宋_GB2312"/>
          <w:color w:val="auto"/>
          <w:kern w:val="2"/>
          <w:sz w:val="28"/>
          <w:szCs w:val="28"/>
          <w:highlight w:val="none"/>
          <w:u w:val="single"/>
          <w:lang w:val="en-US" w:eastAsia="zh-CN" w:bidi="ar-SA"/>
        </w:rPr>
        <w:t>（中型企业、小型企业、微型企业）</w:t>
      </w:r>
      <w:r>
        <w:rPr>
          <w:rFonts w:hint="eastAsia" w:ascii="仿宋_GB2312" w:hAnsi="仿宋_GB2312" w:eastAsia="仿宋_GB2312" w:cs="仿宋_GB2312"/>
          <w:color w:val="auto"/>
          <w:kern w:val="2"/>
          <w:sz w:val="28"/>
          <w:szCs w:val="28"/>
          <w:highlight w:val="none"/>
          <w:lang w:val="en-US" w:eastAsia="zh-CN" w:bidi="ar-SA"/>
        </w:rPr>
        <w:t>；</w:t>
      </w:r>
    </w:p>
    <w:p w14:paraId="777F62AE">
      <w:pPr>
        <w:pStyle w:val="8"/>
        <w:keepLines w:val="0"/>
        <w:pageBreakBefore w:val="0"/>
        <w:kinsoku/>
        <w:wordWrap/>
        <w:overflowPunct/>
        <w:topLinePunct w:val="0"/>
        <w:bidi w:val="0"/>
        <w:spacing w:line="560" w:lineRule="exact"/>
        <w:ind w:firstLine="645"/>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以上企业，不属于大企业的分支机构，不存在控股股东为大企业的情形，也不存在与大企业的负责人为同一人的情形。</w:t>
      </w:r>
    </w:p>
    <w:p w14:paraId="1AA11AD4">
      <w:pPr>
        <w:pStyle w:val="8"/>
        <w:keepLines w:val="0"/>
        <w:pageBreakBefore w:val="0"/>
        <w:kinsoku/>
        <w:wordWrap/>
        <w:overflowPunct/>
        <w:topLinePunct w:val="0"/>
        <w:bidi w:val="0"/>
        <w:spacing w:line="560" w:lineRule="exact"/>
        <w:ind w:firstLine="645"/>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本企业对上述声明内容的真实性负责。如有虚假，将依法承担相应责任。</w:t>
      </w:r>
    </w:p>
    <w:p w14:paraId="1D2C506F">
      <w:pPr>
        <w:pStyle w:val="8"/>
        <w:keepLines w:val="0"/>
        <w:pageBreakBefore w:val="0"/>
        <w:kinsoku/>
        <w:wordWrap/>
        <w:overflowPunct/>
        <w:topLinePunct w:val="0"/>
        <w:bidi w:val="0"/>
        <w:spacing w:line="560" w:lineRule="exact"/>
        <w:ind w:firstLine="645"/>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 xml:space="preserve">                                  </w:t>
      </w:r>
    </w:p>
    <w:p w14:paraId="3C743B6D">
      <w:pPr>
        <w:pStyle w:val="8"/>
        <w:keepLines w:val="0"/>
        <w:pageBreakBefore w:val="0"/>
        <w:kinsoku/>
        <w:wordWrap/>
        <w:overflowPunct/>
        <w:topLinePunct w:val="0"/>
        <w:bidi w:val="0"/>
        <w:spacing w:line="560" w:lineRule="exact"/>
        <w:ind w:firstLine="645"/>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 xml:space="preserve">                                      企业名称（盖章）：</w:t>
      </w:r>
    </w:p>
    <w:p w14:paraId="06F4F834">
      <w:pPr>
        <w:pStyle w:val="8"/>
        <w:keepLines w:val="0"/>
        <w:pageBreakBefore w:val="0"/>
        <w:kinsoku/>
        <w:wordWrap/>
        <w:overflowPunct/>
        <w:topLinePunct w:val="0"/>
        <w:bidi w:val="0"/>
        <w:spacing w:line="560" w:lineRule="exact"/>
        <w:ind w:firstLine="645"/>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 xml:space="preserve">                                      日期：</w:t>
      </w:r>
    </w:p>
    <w:p w14:paraId="6403B0CC">
      <w:pPr>
        <w:keepLines w:val="0"/>
        <w:pageBreakBefore w:val="0"/>
        <w:kinsoku/>
        <w:wordWrap/>
        <w:overflowPunct/>
        <w:topLinePunct w:val="0"/>
        <w:bidi w:val="0"/>
        <w:spacing w:line="560" w:lineRule="exact"/>
        <w:jc w:val="left"/>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从业人员、营业收入、资产总额填报上一年度数据，无上一年度数据的新成立企业可不填报。</w:t>
      </w:r>
    </w:p>
    <w:p w14:paraId="1F218C7C">
      <w:pPr>
        <w:pStyle w:val="8"/>
        <w:keepLines w:val="0"/>
        <w:pageBreakBefore w:val="0"/>
        <w:kinsoku/>
        <w:wordWrap/>
        <w:overflowPunct/>
        <w:topLinePunct w:val="0"/>
        <w:bidi w:val="0"/>
        <w:spacing w:line="560" w:lineRule="exact"/>
        <w:rPr>
          <w:rFonts w:hint="eastAsia"/>
          <w:color w:val="auto"/>
          <w:highlight w:val="none"/>
        </w:rPr>
      </w:pPr>
    </w:p>
    <w:p w14:paraId="2BBB8C4D">
      <w:pPr>
        <w:pStyle w:val="8"/>
        <w:keepLines w:val="0"/>
        <w:pageBreakBefore w:val="0"/>
        <w:kinsoku/>
        <w:wordWrap/>
        <w:overflowPunct/>
        <w:topLinePunct w:val="0"/>
        <w:bidi w:val="0"/>
        <w:spacing w:line="560" w:lineRule="exact"/>
        <w:rPr>
          <w:rFonts w:hint="eastAsia"/>
          <w:color w:val="auto"/>
          <w:highlight w:val="none"/>
        </w:rPr>
      </w:pPr>
    </w:p>
    <w:p w14:paraId="49C97EF4">
      <w:pPr>
        <w:pStyle w:val="8"/>
        <w:keepLines w:val="0"/>
        <w:pageBreakBefore w:val="0"/>
        <w:kinsoku/>
        <w:wordWrap/>
        <w:overflowPunct/>
        <w:topLinePunct w:val="0"/>
        <w:bidi w:val="0"/>
        <w:spacing w:line="560" w:lineRule="exact"/>
        <w:rPr>
          <w:rFonts w:hint="eastAsia"/>
          <w:color w:val="auto"/>
          <w:highlight w:val="none"/>
        </w:rPr>
      </w:pPr>
    </w:p>
    <w:p w14:paraId="7F6A1939">
      <w:pPr>
        <w:spacing w:line="560" w:lineRule="exact"/>
        <w:rPr>
          <w:rFonts w:hint="eastAsia"/>
          <w:color w:val="auto"/>
          <w:highlight w:val="none"/>
        </w:rPr>
      </w:pPr>
    </w:p>
    <w:p w14:paraId="17A80113">
      <w:pPr>
        <w:keepLines w:val="0"/>
        <w:pageBreakBefore w:val="0"/>
        <w:kinsoku/>
        <w:wordWrap/>
        <w:overflowPunct/>
        <w:topLinePunct w:val="0"/>
        <w:bidi w:val="0"/>
        <w:spacing w:line="560" w:lineRule="exact"/>
        <w:jc w:val="center"/>
        <w:rPr>
          <w:b/>
          <w:color w:val="auto"/>
          <w:sz w:val="36"/>
          <w:szCs w:val="36"/>
          <w:highlight w:val="none"/>
        </w:rPr>
      </w:pPr>
      <w:r>
        <w:rPr>
          <w:rFonts w:hint="eastAsia"/>
          <w:b/>
          <w:color w:val="auto"/>
          <w:sz w:val="36"/>
          <w:szCs w:val="36"/>
          <w:highlight w:val="none"/>
        </w:rPr>
        <w:t>（二）残疾人福利性单位声明函</w:t>
      </w:r>
    </w:p>
    <w:p w14:paraId="25921CCE">
      <w:pPr>
        <w:keepLines w:val="0"/>
        <w:pageBreakBefore w:val="0"/>
        <w:kinsoku/>
        <w:wordWrap/>
        <w:overflowPunct/>
        <w:topLinePunct w:val="0"/>
        <w:bidi w:val="0"/>
        <w:spacing w:line="560" w:lineRule="exact"/>
        <w:ind w:firstLine="640" w:firstLineChars="200"/>
        <w:jc w:val="left"/>
        <w:rPr>
          <w:rFonts w:hint="eastAsia" w:ascii="仿宋_GB2312" w:hAnsi="仿宋_GB2312" w:eastAsia="仿宋_GB2312" w:cs="仿宋_GB2312"/>
          <w:color w:val="auto"/>
          <w:sz w:val="32"/>
          <w:szCs w:val="32"/>
          <w:highlight w:val="none"/>
        </w:rPr>
      </w:pPr>
    </w:p>
    <w:p w14:paraId="07F2C5EB">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本单位知悉《促进残疾人就业政府采购政策的通知》（财库〔2017〕141号）的规定，承诺提供的声明函内容是真实的，如提供声明函内容不实，则依法追究相关法律责任。</w:t>
      </w:r>
    </w:p>
    <w:p w14:paraId="4B1633E5">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DC26889">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本单位对上述声明的真实性负责。如有虚假，将依法承担相应责任。</w:t>
      </w:r>
    </w:p>
    <w:p w14:paraId="76A8D23F">
      <w:pPr>
        <w:pStyle w:val="8"/>
        <w:keepLines w:val="0"/>
        <w:pageBreakBefore w:val="0"/>
        <w:tabs>
          <w:tab w:val="left" w:pos="562"/>
          <w:tab w:val="left" w:pos="3372"/>
          <w:tab w:val="left" w:pos="3653"/>
        </w:tabs>
        <w:kinsoku/>
        <w:wordWrap/>
        <w:overflowPunct/>
        <w:topLinePunct w:val="0"/>
        <w:bidi w:val="0"/>
        <w:spacing w:line="560" w:lineRule="exact"/>
        <w:rPr>
          <w:rFonts w:hint="eastAsia" w:ascii="仿宋_GB2312" w:hAnsi="仿宋_GB2312" w:eastAsia="仿宋_GB2312" w:cs="仿宋_GB2312"/>
          <w:color w:val="auto"/>
          <w:sz w:val="28"/>
          <w:szCs w:val="28"/>
          <w:highlight w:val="none"/>
        </w:rPr>
      </w:pPr>
    </w:p>
    <w:p w14:paraId="50F86ABC">
      <w:pPr>
        <w:keepLines w:val="0"/>
        <w:pageBreakBefore w:val="0"/>
        <w:kinsoku/>
        <w:wordWrap/>
        <w:overflowPunct/>
        <w:topLinePunct w:val="0"/>
        <w:bidi w:val="0"/>
        <w:spacing w:line="560" w:lineRule="exact"/>
        <w:rPr>
          <w:color w:val="auto"/>
          <w:sz w:val="28"/>
          <w:szCs w:val="28"/>
          <w:highlight w:val="none"/>
        </w:rPr>
      </w:pPr>
    </w:p>
    <w:p w14:paraId="4451D9C0">
      <w:pPr>
        <w:keepLines w:val="0"/>
        <w:pageBreakBefore w:val="0"/>
        <w:kinsoku/>
        <w:wordWrap/>
        <w:overflowPunct/>
        <w:topLinePunct w:val="0"/>
        <w:bidi w:val="0"/>
        <w:spacing w:line="560" w:lineRule="exact"/>
        <w:ind w:firstLine="3920" w:firstLineChars="14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单位名称（盖章）：</w:t>
      </w:r>
    </w:p>
    <w:p w14:paraId="491EE6AF">
      <w:pPr>
        <w:keepLines w:val="0"/>
        <w:pageBreakBefore w:val="0"/>
        <w:kinsoku/>
        <w:wordWrap/>
        <w:overflowPunct/>
        <w:topLinePunct w:val="0"/>
        <w:bidi w:val="0"/>
        <w:spacing w:line="560" w:lineRule="exact"/>
        <w:ind w:firstLine="3920" w:firstLineChars="14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日  期：</w:t>
      </w:r>
    </w:p>
    <w:p w14:paraId="29DA8380">
      <w:pPr>
        <w:keepLines w:val="0"/>
        <w:pageBreakBefore w:val="0"/>
        <w:kinsoku/>
        <w:wordWrap/>
        <w:overflowPunct/>
        <w:topLinePunct w:val="0"/>
        <w:bidi w:val="0"/>
        <w:spacing w:line="560" w:lineRule="exact"/>
        <w:rPr>
          <w:rFonts w:hint="eastAsia" w:ascii="仿宋_GB2312" w:hAnsi="仿宋_GB2312" w:eastAsia="仿宋_GB2312" w:cs="仿宋_GB2312"/>
          <w:color w:val="auto"/>
          <w:sz w:val="32"/>
          <w:szCs w:val="32"/>
          <w:highlight w:val="none"/>
        </w:rPr>
      </w:pPr>
    </w:p>
    <w:p w14:paraId="51763E87">
      <w:pPr>
        <w:pStyle w:val="3"/>
        <w:spacing w:line="560" w:lineRule="exact"/>
        <w:rPr>
          <w:rFonts w:hint="eastAsia" w:ascii="仿宋_GB2312" w:hAnsi="仿宋_GB2312" w:eastAsia="仿宋_GB2312" w:cs="仿宋_GB2312"/>
          <w:color w:val="auto"/>
          <w:sz w:val="32"/>
          <w:szCs w:val="32"/>
          <w:highlight w:val="none"/>
        </w:rPr>
      </w:pPr>
    </w:p>
    <w:p w14:paraId="4B0F491F">
      <w:pPr>
        <w:spacing w:line="560" w:lineRule="exact"/>
        <w:rPr>
          <w:rFonts w:hint="eastAsia" w:ascii="仿宋_GB2312" w:hAnsi="仿宋_GB2312" w:eastAsia="仿宋_GB2312" w:cs="仿宋_GB2312"/>
          <w:color w:val="auto"/>
          <w:sz w:val="32"/>
          <w:szCs w:val="32"/>
          <w:highlight w:val="none"/>
        </w:rPr>
      </w:pPr>
    </w:p>
    <w:p w14:paraId="5413F9AA">
      <w:pPr>
        <w:spacing w:line="560" w:lineRule="exact"/>
        <w:rPr>
          <w:rFonts w:hint="eastAsia" w:ascii="仿宋_GB2312" w:hAnsi="仿宋_GB2312" w:eastAsia="仿宋_GB2312" w:cs="仿宋_GB2312"/>
          <w:color w:val="auto"/>
          <w:sz w:val="32"/>
          <w:szCs w:val="32"/>
          <w:highlight w:val="none"/>
        </w:rPr>
      </w:pPr>
    </w:p>
    <w:p w14:paraId="64FB8A36">
      <w:pPr>
        <w:spacing w:line="560" w:lineRule="exact"/>
        <w:rPr>
          <w:rFonts w:hint="eastAsia" w:ascii="仿宋_GB2312" w:hAnsi="仿宋_GB2312" w:eastAsia="仿宋_GB2312" w:cs="仿宋_GB2312"/>
          <w:color w:val="auto"/>
          <w:sz w:val="32"/>
          <w:szCs w:val="32"/>
          <w:highlight w:val="none"/>
        </w:rPr>
      </w:pPr>
    </w:p>
    <w:p w14:paraId="5D9480A1">
      <w:pPr>
        <w:spacing w:line="560" w:lineRule="exact"/>
        <w:rPr>
          <w:rFonts w:hint="eastAsia" w:ascii="仿宋_GB2312" w:hAnsi="仿宋_GB2312" w:eastAsia="仿宋_GB2312" w:cs="仿宋_GB2312"/>
          <w:color w:val="auto"/>
          <w:sz w:val="32"/>
          <w:szCs w:val="32"/>
          <w:highlight w:val="none"/>
        </w:rPr>
      </w:pPr>
    </w:p>
    <w:p w14:paraId="02EC9A7C">
      <w:pPr>
        <w:pStyle w:val="3"/>
        <w:spacing w:line="560" w:lineRule="exact"/>
        <w:rPr>
          <w:rFonts w:hint="eastAsia"/>
          <w:color w:val="auto"/>
          <w:highlight w:val="none"/>
        </w:rPr>
      </w:pPr>
    </w:p>
    <w:p w14:paraId="2DBFF3AF">
      <w:pPr>
        <w:keepLines w:val="0"/>
        <w:pageBreakBefore w:val="0"/>
        <w:numPr>
          <w:ilvl w:val="0"/>
          <w:numId w:val="3"/>
        </w:numPr>
        <w:kinsoku/>
        <w:wordWrap/>
        <w:overflowPunct/>
        <w:topLinePunct w:val="0"/>
        <w:bidi w:val="0"/>
        <w:spacing w:line="560" w:lineRule="exact"/>
        <w:jc w:val="center"/>
        <w:rPr>
          <w:b/>
          <w:color w:val="auto"/>
          <w:sz w:val="36"/>
          <w:szCs w:val="36"/>
          <w:highlight w:val="none"/>
        </w:rPr>
      </w:pPr>
      <w:r>
        <w:rPr>
          <w:rFonts w:hint="eastAsia"/>
          <w:b/>
          <w:color w:val="auto"/>
          <w:sz w:val="36"/>
          <w:szCs w:val="36"/>
          <w:highlight w:val="none"/>
        </w:rPr>
        <w:t>监狱企业声明函</w:t>
      </w:r>
    </w:p>
    <w:p w14:paraId="2D5E8C1A">
      <w:pPr>
        <w:pStyle w:val="8"/>
        <w:keepLines w:val="0"/>
        <w:pageBreakBefore w:val="0"/>
        <w:kinsoku/>
        <w:wordWrap/>
        <w:overflowPunct/>
        <w:topLinePunct w:val="0"/>
        <w:bidi w:val="0"/>
        <w:spacing w:line="560" w:lineRule="exact"/>
        <w:rPr>
          <w:rFonts w:hint="eastAsia"/>
          <w:color w:val="auto"/>
          <w:highlight w:val="none"/>
        </w:rPr>
      </w:pPr>
    </w:p>
    <w:p w14:paraId="51DDAB92">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本单位郑重声明，根据《财政部司法部关于政府采购支持监狱企业发展有关问题的通知》（财库〔2014〕68号）的规定，本单位为符合条件的监狱企业，且本单位参加（采购单位名称） 单位的（采购项目名称）项目采购活动，并提供：□本单位制造的货物；□由本单位承担的工程、提供服务；□提供其他监狱企业制造的货物（承诺人在□处打√）。本条所称货物是指单一产品采购项目中的货物，或者非单一产品采购项目中的核心产品（货物）。</w:t>
      </w:r>
    </w:p>
    <w:p w14:paraId="32D12619">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本单位对上述声明的真实性负责。如有虚假，将依法承担相应责任。</w:t>
      </w:r>
    </w:p>
    <w:p w14:paraId="52E3C241">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附：省级以上监狱管理局、戒毒管理局（含新疆生产建设兵团）出具的监狱企业证明文件。</w:t>
      </w:r>
    </w:p>
    <w:p w14:paraId="4220AB21">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p>
    <w:p w14:paraId="77C24679">
      <w:pPr>
        <w:pStyle w:val="8"/>
        <w:keepLines w:val="0"/>
        <w:pageBreakBefore w:val="0"/>
        <w:kinsoku/>
        <w:wordWrap/>
        <w:overflowPunct/>
        <w:topLinePunct w:val="0"/>
        <w:bidi w:val="0"/>
        <w:spacing w:line="560" w:lineRule="exact"/>
        <w:rPr>
          <w:rFonts w:hint="eastAsia"/>
          <w:color w:val="auto"/>
          <w:sz w:val="28"/>
          <w:szCs w:val="28"/>
          <w:highlight w:val="none"/>
        </w:rPr>
      </w:pPr>
    </w:p>
    <w:p w14:paraId="04D38AA7">
      <w:pPr>
        <w:keepLines w:val="0"/>
        <w:pageBreakBefore w:val="0"/>
        <w:kinsoku/>
        <w:wordWrap/>
        <w:overflowPunct/>
        <w:topLinePunct w:val="0"/>
        <w:bidi w:val="0"/>
        <w:spacing w:line="560" w:lineRule="exact"/>
        <w:ind w:firstLine="4480" w:firstLineChars="16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单位名称（盖章）：</w:t>
      </w:r>
    </w:p>
    <w:p w14:paraId="26AA8593">
      <w:pPr>
        <w:keepLines w:val="0"/>
        <w:pageBreakBefore w:val="0"/>
        <w:kinsoku/>
        <w:wordWrap/>
        <w:overflowPunct/>
        <w:topLinePunct w:val="0"/>
        <w:bidi w:val="0"/>
        <w:spacing w:line="560" w:lineRule="exact"/>
        <w:ind w:firstLine="4480" w:firstLineChars="1600"/>
        <w:jc w:val="left"/>
        <w:rPr>
          <w:b/>
          <w:color w:val="auto"/>
          <w:sz w:val="28"/>
          <w:szCs w:val="28"/>
          <w:highlight w:val="none"/>
        </w:rPr>
      </w:pPr>
      <w:r>
        <w:rPr>
          <w:rFonts w:hint="eastAsia" w:ascii="仿宋_GB2312" w:hAnsi="仿宋_GB2312" w:eastAsia="仿宋_GB2312" w:cs="仿宋_GB2312"/>
          <w:color w:val="auto"/>
          <w:sz w:val="28"/>
          <w:szCs w:val="28"/>
          <w:highlight w:val="none"/>
        </w:rPr>
        <w:t>日  期：</w:t>
      </w:r>
    </w:p>
    <w:p w14:paraId="576D58DF">
      <w:pPr>
        <w:pStyle w:val="4"/>
        <w:keepLines w:val="0"/>
        <w:pageBreakBefore w:val="0"/>
        <w:kinsoku/>
        <w:wordWrap/>
        <w:overflowPunct/>
        <w:topLinePunct w:val="0"/>
        <w:bidi w:val="0"/>
        <w:spacing w:beforeAutospacing="0" w:afterAutospacing="0" w:line="560" w:lineRule="exact"/>
        <w:ind w:firstLine="643" w:firstLineChars="200"/>
        <w:jc w:val="both"/>
        <w:rPr>
          <w:rFonts w:hint="default" w:ascii="Calibri" w:hAnsi="Calibri" w:cs="黑体"/>
          <w:b/>
          <w:color w:val="auto"/>
          <w:kern w:val="2"/>
          <w:sz w:val="32"/>
          <w:szCs w:val="32"/>
          <w:highlight w:val="none"/>
        </w:rPr>
      </w:pPr>
    </w:p>
    <w:p w14:paraId="5DF62705">
      <w:pPr>
        <w:pStyle w:val="4"/>
        <w:keepLines w:val="0"/>
        <w:pageBreakBefore w:val="0"/>
        <w:kinsoku/>
        <w:wordWrap/>
        <w:overflowPunct/>
        <w:topLinePunct w:val="0"/>
        <w:bidi w:val="0"/>
        <w:spacing w:beforeAutospacing="0" w:afterAutospacing="0" w:line="560" w:lineRule="exact"/>
        <w:ind w:firstLine="643" w:firstLineChars="200"/>
        <w:jc w:val="both"/>
        <w:rPr>
          <w:rFonts w:hint="default" w:ascii="Calibri" w:hAnsi="Calibri" w:cs="黑体"/>
          <w:b/>
          <w:color w:val="auto"/>
          <w:kern w:val="2"/>
          <w:sz w:val="32"/>
          <w:szCs w:val="32"/>
          <w:highlight w:val="none"/>
        </w:rPr>
      </w:pPr>
    </w:p>
    <w:p w14:paraId="180C4B94">
      <w:pPr>
        <w:keepLines w:val="0"/>
        <w:pageBreakBefore w:val="0"/>
        <w:kinsoku/>
        <w:wordWrap/>
        <w:overflowPunct/>
        <w:topLinePunct w:val="0"/>
        <w:bidi w:val="0"/>
        <w:spacing w:line="560" w:lineRule="exact"/>
        <w:rPr>
          <w:color w:val="auto"/>
          <w:highlight w:val="none"/>
        </w:rPr>
        <w:sectPr>
          <w:headerReference r:id="rId3" w:type="default"/>
          <w:footerReference r:id="rId4" w:type="default"/>
          <w:pgSz w:w="11906" w:h="16838"/>
          <w:pgMar w:top="1644" w:right="1474" w:bottom="1531" w:left="1474" w:header="31" w:footer="1587" w:gutter="0"/>
          <w:pgNumType w:fmt="numberInDash"/>
          <w:cols w:space="720" w:num="1"/>
          <w:docGrid w:type="lines" w:linePitch="312" w:charSpace="0"/>
        </w:sectPr>
      </w:pPr>
    </w:p>
    <w:tbl>
      <w:tblPr>
        <w:tblStyle w:val="19"/>
        <w:tblW w:w="12782" w:type="dxa"/>
        <w:tblInd w:w="0" w:type="dxa"/>
        <w:tblLayout w:type="fixed"/>
        <w:tblCellMar>
          <w:top w:w="15" w:type="dxa"/>
          <w:left w:w="15" w:type="dxa"/>
          <w:bottom w:w="15" w:type="dxa"/>
          <w:right w:w="15" w:type="dxa"/>
        </w:tblCellMar>
      </w:tblPr>
      <w:tblGrid>
        <w:gridCol w:w="4465"/>
        <w:gridCol w:w="4150"/>
        <w:gridCol w:w="4167"/>
      </w:tblGrid>
      <w:tr w14:paraId="0F09138C">
        <w:tblPrEx>
          <w:tblCellMar>
            <w:top w:w="15" w:type="dxa"/>
            <w:left w:w="15" w:type="dxa"/>
            <w:bottom w:w="15" w:type="dxa"/>
            <w:right w:w="15" w:type="dxa"/>
          </w:tblCellMar>
        </w:tblPrEx>
        <w:trPr>
          <w:trHeight w:val="705" w:hRule="atLeast"/>
        </w:trPr>
        <w:tc>
          <w:tcPr>
            <w:tcW w:w="12782" w:type="dxa"/>
            <w:gridSpan w:val="3"/>
            <w:noWrap/>
            <w:vAlign w:val="center"/>
          </w:tcPr>
          <w:p w14:paraId="72E3DCA2">
            <w:pPr>
              <w:keepLines w:val="0"/>
              <w:pageBreakBefore w:val="0"/>
              <w:widowControl/>
              <w:kinsoku/>
              <w:wordWrap/>
              <w:overflowPunct/>
              <w:topLinePunct w:val="0"/>
              <w:bidi w:val="0"/>
              <w:spacing w:line="560" w:lineRule="exact"/>
              <w:jc w:val="center"/>
              <w:textAlignment w:val="center"/>
              <w:rPr>
                <w:rFonts w:hint="eastAsia" w:ascii="仿宋" w:hAnsi="仿宋" w:eastAsia="仿宋" w:cs="仿宋"/>
                <w:b/>
                <w:color w:val="auto"/>
                <w:kern w:val="0"/>
                <w:sz w:val="44"/>
                <w:szCs w:val="44"/>
                <w:highlight w:val="none"/>
              </w:rPr>
            </w:pPr>
          </w:p>
          <w:p w14:paraId="09E0D6BD">
            <w:pPr>
              <w:keepLines w:val="0"/>
              <w:pageBreakBefore w:val="0"/>
              <w:widowControl/>
              <w:kinsoku/>
              <w:wordWrap/>
              <w:overflowPunct/>
              <w:topLinePunct w:val="0"/>
              <w:bidi w:val="0"/>
              <w:spacing w:line="560" w:lineRule="exact"/>
              <w:jc w:val="center"/>
              <w:textAlignment w:val="center"/>
              <w:rPr>
                <w:rFonts w:hint="eastAsia" w:ascii="仿宋" w:hAnsi="仿宋" w:eastAsia="仿宋" w:cs="仿宋"/>
                <w:b/>
                <w:color w:val="auto"/>
                <w:sz w:val="44"/>
                <w:szCs w:val="44"/>
                <w:highlight w:val="none"/>
              </w:rPr>
            </w:pPr>
            <w:r>
              <w:rPr>
                <w:rFonts w:hint="eastAsia" w:ascii="仿宋" w:hAnsi="仿宋" w:eastAsia="仿宋" w:cs="仿宋"/>
                <w:b/>
                <w:color w:val="auto"/>
                <w:kern w:val="0"/>
                <w:sz w:val="44"/>
                <w:szCs w:val="44"/>
                <w:highlight w:val="none"/>
              </w:rPr>
              <w:t>开标一览表</w:t>
            </w:r>
          </w:p>
        </w:tc>
      </w:tr>
      <w:tr w14:paraId="065899C4">
        <w:tblPrEx>
          <w:tblCellMar>
            <w:top w:w="15" w:type="dxa"/>
            <w:left w:w="15" w:type="dxa"/>
            <w:bottom w:w="15" w:type="dxa"/>
            <w:right w:w="15" w:type="dxa"/>
          </w:tblCellMar>
        </w:tblPrEx>
        <w:trPr>
          <w:trHeight w:val="524" w:hRule="atLeast"/>
        </w:trPr>
        <w:tc>
          <w:tcPr>
            <w:tcW w:w="12782" w:type="dxa"/>
            <w:gridSpan w:val="3"/>
            <w:tcBorders>
              <w:top w:val="single" w:color="000000" w:sz="4" w:space="0"/>
              <w:left w:val="single" w:color="000000" w:sz="4" w:space="0"/>
              <w:bottom w:val="single" w:color="000000" w:sz="4" w:space="0"/>
              <w:right w:val="single" w:color="000000" w:sz="4" w:space="0"/>
            </w:tcBorders>
            <w:noWrap/>
            <w:vAlign w:val="center"/>
          </w:tcPr>
          <w:p w14:paraId="1B65671E">
            <w:pPr>
              <w:keepLines w:val="0"/>
              <w:pageBreakBefore w:val="0"/>
              <w:widowControl/>
              <w:kinsoku/>
              <w:wordWrap/>
              <w:overflowPunct/>
              <w:topLinePunct w:val="0"/>
              <w:bidi w:val="0"/>
              <w:spacing w:line="560" w:lineRule="exact"/>
              <w:jc w:val="left"/>
              <w:textAlignment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kern w:val="0"/>
                <w:sz w:val="32"/>
                <w:szCs w:val="32"/>
                <w:highlight w:val="none"/>
              </w:rPr>
              <w:t>投标人名称：　</w:t>
            </w:r>
            <w:r>
              <w:rPr>
                <w:rFonts w:hint="eastAsia" w:ascii="仿宋" w:hAnsi="仿宋" w:eastAsia="仿宋" w:cs="仿宋"/>
                <w:color w:val="auto"/>
                <w:kern w:val="0"/>
                <w:sz w:val="24"/>
                <w:szCs w:val="24"/>
                <w:highlight w:val="none"/>
              </w:rPr>
              <w:t xml:space="preserve">　　　　　　　　　          </w:t>
            </w:r>
            <w:r>
              <w:rPr>
                <w:rFonts w:hint="eastAsia" w:ascii="仿宋" w:hAnsi="仿宋" w:eastAsia="仿宋" w:cs="仿宋"/>
                <w:color w:val="auto"/>
                <w:kern w:val="0"/>
                <w:sz w:val="24"/>
                <w:szCs w:val="24"/>
                <w:highlight w:val="none"/>
                <w:lang w:val="en-US" w:eastAsia="zh-CN"/>
              </w:rPr>
              <w:t xml:space="preserve">   </w:t>
            </w:r>
            <w:r>
              <w:rPr>
                <w:rFonts w:hint="eastAsia" w:ascii="仿宋" w:hAnsi="仿宋" w:eastAsia="仿宋" w:cs="仿宋"/>
                <w:color w:val="auto"/>
                <w:kern w:val="0"/>
                <w:sz w:val="24"/>
                <w:szCs w:val="24"/>
                <w:highlight w:val="none"/>
              </w:rPr>
              <w:t xml:space="preserve">     </w:t>
            </w:r>
            <w:r>
              <w:rPr>
                <w:rFonts w:hint="eastAsia" w:ascii="仿宋" w:hAnsi="仿宋" w:eastAsia="仿宋" w:cs="仿宋"/>
                <w:color w:val="auto"/>
                <w:kern w:val="0"/>
                <w:sz w:val="32"/>
                <w:szCs w:val="32"/>
                <w:highlight w:val="none"/>
              </w:rPr>
              <w:t>采购项目编号：</w:t>
            </w:r>
            <w:r>
              <w:rPr>
                <w:rFonts w:hint="eastAsia" w:ascii="仿宋" w:hAnsi="仿宋" w:eastAsia="仿宋" w:cs="仿宋"/>
                <w:color w:val="auto"/>
                <w:kern w:val="0"/>
                <w:sz w:val="32"/>
                <w:szCs w:val="32"/>
                <w:highlight w:val="none"/>
                <w:lang w:val="en-US" w:eastAsia="zh-CN"/>
              </w:rPr>
              <w:t>深龙七医采[LGQY2026ZW011]</w:t>
            </w:r>
          </w:p>
        </w:tc>
      </w:tr>
      <w:tr w14:paraId="03D6B21E">
        <w:tblPrEx>
          <w:tblCellMar>
            <w:top w:w="15" w:type="dxa"/>
            <w:left w:w="15" w:type="dxa"/>
            <w:bottom w:w="15" w:type="dxa"/>
            <w:right w:w="15" w:type="dxa"/>
          </w:tblCellMar>
        </w:tblPrEx>
        <w:trPr>
          <w:trHeight w:val="509" w:hRule="atLeast"/>
        </w:trPr>
        <w:tc>
          <w:tcPr>
            <w:tcW w:w="4465" w:type="dxa"/>
            <w:tcBorders>
              <w:top w:val="single" w:color="000000" w:sz="4" w:space="0"/>
              <w:left w:val="single" w:color="000000" w:sz="4" w:space="0"/>
              <w:bottom w:val="single" w:color="000000" w:sz="4" w:space="0"/>
              <w:right w:val="single" w:color="000000" w:sz="4" w:space="0"/>
            </w:tcBorders>
            <w:noWrap/>
            <w:vAlign w:val="center"/>
          </w:tcPr>
          <w:p w14:paraId="10F1332F">
            <w:pPr>
              <w:keepLines w:val="0"/>
              <w:pageBreakBefore w:val="0"/>
              <w:widowControl/>
              <w:kinsoku/>
              <w:wordWrap/>
              <w:overflowPunct/>
              <w:topLinePunct w:val="0"/>
              <w:bidi w:val="0"/>
              <w:spacing w:line="560" w:lineRule="exact"/>
              <w:jc w:val="center"/>
              <w:textAlignment w:val="center"/>
              <w:rPr>
                <w:rFonts w:hint="eastAsia" w:ascii="仿宋" w:hAnsi="仿宋" w:eastAsia="仿宋" w:cs="仿宋"/>
                <w:color w:val="auto"/>
                <w:sz w:val="32"/>
                <w:szCs w:val="32"/>
                <w:highlight w:val="none"/>
              </w:rPr>
            </w:pPr>
            <w:r>
              <w:rPr>
                <w:rFonts w:hint="eastAsia" w:ascii="仿宋" w:hAnsi="仿宋" w:eastAsia="仿宋" w:cs="仿宋"/>
                <w:color w:val="auto"/>
                <w:kern w:val="0"/>
                <w:sz w:val="32"/>
                <w:szCs w:val="32"/>
                <w:highlight w:val="none"/>
              </w:rPr>
              <w:t>项目名称</w:t>
            </w:r>
          </w:p>
        </w:tc>
        <w:tc>
          <w:tcPr>
            <w:tcW w:w="4150" w:type="dxa"/>
            <w:tcBorders>
              <w:top w:val="single" w:color="000000" w:sz="4" w:space="0"/>
              <w:left w:val="single" w:color="000000" w:sz="4" w:space="0"/>
              <w:bottom w:val="single" w:color="000000" w:sz="4" w:space="0"/>
              <w:right w:val="single" w:color="000000" w:sz="4" w:space="0"/>
            </w:tcBorders>
            <w:noWrap/>
            <w:vAlign w:val="center"/>
          </w:tcPr>
          <w:p w14:paraId="39CF92A0">
            <w:pPr>
              <w:keepLines w:val="0"/>
              <w:pageBreakBefore w:val="0"/>
              <w:widowControl/>
              <w:kinsoku/>
              <w:wordWrap/>
              <w:overflowPunct/>
              <w:topLinePunct w:val="0"/>
              <w:bidi w:val="0"/>
              <w:spacing w:line="560" w:lineRule="exact"/>
              <w:jc w:val="center"/>
              <w:textAlignment w:val="center"/>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投标折扣率</w:t>
            </w:r>
          </w:p>
        </w:tc>
        <w:tc>
          <w:tcPr>
            <w:tcW w:w="4167" w:type="dxa"/>
            <w:tcBorders>
              <w:top w:val="single" w:color="000000" w:sz="4" w:space="0"/>
              <w:left w:val="single" w:color="000000" w:sz="4" w:space="0"/>
              <w:bottom w:val="single" w:color="000000" w:sz="4" w:space="0"/>
              <w:right w:val="single" w:color="000000" w:sz="4" w:space="0"/>
            </w:tcBorders>
            <w:noWrap/>
            <w:vAlign w:val="center"/>
          </w:tcPr>
          <w:p w14:paraId="01FB3E9A">
            <w:pPr>
              <w:keepLines w:val="0"/>
              <w:pageBreakBefore w:val="0"/>
              <w:widowControl/>
              <w:kinsoku/>
              <w:wordWrap/>
              <w:overflowPunct/>
              <w:topLinePunct w:val="0"/>
              <w:bidi w:val="0"/>
              <w:spacing w:line="560" w:lineRule="exact"/>
              <w:jc w:val="center"/>
              <w:textAlignment w:val="center"/>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备注</w:t>
            </w:r>
          </w:p>
        </w:tc>
      </w:tr>
      <w:tr w14:paraId="010A32AA">
        <w:tblPrEx>
          <w:tblCellMar>
            <w:top w:w="15" w:type="dxa"/>
            <w:left w:w="15" w:type="dxa"/>
            <w:bottom w:w="15" w:type="dxa"/>
            <w:right w:w="15" w:type="dxa"/>
          </w:tblCellMar>
        </w:tblPrEx>
        <w:trPr>
          <w:trHeight w:val="655" w:hRule="atLeast"/>
        </w:trPr>
        <w:tc>
          <w:tcPr>
            <w:tcW w:w="4465" w:type="dxa"/>
            <w:tcBorders>
              <w:top w:val="single" w:color="000000" w:sz="4" w:space="0"/>
              <w:left w:val="single" w:color="000000" w:sz="4" w:space="0"/>
              <w:bottom w:val="single" w:color="000000" w:sz="4" w:space="0"/>
              <w:right w:val="single" w:color="000000" w:sz="4" w:space="0"/>
            </w:tcBorders>
            <w:noWrap/>
            <w:vAlign w:val="center"/>
          </w:tcPr>
          <w:p w14:paraId="5E4CD9F0">
            <w:pPr>
              <w:pStyle w:val="27"/>
              <w:keepNext w:val="0"/>
              <w:keepLines w:val="0"/>
              <w:pageBreakBefore w:val="0"/>
              <w:widowControl/>
              <w:numPr>
                <w:ilvl w:val="0"/>
                <w:numId w:val="0"/>
              </w:numPr>
              <w:kinsoku/>
              <w:wordWrap/>
              <w:overflowPunct/>
              <w:topLinePunct w:val="0"/>
              <w:autoSpaceDE/>
              <w:autoSpaceDN/>
              <w:bidi w:val="0"/>
              <w:adjustRightInd/>
              <w:snapToGrid w:val="0"/>
              <w:spacing w:line="560" w:lineRule="exact"/>
              <w:jc w:val="center"/>
              <w:textAlignment w:val="auto"/>
              <w:rPr>
                <w:rFonts w:hint="eastAsia" w:eastAsia="仿宋"/>
                <w:color w:val="auto"/>
                <w:sz w:val="22"/>
                <w:szCs w:val="28"/>
                <w:highlight w:val="none"/>
                <w:lang w:val="en-US" w:eastAsia="zh-CN"/>
              </w:rPr>
            </w:pPr>
            <w:r>
              <w:rPr>
                <w:rFonts w:hint="eastAsia" w:ascii="仿宋" w:hAnsi="仿宋" w:eastAsia="仿宋" w:cs="仿宋"/>
                <w:color w:val="auto"/>
                <w:kern w:val="2"/>
                <w:sz w:val="32"/>
                <w:szCs w:val="32"/>
                <w:highlight w:val="none"/>
              </w:rPr>
              <w:t>深圳市龙岗区第七人民医院2026-2027年度五金耗材</w:t>
            </w:r>
            <w:r>
              <w:rPr>
                <w:rFonts w:hint="eastAsia" w:ascii="仿宋" w:hAnsi="仿宋" w:eastAsia="仿宋" w:cs="仿宋"/>
                <w:color w:val="auto"/>
                <w:kern w:val="2"/>
                <w:sz w:val="32"/>
                <w:szCs w:val="32"/>
                <w:highlight w:val="none"/>
                <w:lang w:val="en-US" w:eastAsia="zh-CN"/>
              </w:rPr>
              <w:t>项目</w:t>
            </w:r>
          </w:p>
        </w:tc>
        <w:tc>
          <w:tcPr>
            <w:tcW w:w="4150" w:type="dxa"/>
            <w:tcBorders>
              <w:top w:val="single" w:color="000000" w:sz="4" w:space="0"/>
              <w:left w:val="single" w:color="000000" w:sz="4" w:space="0"/>
              <w:bottom w:val="single" w:color="000000" w:sz="4" w:space="0"/>
              <w:right w:val="single" w:color="000000" w:sz="4" w:space="0"/>
            </w:tcBorders>
            <w:noWrap/>
            <w:vAlign w:val="center"/>
          </w:tcPr>
          <w:p w14:paraId="2C080F29">
            <w:pPr>
              <w:keepLines w:val="0"/>
              <w:pageBreakBefore w:val="0"/>
              <w:kinsoku/>
              <w:wordWrap/>
              <w:overflowPunct/>
              <w:topLinePunct w:val="0"/>
              <w:bidi w:val="0"/>
              <w:spacing w:line="560" w:lineRule="exact"/>
              <w:rPr>
                <w:rFonts w:hint="eastAsia" w:ascii="仿宋" w:hAnsi="仿宋" w:eastAsia="仿宋" w:cs="仿宋"/>
                <w:color w:val="auto"/>
                <w:kern w:val="2"/>
                <w:sz w:val="32"/>
                <w:szCs w:val="32"/>
                <w:highlight w:val="none"/>
                <w:lang w:val="en-US" w:eastAsia="zh-CN" w:bidi="ar-SA"/>
              </w:rPr>
            </w:pPr>
          </w:p>
        </w:tc>
        <w:tc>
          <w:tcPr>
            <w:tcW w:w="4167" w:type="dxa"/>
            <w:tcBorders>
              <w:top w:val="single" w:color="000000" w:sz="4" w:space="0"/>
              <w:left w:val="single" w:color="000000" w:sz="4" w:space="0"/>
              <w:bottom w:val="single" w:color="000000" w:sz="4" w:space="0"/>
              <w:right w:val="single" w:color="000000" w:sz="4" w:space="0"/>
            </w:tcBorders>
            <w:noWrap/>
            <w:vAlign w:val="center"/>
          </w:tcPr>
          <w:p w14:paraId="6F91D838">
            <w:pPr>
              <w:keepLines w:val="0"/>
              <w:pageBreakBefore w:val="0"/>
              <w:kinsoku/>
              <w:wordWrap/>
              <w:overflowPunct/>
              <w:topLinePunct w:val="0"/>
              <w:bidi w:val="0"/>
              <w:spacing w:line="560" w:lineRule="exact"/>
              <w:rPr>
                <w:rFonts w:hint="eastAsia" w:ascii="仿宋" w:hAnsi="仿宋" w:eastAsia="仿宋" w:cs="仿宋"/>
                <w:color w:val="auto"/>
                <w:sz w:val="24"/>
                <w:szCs w:val="24"/>
                <w:highlight w:val="none"/>
              </w:rPr>
            </w:pPr>
          </w:p>
        </w:tc>
      </w:tr>
    </w:tbl>
    <w:p w14:paraId="5F8CFFB3">
      <w:pPr>
        <w:keepLines w:val="0"/>
        <w:pageBreakBefore w:val="0"/>
        <w:kinsoku/>
        <w:wordWrap/>
        <w:overflowPunct/>
        <w:topLinePunct w:val="0"/>
        <w:bidi w:val="0"/>
        <w:spacing w:line="560" w:lineRule="exact"/>
        <w:ind w:left="425" w:hanging="425"/>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注：</w:t>
      </w:r>
    </w:p>
    <w:p w14:paraId="6EDC7B7C">
      <w:pPr>
        <w:keepLines w:val="0"/>
        <w:pageBreakBefore w:val="0"/>
        <w:kinsoku/>
        <w:wordWrap/>
        <w:overflowPunct/>
        <w:topLinePunct w:val="0"/>
        <w:bidi w:val="0"/>
        <w:spacing w:line="560" w:lineRule="exact"/>
        <w:ind w:left="425" w:hanging="425"/>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开标一览表格式不得自行改动。</w:t>
      </w:r>
    </w:p>
    <w:p w14:paraId="43E268FD">
      <w:pPr>
        <w:keepLines w:val="0"/>
        <w:pageBreakBefore w:val="0"/>
        <w:kinsoku/>
        <w:wordWrap/>
        <w:overflowPunct/>
        <w:topLinePunct w:val="0"/>
        <w:bidi w:val="0"/>
        <w:spacing w:line="560" w:lineRule="exact"/>
        <w:ind w:left="425" w:hanging="425"/>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价格条件为能否满足标书要求的投标报价。</w:t>
      </w:r>
    </w:p>
    <w:p w14:paraId="2CA7FBA9">
      <w:pPr>
        <w:keepLines w:val="0"/>
        <w:pageBreakBefore w:val="0"/>
        <w:kinsoku/>
        <w:wordWrap/>
        <w:overflowPunct/>
        <w:topLinePunct w:val="0"/>
        <w:bidi w:val="0"/>
        <w:spacing w:line="560" w:lineRule="exact"/>
        <w:rPr>
          <w:rFonts w:hint="eastAsia" w:ascii="仿宋" w:hAnsi="仿宋" w:eastAsia="仿宋" w:cs="仿宋"/>
          <w:color w:val="auto"/>
          <w:sz w:val="28"/>
          <w:szCs w:val="28"/>
          <w:highlight w:val="none"/>
        </w:rPr>
      </w:pPr>
    </w:p>
    <w:p w14:paraId="007FA420">
      <w:pPr>
        <w:keepLines w:val="0"/>
        <w:pageBreakBefore w:val="0"/>
        <w:kinsoku/>
        <w:wordWrap/>
        <w:overflowPunct/>
        <w:topLinePunct w:val="0"/>
        <w:bidi w:val="0"/>
        <w:spacing w:line="560" w:lineRule="exact"/>
        <w:ind w:firstLine="6160" w:firstLineChars="2200"/>
        <w:jc w:val="both"/>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法定代表人或其授权代表人（签字）：</w:t>
      </w:r>
    </w:p>
    <w:p w14:paraId="5890DC7F">
      <w:pPr>
        <w:keepLines w:val="0"/>
        <w:pageBreakBefore w:val="0"/>
        <w:kinsoku/>
        <w:wordWrap/>
        <w:overflowPunct/>
        <w:topLinePunct w:val="0"/>
        <w:bidi w:val="0"/>
        <w:spacing w:line="56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投标单位全称（加盖公章）：</w:t>
      </w:r>
    </w:p>
    <w:p w14:paraId="25EBD321">
      <w:pPr>
        <w:keepLines w:val="0"/>
        <w:pageBreakBefore w:val="0"/>
        <w:kinsoku/>
        <w:wordWrap/>
        <w:overflowPunct/>
        <w:topLinePunct w:val="0"/>
        <w:bidi w:val="0"/>
        <w:spacing w:line="56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日期：      年    月    日</w:t>
      </w:r>
    </w:p>
    <w:p w14:paraId="2AAF109A">
      <w:pPr>
        <w:keepLines w:val="0"/>
        <w:pageBreakBefore w:val="0"/>
        <w:kinsoku/>
        <w:wordWrap/>
        <w:overflowPunct/>
        <w:topLinePunct w:val="0"/>
        <w:bidi w:val="0"/>
        <w:spacing w:line="560" w:lineRule="exact"/>
        <w:outlineLvl w:val="2"/>
        <w:rPr>
          <w:rFonts w:hint="eastAsia" w:ascii="宋体" w:cs="宋体"/>
          <w:b/>
          <w:color w:val="auto"/>
          <w:szCs w:val="21"/>
          <w:highlight w:val="none"/>
        </w:rPr>
      </w:pPr>
    </w:p>
    <w:p w14:paraId="71D3177B">
      <w:pPr>
        <w:keepLines w:val="0"/>
        <w:pageBreakBefore w:val="0"/>
        <w:widowControl/>
        <w:kinsoku/>
        <w:wordWrap/>
        <w:overflowPunct/>
        <w:topLinePunct w:val="0"/>
        <w:bidi w:val="0"/>
        <w:spacing w:line="560" w:lineRule="exact"/>
        <w:jc w:val="center"/>
        <w:textAlignment w:val="center"/>
        <w:rPr>
          <w:rFonts w:hint="eastAsia" w:ascii="仿宋" w:hAnsi="仿宋" w:eastAsia="仿宋" w:cs="仿宋"/>
          <w:b/>
          <w:color w:val="auto"/>
          <w:kern w:val="0"/>
          <w:sz w:val="44"/>
          <w:szCs w:val="44"/>
          <w:highlight w:val="none"/>
          <w:lang w:val="zh-CN"/>
        </w:rPr>
      </w:pPr>
    </w:p>
    <w:p w14:paraId="6C05A1F4">
      <w:pPr>
        <w:keepLines w:val="0"/>
        <w:pageBreakBefore w:val="0"/>
        <w:widowControl/>
        <w:kinsoku/>
        <w:wordWrap/>
        <w:overflowPunct/>
        <w:topLinePunct w:val="0"/>
        <w:bidi w:val="0"/>
        <w:spacing w:line="560" w:lineRule="exact"/>
        <w:jc w:val="center"/>
        <w:textAlignment w:val="center"/>
        <w:rPr>
          <w:rFonts w:hint="eastAsia" w:ascii="仿宋" w:hAnsi="仿宋" w:eastAsia="仿宋" w:cs="仿宋"/>
          <w:b/>
          <w:color w:val="auto"/>
          <w:kern w:val="0"/>
          <w:sz w:val="44"/>
          <w:szCs w:val="44"/>
          <w:highlight w:val="none"/>
          <w:lang w:val="zh-CN"/>
        </w:rPr>
      </w:pPr>
      <w:r>
        <w:rPr>
          <w:rFonts w:hint="eastAsia" w:ascii="仿宋" w:hAnsi="仿宋" w:eastAsia="仿宋" w:cs="仿宋"/>
          <w:b/>
          <w:color w:val="auto"/>
          <w:kern w:val="0"/>
          <w:sz w:val="44"/>
          <w:szCs w:val="44"/>
          <w:highlight w:val="none"/>
          <w:lang w:val="zh-CN"/>
        </w:rPr>
        <w:t>分</w:t>
      </w:r>
      <w:r>
        <w:rPr>
          <w:rFonts w:hint="eastAsia" w:ascii="仿宋" w:hAnsi="仿宋" w:eastAsia="仿宋" w:cs="仿宋"/>
          <w:b/>
          <w:color w:val="auto"/>
          <w:kern w:val="0"/>
          <w:sz w:val="44"/>
          <w:szCs w:val="44"/>
          <w:highlight w:val="none"/>
          <w:lang w:val="en-US" w:eastAsia="zh-CN"/>
        </w:rPr>
        <w:t>项</w:t>
      </w:r>
      <w:r>
        <w:rPr>
          <w:rFonts w:hint="eastAsia" w:ascii="仿宋" w:hAnsi="仿宋" w:eastAsia="仿宋" w:cs="仿宋"/>
          <w:b/>
          <w:color w:val="auto"/>
          <w:kern w:val="0"/>
          <w:sz w:val="44"/>
          <w:szCs w:val="44"/>
          <w:highlight w:val="none"/>
          <w:lang w:val="zh-CN"/>
        </w:rPr>
        <w:t>报价表</w:t>
      </w:r>
    </w:p>
    <w:p w14:paraId="45336F35">
      <w:pPr>
        <w:pStyle w:val="6"/>
        <w:rPr>
          <w:rFonts w:hint="eastAsia"/>
          <w:lang w:val="zh-CN"/>
        </w:rPr>
      </w:pPr>
    </w:p>
    <w:p w14:paraId="623259D8">
      <w:pPr>
        <w:pStyle w:val="18"/>
        <w:keepNext w:val="0"/>
        <w:keepLines w:val="0"/>
        <w:pageBreakBefore w:val="0"/>
        <w:widowControl w:val="0"/>
        <w:kinsoku/>
        <w:wordWrap/>
        <w:overflowPunct/>
        <w:topLinePunct w:val="0"/>
        <w:autoSpaceDE/>
        <w:autoSpaceDN/>
        <w:bidi w:val="0"/>
        <w:adjustRightInd/>
        <w:snapToGrid/>
        <w:spacing w:after="0" w:line="240" w:lineRule="atLeast"/>
        <w:ind w:left="0" w:leftChars="0" w:right="0" w:rightChars="0" w:firstLine="0" w:firstLineChars="0"/>
        <w:jc w:val="left"/>
        <w:textAlignment w:val="auto"/>
        <w:rPr>
          <w:rFonts w:hint="eastAsia" w:ascii="Times New Roman" w:hAnsi="Times New Roman" w:eastAsia="宋体" w:cs="Times New Roman"/>
          <w:color w:val="auto"/>
          <w:kern w:val="2"/>
          <w:sz w:val="22"/>
          <w:szCs w:val="22"/>
          <w:highlight w:val="none"/>
          <w:lang w:val="en-US" w:eastAsia="zh-CN" w:bidi="ar-SA"/>
        </w:rPr>
      </w:pPr>
      <w:r>
        <w:rPr>
          <w:rFonts w:hint="default" w:ascii="Times New Roman" w:hAnsi="Times New Roman" w:eastAsia="宋体" w:cs="Times New Roman"/>
          <w:color w:val="auto"/>
          <w:kern w:val="2"/>
          <w:sz w:val="22"/>
          <w:szCs w:val="22"/>
          <w:highlight w:val="none"/>
          <w:lang w:val="zh-CN" w:eastAsia="zh-CN" w:bidi="ar-SA"/>
        </w:rPr>
        <w:t>项目名称：</w:t>
      </w:r>
      <w:r>
        <w:rPr>
          <w:rFonts w:hint="default" w:ascii="Times New Roman" w:hAnsi="Times New Roman" w:cs="Times New Roman"/>
          <w:color w:val="auto"/>
          <w:sz w:val="22"/>
          <w:szCs w:val="22"/>
          <w:highlight w:val="none"/>
          <w:lang w:val="zh-CN"/>
        </w:rPr>
        <w:t>深圳市龙岗区第七人民医院2026-2027年度五金耗材</w:t>
      </w:r>
      <w:r>
        <w:rPr>
          <w:rFonts w:hint="eastAsia" w:ascii="Times New Roman" w:hAnsi="Times New Roman" w:cs="Times New Roman"/>
          <w:color w:val="auto"/>
          <w:sz w:val="22"/>
          <w:szCs w:val="22"/>
          <w:highlight w:val="none"/>
          <w:lang w:val="en-US" w:eastAsia="zh-CN"/>
        </w:rPr>
        <w:t>项目</w:t>
      </w:r>
    </w:p>
    <w:p w14:paraId="38605F5B">
      <w:pPr>
        <w:pStyle w:val="18"/>
        <w:keepNext w:val="0"/>
        <w:keepLines w:val="0"/>
        <w:pageBreakBefore w:val="0"/>
        <w:widowControl w:val="0"/>
        <w:kinsoku/>
        <w:wordWrap/>
        <w:overflowPunct/>
        <w:topLinePunct w:val="0"/>
        <w:autoSpaceDE/>
        <w:autoSpaceDN/>
        <w:bidi w:val="0"/>
        <w:adjustRightInd/>
        <w:snapToGrid/>
        <w:spacing w:after="0" w:line="240" w:lineRule="atLeast"/>
        <w:ind w:left="0" w:leftChars="0" w:right="0" w:rightChars="0" w:firstLine="0" w:firstLineChars="0"/>
        <w:jc w:val="left"/>
        <w:textAlignment w:val="auto"/>
        <w:rPr>
          <w:rFonts w:hint="default" w:ascii="Times New Roman" w:hAnsi="Times New Roman" w:eastAsia="宋体" w:cs="Times New Roman"/>
          <w:color w:val="auto"/>
          <w:kern w:val="2"/>
          <w:sz w:val="22"/>
          <w:szCs w:val="22"/>
          <w:highlight w:val="none"/>
          <w:lang w:val="zh-CN" w:eastAsia="zh-CN" w:bidi="ar-SA"/>
        </w:rPr>
      </w:pPr>
      <w:r>
        <w:rPr>
          <w:rFonts w:hint="default" w:ascii="Times New Roman" w:hAnsi="Times New Roman" w:eastAsia="宋体" w:cs="Times New Roman"/>
          <w:color w:val="auto"/>
          <w:kern w:val="2"/>
          <w:sz w:val="22"/>
          <w:szCs w:val="22"/>
          <w:highlight w:val="none"/>
          <w:lang w:val="zh-CN" w:eastAsia="zh-CN" w:bidi="ar-SA"/>
        </w:rPr>
        <w:t>项目编号：深龙七医采[</w:t>
      </w:r>
      <w:r>
        <w:rPr>
          <w:rFonts w:hint="default" w:ascii="Times New Roman" w:hAnsi="Times New Roman" w:cs="Times New Roman"/>
          <w:color w:val="auto"/>
          <w:kern w:val="2"/>
          <w:sz w:val="22"/>
          <w:szCs w:val="22"/>
          <w:highlight w:val="none"/>
          <w:lang w:val="zh-CN" w:eastAsia="zh-CN" w:bidi="ar-SA"/>
        </w:rPr>
        <w:t>LGQY2026ZW0</w:t>
      </w:r>
      <w:r>
        <w:rPr>
          <w:rFonts w:hint="eastAsia" w:ascii="Times New Roman" w:hAnsi="Times New Roman" w:cs="Times New Roman"/>
          <w:color w:val="auto"/>
          <w:kern w:val="2"/>
          <w:sz w:val="22"/>
          <w:szCs w:val="22"/>
          <w:highlight w:val="none"/>
          <w:lang w:val="en-US" w:eastAsia="zh-CN" w:bidi="ar-SA"/>
        </w:rPr>
        <w:t>11</w:t>
      </w:r>
      <w:r>
        <w:rPr>
          <w:rFonts w:hint="default" w:ascii="Times New Roman" w:hAnsi="Times New Roman" w:eastAsia="宋体" w:cs="Times New Roman"/>
          <w:color w:val="auto"/>
          <w:kern w:val="2"/>
          <w:sz w:val="22"/>
          <w:szCs w:val="22"/>
          <w:highlight w:val="none"/>
          <w:lang w:val="zh-CN" w:eastAsia="zh-CN" w:bidi="ar-SA"/>
        </w:rPr>
        <w:t>]</w:t>
      </w:r>
    </w:p>
    <w:tbl>
      <w:tblPr>
        <w:tblStyle w:val="19"/>
        <w:tblW w:w="465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12"/>
        <w:gridCol w:w="2105"/>
        <w:gridCol w:w="1120"/>
        <w:gridCol w:w="1207"/>
        <w:gridCol w:w="1869"/>
        <w:gridCol w:w="2525"/>
        <w:gridCol w:w="2526"/>
      </w:tblGrid>
      <w:tr w14:paraId="786EF3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0" w:hRule="atLeast"/>
          <w:jc w:val="center"/>
        </w:trPr>
        <w:tc>
          <w:tcPr>
            <w:tcW w:w="295" w:type="pct"/>
            <w:vAlign w:val="center"/>
          </w:tcPr>
          <w:p w14:paraId="6F2CD96A">
            <w:pPr>
              <w:keepNext w:val="0"/>
              <w:keepLines w:val="0"/>
              <w:widowControl/>
              <w:suppressLineNumbers w:val="0"/>
              <w:shd w:val="clear"/>
              <w:snapToGrid w:val="0"/>
              <w:spacing w:line="560" w:lineRule="exact"/>
              <w:ind w:left="0" w:leftChars="0" w:right="0" w:rightChars="0" w:firstLine="0" w:firstLineChars="0"/>
              <w:jc w:val="center"/>
              <w:textAlignment w:val="center"/>
              <w:rPr>
                <w:rFonts w:hint="default" w:ascii="Times New Roman" w:hAnsi="Times New Roman" w:eastAsia="宋体" w:cs="Times New Roman"/>
                <w:b w:val="0"/>
                <w:i w:val="0"/>
                <w:iCs w:val="0"/>
                <w:color w:val="auto"/>
                <w:kern w:val="2"/>
                <w:sz w:val="22"/>
                <w:szCs w:val="22"/>
                <w:highlight w:val="none"/>
                <w:u w:val="none"/>
                <w:lang w:val="zh-CN" w:eastAsia="zh-CN" w:bidi="ar"/>
              </w:rPr>
            </w:pPr>
            <w:r>
              <w:rPr>
                <w:rFonts w:hint="default" w:ascii="Times New Roman" w:hAnsi="Times New Roman" w:eastAsia="宋体" w:cs="Times New Roman"/>
                <w:b w:val="0"/>
                <w:i w:val="0"/>
                <w:iCs w:val="0"/>
                <w:color w:val="auto"/>
                <w:kern w:val="2"/>
                <w:sz w:val="22"/>
                <w:szCs w:val="22"/>
                <w:highlight w:val="none"/>
                <w:u w:val="none"/>
                <w:lang w:val="zh-CN" w:eastAsia="zh-CN" w:bidi="ar"/>
              </w:rPr>
              <w:t>序号</w:t>
            </w:r>
          </w:p>
        </w:tc>
        <w:tc>
          <w:tcPr>
            <w:tcW w:w="872" w:type="pct"/>
            <w:vAlign w:val="center"/>
          </w:tcPr>
          <w:p w14:paraId="42C07F25">
            <w:pPr>
              <w:keepNext w:val="0"/>
              <w:keepLines w:val="0"/>
              <w:widowControl/>
              <w:suppressLineNumbers w:val="0"/>
              <w:shd w:val="clear"/>
              <w:snapToGrid w:val="0"/>
              <w:spacing w:line="560" w:lineRule="exact"/>
              <w:ind w:left="0" w:leftChars="0" w:right="0" w:rightChars="0" w:firstLine="0" w:firstLineChars="0"/>
              <w:jc w:val="center"/>
              <w:textAlignment w:val="center"/>
              <w:rPr>
                <w:rFonts w:hint="default" w:ascii="Times New Roman" w:hAnsi="Times New Roman" w:eastAsia="宋体" w:cs="Times New Roman"/>
                <w:b w:val="0"/>
                <w:i w:val="0"/>
                <w:iCs w:val="0"/>
                <w:color w:val="auto"/>
                <w:kern w:val="2"/>
                <w:sz w:val="22"/>
                <w:szCs w:val="22"/>
                <w:highlight w:val="none"/>
                <w:u w:val="none"/>
                <w:lang w:val="zh-CN" w:eastAsia="zh-CN" w:bidi="ar"/>
              </w:rPr>
            </w:pPr>
            <w:r>
              <w:rPr>
                <w:rFonts w:hint="default" w:ascii="Times New Roman" w:hAnsi="Times New Roman" w:cs="Times New Roman"/>
                <w:b w:val="0"/>
                <w:i w:val="0"/>
                <w:iCs w:val="0"/>
                <w:color w:val="auto"/>
                <w:kern w:val="2"/>
                <w:sz w:val="22"/>
                <w:szCs w:val="22"/>
                <w:highlight w:val="none"/>
                <w:u w:val="none"/>
                <w:lang w:val="zh-CN" w:eastAsia="zh-CN" w:bidi="ar"/>
              </w:rPr>
              <w:t>物品名称</w:t>
            </w:r>
          </w:p>
        </w:tc>
        <w:tc>
          <w:tcPr>
            <w:tcW w:w="464" w:type="pct"/>
            <w:vAlign w:val="center"/>
          </w:tcPr>
          <w:p w14:paraId="410AA6A8">
            <w:pPr>
              <w:keepNext w:val="0"/>
              <w:keepLines w:val="0"/>
              <w:widowControl/>
              <w:suppressLineNumbers w:val="0"/>
              <w:shd w:val="clear"/>
              <w:snapToGrid w:val="0"/>
              <w:spacing w:line="560" w:lineRule="exact"/>
              <w:ind w:left="0" w:leftChars="0" w:right="0" w:rightChars="0" w:firstLine="0" w:firstLineChars="0"/>
              <w:jc w:val="center"/>
              <w:textAlignment w:val="center"/>
              <w:rPr>
                <w:rFonts w:hint="default" w:ascii="Times New Roman" w:hAnsi="Times New Roman" w:eastAsia="宋体" w:cs="Times New Roman"/>
                <w:b w:val="0"/>
                <w:i w:val="0"/>
                <w:iCs w:val="0"/>
                <w:color w:val="auto"/>
                <w:kern w:val="2"/>
                <w:sz w:val="22"/>
                <w:szCs w:val="22"/>
                <w:highlight w:val="none"/>
                <w:u w:val="none"/>
                <w:lang w:val="zh-CN" w:eastAsia="zh-CN" w:bidi="ar"/>
              </w:rPr>
            </w:pPr>
            <w:r>
              <w:rPr>
                <w:rFonts w:hint="default" w:ascii="Times New Roman" w:hAnsi="Times New Roman" w:eastAsia="宋体" w:cs="Times New Roman"/>
                <w:b w:val="0"/>
                <w:bCs w:val="0"/>
                <w:i w:val="0"/>
                <w:iCs w:val="0"/>
                <w:color w:val="auto"/>
                <w:kern w:val="2"/>
                <w:sz w:val="22"/>
                <w:szCs w:val="22"/>
                <w:highlight w:val="none"/>
                <w:u w:val="none"/>
                <w:lang w:val="zh-CN" w:eastAsia="zh-CN" w:bidi="ar"/>
              </w:rPr>
              <w:t>单位</w:t>
            </w:r>
          </w:p>
        </w:tc>
        <w:tc>
          <w:tcPr>
            <w:tcW w:w="500" w:type="pct"/>
            <w:vAlign w:val="center"/>
          </w:tcPr>
          <w:p w14:paraId="37DD6C1C">
            <w:pPr>
              <w:keepNext w:val="0"/>
              <w:keepLines w:val="0"/>
              <w:widowControl/>
              <w:suppressLineNumbers w:val="0"/>
              <w:shd w:val="clear"/>
              <w:snapToGrid w:val="0"/>
              <w:spacing w:line="560" w:lineRule="exact"/>
              <w:ind w:left="0" w:leftChars="0" w:right="0" w:rightChars="0" w:firstLine="0" w:firstLineChars="0"/>
              <w:jc w:val="center"/>
              <w:textAlignment w:val="center"/>
              <w:rPr>
                <w:rFonts w:hint="default" w:ascii="Times New Roman" w:hAnsi="Times New Roman" w:eastAsia="宋体"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品牌</w:t>
            </w:r>
          </w:p>
        </w:tc>
        <w:tc>
          <w:tcPr>
            <w:tcW w:w="774" w:type="pct"/>
            <w:vAlign w:val="center"/>
          </w:tcPr>
          <w:p w14:paraId="0BFE4CA6">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Times New Roman" w:hAnsi="Times New Roman" w:eastAsia="宋体" w:cs="Times New Roman"/>
                <w:b w:val="0"/>
                <w:i w:val="0"/>
                <w:iCs w:val="0"/>
                <w:color w:val="auto"/>
                <w:kern w:val="2"/>
                <w:sz w:val="22"/>
                <w:szCs w:val="22"/>
                <w:highlight w:val="none"/>
                <w:u w:val="none"/>
                <w:lang w:val="zh-CN" w:eastAsia="zh-CN" w:bidi="ar"/>
              </w:rPr>
            </w:pPr>
            <w:r>
              <w:rPr>
                <w:rFonts w:hint="eastAsia" w:ascii="Times New Roman" w:hAnsi="Times New Roman" w:eastAsia="宋体" w:cs="Times New Roman"/>
                <w:b w:val="0"/>
                <w:color w:val="auto"/>
                <w:kern w:val="2"/>
                <w:sz w:val="22"/>
                <w:szCs w:val="22"/>
                <w:highlight w:val="none"/>
                <w:u w:val="none"/>
                <w:lang w:bidi="ar"/>
              </w:rPr>
              <w:t>原</w:t>
            </w:r>
            <w:r>
              <w:rPr>
                <w:rFonts w:hint="eastAsia" w:ascii="Times New Roman" w:hAnsi="Times New Roman" w:cs="Times New Roman"/>
                <w:color w:val="auto"/>
                <w:sz w:val="22"/>
                <w:szCs w:val="22"/>
                <w:highlight w:val="none"/>
                <w:lang w:val="en-US" w:eastAsia="zh-CN"/>
              </w:rPr>
              <w:t>产地</w:t>
            </w:r>
          </w:p>
        </w:tc>
        <w:tc>
          <w:tcPr>
            <w:tcW w:w="1046" w:type="pct"/>
            <w:vAlign w:val="center"/>
          </w:tcPr>
          <w:p w14:paraId="255F0218">
            <w:pPr>
              <w:keepNext w:val="0"/>
              <w:keepLines w:val="0"/>
              <w:widowControl/>
              <w:suppressLineNumbers w:val="0"/>
              <w:shd w:val="clear"/>
              <w:snapToGrid w:val="0"/>
              <w:spacing w:line="560" w:lineRule="exact"/>
              <w:ind w:left="0" w:leftChars="0" w:right="0" w:rightChars="0" w:firstLine="0" w:firstLineChars="0"/>
              <w:jc w:val="center"/>
              <w:textAlignment w:val="center"/>
              <w:rPr>
                <w:rFonts w:hint="default" w:ascii="Times New Roman" w:hAnsi="Times New Roman" w:cs="Times New Roman"/>
                <w:b w:val="0"/>
                <w:i w:val="0"/>
                <w:iCs w:val="0"/>
                <w:color w:val="auto"/>
                <w:kern w:val="2"/>
                <w:sz w:val="22"/>
                <w:szCs w:val="22"/>
                <w:highlight w:val="none"/>
                <w:u w:val="none"/>
                <w:lang w:val="zh-CN" w:eastAsia="zh-CN" w:bidi="ar"/>
              </w:rPr>
            </w:pPr>
            <w:r>
              <w:rPr>
                <w:rFonts w:hint="default" w:ascii="Times New Roman" w:hAnsi="Times New Roman" w:eastAsia="宋体" w:cs="Times New Roman"/>
                <w:b w:val="0"/>
                <w:color w:val="auto"/>
                <w:sz w:val="22"/>
                <w:szCs w:val="22"/>
                <w:highlight w:val="none"/>
                <w:lang w:val="zh-CN"/>
              </w:rPr>
              <w:t>制造商名称</w:t>
            </w:r>
          </w:p>
        </w:tc>
        <w:tc>
          <w:tcPr>
            <w:tcW w:w="1046" w:type="pct"/>
            <w:vAlign w:val="center"/>
          </w:tcPr>
          <w:p w14:paraId="57964716">
            <w:pPr>
              <w:keepNext w:val="0"/>
              <w:keepLines w:val="0"/>
              <w:widowControl/>
              <w:suppressLineNumbers w:val="0"/>
              <w:shd w:val="clear"/>
              <w:snapToGrid w:val="0"/>
              <w:spacing w:line="560" w:lineRule="exact"/>
              <w:ind w:left="0" w:leftChars="0" w:right="0" w:rightChars="0" w:firstLine="0" w:firstLineChars="0"/>
              <w:jc w:val="center"/>
              <w:textAlignment w:val="center"/>
              <w:rPr>
                <w:rFonts w:hint="default" w:ascii="Times New Roman" w:hAnsi="Times New Roman" w:eastAsia="宋体" w:cs="Times New Roman"/>
                <w:b w:val="0"/>
                <w:i w:val="0"/>
                <w:iCs w:val="0"/>
                <w:color w:val="auto"/>
                <w:kern w:val="2"/>
                <w:sz w:val="22"/>
                <w:szCs w:val="22"/>
                <w:highlight w:val="none"/>
                <w:u w:val="none"/>
                <w:lang w:val="zh-CN" w:eastAsia="zh-CN" w:bidi="ar"/>
              </w:rPr>
            </w:pPr>
            <w:r>
              <w:rPr>
                <w:rFonts w:hint="default" w:ascii="Times New Roman" w:hAnsi="Times New Roman" w:cs="Times New Roman"/>
                <w:b w:val="0"/>
                <w:i w:val="0"/>
                <w:iCs w:val="0"/>
                <w:color w:val="auto"/>
                <w:kern w:val="2"/>
                <w:sz w:val="22"/>
                <w:szCs w:val="22"/>
                <w:highlight w:val="none"/>
                <w:u w:val="none"/>
                <w:lang w:val="zh-CN" w:eastAsia="zh-CN" w:bidi="ar"/>
              </w:rPr>
              <w:t>按折扣率折算后单价（元）</w:t>
            </w:r>
          </w:p>
        </w:tc>
      </w:tr>
      <w:tr w14:paraId="773D80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0" w:hRule="atLeast"/>
          <w:jc w:val="center"/>
        </w:trPr>
        <w:tc>
          <w:tcPr>
            <w:tcW w:w="295" w:type="pct"/>
            <w:vAlign w:val="center"/>
          </w:tcPr>
          <w:p w14:paraId="399AFE6C">
            <w:pPr>
              <w:keepNext w:val="0"/>
              <w:keepLines w:val="0"/>
              <w:widowControl/>
              <w:suppressLineNumbers w:val="0"/>
              <w:shd w:val="clear"/>
              <w:snapToGrid w:val="0"/>
              <w:spacing w:line="560" w:lineRule="exact"/>
              <w:ind w:left="0" w:leftChars="0" w:right="0" w:rightChars="0" w:firstLine="0" w:firstLineChars="0"/>
              <w:jc w:val="center"/>
              <w:textAlignment w:val="center"/>
              <w:rPr>
                <w:rFonts w:hint="default" w:ascii="Times New Roman" w:hAnsi="Times New Roman" w:eastAsia="宋体" w:cs="Times New Roman"/>
                <w:b w:val="0"/>
                <w:i w:val="0"/>
                <w:iCs w:val="0"/>
                <w:color w:val="auto"/>
                <w:kern w:val="2"/>
                <w:sz w:val="22"/>
                <w:szCs w:val="22"/>
                <w:highlight w:val="none"/>
                <w:u w:val="none"/>
                <w:lang w:val="zh-CN" w:eastAsia="zh-CN" w:bidi="ar"/>
              </w:rPr>
            </w:pPr>
          </w:p>
        </w:tc>
        <w:tc>
          <w:tcPr>
            <w:tcW w:w="872" w:type="pct"/>
            <w:vAlign w:val="center"/>
          </w:tcPr>
          <w:p w14:paraId="480120ED">
            <w:pPr>
              <w:keepNext w:val="0"/>
              <w:keepLines w:val="0"/>
              <w:widowControl/>
              <w:suppressLineNumbers w:val="0"/>
              <w:shd w:val="clear"/>
              <w:snapToGrid w:val="0"/>
              <w:spacing w:line="560" w:lineRule="exact"/>
              <w:ind w:left="0" w:leftChars="0" w:right="0" w:rightChars="0" w:firstLine="0" w:firstLineChars="0"/>
              <w:jc w:val="center"/>
              <w:textAlignment w:val="center"/>
              <w:rPr>
                <w:rFonts w:hint="default" w:ascii="Times New Roman" w:hAnsi="Times New Roman" w:cs="Times New Roman"/>
                <w:b w:val="0"/>
                <w:i w:val="0"/>
                <w:iCs w:val="0"/>
                <w:color w:val="auto"/>
                <w:kern w:val="2"/>
                <w:sz w:val="22"/>
                <w:szCs w:val="22"/>
                <w:highlight w:val="none"/>
                <w:u w:val="none"/>
                <w:lang w:val="zh-CN" w:eastAsia="zh-CN" w:bidi="ar"/>
              </w:rPr>
            </w:pPr>
          </w:p>
        </w:tc>
        <w:tc>
          <w:tcPr>
            <w:tcW w:w="464" w:type="pct"/>
            <w:vAlign w:val="center"/>
          </w:tcPr>
          <w:p w14:paraId="128ECB84">
            <w:pPr>
              <w:keepNext w:val="0"/>
              <w:keepLines w:val="0"/>
              <w:widowControl/>
              <w:suppressLineNumbers w:val="0"/>
              <w:shd w:val="clear"/>
              <w:snapToGrid w:val="0"/>
              <w:spacing w:line="560" w:lineRule="exact"/>
              <w:ind w:left="0" w:leftChars="0" w:right="0" w:rightChars="0" w:firstLine="0" w:firstLineChars="0"/>
              <w:jc w:val="center"/>
              <w:textAlignment w:val="center"/>
              <w:rPr>
                <w:rFonts w:hint="default" w:ascii="Times New Roman" w:hAnsi="Times New Roman" w:eastAsia="宋体" w:cs="Times New Roman"/>
                <w:b w:val="0"/>
                <w:bCs w:val="0"/>
                <w:i w:val="0"/>
                <w:iCs w:val="0"/>
                <w:color w:val="auto"/>
                <w:kern w:val="2"/>
                <w:sz w:val="22"/>
                <w:szCs w:val="22"/>
                <w:highlight w:val="none"/>
                <w:u w:val="none"/>
                <w:lang w:val="zh-CN" w:eastAsia="zh-CN" w:bidi="ar"/>
              </w:rPr>
            </w:pPr>
          </w:p>
        </w:tc>
        <w:tc>
          <w:tcPr>
            <w:tcW w:w="500" w:type="pct"/>
            <w:tcBorders>
              <w:bottom w:val="single" w:color="auto" w:sz="4" w:space="0"/>
            </w:tcBorders>
            <w:vAlign w:val="center"/>
          </w:tcPr>
          <w:p w14:paraId="5181A363">
            <w:pPr>
              <w:keepNext w:val="0"/>
              <w:keepLines w:val="0"/>
              <w:widowControl/>
              <w:suppressLineNumbers w:val="0"/>
              <w:shd w:val="clear"/>
              <w:snapToGrid w:val="0"/>
              <w:spacing w:line="560" w:lineRule="exact"/>
              <w:ind w:left="0" w:leftChars="0" w:right="0" w:rightChars="0" w:firstLine="0" w:firstLineChars="0"/>
              <w:jc w:val="center"/>
              <w:textAlignment w:val="center"/>
              <w:rPr>
                <w:rFonts w:hint="default" w:ascii="Times New Roman" w:hAnsi="Times New Roman" w:cs="Times New Roman"/>
                <w:b w:val="0"/>
                <w:i w:val="0"/>
                <w:iCs w:val="0"/>
                <w:color w:val="auto"/>
                <w:kern w:val="2"/>
                <w:sz w:val="22"/>
                <w:szCs w:val="22"/>
                <w:highlight w:val="none"/>
                <w:u w:val="none"/>
                <w:lang w:val="zh-CN" w:eastAsia="zh-CN" w:bidi="ar"/>
              </w:rPr>
            </w:pPr>
          </w:p>
        </w:tc>
        <w:tc>
          <w:tcPr>
            <w:tcW w:w="774" w:type="pct"/>
            <w:tcBorders>
              <w:bottom w:val="single" w:color="auto" w:sz="4" w:space="0"/>
            </w:tcBorders>
            <w:vAlign w:val="center"/>
          </w:tcPr>
          <w:p w14:paraId="365C63EF">
            <w:pPr>
              <w:keepNext w:val="0"/>
              <w:keepLines w:val="0"/>
              <w:widowControl/>
              <w:suppressLineNumbers w:val="0"/>
              <w:shd w:val="clear"/>
              <w:snapToGrid w:val="0"/>
              <w:spacing w:line="560" w:lineRule="exact"/>
              <w:ind w:left="0" w:leftChars="0" w:right="0" w:rightChars="0" w:firstLine="0" w:firstLineChars="0"/>
              <w:jc w:val="center"/>
              <w:textAlignment w:val="center"/>
              <w:rPr>
                <w:rFonts w:hint="default" w:ascii="Times New Roman" w:hAnsi="Times New Roman" w:cs="Times New Roman"/>
                <w:b w:val="0"/>
                <w:i w:val="0"/>
                <w:iCs w:val="0"/>
                <w:color w:val="auto"/>
                <w:kern w:val="2"/>
                <w:sz w:val="22"/>
                <w:szCs w:val="22"/>
                <w:highlight w:val="none"/>
                <w:u w:val="none"/>
                <w:lang w:val="zh-CN" w:eastAsia="zh-CN" w:bidi="ar"/>
              </w:rPr>
            </w:pPr>
          </w:p>
        </w:tc>
        <w:tc>
          <w:tcPr>
            <w:tcW w:w="1046" w:type="pct"/>
            <w:tcBorders>
              <w:bottom w:val="single" w:color="auto" w:sz="4" w:space="0"/>
            </w:tcBorders>
            <w:vAlign w:val="center"/>
          </w:tcPr>
          <w:p w14:paraId="12B8BB33">
            <w:pPr>
              <w:keepNext w:val="0"/>
              <w:keepLines w:val="0"/>
              <w:widowControl/>
              <w:suppressLineNumbers w:val="0"/>
              <w:shd w:val="clear"/>
              <w:snapToGrid w:val="0"/>
              <w:spacing w:line="560" w:lineRule="exact"/>
              <w:ind w:left="0" w:leftChars="0" w:right="0" w:rightChars="0" w:firstLine="0" w:firstLineChars="0"/>
              <w:jc w:val="center"/>
              <w:textAlignment w:val="center"/>
              <w:rPr>
                <w:rFonts w:hint="default" w:ascii="Times New Roman" w:hAnsi="Times New Roman" w:cs="Times New Roman"/>
                <w:b w:val="0"/>
                <w:i w:val="0"/>
                <w:iCs w:val="0"/>
                <w:color w:val="auto"/>
                <w:kern w:val="2"/>
                <w:sz w:val="22"/>
                <w:szCs w:val="22"/>
                <w:highlight w:val="none"/>
                <w:u w:val="none"/>
                <w:lang w:val="zh-CN" w:eastAsia="zh-CN" w:bidi="ar"/>
              </w:rPr>
            </w:pPr>
          </w:p>
        </w:tc>
        <w:tc>
          <w:tcPr>
            <w:tcW w:w="1046" w:type="pct"/>
            <w:tcBorders>
              <w:bottom w:val="single" w:color="auto" w:sz="4" w:space="0"/>
            </w:tcBorders>
            <w:vAlign w:val="center"/>
          </w:tcPr>
          <w:p w14:paraId="13F382C2">
            <w:pPr>
              <w:keepNext w:val="0"/>
              <w:keepLines w:val="0"/>
              <w:widowControl/>
              <w:suppressLineNumbers w:val="0"/>
              <w:shd w:val="clear"/>
              <w:snapToGrid w:val="0"/>
              <w:spacing w:line="560" w:lineRule="exact"/>
              <w:ind w:left="0" w:leftChars="0" w:right="0" w:rightChars="0" w:firstLine="0" w:firstLineChars="0"/>
              <w:jc w:val="center"/>
              <w:textAlignment w:val="center"/>
              <w:rPr>
                <w:rFonts w:hint="default" w:ascii="Times New Roman" w:hAnsi="Times New Roman" w:cs="Times New Roman"/>
                <w:b w:val="0"/>
                <w:i w:val="0"/>
                <w:iCs w:val="0"/>
                <w:color w:val="auto"/>
                <w:kern w:val="2"/>
                <w:sz w:val="22"/>
                <w:szCs w:val="22"/>
                <w:highlight w:val="none"/>
                <w:u w:val="none"/>
                <w:lang w:val="zh-CN" w:eastAsia="zh-CN" w:bidi="ar"/>
              </w:rPr>
            </w:pPr>
          </w:p>
        </w:tc>
      </w:tr>
    </w:tbl>
    <w:p w14:paraId="466EC9C9">
      <w:pPr>
        <w:pStyle w:val="18"/>
        <w:keepNext w:val="0"/>
        <w:keepLines w:val="0"/>
        <w:pageBreakBefore w:val="0"/>
        <w:widowControl w:val="0"/>
        <w:kinsoku/>
        <w:wordWrap/>
        <w:overflowPunct/>
        <w:topLinePunct w:val="0"/>
        <w:autoSpaceDE/>
        <w:autoSpaceDN/>
        <w:bidi w:val="0"/>
        <w:adjustRightInd/>
        <w:snapToGrid/>
        <w:spacing w:after="0" w:line="320" w:lineRule="exact"/>
        <w:ind w:left="0" w:leftChars="0" w:right="0" w:rightChars="0" w:firstLine="0" w:firstLineChars="0"/>
        <w:textAlignment w:val="auto"/>
        <w:rPr>
          <w:rFonts w:hint="default" w:ascii="Calibri" w:hAnsi="Calibri" w:eastAsia="宋体" w:cs="黑体"/>
          <w:color w:val="auto"/>
          <w:kern w:val="2"/>
          <w:sz w:val="21"/>
          <w:szCs w:val="24"/>
          <w:highlight w:val="none"/>
          <w:lang w:val="zh-CN" w:eastAsia="zh-CN" w:bidi="ar-SA"/>
        </w:rPr>
      </w:pPr>
    </w:p>
    <w:p w14:paraId="0EA791FF">
      <w:pPr>
        <w:pStyle w:val="18"/>
        <w:keepNext w:val="0"/>
        <w:keepLines w:val="0"/>
        <w:pageBreakBefore w:val="0"/>
        <w:widowControl w:val="0"/>
        <w:kinsoku/>
        <w:wordWrap/>
        <w:overflowPunct/>
        <w:topLinePunct w:val="0"/>
        <w:autoSpaceDE/>
        <w:autoSpaceDN/>
        <w:bidi w:val="0"/>
        <w:adjustRightInd/>
        <w:snapToGrid/>
        <w:spacing w:line="240" w:lineRule="atLeast"/>
        <w:ind w:left="0" w:leftChars="0" w:firstLine="440"/>
        <w:textAlignment w:val="auto"/>
        <w:rPr>
          <w:rFonts w:hint="default" w:ascii="Times New Roman" w:hAnsi="Times New Roman" w:eastAsia="宋体"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注：1.本表可按同样格式扩展。</w:t>
      </w:r>
    </w:p>
    <w:p w14:paraId="0B027BF8">
      <w:pPr>
        <w:pStyle w:val="18"/>
        <w:keepNext w:val="0"/>
        <w:keepLines w:val="0"/>
        <w:pageBreakBefore w:val="0"/>
        <w:widowControl w:val="0"/>
        <w:kinsoku/>
        <w:wordWrap/>
        <w:overflowPunct/>
        <w:topLinePunct w:val="0"/>
        <w:autoSpaceDE/>
        <w:autoSpaceDN/>
        <w:bidi w:val="0"/>
        <w:adjustRightInd/>
        <w:snapToGrid/>
        <w:spacing w:line="240" w:lineRule="atLeast"/>
        <w:ind w:left="0" w:leftChars="0" w:firstLine="440"/>
        <w:textAlignment w:val="auto"/>
        <w:rPr>
          <w:rFonts w:hint="default" w:ascii="Times New Roman" w:hAnsi="Times New Roman" w:eastAsia="宋体"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2. “规格/品牌/型号”一栏填写全部或任一信息即可，若为定制类，应填写为“定制”。未填写或填写错误的，在技术要求偏离情</w:t>
      </w:r>
      <w:r>
        <w:rPr>
          <w:rFonts w:hint="eastAsia" w:ascii="Times New Roman" w:hAnsi="Times New Roman" w:cs="Times New Roman"/>
          <w:color w:val="auto"/>
          <w:sz w:val="22"/>
          <w:szCs w:val="22"/>
          <w:highlight w:val="none"/>
          <w:lang w:val="zh-CN"/>
        </w:rPr>
        <w:t>况下</w:t>
      </w:r>
      <w:r>
        <w:rPr>
          <w:rFonts w:hint="default" w:ascii="Times New Roman" w:hAnsi="Times New Roman" w:eastAsia="宋体" w:cs="Times New Roman"/>
          <w:color w:val="auto"/>
          <w:sz w:val="22"/>
          <w:szCs w:val="22"/>
          <w:highlight w:val="none"/>
          <w:lang w:val="zh-CN"/>
        </w:rPr>
        <w:t>按一般参数负偏离一项扣分处理。</w:t>
      </w:r>
    </w:p>
    <w:p w14:paraId="44AB8E24">
      <w:pPr>
        <w:pStyle w:val="18"/>
        <w:keepNext w:val="0"/>
        <w:keepLines w:val="0"/>
        <w:pageBreakBefore w:val="0"/>
        <w:widowControl w:val="0"/>
        <w:kinsoku/>
        <w:wordWrap/>
        <w:overflowPunct/>
        <w:topLinePunct w:val="0"/>
        <w:autoSpaceDE/>
        <w:autoSpaceDN/>
        <w:bidi w:val="0"/>
        <w:adjustRightInd/>
        <w:snapToGrid/>
        <w:spacing w:line="240" w:lineRule="atLeast"/>
        <w:ind w:left="0" w:leftChars="0" w:firstLine="440"/>
        <w:textAlignment w:val="auto"/>
        <w:rPr>
          <w:rFonts w:hint="default" w:ascii="Times New Roman" w:hAnsi="Times New Roman" w:eastAsia="宋体"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3.“原产地”是指该货物的实际生产加工地，而非品牌总公司所在地。</w:t>
      </w:r>
    </w:p>
    <w:p w14:paraId="72DDCFFF">
      <w:pPr>
        <w:pStyle w:val="18"/>
        <w:keepNext w:val="0"/>
        <w:keepLines w:val="0"/>
        <w:pageBreakBefore w:val="0"/>
        <w:widowControl w:val="0"/>
        <w:kinsoku/>
        <w:wordWrap/>
        <w:overflowPunct/>
        <w:topLinePunct w:val="0"/>
        <w:autoSpaceDE/>
        <w:autoSpaceDN/>
        <w:bidi w:val="0"/>
        <w:adjustRightInd/>
        <w:snapToGrid/>
        <w:spacing w:line="240" w:lineRule="atLeast"/>
        <w:ind w:left="0" w:leftChars="0" w:firstLine="440"/>
        <w:textAlignment w:val="auto"/>
        <w:rPr>
          <w:rFonts w:hint="default" w:ascii="Times New Roman" w:hAnsi="Times New Roman" w:eastAsia="宋体"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4.所投货物均应填写制造商名称。</w:t>
      </w:r>
    </w:p>
    <w:p w14:paraId="72073592">
      <w:pPr>
        <w:pStyle w:val="18"/>
        <w:keepNext w:val="0"/>
        <w:keepLines w:val="0"/>
        <w:pageBreakBefore w:val="0"/>
        <w:widowControl w:val="0"/>
        <w:kinsoku/>
        <w:wordWrap/>
        <w:overflowPunct/>
        <w:topLinePunct w:val="0"/>
        <w:autoSpaceDE/>
        <w:autoSpaceDN/>
        <w:bidi w:val="0"/>
        <w:adjustRightInd/>
        <w:snapToGrid/>
        <w:spacing w:line="240" w:lineRule="atLeast"/>
        <w:ind w:left="0" w:leftChars="0" w:firstLine="440"/>
        <w:textAlignment w:val="auto"/>
        <w:rPr>
          <w:rFonts w:hint="default" w:ascii="Times New Roman" w:hAnsi="Times New Roman" w:eastAsia="宋体" w:cs="Times New Roman"/>
          <w:color w:val="auto"/>
          <w:sz w:val="22"/>
          <w:szCs w:val="22"/>
          <w:highlight w:val="none"/>
          <w:lang w:val="zh-CN"/>
        </w:rPr>
      </w:pPr>
      <w:r>
        <w:rPr>
          <w:rFonts w:hint="eastAsia" w:ascii="Times New Roman" w:hAnsi="Times New Roman" w:eastAsia="宋体" w:cs="Times New Roman"/>
          <w:color w:val="auto"/>
          <w:sz w:val="22"/>
          <w:szCs w:val="22"/>
          <w:highlight w:val="none"/>
          <w:lang w:val="en-US" w:eastAsia="zh-CN"/>
        </w:rPr>
        <w:t>5</w:t>
      </w:r>
      <w:r>
        <w:rPr>
          <w:rFonts w:hint="default" w:ascii="Times New Roman" w:hAnsi="Times New Roman" w:eastAsia="宋体" w:cs="Times New Roman"/>
          <w:color w:val="auto"/>
          <w:sz w:val="22"/>
          <w:szCs w:val="22"/>
          <w:highlight w:val="none"/>
          <w:lang w:val="zh-CN"/>
        </w:rPr>
        <w:t>.单价、合价和投标总价为包干价，即三者均应包含货物本身价款、包装费、运输费、装卸费、保险费、售后服务费、利润、税金及合同明示或暗示的所有责任、义务和风险等全部费用。（若招标文件商务要求中对于报价有要求的以商务要求中的条款为准）</w:t>
      </w:r>
    </w:p>
    <w:p w14:paraId="15D49845">
      <w:pPr>
        <w:pStyle w:val="18"/>
        <w:keepNext w:val="0"/>
        <w:keepLines w:val="0"/>
        <w:pageBreakBefore w:val="0"/>
        <w:widowControl w:val="0"/>
        <w:kinsoku/>
        <w:wordWrap/>
        <w:overflowPunct/>
        <w:topLinePunct w:val="0"/>
        <w:autoSpaceDE/>
        <w:autoSpaceDN/>
        <w:bidi w:val="0"/>
        <w:adjustRightInd/>
        <w:snapToGrid/>
        <w:spacing w:line="240" w:lineRule="atLeast"/>
        <w:ind w:left="0" w:leftChars="0" w:firstLine="440"/>
        <w:textAlignment w:val="auto"/>
        <w:rPr>
          <w:rFonts w:hint="eastAsia" w:ascii="Times New Roman" w:hAnsi="Times New Roman" w:cs="Times New Roman"/>
          <w:color w:val="auto"/>
          <w:sz w:val="22"/>
          <w:szCs w:val="22"/>
          <w:highlight w:val="none"/>
          <w:lang w:val="zh-CN"/>
        </w:rPr>
      </w:pPr>
      <w:r>
        <w:rPr>
          <w:rFonts w:hint="eastAsia" w:ascii="Times New Roman" w:hAnsi="Times New Roman" w:eastAsia="宋体" w:cs="Times New Roman"/>
          <w:color w:val="auto"/>
          <w:sz w:val="22"/>
          <w:szCs w:val="22"/>
          <w:highlight w:val="none"/>
          <w:lang w:val="en-US" w:eastAsia="zh-CN"/>
        </w:rPr>
        <w:t>6</w:t>
      </w:r>
      <w:r>
        <w:rPr>
          <w:rFonts w:hint="default" w:ascii="Times New Roman" w:hAnsi="Times New Roman" w:eastAsia="宋体" w:cs="Times New Roman"/>
          <w:color w:val="auto"/>
          <w:sz w:val="22"/>
          <w:szCs w:val="22"/>
          <w:highlight w:val="none"/>
          <w:lang w:val="zh-CN"/>
        </w:rPr>
        <w:t>.所有价格应按“招标文件”中规定的货币单位填写</w:t>
      </w:r>
      <w:r>
        <w:rPr>
          <w:rFonts w:hint="eastAsia" w:ascii="Times New Roman" w:hAnsi="Times New Roman" w:cs="Times New Roman"/>
          <w:color w:val="auto"/>
          <w:sz w:val="22"/>
          <w:szCs w:val="22"/>
          <w:highlight w:val="none"/>
          <w:lang w:val="zh-CN"/>
        </w:rPr>
        <w:t>。</w:t>
      </w:r>
    </w:p>
    <w:p w14:paraId="1E364D95">
      <w:pPr>
        <w:pStyle w:val="18"/>
        <w:keepNext w:val="0"/>
        <w:keepLines w:val="0"/>
        <w:pageBreakBefore w:val="0"/>
        <w:widowControl w:val="0"/>
        <w:kinsoku/>
        <w:wordWrap/>
        <w:overflowPunct/>
        <w:topLinePunct w:val="0"/>
        <w:autoSpaceDE/>
        <w:autoSpaceDN/>
        <w:bidi w:val="0"/>
        <w:adjustRightInd/>
        <w:snapToGrid/>
        <w:spacing w:after="0" w:line="320" w:lineRule="exact"/>
        <w:ind w:left="0" w:leftChars="0" w:firstLine="440"/>
        <w:textAlignment w:val="auto"/>
        <w:rPr>
          <w:rFonts w:hint="default" w:ascii="Times New Roman" w:hAnsi="Times New Roman" w:eastAsia="宋体" w:cs="Times New Roman"/>
          <w:b/>
          <w:bCs/>
          <w:color w:val="auto"/>
          <w:sz w:val="22"/>
          <w:szCs w:val="22"/>
          <w:highlight w:val="none"/>
        </w:rPr>
      </w:pPr>
      <w:r>
        <w:rPr>
          <w:rFonts w:hint="eastAsia" w:ascii="Times New Roman" w:hAnsi="Times New Roman" w:cs="Times New Roman"/>
          <w:color w:val="auto"/>
          <w:sz w:val="22"/>
          <w:szCs w:val="22"/>
          <w:highlight w:val="none"/>
          <w:lang w:val="en-US" w:eastAsia="zh-CN"/>
        </w:rPr>
        <w:t>7.</w:t>
      </w:r>
      <w:r>
        <w:rPr>
          <w:rFonts w:hint="default" w:ascii="Calibri" w:hAnsi="Calibri" w:eastAsia="宋体" w:cs="黑体"/>
          <w:color w:val="auto"/>
          <w:kern w:val="2"/>
          <w:sz w:val="21"/>
          <w:szCs w:val="24"/>
          <w:highlight w:val="none"/>
          <w:lang w:val="zh-CN" w:eastAsia="zh-CN" w:bidi="ar-SA"/>
        </w:rPr>
        <w:t>本项目预算金额为人民币</w:t>
      </w:r>
      <w:r>
        <w:rPr>
          <w:rFonts w:hint="eastAsia" w:cs="黑体"/>
          <w:color w:val="auto"/>
          <w:kern w:val="2"/>
          <w:sz w:val="21"/>
          <w:szCs w:val="24"/>
          <w:highlight w:val="none"/>
          <w:lang w:val="en-US" w:eastAsia="zh-CN" w:bidi="ar-SA"/>
        </w:rPr>
        <w:t>150000.00</w:t>
      </w:r>
      <w:r>
        <w:rPr>
          <w:rFonts w:hint="default" w:ascii="Calibri" w:hAnsi="Calibri" w:eastAsia="宋体" w:cs="黑体"/>
          <w:color w:val="auto"/>
          <w:kern w:val="2"/>
          <w:sz w:val="21"/>
          <w:szCs w:val="24"/>
          <w:highlight w:val="none"/>
          <w:lang w:val="zh-CN" w:eastAsia="zh-CN" w:bidi="ar-SA"/>
        </w:rPr>
        <w:t>元，最高限价为人民币</w:t>
      </w:r>
      <w:r>
        <w:rPr>
          <w:rFonts w:hint="eastAsia" w:cs="黑体"/>
          <w:color w:val="auto"/>
          <w:kern w:val="2"/>
          <w:sz w:val="21"/>
          <w:szCs w:val="24"/>
          <w:highlight w:val="none"/>
          <w:lang w:val="en-US" w:eastAsia="zh-CN" w:bidi="ar-SA"/>
        </w:rPr>
        <w:t>150000.00</w:t>
      </w:r>
      <w:r>
        <w:rPr>
          <w:rFonts w:hint="default" w:ascii="Calibri" w:hAnsi="Calibri" w:eastAsia="宋体" w:cs="黑体"/>
          <w:color w:val="auto"/>
          <w:kern w:val="2"/>
          <w:sz w:val="21"/>
          <w:szCs w:val="24"/>
          <w:highlight w:val="none"/>
          <w:lang w:val="zh-CN" w:eastAsia="zh-CN" w:bidi="ar-SA"/>
        </w:rPr>
        <w:t>元，超出最高限价</w:t>
      </w:r>
      <w:r>
        <w:rPr>
          <w:rFonts w:hint="eastAsia" w:ascii="Calibri" w:hAnsi="Calibri" w:eastAsia="宋体" w:cs="黑体"/>
          <w:color w:val="auto"/>
          <w:kern w:val="2"/>
          <w:sz w:val="21"/>
          <w:szCs w:val="24"/>
          <w:highlight w:val="none"/>
          <w:lang w:val="en-US" w:eastAsia="zh-CN" w:bidi="ar-SA"/>
        </w:rPr>
        <w:t>或</w:t>
      </w:r>
      <w:r>
        <w:rPr>
          <w:rFonts w:hint="default" w:ascii="Calibri" w:hAnsi="Calibri" w:eastAsia="宋体" w:cs="黑体"/>
          <w:color w:val="auto"/>
          <w:kern w:val="2"/>
          <w:sz w:val="21"/>
          <w:szCs w:val="24"/>
          <w:highlight w:val="none"/>
          <w:lang w:val="zh-CN" w:eastAsia="zh-CN" w:bidi="ar-SA"/>
        </w:rPr>
        <w:t>单价限价的投标将导致投标无效。</w:t>
      </w:r>
    </w:p>
    <w:p w14:paraId="13F80EA1">
      <w:pPr>
        <w:keepNext w:val="0"/>
        <w:keepLines w:val="0"/>
        <w:pageBreakBefore w:val="0"/>
        <w:widowControl w:val="0"/>
        <w:kinsoku/>
        <w:wordWrap/>
        <w:overflowPunct/>
        <w:topLinePunct w:val="0"/>
        <w:autoSpaceDE/>
        <w:autoSpaceDN/>
        <w:bidi w:val="0"/>
        <w:adjustRightInd/>
        <w:snapToGrid/>
        <w:spacing w:line="240" w:lineRule="atLeast"/>
        <w:ind w:right="2100" w:rightChars="1000"/>
        <w:jc w:val="left"/>
        <w:textAlignment w:val="auto"/>
        <w:rPr>
          <w:rFonts w:hint="default" w:ascii="Times New Roman" w:hAnsi="Times New Roman" w:eastAsia="宋体" w:cs="Times New Roman"/>
          <w:snapToGrid w:val="0"/>
          <w:color w:val="auto"/>
          <w:kern w:val="0"/>
          <w:sz w:val="22"/>
          <w:szCs w:val="22"/>
          <w:highlight w:val="none"/>
          <w:lang w:val="zh-CN"/>
        </w:rPr>
      </w:pPr>
    </w:p>
    <w:p w14:paraId="6325034F">
      <w:pPr>
        <w:keepNext w:val="0"/>
        <w:keepLines w:val="0"/>
        <w:pageBreakBefore w:val="0"/>
        <w:widowControl w:val="0"/>
        <w:kinsoku/>
        <w:wordWrap/>
        <w:overflowPunct/>
        <w:topLinePunct w:val="0"/>
        <w:autoSpaceDE/>
        <w:autoSpaceDN/>
        <w:bidi w:val="0"/>
        <w:adjustRightInd/>
        <w:snapToGrid/>
        <w:spacing w:line="240" w:lineRule="atLeast"/>
        <w:ind w:right="2100" w:rightChars="1000"/>
        <w:jc w:val="left"/>
        <w:textAlignment w:val="auto"/>
        <w:rPr>
          <w:rFonts w:hint="default" w:ascii="Times New Roman" w:hAnsi="Times New Roman" w:eastAsia="宋体" w:cs="Times New Roman"/>
          <w:snapToGrid w:val="0"/>
          <w:color w:val="auto"/>
          <w:kern w:val="0"/>
          <w:sz w:val="22"/>
          <w:szCs w:val="22"/>
          <w:highlight w:val="none"/>
        </w:rPr>
      </w:pPr>
      <w:r>
        <w:rPr>
          <w:rFonts w:hint="default" w:ascii="Times New Roman" w:hAnsi="Times New Roman" w:eastAsia="宋体" w:cs="Times New Roman"/>
          <w:snapToGrid w:val="0"/>
          <w:color w:val="auto"/>
          <w:kern w:val="0"/>
          <w:sz w:val="22"/>
          <w:szCs w:val="22"/>
          <w:highlight w:val="none"/>
          <w:lang w:val="zh-CN"/>
        </w:rPr>
        <w:t>法定代表人（</w:t>
      </w:r>
      <w:r>
        <w:rPr>
          <w:rFonts w:hint="default" w:ascii="Times New Roman" w:hAnsi="Times New Roman" w:eastAsia="宋体" w:cs="Times New Roman"/>
          <w:snapToGrid w:val="0"/>
          <w:color w:val="auto"/>
          <w:kern w:val="0"/>
          <w:sz w:val="22"/>
          <w:szCs w:val="22"/>
          <w:highlight w:val="none"/>
        </w:rPr>
        <w:t>单位负责人</w:t>
      </w:r>
      <w:r>
        <w:rPr>
          <w:rFonts w:hint="default" w:ascii="Times New Roman" w:hAnsi="Times New Roman" w:eastAsia="宋体" w:cs="Times New Roman"/>
          <w:snapToGrid w:val="0"/>
          <w:color w:val="auto"/>
          <w:kern w:val="0"/>
          <w:sz w:val="22"/>
          <w:szCs w:val="22"/>
          <w:highlight w:val="none"/>
          <w:lang w:val="zh-CN"/>
        </w:rPr>
        <w:t>）或其授权代表（签字</w:t>
      </w:r>
      <w:r>
        <w:rPr>
          <w:rFonts w:hint="default" w:ascii="Times New Roman" w:hAnsi="Times New Roman" w:eastAsia="宋体" w:cs="Times New Roman"/>
          <w:snapToGrid w:val="0"/>
          <w:color w:val="auto"/>
          <w:kern w:val="0"/>
          <w:sz w:val="22"/>
          <w:szCs w:val="22"/>
          <w:highlight w:val="none"/>
        </w:rPr>
        <w:t>或盖章</w:t>
      </w:r>
      <w:r>
        <w:rPr>
          <w:rFonts w:hint="default" w:ascii="Times New Roman" w:hAnsi="Times New Roman" w:eastAsia="宋体" w:cs="Times New Roman"/>
          <w:snapToGrid w:val="0"/>
          <w:color w:val="auto"/>
          <w:kern w:val="0"/>
          <w:sz w:val="22"/>
          <w:szCs w:val="22"/>
          <w:highlight w:val="none"/>
          <w:lang w:val="zh-CN"/>
        </w:rPr>
        <w:t>）</w:t>
      </w:r>
      <w:r>
        <w:rPr>
          <w:rFonts w:hint="default" w:ascii="Times New Roman" w:hAnsi="Times New Roman" w:eastAsia="宋体" w:cs="Times New Roman"/>
          <w:snapToGrid w:val="0"/>
          <w:color w:val="auto"/>
          <w:kern w:val="0"/>
          <w:sz w:val="22"/>
          <w:szCs w:val="22"/>
          <w:highlight w:val="none"/>
        </w:rPr>
        <w:t xml:space="preserve">：                   </w:t>
      </w:r>
    </w:p>
    <w:p w14:paraId="0B85B9E1">
      <w:pPr>
        <w:keepNext w:val="0"/>
        <w:keepLines w:val="0"/>
        <w:pageBreakBefore w:val="0"/>
        <w:widowControl w:val="0"/>
        <w:kinsoku/>
        <w:wordWrap/>
        <w:overflowPunct/>
        <w:topLinePunct w:val="0"/>
        <w:autoSpaceDE/>
        <w:autoSpaceDN/>
        <w:bidi w:val="0"/>
        <w:adjustRightInd/>
        <w:snapToGrid/>
        <w:spacing w:line="240" w:lineRule="atLeast"/>
        <w:ind w:right="2100" w:rightChars="1000"/>
        <w:jc w:val="left"/>
        <w:textAlignment w:val="auto"/>
        <w:rPr>
          <w:rFonts w:hint="default" w:ascii="Times New Roman" w:hAnsi="Times New Roman" w:eastAsia="宋体" w:cs="Times New Roman"/>
          <w:snapToGrid w:val="0"/>
          <w:color w:val="auto"/>
          <w:kern w:val="0"/>
          <w:sz w:val="22"/>
          <w:szCs w:val="22"/>
          <w:highlight w:val="none"/>
        </w:rPr>
      </w:pPr>
      <w:r>
        <w:rPr>
          <w:rFonts w:hint="default" w:ascii="Times New Roman" w:hAnsi="Times New Roman" w:eastAsia="宋体" w:cs="Times New Roman"/>
          <w:snapToGrid w:val="0"/>
          <w:color w:val="auto"/>
          <w:kern w:val="0"/>
          <w:sz w:val="22"/>
          <w:szCs w:val="22"/>
          <w:highlight w:val="none"/>
        </w:rPr>
        <w:t xml:space="preserve">投标人名称（盖章）：                        </w:t>
      </w:r>
    </w:p>
    <w:p w14:paraId="41D6622E">
      <w:pPr>
        <w:keepNext w:val="0"/>
        <w:keepLines w:val="0"/>
        <w:pageBreakBefore w:val="0"/>
        <w:widowControl w:val="0"/>
        <w:kinsoku/>
        <w:wordWrap/>
        <w:overflowPunct/>
        <w:topLinePunct w:val="0"/>
        <w:autoSpaceDE/>
        <w:autoSpaceDN/>
        <w:bidi w:val="0"/>
        <w:adjustRightInd/>
        <w:snapToGrid/>
        <w:spacing w:line="240" w:lineRule="atLeast"/>
        <w:ind w:right="2100" w:rightChars="1000"/>
        <w:jc w:val="left"/>
        <w:textAlignment w:val="auto"/>
        <w:rPr>
          <w:rFonts w:ascii="Arial" w:hAnsi="Arial"/>
          <w:b/>
          <w:color w:val="auto"/>
          <w:kern w:val="0"/>
          <w:sz w:val="24"/>
          <w:szCs w:val="20"/>
          <w:highlight w:val="none"/>
        </w:rPr>
      </w:pPr>
      <w:r>
        <w:rPr>
          <w:rFonts w:hint="default" w:ascii="Times New Roman" w:hAnsi="Times New Roman" w:eastAsia="宋体" w:cs="Times New Roman"/>
          <w:snapToGrid w:val="0"/>
          <w:color w:val="auto"/>
          <w:kern w:val="0"/>
          <w:sz w:val="22"/>
          <w:szCs w:val="22"/>
          <w:highlight w:val="none"/>
        </w:rPr>
        <w:t>日期：   年   月   日</w:t>
      </w:r>
    </w:p>
    <w:p w14:paraId="21BE9955">
      <w:pPr>
        <w:numPr>
          <w:ilvl w:val="0"/>
          <w:numId w:val="0"/>
        </w:numPr>
        <w:tabs>
          <w:tab w:val="left" w:pos="0"/>
        </w:tabs>
        <w:spacing w:line="560" w:lineRule="exact"/>
        <w:ind w:left="0" w:leftChars="0" w:firstLine="420" w:firstLineChars="0"/>
        <w:jc w:val="center"/>
        <w:outlineLvl w:val="2"/>
        <w:rPr>
          <w:rFonts w:ascii="Arial" w:hAnsi="Arial"/>
          <w:b/>
          <w:color w:val="auto"/>
          <w:kern w:val="0"/>
          <w:sz w:val="22"/>
          <w:highlight w:val="none"/>
        </w:rPr>
      </w:pPr>
      <w:r>
        <w:rPr>
          <w:rFonts w:hint="eastAsia" w:ascii="Arial" w:hAnsi="Arial" w:eastAsia="宋体" w:cs="黑体"/>
          <w:b/>
          <w:bCs/>
          <w:color w:val="auto"/>
          <w:kern w:val="0"/>
          <w:sz w:val="22"/>
          <w:szCs w:val="24"/>
          <w:highlight w:val="none"/>
          <w:lang w:val="en-US" w:eastAsia="zh-CN" w:bidi="ar-SA"/>
        </w:rPr>
        <w:t>（一）</w:t>
      </w:r>
      <w:r>
        <w:rPr>
          <w:rFonts w:hint="eastAsia" w:ascii="Arial" w:hAnsi="Arial"/>
          <w:b/>
          <w:color w:val="auto"/>
          <w:kern w:val="0"/>
          <w:sz w:val="22"/>
          <w:highlight w:val="none"/>
        </w:rPr>
        <w:t>核心产品的品牌情况</w:t>
      </w:r>
    </w:p>
    <w:p w14:paraId="34DE3700">
      <w:pPr>
        <w:spacing w:line="560" w:lineRule="exact"/>
        <w:ind w:firstLine="422" w:firstLineChars="200"/>
        <w:rPr>
          <w:rFonts w:ascii="宋体"/>
          <w:b/>
          <w:color w:val="auto"/>
          <w:highlight w:val="none"/>
        </w:rPr>
      </w:pPr>
    </w:p>
    <w:p w14:paraId="3CEACBB5">
      <w:pPr>
        <w:spacing w:line="560" w:lineRule="exact"/>
        <w:ind w:firstLine="663" w:firstLineChars="300"/>
        <w:rPr>
          <w:rFonts w:ascii="宋体"/>
          <w:b/>
          <w:color w:val="auto"/>
          <w:sz w:val="22"/>
          <w:highlight w:val="none"/>
        </w:rPr>
      </w:pPr>
      <w:r>
        <w:rPr>
          <w:rFonts w:hint="eastAsia"/>
          <w:b/>
          <w:color w:val="auto"/>
          <w:sz w:val="22"/>
          <w:highlight w:val="none"/>
        </w:rPr>
        <w:t>我公司所投核心产品的品牌为：</w:t>
      </w:r>
      <w:r>
        <w:rPr>
          <w:rFonts w:hint="eastAsia"/>
          <w:b/>
          <w:color w:val="auto"/>
          <w:sz w:val="22"/>
          <w:highlight w:val="none"/>
          <w:u w:val="single"/>
        </w:rPr>
        <w:t xml:space="preserve">    </w:t>
      </w:r>
      <w:r>
        <w:rPr>
          <w:rFonts w:hint="eastAsia"/>
          <w:b/>
          <w:color w:val="auto"/>
          <w:sz w:val="22"/>
          <w:highlight w:val="none"/>
          <w:u w:val="single"/>
          <w:lang w:val="en-US" w:eastAsia="zh-CN"/>
        </w:rPr>
        <w:t xml:space="preserve">   </w:t>
      </w:r>
      <w:r>
        <w:rPr>
          <w:rFonts w:hint="eastAsia"/>
          <w:b/>
          <w:color w:val="auto"/>
          <w:sz w:val="22"/>
          <w:highlight w:val="none"/>
          <w:u w:val="single"/>
        </w:rPr>
        <w:t xml:space="preserve">   </w:t>
      </w:r>
      <w:r>
        <w:rPr>
          <w:rFonts w:hint="eastAsia"/>
          <w:b/>
          <w:color w:val="auto"/>
          <w:sz w:val="22"/>
          <w:highlight w:val="none"/>
        </w:rPr>
        <w:t xml:space="preserve"> 。</w:t>
      </w:r>
    </w:p>
    <w:p w14:paraId="19CB7848">
      <w:pPr>
        <w:spacing w:line="560" w:lineRule="exact"/>
        <w:ind w:firstLine="663" w:firstLineChars="300"/>
        <w:rPr>
          <w:rFonts w:hint="default"/>
          <w:b/>
          <w:color w:val="auto"/>
          <w:sz w:val="22"/>
          <w:highlight w:val="none"/>
          <w:lang w:val="en-US"/>
        </w:rPr>
      </w:pPr>
      <w:r>
        <w:rPr>
          <w:rFonts w:hint="eastAsia"/>
          <w:b/>
          <w:color w:val="auto"/>
          <w:sz w:val="22"/>
          <w:highlight w:val="none"/>
        </w:rPr>
        <w:t>本项目核心</w:t>
      </w:r>
      <w:r>
        <w:rPr>
          <w:rFonts w:hint="eastAsia"/>
          <w:b/>
          <w:color w:val="auto"/>
          <w:sz w:val="22"/>
          <w:highlight w:val="none"/>
          <w:lang w:val="en-US" w:eastAsia="zh-CN"/>
        </w:rPr>
        <w:t>产品为：XXXXXXX</w:t>
      </w:r>
    </w:p>
    <w:p w14:paraId="36CF0DE0">
      <w:pPr>
        <w:spacing w:line="560" w:lineRule="exact"/>
        <w:ind w:firstLine="442" w:firstLineChars="200"/>
        <w:rPr>
          <w:rFonts w:ascii="宋体"/>
          <w:b/>
          <w:color w:val="auto"/>
          <w:sz w:val="22"/>
          <w:highlight w:val="none"/>
        </w:rPr>
      </w:pPr>
    </w:p>
    <w:p w14:paraId="70A710E7">
      <w:pPr>
        <w:spacing w:line="560" w:lineRule="exact"/>
        <w:ind w:firstLine="660" w:firstLineChars="300"/>
        <w:rPr>
          <w:rFonts w:hint="eastAsia" w:ascii="Times New Roman" w:hAnsi="Times New Roman" w:eastAsia="宋体" w:cs="Times New Roman"/>
          <w:color w:val="auto"/>
          <w:kern w:val="2"/>
          <w:sz w:val="22"/>
          <w:szCs w:val="22"/>
          <w:highlight w:val="none"/>
          <w:lang w:val="en-US" w:eastAsia="zh-CN" w:bidi="ar-SA"/>
        </w:rPr>
      </w:pPr>
      <w:r>
        <w:rPr>
          <w:rFonts w:hint="eastAsia" w:ascii="Times New Roman" w:hAnsi="Times New Roman" w:eastAsia="宋体" w:cs="Times New Roman"/>
          <w:color w:val="auto"/>
          <w:kern w:val="2"/>
          <w:sz w:val="22"/>
          <w:szCs w:val="22"/>
          <w:highlight w:val="none"/>
          <w:lang w:val="en-US" w:eastAsia="zh-CN" w:bidi="ar-SA"/>
        </w:rPr>
        <w:t>备注：招标文件未列明核心产品的，无需填写该项。</w:t>
      </w:r>
    </w:p>
    <w:p w14:paraId="43DA87BF">
      <w:pPr>
        <w:numPr>
          <w:ilvl w:val="0"/>
          <w:numId w:val="0"/>
        </w:numPr>
        <w:tabs>
          <w:tab w:val="left" w:pos="0"/>
        </w:tabs>
        <w:spacing w:line="560" w:lineRule="exact"/>
        <w:ind w:left="0" w:leftChars="0" w:firstLine="420" w:firstLineChars="0"/>
        <w:jc w:val="center"/>
        <w:outlineLvl w:val="2"/>
        <w:rPr>
          <w:color w:val="auto"/>
          <w:highlight w:val="none"/>
        </w:rPr>
      </w:pPr>
      <w:r>
        <w:rPr>
          <w:rFonts w:hint="eastAsia" w:ascii="Calibri" w:hAnsi="Calibri" w:eastAsia="宋体" w:cs="黑体"/>
          <w:b/>
          <w:bCs/>
          <w:color w:val="auto"/>
          <w:kern w:val="2"/>
          <w:sz w:val="21"/>
          <w:szCs w:val="24"/>
          <w:highlight w:val="none"/>
          <w:lang w:val="en-US" w:eastAsia="zh-CN" w:bidi="ar-SA"/>
        </w:rPr>
        <w:t>（二）</w:t>
      </w:r>
      <w:r>
        <w:rPr>
          <w:rFonts w:hint="eastAsia" w:ascii="Arial" w:hAnsi="Arial"/>
          <w:b/>
          <w:color w:val="auto"/>
          <w:kern w:val="0"/>
          <w:sz w:val="22"/>
          <w:highlight w:val="none"/>
        </w:rPr>
        <w:t>可选配件报价清单（不包括在总报价内）</w:t>
      </w:r>
    </w:p>
    <w:p w14:paraId="5457C37A">
      <w:pPr>
        <w:pStyle w:val="12"/>
        <w:keepLines w:val="0"/>
        <w:pageBreakBefore w:val="0"/>
        <w:kinsoku/>
        <w:wordWrap/>
        <w:overflowPunct/>
        <w:topLinePunct w:val="0"/>
        <w:bidi w:val="0"/>
        <w:spacing w:line="560" w:lineRule="exact"/>
        <w:rPr>
          <w:rFonts w:hint="eastAsia" w:ascii="Times New Roman" w:hAnsi="Times New Roman" w:eastAsia="宋体" w:cs="Times New Roman"/>
          <w:color w:val="auto"/>
          <w:kern w:val="2"/>
          <w:sz w:val="22"/>
          <w:szCs w:val="22"/>
          <w:highlight w:val="none"/>
          <w:lang w:val="en-US" w:eastAsia="zh-CN" w:bidi="ar-SA"/>
        </w:rPr>
      </w:pPr>
      <w:r>
        <w:rPr>
          <w:rFonts w:hint="eastAsia" w:ascii="Times New Roman" w:hAnsi="Times New Roman" w:eastAsia="宋体" w:cs="Times New Roman"/>
          <w:color w:val="auto"/>
          <w:kern w:val="2"/>
          <w:sz w:val="22"/>
          <w:szCs w:val="22"/>
          <w:highlight w:val="none"/>
          <w:lang w:val="en-US" w:eastAsia="zh-CN" w:bidi="ar-SA"/>
        </w:rPr>
        <w:t>注：格式可以参照《分项报价表》表格，并提供相应的品牌/规格/型号、原产地、制造商信息（没有品牌、型号的，用“定制”描述即可）、单价等详细信息</w:t>
      </w:r>
    </w:p>
    <w:p w14:paraId="39D01846">
      <w:pPr>
        <w:keepNext w:val="0"/>
        <w:keepLines w:val="0"/>
        <w:pageBreakBefore w:val="0"/>
        <w:widowControl w:val="0"/>
        <w:kinsoku/>
        <w:wordWrap/>
        <w:overflowPunct/>
        <w:topLinePunct w:val="0"/>
        <w:autoSpaceDE/>
        <w:autoSpaceDN/>
        <w:bidi w:val="0"/>
        <w:adjustRightInd/>
        <w:snapToGrid/>
        <w:spacing w:line="560" w:lineRule="exact"/>
        <w:ind w:right="2100" w:rightChars="1000"/>
        <w:jc w:val="left"/>
        <w:textAlignment w:val="auto"/>
        <w:rPr>
          <w:rFonts w:ascii="Arial" w:hAnsi="Arial"/>
          <w:b/>
          <w:color w:val="auto"/>
          <w:kern w:val="0"/>
          <w:sz w:val="24"/>
          <w:szCs w:val="20"/>
          <w:highlight w:val="none"/>
        </w:rPr>
      </w:pPr>
    </w:p>
    <w:p w14:paraId="19188704">
      <w:pPr>
        <w:keepNext w:val="0"/>
        <w:keepLines w:val="0"/>
        <w:pageBreakBefore w:val="0"/>
        <w:widowControl w:val="0"/>
        <w:kinsoku/>
        <w:wordWrap/>
        <w:overflowPunct/>
        <w:topLinePunct w:val="0"/>
        <w:autoSpaceDE/>
        <w:autoSpaceDN/>
        <w:bidi w:val="0"/>
        <w:adjustRightInd/>
        <w:snapToGrid/>
        <w:spacing w:line="560" w:lineRule="exact"/>
        <w:ind w:right="2100" w:rightChars="1000"/>
        <w:jc w:val="left"/>
        <w:textAlignment w:val="auto"/>
        <w:rPr>
          <w:rFonts w:ascii="Arial" w:hAnsi="Arial"/>
          <w:b/>
          <w:color w:val="auto"/>
          <w:kern w:val="0"/>
          <w:sz w:val="24"/>
          <w:szCs w:val="20"/>
          <w:highlight w:val="none"/>
        </w:rPr>
      </w:pPr>
    </w:p>
    <w:p w14:paraId="6ABB6333">
      <w:pPr>
        <w:keepNext w:val="0"/>
        <w:keepLines w:val="0"/>
        <w:pageBreakBefore w:val="0"/>
        <w:widowControl w:val="0"/>
        <w:kinsoku/>
        <w:wordWrap/>
        <w:overflowPunct/>
        <w:topLinePunct w:val="0"/>
        <w:autoSpaceDE/>
        <w:autoSpaceDN/>
        <w:bidi w:val="0"/>
        <w:adjustRightInd/>
        <w:snapToGrid/>
        <w:spacing w:line="560" w:lineRule="exact"/>
        <w:ind w:right="2100" w:rightChars="1000"/>
        <w:jc w:val="left"/>
        <w:textAlignment w:val="auto"/>
        <w:rPr>
          <w:rFonts w:ascii="Arial" w:hAnsi="Arial"/>
          <w:b/>
          <w:color w:val="auto"/>
          <w:kern w:val="0"/>
          <w:sz w:val="24"/>
          <w:szCs w:val="20"/>
          <w:highlight w:val="none"/>
        </w:rPr>
      </w:pPr>
    </w:p>
    <w:p w14:paraId="2E49E763">
      <w:pPr>
        <w:keepNext w:val="0"/>
        <w:keepLines w:val="0"/>
        <w:pageBreakBefore w:val="0"/>
        <w:widowControl w:val="0"/>
        <w:kinsoku/>
        <w:wordWrap/>
        <w:overflowPunct/>
        <w:topLinePunct w:val="0"/>
        <w:autoSpaceDE/>
        <w:autoSpaceDN/>
        <w:bidi w:val="0"/>
        <w:adjustRightInd/>
        <w:snapToGrid/>
        <w:spacing w:line="560" w:lineRule="exact"/>
        <w:ind w:right="2100" w:rightChars="1000"/>
        <w:jc w:val="left"/>
        <w:textAlignment w:val="auto"/>
        <w:rPr>
          <w:rFonts w:ascii="Arial" w:hAnsi="Arial"/>
          <w:b/>
          <w:color w:val="auto"/>
          <w:kern w:val="0"/>
          <w:sz w:val="24"/>
          <w:szCs w:val="20"/>
          <w:highlight w:val="none"/>
        </w:rPr>
      </w:pPr>
    </w:p>
    <w:p w14:paraId="22E23E39">
      <w:pPr>
        <w:keepNext w:val="0"/>
        <w:keepLines w:val="0"/>
        <w:pageBreakBefore w:val="0"/>
        <w:widowControl w:val="0"/>
        <w:kinsoku/>
        <w:wordWrap/>
        <w:overflowPunct/>
        <w:topLinePunct w:val="0"/>
        <w:autoSpaceDE/>
        <w:autoSpaceDN/>
        <w:bidi w:val="0"/>
        <w:adjustRightInd/>
        <w:snapToGrid/>
        <w:spacing w:line="560" w:lineRule="exact"/>
        <w:ind w:right="2100" w:rightChars="1000"/>
        <w:jc w:val="left"/>
        <w:textAlignment w:val="auto"/>
        <w:rPr>
          <w:rFonts w:ascii="Arial" w:hAnsi="Arial"/>
          <w:b/>
          <w:color w:val="auto"/>
          <w:kern w:val="0"/>
          <w:sz w:val="24"/>
          <w:szCs w:val="20"/>
          <w:highlight w:val="none"/>
        </w:rPr>
      </w:pPr>
    </w:p>
    <w:p w14:paraId="7F7A2E12">
      <w:pPr>
        <w:keepNext w:val="0"/>
        <w:keepLines w:val="0"/>
        <w:pageBreakBefore w:val="0"/>
        <w:widowControl w:val="0"/>
        <w:kinsoku/>
        <w:wordWrap/>
        <w:overflowPunct/>
        <w:topLinePunct w:val="0"/>
        <w:autoSpaceDE/>
        <w:autoSpaceDN/>
        <w:bidi w:val="0"/>
        <w:adjustRightInd/>
        <w:snapToGrid/>
        <w:spacing w:line="560" w:lineRule="exact"/>
        <w:ind w:right="2100" w:rightChars="1000"/>
        <w:jc w:val="left"/>
        <w:textAlignment w:val="auto"/>
        <w:rPr>
          <w:rFonts w:ascii="Arial" w:hAnsi="Arial"/>
          <w:b/>
          <w:color w:val="auto"/>
          <w:kern w:val="0"/>
          <w:sz w:val="24"/>
          <w:szCs w:val="20"/>
          <w:highlight w:val="none"/>
        </w:rPr>
      </w:pPr>
    </w:p>
    <w:p w14:paraId="602C00E1">
      <w:pPr>
        <w:keepNext w:val="0"/>
        <w:keepLines w:val="0"/>
        <w:pageBreakBefore w:val="0"/>
        <w:widowControl w:val="0"/>
        <w:kinsoku/>
        <w:wordWrap/>
        <w:overflowPunct/>
        <w:topLinePunct w:val="0"/>
        <w:autoSpaceDE/>
        <w:autoSpaceDN/>
        <w:bidi w:val="0"/>
        <w:adjustRightInd/>
        <w:snapToGrid/>
        <w:spacing w:line="560" w:lineRule="exact"/>
        <w:ind w:right="2100" w:rightChars="1000"/>
        <w:jc w:val="left"/>
        <w:textAlignment w:val="auto"/>
        <w:rPr>
          <w:rFonts w:ascii="Arial" w:hAnsi="Arial"/>
          <w:b/>
          <w:color w:val="auto"/>
          <w:kern w:val="0"/>
          <w:sz w:val="24"/>
          <w:szCs w:val="20"/>
          <w:highlight w:val="none"/>
        </w:rPr>
      </w:pPr>
    </w:p>
    <w:p w14:paraId="13F13BB1">
      <w:pPr>
        <w:widowControl/>
        <w:spacing w:line="560" w:lineRule="exact"/>
        <w:jc w:val="center"/>
        <w:textAlignment w:val="center"/>
        <w:rPr>
          <w:rFonts w:hint="eastAsia" w:ascii="仿宋" w:hAnsi="仿宋" w:eastAsia="仿宋" w:cs="仿宋"/>
          <w:b/>
          <w:color w:val="auto"/>
          <w:kern w:val="0"/>
          <w:sz w:val="44"/>
          <w:szCs w:val="44"/>
          <w:highlight w:val="none"/>
        </w:rPr>
      </w:pPr>
      <w:r>
        <w:rPr>
          <w:rFonts w:hint="eastAsia" w:ascii="仿宋" w:hAnsi="仿宋" w:eastAsia="仿宋" w:cs="仿宋"/>
          <w:b/>
          <w:color w:val="auto"/>
          <w:kern w:val="0"/>
          <w:sz w:val="44"/>
          <w:szCs w:val="44"/>
          <w:highlight w:val="none"/>
        </w:rPr>
        <w:t>实质性条款响应情况表</w:t>
      </w:r>
    </w:p>
    <w:p w14:paraId="44703896">
      <w:pPr>
        <w:pStyle w:val="18"/>
        <w:keepNext w:val="0"/>
        <w:keepLines w:val="0"/>
        <w:pageBreakBefore w:val="0"/>
        <w:widowControl w:val="0"/>
        <w:kinsoku/>
        <w:wordWrap/>
        <w:overflowPunct/>
        <w:topLinePunct w:val="0"/>
        <w:autoSpaceDE/>
        <w:autoSpaceDN/>
        <w:bidi w:val="0"/>
        <w:adjustRightInd/>
        <w:snapToGrid/>
        <w:spacing w:after="0" w:line="240" w:lineRule="atLeast"/>
        <w:ind w:left="0" w:leftChars="0" w:right="0" w:rightChars="0" w:firstLine="0" w:firstLineChars="0"/>
        <w:jc w:val="left"/>
        <w:textAlignment w:val="auto"/>
        <w:rPr>
          <w:rFonts w:hint="eastAsia"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zh-CN" w:eastAsia="zh-CN" w:bidi="ar-SA"/>
        </w:rPr>
        <w:t>项目名称：</w:t>
      </w:r>
      <w:r>
        <w:rPr>
          <w:rFonts w:hint="default" w:ascii="Times New Roman" w:hAnsi="Times New Roman" w:cs="Times New Roman"/>
          <w:color w:val="auto"/>
          <w:sz w:val="24"/>
          <w:highlight w:val="none"/>
          <w:lang w:val="zh-CN"/>
        </w:rPr>
        <w:t>深圳市龙岗区第七人民医院2026-2027年度五金耗材</w:t>
      </w:r>
      <w:r>
        <w:rPr>
          <w:rFonts w:hint="eastAsia" w:ascii="Times New Roman" w:hAnsi="Times New Roman" w:cs="Times New Roman"/>
          <w:color w:val="auto"/>
          <w:sz w:val="24"/>
          <w:highlight w:val="none"/>
          <w:lang w:val="en-US" w:eastAsia="zh-CN"/>
        </w:rPr>
        <w:t>项目</w:t>
      </w:r>
    </w:p>
    <w:p w14:paraId="6689951C">
      <w:pPr>
        <w:pStyle w:val="18"/>
        <w:widowControl w:val="0"/>
        <w:spacing w:line="240" w:lineRule="atLeast"/>
        <w:ind w:left="0" w:leftChars="0" w:firstLine="0" w:firstLineChars="0"/>
        <w:jc w:val="left"/>
        <w:textAlignment w:val="auto"/>
        <w:rPr>
          <w:rFonts w:hint="eastAsia" w:ascii="仿宋" w:hAnsi="仿宋" w:eastAsia="仿宋" w:cs="仿宋"/>
          <w:b/>
          <w:color w:val="auto"/>
          <w:kern w:val="0"/>
          <w:sz w:val="44"/>
          <w:szCs w:val="44"/>
          <w:highlight w:val="none"/>
        </w:rPr>
      </w:pPr>
      <w:r>
        <w:rPr>
          <w:rFonts w:hint="default" w:ascii="Times New Roman" w:hAnsi="Times New Roman" w:eastAsia="宋体" w:cs="Times New Roman"/>
          <w:color w:val="auto"/>
          <w:kern w:val="2"/>
          <w:sz w:val="24"/>
          <w:szCs w:val="24"/>
          <w:highlight w:val="none"/>
          <w:lang w:val="zh-CN" w:eastAsia="zh-CN" w:bidi="ar-SA"/>
        </w:rPr>
        <w:t>项目编号：深龙七医采[</w:t>
      </w:r>
      <w:r>
        <w:rPr>
          <w:rFonts w:hint="default" w:ascii="Times New Roman" w:hAnsi="Times New Roman" w:cs="Times New Roman"/>
          <w:color w:val="auto"/>
          <w:kern w:val="2"/>
          <w:sz w:val="24"/>
          <w:szCs w:val="24"/>
          <w:highlight w:val="none"/>
          <w:lang w:val="zh-CN" w:eastAsia="zh-CN" w:bidi="ar-SA"/>
        </w:rPr>
        <w:t>LGQY2026ZW0</w:t>
      </w:r>
      <w:r>
        <w:rPr>
          <w:rFonts w:hint="eastAsia" w:ascii="Times New Roman" w:hAnsi="Times New Roman" w:cs="Times New Roman"/>
          <w:color w:val="auto"/>
          <w:kern w:val="2"/>
          <w:sz w:val="24"/>
          <w:szCs w:val="24"/>
          <w:highlight w:val="none"/>
          <w:lang w:val="en-US" w:eastAsia="zh-CN" w:bidi="ar-SA"/>
        </w:rPr>
        <w:t>11</w:t>
      </w:r>
      <w:r>
        <w:rPr>
          <w:rFonts w:hint="default" w:ascii="Times New Roman" w:hAnsi="Times New Roman" w:eastAsia="宋体" w:cs="Times New Roman"/>
          <w:color w:val="auto"/>
          <w:kern w:val="2"/>
          <w:sz w:val="24"/>
          <w:szCs w:val="24"/>
          <w:highlight w:val="none"/>
          <w:lang w:val="zh-CN" w:eastAsia="zh-CN" w:bidi="ar-SA"/>
        </w:rPr>
        <w:t>]</w:t>
      </w:r>
    </w:p>
    <w:tbl>
      <w:tblPr>
        <w:tblStyle w:val="19"/>
        <w:tblW w:w="511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4"/>
        <w:gridCol w:w="7226"/>
        <w:gridCol w:w="2581"/>
        <w:gridCol w:w="1192"/>
        <w:gridCol w:w="1517"/>
      </w:tblGrid>
      <w:tr w14:paraId="4E4C4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284" w:type="pct"/>
            <w:vAlign w:val="center"/>
          </w:tcPr>
          <w:p w14:paraId="155FBC0A">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序号</w:t>
            </w:r>
          </w:p>
        </w:tc>
        <w:tc>
          <w:tcPr>
            <w:tcW w:w="2721" w:type="pct"/>
            <w:vAlign w:val="center"/>
          </w:tcPr>
          <w:p w14:paraId="0624D877">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实质性条款具体内容</w:t>
            </w:r>
          </w:p>
        </w:tc>
        <w:tc>
          <w:tcPr>
            <w:tcW w:w="972" w:type="pct"/>
            <w:vAlign w:val="center"/>
          </w:tcPr>
          <w:p w14:paraId="0BF4338F">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投标响应</w:t>
            </w:r>
          </w:p>
        </w:tc>
        <w:tc>
          <w:tcPr>
            <w:tcW w:w="449" w:type="pct"/>
            <w:vAlign w:val="center"/>
          </w:tcPr>
          <w:p w14:paraId="6B982442">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偏离情况</w:t>
            </w:r>
          </w:p>
        </w:tc>
        <w:tc>
          <w:tcPr>
            <w:tcW w:w="571" w:type="pct"/>
            <w:vAlign w:val="center"/>
          </w:tcPr>
          <w:p w14:paraId="4AE9CAC1">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说明</w:t>
            </w:r>
          </w:p>
        </w:tc>
      </w:tr>
      <w:tr w14:paraId="08282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284" w:type="pct"/>
            <w:vAlign w:val="center"/>
          </w:tcPr>
          <w:p w14:paraId="132D3DFB">
            <w:pPr>
              <w:keepNext w:val="0"/>
              <w:keepLines w:val="0"/>
              <w:widowControl w:val="0"/>
              <w:suppressLineNumbers w:val="0"/>
              <w:shd w:val="clear"/>
              <w:snapToGrid/>
              <w:spacing w:line="240" w:lineRule="atLeast"/>
              <w:ind w:left="0" w:leftChars="0" w:right="0" w:rightChars="0" w:firstLine="0" w:firstLineChars="0"/>
              <w:jc w:val="center"/>
              <w:textAlignment w:val="auto"/>
              <w:rPr>
                <w:rFonts w:hint="default" w:ascii="Calibri" w:hAnsi="Calibri" w:eastAsia="宋体" w:cs="黑体"/>
                <w:b w:val="0"/>
                <w:i w:val="0"/>
                <w:iCs w:val="0"/>
                <w:color w:val="auto"/>
                <w:kern w:val="2"/>
                <w:sz w:val="22"/>
                <w:szCs w:val="24"/>
                <w:highlight w:val="none"/>
                <w:u w:val="none"/>
                <w:lang w:val="en-US" w:eastAsia="zh-CN" w:bidi="ar"/>
              </w:rPr>
            </w:pPr>
            <w:r>
              <w:rPr>
                <w:rFonts w:hint="eastAsia" w:cs="黑体"/>
                <w:b w:val="0"/>
                <w:i w:val="0"/>
                <w:iCs w:val="0"/>
                <w:color w:val="auto"/>
                <w:kern w:val="2"/>
                <w:sz w:val="22"/>
                <w:szCs w:val="24"/>
                <w:highlight w:val="none"/>
                <w:u w:val="none"/>
                <w:lang w:val="en-US" w:eastAsia="zh-CN" w:bidi="ar"/>
              </w:rPr>
              <w:t>1</w:t>
            </w:r>
          </w:p>
        </w:tc>
        <w:tc>
          <w:tcPr>
            <w:tcW w:w="2721" w:type="pct"/>
            <w:vAlign w:val="center"/>
          </w:tcPr>
          <w:p w14:paraId="288E4E01">
            <w:pPr>
              <w:keepNext w:val="0"/>
              <w:keepLines w:val="0"/>
              <w:widowControl w:val="0"/>
              <w:suppressLineNumbers w:val="0"/>
              <w:shd w:val="clear"/>
              <w:snapToGrid/>
              <w:spacing w:line="240" w:lineRule="atLeast"/>
              <w:ind w:left="0" w:leftChars="0" w:right="0" w:rightChars="0" w:firstLine="0" w:firstLineChars="0"/>
              <w:jc w:val="left"/>
              <w:textAlignment w:val="auto"/>
              <w:rPr>
                <w:rFonts w:hint="eastAsia"/>
                <w:color w:val="auto"/>
                <w:sz w:val="22"/>
                <w:highlight w:val="none"/>
                <w:u w:val="none"/>
                <w:lang w:val="en-US" w:eastAsia="zh-CN" w:bidi="ar"/>
              </w:rPr>
            </w:pPr>
            <w:r>
              <w:rPr>
                <w:rFonts w:hint="eastAsia"/>
                <w:color w:val="auto"/>
                <w:sz w:val="22"/>
                <w:highlight w:val="none"/>
                <w:u w:val="none"/>
                <w:lang w:val="en-US" w:eastAsia="zh-CN" w:bidi="ar"/>
              </w:rPr>
              <w:t>第二章 六、货物清单及要求 （二）投标人资格及供货能力要求</w:t>
            </w:r>
          </w:p>
          <w:p w14:paraId="4BC747C6">
            <w:pPr>
              <w:keepNext w:val="0"/>
              <w:keepLines w:val="0"/>
              <w:widowControl w:val="0"/>
              <w:suppressLineNumbers w:val="0"/>
              <w:shd w:val="clear"/>
              <w:snapToGrid/>
              <w:spacing w:line="240" w:lineRule="atLeast"/>
              <w:ind w:left="0" w:leftChars="0" w:right="0" w:rightChars="0" w:firstLine="0" w:firstLineChars="0"/>
              <w:jc w:val="left"/>
              <w:textAlignment w:val="auto"/>
              <w:rPr>
                <w:rFonts w:hint="eastAsia" w:ascii="Calibri" w:hAnsi="Calibri" w:eastAsia="宋体" w:cs="黑体"/>
                <w:b w:val="0"/>
                <w:i w:val="0"/>
                <w:iCs w:val="0"/>
                <w:color w:val="auto"/>
                <w:kern w:val="2"/>
                <w:sz w:val="22"/>
                <w:szCs w:val="24"/>
                <w:highlight w:val="none"/>
                <w:u w:val="none"/>
                <w:lang w:val="en-US" w:eastAsia="zh-CN" w:bidi="ar"/>
              </w:rPr>
            </w:pPr>
            <w:r>
              <w:rPr>
                <w:rFonts w:hint="eastAsia" w:ascii="宋体" w:hAnsi="宋体" w:cs="宋体"/>
                <w:bCs w:val="0"/>
                <w:color w:val="auto"/>
                <w:sz w:val="21"/>
                <w:szCs w:val="21"/>
                <w:highlight w:val="none"/>
              </w:rPr>
              <w:t>★</w:t>
            </w: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sz w:val="21"/>
                <w:szCs w:val="21"/>
                <w:highlight w:val="none"/>
              </w:rPr>
              <w:t>投标人提供的产品必须符合国家规定的相应强制标准。</w:t>
            </w:r>
            <w:r>
              <w:rPr>
                <w:rFonts w:hint="eastAsia" w:ascii="宋体" w:hAnsi="宋体" w:eastAsia="宋体" w:cs="宋体"/>
                <w:color w:val="auto"/>
                <w:kern w:val="2"/>
                <w:sz w:val="21"/>
                <w:szCs w:val="21"/>
                <w:highlight w:val="none"/>
                <w:lang w:val="en-US" w:eastAsia="zh-CN" w:bidi="ar-SA"/>
              </w:rPr>
              <w:t>具备覆盖全品类物资的合法稳定供应渠道，并独立承担全部供应、配送、售后及法律责任。投标人须出具书面《履约能力承诺函》（格式自拟，加盖公章），承诺内容包括但不限于：中标后所供全部产品</w:t>
            </w:r>
            <w:r>
              <w:rPr>
                <w:rFonts w:hint="eastAsia" w:ascii="宋体" w:hAnsi="宋体" w:eastAsia="宋体" w:cs="宋体"/>
                <w:color w:val="auto"/>
                <w:sz w:val="21"/>
                <w:szCs w:val="21"/>
                <w:highlight w:val="none"/>
              </w:rPr>
              <w:t>符合国家规定的相应强制标准</w:t>
            </w:r>
            <w:r>
              <w:rPr>
                <w:rFonts w:hint="eastAsia" w:ascii="宋体" w:hAnsi="宋体" w:cs="宋体"/>
                <w:color w:val="auto"/>
                <w:sz w:val="21"/>
                <w:szCs w:val="21"/>
                <w:highlight w:val="none"/>
                <w:lang w:eastAsia="zh-CN"/>
              </w:rPr>
              <w:t>，</w:t>
            </w:r>
            <w:r>
              <w:rPr>
                <w:rFonts w:hint="eastAsia" w:ascii="宋体" w:hAnsi="宋体" w:eastAsia="宋体" w:cs="宋体"/>
                <w:color w:val="auto"/>
                <w:kern w:val="2"/>
                <w:sz w:val="21"/>
                <w:szCs w:val="21"/>
                <w:highlight w:val="none"/>
                <w:lang w:val="en-US" w:eastAsia="zh-CN" w:bidi="ar-SA"/>
              </w:rPr>
              <w:t>来源合法、渠道正规、质量合格，并独立承担全部供应、配送、售后及由此产生的全部法律责任。（未提供承诺函的按无效投标处理）</w:t>
            </w:r>
          </w:p>
        </w:tc>
        <w:tc>
          <w:tcPr>
            <w:tcW w:w="972" w:type="pct"/>
            <w:vAlign w:val="center"/>
          </w:tcPr>
          <w:p w14:paraId="49C110DB">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p>
        </w:tc>
        <w:tc>
          <w:tcPr>
            <w:tcW w:w="449" w:type="pct"/>
            <w:vAlign w:val="center"/>
          </w:tcPr>
          <w:p w14:paraId="4D6D12BF">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p>
        </w:tc>
        <w:tc>
          <w:tcPr>
            <w:tcW w:w="571" w:type="pct"/>
            <w:vAlign w:val="center"/>
          </w:tcPr>
          <w:p w14:paraId="5648C841">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p>
        </w:tc>
      </w:tr>
      <w:tr w14:paraId="4026E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284" w:type="pct"/>
            <w:vAlign w:val="center"/>
          </w:tcPr>
          <w:p w14:paraId="6537411D">
            <w:pPr>
              <w:widowControl w:val="0"/>
              <w:spacing w:line="240" w:lineRule="atLeast"/>
              <w:jc w:val="center"/>
              <w:textAlignment w:val="auto"/>
              <w:rPr>
                <w:rFonts w:hint="default" w:ascii="Calibri" w:hAnsi="Calibri" w:eastAsia="宋体" w:cs="黑体"/>
                <w:color w:val="auto"/>
                <w:kern w:val="2"/>
                <w:sz w:val="22"/>
                <w:szCs w:val="24"/>
                <w:highlight w:val="none"/>
                <w:u w:val="none"/>
                <w:vertAlign w:val="baseline"/>
                <w:lang w:val="en-US" w:eastAsia="zh-CN" w:bidi="ar"/>
              </w:rPr>
            </w:pPr>
            <w:r>
              <w:rPr>
                <w:rFonts w:hint="eastAsia" w:cs="黑体"/>
                <w:color w:val="auto"/>
                <w:kern w:val="2"/>
                <w:sz w:val="22"/>
                <w:szCs w:val="24"/>
                <w:highlight w:val="none"/>
                <w:u w:val="none"/>
                <w:vertAlign w:val="baseline"/>
                <w:lang w:val="en-US" w:eastAsia="zh-CN" w:bidi="ar"/>
              </w:rPr>
              <w:t>2</w:t>
            </w:r>
          </w:p>
        </w:tc>
        <w:tc>
          <w:tcPr>
            <w:tcW w:w="2721" w:type="pct"/>
            <w:vAlign w:val="center"/>
          </w:tcPr>
          <w:p w14:paraId="08CF47FD">
            <w:pPr>
              <w:keepNext w:val="0"/>
              <w:keepLines w:val="0"/>
              <w:pageBreakBefore w:val="0"/>
              <w:widowControl w:val="0"/>
              <w:tabs>
                <w:tab w:val="left" w:pos="929"/>
              </w:tabs>
              <w:kinsoku/>
              <w:wordWrap/>
              <w:overflowPunct/>
              <w:topLinePunct w:val="0"/>
              <w:autoSpaceDE/>
              <w:autoSpaceDN/>
              <w:bidi w:val="0"/>
              <w:adjustRightInd/>
              <w:snapToGrid/>
              <w:spacing w:line="240" w:lineRule="atLeast"/>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第二章 六、货物清单及要求 （三）商务要求</w:t>
            </w:r>
          </w:p>
          <w:p w14:paraId="12331E84">
            <w:pPr>
              <w:keepNext w:val="0"/>
              <w:keepLines w:val="0"/>
              <w:pageBreakBefore w:val="0"/>
              <w:widowControl w:val="0"/>
              <w:tabs>
                <w:tab w:val="left" w:pos="929"/>
              </w:tabs>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服务期限：本项目服务期限为1年。第一年为本次招标的中标服务期限，若合同履行结束后，采购人根据合同内容和招投标文件（供应商的资质、货物的详细技术参数符合程度等）进行履约评价，项目履约评价为“良好”及以上、供应商相关资质、信用情况审核合格，经双方协商同意可续签，但总体合同履行期限最长不得超过二十四个月。</w:t>
            </w:r>
          </w:p>
        </w:tc>
        <w:tc>
          <w:tcPr>
            <w:tcW w:w="972" w:type="pct"/>
          </w:tcPr>
          <w:p w14:paraId="7857C9FF">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449" w:type="pct"/>
          </w:tcPr>
          <w:p w14:paraId="3157EF1C">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571" w:type="pct"/>
          </w:tcPr>
          <w:p w14:paraId="43A3698C">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r>
      <w:tr w14:paraId="1D2D2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284" w:type="pct"/>
            <w:vAlign w:val="center"/>
          </w:tcPr>
          <w:p w14:paraId="51CD4B98">
            <w:pPr>
              <w:widowControl w:val="0"/>
              <w:spacing w:line="240" w:lineRule="atLeast"/>
              <w:jc w:val="center"/>
              <w:textAlignment w:val="auto"/>
              <w:rPr>
                <w:rFonts w:hint="default" w:ascii="Calibri" w:hAnsi="Calibri" w:cs="黑体"/>
                <w:color w:val="auto"/>
                <w:kern w:val="2"/>
                <w:sz w:val="22"/>
                <w:szCs w:val="24"/>
                <w:highlight w:val="none"/>
                <w:u w:val="none"/>
                <w:vertAlign w:val="baseline"/>
                <w:lang w:val="en-US" w:eastAsia="zh-CN" w:bidi="ar"/>
              </w:rPr>
            </w:pPr>
            <w:r>
              <w:rPr>
                <w:rFonts w:hint="eastAsia" w:cs="黑体"/>
                <w:color w:val="auto"/>
                <w:kern w:val="2"/>
                <w:sz w:val="22"/>
                <w:szCs w:val="24"/>
                <w:highlight w:val="none"/>
                <w:u w:val="none"/>
                <w:vertAlign w:val="baseline"/>
                <w:lang w:val="en-US" w:eastAsia="zh-CN" w:bidi="ar"/>
              </w:rPr>
              <w:t>3</w:t>
            </w:r>
          </w:p>
        </w:tc>
        <w:tc>
          <w:tcPr>
            <w:tcW w:w="2721" w:type="pct"/>
            <w:vAlign w:val="center"/>
          </w:tcPr>
          <w:p w14:paraId="04096F91">
            <w:pPr>
              <w:keepNext w:val="0"/>
              <w:keepLines w:val="0"/>
              <w:pageBreakBefore w:val="0"/>
              <w:widowControl w:val="0"/>
              <w:tabs>
                <w:tab w:val="left" w:pos="929"/>
              </w:tabs>
              <w:kinsoku/>
              <w:wordWrap/>
              <w:overflowPunct/>
              <w:topLinePunct w:val="0"/>
              <w:autoSpaceDE/>
              <w:autoSpaceDN/>
              <w:bidi w:val="0"/>
              <w:adjustRightInd/>
              <w:snapToGrid/>
              <w:spacing w:line="240" w:lineRule="atLeast"/>
              <w:jc w:val="left"/>
              <w:textAlignment w:val="auto"/>
              <w:rPr>
                <w:rFonts w:hint="eastAsia"/>
                <w:color w:val="auto"/>
                <w:sz w:val="22"/>
                <w:highlight w:val="none"/>
                <w:lang w:val="en-US" w:eastAsia="zh-CN"/>
              </w:rPr>
            </w:pPr>
            <w:r>
              <w:rPr>
                <w:rFonts w:hint="eastAsia" w:ascii="宋体" w:hAnsi="宋体" w:cs="宋体"/>
                <w:color w:val="auto"/>
                <w:szCs w:val="21"/>
                <w:highlight w:val="none"/>
                <w:lang w:val="en-US" w:eastAsia="zh-CN"/>
              </w:rPr>
              <w:t>第二章 六、货物清单及要求 （三）商务要求</w:t>
            </w:r>
          </w:p>
          <w:p w14:paraId="14780914">
            <w:pPr>
              <w:keepNext w:val="0"/>
              <w:keepLines w:val="0"/>
              <w:pageBreakBefore w:val="0"/>
              <w:widowControl w:val="0"/>
              <w:kinsoku/>
              <w:wordWrap/>
              <w:overflowPunct/>
              <w:topLinePunct w:val="0"/>
              <w:autoSpaceDE/>
              <w:autoSpaceDN/>
              <w:bidi w:val="0"/>
              <w:adjustRightInd/>
              <w:snapToGrid/>
              <w:spacing w:line="240" w:lineRule="atLeast"/>
              <w:jc w:val="left"/>
              <w:textAlignment w:val="auto"/>
              <w:rPr>
                <w:rFonts w:hint="eastAsia"/>
                <w:color w:val="auto"/>
                <w:sz w:val="22"/>
                <w:highlight w:val="none"/>
                <w:lang w:val="en-US" w:eastAsia="zh-CN"/>
              </w:rPr>
            </w:pPr>
            <w:r>
              <w:rPr>
                <w:rFonts w:hint="eastAsia"/>
                <w:color w:val="auto"/>
                <w:sz w:val="22"/>
                <w:highlight w:val="none"/>
                <w:lang w:val="en-US" w:eastAsia="zh-CN"/>
              </w:rPr>
              <w:t>5.运输及包装要求</w:t>
            </w:r>
          </w:p>
          <w:p w14:paraId="2A73625C">
            <w:pPr>
              <w:keepNext w:val="0"/>
              <w:keepLines w:val="0"/>
              <w:pageBreakBefore w:val="0"/>
              <w:widowControl w:val="0"/>
              <w:kinsoku/>
              <w:wordWrap/>
              <w:overflowPunct/>
              <w:topLinePunct w:val="0"/>
              <w:autoSpaceDE/>
              <w:autoSpaceDN/>
              <w:bidi w:val="0"/>
              <w:adjustRightInd/>
              <w:snapToGrid/>
              <w:spacing w:line="240" w:lineRule="atLeast"/>
              <w:jc w:val="left"/>
              <w:textAlignment w:val="auto"/>
              <w:rPr>
                <w:rFonts w:hint="eastAsia"/>
                <w:color w:val="auto"/>
                <w:sz w:val="22"/>
                <w:highlight w:val="none"/>
                <w:lang w:val="en-US" w:eastAsia="zh-CN"/>
              </w:rPr>
            </w:pPr>
            <w:r>
              <w:rPr>
                <w:rFonts w:hint="eastAsia"/>
                <w:color w:val="auto"/>
                <w:sz w:val="22"/>
                <w:highlight w:val="none"/>
                <w:lang w:val="en-US" w:eastAsia="zh-CN"/>
              </w:rPr>
              <w:t>（1）中标人负责把货物免费运送至采购人指定地点（深圳市内）。</w:t>
            </w:r>
          </w:p>
          <w:p w14:paraId="5DD982E6">
            <w:pPr>
              <w:keepNext w:val="0"/>
              <w:keepLines w:val="0"/>
              <w:pageBreakBefore w:val="0"/>
              <w:widowControl w:val="0"/>
              <w:kinsoku/>
              <w:wordWrap/>
              <w:overflowPunct/>
              <w:topLinePunct w:val="0"/>
              <w:autoSpaceDE/>
              <w:autoSpaceDN/>
              <w:bidi w:val="0"/>
              <w:adjustRightInd/>
              <w:snapToGrid/>
              <w:spacing w:line="240" w:lineRule="atLeast"/>
              <w:jc w:val="left"/>
              <w:textAlignment w:val="auto"/>
              <w:rPr>
                <w:rFonts w:hint="eastAsia"/>
                <w:color w:val="auto"/>
                <w:sz w:val="22"/>
                <w:highlight w:val="none"/>
                <w:lang w:val="en-US" w:eastAsia="zh-CN"/>
              </w:rPr>
            </w:pPr>
            <w:r>
              <w:rPr>
                <w:rFonts w:hint="eastAsia"/>
                <w:color w:val="auto"/>
                <w:sz w:val="22"/>
                <w:highlight w:val="none"/>
                <w:lang w:val="en-US" w:eastAsia="zh-CN"/>
              </w:rPr>
              <w:t>（2）中标人交货时要提供货物明细单一式两份，明细清单应注明货物名称、到货数量、规格、供货日期等信息。</w:t>
            </w:r>
          </w:p>
        </w:tc>
        <w:tc>
          <w:tcPr>
            <w:tcW w:w="972" w:type="pct"/>
          </w:tcPr>
          <w:p w14:paraId="3BCC5B33">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449" w:type="pct"/>
          </w:tcPr>
          <w:p w14:paraId="451A5920">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571" w:type="pct"/>
          </w:tcPr>
          <w:p w14:paraId="2FEE55CD">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r>
    </w:tbl>
    <w:p w14:paraId="2752401C">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注：1.上表所列各项均为不可负偏离条款。</w:t>
      </w:r>
    </w:p>
    <w:p w14:paraId="7B87C6B2">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2.“投标响应”一栏应当详细填写投标人自身响应情况。</w:t>
      </w:r>
    </w:p>
    <w:p w14:paraId="7BB46474">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3.“偏离情况”一栏应填写“正偏离”“负偏离”或“无偏离”“正偏离”表示“投标响应优于实质性条款具体内容要求”“负偏离”表示“投标响应不满足实质性条款具体内容要求”“无偏离”表示“投标响应与实质性条款具体内容要求一致”。</w:t>
      </w:r>
    </w:p>
    <w:p w14:paraId="5C5C00C6">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4.评审委员会有权对投标响应情况作出判断（作出评审结论）。</w:t>
      </w:r>
    </w:p>
    <w:p w14:paraId="08A0B9E8">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5.实质性响应条款“投标响应情况”与</w:t>
      </w:r>
      <w:r>
        <w:rPr>
          <w:rFonts w:hint="eastAsia"/>
          <w:color w:val="auto"/>
          <w:highlight w:val="none"/>
          <w:lang w:val="en-US" w:eastAsia="zh-CN"/>
        </w:rPr>
        <w:t>投标</w:t>
      </w:r>
      <w:r>
        <w:rPr>
          <w:rFonts w:hint="eastAsia" w:eastAsia="宋体"/>
          <w:color w:val="auto"/>
          <w:highlight w:val="none"/>
          <w:lang w:val="en-US" w:eastAsia="zh-CN"/>
        </w:rPr>
        <w:t>文件其他内容冲突的，以实质性响应条款“投标响应情况”为准。</w:t>
      </w:r>
    </w:p>
    <w:p w14:paraId="2B1C4BBF">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6.要求提供证明资料，在“说明”一栏中列明证明资料的位置，以便评审；未要求提供证明材料的，投标人可以不提供。</w:t>
      </w:r>
    </w:p>
    <w:p w14:paraId="0A8D14B1">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p>
    <w:p w14:paraId="61A830E3">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法定代表人或其授权代表人（签字）：</w:t>
      </w:r>
    </w:p>
    <w:p w14:paraId="57742F8A">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投标单位全称（加盖公章）：</w:t>
      </w:r>
    </w:p>
    <w:p w14:paraId="1E9A9707">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default" w:eastAsia="宋体"/>
          <w:color w:val="auto"/>
          <w:highlight w:val="none"/>
          <w:lang w:val="en-US" w:eastAsia="zh-CN"/>
        </w:rPr>
      </w:pPr>
      <w:r>
        <w:rPr>
          <w:rFonts w:hint="eastAsia"/>
          <w:color w:val="auto"/>
          <w:highlight w:val="none"/>
          <w:lang w:val="en-US" w:eastAsia="zh-CN"/>
        </w:rPr>
        <w:t>日期：</w:t>
      </w:r>
    </w:p>
    <w:p w14:paraId="65B97ECF">
      <w:pPr>
        <w:keepLines w:val="0"/>
        <w:pageBreakBefore w:val="0"/>
        <w:widowControl w:val="0"/>
        <w:numPr>
          <w:ilvl w:val="0"/>
          <w:numId w:val="0"/>
        </w:numPr>
        <w:kinsoku/>
        <w:wordWrap/>
        <w:overflowPunct/>
        <w:topLinePunct w:val="0"/>
        <w:bidi w:val="0"/>
        <w:spacing w:line="560" w:lineRule="exact"/>
        <w:ind w:firstLine="5481" w:firstLineChars="2600"/>
        <w:jc w:val="both"/>
        <w:rPr>
          <w:rFonts w:hint="eastAsia" w:ascii="宋体" w:cs="宋体"/>
          <w:b/>
          <w:bCs/>
          <w:color w:val="auto"/>
          <w:szCs w:val="21"/>
          <w:highlight w:val="none"/>
        </w:rPr>
      </w:pPr>
      <w:r>
        <w:rPr>
          <w:rFonts w:hint="eastAsia" w:ascii="宋体" w:cs="宋体"/>
          <w:b/>
          <w:bCs/>
          <w:color w:val="auto"/>
          <w:szCs w:val="21"/>
          <w:highlight w:val="none"/>
        </w:rPr>
        <w:br w:type="page"/>
      </w:r>
    </w:p>
    <w:p w14:paraId="7F591683">
      <w:pPr>
        <w:keepLines w:val="0"/>
        <w:pageBreakBefore w:val="0"/>
        <w:tabs>
          <w:tab w:val="left" w:pos="0"/>
        </w:tabs>
        <w:kinsoku/>
        <w:wordWrap/>
        <w:overflowPunct/>
        <w:topLinePunct w:val="0"/>
        <w:bidi w:val="0"/>
        <w:snapToGrid w:val="0"/>
        <w:spacing w:line="500" w:lineRule="exact"/>
        <w:jc w:val="center"/>
        <w:rPr>
          <w:rFonts w:hint="eastAsia" w:ascii="仿宋" w:hAnsi="仿宋" w:eastAsia="仿宋" w:cs="仿宋"/>
          <w:b/>
          <w:color w:val="auto"/>
          <w:kern w:val="0"/>
          <w:sz w:val="44"/>
          <w:szCs w:val="44"/>
          <w:highlight w:val="none"/>
          <w:lang w:val="zh-CN"/>
        </w:rPr>
      </w:pPr>
      <w:r>
        <w:rPr>
          <w:rFonts w:hint="eastAsia" w:ascii="仿宋" w:hAnsi="仿宋" w:eastAsia="仿宋" w:cs="仿宋"/>
          <w:b/>
          <w:color w:val="auto"/>
          <w:kern w:val="0"/>
          <w:sz w:val="44"/>
          <w:szCs w:val="44"/>
          <w:highlight w:val="none"/>
          <w:lang w:val="zh-CN"/>
        </w:rPr>
        <w:t>技术要求偏离表</w:t>
      </w:r>
    </w:p>
    <w:tbl>
      <w:tblPr>
        <w:tblStyle w:val="19"/>
        <w:tblpPr w:leftFromText="180" w:rightFromText="180" w:vertAnchor="text" w:horzAnchor="page" w:tblpX="1620" w:tblpY="930"/>
        <w:tblOverlap w:val="never"/>
        <w:tblW w:w="1329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6"/>
        <w:gridCol w:w="1495"/>
        <w:gridCol w:w="6615"/>
        <w:gridCol w:w="720"/>
        <w:gridCol w:w="1740"/>
        <w:gridCol w:w="1290"/>
        <w:gridCol w:w="818"/>
      </w:tblGrid>
      <w:tr w14:paraId="5C88F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blHeader/>
        </w:trPr>
        <w:tc>
          <w:tcPr>
            <w:tcW w:w="13294" w:type="dxa"/>
            <w:gridSpan w:val="7"/>
            <w:tcBorders>
              <w:top w:val="single" w:color="000000" w:sz="8" w:space="0"/>
              <w:left w:val="single" w:color="000000" w:sz="8" w:space="0"/>
              <w:bottom w:val="single" w:color="000000" w:sz="8" w:space="0"/>
              <w:right w:val="single" w:color="000000" w:sz="8" w:space="0"/>
            </w:tcBorders>
            <w:shd w:val="clear" w:color="auto" w:fill="auto"/>
            <w:noWrap/>
            <w:vAlign w:val="center"/>
          </w:tcPr>
          <w:p w14:paraId="78AB3CAD">
            <w:pPr>
              <w:pStyle w:val="18"/>
              <w:keepNext w:val="0"/>
              <w:keepLines w:val="0"/>
              <w:pageBreakBefore w:val="0"/>
              <w:widowControl w:val="0"/>
              <w:kinsoku/>
              <w:wordWrap/>
              <w:overflowPunct/>
              <w:topLinePunct w:val="0"/>
              <w:autoSpaceDE/>
              <w:autoSpaceDN/>
              <w:bidi w:val="0"/>
              <w:adjustRightInd/>
              <w:snapToGrid/>
              <w:spacing w:after="0" w:line="320" w:lineRule="exact"/>
              <w:ind w:left="0" w:leftChars="0" w:right="0" w:rightChars="0" w:firstLine="0" w:firstLineChars="0"/>
              <w:jc w:val="left"/>
              <w:textAlignment w:val="auto"/>
              <w:rPr>
                <w:rFonts w:hint="eastAsia" w:ascii="Calibri" w:hAnsi="Calibri" w:eastAsia="宋体" w:cs="黑体"/>
                <w:color w:val="auto"/>
                <w:kern w:val="2"/>
                <w:sz w:val="24"/>
                <w:szCs w:val="32"/>
                <w:highlight w:val="none"/>
                <w:lang w:val="en-US" w:eastAsia="zh-CN" w:bidi="ar-SA"/>
              </w:rPr>
            </w:pPr>
            <w:r>
              <w:rPr>
                <w:rFonts w:hint="eastAsia" w:ascii="Calibri" w:hAnsi="Calibri" w:eastAsia="宋体" w:cs="黑体"/>
                <w:color w:val="auto"/>
                <w:kern w:val="2"/>
                <w:sz w:val="24"/>
                <w:szCs w:val="32"/>
                <w:highlight w:val="none"/>
                <w:lang w:val="zh-CN" w:eastAsia="zh-CN" w:bidi="ar-SA"/>
              </w:rPr>
              <w:t>项目名称：</w:t>
            </w:r>
            <w:r>
              <w:rPr>
                <w:rFonts w:hint="default" w:ascii="Times New Roman" w:hAnsi="Times New Roman" w:cs="Times New Roman"/>
                <w:color w:val="auto"/>
                <w:sz w:val="24"/>
                <w:highlight w:val="none"/>
                <w:lang w:val="zh-CN"/>
              </w:rPr>
              <w:t>深圳市龙岗区第七人民医院2026-2027年度五金耗材</w:t>
            </w:r>
            <w:r>
              <w:rPr>
                <w:rFonts w:hint="eastAsia" w:ascii="Times New Roman" w:hAnsi="Times New Roman" w:cs="Times New Roman"/>
                <w:color w:val="auto"/>
                <w:sz w:val="24"/>
                <w:highlight w:val="none"/>
                <w:lang w:val="en-US" w:eastAsia="zh-CN"/>
              </w:rPr>
              <w:t>项目</w:t>
            </w:r>
          </w:p>
          <w:p w14:paraId="08E358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default" w:ascii="宋体" w:hAnsi="宋体" w:eastAsia="宋体" w:cs="宋体"/>
                <w:b/>
                <w:bCs/>
                <w:i w:val="0"/>
                <w:iCs w:val="0"/>
                <w:color w:val="000000"/>
                <w:kern w:val="0"/>
                <w:sz w:val="24"/>
                <w:szCs w:val="24"/>
                <w:u w:val="none"/>
                <w:lang w:val="en-US" w:eastAsia="zh-CN" w:bidi="ar"/>
              </w:rPr>
            </w:pPr>
            <w:r>
              <w:rPr>
                <w:rFonts w:hint="eastAsia" w:ascii="Calibri" w:hAnsi="Calibri" w:eastAsia="宋体" w:cs="黑体"/>
                <w:color w:val="auto"/>
                <w:kern w:val="2"/>
                <w:sz w:val="24"/>
                <w:szCs w:val="32"/>
                <w:highlight w:val="none"/>
                <w:lang w:val="en-US" w:eastAsia="zh-CN" w:bidi="ar-SA"/>
              </w:rPr>
              <w:t>项目编号：深龙七医采[</w:t>
            </w:r>
            <w:r>
              <w:rPr>
                <w:rFonts w:hint="eastAsia" w:cs="黑体"/>
                <w:color w:val="auto"/>
                <w:kern w:val="2"/>
                <w:sz w:val="24"/>
                <w:szCs w:val="32"/>
                <w:highlight w:val="none"/>
                <w:lang w:val="en-US" w:eastAsia="zh-CN" w:bidi="ar-SA"/>
              </w:rPr>
              <w:t>LGQY2026ZW011</w:t>
            </w:r>
            <w:r>
              <w:rPr>
                <w:rFonts w:hint="eastAsia" w:ascii="Calibri" w:hAnsi="Calibri" w:eastAsia="宋体" w:cs="黑体"/>
                <w:color w:val="auto"/>
                <w:kern w:val="2"/>
                <w:sz w:val="24"/>
                <w:szCs w:val="32"/>
                <w:highlight w:val="none"/>
                <w:lang w:val="en-US" w:eastAsia="zh-CN" w:bidi="ar-SA"/>
              </w:rPr>
              <w:t>]</w:t>
            </w:r>
          </w:p>
        </w:tc>
      </w:tr>
      <w:tr w14:paraId="58561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trPr>
        <w:tc>
          <w:tcPr>
            <w:tcW w:w="616" w:type="dxa"/>
            <w:tcBorders>
              <w:top w:val="single" w:color="000000" w:sz="8" w:space="0"/>
              <w:left w:val="single" w:color="000000" w:sz="8" w:space="0"/>
              <w:bottom w:val="single" w:color="auto" w:sz="4" w:space="0"/>
              <w:right w:val="single" w:color="000000" w:sz="8" w:space="0"/>
            </w:tcBorders>
            <w:shd w:val="clear" w:color="auto" w:fill="auto"/>
            <w:noWrap/>
            <w:vAlign w:val="center"/>
          </w:tcPr>
          <w:p w14:paraId="7E50E37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kern w:val="2"/>
                <w:sz w:val="24"/>
                <w:szCs w:val="24"/>
                <w:u w:val="none"/>
                <w:lang w:val="en-US" w:eastAsia="zh-CN" w:bidi="ar-SA"/>
              </w:rPr>
            </w:pPr>
            <w:r>
              <w:rPr>
                <w:rFonts w:hint="eastAsia" w:ascii="宋体" w:hAnsi="宋体" w:eastAsia="宋体" w:cs="宋体"/>
                <w:b/>
                <w:bCs/>
                <w:i w:val="0"/>
                <w:iCs w:val="0"/>
                <w:color w:val="000000"/>
                <w:kern w:val="0"/>
                <w:sz w:val="24"/>
                <w:szCs w:val="24"/>
                <w:u w:val="none"/>
                <w:lang w:val="en-US" w:eastAsia="zh-CN" w:bidi="ar"/>
              </w:rPr>
              <w:t>序号</w:t>
            </w:r>
          </w:p>
        </w:tc>
        <w:tc>
          <w:tcPr>
            <w:tcW w:w="1495" w:type="dxa"/>
            <w:tcBorders>
              <w:top w:val="single" w:color="000000" w:sz="8" w:space="0"/>
              <w:left w:val="nil"/>
              <w:bottom w:val="single" w:color="auto" w:sz="4" w:space="0"/>
              <w:right w:val="single" w:color="000000" w:sz="8" w:space="0"/>
            </w:tcBorders>
            <w:shd w:val="clear" w:color="auto" w:fill="auto"/>
            <w:vAlign w:val="center"/>
          </w:tcPr>
          <w:p w14:paraId="7EB9C8B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kern w:val="2"/>
                <w:sz w:val="24"/>
                <w:szCs w:val="24"/>
                <w:u w:val="none"/>
                <w:lang w:val="en-US" w:eastAsia="zh-CN" w:bidi="ar-SA"/>
              </w:rPr>
            </w:pPr>
            <w:r>
              <w:rPr>
                <w:rFonts w:hint="eastAsia" w:ascii="宋体" w:hAnsi="宋体" w:cs="宋体"/>
                <w:b/>
                <w:bCs/>
                <w:i w:val="0"/>
                <w:iCs w:val="0"/>
                <w:color w:val="000000"/>
                <w:kern w:val="0"/>
                <w:sz w:val="24"/>
                <w:szCs w:val="24"/>
                <w:u w:val="none"/>
                <w:lang w:val="en-US" w:eastAsia="zh-CN" w:bidi="ar"/>
              </w:rPr>
              <w:t>物品</w:t>
            </w:r>
            <w:r>
              <w:rPr>
                <w:rFonts w:hint="eastAsia" w:ascii="宋体" w:hAnsi="宋体" w:eastAsia="宋体" w:cs="宋体"/>
                <w:b/>
                <w:bCs/>
                <w:i w:val="0"/>
                <w:iCs w:val="0"/>
                <w:color w:val="000000"/>
                <w:kern w:val="0"/>
                <w:sz w:val="24"/>
                <w:szCs w:val="24"/>
                <w:u w:val="none"/>
                <w:lang w:val="en-US" w:eastAsia="zh-CN" w:bidi="ar"/>
              </w:rPr>
              <w:t>名称</w:t>
            </w:r>
          </w:p>
        </w:tc>
        <w:tc>
          <w:tcPr>
            <w:tcW w:w="6615" w:type="dxa"/>
            <w:tcBorders>
              <w:top w:val="single" w:color="000000" w:sz="8" w:space="0"/>
              <w:left w:val="nil"/>
              <w:bottom w:val="single" w:color="auto" w:sz="4" w:space="0"/>
              <w:right w:val="single" w:color="000000" w:sz="8" w:space="0"/>
            </w:tcBorders>
            <w:shd w:val="clear" w:color="auto" w:fill="auto"/>
            <w:vAlign w:val="center"/>
          </w:tcPr>
          <w:p w14:paraId="709BEF0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kern w:val="2"/>
                <w:sz w:val="24"/>
                <w:szCs w:val="24"/>
                <w:u w:val="none"/>
                <w:lang w:val="en-US" w:eastAsia="zh-CN" w:bidi="ar-SA"/>
              </w:rPr>
            </w:pPr>
            <w:r>
              <w:rPr>
                <w:rFonts w:hint="eastAsia" w:ascii="仿宋_GB2312" w:hAnsi="仿宋_GB2312" w:eastAsia="仿宋_GB2312" w:cs="仿宋_GB2312"/>
                <w:b/>
                <w:bCs/>
                <w:kern w:val="0"/>
                <w:sz w:val="24"/>
                <w:szCs w:val="24"/>
                <w:lang w:val="en-US" w:eastAsia="zh-CN" w:bidi="ar"/>
              </w:rPr>
              <w:t>招标技术要求</w:t>
            </w:r>
          </w:p>
        </w:tc>
        <w:tc>
          <w:tcPr>
            <w:tcW w:w="720" w:type="dxa"/>
            <w:tcBorders>
              <w:top w:val="single" w:color="000000" w:sz="8" w:space="0"/>
              <w:left w:val="nil"/>
              <w:bottom w:val="single" w:color="auto" w:sz="4" w:space="0"/>
              <w:right w:val="single" w:color="000000" w:sz="8" w:space="0"/>
            </w:tcBorders>
            <w:shd w:val="clear" w:color="auto" w:fill="auto"/>
            <w:vAlign w:val="center"/>
          </w:tcPr>
          <w:p w14:paraId="184A5E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i w:val="0"/>
                <w:iCs w:val="0"/>
                <w:color w:val="000000"/>
                <w:kern w:val="2"/>
                <w:sz w:val="24"/>
                <w:szCs w:val="24"/>
                <w:u w:val="none"/>
                <w:lang w:val="en-US" w:eastAsia="zh-CN" w:bidi="ar-SA"/>
              </w:rPr>
            </w:pPr>
            <w:r>
              <w:rPr>
                <w:rFonts w:hint="eastAsia" w:ascii="仿宋_GB2312" w:hAnsi="仿宋_GB2312" w:eastAsia="仿宋_GB2312" w:cs="仿宋_GB2312"/>
                <w:b/>
                <w:bCs/>
                <w:kern w:val="0"/>
                <w:sz w:val="24"/>
                <w:szCs w:val="24"/>
                <w:lang w:val="en-US" w:eastAsia="zh-CN" w:bidi="ar"/>
              </w:rPr>
              <w:t>标注</w:t>
            </w:r>
          </w:p>
        </w:tc>
        <w:tc>
          <w:tcPr>
            <w:tcW w:w="1740" w:type="dxa"/>
            <w:tcBorders>
              <w:top w:val="single" w:color="000000" w:sz="8" w:space="0"/>
              <w:left w:val="nil"/>
              <w:bottom w:val="single" w:color="auto" w:sz="4" w:space="0"/>
              <w:right w:val="single" w:color="000000" w:sz="8" w:space="0"/>
            </w:tcBorders>
            <w:shd w:val="clear" w:color="auto" w:fill="auto"/>
            <w:vAlign w:val="center"/>
          </w:tcPr>
          <w:p w14:paraId="0D3683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仿宋_GB2312" w:hAnsi="仿宋_GB2312" w:eastAsia="仿宋_GB2312" w:cs="仿宋_GB2312"/>
                <w:b/>
                <w:bCs/>
                <w:kern w:val="0"/>
                <w:sz w:val="24"/>
                <w:szCs w:val="24"/>
                <w:lang w:val="en-US" w:eastAsia="zh-CN" w:bidi="ar"/>
              </w:rPr>
              <w:t>投标技术响应</w:t>
            </w:r>
          </w:p>
        </w:tc>
        <w:tc>
          <w:tcPr>
            <w:tcW w:w="1290" w:type="dxa"/>
            <w:tcBorders>
              <w:top w:val="single" w:color="000000" w:sz="8" w:space="0"/>
              <w:left w:val="nil"/>
              <w:bottom w:val="single" w:color="auto" w:sz="4" w:space="0"/>
              <w:right w:val="single" w:color="000000" w:sz="8" w:space="0"/>
            </w:tcBorders>
            <w:shd w:val="clear" w:color="auto" w:fill="auto"/>
            <w:vAlign w:val="center"/>
          </w:tcPr>
          <w:p w14:paraId="7AB8AA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i w:val="0"/>
                <w:iCs w:val="0"/>
                <w:color w:val="000000"/>
                <w:kern w:val="2"/>
                <w:sz w:val="24"/>
                <w:szCs w:val="24"/>
                <w:u w:val="none"/>
                <w:lang w:val="en-US" w:eastAsia="zh-CN" w:bidi="ar-SA"/>
              </w:rPr>
            </w:pPr>
            <w:r>
              <w:rPr>
                <w:rFonts w:hint="eastAsia" w:ascii="仿宋_GB2312" w:hAnsi="仿宋_GB2312" w:eastAsia="仿宋_GB2312" w:cs="仿宋_GB2312"/>
                <w:b/>
                <w:bCs/>
                <w:kern w:val="0"/>
                <w:sz w:val="24"/>
                <w:szCs w:val="24"/>
                <w:lang w:val="en-US" w:eastAsia="zh-CN" w:bidi="ar"/>
              </w:rPr>
              <w:t>偏离情况</w:t>
            </w:r>
          </w:p>
        </w:tc>
        <w:tc>
          <w:tcPr>
            <w:tcW w:w="818" w:type="dxa"/>
            <w:tcBorders>
              <w:top w:val="single" w:color="000000" w:sz="8" w:space="0"/>
              <w:left w:val="nil"/>
              <w:bottom w:val="single" w:color="auto" w:sz="4" w:space="0"/>
              <w:right w:val="single" w:color="000000" w:sz="8" w:space="0"/>
            </w:tcBorders>
            <w:shd w:val="clear" w:color="auto" w:fill="auto"/>
            <w:vAlign w:val="center"/>
          </w:tcPr>
          <w:p w14:paraId="7C0FDD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仿宋_GB2312" w:hAnsi="仿宋_GB2312" w:eastAsia="仿宋_GB2312" w:cs="仿宋_GB2312"/>
                <w:b/>
                <w:bCs/>
                <w:kern w:val="0"/>
                <w:sz w:val="24"/>
                <w:szCs w:val="24"/>
                <w:lang w:val="en-US" w:eastAsia="zh-CN" w:bidi="ar"/>
              </w:rPr>
              <w:t>说明</w:t>
            </w:r>
          </w:p>
        </w:tc>
      </w:tr>
      <w:tr w14:paraId="2236E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552327">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0C1524F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LED灯管</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6AF4A75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额定电压AC220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240V，50Hz，功率16W，T8灯头G13，长度0.9m，色温6000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6500K，显色指数Ra≥80，光效≥100lm/W，符合GB/T24906</w:t>
            </w:r>
          </w:p>
        </w:tc>
        <w:tc>
          <w:tcPr>
            <w:tcW w:w="7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232C1D">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57DE4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36628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1C0A8E">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3AFF2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E915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A4DAA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LED灯管</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6BA518A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额定电压AC220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240V，50Hz，功率18W，T8灯头G13，长度1.2m，色温6000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6500K，显色指数Ra≥80，光效≥100lm/W，符合GB/T24906</w:t>
            </w:r>
          </w:p>
        </w:tc>
        <w:tc>
          <w:tcPr>
            <w:tcW w:w="7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CEEF22">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DF207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82F4E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2B5F47">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258A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F2056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38A8CA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LED灯管</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C4EA2F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额定电压AC220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240V，50Hz，功率40W，T8灯头G13，长度1.2m，色温6000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6500K，显色指数Ra≥80，光效≥100lm/W，符合GB/T24906</w:t>
            </w:r>
          </w:p>
        </w:tc>
        <w:tc>
          <w:tcPr>
            <w:tcW w:w="7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E8CD5B">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D5C76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422C21">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DA1A5B">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34C6D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1A4B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E786D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LED灯模组</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694132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额定电压AC220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240V，50Hz，功率36W，圆形，直径30cm，色温6000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6500K，显色指数Ra≥80，磁铁吸附安装</w:t>
            </w:r>
          </w:p>
        </w:tc>
        <w:tc>
          <w:tcPr>
            <w:tcW w:w="7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850E38">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3E2DB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0AA8A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EC8155">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4134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183A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C0B775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LED灯模组</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445EC8B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额定电压AC220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240V，50Hz，功率15W，圆形，直径12cm，色温6000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6500K，显色指数Ra≥80，磁铁吸附安装</w:t>
            </w:r>
          </w:p>
        </w:tc>
        <w:tc>
          <w:tcPr>
            <w:tcW w:w="7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D01095">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2E121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FF458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5DB399">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49B6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47D4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740D51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LED灯泡</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6A461B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额定电压AC220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240V，50Hz，功率5W，E27螺口，色温6000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6500K，Ra≥80，符合GB/T24908</w:t>
            </w:r>
          </w:p>
        </w:tc>
        <w:tc>
          <w:tcPr>
            <w:tcW w:w="7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7F5EE0">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2B0EE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D635D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D7CD61">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4F2E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2CCC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C8119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LED灯泡</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6AB7BC5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额定电压AC220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240V，50Hz，功率10W，E27螺口，色温6000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6500K，Ra≥80，符合GB/T24908</w:t>
            </w:r>
          </w:p>
        </w:tc>
        <w:tc>
          <w:tcPr>
            <w:tcW w:w="7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61749F">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BBFB8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5266B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0B2906">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3134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00183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212EBF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LED灯模组</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C4598B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额定电压AC220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240V，50Hz，功率48W，圆形，直径50cm，色温6000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6500K，显色指数Ra≥80，磁铁吸附安装</w:t>
            </w:r>
          </w:p>
        </w:tc>
        <w:tc>
          <w:tcPr>
            <w:tcW w:w="7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44D236">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BA05E2">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1257C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BBA4B5">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1334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1EDD1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2513B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LED平板灯</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4175F2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额定电压AC220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240V，50Hz，功率9W，圆形，直径10cm，边框白色，色温6000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6500K，Ra≥80</w:t>
            </w:r>
          </w:p>
        </w:tc>
        <w:tc>
          <w:tcPr>
            <w:tcW w:w="7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976F55">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161BE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5DDD8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9A45FB">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0B3E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B9F0B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103CA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LED平板灯盘</w:t>
            </w:r>
            <w:r>
              <w:rPr>
                <w:rFonts w:hint="eastAsia" w:ascii="宋体" w:hAnsi="宋体" w:eastAsia="宋体" w:cs="宋体"/>
                <w:i w:val="0"/>
                <w:iCs w:val="0"/>
                <w:color w:val="FF0000"/>
                <w:kern w:val="0"/>
                <w:sz w:val="22"/>
                <w:szCs w:val="22"/>
                <w:highlight w:val="none"/>
                <w:u w:val="none"/>
                <w:lang w:val="en-US" w:eastAsia="zh-CN" w:bidi="ar"/>
              </w:rPr>
              <w:t>（核心产品）</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A2172B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额定电压：220V</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240，功率：48W，边框：白色，流明≥3800lm，色温6500K，尺寸：600*600mm</w:t>
            </w:r>
          </w:p>
        </w:tc>
        <w:tc>
          <w:tcPr>
            <w:tcW w:w="7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02DE7D">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D681C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62A60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2CB43E">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DA1B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20604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5503583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LED平板灯盘</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79EF52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额定电压AC220</w:t>
            </w:r>
            <w:r>
              <w:rPr>
                <w:rFonts w:hint="eastAsia" w:ascii="宋体" w:hAnsi="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t>240V，50Hz，功率28W，300*300mm，白色边框，色温6500K，Ra≥80，适配集成吊顶安装</w:t>
            </w:r>
          </w:p>
        </w:tc>
        <w:tc>
          <w:tcPr>
            <w:tcW w:w="7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5CAB35">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76425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C4F4E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3B8F7F">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59063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481B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7666FB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LED平板灯盘</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5829F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额定电压AC220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240V，50Hz，功率68W，300*1200mm，白色边框，色温6500K，Ra≥80，适配集成吊顶安装</w:t>
            </w:r>
          </w:p>
        </w:tc>
        <w:tc>
          <w:tcPr>
            <w:tcW w:w="7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85D399">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448A1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6FCD2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59CCA4">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FE78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A859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7A00C8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LED平板灯盘</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6CD7376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额定电压AC220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240V，50Hz，功率120W，600*1200mm，白色边框，色温6500K，Ra≥80</w:t>
            </w:r>
          </w:p>
        </w:tc>
        <w:tc>
          <w:tcPr>
            <w:tcW w:w="7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E9FD63">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6C741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BCD4D1">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3196DB">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A064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56D8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F665D8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LED筒灯</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727D4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额定电压AC220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240V，功率15W，4寸规格，色温4000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6500K，Ra≥80</w:t>
            </w:r>
          </w:p>
        </w:tc>
        <w:tc>
          <w:tcPr>
            <w:tcW w:w="7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B76258">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47B7D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E0756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FBC902">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0490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FAE7C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BF8304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LED筒灯</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68396B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额定电压AC220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240V，功率9W，3.5寸规格，开孔适配，色温4000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6500K，Ra≥80</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66C58D3">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2E8D1A6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7C80662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2BCBA4E0">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50E40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CACA5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6A3019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PPR截止阀</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4C4E92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材质PPR+铜阀芯，4分规格，适配DN20管道，符合GB/T18742，耐压≥1.2MPa</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6E2FC64">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3AF3B45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4196FCD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1F9072C7">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9B34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DBD59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17</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F622BE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PPR内牙弯头</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AD3224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材质PPR，内嵌铜丝扣，4分DN20，符合GB/T18742，耐压≥1.2MPa</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6948F8B">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2B0A71D6">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6B2E3A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55FFB200">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A9FE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9539C6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778200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PPR热熔机</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6E5BD57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输入电压220V，适配4分</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1寸PPR管件热熔焊接</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12DF0F1">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6FDE86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03E9D0CD">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AFE3D8F">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D2AA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8AAA2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19</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77EF76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PPR热水管</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065366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聚丙烯PPR材质，4分DN20热水管，符合GB/T18742，耐温70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95℃，耐压≥1.2MPa</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94566DA">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0B945B8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0185D3B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6A5B8704">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1795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02763D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F19B5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PPR弯头</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7BC97C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材质PPR，4分DN20，符合GB/T18742，耐压≥1.2MPa</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7A56296">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B4E37C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7EBE1346">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699421A">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3E5D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685CF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07C07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PPR直通</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53168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材质PPR，4分DN20，符合GB/T18742，耐压≥1.2MPa</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C4BA03D">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2B37003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6E9BDE36">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FB92CEB">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3EE65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436184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589F849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PVC给水管</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33CD2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U给水，1寸DN32，符合GB/T10002.1，耐压≥1.0MPa，卫生符合GB/T17219</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A8521E7">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3F188EBD">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7C14BFA1">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295940AE">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E53A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15A82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23</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60766B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PVC给水管</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13CDA0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U给水，6分DN25，符合GB/T10002.1，耐压≥1.0MPa，卫生符合GB/T17219</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755FE2B">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5D1338C2">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5C3141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9B25D15">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2C1C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1F51C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24</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D7808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PVC内牙弯头</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1BA36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U材质，4分*4分，符合GB/T10002.2，耐压≥1.0MPa</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52548ED">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56BB51E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717DD4B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453BA81">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6866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A3963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7B9635F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PVC内牙直通</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75FBEB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U材质，4分*4分，符合GB/T10002.2，耐压≥1.0MPa</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E2E3D1C">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0B5AFF1">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7310D4C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9C90364">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49B2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4A107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26</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718F1E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PVC水管</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978DC2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U给水，4分DN20，符合GB/T10002.1，耐压≥1.0MPa，卫生符合GB/T17219</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EDE54BA">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189540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352E877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54B99225">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3F510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C3D36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27</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0E05B0B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PVC外牙直通</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0E981F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U材质，外丝4分*4分，符合GB/T10002.2，耐压≥1.0MPa</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3C9E3F6F">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5B85EF1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707F408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2FEB838C">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08C0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6128E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28</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7345614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PVC弯头</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3001EA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U管件，4分DN20，符合GB/T10002.2，耐压≥1.0MPa</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B7AE9A9">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570BCE8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6630A95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371BD0E">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684E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68A43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29</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592197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PVC弯头</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017961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U管件，6分DN25，符合GB/T10002.2，耐压≥1.0MPa</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9C71CA4">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0C5BBD2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35AF77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1DB8462">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1D1D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F116D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37A383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PVC弯头</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4D6363A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U管件，DN50，符合GB/T10002.2，耐压≥1.0MPa</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F2008A7">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12126A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F79990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0711FCB">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E754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BB5EFA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91D5C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PVC弯头45度</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0204345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U管件，45°4分DN20，符合GB/T10002.2，耐压≥1.0MPa</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0592543">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5D8A3EB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764A460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11676DDB">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39DA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A2771B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5AF507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PVC饮水管内牙弯头</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B85D86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U饮水专用管件，内嵌金属丝扣4分×4分，耐压≥1.0MPa</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EB1C207">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09C57D62">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B10961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573214F0">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06C3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335AF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33</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4D8CAC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PVC饮水管内牙弯头</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24E821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U饮水专用管件，内嵌金属丝扣6分×6分，耐压≥1.0MPa</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0544089">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EC78BA6">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06814CE2">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2CB31E66">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527D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4E4F15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34</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0EA5000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PVC饮水管内牙直通</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4781E10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U饮水专用管件，内嵌金属丝扣4分×4分，耐压≥1.0MPa</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124C6D96">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1F18FFF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3EA8462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11336625">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0A00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43C04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9A498C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PVC饮水管内牙直通</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5F0807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U饮水专用管件，内嵌金属丝扣6分×6分，耐压≥1.0MPa</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362B588">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7512E8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1D19BB6">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26207ACE">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561BE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11BCD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36</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1FB694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PVC饮水管三通</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500E09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U饮水专用三通，4分规格，耐压≥1.0MPa</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6FD11F4">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2BEE321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42DA058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D5A1E19">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C8CC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677EA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37</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024CEB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PVC饮水管三通</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250781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U饮水专用三通，6分规格，耐压≥1.0MPa</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3BC4C743">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712A3C1">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44C466B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F9C3E93">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746B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A2986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38</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BA9F7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PVC饮水管弯头</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E1C1A8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U饮水专用弯头，4分规格，耐压≥1.0MPa</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2F4124C">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3AA6DF2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CCD37A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42B10BF">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33C9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A7AC51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39</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DBC6E1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PVC饮水管弯头</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445FF2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U饮水专用弯头，6分规格，耐压≥1.0MPa</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9F2FF78">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127E5CE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4AA2466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098EBD6">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FE56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18960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70038A3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PVC饮水管直通</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698A89F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U饮水专用直通，4分规格，耐压≥1.0MPa</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CEC4101">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0A408F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D92BBA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3092EDF">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8D7A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A5C15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41</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F104EB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PVC饮水管直通</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BA3F2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U饮水专用直通，6分规格，耐压≥1.0MPa</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657FF3D5">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C3D6C1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3285519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3118D7D2">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6CC3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03469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42</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27DAE0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PVC英制水管</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78E919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U英制给水管6分，管材耐压≥1.0MPa</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53A74BE">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3B76D8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4D3DD74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2EB5199">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57958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A44681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43</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0DC51DA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PVC直通</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7E7D31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U管件，4分DN20，符合GB/T10002.2，耐压≥1.0MPa</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08A4088">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2255118D">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7B75C49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153B2804">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30DB9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FBD97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44</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2E713C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PVC直通</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C73BDD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U管件，6分DN25，符合GB/T10002.2，耐压≥1.0MPa</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7F34E9A">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12407342">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09C04C51">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0092AB2">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3A8FC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55A88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45</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AFB48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PVC直通</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E235A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U变径直通，63转50mm，耐压≥1.0MPa</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38203BA">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280A59E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7BE48CA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531C5709">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4888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C94F30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46</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A7367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白板盖</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4D6EDDD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材质阻燃PC，86型规格，颜色镜瓷白，尺寸86mm×86mm，安装适配86型底盒</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AE499AA">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E03691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0517D51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2EBA3CB1">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401C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EDF1B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47</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07CBA4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百叶排气扇</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0A26A30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额定电压AC220V</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240V，50Hz，12寸百叶式，带自动开合百叶，外壳阻燃ABS</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94035CF">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0DCC898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70AE49E1">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3BBE628E">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0017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C29B2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48</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866788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百叶排气扇</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CCA290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额定电压AC220V</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240V，50Hz，10寸百叶式，带自动开合百叶，外壳阻燃ABS</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9459D54">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36696BF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D833A0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391A97B7">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4244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951F3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49</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709BA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百叶排气扇</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721B78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额定电压AC220V</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240V，50Hz，8寸百叶式，带自动开合百叶，外壳阻燃ABS</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883C02A">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17E391D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E2F5EF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28C51E47">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EFA5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55863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03010D5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活动扳手</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849BC8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材质碳钢，10寸规格，锻造成型，调节螺杆灵活无卡顿，表面防锈处理，无裂纹砂眼</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FE64B83">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15F84A1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D86DBD2">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2BA92CF2">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04B0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28AC2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51</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0A5DE9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活动扳手</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E09E1F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材质碳钢，8寸规格，锻造成型，调节螺杆灵活无卡顿，表面防锈处理，无裂纹砂眼</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4B2F143">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11830C2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3ED3AEB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1C567847">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3754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F52CA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52</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5F1F5D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闭门器</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C1564D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主体铝合金壳体，液压缓冲结构，适配房间门，门距10cm</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1196078A">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50555F6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03028CC6">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925165D">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2970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339CD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53</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67BAB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闭门器</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62ECC53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主体铝合金壳体，液压缓冲结构，适配双开门，安装距35cm</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F447AFB">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06552F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6CBBCCB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5BFAC721">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B47E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F09A63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54</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1CF1D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编织软水管</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5BD023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材质304不锈钢编织网，内管三元乙丙橡胶，长度60CM，连接口径G1/2*G1/2，耐压≥1.0MPa</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F46EA9A">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5220E7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6C4348F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503E1F2">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304C4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CF5F5B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55</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31E0B4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编织软水管</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2B7786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材质304不锈钢编织网，内管三元乙丙橡胶，长度40CM，连接口径G1/2*G1/2，耐压≥1.0MPa</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0AAAFA2">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147DCA6">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7077043D">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3D2A49AD">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51B1E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51ED1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56</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0D3D8FD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编织软水管</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6406EE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304不锈钢编织层，内管三元乙丙橡胶，4分转2分变径接头，长度60cm，耐压≥1.0MPa</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35443E4">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B0E901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84A158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31845714">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4DFA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266CD0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57</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D0E3B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编织软水管</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0B79C1E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材质304不锈钢编织网，内管三元乙丙橡胶，长度100CM，连接口径G1/2*G1/2，耐压≥1.0MPa</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08AB2B1">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38C8911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F1B1D4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1DFE1FB">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6C88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BC8EF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58</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7F7C58E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波纹管</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03AE6DC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4分规格，外层铁皮防护，内层耐温软管，抗弯折，适配燃气/给排水管路</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37A14F1">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86B29A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3EC1921">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34630E63">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34E8F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DFC30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59</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11FECB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玻璃胶</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8A3F12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中性硅酮防霉胶，净含量750g，防霉等级一级，适用于玻璃、陶瓷、金属</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AA13E11">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1401B6F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7E7111B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549DA823">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E499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AEE7DD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60</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5F97D16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玻璃门铰链组</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92D63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不锈钢材质，12寸双向铰链，适配无框玻璃门，开合转动顺滑，承重满足常规玻璃门</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3A026113">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BCC095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AB4824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55522BF3">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35A3C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E128D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61</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06CDEA1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玻璃纸</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B2F47F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PVC磨砂遮光膜，规格120*500CM，透光不透视</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36F4A91A">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7983892">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F37C1C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9DA3B8B">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5292F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280AE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62</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8C38F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不锈钢半边码</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64732F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不锈钢材质1寸管卡半边码，冲压成型，防锈，适配管道固定安装</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171FBE7E">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C84716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B98A04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0DDE4C5">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270F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B6A89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63</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839810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不锈钢半边码</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509D3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不锈钢材质4分管卡半边码，冲压成型，边缘无毛刺，防锈，适配管道固定安装</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649F3355">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A72215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915726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538BD73">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18C3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FDEA8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64</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8CA7C1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不锈钢冰铲</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C98167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304不锈钢材质，规格10cm*50cm，一体冲压成型，耐腐蚀</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3A0610D">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0B632C6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466C6E3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76F5027">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4CB5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CABCA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65</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5EF8205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不锈钢插销</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12B3E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304不锈钢材质，4寸规格，滑动顺畅无卡滞，表面抛光防锈，适用于门窗闭锁</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D23A21C">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47025B2">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76A421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3FB0D8E9">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CFA8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8DE86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66</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81D2EE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不锈钢抽水泵</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76D4BC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额定电压AC220V</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240V，50Hz，型号QCK</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45M，不锈钢泵体，扬程满足45M工况</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F5F4315">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1567B7D">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541E1B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3197DB0">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5C5AF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0A4637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67</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D9D831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不锈钢挂钩</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068E32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304不锈钢材质，6钩一体式，配套安装螺丝，表面抛光，挂钩圆角处理，防锈耐腐蚀</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38F4E033">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21932361">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F197D0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5036F584">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57BD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6C73B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68</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5226BEA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不锈钢挂锁</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2DA881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锁体不锈钢材质，锁梁30CM，开关顺畅，防撬防锈，钥匙插拔顺滑</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E012260">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C22600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7652CA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2EC26289">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57E90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77C72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69</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3164C7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不锈钢豪华门锁</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E093A1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不锈钢执手门锁，螺丝孔距35cm，锁舌伸缩顺畅，表面抛光防锈，适配室内木门安装</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FCE7B95">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5BB0802D">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0A342F86">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637F10DE">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38A6D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A6465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70</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0756157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不锈钢豪华锁</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053DA76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不锈钢球形门锁，适配木门，锁芯启闭灵活，抗暴力扭转，表面抛光防锈，安装孔位通用</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458E71D">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6FF849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7CB506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FE71E66">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365F1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0A917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71</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7333E0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不锈钢蝴蝶钩</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453CDA3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不锈钢单蝴蝶挂钩，冲压成型，边角圆滑，防锈，安装孔规整，挂接牢固不易脱落</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1B75BBCC">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DDE6706">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43D3E38D">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3D4EC81E">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DED0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11288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0A4F5CB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不锈钢拉手</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848F75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不锈钢房门拉手，带安装固定孔，表面抛光，边角打磨圆滑，耐腐蚀，受力不易变形</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5D183BC">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5C8E232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D3D428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8491893">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F524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89DE4A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73</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B97C25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不锈钢螺栓</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0E58223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304不锈钢螺栓组件（螺栓+平垫+弹垫+螺母），规格ø10*40，螺纹完整，防锈耐腐蚀</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7E71664">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10CF1E9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41A91D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684450E9">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7133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31D6C5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74</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A182D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不锈钢螺栓</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ED6E64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304不锈钢螺栓组件（螺栓+平垫+弹垫+螺母），规格ø8*35，螺纹完整，防锈耐腐蚀</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3F820E82">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55F8155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789517C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7D85A48">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E3E8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EB71E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75</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66320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不锈钢内接</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9E4526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304不锈钢4分内丝接头，螺纹规整无崩牙密封面平整，耐压≥1.0MPa，防锈耐腐蚀</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6FB179CE">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0498119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F098172">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5C5E3214">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87B2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D8F8B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76</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5AF1B77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不锈钢内接</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091716A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304不锈钢4分内丝接头，螺纹规整无崩牙，密封面平整，耐压≥1.0MPa，防锈耐腐蚀</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152B1F4C">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37D61C4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01AFC38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66D28CD5">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E81B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1AE4D7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77</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78DE2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不锈钢三通</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013020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304不锈钢4分三通管件，无砂眼气孔，耐压≥1.0MPa</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39098FC">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0B35705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0F7F2A0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1B817218">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586F8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838189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78</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5F896E2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不锈钢水管</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6755A0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304不锈钢4分水管，内外抛光无毛刺，耐腐蚀，耐压≥1.0MPa，适配水暖管路</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611BD383">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1E8CA8A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6F010DD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3DBD8B51">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EA89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49EB05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79</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7B551C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不锈钢铁马护栏</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6BAEC2F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304不锈钢铁马，焊接牢固，焊缝打磨平整，表面抛光，结构稳固，防倾倒，防锈耐候</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204132B">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521ECF32">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6A5FBFF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70C363E">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9330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93B7B9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80</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7A6946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不锈钢托架</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0E1962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Style w:val="42"/>
                <w:highlight w:val="none"/>
                <w:lang w:val="en-US" w:eastAsia="zh-CN" w:bidi="ar"/>
              </w:rPr>
              <w:t>304不锈钢托架</w:t>
            </w:r>
            <w:r>
              <w:rPr>
                <w:kern w:val="0"/>
                <w:highlight w:val="none"/>
                <w:lang w:val="en-US" w:eastAsia="zh-CN" w:bidi="ar"/>
              </w:rPr>
              <w:t>，规格</w:t>
            </w:r>
            <w:r>
              <w:rPr>
                <w:rFonts w:hint="eastAsia"/>
                <w:kern w:val="0"/>
                <w:highlight w:val="none"/>
                <w:lang w:bidi="ar"/>
              </w:rPr>
              <w:t>50*50*10</w:t>
            </w:r>
            <w:r>
              <w:rPr>
                <w:rFonts w:hint="eastAsia"/>
                <w:kern w:val="0"/>
                <w:highlight w:val="none"/>
                <w:lang w:val="en-US" w:eastAsia="zh-CN" w:bidi="ar"/>
              </w:rPr>
              <w:t>cm</w:t>
            </w:r>
            <w:r>
              <w:rPr>
                <w:kern w:val="0"/>
                <w:highlight w:val="none"/>
                <w:lang w:val="en-US" w:eastAsia="zh-CN" w:bidi="ar"/>
              </w:rPr>
              <w:t>，焊接</w:t>
            </w:r>
            <w:r>
              <w:rPr>
                <w:rStyle w:val="42"/>
                <w:highlight w:val="none"/>
                <w:lang w:val="en-US" w:eastAsia="zh-CN" w:bidi="ar"/>
              </w:rPr>
              <w:t>牢固，边角打磨，防锈，适配设备、管路支撑</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AFD97CC">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21C137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35C6D9F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DF3111B">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BBE5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1123D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81</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7A03136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不锈钢外牙直通</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67FB3AF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304不锈钢4分外丝直通，耐压≥1.0MPa，无砂眼气孔，防锈耐腐蚀</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650291C">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EED838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4647C99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232F9F95">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722E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15475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82</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5B573F3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不锈钢弯头</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675844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304不锈钢4分弯头管件，丝牙规整，无砂眼，耐压≥1.0MPa，转角过渡圆滑，防锈耐腐蚀</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1101AA45">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0DCF9FF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ACD51A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6264FC7">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CF29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C4E97B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83</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7E268F7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不锈钢网</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E097EE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304不锈钢丝网，网孔1cm，高度1米，焊点牢固，无断丝，防锈耐腐蚀，抗外力撕扯</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BE40EC0">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837687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37E41BA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133B8A04">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01D7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DAD143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84</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3142ED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不锈钢下水头</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0F11D2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不锈钢下水头，ø5规格，接口圆滑，无毛刺，密封垫圈配套齐全，排水通畅，防锈耐腐蚀</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1DAC6A7B">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509F66D2">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45B64D1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67BCCFF1">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B121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2F5CC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85</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748182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不锈钢下水头</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6467EE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不锈钢下水头，ø11规格，接口圆滑，无毛刺，密封垫圈配套齐全，防锈耐腐蚀</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6B2086CB">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56F1470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3583F8D">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6FA01F89">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8C31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AF0D75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86</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128F7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不锈钢直通</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3EA5DC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304不锈钢4分直通接头，螺纹完整，无砂眼气孔，耐压≥1.0MPa</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4A23738">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148A7E9D">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2C1EE3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0FB66BD">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5BA44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A08F70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87</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7A7A680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插头</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C188A8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额定250V/10A，二脚电源插头，外壳阻燃PC，</w:t>
            </w:r>
            <w:r>
              <w:rPr>
                <w:highlight w:val="none"/>
              </w:rPr>
              <w:t>符合GB/T 2099.1-2021</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63A2B952">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211F93B6">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976A4FD">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1FA3C8E6">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7721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56640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88</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5AAF6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插头</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DAA210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额定250V/10A，三脚电源插头，外壳阻燃PC，</w:t>
            </w:r>
            <w:r>
              <w:rPr>
                <w:highlight w:val="none"/>
              </w:rPr>
              <w:t>符合GB/T 2099.1-2021</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6EE1B497">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0EE168A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0AF9D57D">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A5936A0">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96E4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6E8CDE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89</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5BBE74F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插座</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51F73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AC220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240V，10A额定电流，定时控制功能，外壳阻燃PC，</w:t>
            </w:r>
            <w:r>
              <w:rPr>
                <w:highlight w:val="none"/>
              </w:rPr>
              <w:t>符合GB/T 2099.1-2021</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3D27DCE">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0B8A293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7BFD664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57A58265">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92C0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9F35C3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90</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4F2442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插座</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0C0DAB4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250V/10A，带独立开关，阻燃PC外壳，</w:t>
            </w:r>
            <w:r>
              <w:rPr>
                <w:highlight w:val="none"/>
              </w:rPr>
              <w:t>符合GB/T 2099.1-2021</w:t>
            </w:r>
            <w:r>
              <w:rPr>
                <w:rFonts w:hint="eastAsia" w:ascii="宋体" w:hAnsi="宋体" w:eastAsia="宋体" w:cs="宋体"/>
                <w:i w:val="0"/>
                <w:iCs w:val="0"/>
                <w:color w:val="000000"/>
                <w:kern w:val="0"/>
                <w:sz w:val="22"/>
                <w:szCs w:val="22"/>
                <w:highlight w:val="none"/>
                <w:u w:val="none"/>
                <w:lang w:val="en-US" w:eastAsia="zh-CN" w:bidi="ar"/>
              </w:rPr>
              <w:t>安全标准</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84AEB35">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37676A3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4AE62E5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49079AC">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5355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D3166B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91</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57387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插座</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B2B619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250V/10A，带独立控制开关，阻燃PC材质</w:t>
            </w:r>
            <w:r>
              <w:rPr>
                <w:highlight w:val="none"/>
              </w:rPr>
              <w:t>符合GB/T 2099.1-2021</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970755B">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40F1DE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38B7224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30499D1C">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D942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F75E56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92</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07F3E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插座</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62C591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250V/10A三孔插座，阻燃PC外壳，</w:t>
            </w:r>
            <w:r>
              <w:rPr>
                <w:highlight w:val="none"/>
              </w:rPr>
              <w:t>符合GB/T 2099.1-2021</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8AC1703">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99B105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2F74AD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019BB06">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564AF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38FC9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93</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5A90A4E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插座</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7EC5B7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250V/16A三脚插座，带独立开关，阻燃PC外壳，</w:t>
            </w:r>
            <w:r>
              <w:rPr>
                <w:highlight w:val="none"/>
              </w:rPr>
              <w:t>符合GB/T 2099.1-2021</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733B5D1">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0D64E25D">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53B021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37732FC4">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9BEC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3F1F8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94</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3F6545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插座</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6A0B3C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AC220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240V，16A，集成漏电保护模块，漏电动作电流≤30mA，动作时间≤0.1S，阻燃外壳</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9DD8D98">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08365C4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02D23D1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E65384D">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4703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32F9F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95</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1EC3F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插座</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51DFE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250V/10A，一转六孔转换插座，阻燃PC壳体，绝缘防护满足</w:t>
            </w:r>
            <w:r>
              <w:rPr>
                <w:highlight w:val="none"/>
              </w:rPr>
              <w:t>GB/T 2099.1-2021</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B92DEDC">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25B7F51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0DDC39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384B1B81">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615C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1BC12B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96</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3D5860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冲击钻头</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9B160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硬质合金刀头，16mm规格，适用于混凝土墙体钻孔，排屑槽规整</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652C8C0">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0461ED1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B4E249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7F942D1">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32C06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3EDE8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97</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E09F6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冲击钻头</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6F653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硬质合金刀头，10mm规格，适用于混凝土墙体钻孔，排屑槽规整</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A7A9502">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0C6B6E0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901E8AD">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14590B9B">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0456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DC58B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98</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933CC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冲击钻头</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4A431C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硬质合金刀头，6mm规格，适用于混凝土墙体钻孔，排屑槽规整</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1468C844">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F19754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FC1FAA1">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51CE3AC">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2CF5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2A9EE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99</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37E52F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冲水阀</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61FEC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阀体铜合金材质，适配蹲便器大便冲水耐压无渗漏</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66226786">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84ECA0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0949FAF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18F5BC7">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6BD1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063BE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5D76A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冲水箱</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121D4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规格双按，材质PP材料，排水接口适配，密封配件齐全</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9001039">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5B218FF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7B82767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1BDC2A4">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BB13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F6A8E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101</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FCB590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抽屉锁</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0DA815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锁壳锌合金，锁芯铜质，ø19规格，抗锈蚀，适配普通抽屉柜体安装</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8AED1C9">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05E4666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A790AD2">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5B84EFFD">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7518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1F0FF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102</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A1B65A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抽屉锁</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65B4037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锁壳锌合金，锁芯铜质，ø22规格，抗锈蚀，适配普通抽屉柜体安装</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4FD762B">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355505A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01F1B19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3BAC9C9">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D355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A1399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103</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70A3913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抽屉锁</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03E4B6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锁壳锌合金，锁芯铜质，ø25规格，抗锈蚀，适配普通抽屉柜体安装</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A2A11BC">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327CCBF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6A62C9B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00997F4">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5D3E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75A11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104</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54DFE12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抽屉锁</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3D40D1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锌合金锁体，配套4寸不锈钢锁牌，锁牌抛光防锈，螺丝孔位齐全，安装便捷</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6D9B48A">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5C38CD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69CEC6F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3F13BBB1">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1FF0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CCA73F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105</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047BB68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除锈剂</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4D668FC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容量500ml，溶剂型除锈润滑，可去除金属锈迹，具备防锈润滑双重效果，罐体耐压安全</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4E23E80">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0921D436">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50A6E9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ED94D8F">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0AA8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55D6B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106</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03BDBC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橱柜拉手</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DA7D42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不锈钢/实木材质，2cm规格，边角打磨圆滑无毛刺，表面抗老化处理</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D1196CB">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2F573C4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A211FD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E00C6A9">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8358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C8279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107</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504F5D4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磁贴</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608E88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A4尺寸软磁贴，吸附牢固，表面可书写，适配白板、金属板面使用</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048BAA3">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30084B31">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04AA6A0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BDCF573">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F8E1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2F129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108</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7D798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大便冲水阀面板</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FAA45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人体红外感应，供电AC220V，感应距离可调，触发灵敏，面板抗污易清洁，适配蹲便器冲水阀体，防水等级IPX4</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17C72422">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5C3964AD">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44207CA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62F973DF">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7F1A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80BC50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109</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605680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三节导轨</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C48DBB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冷轧钢材质，12寸三节滚珠导轨，抽拉顺滑无卡顿，静音，表面防锈镀锌处理</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DB8B135">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E2681A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540858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BB0CCBA">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95CB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1EE0E3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7416F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三节导轨</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763177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冷轧钢材质，14寸三节滚珠导轨，抽拉顺滑无卡顿，静音，表面防锈镀锌处理</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348E9860">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1A00E0A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7CBA069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1DDD95DA">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FC01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01D5F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111</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5DB08A4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三节导轨</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631066D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冷轧钢材质，16寸三节滚珠导轨，抽拉顺滑无卡顿，静音，表面防锈镀锌处理</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54E67AB">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3BCD5D8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DE29CAD">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57E9CB1">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C487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EA384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112</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B81DB3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灯座</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649F9C1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E27螺口灯座，外壳阻燃绝缘材质，适配E27灯泡</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4F7AA07">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25DCDB3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66AB6D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30138006">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D4FC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167AC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113</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82B4EC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底盒</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BD32F0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阻燃PVC材质，86型/75型暗装底盒，螺丝孔位牢固，适配开关插座安装</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30DF95FC">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2D615B2">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C2D4C9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0E6BAFA">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776D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C51F03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114</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765C8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底盒</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6A4784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阻燃PVC材质，86型双联暗装底盒，定位孔准确，适配两位开关插座面板</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31B16E83">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B7AC0A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DA987F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3DE62C9">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CDFA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58DE0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115</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4A15E8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电笔</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23F62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数显测电笔，带背光指示灯，检测电压范围AC12</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250V，绝缘外壳，握持防滑，读数直观</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655EF96">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0B764FD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3A1DBB0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1A650B99">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86CF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C98E43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116</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838E58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电池</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A9D16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23A碱性电池，输出电压12V，不漏液，适配遥控器、门禁发射器等设备</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00A3FD1">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1F9724B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03BDE76">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241F8885">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E8F4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1F918C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117</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53E9C3C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电池</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E9FA9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R14（3号）碱性电池，电压1.5V，防漏液，适用于各类小家电设备</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1667F218">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10954EB6">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6BAAAE5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1E99D9F8">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3EDDD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D2F98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118</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2D58C7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电池</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0CE7B80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AA（5号）碱性电池，1.5V，防漏液，适配各类普通用电设备</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1875D55">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7DD827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0BF3CE0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517271F4">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3DEF0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04204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119</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5E521C3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电池</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16F3CC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AAA（7号）碱性电池，1.5V，防漏液，适配遥控器、小型电器</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A9F8313">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27B34AD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42586F76">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5D4A1D7D">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BBE5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68EF4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120</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095235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电池</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2A45A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R20（2号）碱性电池，电压1.5V，无漏液</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EF6D0A2">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1DF12CC6">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F848322">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3D2E2BEF">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5D05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70B63B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121</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C64D4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电池</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5CE92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3V锂锰纽扣电池，低自放电，防漏液，适配遥控器、主板、感应设备</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791DFEB">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4338576">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665E607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58E17309">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5A897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8F40CA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122</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0B5B59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电磁阀</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74ED2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4分水用电磁阀，工作电压AC220V，阀体铜质，密封橡胶件耐水老化，启闭响应迅速，耐压≥1.0MPa，防水防尘</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0A7D6D5">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2EC043B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03592D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3538CB20">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1E8F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8F285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123</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7D46917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电风扇</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CB94A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AC220V</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50Hz，扇叶400mm，壁挂安装，档位调节正常，运转平稳噪音低，网罩防护牢固</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BA6E306">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8C519B2">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575534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03C4E3C">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1E69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CCD0B7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124</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946DFC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电风扇</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AC7121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AC220V</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50Hz，1200mm吊扇，运行平稳</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1C42502C">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200D50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69FE0312">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7B86729">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308E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B8D86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125</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37D930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电风扇</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6C152B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AC220V</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50Hz，10寸夹扇，夹持结构牢固，角度可调，外壳阻燃</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AB85BA0">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3CAC84C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4779672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1308ECBC">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AD21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C9B838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126</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082AB0A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电工胶布</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04ACA3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PVC绝缘电工胶带，长度20m，耐温80℃，耐压600V</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F717D55">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14104DA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4B6BA90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5701C49F">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30D1E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5D7A8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127</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5A44D1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电话水晶头</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C192A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RJ11四芯屏蔽水晶头，镀金三叉触点，屏蔽外壳，适配四芯电话线，压接牢固，信号抗干扰</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C26D4E9">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2004D0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4DCF30D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DE17682">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57C0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EE83F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128</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B39BAD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电话线</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3012C0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四芯屏蔽电话线，导体铜质，外层屏蔽层，绝缘外皮耐磨，抗干扰，适合室内电话布线</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01A4D2F">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D509CD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7D6F9A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8CA5D35">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7453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4D25E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129</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F2ED1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电缆剪</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6140F14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合金钢刀头，型号J130，最大剪切120mm²电缆，剪口锋利，手柄绝缘防滑，杠杆省力</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21FB42A">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8C4C0F1">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73F7A552">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69C531C0">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80BD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3C633C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130</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782A1A7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电缆线</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691A914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RVV护套电缆3×1.5mm²，铜芯导体，绝缘护套PVC，电压等级300/500V，符合GB/T5023.5标准，外皮耐磨抗老化</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6AD4D968">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73EA40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DED6B1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DD6D36A">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92D8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1D806E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131</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1D451C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电缆线</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483E4AA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RVV护套电缆3×1.0mm²，铜芯导体，绝缘护套PVC，电压等级300/500V，符合GB/T5023.5标准，外皮耐磨抗老化</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0990DCD">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BD5DDB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6D69BC3D">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F25218B">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E93A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3731F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132</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D97953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电脑桌滑轨</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ADF22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冷轧钢材质，16寸键盘滑轨，配套安装支架，滑动顺畅静音，防锈镀锌，安装孔位适配电脑桌键盘托架</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174EAD61">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92E4E4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7188077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214A601">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D03C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E66B1B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133</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57164E1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电排插</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67A60C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额定250V/10A，线长≥1.8m，总控开关，阻燃外壳，符合</w:t>
            </w:r>
            <w:r>
              <w:rPr>
                <w:highlight w:val="none"/>
              </w:rPr>
              <w:t>GB/T 2099.7-2015</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3CF58B2B">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36A7A32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FFAA82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28EC5127">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5C0E0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74B7F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134</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79E5A7B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电排插</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46B0671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额定250V/10A，4位插孔带开关，无电源线，阻燃PC壳体</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045FFA3">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539806A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0F9E51D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368D8BD5">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F295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4002C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135</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852FF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电排插</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08EE4E7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额定250V/10A，线长≥3m，4位插孔带开关，阻燃外壳</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F5D95EC">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539454D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97730E2">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1BE09841">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69B9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6C00A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136</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EAF97D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电排插</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62F8AB5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额定250V/10A，线长≥5m，5位插孔带开关，阻燃外壳</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2A6C060">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09DC6581">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BC1077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595DB094">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C6B7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35FF32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137</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5DC1C3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电排插</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5A489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额定250V/10A，线长≥1.8m，5位插孔带开关，阻燃PC外壳</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2D894B8">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5D043F5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4B3AF8F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63EFB1B">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97B4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144147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138</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53A329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电排插</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0DDB3B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250V/10A，一转三转换排插，无外接电源线，阻燃壳体</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33807AC">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3F5B73B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6D1345A1">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69C17C25">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3AB25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D77A8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139</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4F70D9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电筒</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34550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65W强光探照手电筒，外壳抗摔，具备多档位调光</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2FE76FA">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25196F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D494836">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158344EE">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CD2A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DCA2D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140</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3BA09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电线</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D1AA7D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BVR</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1mm²多股铜芯软电线，450/750V，绝缘PVC，</w:t>
            </w:r>
            <w:r>
              <w:rPr>
                <w:highlight w:val="none"/>
              </w:rPr>
              <w:t>符合JB/T 8734.3</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7925EF0">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47A260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336649D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197AFCF">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2ED7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30F72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141</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5E30C2E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电线</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5AA77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BVR</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1.5mm²多股铜芯软电线，450/750V，绝缘PVC，</w:t>
            </w:r>
            <w:r>
              <w:rPr>
                <w:highlight w:val="none"/>
              </w:rPr>
              <w:t>符合JB/T 8734.3</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084E247">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3D16EB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6A8CABA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65611E3E">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9C00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E5D0A6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142</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06A00F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电线</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61F660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BVR</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2.5mm²多股铜芯软电线，450/750V，绝缘PVC，</w:t>
            </w:r>
            <w:r>
              <w:rPr>
                <w:highlight w:val="none"/>
              </w:rPr>
              <w:t>符合JB/T 8734.3</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7BA5757">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5CC38D1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4400EA7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F13F6B5">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E339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67FD9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143</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4D685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电线</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0E6201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BVR</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4mm²多股铜芯软电线，450/750V，绝缘PVC，</w:t>
            </w:r>
            <w:r>
              <w:rPr>
                <w:highlight w:val="none"/>
              </w:rPr>
              <w:t>符合JB/T 8734.3</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179D3EAE">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2D07887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3D8068B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169DC391">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B4A7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A5F899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144</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B88FD1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电线</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0BCB0D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BVR</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6mm²多股铜芯软电线，450/750V，绝缘PVC，</w:t>
            </w:r>
            <w:r>
              <w:rPr>
                <w:highlight w:val="none"/>
              </w:rPr>
              <w:t>符合JB/T 8734.3</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6EF7A001">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1CAB635D">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372F818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1C0EE53">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4882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33A77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145</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E7F224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电线</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94FCF8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BVR</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10mm²多股铜芯软电线，450/750V，绝缘PVC，</w:t>
            </w:r>
            <w:r>
              <w:rPr>
                <w:highlight w:val="none"/>
              </w:rPr>
              <w:t>符合JB/T 8734.3</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33B325AB">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E45C2E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2674C4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33E6C8C">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38549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ABB55B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146</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F67BCF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电箱</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830953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阻燃塑料配电箱，4</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6回路，壳体抗冲击，导轨齐全，进出线孔预留，适合室内空开安装</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044394A">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1AE2C48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F54FA4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D8CFAE1">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5A28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A7EAD3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147</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05307C0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电箱柜锁</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244C6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锌合金电箱锁，4寸规格，锁舌伸缩灵活，钥匙启闭顺畅，防锈，适配电控柜门锁紧</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31DCBD2">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1C64AC72">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3491A7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EB8C254">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A6C4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0189C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148</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7A49043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电子密码锁</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4C6EAFB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木门执手电子密码锁，支持密码、钥匙开启，供电稳定，低电量提醒，防水防锈，适配室内木门</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9BABCEF">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23FF774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3B142B1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2EEA6CB4">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2348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588CA8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149</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6796FA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定向轮</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57D8C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3寸定向脚轮，铁芯橡胶轮面，转动顺滑，耐磨减震，支架钢板冲压成型，焊接牢固</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EE20159">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3F2CB3E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993267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E96BBC5">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8090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96BDD5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150</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52737F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镀锌内接</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4F1C6C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热镀锌管件，4分内丝内接，螺纹规整，镀锌防锈，无砂眼气孔，耐压≥1.0MPa，适配镀锌管路连接</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5CFABFC">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1514942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C15DFD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56B389E0">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3851A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6EC1D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151</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7B6F3F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镀锌三通</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01626A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热镀锌管件，4分三通，螺纹完整，镀锌防锈，无砂眼气孔，耐压≥1.0MPa，适用于镀锌管路分流连接</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38E9BED">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46AA0A6">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C8CF52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5F04662B">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AEF3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5B4D1E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152</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B99DBF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镀锌弯头</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B1060E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热镀锌管件，4分90°弯头，螺纹规整，无裂纹砂眼，耐压≥1.0MPa</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99F3001">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197EA4A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65C6CDD1">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3A492651">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8E3D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94A74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153</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C5AA1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镀锌直通</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A6655E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热镀锌管件，4分直通，螺纹完整，镀锌防锈，无砂眼气孔，耐压≥1.0MPa</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1B324A6B">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3D3118E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9CE3C06">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5E736660">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5263F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0EF70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154</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A23B42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断路器</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809F58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塑壳断路器，额定电流160A，额定电压400V，具备过载、短路保护，执行</w:t>
            </w:r>
            <w:r>
              <w:rPr>
                <w:highlight w:val="none"/>
              </w:rPr>
              <w:t>GB/T 10963.1-2020</w:t>
            </w:r>
            <w:r>
              <w:rPr>
                <w:rFonts w:hint="eastAsia" w:ascii="宋体" w:hAnsi="宋体" w:eastAsia="宋体" w:cs="宋体"/>
                <w:i w:val="0"/>
                <w:iCs w:val="0"/>
                <w:color w:val="000000"/>
                <w:kern w:val="0"/>
                <w:sz w:val="22"/>
                <w:szCs w:val="22"/>
                <w:highlight w:val="none"/>
                <w:u w:val="none"/>
                <w:lang w:val="en-US" w:eastAsia="zh-CN" w:bidi="ar"/>
              </w:rPr>
              <w:t>标准</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A399B38">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5C275E3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7C42194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3720870E">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BF0B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5FF1E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155</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92771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多功能切割片</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BA5AC2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金刚石瓷砖切割片，4寸规格，刀头锋利，切割平整不崩边，适配角磨机使用</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6FDE59D3">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2EB6B9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7E416FA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38DB19FC">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11DD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124E2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156</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737485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发泡胶</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4AFFB8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聚氨酯泡沫填缝剂，净含量900g，适用于缝隙填充密封</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D764446">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5BB6BCB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5657A4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5283EEAB">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566F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BF7D1D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157</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7BBFA6E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发热管</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01CE08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石英红外发热管，AC220V，功率300W，绝缘防护，耐冷热冲击不易爆裂</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BF5F4FC">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798DE0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4BD9162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5DCD1FC5">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AF6A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E9D797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158</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EF396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阀芯</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DA2417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陶瓷片阀芯，40mm规格，耐冷热交替，适配冷热混水龙头</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6E33B73">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BFF601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0813A6D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1D7968E2">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648F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6DEF9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159</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52C877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防爆灯</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17EB07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额定电压AC220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240V，功率40W，外壳隔爆结构，灯罩抗冲击，接线腔密封</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DBE5C9F">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3DA695A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988D7B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33F730ED">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A696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B277F6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160</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5683E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防滑地垫</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640CD7B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橡胶防滑地垫，厚度5mm，表面防滑纹理适用于地面防滑防护</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37FB111">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C6ED61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424B5AD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B0D536E">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9369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227A0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161</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7572C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防火门锁</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4F88F1D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防火门锁，适配双开门，锁体耐高温，抗变形，适配防火门安装使用</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3DFA6BEC">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1B66377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EE1761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1A1B1157">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0A36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F7627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162</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D079B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防水盖</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9C8578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阻燃PVC材质，75型插座防水盒，密封胶圈配套，防尘防水，适配75型底盒面板安装</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393830E9">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75A31C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0AC03466">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3909B00">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ABD9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B011C8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163</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D08CED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防水盖</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0FE4649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阻燃PVC材质，86型插座防水盒，配套密封胶圈，防尘防水，抗老化，适配86型开关插座面板</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6A87784">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233CEF2">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6F9C1C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6C96F64">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7975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FD2F2C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164</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15D58D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防松螺丝</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16A560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碳钢防松螺丝，6厘规格，自带防松结构，表面防锈处理，紧固后不易松动脱落</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542B358">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155AD8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72C449BD">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1F01FDC">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AC03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BF213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165</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19C23B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浮球阀</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AE09DA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1寸浮球阀，阀体耐腐蚀，浮球浮力稳定，水位控制灵敏，启闭密封不漏水，适用于水箱自动进水控制</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3A444621">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79A33BD">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3B9AFA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CD6D0BB">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DF5B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2931EC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166</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A0984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感应水龙头</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6DFB275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材质：全铜，电源电压：220V/50HZ,使用水温：1</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80℃，适用水压：0.5</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7.5bar，进水口管径：1/2，感应方式：红外感应，防交叉感染</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61B091C7">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DC73E6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091D6D81">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F00B60C">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F4F9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C9861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167</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D30BC1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感应水龙头（洗手盆）</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E8266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全铜主体，红外感应出水，AC220V供电，感应距离可调，出水稳定，密封无渗漏，适配普通洗手盆立式安装</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64576028">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14BBEE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AC9801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280EC7EA">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9695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D0B7A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168</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822B4C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感应水龙头（洗手盆）</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34AD7D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全铜加高主体，红外感应控制，电压AC220V，感应灵敏，防误触发</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699083C2">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3629388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D35A1B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3B88331E">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4F4F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EB8B3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169</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EAA48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感应小便阀</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792C8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暗装式红外感应小便冲洗阀，AC220V供电，阀体密封，防水防潮，适配小便斗暗装工况</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42F07EE">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E1936D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38FB423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1C9AB9C6">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491F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D6EC6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170</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BA5AA7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钢丝钳</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0620226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高碳钢材质，6寸钢丝钳，剪切锋利，铰接间隙小，手柄绝缘防滑，表面防锈处理</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8DBAFE9">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0288996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FB716C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F886507">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3556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48686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171</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E7D0E8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钢丝钳</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396A8F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高碳钢材质，8寸钢丝钳，剪切锋利，铰接间隙小，手柄绝缘防滑，表面防锈处理</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34C58B1B">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58FDBAB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435EB3E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1902612">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3610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A6AECC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172</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B4A706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高压浮球阀</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48CDDA3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1.5寸高压浮球阀，适用于高压供水水箱进水控制</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3C576BDC">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57311B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70BDE62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7421C02">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2C57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2CE0C0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173</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21137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高压浮球阀</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1F4D58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1寸高压浮球阀，关闭无滴水，适合高压供水水箱使用</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67C543A">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2F89600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4B2522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E2F568F">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5E0E2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4F79C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174</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64E51A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工具锤</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477C16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锤头高碳钢300g，木柄/塑柄连接牢固，锤头无卷边崩口，防锈处理，适合维修敲击作业</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6CCD337C">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18EDD89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CEE713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125EA52">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686F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C19B7D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175</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57E506D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挂物密码锁</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328D8F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4位数字密码锁，锁体合金材质，密码设置重置方便，防撬防锈，适用于柜子、箱包闭锁</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314A2619">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5854FF0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624971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82D10A8">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A3CF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2DA3BC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176</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6A399C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光管支架</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F0418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0.9米T8灯管支架，适配30W灯管，外壳金属喷涂防锈，接线端子牢固，绝缘安全</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BDFD0F9">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291E2836">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6B74EA4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5A36E9B1">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90C6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43D2E7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177</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036FE42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光管支架</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67534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1.2米T8灯管支架，适配40W灯管，金属壳体喷涂防锈</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C2C460D">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67201B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308438D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53B8FCE2">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7E02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B29F05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178</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5E4315F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柜锁</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615C5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锌合金柜锁，规格20，锁芯铜质，防锈，适配文件柜、储物柜安装</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6C89450A">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96E265D">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9C1ED8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8D9C566">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AF8E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562D5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179</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7C352A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柜锁</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ECA9FC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锌合金柜锁，规格25，锁芯铜质，防锈，适配文件柜、储物柜安装</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220FDB6">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F08636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081BD7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B431177">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9D06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90A1F9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180</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588CE0F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合页</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CAA574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304不锈钢4寸房门合页，转动开合顺滑无卡顿，滚珠轴承结构，表面抛光防锈，螺丝孔位规整</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7DD7047">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D1C1CF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44756D4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364505E3">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88F1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AB32BE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181</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5DB9C4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喉箍</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7C43C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不锈钢喉箍，可调范围适配64mm管径，拧紧锁紧牢靠，边缘无毛刺，耐腐蚀，用于软管卡箍固定</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109A1BC">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13B3BA6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AB6721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4A5889D">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610F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B0CAEE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182</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18336C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花洒软管</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C1168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主体材质304不锈钢，内管为三元乙丙橡胶，连接口径1/2*1/2，长度：150cm，耐温耐压，防爆防扭，不渗漏</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0C631C0">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31B9AF0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49A28FD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6EBC8540">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82C1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47E22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183</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C13900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花洒头</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40C7869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主体材质ABS，表面电镀，接口直径1/2，13cm增压出水，出水孔不易堵塞，多档出水模式，耐腐蚀</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FD869ED">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137965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6E4C96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347E3497">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972F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2755D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184</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61BC1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花洒座</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61A1AAF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不锈钢免钉花洒底座，背胶粘接牢固，角度可调节，适配标准花洒手柄，</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1815F14D">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3784273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0500BD5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D611DAE">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B13B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4B7AB1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185</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7B6B1EF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滑轮</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1727B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推拉门滑轮组件，轴承转动顺滑，耐磨轮体，承重满足室内推拉门，抗磨损，安装调节方便</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8C1429D">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7F904C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4058B09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49A9429">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396D0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31207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186</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79280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滑轮组</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4235F1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型号388门窗滑轮组，轮体耐磨，轴承转动灵活，防锈，适配轻型推拉门窗</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BACCB22">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012A903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78F3113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867B6BD">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3178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D4052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187</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FC8C8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混水阀</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6CCDE7E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主体铜合金，陶瓷阀芯，冷热水混水调节，螺纹接口4分，耐压无渗漏，表面电镀抗腐蚀</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CA19AAA">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67EEE4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0A5D4D6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54D3529">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E982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67128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188</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B74D56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继电器</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4B2CB69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型号RM22TG20中间继电器，线圈工作稳定，触点通断可靠，适配工控回路信号切换</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1FD1FF85">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01A626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3AA684B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D886B15">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B51A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181CB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189</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7A0C8CE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尖嘴钳</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27B8D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高碳钢6寸尖嘴钳，手柄绝缘防滑，表面防锈处理</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1D5B30E">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B09CD3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51F614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F2492C2">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5D8F6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EEB8D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190</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748F2E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尖嘴钳</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9BAD5F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高碳钢8寸尖嘴钳，手柄绝缘防滑，防锈处理</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097DE05">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5EA4EE7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1E2518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50661EDB">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0230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62DFC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191</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C3EED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键盘滑轨组</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74BE0D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冷轧钢键盘滑轨，配套安装底座，抽拉顺滑静音，防锈镀锌处理，孔位通用，适配电脑桌键盘托架</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DC99C31">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1A4903B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15D294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5C838022">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E2FD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A955A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192</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0F409E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交流接触器</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03F54CA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交流接触器LCI</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50，触点电流50A，适用于电机负载控制</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69351BD">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2214C4F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E60F11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3F2E2019">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5F55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C248C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193</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74DD185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交流接触器</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8F8C49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交流接触器LCI</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65，额定工作电流65A，满足动力回路通断控制</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88733FB">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1FEE10A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35B864BD">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46EC74E">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D56C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0BED7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194</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57153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交流接触器</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B0ED4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Style w:val="42"/>
                <w:highlight w:val="none"/>
                <w:lang w:val="en-US" w:eastAsia="zh-CN" w:bidi="ar"/>
              </w:rPr>
              <w:t>规格：LC1D09M7C电压：220V,电流：9A，尺寸：86</w:t>
            </w:r>
            <w:r>
              <w:rPr>
                <w:rStyle w:val="43"/>
                <w:highlight w:val="none"/>
                <w:lang w:val="en-US" w:eastAsia="zh-CN" w:bidi="ar"/>
              </w:rPr>
              <w:t>77</w:t>
            </w:r>
            <w:r>
              <w:rPr>
                <w:rStyle w:val="42"/>
                <w:highlight w:val="none"/>
                <w:lang w:val="en-US" w:eastAsia="zh-CN" w:bidi="ar"/>
              </w:rPr>
              <w:t>45mm</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4152C1B">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3120E3B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516118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16204FEE">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956E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544A3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195</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98AD84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胶塞</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F13FAB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塑胶膨胀胶塞，6厘规格，墙体锚固咬合紧密，适配6mm膨胀螺丝</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E488FD3">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5D301AE1">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64B790B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A5B3E1A">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FB47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55CE4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196</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5B10B93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胶水</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C8D217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氰基丙烯酸乙酯快干胶，固化速度快，适用于金属、塑料、木材小面积粘接</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A95CDA7">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2D8758E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7EAE38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0269451">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1285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FB59D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197</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03D05D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角阀</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62673AC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规格：4分：材质：全铜，进出口尺寸：1/2，长度76mm,阀芯：陶瓷片阀芯，密封不漏水</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AF1BB64">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274CA73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72263CF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63727E01">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F3D6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50702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198</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0E948AC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角码</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A552FE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304不锈钢L型角码30*30mm，冲压成型，边角打磨，螺丝孔规整，防锈，用于构件直角固定连接</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A9C457C">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29F1741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1400542">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6B273BAD">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BADC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12593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199</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16BC50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角磨机碳刷</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E09E5C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角磨机专用碳刷型号04</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150s#，适配对应型号角磨机电机</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EF1B69E">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1EE68C3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25D20C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695D000C">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144F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2D015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280892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角磨机压板</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8749CF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4寸角磨机砂轮压板，钢材冲压，螺纹规格匹配，压紧牢固，防止切割片松动脱落</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47E6C53">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5F09B04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1BFE31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45FDC40">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1F40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59E470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8C8578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脚轮</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B62C56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2寸活动刹车脚轮，橡胶轮面，支架钢板冲压，承重满足轻型设备转运，防锈处理</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CF4F138">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7E7FCE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E2C883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B03D901">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5EAE2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78DD0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202</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97BA5F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脚轮</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0C82DD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规格100mm×32mm脚轮，铁芯橡胶轮体，轮面耐磨抗冲击，支架焊接牢固，适用于手推车设备承载</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CB39EFF">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017FA12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4402F00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6607AA14">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32905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7DCFA1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203</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7FA99F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介刀</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58DD83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合金钢刀片18mm×100mm，刀身ABS外壳，刀片卡位锁紧牢固，刀尖锋利，可分段折断，握持防滑，适合裁切作业</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2CD9F0E">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0779652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0AEE725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3A592A1A">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F624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98946C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204</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55D9F3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介刀片</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A2D7E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18mm加厚发黑美工刀片，合金钢材质，刃口锋利，分段易折断，防锈，一盒多片包装，适配大号介刀</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F5BC788">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0131DF1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365FA72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34C88DD6">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7909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F3E4F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1A102F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卷尺</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6C3DBD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ABS抗摔外壳，5m钢卷尺，尺带刻度印刷清晰耐磨，尺钩活动可调</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1FF90F9E">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05C056A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03F783C6">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49BB0D8">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3B45A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D1881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206</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02B48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绝缘管</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0380569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PVC绝缘套管，外径10mm，绝缘耐压≥600V，耐老化，用于电线线束防护绝缘</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384D5537">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C786C3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3DF232C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14363A93">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3EC50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02D54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207</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6C0BCA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绝缘胶垫</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867E7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橡胶绝缘胶垫，规格1m×5m，绝缘耐压满足配电房使用，表面防滑纹路，无刺鼻异味</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65573578">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1AADB4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B331BC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403DE3B">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A8F2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231D6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EED2C2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卡码</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0F5DA90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镀锌管卡码6分，冲压成型，孔位规整，防锈，用于PVC、PPR管道墙面固定，夹持稳固不易松脱</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84B511F">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1B5EA5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70D316F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01FA664">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4C0D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FC6B05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209</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77AA9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卡座</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8A2D54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金属86底盒修复卡座，弹性夹持，适配破损86暗盒修复安装，保障面板固定牢靠</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BED51EA">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1E150AD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2BF0DCD">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1694857D">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056D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0CF0C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2BCDEC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开关</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4D1128C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86型二位墙壁开关，阻燃PC面板，额定10A/250V，符合</w:t>
            </w:r>
            <w:r>
              <w:rPr>
                <w:highlight w:val="none"/>
              </w:rPr>
              <w:t>GB/T 2099.1-2021</w:t>
            </w:r>
            <w:r>
              <w:rPr>
                <w:rFonts w:hint="eastAsia" w:ascii="宋体" w:hAnsi="宋体" w:eastAsia="宋体" w:cs="宋体"/>
                <w:i w:val="0"/>
                <w:iCs w:val="0"/>
                <w:color w:val="000000"/>
                <w:kern w:val="0"/>
                <w:sz w:val="22"/>
                <w:szCs w:val="22"/>
                <w:highlight w:val="none"/>
                <w:u w:val="none"/>
                <w:lang w:val="en-US" w:eastAsia="zh-CN" w:bidi="ar"/>
              </w:rPr>
              <w:t>电气安全标准</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F12BEED">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546B29B1">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BC46FB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A8D6AAF">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C8DF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191D3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211</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B6E09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开关</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538350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86型三位墙壁开关，镜瓷白阻燃PC材质，额定电流10A，单控通断可靠，抗老化不易变色</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E4722C9">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5D6380B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3E6B4D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6043F130">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316E0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7D9125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212</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7E34A1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开关</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0D10F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时间时控开关，工作电压AC220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240V，触点容量满足负载，定时设置简单，计时准确，具备手动强制通断功能</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10AA7AEB">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343E18F6">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35D5F5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24CF0E7">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59D3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1A5450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7036AA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开关</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0CD658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86型一位单控开关，阻燃PC材质，额定10A/250V，符合</w:t>
            </w:r>
            <w:r>
              <w:rPr>
                <w:highlight w:val="none"/>
              </w:rPr>
              <w:t>GB/T 2099.1-2021</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85E477B">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5C0F0C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3BC1FFB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2B46C831">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CC4D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2EC3F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214</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7669D0A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开孔器</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E4B839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合金开孔器，直径50mm，刀齿锋利，焊接牢固，适用于金属、塑料板材开孔，排屑顺畅，不易崩齿</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3DFEFAB6">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29F8019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FC9593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F6722EC">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532F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FA0D28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215</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5A0E949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空调挡板</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0C0F59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ABS塑料空调挡风板，可伸缩73</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103cm，角度可调，安装简易，避免直吹，抗老化不易变形</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FFD0C0D">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39406786">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72DF71B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1A9897B4">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5416C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56CB3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216</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3D7935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空调挡板</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966193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ABS材质空调挡风板，长度140cm，可调节角度，卡扣安装牢固，不易脆裂，阻挡空调直吹</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9481D91">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18EA86C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719E593D">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2B41B1C7">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3288C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91DDA3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217</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3977BF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空调排水管</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60982E4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加厚PVC空调排水管，2分规格，抗弯折，耐老化，排水通畅不渗水，适配室内机冷凝水排放</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C357693">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3539B4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0E822646">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60D0EA9">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571B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5DB413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218</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9CA126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空调遥控器</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A6EFE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材质ABS，产品尺寸适配常规空调遥控，可控距离≤8米</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47A4616">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04967D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F274AF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2938B03">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B799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56648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219</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03E554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空气开关</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85D591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2P32A空气开关，额定电压400V，具备过载、短路保护，分断时间≤0.1S，执行</w:t>
            </w:r>
            <w:r>
              <w:rPr>
                <w:highlight w:val="none"/>
              </w:rPr>
              <w:t>GB/T 10963.1-2020</w:t>
            </w:r>
            <w:r>
              <w:rPr>
                <w:rFonts w:hint="eastAsia" w:ascii="宋体" w:hAnsi="宋体" w:eastAsia="宋体" w:cs="宋体"/>
                <w:i w:val="0"/>
                <w:iCs w:val="0"/>
                <w:color w:val="000000"/>
                <w:kern w:val="0"/>
                <w:sz w:val="22"/>
                <w:szCs w:val="22"/>
                <w:highlight w:val="none"/>
                <w:u w:val="none"/>
                <w:lang w:val="en-US" w:eastAsia="zh-CN" w:bidi="ar"/>
              </w:rPr>
              <w:t>标准</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D6AE369">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281B879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3F720F6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EA1C271">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012A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4ED372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220</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42AE3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空气开关</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3DB29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两极空气开关2P</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60A，过载短路双重保护，脱扣器热磁式，外壳阻燃，符合</w:t>
            </w:r>
            <w:r>
              <w:rPr>
                <w:highlight w:val="none"/>
              </w:rPr>
              <w:t>GB/T 10963.1-2020</w:t>
            </w:r>
            <w:r>
              <w:rPr>
                <w:rFonts w:hint="eastAsia" w:ascii="宋体" w:hAnsi="宋体" w:eastAsia="宋体" w:cs="宋体"/>
                <w:i w:val="0"/>
                <w:iCs w:val="0"/>
                <w:color w:val="000000"/>
                <w:kern w:val="0"/>
                <w:sz w:val="22"/>
                <w:szCs w:val="22"/>
                <w:highlight w:val="none"/>
                <w:u w:val="none"/>
                <w:lang w:val="en-US" w:eastAsia="zh-CN" w:bidi="ar"/>
              </w:rPr>
              <w:t>标准</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1C8675A0">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0EC9E42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0244757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6AFC4751">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FF69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4AA388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221</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0AAE177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空气开关</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05BCF71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3P60A空气开关，适用于三相回路，过载短路保护，分断时间≤0.1S，阻燃壳体，接线端子紧固牢靠符合</w:t>
            </w:r>
            <w:r>
              <w:rPr>
                <w:highlight w:val="none"/>
              </w:rPr>
              <w:t>GB/T 10963.1-2020</w:t>
            </w:r>
            <w:r>
              <w:rPr>
                <w:rFonts w:hint="eastAsia" w:ascii="宋体" w:hAnsi="宋体" w:eastAsia="宋体" w:cs="宋体"/>
                <w:i w:val="0"/>
                <w:iCs w:val="0"/>
                <w:color w:val="000000"/>
                <w:kern w:val="0"/>
                <w:sz w:val="22"/>
                <w:szCs w:val="22"/>
                <w:highlight w:val="none"/>
                <w:u w:val="none"/>
                <w:lang w:val="en-US" w:eastAsia="zh-CN" w:bidi="ar"/>
              </w:rPr>
              <w:t>标准</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13D1A0AB">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86D085D">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353DFC0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2FB954D1">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8AFC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6C82E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222</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A2F08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空气开关</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62E937B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2P20A空开，额定电压400V，热磁脱扣，过载短路保护，外壳阻燃，符合</w:t>
            </w:r>
            <w:r>
              <w:rPr>
                <w:highlight w:val="none"/>
              </w:rPr>
              <w:t>GB/T 10963.1-2020</w:t>
            </w:r>
            <w:r>
              <w:rPr>
                <w:rFonts w:hint="eastAsia" w:ascii="宋体" w:hAnsi="宋体" w:eastAsia="宋体" w:cs="宋体"/>
                <w:i w:val="0"/>
                <w:iCs w:val="0"/>
                <w:color w:val="000000"/>
                <w:kern w:val="0"/>
                <w:sz w:val="22"/>
                <w:szCs w:val="22"/>
                <w:highlight w:val="none"/>
                <w:u w:val="none"/>
                <w:lang w:val="en-US" w:eastAsia="zh-CN" w:bidi="ar"/>
              </w:rPr>
              <w:t>标准</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14D998C">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1DE729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9E2DBE2">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0F07E92">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1CE6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A133F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223</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08DE73F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快速活接</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B6534D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1寸管道快速活接，拆装免热熔，密封圈密封可靠，耐压≥1.0MPa，适配PPR/PVC管路快速对接，无渗漏</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DD0D642">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51699A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878157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58D7726A">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5361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1D743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224</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887FA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拉手</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E4EF9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锌合金平开窗拉手，表面喷涂防锈，锁止牢固，螺丝孔位通用，适配平开窗扇</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812A14A">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20FD0B06">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34BA52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5923B76B">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EA83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6F2AB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225</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4CD61E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拉手</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8E2124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圆形柜门拉手直径3cm，合金材质，安装孔距标准，受力不易断裂，表面抗腐蚀处理</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1622434">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22D6F38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33FF2FE1">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1BB10E14">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E251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B71A6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226</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327008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龙头开关阀</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023697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全铜阀体，4分冷热进水，陶瓷阀芯，螺纹规整，耐压无滴漏，适配各类冷热水龙头控制</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863C6AC">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38F3E1A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1FEB2C1">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3A17BB92">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8AFF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62ABA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227</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0027D2F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漏电开关</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6E5E8B0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2P/32A漏电开关，极数：2P，分断时间：0.1S，额定电流：32A，额定电压：230V/400V，脱扣器形式：热磁式，执行标准：GB/T10963.1</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2005</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6D08E09F">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D5C981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046BE4D">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618EB5D">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081E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4C1E6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228</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56D615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漏电开关</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40A946A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1P+N25A漏电保护器，漏电动作电流≤30mA，动作时间≤0.1S，过载短路保护，阻燃外壳，执行标准：GB/T10963.1</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2005</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7B4350D">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04A01722">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32B751C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11CE3B3">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3A7CA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BE472E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229</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094B47D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漏电开关</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EF796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3P</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25A漏电开关，适配三相供电回路，漏电保护30mA，动作时间≤0.1S，兼具过载短路保护，壳体阻燃绝缘</w:t>
            </w:r>
            <w:r>
              <w:rPr>
                <w:rFonts w:hint="eastAsia" w:ascii="宋体" w:hAnsi="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t>执行标准：GB/T10963.1</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2005</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351FFDC8">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491735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08491A8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477A3A7">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C5C0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3B6B4B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230</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7F34AC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漏电开关</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0E473D2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规格：2P/16A,漏电开关：极数：2P，分断时间：0.1S，额定电流：16A,额定电压：230V/400V，脱扣器形式：热磁式，执行标准：GB/T10963.1</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2005</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12356346">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06AEA31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4F47703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0C25BE5">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54FAC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7553AC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231</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03DCE0D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漏电开关</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459C150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规格:4P/63A：极数：4P，分断时间：0.1S，额定电流：63A,额定电压：230V/400V，脱扣器形式：热磁式，执行标准：GB/T10963.1</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2005</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6FF34965">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564940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58DDEE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5F3B820D">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2C4A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02D00A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232</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3945E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漏电开关</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E5BB83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2P</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40A漏电保护器，漏电动作≤30mA，分断时间≤0.1S，热磁脱扣，过载短路漏电三重保护，阻燃壳体</w:t>
            </w:r>
            <w:r>
              <w:rPr>
                <w:rFonts w:hint="eastAsia" w:ascii="宋体" w:hAnsi="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t>执行标准：GB/T10963.1</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2005</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46EC0B4">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015CE02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3C43D53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3F21680A">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34CB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2CFEA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233</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544F5E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漏电开关</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0CED1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三相3P+N</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63A漏电开关，额定电压400V，漏电动作电流30mA，动作时间≤0.1S，接线端子牢固，执行标准：GB/T10963.1</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2005</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63902EB7">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876C1F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336E526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2C2CF918">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59489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CE055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234</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12CB0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漏电开关</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C88FCC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三相40A漏电保护开关，热磁脱扣，漏电30mA具备短路过载保护，外壳阻燃绝缘，适配三相设备</w:t>
            </w:r>
            <w:r>
              <w:rPr>
                <w:rFonts w:hint="eastAsia" w:ascii="宋体" w:hAnsi="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t>执行标准：GB/T10963.1</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2005</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198F1E4">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1FDD8C9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DEA75D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FD1F8C4">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7232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04D41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235</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F20193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螺丝</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918F28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碳钢带钩膨胀螺丝，8厘规格，挂钩焊接牢固，防锈处理，用于物件吊挂固定</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72CD715">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B12D22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3967D4A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26ECDEE3">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3DA7E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B8264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236</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033269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螺丝批</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764308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一字螺丝刀，杆径6mm杆长150mm，杆身合金钢，刀头淬火硬化，手柄防滑，扭矩传递好，符合手动工具要求</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3E6BDAE5">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713D6F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4230F70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2ED937BC">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342E4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066071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237</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06A5094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螺丝批</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F328BB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十字螺丝刀，杆径6mm杆长150mm，合金钢杆，手柄防滑绝缘，不易崩口，维修拆装适用</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1E3EEB9">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B42681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1B96EE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4C4D0BE">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E70F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9F0A6C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238</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525C80C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落地扇</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06E652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AC220V</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50Hz，扇叶400mm落地扇，三档调速，底座配重稳固，网罩防护牢固</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3ABA689C">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28D3C75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3EC1C8F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6B63B258">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2DF5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C2D35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239</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5AA55DA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麻花钻咀</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0BD294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高速钢麻花钻头6mm，刃口锋利，排屑槽规整，适用于钢材、木材钻孔，不易崩刃</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1E74942">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1E5179A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76F188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6D7B50DC">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FEB3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0587C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240</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75DB9F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麻花钻咀</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B41BDE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高速钢麻花钻4mm，切削锋利，适合金属木材钻孔</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9FED72D">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1BCB7E7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7155CA9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17BCCA77">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4B39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D181A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241</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719D27D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麻花钻咀</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7B9EC8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高速钢麻花钻头3mm，刃口锋利，适用于薄金属、木材钻孔作业</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19D79209">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DA1ABC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FD89AB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14DC1515">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E476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5E3F10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242</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7CD907C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马桶盖</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4168A25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PP材质大U型马桶盖板，安装孔距可调，盖板开合平稳，抗冲击，不易发黄老化，拆装方便</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1A3EFE74">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B98C41D">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4EB3696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1F22BDC">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686B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26281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243</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95A900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码仔</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09A09AD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镀锌管码4分，冲压成型，边缘无毛刺，防锈，用于管道紧固，螺丝配套，固定牢靠</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1B8CDEA2">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570A622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3A5CBBB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63F71D5B">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EDE0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36A06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244</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2C7DC7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门把手</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47DD88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不锈钢房门把手12寸，表面抛光，孔距通用，防锈耐腐蚀</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15B98962">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3C5F637D">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0A88E96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5564420F">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3C84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4807E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245</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E67EE0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门插销</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ED972D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304不锈钢4寸门插销，栓体滑动顺畅无卡滞，锁孔对位准确，表面抛光防锈，适用于室内房门闭锁</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62B30464">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5EC672D">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DCB62F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BE79AEA">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87C2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EB799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246</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34AE37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门禁开关</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08844A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86型出门按钮，阻燃PC面板适配门禁控制系统</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1A6742F">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5E6B4B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78CA06F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667CA32E">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6330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AD72D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247</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8CDFE9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门铃</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633D54C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86型按键式门铃，ABS外壳，按压发声清晰，接线端子牢靠，适配室内有线门铃回路使用</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1CAFECF7">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074BFE7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F36216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6C88825C">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4A38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17BEF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248</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71E583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门栓</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9F85C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304不锈钢6寸门栓，滑动顺畅，锁止可靠，边角打磨，防锈，适用于房门、柜门机械闭锁</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30092323">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1EB5A3A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448C188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E3D73F2">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928F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C38D5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249</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2A42BF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门锁</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F5F76A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卫生间隔断锁，适配门厚5cm，指示锁结构，无钥匙，开关顺畅，抗潮湿防锈，适配公厕隔断门</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8D329EF">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8361A1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657A6D21">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3DEB5E9">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56CFE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9B04F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250</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4F3467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门锁</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A68542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卫生间执手锁，螺丝孔距15cm，锁体防水防潮，适配卫生间木门，表面防锈处理</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084B1BA">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35A70E8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4276B06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5317B0A1">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1335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FE18AD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251</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7331A9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门锁芯</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0E94E9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防火门锁专用锁芯，铜质锁芯，耐高温，适配防火门锁体，满足防火门配套使用要求</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7CCB35F">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3C09A9C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EF0AF2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3881FBFB">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58771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5CAF9C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252</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2428F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门吸</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DD328B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304不锈钢门吸，碰撞缓冲，底座安装牢固，表面抛光防锈，适配室内房门</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3C39B6ED">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194B1E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5AC837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52159D7D">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62F3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58134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253</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F52C08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密码锁</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29255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50mm长梁密码挂锁，合金锁体，数字密码设置重置便捷，防撬防锈，适用于柜子、仓库门闭锁</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1584B0B3">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5C088F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04EACF2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6313E6E5">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72AD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1375B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254</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020608D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免钉胶</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53143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聚氨酯免钉胶，净含量750g，无需打孔，固化后具备韧性，抗老化，适用于金属、木材、瓷砖粘接，符合GB18583</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2008</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28C8C25">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1734AE52">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14F503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D41C75D">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CCF2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994A2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255</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DE0502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木方</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632990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实木木方规格3cm×4cm，干燥处理，无开裂、腐朽、虫眼，适合维修加固、辅料搭建使用</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38D0D29E">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8734A5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3F684F1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3F5B422E">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5D90E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D255AE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256</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682195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耐候胶</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051C27E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硅酮耐候密封胶，净含量900g，耐高低温，防水密封，适用于室外门窗缝隙填缝密封</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379E7F8">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55493992">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6B06756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30A9D95A">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F8DB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5815E5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257</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023D1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内六角套装组</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0EB6BC8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镍铬合金钢内六角扳手，10支成套，硬度高，表面防锈处理，收纳包装齐全，拆装各类内六角螺丝</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1A465BEB">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2508089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18879F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2F7A4796">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3C3C6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2CC7B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258</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74C11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内外牙直通</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0D92D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黄铜内外牙直通，规格20mm，螺纹完整，无砂眼气孔，耐压≥1.0MPa</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3FD9E27">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D330F8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BA6C6B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FB27455">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C471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991449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259</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2CF60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内牙直通</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76BCE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黄铜6分内牙直通，丝牙规整，密封面平整，耐压≥1.0MPa，防锈耐腐蚀，水暖管路连接使用</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F9F3F30">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0599D8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7B82989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6C2A7D52">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6107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D6939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260</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C3AAC1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尼龙扎带</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A3A9E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尼龙扎带4mm×200mm，抗老化，锁紧咬合牢固，不易断裂，适用于线缆捆扎整理</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2D862E5">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3E9CFF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8C016D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5519A12B">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2B69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D5BF22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261</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022CB42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尼龙扎带</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65C1DC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尼龙扎带4mm×300mm，耐低温抗老化，锁齿锁紧可靠，适用于线缆、管路捆扎固定</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2A4C089">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1F3533E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67BA09E1">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CD221C1">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4D27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ADAF3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262</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EAB28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排气扇</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4DAD172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AC220V</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50Hz，10寸管道式排气扇，电机运转平稳，噪音低，外壳阻燃ABS</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64C6C20">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21D181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983920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2F9F68BB">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AAB0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C7688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263</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4EE278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排气扇</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17AC72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AC220V</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50Hz，8寸管道排气扇，阻燃外壳，接口适配管道</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ACD4CB7">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8D8375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00ECE81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270B47B4">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2496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9A5C1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264</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B30F1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排水管</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F614D4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不锈钢洗手盆下水管，长度1米，螺纹接口标准，防臭结构，排水通畅，耐腐蚀，密封垫圈配套齐全</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1D0B540C">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5FBE2D3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07A4DA8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86F818D">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8F36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355208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265</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5F4E4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皮尺</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40CB901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50米纤维皮卷尺，尺带耐磨不易撕裂，刻度印刷清晰，尺头固定牢固，适用于场地、建筑测量作业</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8FCDC00">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5B74F141">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02F1C28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1B0A7353">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607C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ED0174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266</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0551F10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切割片</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A88FFF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4寸树脂加厚切割片，基体牢固，切割锋利，适配角磨机，用于金属切割作业</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7EFE61C">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1895F82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CA0BD6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203EDF00">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501E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DD55A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267</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C761E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球阀</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E8EB1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黄铜球阀，规格4分，球体转动灵活，密封PTFE垫片，耐压≥1.6MPa，开关无渗漏，水暖管路通断控制</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1AD96D99">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FB69191">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CE833A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3A1D8269">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67F4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F4B41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268</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C7F26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球阀</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67BC92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U球阀DN20，阀体无砂眼裂纹，开关手柄操作顺畅，粘接端口平整，耐压≥1.0MPa，给排水管路控制</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77AFA77">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593A5A0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3C9FE07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835378A">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B913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DDCF5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269</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573FFC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热继电器</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12834B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型号LRN08N热过载继电器，电流调节范围准确，适配交流接触器，用于电机过载保护</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2D33A5E">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98BE18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6350308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674783F">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5DB92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620CD5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270</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5F35E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热水器拉爆螺丝</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6A7F0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碳钢拉爆膨胀螺丝，规格12mm×120mm，防锈，适用于电热水器挂墙固定</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062F52C">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5C00E80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1CBC1F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2ECC9510">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0966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9D7C5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271</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A86DEB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三联锁</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5BF18F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锌合金三联柜锁，规格16，锁芯铜质，适配文件柜三联联动闭锁</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3E54DD45">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A67B6B1">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71A5534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2F345BD8">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D58E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C206C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272</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8EFDA3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砂纸</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49EAB7F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2000目水磨砂纸，可干湿两用，适用于金属、漆面抛光打磨作业</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59D1F58">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2FBA71B2">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B953C8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6AF4AC09">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9012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9D743B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273</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5BE4D19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投光灯</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D23DC1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AC220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240V，100WLED投光灯，外壳铝合金散热，防护等级IP65，色温6000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6500K，Ra≥80，户外照明，防水防尘</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9BAA44A">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967A7D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77FEA2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526F6CC">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0542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E98383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274</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0718C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射钉</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4B1BD2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射钉规格52，配套塑料胶粒，钢材淬火处理，适配射钉器，墙体紧固作业使用</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42A316A">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5049B6D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EC002C6">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57DD1D25">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35344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7FDB7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275</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0087E00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手电筒</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C320CD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可充电强光手电筒，铝合金外壳抗摔，多档位调光，续航稳定，适合现场维修照明</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902771F">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CB233E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76A64E2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2BCCD90A">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76B4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3BA4F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276</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E0A9E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手电钻</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0CBA446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12V锂电手电钻，夹头夹持牢固，正反转可调，转速档位可调，机身绝缘安全，适合维修钻孔拆装</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52CCD06">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574532F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110C8F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6143E554">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45A4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0EAE01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277</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0414FDB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手喷漆</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83C50D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容量600ml气雾手喷漆，漆膜干燥快，用于金属表面修补上色</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7B4C5D9">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3354FD2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42F4AE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B1FE82C">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A5AF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16E60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278</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C684BC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手推车</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0D819A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平板手推车60cm×90cm，车体钢板/加厚塑料，轮组耐磨静音，焊接牢固，承重稳定，适用于物料转运搬运</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2C9966B">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5224200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0264BA7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D4EDCC9">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D72C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FEC279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279</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5078DD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双活接球阀PVC</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76317E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U双活接球阀DN50，两端活接便于拆装，手柄开关灵活，耐压≥1.0MPa，给排水管路通断</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143F5B95">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B59D91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4439A8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2CE75AED">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5D418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1497E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280</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249FF9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双活接球阀PVC</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AD16A7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U双活接球阀DN60，密封不漏水，耐压≥1.0MPa</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1E68574">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B6A33A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338B11D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3B9F5FB4">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F619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AA5BFE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281</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B0B004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双面海绵粘胶</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E2CB18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泡棉双面胶，宽度2cm，海绵基材具备缓冲，抗老化，适用于铭牌、小件构件粘贴固定</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FECF250">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1F87121">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7E7BF16">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C480A22">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3353D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58F03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282</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5B551E4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水泵</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C120E9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YE2立式涡流泵，AC380V电机，泵体密封，运行平稳噪音低，机械密封耐磨损，供水增压使用</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2AC0809">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E3061F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4BFC70D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4AEA137">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3BFF6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A8EDF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283</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21AF2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水泵</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6A2B33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排污泵型号W015</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2.2，功率2.2KW，AC380V，具备防堵塞结构，机械密封，适合污水提升排放</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C9B3A39">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0337309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43F960E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3B1925F5">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D438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49D5C6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284</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4E6FDA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水泵</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29909C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热水循环泵PH</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150，适配热水管路，耐温满足热水工况，密封无渗漏</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8875D00">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6A5AE7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B60D04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7F692C5">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A4BE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13A87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285</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A50F3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水泵</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636806D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自吸泵型号1ZDB65</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B，AC220V，泵体密封，适合无负压供水取水增压</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B492F10">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2AFA8C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36B0123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27F129BC">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5E299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BD975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286</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D3F009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水表</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951BD0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6分干式水表，计数表盘不进水，接口螺纹规整，耐压无渗漏，读数清晰</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9C9A556">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EFEACA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480276E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3BB4ED23">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2873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04472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287</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80C405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水管</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04A5FE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网状纤维增强胶管，16厘规格，内层橡胶，纤维编织增强层，耐压抗弯折，耐老化，给排水输水使用</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9B1B7E7">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0A924D9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8EB399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6B7949E">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02B6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67CA4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288</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04267F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水管</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495445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4分纤维网状增强胶管，耐弯折，耐压≥1.0MPa，抗老化，适用于临时输水、设备供水管路</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CE459AF">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8F9949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6B1865D1">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DF47716">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13F1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9D100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289</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E587A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水管</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7AB765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6分网状纤维胶管，多层结构，抗拉伸抗弯折，耐候抗老化，用于设备供水、临时输水</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C073942">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293D77D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275EDC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9B31083">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C3B6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79A2FC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290</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01FF60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水管</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707AE8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花洒进水软管，304不锈钢编织，内管三元乙丙橡胶，两端标准4分螺纹，防爆防扭不漏水</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4D778D8">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178E8F2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6578D516">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56CFF342">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3691E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9A5772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291</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C5CAE5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水管剪刀</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119092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水管剪最大剪切1寸管材，SK5合金钢刀刃，剪切切口平整，适配PVC、PPR管材裁切</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651B9254">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094DA74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0DDF523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573AE9D6">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54376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A01D2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292</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376E6F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水管钳</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7F289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14寸水管钳，铬钒合金钢材质，钳口齿纹咬合牢固，用于水暖管件拆装作业</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2EE82AD">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DA9A7E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7D8B3C1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61832E0E">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4E04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6E53BE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293</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C8C49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水胶布</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47DD0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PTFE聚四氟乙烯生料带，长度20米，水暖螺纹接口密封缠绕使用</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9CB78BF">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23AE256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08C7E942">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66E2279A">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26A5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94C1B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294</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5746DAA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水龙头</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10CB1B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全铜三联冷热浴缸龙头，陶瓷阀芯，接口4分，表面电镀，耐压无滴漏，配套出水软管配件齐全</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1BDEB26">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1ED5145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685FF1B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2FC7CD11">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4FE6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BF784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295</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A2351B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水龙头</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4E37C9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开水器专用水龙头，铜材质，耐温，出水口防溅，适配开水器出水接口，无渗漏</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0E5DAF1">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3C85064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73CB163D">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B3778D8">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A72D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18C35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296</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02BF688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水龙头</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D55AF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4分全铜单冷水龙头，陶瓷阀芯，螺纹标准，表面电镀，耐压不漏水，适用于普通给水点位</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DE8094F">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3CDD3A2">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7AB0478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667D81F">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58EE6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010B7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297</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0E1C38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水龙头</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15D56E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全铜冷热面盆龙头，陶瓷片阀芯，4分进水接口，电镀表面抗腐蚀，密封无滴漏</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1AF8A9E3">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BF33E3D">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3261B8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31E2F9AD">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5A502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321DF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298</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5F0CEAA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水龙头</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06B8134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全铜高弯冷热龙头，陶瓷阀芯，4分进水口，电镀工艺，无漏水</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C7D0608">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E05D7F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330B57AD">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56AF00E6">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1B07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7F0DC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299</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B3E4E8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水龙头</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68F19C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洗手盆单冷水龙头，铜主体，陶瓷阀芯，4分进水接口，出水柔和防溅，适配普通陶瓷洗手盆</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1C79CEF1">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3B77F991">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4691497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19EB8CD8">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5143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A736C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300</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60D412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水位控制器</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C3B2AB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电子水位控制器，线缆长度3米，AC220V工作电压，高低水位自动启停，防水探头，水箱水位自动控制</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D6EF1B2">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5D04D15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78A73B5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27E3034E">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8420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5266A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301</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0793891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水位控制器</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9D0DC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型号DF</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96A电子水位控制器，AC220V供电，继电器输出，具备高低水位自动控制，外壳绝缘防尘，适配各类水箱液位控制</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C66AAF7">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5AD40081">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E9BF1C6">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2E886472">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0B5C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C89952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E1C72D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水箱配件</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42D0827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马桶整套进水、排水配件，ABS工程塑料，适配常规坐便器，密封胶圈齐全，无漏水渗水</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5926CC6">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343931A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329A816">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5FDF5D68">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3679C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903FE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303</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CA6FD7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锁片</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6E2DE51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钢制锁片4cm，冲压成型，表面防锈，孔位规整，配套锁具安装</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92E3A45">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26D1C5FD">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7E20CCD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5D79E6A5">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D4D0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C25D11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304</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BBBE18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锁舌</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CB94D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球形门锁专用锁舌，长度3cm，金属材质，适配室内球形锁锁体，安装孔位通用</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F274172">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0D90435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3C78DAD">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F15B9B3">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6E40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87858E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305</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CE472D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锁头</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46F509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防盗门球形锁头，适配门厚5cm，表面防锈处理</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2D445ED">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79F41F1">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733F476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6D7CC49">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30882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9C7822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306</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7FE69D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锁头</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9F566F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执手锁专用锁芯，适配孔距15cm执手门锁，铜质锁芯，防技术开启，</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E892F99">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75005F6">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4DDF8876">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27718DDE">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5990B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52B5B7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307</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4F3DBD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锁头</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6933404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玻璃门U型伸缩锁，锁梁可伸缩调节，合金锁体，防撬防锈，适配无框玻璃门闭锁</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13193773">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0342BE01">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33D7FD3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2CE22F78">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E50D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27AEC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308</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B8187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套筒</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888810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铬钒钢套筒14mm，适配扳手使用，内壁规整</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339ED142">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2F088A2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0D92153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62B2D186">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BC30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32A17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309</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81A62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套筒</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2BEC54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铬钒钢套筒6mm，淬火处理，适配手动拆装维修作业</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24DA911">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500E6A02">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72FF70A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2704F7B9">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AE80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CEA4D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310</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FA840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梯子</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4C5A63B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4级铝合金人字梯，防滑脚垫，铆接牢固</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6C14BF7A">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144B45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3E63C19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5D7DB48">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5C7A4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81A3B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311</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7FA64A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梯子</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446450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6级铝合金人字梯，高强度铝合金型材，踏板防滑，脚垫耐磨</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0FA4DE1">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5BDB646D">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0885C1A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34F0E753">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C2C9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C79D0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312</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6822FE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天地销</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8526A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304不锈钢8寸天地插销，防锈耐腐蚀，适配双开门、防火门闭锁</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FBBCFE0">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03505F3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6DC7A1D">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2CCF73C">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1BC3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A9609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313</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59A38F9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贴钩</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24B0D1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塑料/金属单挂钩，背胶或者螺丝两种安装方式，挂钩圆角处理</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17A8787">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8B382C2">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A70107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38DFD0F6">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8CE6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1FE83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314</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9563BF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铁钩</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40C81F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碳钢1寸铁钩，冲压成型，螺纹完整，表面防锈喷漆，用于墙面物件吊挂，受力不易弯折</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E0D3E9A">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311D7BE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410DA33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7620558">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0E46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2EDEE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315</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5BE7764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铁链</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190D1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8号铁链，碳钢材质，环扣焊接牢固，镀锌防锈，用于吊挂、防护牵拉使用</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C9CF3AF">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DECE70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3C0DFB5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18A78281">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8CBD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4F76D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316</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012354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铁链</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623BE39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6号铁链，碳钢材质，镀锌防锈，不易断裂，适用于轻型吊挂、防护绑定</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6206408">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5BADC1E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7D758BC1">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63DFD40B">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3838D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E3765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317</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588D3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铁马护栏</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068D8C3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铁马护栏，尺寸150*100cm，重量7.5kg，表面喷塑防锈，防倾倒，临时隔离防护使用</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B38F648">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16FA223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6550238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1F5CE340">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210A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571F1D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318</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7C5C49C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铁门锁</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432CDCE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防盗门月牙钥匙门锁，合金锁壳，月牙锁芯，防撬，适配普通防盗门安装</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BFE4BB3">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160FCA8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DB731C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C500EE5">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3611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DBDD6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319</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6BEABA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铁皮剪</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E36CF4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18寸铁皮剪，高碳钢刃口，适合薄铁皮、薄板剪切作业，防锈处理</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4D071B8">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4B541B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1B9685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2C0BA497">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FE80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6C850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320</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AA1764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铁锹</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4916A51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铁锹，铁质锹头，配1米手柄，铆接牢固，适合铲沙、铲土维修作业</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BDE5720">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B50BED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E40D46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6CE2A12">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5EC89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3D2F5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321</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048DF1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铁丝</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39AF05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22号镀锌铁丝，镀锌防锈，用于绑扎、固定各类构件</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15D0DB7D">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CD5A30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EB60E3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1F747C2B">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327BE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C759A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322</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7DE4C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铜锁芯</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04DB9B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黄铜执手门锁锁芯，弹子结构，耐磨抗锈蚀，适配常规室内执手门锁更换</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3628C280">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2DD19AB6">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079FF891">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35AB21C">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100A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DAE37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323</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5A4EAA8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万用表</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3D074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指针/数显万用表，可测电压、电流、电阻（量程2000Ω），表笔绝缘</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5C94ECC">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61D02D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1C0361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674DBC89">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3EA7B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BEFEA5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324</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597267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吸顶灯</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5432CB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AC220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240V，14W人体感应吸顶灯，感应触发灵敏，延时熄灭，色温6000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6500K，Ra≥80，外壳阻燃</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E3C20E0">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0295D6A1">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6CF5087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3A05BC03">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0C31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D4530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325</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115D04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吸顶灯</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453A25E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额定电压AC220</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240V，功率36W，圆形吸顶灯，色温6500K，显色指数Ra≥80</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62B08BB">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2491A3A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7C1F69FD">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9375161">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D401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62A8F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326</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AD783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洗手盆</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FCD95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陶瓷洗手盆，高温陶瓷烧制，釉面光洁致密，抗污易清洁，配套下水组件，</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1699E3D">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5C65AB8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4EF4E27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6220FA0A">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19E4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697157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327</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D85294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洗手盆排水管</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000E90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S型防臭洗手盆排水管，长度1米，PVC材质，可伸缩调节，水封防臭，接口适配常规陶瓷洗手盆，排水通畅不渗漏</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0BB9AB6">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02BA1A5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6C3763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1C4572C1">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E44F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1B9756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328</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CB981B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下水管</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4E0C8F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PVC下水管，长度1米，接口适配，排水通畅，抗老化不易脆裂</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0D5C014">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37E661D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35EA913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C6E12E5">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5E89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1FF133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329</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7D235E5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下水头</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A9DB62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陶瓷面盆下水头，金属主体，配套密封橡胶垫圈，防溢水，适配常规陶瓷洗手盆开孔</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33287F7F">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BDCEA1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3DF6441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3D736E7">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05BD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6C18A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330</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99C2A0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线槽</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15BA1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PVC地面线槽，宽度7cm，高强度PVC材质，抗压耐踩，盖板卡扣牢固，用于地面线缆防护敷设</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2413C4C">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0D94E14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342479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1F9593E">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9734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A903B1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331</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5381489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线槽（厚）</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1B01A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加厚PVC线槽4分，阻燃，用于室内明装布线防护</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61C7D707">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DCE0B9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8C8151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273FE605">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AAEF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4B0655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332</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5A2954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线槽（厚）</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CABDCE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加厚PVC线槽6分，阻燃PVC材质，适用于室内明装电线敷设</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6B5EFEBD">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A3BB1F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4E9BEC72">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A012691">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E800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DD437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333</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73FEFB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线管（厚）</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D8DFE1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加厚阻燃PVC线管4分，抗压，绝缘，弯管不易开裂，穿线防护使用</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33970A79">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0489AB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75E3E522">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1E90D890">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6D85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200A8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334</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3D20D7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线管（厚）</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C45836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加厚阻燃PVC线管6分，高强度抗冲击，可冷弯，不易脆裂，用于建筑电线穿管防护</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E75C7E7">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1745287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09D0ECC6">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36ED00A">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C611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73DD6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335</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87A354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橡胶路锥</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7D7A4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橡胶路锥，重量5.5kg，橡胶材质，耐碾压，不易碎裂，反光标识清晰醒目，道路警示隔离使用</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BA8A2D9">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3CDC2E0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F2F6E2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5E53B097">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7C0E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65494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336</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9C5786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橡胶门塞</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603E70C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橡胶门挡，高弹性橡胶，防滑底座，阻挡门扇撞击，适配各类室内房门使用</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331C43BD">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356DF43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373CD54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38D12D0F">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57FD5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2B0DBD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337</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A16325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消毒灯驱动器</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09FC4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AC220V输入，适配40W紫外线消毒灯管，绝缘外壳，适配T8消毒灯管支架</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3315EB63">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313426A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69C6600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AD77DF8">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61CF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C5F94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338</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9EEB7D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消毒灯支架</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31090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1.2米T8紫外线消毒灯支架，金属壳体，配套2米吊绳，适配紫外线灯管安装</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5A5413F">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2B1DC02D">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D66750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27081DB0">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63B3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0791A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339</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9A8C49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斜口钳</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F71E69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高碳钢6寸斜口钳，手柄防滑绝缘，表面防锈处理，电工维修适用</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8A66C6D">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2CBB0F7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5F53312">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33DA473F">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3F28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EA01B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340</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59EC05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信箱锁</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46136B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信箱锁，锁芯直径ø22，锌合金锁壳，铜锁芯，抗锈蚀，适配信箱、小型柜体闭锁</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6C9983CA">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E4253BD">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016D4646">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6B44E335">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BCD4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5AFFF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341</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3280C9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烟斗胶</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BBC85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不锈钢烟斗铰链，液压缓冲，防锈耐腐蚀，适配柜门缓冲闭合</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EF44877">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31CE7A5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3A38285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5D176C3">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5B1A9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9C10A0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342</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DB6A09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遥控浮球阀</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05EEC44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AC220V电动遥控浮球阀，阀体耐压，密封不漏水，可远程控制水箱进水开闭</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3840D53F">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EAECB6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07E964D">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3DB2A89C">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6665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FE669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343</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1A5A59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遥控器盒</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6E4DF1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塑料遥控器收纳盒，3格分区，ABS材质，抗摔，壁挂安装孔位，用于遥控器分类收纳保护</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6EAD10A">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30F40D9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32C4D14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2EF3C138">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E80D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0F5FA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344</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57C816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液位控制器</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CFF4D2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AC220V液位控制器，探头耐水耐腐蚀，高低液位检测准确，继电器输出，外壳绝缘防尘，水池水箱液位自动控制</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644E3F75">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3422C07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33278AD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33DEF938">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8FCA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3D9C5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345</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19458B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医用脚轮</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98961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6寸医用活动刹车脚轮，TPR静音轮面，支架耐腐蚀，转动顺滑，适用于医疗设备推车承载</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A102A39">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16638AE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D141ED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6EC3602D">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0761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54A2A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346</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6E7CB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饮水管</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6D9548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食品级饮水软管，2分规格，材质安全无毒，耐水压，抗老化，适配直饮水机水路管路</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613CA293">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E7EA57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0EA64C3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9ED1E33">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5634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7B5B29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347</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21573A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饮水管胶水</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4539510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PVC饮水管路专用胶水，容量500g</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B7CF53F">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2242F41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03FA55A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3743E6F">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87BE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E8D37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348</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8BB615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饮水机球阀</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3FA096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3分饮水机专用球阀，阀体耐腐蚀，开关灵活，密封无渗水，适配直饮水机水路通断控制</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347BFD2">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FF1496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D6EBEA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CE4F33F">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38E66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A6D4F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349</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A98FE7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饮水机水管</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48DF64F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食品级3分饮水管，耐水压，抗老化，适配饮水机内部及外接管路</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AEB4DF4">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3911FD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2C8BC16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DF0167F">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68EB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FA683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350</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F92DE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扎箍</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076DEB5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金属扎箍2寸，锁紧紧固牢靠，边缘无毛刺，防锈，用于软管管道抱紧固定</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6CED91C">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6CE09B1">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FBCA36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65D8E861">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2E31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0AA2FE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351</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75A691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闸阀</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60BB1F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黄铜闸阀，6分规格，阀板启闭到位，螺纹规整，耐压≥1.0MPa，密封无渗漏，水暖管路通断控制</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64AED93C">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9549572">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5DF68C1">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5531F9F4">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D48F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26172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352</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0165D6D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闸阀</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42D2F7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DN65闸阀，铸铁/铜阀体，适用于给排水主管路通断，法兰或螺纹接口规整</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5C95747">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3CA1A97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AFCF5B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0F5EC8C">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9EBC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BAFC8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353</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5F01BFE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闸阀</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684497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黄铜闸阀，4分规格，启闭操作灵活，螺纹完整，密封面平整，耐压≥1.0MPa，无砂眼气孔</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A7DA2ED">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284661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333A58E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ED5797E">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C58B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35A176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354</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71A3E98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闸阀PPR</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03C4FA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PPR+铜芯闸阀，6分DN25，符合GB/T18742，可热熔连接，耐压≥1.2MPa，密封严实不漏水，适配PPR热水管路</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654B2DA">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062086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633F19D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51DE6B05">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31E61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61959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355</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A02ECD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直阀</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66319C6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全铜4分直阀，陶瓷阀芯，耐压≥1.0MPa，防锈耐腐蚀，无滴漏，给水支路控制使用</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265B242">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9067A8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5051321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529EB8D">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44061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0A0084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356</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48D9B09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直通</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7AE7B1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U变径直通50转32mm，无砂眼裂纹，粘接端面平整，耐压≥1.0MPa，用于不同管径管路对接</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304D744">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41B7DD7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64624BE6">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6B62F84">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B41D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B552E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357</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3F2EC1F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直通</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A6B2A1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U直通DN32，管件粘接口平整，无气泡缺陷，耐压≥1.0MPa，给排水管路对接使用</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3040871">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53D9417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9F9B59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7CC2F7B6">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EF46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260346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358</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0B95CFD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直通</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0A8FCF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noBreakHyphen/>
            </w:r>
            <w:r>
              <w:rPr>
                <w:rFonts w:hint="eastAsia" w:ascii="宋体" w:hAnsi="宋体" w:eastAsia="宋体" w:cs="宋体"/>
                <w:i w:val="0"/>
                <w:iCs w:val="0"/>
                <w:color w:val="000000"/>
                <w:kern w:val="0"/>
                <w:sz w:val="22"/>
                <w:szCs w:val="22"/>
                <w:highlight w:val="none"/>
                <w:u w:val="none"/>
                <w:lang w:val="en-US" w:eastAsia="zh-CN" w:bidi="ar"/>
              </w:rPr>
              <w:t>U变径直通32mm转6分，粘接面平整，耐压≥1.0MPa，管路异径连接</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C4B2961">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5F3A1F1">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311A02A2">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B8E392F">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35A3F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1E18E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359</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55658F4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轴承</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09F716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滚动轴承型号6305，轴承钢材质，转动顺滑，适用于电机、转动设备</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F7E6A9B">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750259F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08C49661">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41836B07">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6444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84607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360</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C68EC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自攻螺丝</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74E87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碳钢沉头自攻螺丝，规格3.5mm×20mm，螺纹锋利，表面镀锌防锈，适用于板材、木构件紧固，一盒足量包装</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AAC9A94">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224972A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6EF5EF6D">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2E6DB104">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65C8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AF807F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361</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032FF07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自攻螺丝</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F9685C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碳钢沉头自攻螺丝，3.5mm×25mm，镀锌防锈，咬合板材牢固，维修安装紧固用</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64AA12B">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096540E6">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7EF9B1E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180FC4D1">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B9E6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66B41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362</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27500B1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自攻螺丝</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4103A2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碳钢自攻螺丝，长度25mm，镀锌防锈，适配木材、薄金属板材紧固，包装整齐，不易混料</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A04E265">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67A98DA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68D67B6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6F2F7F50">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E83E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A5802C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363</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7657AC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钻咀</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83F31E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加长冲击钻咀16mm×500mm，硬质合金刀头，排屑槽顺畅，用于混凝土深孔钻孔作业</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7F26712">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0CCCF69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1F8DF4B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28D8BBB7">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6FCEC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64551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364</w:t>
            </w:r>
          </w:p>
        </w:tc>
        <w:tc>
          <w:tcPr>
            <w:tcW w:w="1495" w:type="dxa"/>
            <w:tcBorders>
              <w:top w:val="single" w:color="auto" w:sz="4" w:space="0"/>
              <w:left w:val="single" w:color="auto" w:sz="4" w:space="0"/>
              <w:bottom w:val="single" w:color="auto" w:sz="4" w:space="0"/>
              <w:right w:val="single" w:color="auto" w:sz="4" w:space="0"/>
            </w:tcBorders>
            <w:shd w:val="clear" w:color="auto" w:fill="auto"/>
            <w:vAlign w:val="center"/>
          </w:tcPr>
          <w:p w14:paraId="6D1A15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钻头</w:t>
            </w:r>
          </w:p>
        </w:tc>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2E6073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硬质合金陶瓷钻头，直径6mm，适用于瓷砖、陶瓷制品打孔作业</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CC2653A">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40" w:type="dxa"/>
            <w:tcBorders>
              <w:top w:val="single" w:color="auto" w:sz="4" w:space="0"/>
              <w:left w:val="single" w:color="auto" w:sz="4" w:space="0"/>
              <w:bottom w:val="single" w:color="auto" w:sz="4" w:space="0"/>
              <w:right w:val="single" w:color="auto" w:sz="4" w:space="0"/>
            </w:tcBorders>
            <w:shd w:val="clear" w:color="auto" w:fill="auto"/>
          </w:tcPr>
          <w:p w14:paraId="2AC372D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290" w:type="dxa"/>
            <w:tcBorders>
              <w:top w:val="single" w:color="auto" w:sz="4" w:space="0"/>
              <w:left w:val="single" w:color="auto" w:sz="4" w:space="0"/>
              <w:bottom w:val="single" w:color="auto" w:sz="4" w:space="0"/>
              <w:right w:val="single" w:color="auto" w:sz="4" w:space="0"/>
            </w:tcBorders>
            <w:shd w:val="clear" w:color="auto" w:fill="auto"/>
          </w:tcPr>
          <w:p w14:paraId="616503D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18" w:type="dxa"/>
            <w:tcBorders>
              <w:top w:val="single" w:color="auto" w:sz="4" w:space="0"/>
              <w:left w:val="single" w:color="auto" w:sz="4" w:space="0"/>
              <w:bottom w:val="single" w:color="auto" w:sz="4" w:space="0"/>
              <w:right w:val="single" w:color="auto" w:sz="4" w:space="0"/>
            </w:tcBorders>
            <w:shd w:val="clear" w:color="auto" w:fill="auto"/>
          </w:tcPr>
          <w:p w14:paraId="07A6BE53">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bl>
    <w:p w14:paraId="10523026">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p>
    <w:p w14:paraId="08B69458">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法定代表人或其授权代表人（签字）：</w:t>
      </w:r>
    </w:p>
    <w:p w14:paraId="6493FD21">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投标单位全称（加盖公章）：</w:t>
      </w:r>
    </w:p>
    <w:p w14:paraId="39763136">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default" w:eastAsia="宋体"/>
          <w:color w:val="auto"/>
          <w:highlight w:val="none"/>
          <w:lang w:val="en-US" w:eastAsia="zh-CN"/>
        </w:rPr>
      </w:pPr>
      <w:r>
        <w:rPr>
          <w:rFonts w:hint="eastAsia"/>
          <w:color w:val="auto"/>
          <w:highlight w:val="none"/>
          <w:lang w:val="en-US" w:eastAsia="zh-CN"/>
        </w:rPr>
        <w:t>日期：</w:t>
      </w:r>
    </w:p>
    <w:p w14:paraId="6E18E9D5">
      <w:pPr>
        <w:keepLines w:val="0"/>
        <w:pageBreakBefore w:val="0"/>
        <w:tabs>
          <w:tab w:val="left" w:pos="0"/>
        </w:tabs>
        <w:kinsoku/>
        <w:wordWrap/>
        <w:overflowPunct/>
        <w:topLinePunct w:val="0"/>
        <w:bidi w:val="0"/>
        <w:snapToGrid w:val="0"/>
        <w:spacing w:line="240" w:lineRule="exact"/>
        <w:rPr>
          <w:rFonts w:hint="eastAsia" w:ascii="仿宋_GB2312" w:hAnsi="仿宋_GB2312" w:eastAsia="仿宋_GB2312" w:cs="仿宋_GB2312"/>
          <w:b w:val="0"/>
          <w:bCs/>
          <w:color w:val="auto"/>
          <w:kern w:val="0"/>
          <w:sz w:val="24"/>
          <w:szCs w:val="24"/>
          <w:highlight w:val="none"/>
          <w:lang w:val="en-US" w:eastAsia="zh-CN"/>
        </w:rPr>
      </w:pPr>
    </w:p>
    <w:p w14:paraId="0530B8D9">
      <w:pPr>
        <w:keepLines w:val="0"/>
        <w:pageBreakBefore w:val="0"/>
        <w:tabs>
          <w:tab w:val="left" w:pos="0"/>
        </w:tabs>
        <w:kinsoku/>
        <w:wordWrap/>
        <w:overflowPunct/>
        <w:topLinePunct w:val="0"/>
        <w:bidi w:val="0"/>
        <w:snapToGrid w:val="0"/>
        <w:spacing w:line="500" w:lineRule="exact"/>
        <w:rPr>
          <w:rFonts w:hint="eastAsia" w:ascii="仿宋" w:hAnsi="仿宋" w:eastAsia="仿宋" w:cs="仿宋"/>
          <w:b/>
          <w:color w:val="auto"/>
          <w:kern w:val="0"/>
          <w:sz w:val="44"/>
          <w:szCs w:val="44"/>
          <w:highlight w:val="none"/>
          <w:lang w:val="zh-CN"/>
        </w:rPr>
        <w:sectPr>
          <w:headerReference r:id="rId5" w:type="default"/>
          <w:footerReference r:id="rId6" w:type="default"/>
          <w:pgSz w:w="16838" w:h="11906" w:orient="landscape"/>
          <w:pgMar w:top="1304" w:right="2098" w:bottom="1142" w:left="1984" w:header="851" w:footer="1417" w:gutter="0"/>
          <w:pgNumType w:fmt="numberInDash"/>
          <w:cols w:space="0" w:num="1"/>
          <w:rtlGutter w:val="0"/>
          <w:docGrid w:type="lines" w:linePitch="338" w:charSpace="0"/>
        </w:sectPr>
      </w:pPr>
    </w:p>
    <w:p w14:paraId="70A39AC7">
      <w:pPr>
        <w:widowControl/>
        <w:ind w:firstLine="4859" w:firstLineChars="1100"/>
        <w:jc w:val="both"/>
        <w:textAlignment w:val="center"/>
        <w:rPr>
          <w:rFonts w:hint="eastAsia" w:ascii="仿宋" w:hAnsi="仿宋" w:eastAsia="仿宋" w:cs="仿宋"/>
          <w:b/>
          <w:color w:val="000000"/>
          <w:kern w:val="0"/>
          <w:sz w:val="44"/>
          <w:szCs w:val="44"/>
        </w:rPr>
      </w:pPr>
      <w:r>
        <w:rPr>
          <w:rFonts w:hint="eastAsia" w:ascii="仿宋" w:hAnsi="仿宋" w:eastAsia="仿宋" w:cs="仿宋"/>
          <w:b/>
          <w:color w:val="000000"/>
          <w:kern w:val="0"/>
          <w:sz w:val="44"/>
          <w:szCs w:val="44"/>
        </w:rPr>
        <w:t>服务条款偏离表</w:t>
      </w:r>
    </w:p>
    <w:tbl>
      <w:tblPr>
        <w:tblStyle w:val="19"/>
        <w:tblW w:w="48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7"/>
        <w:gridCol w:w="7374"/>
        <w:gridCol w:w="2186"/>
        <w:gridCol w:w="1797"/>
        <w:gridCol w:w="571"/>
      </w:tblGrid>
      <w:tr w14:paraId="4C4E2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7EF1F612">
            <w:pPr>
              <w:pStyle w:val="18"/>
              <w:keepNext w:val="0"/>
              <w:keepLines w:val="0"/>
              <w:pageBreakBefore w:val="0"/>
              <w:widowControl w:val="0"/>
              <w:kinsoku/>
              <w:wordWrap/>
              <w:overflowPunct/>
              <w:topLinePunct w:val="0"/>
              <w:autoSpaceDE/>
              <w:autoSpaceDN/>
              <w:bidi w:val="0"/>
              <w:adjustRightInd/>
              <w:snapToGrid/>
              <w:spacing w:after="0" w:line="320" w:lineRule="exact"/>
              <w:ind w:left="0" w:leftChars="0" w:right="0" w:rightChars="0" w:firstLine="0" w:firstLineChars="0"/>
              <w:jc w:val="left"/>
              <w:textAlignment w:val="auto"/>
              <w:rPr>
                <w:rFonts w:hint="eastAsia" w:ascii="Calibri" w:hAnsi="Calibri" w:eastAsia="宋体" w:cs="黑体"/>
                <w:color w:val="auto"/>
                <w:kern w:val="2"/>
                <w:sz w:val="24"/>
                <w:szCs w:val="32"/>
                <w:highlight w:val="none"/>
                <w:lang w:val="en-US" w:eastAsia="zh-CN" w:bidi="ar-SA"/>
              </w:rPr>
            </w:pPr>
            <w:r>
              <w:rPr>
                <w:rFonts w:hint="eastAsia" w:ascii="Calibri" w:hAnsi="Calibri" w:eastAsia="宋体" w:cs="黑体"/>
                <w:color w:val="auto"/>
                <w:kern w:val="2"/>
                <w:sz w:val="24"/>
                <w:szCs w:val="32"/>
                <w:highlight w:val="none"/>
                <w:lang w:val="zh-CN" w:eastAsia="zh-CN" w:bidi="ar-SA"/>
              </w:rPr>
              <w:t>项目名称：</w:t>
            </w:r>
            <w:r>
              <w:rPr>
                <w:rFonts w:hint="default" w:ascii="Times New Roman" w:hAnsi="Times New Roman" w:cs="Times New Roman"/>
                <w:color w:val="auto"/>
                <w:sz w:val="24"/>
                <w:highlight w:val="none"/>
                <w:lang w:val="zh-CN"/>
              </w:rPr>
              <w:t>深圳市龙岗区第七人民医院2026-2027年度五金耗材</w:t>
            </w:r>
            <w:r>
              <w:rPr>
                <w:rFonts w:hint="eastAsia" w:ascii="Times New Roman" w:hAnsi="Times New Roman" w:cs="Times New Roman"/>
                <w:color w:val="auto"/>
                <w:sz w:val="24"/>
                <w:highlight w:val="none"/>
                <w:lang w:val="en-US" w:eastAsia="zh-CN"/>
              </w:rPr>
              <w:t>项目</w:t>
            </w:r>
          </w:p>
          <w:p w14:paraId="5BBF7538">
            <w:pPr>
              <w:keepNext w:val="0"/>
              <w:keepLines w:val="0"/>
              <w:pageBreakBefore w:val="0"/>
              <w:kinsoku/>
              <w:wordWrap/>
              <w:overflowPunct/>
              <w:topLinePunct w:val="0"/>
              <w:autoSpaceDE/>
              <w:autoSpaceDN/>
              <w:bidi w:val="0"/>
              <w:adjustRightInd/>
              <w:snapToGrid/>
              <w:spacing w:line="560" w:lineRule="exact"/>
              <w:jc w:val="left"/>
              <w:rPr>
                <w:rFonts w:hint="eastAsia" w:ascii="宋体" w:hAnsi="宋体" w:cs="宋体"/>
                <w:b/>
                <w:bCs/>
                <w:color w:val="auto"/>
                <w:szCs w:val="21"/>
                <w:highlight w:val="none"/>
              </w:rPr>
            </w:pPr>
            <w:r>
              <w:rPr>
                <w:rFonts w:hint="eastAsia" w:ascii="Calibri" w:hAnsi="Calibri" w:eastAsia="宋体" w:cs="黑体"/>
                <w:color w:val="auto"/>
                <w:kern w:val="2"/>
                <w:sz w:val="24"/>
                <w:szCs w:val="32"/>
                <w:highlight w:val="none"/>
                <w:lang w:val="en-US" w:eastAsia="zh-CN" w:bidi="ar-SA"/>
              </w:rPr>
              <w:t>项目编号：深龙七医采[</w:t>
            </w:r>
            <w:r>
              <w:rPr>
                <w:rFonts w:hint="eastAsia" w:cs="黑体"/>
                <w:color w:val="auto"/>
                <w:kern w:val="2"/>
                <w:sz w:val="24"/>
                <w:szCs w:val="32"/>
                <w:highlight w:val="none"/>
                <w:lang w:val="en-US" w:eastAsia="zh-CN" w:bidi="ar-SA"/>
              </w:rPr>
              <w:t>LGQY2026ZW011</w:t>
            </w:r>
            <w:r>
              <w:rPr>
                <w:rFonts w:hint="eastAsia" w:ascii="Calibri" w:hAnsi="Calibri" w:eastAsia="宋体" w:cs="黑体"/>
                <w:color w:val="auto"/>
                <w:kern w:val="2"/>
                <w:sz w:val="24"/>
                <w:szCs w:val="32"/>
                <w:highlight w:val="none"/>
                <w:lang w:val="en-US" w:eastAsia="zh-CN" w:bidi="ar-SA"/>
              </w:rPr>
              <w:t>]</w:t>
            </w:r>
          </w:p>
        </w:tc>
      </w:tr>
      <w:tr w14:paraId="0C6FA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0" w:type="pct"/>
            <w:tcBorders>
              <w:top w:val="single" w:color="auto" w:sz="4" w:space="0"/>
              <w:left w:val="single" w:color="auto" w:sz="4" w:space="0"/>
              <w:bottom w:val="single" w:color="auto" w:sz="4" w:space="0"/>
              <w:right w:val="single" w:color="auto" w:sz="4" w:space="0"/>
            </w:tcBorders>
            <w:noWrap w:val="0"/>
            <w:vAlign w:val="center"/>
          </w:tcPr>
          <w:p w14:paraId="7E029EDF">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b/>
                <w:bCs/>
                <w:color w:val="auto"/>
                <w:kern w:val="0"/>
                <w:szCs w:val="21"/>
                <w:highlight w:val="none"/>
                <w:lang w:val="en-US" w:eastAsia="zh-CN" w:bidi="ar"/>
              </w:rPr>
              <w:t>序号</w:t>
            </w:r>
          </w:p>
        </w:tc>
        <w:tc>
          <w:tcPr>
            <w:tcW w:w="2918" w:type="pct"/>
            <w:tcBorders>
              <w:top w:val="single" w:color="auto" w:sz="4" w:space="0"/>
              <w:left w:val="single" w:color="auto" w:sz="4" w:space="0"/>
              <w:bottom w:val="single" w:color="auto" w:sz="4" w:space="0"/>
              <w:right w:val="single" w:color="auto" w:sz="4" w:space="0"/>
            </w:tcBorders>
            <w:noWrap w:val="0"/>
            <w:vAlign w:val="center"/>
          </w:tcPr>
          <w:p w14:paraId="7B1C9BF8">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cs="宋体"/>
                <w:b/>
                <w:color w:val="auto"/>
                <w:szCs w:val="21"/>
                <w:highlight w:val="none"/>
              </w:rPr>
              <w:t>招标</w:t>
            </w:r>
            <w:r>
              <w:rPr>
                <w:rFonts w:hint="eastAsia" w:ascii="宋体" w:cs="宋体"/>
                <w:b/>
                <w:color w:val="auto"/>
                <w:szCs w:val="21"/>
                <w:highlight w:val="none"/>
                <w:lang w:val="en-US" w:eastAsia="zh-CN"/>
              </w:rPr>
              <w:t>服务</w:t>
            </w:r>
            <w:r>
              <w:rPr>
                <w:rFonts w:hint="eastAsia" w:ascii="宋体" w:cs="宋体"/>
                <w:b/>
                <w:color w:val="auto"/>
                <w:szCs w:val="21"/>
                <w:highlight w:val="none"/>
              </w:rPr>
              <w:t>要求</w:t>
            </w:r>
          </w:p>
        </w:tc>
        <w:tc>
          <w:tcPr>
            <w:tcW w:w="865" w:type="pct"/>
            <w:tcBorders>
              <w:top w:val="single" w:color="auto" w:sz="4" w:space="0"/>
              <w:left w:val="single" w:color="auto" w:sz="4" w:space="0"/>
              <w:bottom w:val="single" w:color="auto" w:sz="4" w:space="0"/>
              <w:right w:val="single" w:color="auto" w:sz="4" w:space="0"/>
            </w:tcBorders>
            <w:noWrap w:val="0"/>
            <w:vAlign w:val="center"/>
          </w:tcPr>
          <w:p w14:paraId="737DCB3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cs="宋体"/>
                <w:b/>
                <w:bCs/>
                <w:color w:val="auto"/>
                <w:szCs w:val="21"/>
                <w:highlight w:val="none"/>
              </w:rPr>
            </w:pPr>
            <w:r>
              <w:rPr>
                <w:rFonts w:hint="eastAsia" w:ascii="宋体" w:cs="宋体"/>
                <w:b/>
                <w:bCs/>
                <w:color w:val="auto"/>
                <w:szCs w:val="21"/>
                <w:highlight w:val="none"/>
              </w:rPr>
              <w:t>投标</w:t>
            </w:r>
            <w:r>
              <w:rPr>
                <w:rFonts w:hint="eastAsia" w:ascii="宋体" w:cs="宋体"/>
                <w:b/>
                <w:bCs/>
                <w:color w:val="auto"/>
                <w:szCs w:val="21"/>
                <w:highlight w:val="none"/>
                <w:lang w:val="en-US" w:eastAsia="zh-CN"/>
              </w:rPr>
              <w:t>服务</w:t>
            </w:r>
            <w:r>
              <w:rPr>
                <w:rFonts w:hint="eastAsia" w:ascii="宋体" w:cs="宋体"/>
                <w:b/>
                <w:bCs/>
                <w:color w:val="auto"/>
                <w:szCs w:val="21"/>
                <w:highlight w:val="none"/>
              </w:rPr>
              <w:t>响应</w:t>
            </w:r>
          </w:p>
          <w:p w14:paraId="52615895">
            <w:pPr>
              <w:pStyle w:val="32"/>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hAnsi="宋体" w:eastAsia="宋体" w:cs="宋体"/>
                <w:b/>
                <w:bCs/>
                <w:color w:val="auto"/>
                <w:kern w:val="2"/>
                <w:sz w:val="21"/>
                <w:szCs w:val="24"/>
                <w:highlight w:val="none"/>
                <w:lang w:val="en-US" w:eastAsia="zh-CN" w:bidi="ar-SA"/>
              </w:rPr>
            </w:pPr>
            <w:r>
              <w:rPr>
                <w:rFonts w:hint="eastAsia" w:ascii="宋体" w:cs="宋体"/>
                <w:color w:val="auto"/>
                <w:highlight w:val="none"/>
              </w:rPr>
              <w:t>投标人根据实际情况在此处进行响应</w:t>
            </w:r>
          </w:p>
        </w:tc>
        <w:tc>
          <w:tcPr>
            <w:tcW w:w="711" w:type="pct"/>
            <w:tcBorders>
              <w:top w:val="single" w:color="auto" w:sz="4" w:space="0"/>
              <w:left w:val="single" w:color="auto" w:sz="4" w:space="0"/>
              <w:bottom w:val="single" w:color="auto" w:sz="4" w:space="0"/>
              <w:right w:val="single" w:color="auto" w:sz="4" w:space="0"/>
            </w:tcBorders>
            <w:noWrap w:val="0"/>
            <w:vAlign w:val="center"/>
          </w:tcPr>
          <w:p w14:paraId="484747CE">
            <w:pPr>
              <w:keepNext w:val="0"/>
              <w:keepLines w:val="0"/>
              <w:pageBreakBefore w:val="0"/>
              <w:kinsoku/>
              <w:wordWrap/>
              <w:overflowPunct/>
              <w:topLinePunct w:val="0"/>
              <w:autoSpaceDE/>
              <w:autoSpaceDN/>
              <w:bidi w:val="0"/>
              <w:adjustRightInd/>
              <w:snapToGrid/>
              <w:spacing w:line="560" w:lineRule="exact"/>
              <w:jc w:val="center"/>
              <w:rPr>
                <w:rFonts w:ascii="宋体" w:cs="宋体"/>
                <w:b/>
                <w:bCs/>
                <w:color w:val="auto"/>
                <w:szCs w:val="21"/>
                <w:highlight w:val="none"/>
              </w:rPr>
            </w:pPr>
            <w:r>
              <w:rPr>
                <w:rFonts w:hint="eastAsia" w:ascii="宋体" w:cs="宋体"/>
                <w:b/>
                <w:bCs/>
                <w:color w:val="auto"/>
                <w:szCs w:val="21"/>
                <w:highlight w:val="none"/>
              </w:rPr>
              <w:t>偏离情况</w:t>
            </w:r>
          </w:p>
          <w:p w14:paraId="1B5E0AAF">
            <w:pPr>
              <w:pStyle w:val="32"/>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hAnsi="宋体" w:eastAsia="宋体" w:cs="宋体"/>
                <w:b/>
                <w:bCs/>
                <w:color w:val="auto"/>
                <w:kern w:val="2"/>
                <w:sz w:val="21"/>
                <w:szCs w:val="24"/>
                <w:highlight w:val="none"/>
                <w:lang w:val="en-US" w:eastAsia="zh-CN" w:bidi="ar-SA"/>
              </w:rPr>
            </w:pPr>
            <w:r>
              <w:rPr>
                <w:rFonts w:hint="eastAsia" w:ascii="宋体" w:cs="宋体"/>
                <w:color w:val="auto"/>
                <w:highlight w:val="none"/>
              </w:rPr>
              <w:t>“正偏离”或“无偏离”或“负偏离”</w:t>
            </w:r>
          </w:p>
        </w:tc>
        <w:tc>
          <w:tcPr>
            <w:tcW w:w="223" w:type="pct"/>
            <w:tcBorders>
              <w:top w:val="single" w:color="auto" w:sz="4" w:space="0"/>
              <w:left w:val="single" w:color="auto" w:sz="4" w:space="0"/>
              <w:bottom w:val="single" w:color="auto" w:sz="4" w:space="0"/>
              <w:right w:val="single" w:color="auto" w:sz="4" w:space="0"/>
            </w:tcBorders>
            <w:noWrap w:val="0"/>
            <w:vAlign w:val="center"/>
          </w:tcPr>
          <w:p w14:paraId="15FCA9C8">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cs="宋体"/>
                <w:b/>
                <w:bCs/>
                <w:color w:val="auto"/>
                <w:szCs w:val="21"/>
                <w:highlight w:val="none"/>
              </w:rPr>
              <w:t>说明</w:t>
            </w:r>
          </w:p>
        </w:tc>
      </w:tr>
      <w:tr w14:paraId="273AC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C9C3B2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color w:val="auto"/>
                <w:sz w:val="22"/>
                <w:highlight w:val="none"/>
                <w:lang w:val="en-US" w:eastAsia="zh-CN"/>
              </w:rPr>
            </w:pPr>
            <w:r>
              <w:rPr>
                <w:rFonts w:hint="eastAsia"/>
                <w:color w:val="auto"/>
                <w:sz w:val="22"/>
                <w:highlight w:val="none"/>
                <w:lang w:val="en-US" w:eastAsia="zh-CN"/>
              </w:rPr>
              <w:t>1</w:t>
            </w:r>
          </w:p>
        </w:tc>
        <w:tc>
          <w:tcPr>
            <w:tcW w:w="291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790A858">
            <w:pPr>
              <w:keepNext w:val="0"/>
              <w:keepLines w:val="0"/>
              <w:pageBreakBefore w:val="0"/>
              <w:widowControl w:val="0"/>
              <w:numPr>
                <w:ilvl w:val="-1"/>
                <w:numId w:val="0"/>
              </w:numPr>
              <w:shd w:val="clear"/>
              <w:kinsoku/>
              <w:wordWrap/>
              <w:overflowPunct/>
              <w:topLinePunct w:val="0"/>
              <w:autoSpaceDE/>
              <w:autoSpaceDN/>
              <w:bidi w:val="0"/>
              <w:adjustRightInd/>
              <w:snapToGrid/>
              <w:spacing w:line="240" w:lineRule="atLeast"/>
              <w:ind w:firstLine="0" w:firstLineChars="0"/>
              <w:jc w:val="left"/>
              <w:textAlignment w:val="auto"/>
              <w:rPr>
                <w:rFonts w:hint="eastAsia" w:ascii="Calibri" w:hAnsi="Calibri" w:eastAsia="宋体" w:cs="黑体"/>
                <w:color w:val="auto"/>
                <w:kern w:val="2"/>
                <w:sz w:val="22"/>
                <w:szCs w:val="24"/>
                <w:highlight w:val="none"/>
                <w:lang w:val="en-US" w:eastAsia="zh-CN" w:bidi="ar-SA"/>
              </w:rPr>
            </w:pPr>
            <w:r>
              <w:rPr>
                <w:rFonts w:hint="eastAsia" w:ascii="Calibri" w:hAnsi="Calibri" w:eastAsia="宋体" w:cs="黑体"/>
                <w:color w:val="auto"/>
                <w:kern w:val="2"/>
                <w:sz w:val="22"/>
                <w:szCs w:val="24"/>
                <w:highlight w:val="none"/>
                <w:lang w:val="en-US" w:eastAsia="zh-CN" w:bidi="ar-SA"/>
              </w:rPr>
              <w:t>（三）投标人资格及供货能力要求</w:t>
            </w:r>
          </w:p>
          <w:p w14:paraId="04228EAA">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ind w:firstLine="0" w:firstLineChars="0"/>
              <w:jc w:val="left"/>
              <w:textAlignment w:val="auto"/>
              <w:rPr>
                <w:rFonts w:hint="eastAsia" w:ascii="Calibri" w:hAnsi="Calibri" w:eastAsia="宋体" w:cs="黑体"/>
                <w:color w:val="auto"/>
                <w:kern w:val="2"/>
                <w:sz w:val="22"/>
                <w:szCs w:val="24"/>
                <w:highlight w:val="none"/>
                <w:lang w:val="en-US" w:eastAsia="zh-CN" w:bidi="ar-SA"/>
              </w:rPr>
            </w:pPr>
            <w:r>
              <w:rPr>
                <w:rFonts w:hint="eastAsia" w:ascii="Calibri" w:hAnsi="Calibri" w:eastAsia="宋体" w:cs="黑体"/>
                <w:color w:val="auto"/>
                <w:kern w:val="2"/>
                <w:sz w:val="22"/>
                <w:szCs w:val="24"/>
                <w:highlight w:val="none"/>
                <w:lang w:val="en-US" w:eastAsia="zh-CN" w:bidi="ar-SA"/>
              </w:rPr>
              <w:t>1.本项目接受具备国内贸易、商贸经营等经营范围的综合性供应商参与投标。</w:t>
            </w:r>
          </w:p>
          <w:p w14:paraId="6F04FCE1">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ind w:firstLine="0" w:firstLineChars="0"/>
              <w:jc w:val="left"/>
              <w:textAlignment w:val="auto"/>
              <w:rPr>
                <w:rFonts w:hint="eastAsia" w:ascii="Calibri" w:hAnsi="Calibri" w:eastAsia="宋体" w:cs="黑体"/>
                <w:color w:val="auto"/>
                <w:sz w:val="22"/>
                <w:szCs w:val="24"/>
                <w:highlight w:val="none"/>
                <w:lang w:val="en-US" w:eastAsia="zh-CN"/>
              </w:rPr>
            </w:pPr>
            <w:r>
              <w:rPr>
                <w:rFonts w:hint="eastAsia" w:ascii="Calibri" w:hAnsi="Calibri" w:eastAsia="宋体" w:cs="黑体"/>
                <w:color w:val="auto"/>
                <w:sz w:val="22"/>
                <w:szCs w:val="24"/>
                <w:highlight w:val="none"/>
                <w:lang w:val="en-US" w:eastAsia="zh-CN"/>
              </w:rPr>
              <w:t>3.签订合同后，采购人提出采购需求下单，成品2个工作日内送达，最迟不超过5个工作日。按照采购人的采购需求数量，做到分批分次不定时送货，中标方负责把货物免费运送至采购人指定地点，否则一切后果由中标人负责。</w:t>
            </w:r>
          </w:p>
          <w:p w14:paraId="56744D31">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ind w:firstLine="0" w:firstLineChars="0"/>
              <w:jc w:val="left"/>
              <w:textAlignment w:val="auto"/>
              <w:rPr>
                <w:rFonts w:hint="eastAsia" w:ascii="Calibri" w:hAnsi="Calibri" w:eastAsia="宋体" w:cs="黑体"/>
                <w:color w:val="auto"/>
                <w:sz w:val="22"/>
                <w:szCs w:val="24"/>
                <w:highlight w:val="none"/>
                <w:lang w:val="en-US" w:eastAsia="zh-CN"/>
              </w:rPr>
            </w:pPr>
            <w:r>
              <w:rPr>
                <w:rFonts w:hint="eastAsia" w:ascii="Calibri" w:hAnsi="Calibri" w:eastAsia="宋体" w:cs="黑体"/>
                <w:color w:val="auto"/>
                <w:sz w:val="22"/>
                <w:szCs w:val="24"/>
                <w:highlight w:val="none"/>
                <w:lang w:val="en-US" w:eastAsia="zh-CN"/>
              </w:rPr>
              <w:t>4.中标方交货时要提供货物明细单一式叁份，明细清单应注明货物名称、数量、价格、总价等。中标人所提供的货物应符合现行国家标准，保证产品质量，质量三包，必须与采购人下单规格型号一致，否则采购人有权拒收货。提供的产品质量不符合双方约定或者有瑕疵、缺陷的，中标方应承担包括但不限于退换货等违约责任，并赔偿因此给采购人造成的全部损失。</w:t>
            </w:r>
          </w:p>
          <w:p w14:paraId="2CAA226E">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ind w:firstLine="0" w:firstLineChars="0"/>
              <w:jc w:val="left"/>
              <w:textAlignment w:val="auto"/>
              <w:rPr>
                <w:rFonts w:hint="eastAsia" w:ascii="Calibri" w:hAnsi="Calibri" w:eastAsia="宋体" w:cs="黑体"/>
                <w:color w:val="auto"/>
                <w:sz w:val="22"/>
                <w:szCs w:val="24"/>
                <w:highlight w:val="none"/>
                <w:lang w:val="en-US" w:eastAsia="zh-CN"/>
              </w:rPr>
            </w:pPr>
            <w:r>
              <w:rPr>
                <w:rFonts w:hint="eastAsia" w:ascii="Calibri" w:hAnsi="Calibri" w:eastAsia="宋体" w:cs="黑体"/>
                <w:color w:val="auto"/>
                <w:sz w:val="22"/>
                <w:szCs w:val="24"/>
                <w:highlight w:val="none"/>
                <w:lang w:val="en-US" w:eastAsia="zh-CN"/>
              </w:rPr>
              <w:t>5.本《采购货物清单》旨在为投标人理解本项目采购范围、产品规格及进行报价提供基础和参考。采购人保留在合同期内根据实际需求，在本项目采购品类及最高限价范围内调整具体产品款式、规格细节等内容的权利，最终以采购人下达的实际订单为准。</w:t>
            </w:r>
          </w:p>
          <w:p w14:paraId="6BEB43D4">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rPr>
                <w:rFonts w:hint="eastAsia"/>
                <w:color w:val="auto"/>
                <w:sz w:val="22"/>
                <w:highlight w:val="none"/>
                <w:lang w:val="en-US" w:eastAsia="zh-CN"/>
              </w:rPr>
            </w:pPr>
            <w:r>
              <w:rPr>
                <w:rFonts w:hint="eastAsia" w:ascii="Calibri" w:hAnsi="Calibri" w:eastAsia="宋体" w:cs="黑体"/>
                <w:color w:val="auto"/>
                <w:sz w:val="22"/>
                <w:szCs w:val="24"/>
                <w:highlight w:val="none"/>
                <w:lang w:val="en-US" w:eastAsia="zh-CN"/>
              </w:rPr>
              <w:t>6.合同期内，如采购人需要取消清单中某一品类的采购，可提前3个工作日书面通知中标人，中标人不得以此为由要求采购人承担违约责任或补偿。</w:t>
            </w:r>
          </w:p>
        </w:tc>
        <w:tc>
          <w:tcPr>
            <w:tcW w:w="865" w:type="pct"/>
            <w:tcBorders>
              <w:top w:val="single" w:color="auto" w:sz="4" w:space="0"/>
              <w:left w:val="single" w:color="auto" w:sz="4" w:space="0"/>
              <w:bottom w:val="single" w:color="auto" w:sz="4" w:space="0"/>
              <w:right w:val="single" w:color="auto" w:sz="4" w:space="0"/>
            </w:tcBorders>
            <w:noWrap w:val="0"/>
            <w:vAlign w:val="center"/>
          </w:tcPr>
          <w:p w14:paraId="32F28646">
            <w:pPr>
              <w:pStyle w:val="32"/>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711" w:type="pct"/>
            <w:tcBorders>
              <w:top w:val="single" w:color="auto" w:sz="4" w:space="0"/>
              <w:left w:val="single" w:color="auto" w:sz="4" w:space="0"/>
              <w:bottom w:val="single" w:color="auto" w:sz="4" w:space="0"/>
              <w:right w:val="single" w:color="auto" w:sz="4" w:space="0"/>
            </w:tcBorders>
            <w:noWrap w:val="0"/>
            <w:vAlign w:val="center"/>
          </w:tcPr>
          <w:p w14:paraId="0D2F6903">
            <w:pPr>
              <w:pStyle w:val="32"/>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3" w:type="pct"/>
            <w:tcBorders>
              <w:top w:val="single" w:color="auto" w:sz="4" w:space="0"/>
              <w:left w:val="single" w:color="auto" w:sz="4" w:space="0"/>
              <w:bottom w:val="single" w:color="auto" w:sz="4" w:space="0"/>
              <w:right w:val="single" w:color="auto" w:sz="4" w:space="0"/>
            </w:tcBorders>
            <w:noWrap w:val="0"/>
            <w:vAlign w:val="center"/>
          </w:tcPr>
          <w:p w14:paraId="406175C0">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bl>
    <w:p w14:paraId="18E0ED5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cs="宋体"/>
          <w:color w:val="auto"/>
          <w:szCs w:val="21"/>
          <w:highlight w:val="none"/>
        </w:rPr>
      </w:pPr>
    </w:p>
    <w:p w14:paraId="3118CB7D">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rPr>
        <w:t>《</w:t>
      </w:r>
      <w:r>
        <w:rPr>
          <w:rFonts w:hint="eastAsia" w:ascii="宋体" w:cs="宋体"/>
          <w:color w:val="auto"/>
          <w:szCs w:val="21"/>
          <w:highlight w:val="none"/>
          <w:lang w:val="en-US" w:eastAsia="zh-CN"/>
        </w:rPr>
        <w:t>服务</w:t>
      </w:r>
      <w:r>
        <w:rPr>
          <w:rFonts w:hint="eastAsia" w:ascii="宋体" w:cs="宋体"/>
          <w:color w:val="auto"/>
          <w:szCs w:val="21"/>
          <w:highlight w:val="none"/>
        </w:rPr>
        <w:t>条款偏离表》编制指引：</w:t>
      </w:r>
    </w:p>
    <w:p w14:paraId="02CFB210">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lang w:eastAsia="zh-CN"/>
        </w:rPr>
        <w:t>1.</w:t>
      </w:r>
      <w:r>
        <w:rPr>
          <w:rFonts w:hint="eastAsia" w:ascii="宋体" w:cs="宋体"/>
          <w:color w:val="auto"/>
          <w:szCs w:val="21"/>
          <w:highlight w:val="none"/>
          <w:lang w:val="en-US" w:eastAsia="zh-CN"/>
        </w:rPr>
        <w:t>服务</w:t>
      </w:r>
      <w:r>
        <w:rPr>
          <w:rFonts w:hint="eastAsia" w:ascii="宋体" w:cs="宋体"/>
          <w:color w:val="auto"/>
          <w:szCs w:val="21"/>
          <w:highlight w:val="none"/>
        </w:rPr>
        <w:t>条款偏离表的“招标</w:t>
      </w:r>
      <w:r>
        <w:rPr>
          <w:rFonts w:hint="eastAsia" w:ascii="宋体" w:cs="宋体"/>
          <w:color w:val="auto"/>
          <w:szCs w:val="21"/>
          <w:highlight w:val="none"/>
          <w:lang w:val="en-US" w:eastAsia="zh-CN"/>
        </w:rPr>
        <w:t>服务</w:t>
      </w:r>
      <w:r>
        <w:rPr>
          <w:rFonts w:hint="eastAsia" w:ascii="宋体" w:cs="宋体"/>
          <w:color w:val="auto"/>
          <w:szCs w:val="21"/>
          <w:highlight w:val="none"/>
        </w:rPr>
        <w:t xml:space="preserve">要求”等栏目对应“第二章 </w:t>
      </w:r>
      <w:r>
        <w:rPr>
          <w:rFonts w:hint="eastAsia" w:ascii="宋体" w:hAnsi="Calibri" w:eastAsia="宋体" w:cs="宋体"/>
          <w:b w:val="0"/>
          <w:bCs w:val="0"/>
          <w:color w:val="auto"/>
          <w:sz w:val="21"/>
          <w:szCs w:val="21"/>
          <w:highlight w:val="none"/>
        </w:rPr>
        <w:t>院内公开采购项目需求</w:t>
      </w:r>
      <w:r>
        <w:rPr>
          <w:rFonts w:hint="eastAsia" w:ascii="宋体" w:cs="宋体"/>
          <w:color w:val="auto"/>
          <w:szCs w:val="21"/>
          <w:highlight w:val="none"/>
        </w:rPr>
        <w:t>”中的“</w:t>
      </w:r>
      <w:r>
        <w:rPr>
          <w:rFonts w:hint="eastAsia" w:ascii="宋体" w:cs="宋体"/>
          <w:color w:val="auto"/>
          <w:szCs w:val="21"/>
          <w:highlight w:val="none"/>
          <w:lang w:val="en-US" w:eastAsia="zh-CN"/>
        </w:rPr>
        <w:t>服务</w:t>
      </w:r>
      <w:r>
        <w:rPr>
          <w:rFonts w:hint="eastAsia" w:ascii="宋体" w:cs="宋体"/>
          <w:color w:val="auto"/>
          <w:szCs w:val="21"/>
          <w:highlight w:val="none"/>
        </w:rPr>
        <w:t>要求”章节相关内容。</w:t>
      </w:r>
    </w:p>
    <w:p w14:paraId="5E949AA8">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lang w:eastAsia="zh-CN"/>
        </w:rPr>
        <w:t>2.</w:t>
      </w:r>
      <w:r>
        <w:rPr>
          <w:rFonts w:hint="eastAsia" w:ascii="宋体" w:cs="宋体"/>
          <w:color w:val="auto"/>
          <w:szCs w:val="21"/>
          <w:highlight w:val="none"/>
        </w:rPr>
        <w:t>“投标</w:t>
      </w:r>
      <w:r>
        <w:rPr>
          <w:rFonts w:hint="eastAsia" w:ascii="宋体" w:cs="宋体"/>
          <w:color w:val="auto"/>
          <w:szCs w:val="21"/>
          <w:highlight w:val="none"/>
          <w:lang w:val="en-US" w:eastAsia="zh-CN"/>
        </w:rPr>
        <w:t>服务</w:t>
      </w:r>
      <w:r>
        <w:rPr>
          <w:rFonts w:hint="eastAsia" w:ascii="宋体" w:cs="宋体"/>
          <w:color w:val="auto"/>
          <w:szCs w:val="21"/>
          <w:highlight w:val="none"/>
        </w:rPr>
        <w:t>响应”一栏必须一一对照“招标</w:t>
      </w:r>
      <w:r>
        <w:rPr>
          <w:rFonts w:hint="eastAsia" w:ascii="宋体" w:cs="宋体"/>
          <w:color w:val="auto"/>
          <w:szCs w:val="21"/>
          <w:highlight w:val="none"/>
          <w:lang w:val="en-US" w:eastAsia="zh-CN"/>
        </w:rPr>
        <w:t>服务</w:t>
      </w:r>
      <w:r>
        <w:rPr>
          <w:rFonts w:hint="eastAsia" w:ascii="宋体" w:cs="宋体"/>
          <w:color w:val="auto"/>
          <w:szCs w:val="21"/>
          <w:highlight w:val="none"/>
        </w:rPr>
        <w:t>要求”，详细填写自身响应情况，以体现具体响应情况。</w:t>
      </w:r>
    </w:p>
    <w:p w14:paraId="3D8B88FF">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lang w:eastAsia="zh-CN"/>
        </w:rPr>
        <w:t>3.</w:t>
      </w:r>
      <w:r>
        <w:rPr>
          <w:rFonts w:hint="eastAsia" w:ascii="宋体" w:cs="宋体"/>
          <w:color w:val="auto"/>
          <w:szCs w:val="21"/>
          <w:highlight w:val="none"/>
        </w:rPr>
        <w:t>“偏离情况”一栏填写如实填写“正偏离</w:t>
      </w:r>
      <w:r>
        <w:rPr>
          <w:rFonts w:hint="eastAsia" w:ascii="宋体" w:cs="宋体"/>
          <w:color w:val="auto"/>
          <w:szCs w:val="21"/>
          <w:highlight w:val="none"/>
          <w:lang w:eastAsia="zh-CN"/>
        </w:rPr>
        <w:t>”“</w:t>
      </w:r>
      <w:r>
        <w:rPr>
          <w:rFonts w:hint="eastAsia" w:ascii="宋体" w:cs="宋体"/>
          <w:color w:val="auto"/>
          <w:szCs w:val="21"/>
          <w:highlight w:val="none"/>
        </w:rPr>
        <w:t>无偏离”或“负偏离”，其中：“正偏离”表示“投标响应优于招标</w:t>
      </w:r>
      <w:r>
        <w:rPr>
          <w:rFonts w:hint="eastAsia" w:ascii="宋体" w:cs="宋体"/>
          <w:color w:val="auto"/>
          <w:szCs w:val="21"/>
          <w:highlight w:val="none"/>
          <w:lang w:val="en-US" w:eastAsia="zh-CN"/>
        </w:rPr>
        <w:t>服务</w:t>
      </w:r>
      <w:r>
        <w:rPr>
          <w:rFonts w:hint="eastAsia" w:ascii="宋体" w:cs="宋体"/>
          <w:color w:val="auto"/>
          <w:szCs w:val="21"/>
          <w:highlight w:val="none"/>
        </w:rPr>
        <w:t>要求”，“负偏离”表示“投标响应不满足招标</w:t>
      </w:r>
      <w:r>
        <w:rPr>
          <w:rFonts w:hint="eastAsia" w:ascii="宋体" w:cs="宋体"/>
          <w:color w:val="auto"/>
          <w:szCs w:val="21"/>
          <w:highlight w:val="none"/>
          <w:lang w:val="en-US" w:eastAsia="zh-CN"/>
        </w:rPr>
        <w:t>服务</w:t>
      </w:r>
      <w:r>
        <w:rPr>
          <w:rFonts w:hint="eastAsia" w:ascii="宋体" w:cs="宋体"/>
          <w:color w:val="auto"/>
          <w:szCs w:val="21"/>
          <w:highlight w:val="none"/>
        </w:rPr>
        <w:t>要求”，“无偏离”表示“投标响应与招标</w:t>
      </w:r>
      <w:r>
        <w:rPr>
          <w:rFonts w:hint="eastAsia" w:ascii="宋体" w:cs="宋体"/>
          <w:color w:val="auto"/>
          <w:szCs w:val="21"/>
          <w:highlight w:val="none"/>
          <w:lang w:val="en-US" w:eastAsia="zh-CN"/>
        </w:rPr>
        <w:t>服务</w:t>
      </w:r>
      <w:r>
        <w:rPr>
          <w:rFonts w:hint="eastAsia" w:ascii="宋体" w:cs="宋体"/>
          <w:color w:val="auto"/>
          <w:szCs w:val="21"/>
          <w:highlight w:val="none"/>
        </w:rPr>
        <w:t>要求一致”。</w:t>
      </w:r>
    </w:p>
    <w:p w14:paraId="308C9C9B">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rPr>
        <w:t>“投标</w:t>
      </w:r>
      <w:r>
        <w:rPr>
          <w:rFonts w:hint="eastAsia" w:ascii="宋体" w:cs="宋体"/>
          <w:color w:val="auto"/>
          <w:szCs w:val="21"/>
          <w:highlight w:val="none"/>
          <w:lang w:val="en-US" w:eastAsia="zh-CN"/>
        </w:rPr>
        <w:t>服务</w:t>
      </w:r>
      <w:r>
        <w:rPr>
          <w:rFonts w:hint="eastAsia" w:ascii="宋体" w:cs="宋体"/>
          <w:color w:val="auto"/>
          <w:szCs w:val="21"/>
          <w:highlight w:val="none"/>
        </w:rPr>
        <w:t>响应”对比“招标</w:t>
      </w:r>
      <w:r>
        <w:rPr>
          <w:rFonts w:hint="eastAsia" w:ascii="宋体" w:cs="宋体"/>
          <w:color w:val="auto"/>
          <w:szCs w:val="21"/>
          <w:highlight w:val="none"/>
          <w:lang w:val="en-US" w:eastAsia="zh-CN"/>
        </w:rPr>
        <w:t>服务</w:t>
      </w:r>
      <w:r>
        <w:rPr>
          <w:rFonts w:hint="eastAsia" w:ascii="宋体" w:cs="宋体"/>
          <w:color w:val="auto"/>
          <w:szCs w:val="21"/>
          <w:highlight w:val="none"/>
        </w:rPr>
        <w:t>要求”存在响应不全（包括未响应整项招标</w:t>
      </w:r>
      <w:r>
        <w:rPr>
          <w:rFonts w:hint="eastAsia" w:ascii="宋体" w:cs="宋体"/>
          <w:color w:val="auto"/>
          <w:szCs w:val="21"/>
          <w:highlight w:val="none"/>
          <w:lang w:val="en-US" w:eastAsia="zh-CN"/>
        </w:rPr>
        <w:t>服务</w:t>
      </w:r>
      <w:r>
        <w:rPr>
          <w:rFonts w:hint="eastAsia" w:ascii="宋体" w:cs="宋体"/>
          <w:color w:val="auto"/>
          <w:szCs w:val="21"/>
          <w:highlight w:val="none"/>
        </w:rPr>
        <w:t>要求或者未响应一项招标</w:t>
      </w:r>
      <w:r>
        <w:rPr>
          <w:rFonts w:hint="eastAsia" w:ascii="宋体" w:cs="宋体"/>
          <w:color w:val="auto"/>
          <w:szCs w:val="21"/>
          <w:highlight w:val="none"/>
          <w:lang w:val="en-US" w:eastAsia="zh-CN"/>
        </w:rPr>
        <w:t>服务</w:t>
      </w:r>
      <w:r>
        <w:rPr>
          <w:rFonts w:hint="eastAsia" w:ascii="宋体" w:cs="宋体"/>
          <w:color w:val="auto"/>
          <w:szCs w:val="21"/>
          <w:highlight w:val="none"/>
        </w:rPr>
        <w:t>要求的部分内容），均视为“负偏离”。带★号条款为不可偏离条款，如未响应或出现负偏离的，将作投标无效处理。</w:t>
      </w:r>
    </w:p>
    <w:p w14:paraId="37C35EA2">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eastAsia="宋体" w:cs="宋体"/>
          <w:color w:val="auto"/>
          <w:szCs w:val="21"/>
          <w:highlight w:val="none"/>
        </w:rPr>
      </w:pPr>
    </w:p>
    <w:p w14:paraId="33A211CE">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eastAsia="宋体" w:cs="宋体"/>
          <w:color w:val="auto"/>
          <w:szCs w:val="21"/>
          <w:highlight w:val="none"/>
        </w:rPr>
      </w:pPr>
      <w:r>
        <w:rPr>
          <w:rFonts w:hint="eastAsia" w:ascii="宋体" w:eastAsia="宋体" w:cs="宋体"/>
          <w:color w:val="auto"/>
          <w:szCs w:val="21"/>
          <w:highlight w:val="none"/>
        </w:rPr>
        <w:t>投标单位全称（加盖公章）：</w:t>
      </w:r>
    </w:p>
    <w:p w14:paraId="371C3839">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eastAsia="宋体" w:cs="宋体"/>
          <w:color w:val="auto"/>
          <w:szCs w:val="21"/>
          <w:highlight w:val="none"/>
        </w:rPr>
      </w:pPr>
      <w:r>
        <w:rPr>
          <w:rFonts w:hint="eastAsia" w:ascii="宋体" w:eastAsia="宋体" w:cs="宋体"/>
          <w:color w:val="auto"/>
          <w:szCs w:val="21"/>
          <w:highlight w:val="none"/>
        </w:rPr>
        <w:t>法定代表人或其授权代表签名：</w:t>
      </w:r>
    </w:p>
    <w:p w14:paraId="313A1701">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eastAsia="宋体" w:cs="宋体"/>
          <w:color w:val="auto"/>
          <w:szCs w:val="21"/>
          <w:highlight w:val="none"/>
        </w:rPr>
      </w:pPr>
      <w:r>
        <w:rPr>
          <w:rFonts w:hint="eastAsia" w:ascii="宋体" w:eastAsia="宋体" w:cs="宋体"/>
          <w:color w:val="auto"/>
          <w:szCs w:val="21"/>
          <w:highlight w:val="none"/>
        </w:rPr>
        <w:t>日期：      年    月    日</w:t>
      </w:r>
    </w:p>
    <w:p w14:paraId="295BC6DA">
      <w:pPr>
        <w:sectPr>
          <w:pgSz w:w="16838" w:h="11906" w:orient="landscape"/>
          <w:pgMar w:top="1304" w:right="2098" w:bottom="1474" w:left="1984" w:header="851" w:footer="1417" w:gutter="0"/>
          <w:pgNumType w:fmt="numberInDash"/>
          <w:cols w:space="0" w:num="1"/>
          <w:docGrid w:type="lines" w:linePitch="327" w:charSpace="0"/>
        </w:sectPr>
      </w:pPr>
    </w:p>
    <w:p w14:paraId="352A079F">
      <w:pPr>
        <w:pStyle w:val="16"/>
        <w:rPr>
          <w:rFonts w:hint="eastAsia"/>
          <w:lang w:val="zh-CN"/>
        </w:rPr>
      </w:pPr>
    </w:p>
    <w:p w14:paraId="71BE23A7">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仿宋" w:hAnsi="仿宋" w:eastAsia="仿宋" w:cs="仿宋"/>
          <w:b/>
          <w:color w:val="auto"/>
          <w:kern w:val="0"/>
          <w:sz w:val="44"/>
          <w:szCs w:val="44"/>
          <w:highlight w:val="none"/>
          <w:lang w:val="zh-CN"/>
        </w:rPr>
      </w:pPr>
      <w:r>
        <w:rPr>
          <w:rFonts w:hint="eastAsia" w:ascii="仿宋" w:hAnsi="仿宋" w:eastAsia="仿宋" w:cs="仿宋"/>
          <w:b/>
          <w:color w:val="auto"/>
          <w:kern w:val="0"/>
          <w:sz w:val="44"/>
          <w:szCs w:val="44"/>
          <w:highlight w:val="none"/>
          <w:lang w:val="zh-CN"/>
        </w:rPr>
        <w:t>商务条款偏离表</w:t>
      </w:r>
    </w:p>
    <w:tbl>
      <w:tblPr>
        <w:tblStyle w:val="19"/>
        <w:tblW w:w="48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2"/>
        <w:gridCol w:w="6975"/>
        <w:gridCol w:w="2289"/>
        <w:gridCol w:w="2095"/>
        <w:gridCol w:w="564"/>
      </w:tblGrid>
      <w:tr w14:paraId="53FCF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5E266B28">
            <w:pPr>
              <w:pStyle w:val="18"/>
              <w:keepNext w:val="0"/>
              <w:keepLines w:val="0"/>
              <w:pageBreakBefore w:val="0"/>
              <w:widowControl w:val="0"/>
              <w:kinsoku/>
              <w:wordWrap/>
              <w:overflowPunct/>
              <w:topLinePunct w:val="0"/>
              <w:autoSpaceDE/>
              <w:autoSpaceDN/>
              <w:bidi w:val="0"/>
              <w:adjustRightInd/>
              <w:snapToGrid/>
              <w:spacing w:after="0" w:line="320" w:lineRule="exact"/>
              <w:ind w:left="0" w:leftChars="0" w:right="0" w:rightChars="0" w:firstLine="0" w:firstLineChars="0"/>
              <w:textAlignment w:val="auto"/>
              <w:rPr>
                <w:rFonts w:hint="eastAsia" w:ascii="Calibri" w:hAnsi="Calibri" w:eastAsia="宋体" w:cs="黑体"/>
                <w:color w:val="auto"/>
                <w:kern w:val="2"/>
                <w:sz w:val="24"/>
                <w:szCs w:val="32"/>
                <w:highlight w:val="none"/>
                <w:lang w:val="en-US" w:eastAsia="zh-CN" w:bidi="ar-SA"/>
              </w:rPr>
            </w:pPr>
            <w:r>
              <w:rPr>
                <w:rFonts w:hint="eastAsia" w:ascii="Calibri" w:hAnsi="Calibri" w:eastAsia="宋体" w:cs="黑体"/>
                <w:color w:val="auto"/>
                <w:kern w:val="2"/>
                <w:sz w:val="24"/>
                <w:szCs w:val="32"/>
                <w:highlight w:val="none"/>
                <w:lang w:val="zh-CN" w:eastAsia="zh-CN" w:bidi="ar-SA"/>
              </w:rPr>
              <w:t>项目名称：</w:t>
            </w:r>
            <w:r>
              <w:rPr>
                <w:rFonts w:hint="default" w:ascii="Times New Roman" w:hAnsi="Times New Roman" w:cs="Times New Roman"/>
                <w:color w:val="auto"/>
                <w:sz w:val="24"/>
                <w:highlight w:val="none"/>
                <w:lang w:val="zh-CN"/>
              </w:rPr>
              <w:t>深圳市龙岗区第七人民医院2026-2027年度五金耗材</w:t>
            </w:r>
            <w:r>
              <w:rPr>
                <w:rFonts w:hint="eastAsia" w:ascii="Times New Roman" w:hAnsi="Times New Roman" w:cs="Times New Roman"/>
                <w:color w:val="auto"/>
                <w:sz w:val="24"/>
                <w:highlight w:val="none"/>
                <w:lang w:val="en-US" w:eastAsia="zh-CN"/>
              </w:rPr>
              <w:t>项目</w:t>
            </w:r>
          </w:p>
          <w:p w14:paraId="53D9E95E">
            <w:pPr>
              <w:pStyle w:val="18"/>
              <w:spacing w:line="320" w:lineRule="exact"/>
              <w:ind w:left="0" w:leftChars="0" w:firstLine="0" w:firstLineChars="0"/>
              <w:rPr>
                <w:rFonts w:hint="default" w:ascii="宋体" w:hAnsi="宋体" w:eastAsia="宋体" w:cs="宋体"/>
                <w:b/>
                <w:bCs/>
                <w:color w:val="auto"/>
                <w:szCs w:val="21"/>
                <w:highlight w:val="none"/>
                <w:lang w:val="en-US" w:eastAsia="zh-CN"/>
              </w:rPr>
            </w:pPr>
            <w:r>
              <w:rPr>
                <w:rFonts w:hint="eastAsia" w:ascii="Calibri" w:hAnsi="Calibri" w:eastAsia="宋体" w:cs="黑体"/>
                <w:color w:val="auto"/>
                <w:kern w:val="2"/>
                <w:sz w:val="24"/>
                <w:szCs w:val="32"/>
                <w:highlight w:val="none"/>
                <w:lang w:val="en-US" w:eastAsia="zh-CN" w:bidi="ar-SA"/>
              </w:rPr>
              <w:t>项目编号：深龙七医采[</w:t>
            </w:r>
            <w:r>
              <w:rPr>
                <w:rFonts w:hint="eastAsia" w:cs="黑体"/>
                <w:color w:val="auto"/>
                <w:kern w:val="2"/>
                <w:sz w:val="24"/>
                <w:szCs w:val="32"/>
                <w:highlight w:val="none"/>
                <w:lang w:val="en-US" w:eastAsia="zh-CN" w:bidi="ar-SA"/>
              </w:rPr>
              <w:t xml:space="preserve">LGQY2026ZW011 </w:t>
            </w:r>
            <w:r>
              <w:rPr>
                <w:rFonts w:hint="eastAsia" w:ascii="Calibri" w:hAnsi="Calibri" w:eastAsia="宋体" w:cs="黑体"/>
                <w:color w:val="auto"/>
                <w:kern w:val="2"/>
                <w:sz w:val="24"/>
                <w:szCs w:val="32"/>
                <w:highlight w:val="none"/>
                <w:lang w:val="en-US" w:eastAsia="zh-CN" w:bidi="ar-SA"/>
              </w:rPr>
              <w:t>]</w:t>
            </w:r>
          </w:p>
        </w:tc>
      </w:tr>
      <w:tr w14:paraId="27964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2" w:type="pct"/>
            <w:tcBorders>
              <w:top w:val="single" w:color="auto" w:sz="4" w:space="0"/>
              <w:left w:val="single" w:color="auto" w:sz="4" w:space="0"/>
              <w:bottom w:val="single" w:color="auto" w:sz="4" w:space="0"/>
              <w:right w:val="single" w:color="auto" w:sz="4" w:space="0"/>
            </w:tcBorders>
            <w:noWrap w:val="0"/>
            <w:vAlign w:val="center"/>
          </w:tcPr>
          <w:p w14:paraId="61283066">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b/>
                <w:bCs/>
                <w:color w:val="auto"/>
                <w:kern w:val="0"/>
                <w:szCs w:val="21"/>
                <w:highlight w:val="none"/>
                <w:lang w:val="en-US" w:eastAsia="zh-CN" w:bidi="ar"/>
              </w:rPr>
              <w:t>序号</w:t>
            </w:r>
          </w:p>
        </w:tc>
        <w:tc>
          <w:tcPr>
            <w:tcW w:w="2760" w:type="pct"/>
            <w:tcBorders>
              <w:top w:val="single" w:color="auto" w:sz="4" w:space="0"/>
              <w:left w:val="single" w:color="auto" w:sz="4" w:space="0"/>
              <w:bottom w:val="single" w:color="auto" w:sz="4" w:space="0"/>
              <w:right w:val="single" w:color="auto" w:sz="4" w:space="0"/>
            </w:tcBorders>
            <w:noWrap w:val="0"/>
            <w:vAlign w:val="center"/>
          </w:tcPr>
          <w:p w14:paraId="3D90D24C">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cs="宋体"/>
                <w:b/>
                <w:color w:val="auto"/>
                <w:szCs w:val="21"/>
                <w:highlight w:val="none"/>
              </w:rPr>
              <w:t>招标商务要求</w:t>
            </w:r>
          </w:p>
        </w:tc>
        <w:tc>
          <w:tcPr>
            <w:tcW w:w="906" w:type="pct"/>
            <w:tcBorders>
              <w:top w:val="single" w:color="auto" w:sz="4" w:space="0"/>
              <w:left w:val="single" w:color="auto" w:sz="4" w:space="0"/>
              <w:bottom w:val="single" w:color="auto" w:sz="4" w:space="0"/>
              <w:right w:val="single" w:color="auto" w:sz="4" w:space="0"/>
            </w:tcBorders>
            <w:noWrap w:val="0"/>
            <w:vAlign w:val="center"/>
          </w:tcPr>
          <w:p w14:paraId="56DF78E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cs="宋体"/>
                <w:b/>
                <w:bCs/>
                <w:color w:val="auto"/>
                <w:szCs w:val="21"/>
                <w:highlight w:val="none"/>
              </w:rPr>
            </w:pPr>
            <w:r>
              <w:rPr>
                <w:rFonts w:hint="eastAsia" w:ascii="宋体" w:cs="宋体"/>
                <w:b/>
                <w:bCs/>
                <w:color w:val="auto"/>
                <w:szCs w:val="21"/>
                <w:highlight w:val="none"/>
              </w:rPr>
              <w:t>投标商务响应</w:t>
            </w:r>
          </w:p>
          <w:p w14:paraId="5DFC3D7D">
            <w:pPr>
              <w:pStyle w:val="32"/>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hAnsi="宋体" w:eastAsia="宋体" w:cs="宋体"/>
                <w:b/>
                <w:bCs/>
                <w:color w:val="auto"/>
                <w:kern w:val="2"/>
                <w:sz w:val="21"/>
                <w:szCs w:val="24"/>
                <w:highlight w:val="none"/>
                <w:lang w:val="en-US" w:eastAsia="zh-CN" w:bidi="ar-SA"/>
              </w:rPr>
            </w:pPr>
            <w:r>
              <w:rPr>
                <w:rFonts w:hint="eastAsia" w:ascii="宋体" w:cs="宋体"/>
                <w:color w:val="auto"/>
                <w:highlight w:val="none"/>
              </w:rPr>
              <w:t>投标人根据实际情况在此处进行响应</w:t>
            </w:r>
          </w:p>
        </w:tc>
        <w:tc>
          <w:tcPr>
            <w:tcW w:w="829" w:type="pct"/>
            <w:tcBorders>
              <w:top w:val="single" w:color="auto" w:sz="4" w:space="0"/>
              <w:left w:val="single" w:color="auto" w:sz="4" w:space="0"/>
              <w:bottom w:val="single" w:color="auto" w:sz="4" w:space="0"/>
              <w:right w:val="single" w:color="auto" w:sz="4" w:space="0"/>
            </w:tcBorders>
            <w:noWrap w:val="0"/>
            <w:vAlign w:val="center"/>
          </w:tcPr>
          <w:p w14:paraId="25D217D7">
            <w:pPr>
              <w:keepNext w:val="0"/>
              <w:keepLines w:val="0"/>
              <w:pageBreakBefore w:val="0"/>
              <w:kinsoku/>
              <w:wordWrap/>
              <w:overflowPunct/>
              <w:topLinePunct w:val="0"/>
              <w:autoSpaceDE/>
              <w:autoSpaceDN/>
              <w:bidi w:val="0"/>
              <w:adjustRightInd/>
              <w:snapToGrid/>
              <w:spacing w:line="560" w:lineRule="exact"/>
              <w:jc w:val="center"/>
              <w:rPr>
                <w:rFonts w:ascii="宋体" w:cs="宋体"/>
                <w:b/>
                <w:bCs/>
                <w:color w:val="auto"/>
                <w:szCs w:val="21"/>
                <w:highlight w:val="none"/>
              </w:rPr>
            </w:pPr>
            <w:r>
              <w:rPr>
                <w:rFonts w:hint="eastAsia" w:ascii="宋体" w:cs="宋体"/>
                <w:b/>
                <w:bCs/>
                <w:color w:val="auto"/>
                <w:szCs w:val="21"/>
                <w:highlight w:val="none"/>
              </w:rPr>
              <w:t>偏离情况</w:t>
            </w:r>
          </w:p>
          <w:p w14:paraId="67549B67">
            <w:pPr>
              <w:pStyle w:val="32"/>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hAnsi="宋体" w:eastAsia="宋体" w:cs="宋体"/>
                <w:b/>
                <w:bCs/>
                <w:color w:val="auto"/>
                <w:kern w:val="2"/>
                <w:sz w:val="21"/>
                <w:szCs w:val="24"/>
                <w:highlight w:val="none"/>
                <w:lang w:val="en-US" w:eastAsia="zh-CN" w:bidi="ar-SA"/>
              </w:rPr>
            </w:pPr>
            <w:r>
              <w:rPr>
                <w:rFonts w:hint="eastAsia" w:ascii="宋体" w:cs="宋体"/>
                <w:color w:val="auto"/>
                <w:highlight w:val="none"/>
              </w:rPr>
              <w:t>“正偏离”或“无偏离”或“负偏离”</w:t>
            </w:r>
          </w:p>
        </w:tc>
        <w:tc>
          <w:tcPr>
            <w:tcW w:w="221" w:type="pct"/>
            <w:tcBorders>
              <w:top w:val="single" w:color="auto" w:sz="4" w:space="0"/>
              <w:left w:val="single" w:color="auto" w:sz="4" w:space="0"/>
              <w:bottom w:val="single" w:color="auto" w:sz="4" w:space="0"/>
              <w:right w:val="single" w:color="auto" w:sz="4" w:space="0"/>
            </w:tcBorders>
            <w:noWrap w:val="0"/>
            <w:vAlign w:val="center"/>
          </w:tcPr>
          <w:p w14:paraId="27811237">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cs="宋体"/>
                <w:b/>
                <w:bCs/>
                <w:color w:val="auto"/>
                <w:szCs w:val="21"/>
                <w:highlight w:val="none"/>
              </w:rPr>
              <w:t>说明</w:t>
            </w:r>
          </w:p>
        </w:tc>
      </w:tr>
      <w:tr w14:paraId="4F2EA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07BE6E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color w:val="auto"/>
                <w:sz w:val="22"/>
                <w:highlight w:val="none"/>
                <w:lang w:val="en-US" w:eastAsia="zh-CN"/>
              </w:rPr>
            </w:pPr>
            <w:r>
              <w:rPr>
                <w:rFonts w:hint="eastAsia"/>
                <w:color w:val="auto"/>
                <w:sz w:val="22"/>
                <w:highlight w:val="none"/>
                <w:lang w:val="en-US" w:eastAsia="zh-CN"/>
              </w:rPr>
              <w:t>1</w:t>
            </w:r>
          </w:p>
        </w:tc>
        <w:tc>
          <w:tcPr>
            <w:tcW w:w="276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8B262CF">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color w:val="auto"/>
                <w:sz w:val="22"/>
                <w:highlight w:val="none"/>
                <w:lang w:val="en-US" w:eastAsia="zh-CN"/>
              </w:rPr>
            </w:pPr>
            <w:r>
              <w:rPr>
                <w:rFonts w:hint="eastAsia"/>
                <w:color w:val="auto"/>
                <w:sz w:val="22"/>
                <w:highlight w:val="none"/>
                <w:lang w:val="en-US" w:eastAsia="zh-CN"/>
              </w:rPr>
              <w:t>2.交货地点：深圳市龙岗区第七人民医院。</w:t>
            </w:r>
          </w:p>
        </w:tc>
        <w:tc>
          <w:tcPr>
            <w:tcW w:w="906" w:type="pct"/>
            <w:tcBorders>
              <w:top w:val="single" w:color="auto" w:sz="4" w:space="0"/>
              <w:left w:val="single" w:color="auto" w:sz="4" w:space="0"/>
              <w:bottom w:val="single" w:color="auto" w:sz="4" w:space="0"/>
              <w:right w:val="single" w:color="auto" w:sz="4" w:space="0"/>
            </w:tcBorders>
            <w:noWrap w:val="0"/>
            <w:vAlign w:val="center"/>
          </w:tcPr>
          <w:p w14:paraId="6C2AB6C5">
            <w:pPr>
              <w:pStyle w:val="32"/>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14:paraId="68A081FB">
            <w:pPr>
              <w:pStyle w:val="32"/>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14:paraId="10693144">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437E7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D50BD8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color w:val="auto"/>
                <w:sz w:val="22"/>
                <w:highlight w:val="none"/>
                <w:lang w:val="en-US" w:eastAsia="zh-CN"/>
              </w:rPr>
            </w:pPr>
            <w:r>
              <w:rPr>
                <w:rFonts w:hint="eastAsia"/>
                <w:color w:val="auto"/>
                <w:sz w:val="22"/>
                <w:highlight w:val="none"/>
                <w:lang w:val="en-US" w:eastAsia="zh-CN"/>
              </w:rPr>
              <w:t>2</w:t>
            </w:r>
          </w:p>
        </w:tc>
        <w:tc>
          <w:tcPr>
            <w:tcW w:w="276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8826709">
            <w:pPr>
              <w:keepNext w:val="0"/>
              <w:keepLines w:val="0"/>
              <w:pageBreakBefore w:val="0"/>
              <w:widowControl/>
              <w:kinsoku/>
              <w:wordWrap/>
              <w:overflowPunct/>
              <w:topLinePunct w:val="0"/>
              <w:autoSpaceDE/>
              <w:autoSpaceDN/>
              <w:bidi w:val="0"/>
              <w:adjustRightInd/>
              <w:snapToGrid/>
              <w:spacing w:line="240" w:lineRule="atLeast"/>
              <w:textAlignment w:val="auto"/>
              <w:rPr>
                <w:rFonts w:hint="eastAsia"/>
                <w:color w:val="auto"/>
                <w:sz w:val="22"/>
                <w:highlight w:val="none"/>
                <w:lang w:val="en-US" w:eastAsia="zh-CN"/>
              </w:rPr>
            </w:pPr>
            <w:r>
              <w:rPr>
                <w:rFonts w:hint="eastAsia" w:ascii="Calibri" w:hAnsi="Calibri" w:eastAsia="宋体" w:cs="黑体"/>
                <w:b w:val="0"/>
                <w:bCs w:val="0"/>
                <w:color w:val="auto"/>
                <w:sz w:val="22"/>
                <w:szCs w:val="24"/>
                <w:highlight w:val="none"/>
                <w:lang w:val="en-US" w:eastAsia="zh-CN"/>
              </w:rPr>
              <w:t>3.付款方式：以转账方式、分批付款，每月底双方共同核对当月实际送货量，经采购人确认无误后并收到有效等额合规发票及相关凭证资料（送货单、验收单等）后，10个工作日内支付到中标人指定账户，如因财政审批程序导致采购人付款延迟的，采购人不承担违约责任。</w:t>
            </w:r>
          </w:p>
        </w:tc>
        <w:tc>
          <w:tcPr>
            <w:tcW w:w="906" w:type="pct"/>
            <w:tcBorders>
              <w:top w:val="single" w:color="auto" w:sz="4" w:space="0"/>
              <w:left w:val="single" w:color="auto" w:sz="4" w:space="0"/>
              <w:bottom w:val="single" w:color="auto" w:sz="4" w:space="0"/>
              <w:right w:val="single" w:color="auto" w:sz="4" w:space="0"/>
            </w:tcBorders>
            <w:noWrap w:val="0"/>
            <w:vAlign w:val="center"/>
          </w:tcPr>
          <w:p w14:paraId="64DAE3BE">
            <w:pPr>
              <w:pStyle w:val="32"/>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14:paraId="1338C8E2">
            <w:pPr>
              <w:pStyle w:val="32"/>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14:paraId="0AF0E0B2">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321F1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014C52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color w:val="auto"/>
                <w:sz w:val="22"/>
                <w:highlight w:val="none"/>
                <w:lang w:val="en-US" w:eastAsia="zh-CN"/>
              </w:rPr>
            </w:pPr>
            <w:r>
              <w:rPr>
                <w:rFonts w:hint="eastAsia"/>
                <w:color w:val="auto"/>
                <w:sz w:val="22"/>
                <w:highlight w:val="none"/>
                <w:lang w:val="en-US" w:eastAsia="zh-CN"/>
              </w:rPr>
              <w:t>3</w:t>
            </w:r>
          </w:p>
        </w:tc>
        <w:tc>
          <w:tcPr>
            <w:tcW w:w="276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7EFBE81">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hint="eastAsia" w:ascii="Calibri" w:hAnsi="Calibri" w:eastAsia="宋体" w:cs="黑体"/>
                <w:color w:val="auto"/>
                <w:sz w:val="22"/>
                <w:szCs w:val="24"/>
                <w:highlight w:val="none"/>
                <w:lang w:val="en-US" w:eastAsia="zh-CN"/>
              </w:rPr>
            </w:pPr>
            <w:r>
              <w:rPr>
                <w:rFonts w:hint="eastAsia" w:ascii="Calibri" w:hAnsi="Calibri" w:eastAsia="宋体" w:cs="黑体"/>
                <w:b w:val="0"/>
                <w:bCs w:val="0"/>
                <w:color w:val="auto"/>
                <w:sz w:val="22"/>
                <w:szCs w:val="24"/>
                <w:highlight w:val="none"/>
                <w:lang w:val="en-US" w:eastAsia="zh-CN"/>
              </w:rPr>
              <w:t>4.</w:t>
            </w:r>
            <w:r>
              <w:rPr>
                <w:rFonts w:hint="eastAsia" w:ascii="Calibri" w:hAnsi="Calibri" w:eastAsia="宋体" w:cs="黑体"/>
                <w:color w:val="auto"/>
                <w:sz w:val="22"/>
                <w:szCs w:val="24"/>
                <w:highlight w:val="none"/>
              </w:rPr>
              <w:t>报价模式：本项目采用“折扣率报价法”。采购人随招标文件一并发布附有基准单价的《采购货物清单》，投标人须根据该清单中各项物资的基准单价，结合自身成本及市场因素，报出一个统一的折扣率（%），折扣率须</w:t>
            </w:r>
            <w:r>
              <w:rPr>
                <w:rFonts w:hint="eastAsia" w:ascii="Calibri" w:hAnsi="Calibri" w:eastAsia="宋体" w:cs="黑体"/>
                <w:color w:val="auto"/>
                <w:sz w:val="22"/>
                <w:szCs w:val="24"/>
                <w:highlight w:val="none"/>
                <w:lang w:val="en-US" w:eastAsia="zh-CN"/>
              </w:rPr>
              <w:t>≤1，</w:t>
            </w:r>
            <w:r>
              <w:rPr>
                <w:rFonts w:hint="eastAsia" w:ascii="Calibri" w:hAnsi="Calibri" w:eastAsia="宋体" w:cs="黑体"/>
                <w:color w:val="auto"/>
                <w:sz w:val="22"/>
                <w:szCs w:val="24"/>
                <w:highlight w:val="none"/>
              </w:rPr>
              <w:t>精确到百分比小数点后两位（如：85.00%）。折扣率在合同履行期内固定不变，不因任何因素调整。</w:t>
            </w:r>
          </w:p>
          <w:p w14:paraId="215400AE">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hint="eastAsia" w:ascii="Calibri" w:hAnsi="Calibri" w:eastAsia="宋体" w:cs="黑体"/>
                <w:color w:val="auto"/>
                <w:sz w:val="22"/>
                <w:szCs w:val="24"/>
                <w:highlight w:val="none"/>
              </w:rPr>
            </w:pPr>
            <w:r>
              <w:rPr>
                <w:rFonts w:hint="eastAsia" w:ascii="Calibri" w:hAnsi="Calibri" w:eastAsia="宋体" w:cs="黑体"/>
                <w:color w:val="auto"/>
                <w:sz w:val="22"/>
                <w:szCs w:val="24"/>
                <w:highlight w:val="none"/>
              </w:rPr>
              <w:t>报价范围：投标人所报折扣率须涵盖完成本项目全部物资供应所需的一切费用，包括但不限于：货物本身价款、包装费、运输费、装卸费、保险费、售后服务费、利润、税金及合同明示或暗示的所有责任、义务和风险等全部费用。投标人应充分考虑报价风险，中标后不得以任何理由要求追加费用或调整折扣率。</w:t>
            </w:r>
          </w:p>
          <w:p w14:paraId="39CA9E46">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hint="eastAsia" w:ascii="Calibri" w:hAnsi="Calibri" w:eastAsia="宋体" w:cs="黑体"/>
                <w:color w:val="auto"/>
                <w:sz w:val="22"/>
                <w:szCs w:val="24"/>
                <w:highlight w:val="none"/>
                <w:lang w:val="en-US" w:eastAsia="zh-CN"/>
              </w:rPr>
            </w:pPr>
            <w:r>
              <w:rPr>
                <w:rFonts w:hint="eastAsia" w:ascii="Calibri" w:hAnsi="Calibri" w:eastAsia="宋体" w:cs="黑体"/>
                <w:color w:val="auto"/>
                <w:sz w:val="22"/>
                <w:szCs w:val="24"/>
                <w:highlight w:val="none"/>
              </w:rPr>
              <w:t>结算公式：各项物资结算单价=该物资基准单价×中标折扣率</w:t>
            </w:r>
            <w:r>
              <w:rPr>
                <w:rFonts w:hint="eastAsia" w:ascii="Calibri" w:hAnsi="Calibri" w:eastAsia="宋体" w:cs="黑体"/>
                <w:color w:val="auto"/>
                <w:sz w:val="22"/>
                <w:szCs w:val="24"/>
                <w:highlight w:val="none"/>
                <w:lang w:eastAsia="zh-CN"/>
              </w:rPr>
              <w:t>；</w:t>
            </w:r>
            <w:r>
              <w:rPr>
                <w:rFonts w:hint="eastAsia" w:ascii="Calibri" w:hAnsi="Calibri" w:eastAsia="宋体" w:cs="黑体"/>
                <w:color w:val="auto"/>
                <w:sz w:val="22"/>
                <w:szCs w:val="24"/>
                <w:highlight w:val="none"/>
              </w:rPr>
              <w:t>结算总价=</w:t>
            </w:r>
            <w:r>
              <w:rPr>
                <w:rFonts w:hint="eastAsia" w:ascii="Calibri" w:hAnsi="Calibri" w:eastAsia="宋体" w:cs="黑体"/>
                <w:color w:val="auto"/>
                <w:sz w:val="22"/>
                <w:szCs w:val="24"/>
                <w:highlight w:val="none"/>
                <w:lang w:eastAsia="zh-CN"/>
              </w:rPr>
              <w:t>（</w:t>
            </w:r>
            <w:r>
              <w:rPr>
                <w:rFonts w:hint="eastAsia" w:ascii="Calibri" w:hAnsi="Calibri" w:eastAsia="宋体" w:cs="黑体"/>
                <w:color w:val="auto"/>
                <w:sz w:val="22"/>
                <w:szCs w:val="24"/>
                <w:highlight w:val="none"/>
              </w:rPr>
              <w:t>各项物资结算单价×实际验收合格数量</w:t>
            </w:r>
            <w:r>
              <w:rPr>
                <w:rFonts w:hint="eastAsia" w:ascii="Calibri" w:hAnsi="Calibri" w:eastAsia="宋体" w:cs="黑体"/>
                <w:color w:val="auto"/>
                <w:sz w:val="22"/>
                <w:szCs w:val="24"/>
                <w:highlight w:val="none"/>
                <w:lang w:eastAsia="zh-CN"/>
              </w:rPr>
              <w:t>）</w:t>
            </w:r>
            <w:r>
              <w:rPr>
                <w:rFonts w:hint="eastAsia" w:ascii="Calibri" w:hAnsi="Calibri" w:eastAsia="宋体" w:cs="黑体"/>
                <w:color w:val="auto"/>
                <w:sz w:val="22"/>
                <w:szCs w:val="24"/>
                <w:highlight w:val="none"/>
                <w:lang w:val="en-US" w:eastAsia="zh-CN"/>
              </w:rPr>
              <w:t>之和</w:t>
            </w:r>
            <w:r>
              <w:rPr>
                <w:rFonts w:hint="eastAsia" w:cs="黑体"/>
                <w:color w:val="auto"/>
                <w:sz w:val="22"/>
                <w:szCs w:val="24"/>
                <w:highlight w:val="none"/>
                <w:lang w:val="en-US" w:eastAsia="zh-CN"/>
              </w:rPr>
              <w:t>。</w:t>
            </w:r>
          </w:p>
          <w:p w14:paraId="6866CCD6">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color w:val="auto"/>
                <w:sz w:val="22"/>
                <w:highlight w:val="none"/>
                <w:lang w:val="en-US" w:eastAsia="zh-CN"/>
              </w:rPr>
            </w:pPr>
            <w:r>
              <w:rPr>
                <w:rFonts w:hint="eastAsia" w:ascii="Calibri" w:hAnsi="Calibri" w:eastAsia="宋体" w:cs="黑体"/>
                <w:color w:val="auto"/>
                <w:sz w:val="22"/>
                <w:szCs w:val="24"/>
                <w:highlight w:val="none"/>
              </w:rPr>
              <w:t>结算方式：合同最终结算金额按实际交付验收合格的物资种类及数量，依据上述结算单价据实结算</w:t>
            </w:r>
            <w:r>
              <w:rPr>
                <w:rFonts w:hint="eastAsia" w:ascii="Calibri" w:hAnsi="Calibri" w:eastAsia="宋体" w:cs="黑体"/>
                <w:color w:val="auto"/>
                <w:sz w:val="22"/>
                <w:szCs w:val="24"/>
                <w:highlight w:val="none"/>
                <w:lang w:eastAsia="zh-CN"/>
              </w:rPr>
              <w:t>，</w:t>
            </w:r>
            <w:r>
              <w:rPr>
                <w:rFonts w:hint="eastAsia" w:ascii="Calibri" w:hAnsi="Calibri" w:eastAsia="宋体" w:cs="黑体"/>
                <w:color w:val="auto"/>
                <w:sz w:val="22"/>
                <w:szCs w:val="24"/>
                <w:highlight w:val="none"/>
              </w:rPr>
              <w:t>实际结算总金额不得超过</w:t>
            </w:r>
            <w:r>
              <w:rPr>
                <w:rFonts w:hint="eastAsia" w:ascii="Calibri" w:hAnsi="Calibri" w:eastAsia="宋体" w:cs="黑体"/>
                <w:color w:val="auto"/>
                <w:sz w:val="22"/>
                <w:szCs w:val="24"/>
                <w:highlight w:val="none"/>
                <w:lang w:val="en-US" w:eastAsia="zh-CN"/>
              </w:rPr>
              <w:t>本项目最高限价</w:t>
            </w:r>
            <w:r>
              <w:rPr>
                <w:rFonts w:hint="eastAsia" w:ascii="Calibri" w:hAnsi="Calibri" w:eastAsia="宋体" w:cs="黑体"/>
                <w:color w:val="auto"/>
                <w:sz w:val="22"/>
                <w:szCs w:val="24"/>
                <w:highlight w:val="none"/>
              </w:rPr>
              <w:t>104,730.00元。</w:t>
            </w:r>
          </w:p>
        </w:tc>
        <w:tc>
          <w:tcPr>
            <w:tcW w:w="906" w:type="pct"/>
            <w:tcBorders>
              <w:top w:val="single" w:color="auto" w:sz="4" w:space="0"/>
              <w:left w:val="single" w:color="auto" w:sz="4" w:space="0"/>
              <w:bottom w:val="single" w:color="auto" w:sz="4" w:space="0"/>
              <w:right w:val="single" w:color="auto" w:sz="4" w:space="0"/>
            </w:tcBorders>
            <w:noWrap w:val="0"/>
            <w:vAlign w:val="center"/>
          </w:tcPr>
          <w:p w14:paraId="4BCC3A58">
            <w:pPr>
              <w:pStyle w:val="32"/>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14:paraId="0E9B03AE">
            <w:pPr>
              <w:pStyle w:val="32"/>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14:paraId="74FEEF80">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6F9D3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6B81CB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color w:val="auto"/>
                <w:sz w:val="22"/>
                <w:highlight w:val="none"/>
                <w:lang w:val="en-US" w:eastAsia="zh-CN"/>
              </w:rPr>
            </w:pPr>
            <w:r>
              <w:rPr>
                <w:rFonts w:hint="eastAsia"/>
                <w:color w:val="auto"/>
                <w:sz w:val="22"/>
                <w:highlight w:val="none"/>
                <w:lang w:val="en-US" w:eastAsia="zh-CN"/>
              </w:rPr>
              <w:t>4</w:t>
            </w:r>
          </w:p>
        </w:tc>
        <w:tc>
          <w:tcPr>
            <w:tcW w:w="276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4619A11">
            <w:pPr>
              <w:keepLines w:val="0"/>
              <w:pageBreakBefore w:val="0"/>
              <w:widowControl w:val="0"/>
              <w:numPr>
                <w:ilvl w:val="0"/>
                <w:numId w:val="0"/>
              </w:numPr>
              <w:kinsoku/>
              <w:wordWrap/>
              <w:overflowPunct/>
              <w:topLinePunct w:val="0"/>
              <w:bidi w:val="0"/>
              <w:spacing w:line="240" w:lineRule="atLeast"/>
              <w:ind w:leftChars="0" w:firstLine="0" w:firstLineChars="0"/>
              <w:jc w:val="left"/>
              <w:rPr>
                <w:rFonts w:hint="eastAsia" w:ascii="Calibri" w:hAnsi="Calibri" w:eastAsia="宋体" w:cs="黑体"/>
                <w:b w:val="0"/>
                <w:bCs w:val="0"/>
                <w:color w:val="auto"/>
                <w:sz w:val="22"/>
                <w:szCs w:val="24"/>
                <w:highlight w:val="none"/>
                <w:lang w:val="en-US" w:eastAsia="zh-CN"/>
              </w:rPr>
            </w:pPr>
            <w:r>
              <w:rPr>
                <w:rFonts w:hint="eastAsia" w:ascii="Calibri" w:hAnsi="Calibri" w:eastAsia="宋体" w:cs="黑体"/>
                <w:b w:val="0"/>
                <w:bCs w:val="0"/>
                <w:color w:val="auto"/>
                <w:sz w:val="22"/>
                <w:szCs w:val="24"/>
                <w:highlight w:val="none"/>
                <w:lang w:val="en-US" w:eastAsia="zh-CN"/>
              </w:rPr>
              <w:t>6.验收及售后服务</w:t>
            </w:r>
          </w:p>
          <w:p w14:paraId="6A6115CA">
            <w:pPr>
              <w:keepLines w:val="0"/>
              <w:pageBreakBefore w:val="0"/>
              <w:widowControl w:val="0"/>
              <w:numPr>
                <w:ilvl w:val="0"/>
                <w:numId w:val="0"/>
              </w:numPr>
              <w:kinsoku/>
              <w:wordWrap/>
              <w:overflowPunct/>
              <w:topLinePunct w:val="0"/>
              <w:bidi w:val="0"/>
              <w:spacing w:line="240" w:lineRule="atLeast"/>
              <w:ind w:leftChars="0" w:firstLine="0" w:firstLineChars="0"/>
              <w:jc w:val="left"/>
              <w:rPr>
                <w:rFonts w:hint="eastAsia" w:ascii="Calibri" w:hAnsi="Calibri" w:eastAsia="宋体" w:cs="黑体"/>
                <w:b w:val="0"/>
                <w:bCs w:val="0"/>
                <w:color w:val="auto"/>
                <w:sz w:val="22"/>
                <w:szCs w:val="24"/>
                <w:highlight w:val="none"/>
                <w:lang w:val="en-US" w:eastAsia="zh-CN"/>
              </w:rPr>
            </w:pPr>
            <w:r>
              <w:rPr>
                <w:rFonts w:hint="eastAsia" w:ascii="Calibri" w:hAnsi="Calibri" w:eastAsia="宋体" w:cs="黑体"/>
                <w:b w:val="0"/>
                <w:bCs w:val="0"/>
                <w:color w:val="auto"/>
                <w:sz w:val="22"/>
                <w:szCs w:val="24"/>
                <w:highlight w:val="none"/>
                <w:lang w:val="en-US" w:eastAsia="zh-CN"/>
              </w:rPr>
              <w:t>（1）按照合同以及由仓库验收员负责。货物抵达指定地点后，验收人员根据采购内容的实际情况，查验各项随货单据、送货单/备货单等是否齐全，验收员在验收过程中应进行外观检查，查看是否存在型号不相符、进水、破损、变形等质量问题。如发现数量不符、破损时，应当及时替换处理。查验合格后由验收员在送货单上签名并签章，送货单应有一联留存备查。</w:t>
            </w:r>
          </w:p>
          <w:p w14:paraId="1B258B64">
            <w:pPr>
              <w:keepLines w:val="0"/>
              <w:pageBreakBefore w:val="0"/>
              <w:widowControl w:val="0"/>
              <w:numPr>
                <w:ilvl w:val="0"/>
                <w:numId w:val="0"/>
              </w:numPr>
              <w:kinsoku/>
              <w:wordWrap/>
              <w:overflowPunct/>
              <w:topLinePunct w:val="0"/>
              <w:bidi w:val="0"/>
              <w:spacing w:line="240" w:lineRule="atLeast"/>
              <w:ind w:leftChars="0" w:firstLine="0" w:firstLineChars="0"/>
              <w:jc w:val="left"/>
              <w:rPr>
                <w:rFonts w:hint="eastAsia" w:ascii="Calibri" w:hAnsi="Calibri" w:eastAsia="宋体" w:cs="黑体"/>
                <w:b w:val="0"/>
                <w:bCs w:val="0"/>
                <w:color w:val="auto"/>
                <w:sz w:val="22"/>
                <w:szCs w:val="24"/>
                <w:highlight w:val="none"/>
                <w:lang w:val="en-US" w:eastAsia="zh-CN"/>
              </w:rPr>
            </w:pPr>
            <w:r>
              <w:rPr>
                <w:rFonts w:hint="eastAsia" w:ascii="Calibri" w:hAnsi="Calibri" w:eastAsia="宋体" w:cs="黑体"/>
                <w:b w:val="0"/>
                <w:bCs w:val="0"/>
                <w:color w:val="auto"/>
                <w:sz w:val="22"/>
                <w:szCs w:val="24"/>
                <w:highlight w:val="none"/>
                <w:lang w:val="en-US" w:eastAsia="zh-CN"/>
              </w:rPr>
              <w:t>（2）产品保质期：自验收合格之日起1年；中标供应商配送的货物存在质量问题时，供应商应在3个工作日内完成处理，并无条件退货。由于供应商的原因，未按照协议约定配送产品的，采购人有权要求中标人按照配送产品费用的5%支付违约金，并赔偿甲方由此受到的损失。</w:t>
            </w:r>
          </w:p>
          <w:p w14:paraId="6738A237">
            <w:pPr>
              <w:keepLines w:val="0"/>
              <w:pageBreakBefore w:val="0"/>
              <w:widowControl w:val="0"/>
              <w:numPr>
                <w:ilvl w:val="0"/>
                <w:numId w:val="0"/>
              </w:numPr>
              <w:kinsoku/>
              <w:wordWrap/>
              <w:overflowPunct/>
              <w:topLinePunct w:val="0"/>
              <w:bidi w:val="0"/>
              <w:spacing w:line="240" w:lineRule="atLeast"/>
              <w:ind w:leftChars="0" w:firstLine="0" w:firstLineChars="0"/>
              <w:jc w:val="left"/>
              <w:rPr>
                <w:rFonts w:hint="eastAsia" w:ascii="Calibri" w:hAnsi="Calibri" w:eastAsia="宋体" w:cs="黑体"/>
                <w:b w:val="0"/>
                <w:bCs w:val="0"/>
                <w:color w:val="auto"/>
                <w:sz w:val="22"/>
                <w:szCs w:val="24"/>
                <w:highlight w:val="none"/>
                <w:lang w:val="en-US" w:eastAsia="zh-CN"/>
              </w:rPr>
            </w:pPr>
            <w:r>
              <w:rPr>
                <w:rFonts w:hint="eastAsia" w:ascii="Calibri" w:hAnsi="Calibri" w:eastAsia="宋体" w:cs="黑体"/>
                <w:b w:val="0"/>
                <w:bCs w:val="0"/>
                <w:color w:val="auto"/>
                <w:sz w:val="22"/>
                <w:szCs w:val="24"/>
                <w:highlight w:val="none"/>
                <w:lang w:val="en-US" w:eastAsia="zh-CN"/>
              </w:rPr>
              <w:t>（3）任何时候，中标人均不能免除因产品本身的缺陷所应负的责任，中标人有义务对所提供的货物进行维护或更换。</w:t>
            </w:r>
          </w:p>
          <w:p w14:paraId="7BBB3F87">
            <w:pPr>
              <w:keepLines w:val="0"/>
              <w:pageBreakBefore w:val="0"/>
              <w:widowControl w:val="0"/>
              <w:numPr>
                <w:ilvl w:val="0"/>
                <w:numId w:val="0"/>
              </w:numPr>
              <w:kinsoku/>
              <w:wordWrap/>
              <w:overflowPunct/>
              <w:topLinePunct w:val="0"/>
              <w:bidi w:val="0"/>
              <w:spacing w:line="240" w:lineRule="atLeast"/>
              <w:ind w:leftChars="0" w:firstLine="0" w:firstLineChars="0"/>
              <w:jc w:val="left"/>
              <w:rPr>
                <w:rFonts w:hint="eastAsia" w:ascii="Calibri" w:hAnsi="Calibri" w:eastAsia="宋体" w:cs="黑体"/>
                <w:b w:val="0"/>
                <w:bCs w:val="0"/>
                <w:color w:val="auto"/>
                <w:sz w:val="22"/>
                <w:szCs w:val="24"/>
                <w:highlight w:val="none"/>
                <w:lang w:val="en-US" w:eastAsia="zh-CN"/>
              </w:rPr>
            </w:pPr>
            <w:r>
              <w:rPr>
                <w:rFonts w:hint="eastAsia" w:ascii="Calibri" w:hAnsi="Calibri" w:eastAsia="宋体" w:cs="黑体"/>
                <w:b w:val="0"/>
                <w:bCs w:val="0"/>
                <w:color w:val="auto"/>
                <w:sz w:val="22"/>
                <w:szCs w:val="24"/>
                <w:highlight w:val="none"/>
                <w:lang w:val="en-US" w:eastAsia="zh-CN"/>
              </w:rPr>
              <w:t>（4）中标人提供售后服务，根据采购人的需求提供售后服务。中标人交付的货物应当完全符合招投标文件所规定、订单约定的货物、数量、质量和规格要求。中标人提供的货物不符合招投标文件和订单规定的，采购人有权拒收货物，由此引起的损失及责任，由中标人承担。</w:t>
            </w:r>
          </w:p>
          <w:p w14:paraId="041F267D">
            <w:pPr>
              <w:keepLines w:val="0"/>
              <w:pageBreakBefore w:val="0"/>
              <w:widowControl w:val="0"/>
              <w:numPr>
                <w:ilvl w:val="0"/>
                <w:numId w:val="0"/>
              </w:numPr>
              <w:kinsoku/>
              <w:wordWrap/>
              <w:overflowPunct/>
              <w:topLinePunct w:val="0"/>
              <w:bidi w:val="0"/>
              <w:spacing w:line="240" w:lineRule="atLeast"/>
              <w:ind w:leftChars="0" w:firstLine="0" w:firstLineChars="0"/>
              <w:jc w:val="left"/>
              <w:rPr>
                <w:rFonts w:hint="eastAsia" w:ascii="Calibri" w:hAnsi="Calibri" w:eastAsia="宋体" w:cs="黑体"/>
                <w:b w:val="0"/>
                <w:bCs w:val="0"/>
                <w:color w:val="auto"/>
                <w:sz w:val="22"/>
                <w:szCs w:val="24"/>
                <w:highlight w:val="none"/>
                <w:lang w:val="en-US" w:eastAsia="zh-CN"/>
              </w:rPr>
            </w:pPr>
            <w:r>
              <w:rPr>
                <w:rFonts w:hint="eastAsia" w:ascii="Calibri" w:hAnsi="Calibri" w:eastAsia="宋体" w:cs="黑体"/>
                <w:b w:val="0"/>
                <w:bCs w:val="0"/>
                <w:color w:val="auto"/>
                <w:sz w:val="22"/>
                <w:szCs w:val="24"/>
                <w:highlight w:val="none"/>
                <w:lang w:val="en-US" w:eastAsia="zh-CN"/>
              </w:rPr>
              <w:t>（5）必须是达到国家标准或行业标准，具备出厂合格证的无表面划损、无任何缺陷的全新原装产品且无任何侵权行为。</w:t>
            </w:r>
          </w:p>
          <w:p w14:paraId="4B65D64E">
            <w:pPr>
              <w:keepLines w:val="0"/>
              <w:pageBreakBefore w:val="0"/>
              <w:widowControl w:val="0"/>
              <w:numPr>
                <w:ilvl w:val="0"/>
                <w:numId w:val="0"/>
              </w:numPr>
              <w:kinsoku/>
              <w:wordWrap/>
              <w:overflowPunct/>
              <w:topLinePunct w:val="0"/>
              <w:bidi w:val="0"/>
              <w:spacing w:line="240" w:lineRule="atLeast"/>
              <w:ind w:leftChars="0" w:firstLine="0" w:firstLineChars="0"/>
              <w:jc w:val="left"/>
              <w:rPr>
                <w:rFonts w:hint="eastAsia" w:ascii="Calibri" w:hAnsi="Calibri" w:eastAsia="宋体" w:cs="黑体"/>
                <w:b w:val="0"/>
                <w:bCs w:val="0"/>
                <w:color w:val="auto"/>
                <w:sz w:val="22"/>
                <w:szCs w:val="24"/>
                <w:highlight w:val="none"/>
                <w:lang w:val="en-US" w:eastAsia="zh-CN"/>
              </w:rPr>
            </w:pPr>
            <w:r>
              <w:rPr>
                <w:rFonts w:hint="eastAsia" w:ascii="Calibri" w:hAnsi="Calibri" w:eastAsia="宋体" w:cs="黑体"/>
                <w:b w:val="0"/>
                <w:bCs w:val="0"/>
                <w:color w:val="auto"/>
                <w:sz w:val="22"/>
                <w:szCs w:val="24"/>
                <w:highlight w:val="none"/>
                <w:lang w:val="en-US" w:eastAsia="zh-CN"/>
              </w:rPr>
              <w:t>（6）采购人在中国使用该货物或货物的任何一部分时，免受第三方提出的侵犯其专利权、商标权或工业设计权等知识产权的起诉或司法干预。如果发生上诉起诉或干预，则其法律责任均由中标人负责。</w:t>
            </w:r>
          </w:p>
          <w:p w14:paraId="5384B177">
            <w:pPr>
              <w:keepLines w:val="0"/>
              <w:pageBreakBefore w:val="0"/>
              <w:widowControl w:val="0"/>
              <w:numPr>
                <w:ilvl w:val="0"/>
                <w:numId w:val="0"/>
              </w:numPr>
              <w:kinsoku/>
              <w:wordWrap/>
              <w:overflowPunct/>
              <w:topLinePunct w:val="0"/>
              <w:bidi w:val="0"/>
              <w:spacing w:line="240" w:lineRule="atLeast"/>
              <w:ind w:leftChars="0" w:firstLine="0" w:firstLineChars="0"/>
              <w:jc w:val="left"/>
              <w:rPr>
                <w:rFonts w:hint="eastAsia" w:ascii="Calibri" w:hAnsi="Calibri" w:eastAsia="宋体" w:cs="黑体"/>
                <w:b w:val="0"/>
                <w:bCs w:val="0"/>
                <w:color w:val="auto"/>
                <w:sz w:val="22"/>
                <w:szCs w:val="24"/>
                <w:highlight w:val="none"/>
                <w:lang w:val="en-US" w:eastAsia="zh-CN"/>
              </w:rPr>
            </w:pPr>
            <w:r>
              <w:rPr>
                <w:rFonts w:hint="eastAsia" w:ascii="Calibri" w:hAnsi="Calibri" w:eastAsia="宋体" w:cs="黑体"/>
                <w:b w:val="0"/>
                <w:bCs w:val="0"/>
                <w:color w:val="auto"/>
                <w:sz w:val="22"/>
                <w:szCs w:val="24"/>
                <w:highlight w:val="none"/>
                <w:lang w:val="en-US" w:eastAsia="zh-CN"/>
              </w:rPr>
              <w:t>（7）提供的供货清单检验产品合格证、使用说明和其他的技术资料、检查产品及附件须完整无损，符合要求。如有损坏、缺件等情况，中标人自行负责。</w:t>
            </w:r>
          </w:p>
          <w:p w14:paraId="17489688">
            <w:pPr>
              <w:keepLines w:val="0"/>
              <w:pageBreakBefore w:val="0"/>
              <w:widowControl w:val="0"/>
              <w:numPr>
                <w:ilvl w:val="0"/>
                <w:numId w:val="0"/>
              </w:numPr>
              <w:kinsoku/>
              <w:wordWrap/>
              <w:overflowPunct/>
              <w:topLinePunct w:val="0"/>
              <w:bidi w:val="0"/>
              <w:spacing w:line="240" w:lineRule="atLeast"/>
              <w:ind w:leftChars="0" w:firstLine="0" w:firstLineChars="0"/>
              <w:jc w:val="left"/>
              <w:rPr>
                <w:rFonts w:hint="eastAsia" w:ascii="Calibri" w:hAnsi="Calibri" w:eastAsia="宋体" w:cs="黑体"/>
                <w:b w:val="0"/>
                <w:bCs w:val="0"/>
                <w:color w:val="auto"/>
                <w:sz w:val="22"/>
                <w:szCs w:val="24"/>
                <w:highlight w:val="none"/>
                <w:lang w:val="en-US" w:eastAsia="zh-CN"/>
              </w:rPr>
            </w:pPr>
            <w:r>
              <w:rPr>
                <w:rFonts w:hint="eastAsia" w:ascii="Calibri" w:hAnsi="Calibri" w:eastAsia="宋体" w:cs="黑体"/>
                <w:b w:val="0"/>
                <w:bCs w:val="0"/>
                <w:color w:val="auto"/>
                <w:sz w:val="22"/>
                <w:szCs w:val="24"/>
                <w:highlight w:val="none"/>
                <w:lang w:val="en-US" w:eastAsia="zh-CN"/>
              </w:rPr>
              <w:t>（8）货物送达采购人指定地点后，采购人立即进行现场验收。</w:t>
            </w:r>
          </w:p>
          <w:p w14:paraId="34B486D2">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0" w:firstLineChars="0"/>
              <w:textAlignment w:val="auto"/>
              <w:rPr>
                <w:rFonts w:hint="eastAsia"/>
                <w:color w:val="auto"/>
                <w:sz w:val="22"/>
                <w:highlight w:val="none"/>
                <w:lang w:val="en-US" w:eastAsia="zh-CN"/>
              </w:rPr>
            </w:pPr>
            <w:r>
              <w:rPr>
                <w:rFonts w:hint="eastAsia" w:ascii="Calibri" w:hAnsi="Calibri" w:eastAsia="宋体" w:cs="黑体"/>
                <w:b w:val="0"/>
                <w:bCs w:val="0"/>
                <w:color w:val="auto"/>
                <w:sz w:val="22"/>
                <w:szCs w:val="24"/>
                <w:highlight w:val="none"/>
                <w:lang w:val="en-US" w:eastAsia="zh-CN"/>
              </w:rPr>
              <w:t>（9）产品应符合货物采购合同的技术要求，如没有提及适用标准，则应符合中华人民共和国国家标准或行业标准，如果中华人民共和国没有相关标准的，则采用货物来源国适用的官方标准。这些标准必须是有关机构发布的最新版本的标准。</w:t>
            </w:r>
          </w:p>
        </w:tc>
        <w:tc>
          <w:tcPr>
            <w:tcW w:w="906" w:type="pct"/>
            <w:tcBorders>
              <w:top w:val="single" w:color="auto" w:sz="4" w:space="0"/>
              <w:left w:val="single" w:color="auto" w:sz="4" w:space="0"/>
              <w:bottom w:val="single" w:color="auto" w:sz="4" w:space="0"/>
              <w:right w:val="single" w:color="auto" w:sz="4" w:space="0"/>
            </w:tcBorders>
            <w:noWrap w:val="0"/>
            <w:vAlign w:val="center"/>
          </w:tcPr>
          <w:p w14:paraId="402B8FA7">
            <w:pPr>
              <w:pStyle w:val="32"/>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14:paraId="19B92E86">
            <w:pPr>
              <w:pStyle w:val="32"/>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14:paraId="2E98501F">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763BA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7AE462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color w:val="auto"/>
                <w:sz w:val="22"/>
                <w:highlight w:val="none"/>
                <w:lang w:val="en-US" w:eastAsia="zh-CN"/>
              </w:rPr>
            </w:pPr>
            <w:r>
              <w:rPr>
                <w:rFonts w:hint="eastAsia"/>
                <w:color w:val="auto"/>
                <w:sz w:val="22"/>
                <w:highlight w:val="none"/>
                <w:lang w:val="en-US" w:eastAsia="zh-CN"/>
              </w:rPr>
              <w:t>5</w:t>
            </w:r>
          </w:p>
        </w:tc>
        <w:tc>
          <w:tcPr>
            <w:tcW w:w="276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DB11C7C">
            <w:pPr>
              <w:spacing w:line="240" w:lineRule="atLeast"/>
              <w:rPr>
                <w:rFonts w:hint="eastAsia" w:ascii="Calibri" w:hAnsi="Calibri" w:eastAsia="宋体" w:cs="黑体"/>
                <w:b w:val="0"/>
                <w:bCs w:val="0"/>
                <w:color w:val="auto"/>
                <w:kern w:val="2"/>
                <w:sz w:val="22"/>
                <w:szCs w:val="24"/>
                <w:highlight w:val="none"/>
                <w:lang w:val="en-US" w:eastAsia="zh-CN" w:bidi="ar-SA"/>
              </w:rPr>
            </w:pPr>
            <w:r>
              <w:rPr>
                <w:rFonts w:hint="eastAsia" w:ascii="Calibri" w:hAnsi="Calibri" w:eastAsia="宋体" w:cs="黑体"/>
                <w:b w:val="0"/>
                <w:bCs w:val="0"/>
                <w:color w:val="auto"/>
                <w:kern w:val="2"/>
                <w:sz w:val="22"/>
                <w:szCs w:val="24"/>
                <w:highlight w:val="none"/>
                <w:lang w:val="en-US" w:eastAsia="zh-CN" w:bidi="ar-SA"/>
              </w:rPr>
              <w:t>7.违约责任</w:t>
            </w:r>
          </w:p>
          <w:p w14:paraId="504A01AD">
            <w:pPr>
              <w:spacing w:line="240" w:lineRule="atLeast"/>
              <w:rPr>
                <w:rFonts w:hint="eastAsia" w:ascii="Calibri" w:hAnsi="Calibri" w:eastAsia="宋体" w:cs="黑体"/>
                <w:b w:val="0"/>
                <w:bCs w:val="0"/>
                <w:color w:val="auto"/>
                <w:kern w:val="2"/>
                <w:sz w:val="22"/>
                <w:szCs w:val="24"/>
                <w:highlight w:val="none"/>
                <w:lang w:val="en-US" w:eastAsia="zh-CN" w:bidi="ar-SA"/>
              </w:rPr>
            </w:pPr>
            <w:r>
              <w:rPr>
                <w:rFonts w:hint="eastAsia" w:ascii="Calibri" w:hAnsi="Calibri" w:eastAsia="宋体" w:cs="黑体"/>
                <w:b w:val="0"/>
                <w:bCs w:val="0"/>
                <w:color w:val="auto"/>
                <w:kern w:val="2"/>
                <w:sz w:val="22"/>
                <w:szCs w:val="24"/>
                <w:highlight w:val="none"/>
                <w:lang w:val="en-US" w:eastAsia="zh-CN" w:bidi="ar-SA"/>
              </w:rPr>
              <w:t>（1）中标人未能按合同约定的时间供货的，每逾期一日，应按合同总金额的</w:t>
            </w:r>
            <w:r>
              <w:rPr>
                <w:rFonts w:hint="eastAsia" w:cs="黑体"/>
                <w:b w:val="0"/>
                <w:bCs w:val="0"/>
                <w:color w:val="auto"/>
                <w:kern w:val="2"/>
                <w:sz w:val="22"/>
                <w:szCs w:val="24"/>
                <w:highlight w:val="none"/>
                <w:lang w:val="en-US" w:eastAsia="zh-CN" w:bidi="ar-SA"/>
              </w:rPr>
              <w:t>0.05</w:t>
            </w:r>
            <w:r>
              <w:rPr>
                <w:rFonts w:hint="eastAsia" w:ascii="Calibri" w:hAnsi="Calibri" w:eastAsia="宋体" w:cs="黑体"/>
                <w:b w:val="0"/>
                <w:bCs w:val="0"/>
                <w:color w:val="auto"/>
                <w:kern w:val="2"/>
                <w:sz w:val="22"/>
                <w:szCs w:val="24"/>
                <w:highlight w:val="none"/>
                <w:lang w:val="en-US" w:eastAsia="zh-CN" w:bidi="ar-SA"/>
              </w:rPr>
              <w:t>%向采购人支付违约金；逾期超过3日的，采购人有权单方解除合同，并要求中标人赔偿损失。</w:t>
            </w:r>
          </w:p>
          <w:p w14:paraId="79EA949D">
            <w:pPr>
              <w:spacing w:line="240" w:lineRule="atLeast"/>
              <w:rPr>
                <w:rFonts w:hint="eastAsia" w:ascii="Calibri" w:hAnsi="Calibri" w:eastAsia="宋体" w:cs="黑体"/>
                <w:b w:val="0"/>
                <w:bCs w:val="0"/>
                <w:color w:val="auto"/>
                <w:kern w:val="2"/>
                <w:sz w:val="22"/>
                <w:szCs w:val="24"/>
                <w:highlight w:val="none"/>
                <w:lang w:val="en-US" w:eastAsia="zh-CN" w:bidi="ar-SA"/>
              </w:rPr>
            </w:pPr>
            <w:r>
              <w:rPr>
                <w:rFonts w:hint="eastAsia" w:ascii="Calibri" w:hAnsi="Calibri" w:eastAsia="宋体" w:cs="黑体"/>
                <w:b w:val="0"/>
                <w:bCs w:val="0"/>
                <w:color w:val="auto"/>
                <w:kern w:val="2"/>
                <w:sz w:val="22"/>
                <w:szCs w:val="24"/>
                <w:highlight w:val="none"/>
                <w:lang w:val="en-US" w:eastAsia="zh-CN" w:bidi="ar-SA"/>
              </w:rPr>
              <w:t>（2）中标人须无条件接受采购人在供货过程中的监督。如发现中标人无能力完成该批货物供货、用料、工艺不符合技术规范要求、有外包现象、生产不能按计划进行等，采购人有权废标或</w:t>
            </w:r>
            <w:r>
              <w:rPr>
                <w:rFonts w:hint="eastAsia" w:cs="黑体"/>
                <w:b w:val="0"/>
                <w:bCs w:val="0"/>
                <w:color w:val="auto"/>
                <w:kern w:val="2"/>
                <w:sz w:val="22"/>
                <w:szCs w:val="24"/>
                <w:highlight w:val="none"/>
                <w:lang w:val="en-US" w:eastAsia="zh-CN" w:bidi="ar-SA"/>
              </w:rPr>
              <w:t>终止</w:t>
            </w:r>
            <w:r>
              <w:rPr>
                <w:rFonts w:hint="eastAsia" w:ascii="Calibri" w:hAnsi="Calibri" w:eastAsia="宋体" w:cs="黑体"/>
                <w:b w:val="0"/>
                <w:bCs w:val="0"/>
                <w:color w:val="auto"/>
                <w:kern w:val="2"/>
                <w:sz w:val="22"/>
                <w:szCs w:val="24"/>
                <w:highlight w:val="none"/>
                <w:lang w:val="en-US" w:eastAsia="zh-CN" w:bidi="ar-SA"/>
              </w:rPr>
              <w:t>合同，由此带来的损失由中标人自负，并报政府采购主管部门进行相应处罚。</w:t>
            </w:r>
          </w:p>
          <w:p w14:paraId="7FB3780C">
            <w:pPr>
              <w:spacing w:line="240" w:lineRule="atLeast"/>
              <w:rPr>
                <w:rFonts w:hint="eastAsia" w:ascii="Calibri" w:hAnsi="Calibri" w:eastAsia="宋体" w:cs="黑体"/>
                <w:b w:val="0"/>
                <w:bCs w:val="0"/>
                <w:color w:val="auto"/>
                <w:kern w:val="2"/>
                <w:sz w:val="22"/>
                <w:szCs w:val="24"/>
                <w:highlight w:val="none"/>
                <w:lang w:val="en-US" w:eastAsia="zh-CN" w:bidi="ar-SA"/>
              </w:rPr>
            </w:pPr>
            <w:r>
              <w:rPr>
                <w:rFonts w:hint="eastAsia" w:ascii="Calibri" w:hAnsi="Calibri" w:eastAsia="宋体" w:cs="黑体"/>
                <w:b w:val="0"/>
                <w:bCs w:val="0"/>
                <w:color w:val="auto"/>
                <w:kern w:val="2"/>
                <w:sz w:val="22"/>
                <w:szCs w:val="24"/>
                <w:highlight w:val="none"/>
                <w:lang w:val="en-US" w:eastAsia="zh-CN" w:bidi="ar-SA"/>
              </w:rPr>
              <w:t>（3）中标人交付的货物经采购人验收发现不符合招标文件技术、质量标准要求的，采购人有权拒收该批次不合格货物，并书面通知中标人。中标人应在收到通知后</w:t>
            </w:r>
            <w:r>
              <w:rPr>
                <w:rFonts w:hint="eastAsia" w:cs="黑体"/>
                <w:b w:val="0"/>
                <w:bCs w:val="0"/>
                <w:color w:val="auto"/>
                <w:kern w:val="2"/>
                <w:sz w:val="22"/>
                <w:szCs w:val="24"/>
                <w:highlight w:val="none"/>
                <w:lang w:val="en-US" w:eastAsia="zh-CN" w:bidi="ar-SA"/>
              </w:rPr>
              <w:t>48</w:t>
            </w:r>
            <w:r>
              <w:rPr>
                <w:rFonts w:hint="eastAsia" w:ascii="Calibri" w:hAnsi="Calibri" w:eastAsia="宋体" w:cs="黑体"/>
                <w:b w:val="0"/>
                <w:bCs w:val="0"/>
                <w:color w:val="auto"/>
                <w:kern w:val="2"/>
                <w:sz w:val="22"/>
                <w:szCs w:val="24"/>
                <w:highlight w:val="none"/>
                <w:lang w:val="en-US" w:eastAsia="zh-CN" w:bidi="ar-SA"/>
              </w:rPr>
              <w:t>小时内将合格货物免费更换、补货</w:t>
            </w:r>
            <w:r>
              <w:rPr>
                <w:rFonts w:hint="eastAsia" w:cs="黑体"/>
                <w:b w:val="0"/>
                <w:bCs w:val="0"/>
                <w:color w:val="auto"/>
                <w:kern w:val="2"/>
                <w:sz w:val="22"/>
                <w:szCs w:val="24"/>
                <w:highlight w:val="none"/>
                <w:lang w:val="en-US" w:eastAsia="zh-CN" w:bidi="ar-SA"/>
              </w:rPr>
              <w:t>送达</w:t>
            </w:r>
            <w:r>
              <w:rPr>
                <w:rFonts w:hint="eastAsia" w:ascii="Calibri" w:hAnsi="Calibri" w:eastAsia="宋体" w:cs="黑体"/>
                <w:b w:val="0"/>
                <w:bCs w:val="0"/>
                <w:color w:val="auto"/>
                <w:kern w:val="2"/>
                <w:sz w:val="22"/>
                <w:szCs w:val="24"/>
                <w:highlight w:val="none"/>
                <w:lang w:val="en-US" w:eastAsia="zh-CN" w:bidi="ar-SA"/>
              </w:rPr>
              <w:t>采购人指定地点，相关费用由中标人承担。中标人逾期未更换、补货或更换、补货后仍不合格的，采购人有权自行或委托第三方进行处理，由此产生的费用由中标人承担，并有权从未支付的合同款项中直接扣除。</w:t>
            </w:r>
          </w:p>
          <w:p w14:paraId="72DCED41">
            <w:pPr>
              <w:keepNext w:val="0"/>
              <w:keepLines w:val="0"/>
              <w:pageBreakBefore w:val="0"/>
              <w:widowControl/>
              <w:kinsoku/>
              <w:wordWrap/>
              <w:overflowPunct/>
              <w:topLinePunct w:val="0"/>
              <w:autoSpaceDE/>
              <w:autoSpaceDN/>
              <w:bidi w:val="0"/>
              <w:adjustRightInd/>
              <w:snapToGrid/>
              <w:spacing w:line="240" w:lineRule="atLeast"/>
              <w:textAlignment w:val="auto"/>
              <w:rPr>
                <w:rFonts w:hint="eastAsia"/>
                <w:color w:val="auto"/>
                <w:sz w:val="22"/>
                <w:highlight w:val="none"/>
                <w:lang w:val="en-US" w:eastAsia="zh-CN"/>
              </w:rPr>
            </w:pPr>
            <w:r>
              <w:rPr>
                <w:rFonts w:hint="eastAsia" w:ascii="Calibri" w:hAnsi="Calibri" w:eastAsia="宋体" w:cs="黑体"/>
                <w:b w:val="0"/>
                <w:bCs w:val="0"/>
                <w:color w:val="auto"/>
                <w:kern w:val="2"/>
                <w:sz w:val="22"/>
                <w:szCs w:val="24"/>
                <w:highlight w:val="none"/>
                <w:lang w:val="en-US" w:eastAsia="zh-CN" w:bidi="ar-SA"/>
              </w:rPr>
              <w:t>（4）整批货物出现不合格数量</w:t>
            </w:r>
            <w:r>
              <w:rPr>
                <w:rFonts w:hint="eastAsia" w:cs="黑体"/>
                <w:b w:val="0"/>
                <w:bCs w:val="0"/>
                <w:color w:val="auto"/>
                <w:kern w:val="2"/>
                <w:sz w:val="22"/>
                <w:szCs w:val="24"/>
                <w:highlight w:val="none"/>
                <w:lang w:val="en-US" w:eastAsia="zh-CN" w:bidi="ar-SA"/>
              </w:rPr>
              <w:t>达到</w:t>
            </w:r>
            <w:r>
              <w:rPr>
                <w:rFonts w:hint="eastAsia" w:ascii="Calibri" w:hAnsi="Calibri" w:eastAsia="宋体" w:cs="黑体"/>
                <w:b w:val="0"/>
                <w:bCs w:val="0"/>
                <w:color w:val="auto"/>
                <w:kern w:val="2"/>
                <w:sz w:val="22"/>
                <w:szCs w:val="24"/>
                <w:highlight w:val="none"/>
                <w:lang w:val="en-US" w:eastAsia="zh-CN" w:bidi="ar-SA"/>
              </w:rPr>
              <w:t>该批次交付总数10%时，视为整批货物不合格，采购人有权拒收整批货物，由此造成采购人无法按时配置的，中标人必须向采购人赔偿因此造成的一切损失，采购人同时有权单方解除合同并追究中标人违约责任。</w:t>
            </w:r>
          </w:p>
        </w:tc>
        <w:tc>
          <w:tcPr>
            <w:tcW w:w="906" w:type="pct"/>
            <w:tcBorders>
              <w:top w:val="single" w:color="auto" w:sz="4" w:space="0"/>
              <w:left w:val="single" w:color="auto" w:sz="4" w:space="0"/>
              <w:bottom w:val="single" w:color="auto" w:sz="4" w:space="0"/>
              <w:right w:val="single" w:color="auto" w:sz="4" w:space="0"/>
            </w:tcBorders>
            <w:noWrap w:val="0"/>
            <w:vAlign w:val="center"/>
          </w:tcPr>
          <w:p w14:paraId="54E3C1F7">
            <w:pPr>
              <w:pStyle w:val="32"/>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14:paraId="47D625FF">
            <w:pPr>
              <w:pStyle w:val="32"/>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14:paraId="694AFCD3">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60E4F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97CB80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color w:val="auto"/>
                <w:sz w:val="22"/>
                <w:highlight w:val="none"/>
                <w:lang w:val="en-US" w:eastAsia="zh-CN"/>
              </w:rPr>
            </w:pPr>
            <w:r>
              <w:rPr>
                <w:rFonts w:hint="eastAsia"/>
                <w:color w:val="auto"/>
                <w:sz w:val="22"/>
                <w:highlight w:val="none"/>
                <w:lang w:val="en-US" w:eastAsia="zh-CN"/>
              </w:rPr>
              <w:t>6</w:t>
            </w:r>
          </w:p>
        </w:tc>
        <w:tc>
          <w:tcPr>
            <w:tcW w:w="276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15F1A9A">
            <w:pPr>
              <w:spacing w:line="240" w:lineRule="atLeast"/>
              <w:rPr>
                <w:rFonts w:hint="eastAsia" w:ascii="Calibri" w:hAnsi="Calibri" w:eastAsia="宋体" w:cs="黑体"/>
                <w:b w:val="0"/>
                <w:bCs w:val="0"/>
                <w:color w:val="auto"/>
                <w:kern w:val="2"/>
                <w:sz w:val="22"/>
                <w:szCs w:val="24"/>
                <w:highlight w:val="none"/>
                <w:lang w:val="en-US" w:eastAsia="zh-CN" w:bidi="ar-SA"/>
              </w:rPr>
            </w:pPr>
            <w:r>
              <w:rPr>
                <w:rFonts w:hint="eastAsia" w:ascii="Calibri" w:hAnsi="Calibri" w:eastAsia="宋体" w:cs="黑体"/>
                <w:b w:val="0"/>
                <w:bCs w:val="0"/>
                <w:color w:val="auto"/>
                <w:kern w:val="2"/>
                <w:sz w:val="22"/>
                <w:szCs w:val="24"/>
                <w:highlight w:val="none"/>
                <w:lang w:val="en-US" w:eastAsia="zh-CN" w:bidi="ar-SA"/>
              </w:rPr>
              <w:t>8.签订合同</w:t>
            </w:r>
          </w:p>
          <w:p w14:paraId="3C50E94F">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color w:val="auto"/>
                <w:sz w:val="22"/>
                <w:highlight w:val="none"/>
                <w:lang w:val="en-US" w:eastAsia="zh-CN"/>
              </w:rPr>
            </w:pPr>
            <w:r>
              <w:rPr>
                <w:rFonts w:hint="eastAsia" w:ascii="Calibri" w:hAnsi="Calibri" w:eastAsia="宋体" w:cs="黑体"/>
                <w:color w:val="auto"/>
                <w:kern w:val="2"/>
                <w:sz w:val="22"/>
                <w:szCs w:val="24"/>
                <w:highlight w:val="none"/>
                <w:lang w:val="en-US" w:eastAsia="zh-CN" w:bidi="ar-SA"/>
              </w:rPr>
              <w:t>采购人和中标人应当自中标通知书发出之日起十个工作日内，按照招标文件和中标人的投标文件订立书面合同。</w:t>
            </w:r>
          </w:p>
        </w:tc>
        <w:tc>
          <w:tcPr>
            <w:tcW w:w="906" w:type="pct"/>
            <w:tcBorders>
              <w:top w:val="single" w:color="auto" w:sz="4" w:space="0"/>
              <w:left w:val="single" w:color="auto" w:sz="4" w:space="0"/>
              <w:bottom w:val="single" w:color="auto" w:sz="4" w:space="0"/>
              <w:right w:val="single" w:color="auto" w:sz="4" w:space="0"/>
            </w:tcBorders>
            <w:noWrap w:val="0"/>
            <w:vAlign w:val="center"/>
          </w:tcPr>
          <w:p w14:paraId="515750B0">
            <w:pPr>
              <w:pStyle w:val="32"/>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14:paraId="2523D136">
            <w:pPr>
              <w:pStyle w:val="32"/>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14:paraId="08E7FF8C">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bl>
    <w:p w14:paraId="688BB89C">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法定代表人或其授权代表人（签字）：</w:t>
      </w:r>
    </w:p>
    <w:p w14:paraId="45E5553D">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投标单位全称（加盖公章）：</w:t>
      </w:r>
    </w:p>
    <w:p w14:paraId="655ED51A">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default" w:eastAsia="宋体"/>
          <w:color w:val="auto"/>
          <w:highlight w:val="none"/>
          <w:lang w:val="en-US" w:eastAsia="zh-CN"/>
        </w:rPr>
      </w:pPr>
      <w:r>
        <w:rPr>
          <w:rFonts w:hint="eastAsia"/>
          <w:color w:val="auto"/>
          <w:highlight w:val="none"/>
          <w:lang w:val="en-US" w:eastAsia="zh-CN"/>
        </w:rPr>
        <w:t>日期：</w:t>
      </w:r>
    </w:p>
    <w:p w14:paraId="2C85F0E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cs="宋体"/>
          <w:color w:val="auto"/>
          <w:szCs w:val="21"/>
          <w:highlight w:val="none"/>
        </w:rPr>
      </w:pPr>
    </w:p>
    <w:p w14:paraId="1824404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cs="宋体"/>
          <w:color w:val="auto"/>
          <w:szCs w:val="21"/>
          <w:highlight w:val="none"/>
        </w:rPr>
      </w:pPr>
      <w:r>
        <w:rPr>
          <w:rFonts w:hint="eastAsia" w:ascii="宋体" w:cs="宋体"/>
          <w:color w:val="auto"/>
          <w:szCs w:val="21"/>
          <w:highlight w:val="none"/>
        </w:rPr>
        <w:t>《商务条款偏离表》编制指引：</w:t>
      </w:r>
    </w:p>
    <w:p w14:paraId="6848DF9C">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lang w:eastAsia="zh-CN"/>
        </w:rPr>
        <w:t>1.</w:t>
      </w:r>
      <w:r>
        <w:rPr>
          <w:rFonts w:hint="eastAsia" w:ascii="宋体" w:cs="宋体"/>
          <w:color w:val="auto"/>
          <w:szCs w:val="21"/>
          <w:highlight w:val="none"/>
        </w:rPr>
        <w:t xml:space="preserve">商务条款偏离表的“招标商务要求”等栏目对应“第二章 </w:t>
      </w:r>
      <w:r>
        <w:rPr>
          <w:rFonts w:hint="eastAsia" w:ascii="宋体" w:hAnsi="Calibri" w:eastAsia="宋体" w:cs="宋体"/>
          <w:b w:val="0"/>
          <w:bCs w:val="0"/>
          <w:color w:val="auto"/>
          <w:sz w:val="21"/>
          <w:szCs w:val="21"/>
          <w:highlight w:val="none"/>
        </w:rPr>
        <w:t>院内公开采购项目需求</w:t>
      </w:r>
      <w:r>
        <w:rPr>
          <w:rFonts w:hint="eastAsia" w:ascii="宋体" w:cs="宋体"/>
          <w:color w:val="auto"/>
          <w:szCs w:val="21"/>
          <w:highlight w:val="none"/>
        </w:rPr>
        <w:t>”中的“商务要求”章节相关内容。</w:t>
      </w:r>
    </w:p>
    <w:p w14:paraId="04F23F75">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lang w:eastAsia="zh-CN"/>
        </w:rPr>
        <w:t>2.</w:t>
      </w:r>
      <w:r>
        <w:rPr>
          <w:rFonts w:hint="eastAsia" w:ascii="宋体" w:cs="宋体"/>
          <w:color w:val="auto"/>
          <w:szCs w:val="21"/>
          <w:highlight w:val="none"/>
        </w:rPr>
        <w:t>“投标商务响应”一栏必须一一对照“招标商务要求”，详细填写自身响应情况，以体现具体响应情况。</w:t>
      </w:r>
    </w:p>
    <w:p w14:paraId="095471FC">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lang w:eastAsia="zh-CN"/>
        </w:rPr>
        <w:t>3.</w:t>
      </w:r>
      <w:r>
        <w:rPr>
          <w:rFonts w:hint="eastAsia" w:ascii="宋体" w:cs="宋体"/>
          <w:color w:val="auto"/>
          <w:szCs w:val="21"/>
          <w:highlight w:val="none"/>
        </w:rPr>
        <w:t>“偏离情况”一栏填写如实填写“正偏离</w:t>
      </w:r>
      <w:r>
        <w:rPr>
          <w:rFonts w:hint="eastAsia" w:ascii="宋体" w:cs="宋体"/>
          <w:color w:val="auto"/>
          <w:szCs w:val="21"/>
          <w:highlight w:val="none"/>
          <w:lang w:eastAsia="zh-CN"/>
        </w:rPr>
        <w:t>”“</w:t>
      </w:r>
      <w:r>
        <w:rPr>
          <w:rFonts w:hint="eastAsia" w:ascii="宋体" w:cs="宋体"/>
          <w:color w:val="auto"/>
          <w:szCs w:val="21"/>
          <w:highlight w:val="none"/>
        </w:rPr>
        <w:t>无偏离”或“负偏离”，其中：“正偏离”表示“投标响应优于招标商务要求”，“负偏离”表示“投标响应不满足招标商务要求”，“无偏离”表示“投标响应与招标商务要求一致”。</w:t>
      </w:r>
    </w:p>
    <w:p w14:paraId="4A7B22D2">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rPr>
        <w:t>“投标商务响应”对比“招标商务要求”存在响应不全（包括未响应整项招标商务要求或者未响应一项招标商务要求的部分内容），均视为“负偏离”。带★号条款为不可偏离条款，如未响应或出现负偏离的，将作投标无效处理。</w:t>
      </w:r>
    </w:p>
    <w:p w14:paraId="5E510B5B">
      <w:pPr>
        <w:keepLines w:val="0"/>
        <w:pageBreakBefore w:val="0"/>
        <w:tabs>
          <w:tab w:val="left" w:pos="0"/>
        </w:tabs>
        <w:kinsoku/>
        <w:wordWrap/>
        <w:overflowPunct/>
        <w:topLinePunct w:val="0"/>
        <w:bidi w:val="0"/>
        <w:snapToGrid w:val="0"/>
        <w:spacing w:line="560" w:lineRule="exact"/>
        <w:rPr>
          <w:rFonts w:hint="eastAsia" w:ascii="仿宋" w:hAnsi="仿宋" w:eastAsia="仿宋" w:cs="仿宋"/>
          <w:b/>
          <w:bCs/>
          <w:color w:val="auto"/>
          <w:sz w:val="32"/>
          <w:szCs w:val="32"/>
          <w:highlight w:val="none"/>
        </w:rPr>
      </w:pPr>
    </w:p>
    <w:p w14:paraId="1718CBAC">
      <w:pPr>
        <w:keepLines w:val="0"/>
        <w:pageBreakBefore w:val="0"/>
        <w:tabs>
          <w:tab w:val="left" w:pos="0"/>
        </w:tabs>
        <w:kinsoku/>
        <w:wordWrap/>
        <w:overflowPunct/>
        <w:topLinePunct w:val="0"/>
        <w:bidi w:val="0"/>
        <w:snapToGrid w:val="0"/>
        <w:spacing w:line="560" w:lineRule="exact"/>
        <w:rPr>
          <w:rFonts w:hint="eastAsia" w:ascii="仿宋" w:hAnsi="仿宋" w:eastAsia="仿宋" w:cs="仿宋"/>
          <w:b/>
          <w:bCs/>
          <w:color w:val="auto"/>
          <w:sz w:val="32"/>
          <w:szCs w:val="32"/>
          <w:highlight w:val="none"/>
        </w:rPr>
      </w:pPr>
    </w:p>
    <w:p w14:paraId="326A9DEB">
      <w:pPr>
        <w:keepLines w:val="0"/>
        <w:pageBreakBefore w:val="0"/>
        <w:tabs>
          <w:tab w:val="left" w:pos="0"/>
        </w:tabs>
        <w:kinsoku/>
        <w:wordWrap/>
        <w:overflowPunct/>
        <w:topLinePunct w:val="0"/>
        <w:bidi w:val="0"/>
        <w:snapToGrid w:val="0"/>
        <w:spacing w:line="560" w:lineRule="exact"/>
        <w:rPr>
          <w:rFonts w:hint="eastAsia" w:ascii="仿宋" w:hAnsi="仿宋" w:eastAsia="仿宋" w:cs="仿宋"/>
          <w:b/>
          <w:bCs/>
          <w:color w:val="auto"/>
          <w:sz w:val="32"/>
          <w:szCs w:val="32"/>
          <w:highlight w:val="none"/>
        </w:rPr>
      </w:pPr>
    </w:p>
    <w:p w14:paraId="4F41E28E">
      <w:pPr>
        <w:keepLines w:val="0"/>
        <w:pageBreakBefore w:val="0"/>
        <w:tabs>
          <w:tab w:val="left" w:pos="0"/>
        </w:tabs>
        <w:kinsoku/>
        <w:wordWrap/>
        <w:overflowPunct/>
        <w:topLinePunct w:val="0"/>
        <w:bidi w:val="0"/>
        <w:snapToGrid w:val="0"/>
        <w:spacing w:line="560" w:lineRule="exact"/>
        <w:rPr>
          <w:rFonts w:hint="eastAsia" w:ascii="仿宋" w:hAnsi="仿宋" w:eastAsia="仿宋" w:cs="仿宋"/>
          <w:b/>
          <w:bCs/>
          <w:color w:val="auto"/>
          <w:sz w:val="32"/>
          <w:szCs w:val="32"/>
          <w:highlight w:val="none"/>
        </w:rPr>
        <w:sectPr>
          <w:headerReference r:id="rId7" w:type="default"/>
          <w:footerReference r:id="rId8" w:type="default"/>
          <w:pgSz w:w="16838" w:h="11906" w:orient="landscape"/>
          <w:pgMar w:top="1304" w:right="2098" w:bottom="1474" w:left="1984" w:header="851" w:footer="1417" w:gutter="0"/>
          <w:cols w:space="0" w:num="1"/>
          <w:rtlGutter w:val="0"/>
          <w:docGrid w:type="lines" w:linePitch="338" w:charSpace="0"/>
        </w:sectPr>
      </w:pPr>
    </w:p>
    <w:p w14:paraId="4E9723C4">
      <w:pPr>
        <w:keepLines w:val="0"/>
        <w:pageBreakBefore w:val="0"/>
        <w:tabs>
          <w:tab w:val="left" w:pos="0"/>
        </w:tabs>
        <w:kinsoku/>
        <w:wordWrap/>
        <w:overflowPunct/>
        <w:topLinePunct w:val="0"/>
        <w:bidi w:val="0"/>
        <w:snapToGrid w:val="0"/>
        <w:spacing w:line="560" w:lineRule="exact"/>
        <w:rPr>
          <w:rFonts w:ascii="仿宋" w:hAnsi="仿宋" w:eastAsia="仿宋" w:cs="仿宋"/>
          <w:b/>
          <w:color w:val="auto"/>
          <w:kern w:val="0"/>
          <w:sz w:val="28"/>
          <w:szCs w:val="28"/>
          <w:highlight w:val="none"/>
        </w:rPr>
      </w:pPr>
      <w:r>
        <w:rPr>
          <w:rFonts w:hint="eastAsia" w:ascii="仿宋" w:hAnsi="仿宋" w:eastAsia="仿宋" w:cs="仿宋"/>
          <w:b/>
          <w:bCs/>
          <w:color w:val="auto"/>
          <w:sz w:val="32"/>
          <w:szCs w:val="32"/>
          <w:highlight w:val="none"/>
        </w:rPr>
        <w:t>合同模板</w:t>
      </w:r>
      <w:r>
        <w:rPr>
          <w:rFonts w:hint="eastAsia" w:ascii="仿宋" w:hAnsi="仿宋" w:eastAsia="仿宋" w:cs="仿宋"/>
          <w:b/>
          <w:bCs/>
          <w:color w:val="auto"/>
          <w:sz w:val="32"/>
          <w:szCs w:val="32"/>
          <w:highlight w:val="none"/>
          <w:lang w:eastAsia="zh-CN"/>
        </w:rPr>
        <w:t>（</w:t>
      </w:r>
      <w:r>
        <w:rPr>
          <w:rFonts w:hint="eastAsia" w:ascii="仿宋" w:hAnsi="仿宋" w:eastAsia="仿宋" w:cs="仿宋"/>
          <w:b/>
          <w:color w:val="auto"/>
          <w:kern w:val="0"/>
          <w:sz w:val="28"/>
          <w:szCs w:val="28"/>
          <w:highlight w:val="none"/>
        </w:rPr>
        <w:t>合同模板仅供参考，中标人根据招投标文件拟定</w:t>
      </w:r>
      <w:r>
        <w:rPr>
          <w:rFonts w:hint="eastAsia" w:ascii="仿宋" w:hAnsi="仿宋" w:eastAsia="仿宋" w:cs="仿宋"/>
          <w:b/>
          <w:color w:val="auto"/>
          <w:kern w:val="0"/>
          <w:sz w:val="28"/>
          <w:szCs w:val="28"/>
          <w:highlight w:val="none"/>
          <w:lang w:eastAsia="zh-CN"/>
        </w:rPr>
        <w:t>）</w:t>
      </w:r>
    </w:p>
    <w:p w14:paraId="46E4094D">
      <w:pPr>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深圳市龙岗区第七人民医院2026-2027年度</w:t>
      </w:r>
    </w:p>
    <w:p w14:paraId="288F8067">
      <w:pPr>
        <w:jc w:val="center"/>
        <w:rPr>
          <w:rFonts w:hint="eastAsia" w:ascii="方正小标宋简体" w:hAnsi="方正小标宋简体" w:eastAsia="方正小标宋简体" w:cs="方正小标宋简体"/>
          <w:bCs/>
          <w:sz w:val="44"/>
          <w:szCs w:val="44"/>
          <w:lang w:val="en-US" w:eastAsia="zh-CN"/>
        </w:rPr>
      </w:pPr>
      <w:r>
        <w:rPr>
          <w:rFonts w:hint="eastAsia" w:ascii="方正小标宋简体" w:hAnsi="方正小标宋简体" w:eastAsia="方正小标宋简体" w:cs="方正小标宋简体"/>
          <w:bCs/>
          <w:sz w:val="44"/>
          <w:szCs w:val="44"/>
        </w:rPr>
        <w:t>五金耗材项目</w:t>
      </w:r>
      <w:r>
        <w:rPr>
          <w:rFonts w:hint="eastAsia" w:ascii="方正小标宋简体" w:hAnsi="方正小标宋简体" w:eastAsia="方正小标宋简体" w:cs="方正小标宋简体"/>
          <w:bCs/>
          <w:sz w:val="44"/>
          <w:szCs w:val="44"/>
          <w:lang w:val="en-US" w:eastAsia="zh-CN"/>
        </w:rPr>
        <w:t>合同</w:t>
      </w:r>
    </w:p>
    <w:p w14:paraId="53A531DA">
      <w:pPr>
        <w:spacing w:line="440" w:lineRule="exact"/>
        <w:ind w:firstLine="420" w:firstLineChars="200"/>
        <w:rPr>
          <w:rFonts w:hint="eastAsia" w:ascii="仿宋" w:hAnsi="仿宋" w:eastAsia="仿宋" w:cs="Times New Roman"/>
          <w:szCs w:val="21"/>
        </w:rPr>
      </w:pPr>
    </w:p>
    <w:p w14:paraId="415B276D">
      <w:pPr>
        <w:spacing w:line="400" w:lineRule="exact"/>
        <w:ind w:firstLine="480" w:firstLineChars="200"/>
        <w:rPr>
          <w:rFonts w:hint="eastAsia" w:ascii="仿宋" w:hAnsi="仿宋" w:eastAsia="仿宋" w:cs="仿宋"/>
          <w:sz w:val="24"/>
        </w:rPr>
      </w:pPr>
      <w:r>
        <w:rPr>
          <w:rFonts w:hint="eastAsia" w:ascii="仿宋" w:hAnsi="仿宋" w:eastAsia="仿宋" w:cs="仿宋"/>
          <w:sz w:val="24"/>
        </w:rPr>
        <w:t>项目名称：</w:t>
      </w:r>
      <w:r>
        <w:rPr>
          <w:rFonts w:hint="eastAsia" w:ascii="仿宋" w:hAnsi="仿宋" w:eastAsia="仿宋" w:cs="Times New Roman"/>
          <w:sz w:val="24"/>
          <w:lang w:val="zh-CN"/>
        </w:rPr>
        <w:t>采购深圳市龙岗区第七人民医院2026-2027年度五金耗材</w:t>
      </w:r>
      <w:r>
        <w:rPr>
          <w:rFonts w:hint="eastAsia" w:ascii="仿宋" w:hAnsi="仿宋" w:eastAsia="仿宋" w:cs="Times New Roman"/>
          <w:sz w:val="24"/>
        </w:rPr>
        <w:t>采</w:t>
      </w:r>
      <w:r>
        <w:rPr>
          <w:rFonts w:hint="eastAsia" w:ascii="仿宋" w:hAnsi="仿宋" w:eastAsia="仿宋" w:cs="仿宋"/>
          <w:sz w:val="24"/>
        </w:rPr>
        <w:t>购项目</w:t>
      </w:r>
    </w:p>
    <w:p w14:paraId="79D2BD37">
      <w:pPr>
        <w:spacing w:line="400" w:lineRule="exact"/>
        <w:ind w:firstLine="480" w:firstLineChars="200"/>
        <w:rPr>
          <w:rFonts w:hint="eastAsia" w:ascii="仿宋" w:hAnsi="仿宋" w:eastAsia="仿宋" w:cs="仿宋"/>
          <w:sz w:val="24"/>
          <w:u w:val="single"/>
        </w:rPr>
      </w:pPr>
      <w:r>
        <w:rPr>
          <w:rFonts w:hint="eastAsia" w:ascii="仿宋" w:hAnsi="仿宋" w:eastAsia="仿宋" w:cs="仿宋"/>
          <w:sz w:val="24"/>
        </w:rPr>
        <w:t>项目编号：</w:t>
      </w:r>
      <w:r>
        <w:rPr>
          <w:rFonts w:ascii="仿宋" w:hAnsi="仿宋" w:eastAsia="仿宋" w:cs="仿宋"/>
          <w:sz w:val="24"/>
        </w:rPr>
        <w:t xml:space="preserve"> </w:t>
      </w:r>
    </w:p>
    <w:p w14:paraId="10D47BDF">
      <w:pPr>
        <w:spacing w:line="400" w:lineRule="exact"/>
        <w:ind w:firstLine="480" w:firstLineChars="200"/>
        <w:rPr>
          <w:rFonts w:hint="eastAsia" w:ascii="仿宋" w:hAnsi="仿宋" w:eastAsia="仿宋" w:cs="仿宋"/>
          <w:sz w:val="24"/>
          <w:u w:val="single"/>
        </w:rPr>
      </w:pPr>
      <w:r>
        <w:rPr>
          <w:rFonts w:hint="eastAsia" w:ascii="仿宋" w:hAnsi="仿宋" w:eastAsia="仿宋" w:cs="仿宋"/>
          <w:sz w:val="24"/>
        </w:rPr>
        <w:t>项目类型：</w:t>
      </w:r>
      <w:r>
        <w:rPr>
          <w:rFonts w:hint="eastAsia" w:ascii="仿宋" w:hAnsi="仿宋" w:eastAsia="仿宋" w:cs="Times New Roman"/>
          <w:sz w:val="24"/>
          <w:lang w:val="en-US" w:eastAsia="zh-CN"/>
        </w:rPr>
        <w:t>货物</w:t>
      </w:r>
      <w:r>
        <w:rPr>
          <w:rFonts w:hint="eastAsia" w:ascii="仿宋" w:hAnsi="仿宋" w:eastAsia="仿宋" w:cs="Times New Roman"/>
          <w:sz w:val="24"/>
        </w:rPr>
        <w:t>类</w:t>
      </w:r>
    </w:p>
    <w:p w14:paraId="56BBFB69">
      <w:pPr>
        <w:spacing w:line="400" w:lineRule="exact"/>
        <w:ind w:firstLine="480" w:firstLineChars="200"/>
        <w:rPr>
          <w:rFonts w:hint="eastAsia" w:ascii="仿宋" w:hAnsi="仿宋" w:eastAsia="仿宋" w:cs="仿宋"/>
          <w:sz w:val="24"/>
        </w:rPr>
      </w:pPr>
      <w:r>
        <w:rPr>
          <w:rFonts w:hint="eastAsia" w:ascii="仿宋" w:hAnsi="仿宋" w:eastAsia="仿宋" w:cs="仿宋"/>
          <w:sz w:val="24"/>
        </w:rPr>
        <w:t>采购单位（甲方）：</w:t>
      </w:r>
      <w:r>
        <w:rPr>
          <w:rFonts w:hint="eastAsia" w:ascii="仿宋" w:hAnsi="仿宋" w:eastAsia="仿宋" w:cs="Times New Roman"/>
          <w:sz w:val="24"/>
        </w:rPr>
        <w:t>深圳市龙岗区第七人民医院</w:t>
      </w:r>
    </w:p>
    <w:p w14:paraId="6070DC2B">
      <w:pPr>
        <w:spacing w:line="400" w:lineRule="exact"/>
        <w:ind w:firstLine="480" w:firstLineChars="200"/>
        <w:rPr>
          <w:rFonts w:hint="eastAsia" w:ascii="仿宋" w:hAnsi="仿宋" w:eastAsia="仿宋" w:cs="宋体"/>
          <w:kern w:val="0"/>
          <w:sz w:val="24"/>
          <w:u w:val="single"/>
        </w:rPr>
      </w:pPr>
      <w:r>
        <w:rPr>
          <w:rFonts w:hint="eastAsia" w:ascii="仿宋" w:hAnsi="仿宋" w:eastAsia="仿宋" w:cs="仿宋"/>
          <w:sz w:val="24"/>
        </w:rPr>
        <w:t>供 应 商（乙方）：</w:t>
      </w:r>
    </w:p>
    <w:p w14:paraId="5E80B01C">
      <w:pPr>
        <w:spacing w:line="400" w:lineRule="exact"/>
        <w:ind w:firstLine="482"/>
        <w:rPr>
          <w:rFonts w:ascii="Verdana" w:hAnsi="Verdana" w:eastAsia="仿宋_GB2312" w:cs="Times New Roman"/>
          <w:b/>
          <w:bCs/>
          <w:kern w:val="0"/>
          <w:sz w:val="24"/>
        </w:rPr>
      </w:pPr>
    </w:p>
    <w:p w14:paraId="33412A1D">
      <w:pPr>
        <w:spacing w:line="400" w:lineRule="exact"/>
        <w:ind w:firstLine="480" w:firstLineChars="200"/>
        <w:rPr>
          <w:rFonts w:hint="eastAsia" w:ascii="仿宋" w:hAnsi="仿宋" w:eastAsia="仿宋" w:cs="仿宋_GB2312"/>
          <w:sz w:val="24"/>
        </w:rPr>
      </w:pPr>
      <w:r>
        <w:rPr>
          <w:rFonts w:hint="eastAsia" w:ascii="仿宋" w:hAnsi="仿宋" w:eastAsia="仿宋" w:cs="仿宋"/>
          <w:sz w:val="24"/>
        </w:rPr>
        <w:t>根据《中华人民共和国政府采购法》《中华人民共和国民法典》《深圳经济特区政府采购条例》《深圳经济特区政府采购条例实施细则》等法律法规的规定，甲乙双方按照</w:t>
      </w:r>
      <w:r>
        <w:rPr>
          <w:rFonts w:hint="eastAsia" w:ascii="仿宋" w:hAnsi="仿宋" w:eastAsia="仿宋" w:cs="仿宋"/>
          <w:sz w:val="24"/>
          <w:u w:val="single"/>
          <w:lang w:val="zh-CN"/>
        </w:rPr>
        <w:t>深圳市龙岗区第七人民医院2026-2027年度五金耗材</w:t>
      </w:r>
      <w:r>
        <w:rPr>
          <w:rFonts w:hint="eastAsia" w:ascii="仿宋" w:hAnsi="仿宋" w:eastAsia="仿宋" w:cs="仿宋"/>
          <w:sz w:val="24"/>
          <w:u w:val="single"/>
        </w:rPr>
        <w:t>采购项目</w:t>
      </w:r>
      <w:r>
        <w:rPr>
          <w:rFonts w:hint="eastAsia" w:ascii="仿宋" w:hAnsi="仿宋" w:eastAsia="仿宋" w:cs="仿宋"/>
          <w:sz w:val="24"/>
        </w:rPr>
        <w:t>的招标结果并经双方协商签订本合同。</w:t>
      </w:r>
    </w:p>
    <w:p w14:paraId="19E4391F">
      <w:pPr>
        <w:spacing w:line="40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第一条</w:t>
      </w:r>
      <w:r>
        <w:rPr>
          <w:rFonts w:hint="eastAsia" w:ascii="仿宋" w:hAnsi="仿宋" w:eastAsia="仿宋" w:cs="仿宋_GB2312"/>
          <w:b/>
          <w:bCs/>
          <w:sz w:val="24"/>
          <w:lang w:val="en-US" w:eastAsia="zh-CN"/>
        </w:rPr>
        <w:t xml:space="preserve"> </w:t>
      </w:r>
      <w:r>
        <w:rPr>
          <w:rFonts w:hint="eastAsia" w:ascii="仿宋" w:hAnsi="仿宋" w:eastAsia="仿宋" w:cs="仿宋_GB2312"/>
          <w:b/>
          <w:bCs/>
          <w:sz w:val="24"/>
        </w:rPr>
        <w:t xml:space="preserve"> 合同标的</w:t>
      </w:r>
    </w:p>
    <w:tbl>
      <w:tblPr>
        <w:tblStyle w:val="19"/>
        <w:tblpPr w:leftFromText="180" w:rightFromText="180" w:vertAnchor="text" w:horzAnchor="page" w:tblpX="1620" w:tblpY="930"/>
        <w:tblOverlap w:val="never"/>
        <w:tblW w:w="905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6"/>
        <w:gridCol w:w="1321"/>
        <w:gridCol w:w="2132"/>
        <w:gridCol w:w="2588"/>
        <w:gridCol w:w="786"/>
        <w:gridCol w:w="807"/>
        <w:gridCol w:w="807"/>
      </w:tblGrid>
      <w:tr w14:paraId="4A26D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trPr>
        <w:tc>
          <w:tcPr>
            <w:tcW w:w="61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214A8C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321" w:type="dxa"/>
            <w:tcBorders>
              <w:top w:val="single" w:color="000000" w:sz="8" w:space="0"/>
              <w:left w:val="nil"/>
              <w:bottom w:val="single" w:color="000000" w:sz="8" w:space="0"/>
              <w:right w:val="single" w:color="000000" w:sz="8" w:space="0"/>
            </w:tcBorders>
            <w:shd w:val="clear" w:color="auto" w:fill="auto"/>
            <w:vAlign w:val="center"/>
          </w:tcPr>
          <w:p w14:paraId="4070890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物品</w:t>
            </w:r>
            <w:r>
              <w:rPr>
                <w:rFonts w:hint="eastAsia" w:ascii="宋体" w:hAnsi="宋体" w:eastAsia="宋体" w:cs="宋体"/>
                <w:b/>
                <w:bCs/>
                <w:i w:val="0"/>
                <w:iCs w:val="0"/>
                <w:color w:val="000000"/>
                <w:kern w:val="0"/>
                <w:sz w:val="24"/>
                <w:szCs w:val="24"/>
                <w:u w:val="none"/>
                <w:lang w:val="en-US" w:eastAsia="zh-CN" w:bidi="ar"/>
              </w:rPr>
              <w:t>名称</w:t>
            </w:r>
          </w:p>
        </w:tc>
        <w:tc>
          <w:tcPr>
            <w:tcW w:w="2132" w:type="dxa"/>
            <w:tcBorders>
              <w:top w:val="single" w:color="000000" w:sz="8" w:space="0"/>
              <w:left w:val="nil"/>
              <w:bottom w:val="single" w:color="000000" w:sz="8" w:space="0"/>
              <w:right w:val="single" w:color="000000" w:sz="8" w:space="0"/>
            </w:tcBorders>
            <w:shd w:val="clear" w:color="auto" w:fill="auto"/>
            <w:vAlign w:val="center"/>
          </w:tcPr>
          <w:p w14:paraId="79ADA3B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成品规格</w:t>
            </w:r>
          </w:p>
        </w:tc>
        <w:tc>
          <w:tcPr>
            <w:tcW w:w="2588" w:type="dxa"/>
            <w:tcBorders>
              <w:top w:val="single" w:color="000000" w:sz="8" w:space="0"/>
              <w:left w:val="nil"/>
              <w:bottom w:val="single" w:color="000000" w:sz="8" w:space="0"/>
              <w:right w:val="single" w:color="000000" w:sz="8" w:space="0"/>
            </w:tcBorders>
            <w:shd w:val="clear" w:color="auto" w:fill="auto"/>
            <w:vAlign w:val="center"/>
          </w:tcPr>
          <w:p w14:paraId="3AB4591F">
            <w:pPr>
              <w:keepNext/>
              <w:keepLines w:val="0"/>
              <w:widowControl/>
              <w:suppressLineNumbers w:val="0"/>
              <w:snapToGrid w:val="0"/>
              <w:ind w:left="0" w:leftChars="0" w:right="0" w:rightChars="0" w:firstLine="0" w:firstLineChars="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质量要求</w:t>
            </w:r>
          </w:p>
        </w:tc>
        <w:tc>
          <w:tcPr>
            <w:tcW w:w="786" w:type="dxa"/>
            <w:tcBorders>
              <w:top w:val="single" w:color="000000" w:sz="8" w:space="0"/>
              <w:left w:val="nil"/>
              <w:bottom w:val="single" w:color="000000" w:sz="8" w:space="0"/>
              <w:right w:val="single" w:color="000000" w:sz="8" w:space="0"/>
            </w:tcBorders>
            <w:shd w:val="clear" w:color="auto" w:fill="auto"/>
            <w:vAlign w:val="center"/>
          </w:tcPr>
          <w:p w14:paraId="120E657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807" w:type="dxa"/>
            <w:tcBorders>
              <w:top w:val="single" w:color="000000" w:sz="8" w:space="0"/>
              <w:left w:val="nil"/>
              <w:bottom w:val="single" w:color="000000" w:sz="8" w:space="0"/>
              <w:right w:val="single" w:color="000000" w:sz="8" w:space="0"/>
            </w:tcBorders>
            <w:shd w:val="clear" w:color="auto" w:fill="auto"/>
            <w:vAlign w:val="center"/>
          </w:tcPr>
          <w:p w14:paraId="0F0F2BB4">
            <w:pPr>
              <w:keepNext/>
              <w:keepLines w:val="0"/>
              <w:widowControl/>
              <w:suppressLineNumbers w:val="0"/>
              <w:snapToGrid w:val="0"/>
              <w:ind w:left="0" w:leftChars="0" w:right="0" w:rightChars="0" w:firstLine="0" w:firstLineChars="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数量</w:t>
            </w:r>
          </w:p>
        </w:tc>
        <w:tc>
          <w:tcPr>
            <w:tcW w:w="807" w:type="dxa"/>
            <w:tcBorders>
              <w:top w:val="single" w:color="000000" w:sz="8" w:space="0"/>
              <w:left w:val="nil"/>
              <w:bottom w:val="single" w:color="000000" w:sz="8" w:space="0"/>
              <w:right w:val="single" w:color="000000" w:sz="8" w:space="0"/>
            </w:tcBorders>
            <w:shd w:val="clear" w:color="auto" w:fill="auto"/>
            <w:vAlign w:val="center"/>
          </w:tcPr>
          <w:p w14:paraId="00CCF6F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投标价</w:t>
            </w:r>
          </w:p>
          <w:p w14:paraId="0D66648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(元)</w:t>
            </w:r>
          </w:p>
        </w:tc>
      </w:tr>
      <w:tr w14:paraId="26A6A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16" w:type="dxa"/>
            <w:tcBorders>
              <w:top w:val="nil"/>
              <w:left w:val="single" w:color="000000" w:sz="8" w:space="0"/>
              <w:bottom w:val="single" w:color="000000" w:sz="8" w:space="0"/>
              <w:right w:val="single" w:color="000000" w:sz="8" w:space="0"/>
            </w:tcBorders>
            <w:shd w:val="clear" w:color="auto" w:fill="auto"/>
            <w:noWrap/>
            <w:vAlign w:val="center"/>
          </w:tcPr>
          <w:p w14:paraId="035725E1">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321" w:type="dxa"/>
            <w:tcBorders>
              <w:top w:val="nil"/>
              <w:left w:val="nil"/>
              <w:bottom w:val="single" w:color="000000" w:sz="8" w:space="0"/>
              <w:right w:val="single" w:color="000000" w:sz="8" w:space="0"/>
            </w:tcBorders>
            <w:shd w:val="clear" w:color="auto" w:fill="auto"/>
            <w:vAlign w:val="center"/>
          </w:tcPr>
          <w:p w14:paraId="627AD79C">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2132" w:type="dxa"/>
            <w:tcBorders>
              <w:top w:val="nil"/>
              <w:left w:val="nil"/>
              <w:bottom w:val="single" w:color="000000" w:sz="8" w:space="0"/>
              <w:right w:val="single" w:color="000000" w:sz="8" w:space="0"/>
            </w:tcBorders>
            <w:shd w:val="clear" w:color="auto" w:fill="auto"/>
            <w:vAlign w:val="center"/>
          </w:tcPr>
          <w:p w14:paraId="69F4724B">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2588" w:type="dxa"/>
            <w:tcBorders>
              <w:top w:val="nil"/>
              <w:left w:val="nil"/>
              <w:bottom w:val="single" w:color="000000" w:sz="8" w:space="0"/>
              <w:right w:val="single" w:color="000000" w:sz="8" w:space="0"/>
            </w:tcBorders>
            <w:shd w:val="clear" w:color="auto" w:fill="auto"/>
            <w:noWrap/>
            <w:vAlign w:val="center"/>
          </w:tcPr>
          <w:p w14:paraId="6DC9D924">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786" w:type="dxa"/>
            <w:tcBorders>
              <w:top w:val="nil"/>
              <w:left w:val="nil"/>
              <w:bottom w:val="single" w:color="000000" w:sz="8" w:space="0"/>
              <w:right w:val="single" w:color="000000" w:sz="8" w:space="0"/>
            </w:tcBorders>
            <w:shd w:val="clear" w:color="auto" w:fill="auto"/>
            <w:noWrap/>
            <w:vAlign w:val="center"/>
          </w:tcPr>
          <w:p w14:paraId="6BDBA25C">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807" w:type="dxa"/>
            <w:tcBorders>
              <w:top w:val="nil"/>
              <w:left w:val="nil"/>
              <w:bottom w:val="single" w:color="000000" w:sz="8" w:space="0"/>
              <w:right w:val="single" w:color="000000" w:sz="8" w:space="0"/>
            </w:tcBorders>
            <w:shd w:val="clear" w:color="auto" w:fill="auto"/>
            <w:noWrap/>
            <w:vAlign w:val="center"/>
          </w:tcPr>
          <w:p w14:paraId="0D38729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07" w:type="dxa"/>
            <w:tcBorders>
              <w:top w:val="nil"/>
              <w:left w:val="nil"/>
              <w:bottom w:val="single" w:color="000000" w:sz="8" w:space="0"/>
              <w:right w:val="single" w:color="000000" w:sz="8" w:space="0"/>
            </w:tcBorders>
            <w:shd w:val="clear" w:color="auto" w:fill="auto"/>
            <w:noWrap/>
            <w:vAlign w:val="center"/>
          </w:tcPr>
          <w:p w14:paraId="6FE4C1C5">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r>
      <w:tr w14:paraId="03230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16" w:type="dxa"/>
            <w:tcBorders>
              <w:top w:val="nil"/>
              <w:left w:val="single" w:color="000000" w:sz="8" w:space="0"/>
              <w:bottom w:val="single" w:color="000000" w:sz="8" w:space="0"/>
              <w:right w:val="single" w:color="000000" w:sz="8" w:space="0"/>
            </w:tcBorders>
            <w:shd w:val="clear" w:color="auto" w:fill="auto"/>
            <w:noWrap/>
            <w:vAlign w:val="center"/>
          </w:tcPr>
          <w:p w14:paraId="17D17BDB">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321" w:type="dxa"/>
            <w:tcBorders>
              <w:top w:val="nil"/>
              <w:left w:val="nil"/>
              <w:bottom w:val="single" w:color="000000" w:sz="8" w:space="0"/>
              <w:right w:val="single" w:color="000000" w:sz="8" w:space="0"/>
            </w:tcBorders>
            <w:shd w:val="clear" w:color="auto" w:fill="auto"/>
            <w:vAlign w:val="center"/>
          </w:tcPr>
          <w:p w14:paraId="4DF60949">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2132" w:type="dxa"/>
            <w:tcBorders>
              <w:top w:val="nil"/>
              <w:left w:val="nil"/>
              <w:bottom w:val="single" w:color="000000" w:sz="8" w:space="0"/>
              <w:right w:val="single" w:color="000000" w:sz="8" w:space="0"/>
            </w:tcBorders>
            <w:shd w:val="clear" w:color="auto" w:fill="auto"/>
            <w:vAlign w:val="center"/>
          </w:tcPr>
          <w:p w14:paraId="0D7C544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2588" w:type="dxa"/>
            <w:tcBorders>
              <w:top w:val="nil"/>
              <w:left w:val="nil"/>
              <w:bottom w:val="single" w:color="000000" w:sz="8" w:space="0"/>
              <w:right w:val="single" w:color="000000" w:sz="8" w:space="0"/>
            </w:tcBorders>
            <w:shd w:val="clear" w:color="auto" w:fill="auto"/>
            <w:noWrap/>
            <w:vAlign w:val="center"/>
          </w:tcPr>
          <w:p w14:paraId="4BD18055">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786" w:type="dxa"/>
            <w:tcBorders>
              <w:top w:val="nil"/>
              <w:left w:val="nil"/>
              <w:bottom w:val="single" w:color="000000" w:sz="8" w:space="0"/>
              <w:right w:val="single" w:color="000000" w:sz="8" w:space="0"/>
            </w:tcBorders>
            <w:shd w:val="clear" w:color="auto" w:fill="auto"/>
            <w:noWrap/>
            <w:vAlign w:val="center"/>
          </w:tcPr>
          <w:p w14:paraId="0C1B3505">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807" w:type="dxa"/>
            <w:tcBorders>
              <w:top w:val="nil"/>
              <w:left w:val="nil"/>
              <w:bottom w:val="single" w:color="000000" w:sz="8" w:space="0"/>
              <w:right w:val="single" w:color="000000" w:sz="8" w:space="0"/>
            </w:tcBorders>
            <w:shd w:val="clear" w:color="auto" w:fill="auto"/>
            <w:noWrap/>
            <w:vAlign w:val="center"/>
          </w:tcPr>
          <w:p w14:paraId="5FB0A16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07" w:type="dxa"/>
            <w:tcBorders>
              <w:top w:val="nil"/>
              <w:left w:val="nil"/>
              <w:bottom w:val="single" w:color="000000" w:sz="8" w:space="0"/>
              <w:right w:val="single" w:color="000000" w:sz="8" w:space="0"/>
            </w:tcBorders>
            <w:shd w:val="clear" w:color="auto" w:fill="auto"/>
            <w:noWrap/>
            <w:vAlign w:val="center"/>
          </w:tcPr>
          <w:p w14:paraId="06FC309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r>
    </w:tbl>
    <w:p w14:paraId="2A1977B3">
      <w:pPr>
        <w:tabs>
          <w:tab w:val="left" w:pos="7400"/>
        </w:tabs>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根据采购人要求，将对应物资分别于</w:t>
      </w:r>
      <w:r>
        <w:rPr>
          <w:rFonts w:hint="eastAsia" w:ascii="仿宋" w:hAnsi="仿宋" w:eastAsia="仿宋" w:cs="仿宋_GB2312"/>
          <w:sz w:val="24"/>
          <w:lang w:val="en-US" w:eastAsia="zh-CN"/>
        </w:rPr>
        <w:t xml:space="preserve">  </w:t>
      </w:r>
      <w:r>
        <w:rPr>
          <w:rFonts w:hint="eastAsia" w:ascii="仿宋" w:hAnsi="仿宋" w:eastAsia="仿宋" w:cs="仿宋_GB2312"/>
          <w:sz w:val="24"/>
        </w:rPr>
        <w:t>月</w:t>
      </w:r>
      <w:r>
        <w:rPr>
          <w:rFonts w:hint="eastAsia" w:ascii="仿宋" w:hAnsi="仿宋" w:eastAsia="仿宋" w:cs="仿宋_GB2312"/>
          <w:sz w:val="24"/>
          <w:lang w:val="en-US" w:eastAsia="zh-CN"/>
        </w:rPr>
        <w:t xml:space="preserve">  </w:t>
      </w:r>
      <w:r>
        <w:rPr>
          <w:rFonts w:hint="eastAsia" w:ascii="仿宋" w:hAnsi="仿宋" w:eastAsia="仿宋" w:cs="仿宋_GB2312"/>
          <w:sz w:val="24"/>
        </w:rPr>
        <w:t>日和</w:t>
      </w:r>
      <w:r>
        <w:rPr>
          <w:rFonts w:hint="eastAsia" w:ascii="仿宋" w:hAnsi="仿宋" w:eastAsia="仿宋" w:cs="仿宋_GB2312"/>
          <w:sz w:val="24"/>
          <w:lang w:val="en-US" w:eastAsia="zh-CN"/>
        </w:rPr>
        <w:t xml:space="preserve">  </w:t>
      </w:r>
      <w:r>
        <w:rPr>
          <w:rFonts w:hint="eastAsia" w:ascii="仿宋" w:hAnsi="仿宋" w:eastAsia="仿宋" w:cs="仿宋_GB2312"/>
          <w:sz w:val="24"/>
        </w:rPr>
        <w:t>月</w:t>
      </w:r>
      <w:r>
        <w:rPr>
          <w:rFonts w:hint="eastAsia" w:ascii="仿宋" w:hAnsi="仿宋" w:eastAsia="仿宋" w:cs="仿宋_GB2312"/>
          <w:sz w:val="24"/>
          <w:lang w:val="en-US" w:eastAsia="zh-CN"/>
        </w:rPr>
        <w:t xml:space="preserve">  </w:t>
      </w:r>
      <w:r>
        <w:rPr>
          <w:rFonts w:hint="eastAsia" w:ascii="仿宋" w:hAnsi="仿宋" w:eastAsia="仿宋" w:cs="仿宋_GB2312"/>
          <w:sz w:val="24"/>
        </w:rPr>
        <w:t>日送至指定地点。</w:t>
      </w:r>
    </w:p>
    <w:p w14:paraId="1590AE39">
      <w:pPr>
        <w:tabs>
          <w:tab w:val="left" w:pos="7400"/>
        </w:tabs>
        <w:spacing w:line="40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第二条  服务费用</w:t>
      </w:r>
      <w:r>
        <w:rPr>
          <w:rFonts w:hint="eastAsia" w:ascii="仿宋" w:hAnsi="仿宋" w:eastAsia="仿宋" w:cs="仿宋_GB2312"/>
          <w:b/>
          <w:bCs/>
          <w:sz w:val="24"/>
        </w:rPr>
        <w:tab/>
      </w:r>
    </w:p>
    <w:p w14:paraId="75918E65">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本合同价款：合同总价为人民币</w:t>
      </w:r>
      <w:r>
        <w:rPr>
          <w:rFonts w:hint="eastAsia" w:ascii="仿宋" w:hAnsi="仿宋" w:eastAsia="仿宋" w:cs="仿宋_GB2312"/>
          <w:sz w:val="24"/>
          <w:u w:val="single"/>
        </w:rPr>
        <w:t xml:space="preserve"> </w:t>
      </w:r>
      <w:r>
        <w:rPr>
          <w:rFonts w:ascii="仿宋" w:hAnsi="仿宋" w:eastAsia="仿宋" w:cs="仿宋_GB2312"/>
          <w:sz w:val="24"/>
          <w:u w:val="single"/>
        </w:rPr>
        <w:t xml:space="preserve">   </w:t>
      </w:r>
      <w:r>
        <w:rPr>
          <w:rFonts w:hint="eastAsia" w:ascii="仿宋" w:hAnsi="仿宋" w:eastAsia="仿宋" w:cs="仿宋_GB2312"/>
          <w:sz w:val="24"/>
          <w:u w:val="single"/>
        </w:rPr>
        <w:t>元整</w:t>
      </w:r>
      <w:r>
        <w:rPr>
          <w:rFonts w:hint="eastAsia" w:ascii="仿宋" w:hAnsi="仿宋" w:eastAsia="仿宋" w:cs="仿宋"/>
          <w:sz w:val="24"/>
          <w:u w:val="single"/>
        </w:rPr>
        <w:t>（￥</w:t>
      </w:r>
      <w:r>
        <w:rPr>
          <w:rFonts w:ascii="仿宋" w:hAnsi="仿宋" w:eastAsia="仿宋" w:cs="宋体"/>
          <w:b/>
          <w:sz w:val="24"/>
          <w:u w:val="single"/>
        </w:rPr>
        <w:t xml:space="preserve">    </w:t>
      </w:r>
      <w:r>
        <w:rPr>
          <w:rFonts w:hint="eastAsia" w:ascii="仿宋" w:hAnsi="仿宋" w:eastAsia="仿宋" w:cs="宋体"/>
          <w:b/>
          <w:sz w:val="24"/>
          <w:u w:val="single"/>
        </w:rPr>
        <w:t>元</w:t>
      </w:r>
      <w:r>
        <w:rPr>
          <w:rFonts w:hint="eastAsia" w:ascii="仿宋" w:hAnsi="仿宋" w:eastAsia="仿宋" w:cs="仿宋"/>
          <w:sz w:val="24"/>
        </w:rPr>
        <w:t>）</w:t>
      </w:r>
      <w:r>
        <w:rPr>
          <w:rFonts w:hint="eastAsia" w:ascii="仿宋" w:hAnsi="仿宋" w:eastAsia="仿宋" w:cs="仿宋_GB2312"/>
          <w:sz w:val="24"/>
        </w:rPr>
        <w:t>。</w:t>
      </w:r>
    </w:p>
    <w:p w14:paraId="7E8E5D08">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本报价为全包价，包含现</w:t>
      </w:r>
      <w:r>
        <w:rPr>
          <w:rFonts w:hint="eastAsia" w:ascii="仿宋" w:hAnsi="仿宋" w:eastAsia="仿宋" w:cs="仿宋_GB2312"/>
          <w:sz w:val="24"/>
          <w:lang w:val="en-US" w:eastAsia="zh-CN"/>
        </w:rPr>
        <w:t>人工费</w:t>
      </w:r>
      <w:r>
        <w:rPr>
          <w:rFonts w:hint="eastAsia" w:ascii="仿宋" w:hAnsi="仿宋" w:eastAsia="仿宋" w:cs="仿宋_GB2312"/>
          <w:sz w:val="24"/>
        </w:rPr>
        <w:t>、</w:t>
      </w:r>
      <w:r>
        <w:rPr>
          <w:rFonts w:hint="eastAsia" w:ascii="仿宋" w:hAnsi="仿宋" w:eastAsia="仿宋" w:cs="仿宋_GB2312"/>
          <w:sz w:val="24"/>
          <w:lang w:val="en-US" w:eastAsia="zh-CN"/>
        </w:rPr>
        <w:t>交通费、</w:t>
      </w:r>
      <w:r>
        <w:rPr>
          <w:rFonts w:hint="eastAsia" w:ascii="仿宋" w:hAnsi="仿宋" w:eastAsia="仿宋" w:cs="仿宋_GB2312"/>
          <w:sz w:val="24"/>
        </w:rPr>
        <w:t>税费等完成本项目全部工作的所有费用，甲方无需额外支付其他任何费用。合同总价包干，不因人员、材料、市场价格变动等任何因素调整。</w:t>
      </w:r>
    </w:p>
    <w:p w14:paraId="5EF48D59">
      <w:pPr>
        <w:spacing w:line="40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第三条  付款方式</w:t>
      </w:r>
    </w:p>
    <w:p w14:paraId="7B92D3EB">
      <w:pPr>
        <w:spacing w:line="400" w:lineRule="exact"/>
        <w:ind w:firstLine="480"/>
        <w:rPr>
          <w:rFonts w:hint="eastAsia" w:ascii="仿宋" w:hAnsi="仿宋" w:eastAsia="仿宋" w:cs="仿宋_GB2312"/>
          <w:sz w:val="24"/>
        </w:rPr>
      </w:pPr>
      <w:r>
        <w:rPr>
          <w:rFonts w:hint="eastAsia" w:ascii="仿宋" w:hAnsi="仿宋" w:eastAsia="仿宋" w:cs="仿宋_GB2312"/>
          <w:sz w:val="24"/>
        </w:rPr>
        <w:t>1</w:t>
      </w:r>
      <w:r>
        <w:rPr>
          <w:rFonts w:ascii="仿宋" w:hAnsi="仿宋" w:eastAsia="仿宋" w:cs="仿宋_GB2312"/>
          <w:sz w:val="24"/>
        </w:rPr>
        <w:t>.</w:t>
      </w:r>
      <w:r>
        <w:rPr>
          <w:rFonts w:hint="eastAsia" w:ascii="仿宋" w:hAnsi="仿宋" w:eastAsia="仿宋" w:cs="仿宋_GB2312"/>
          <w:sz w:val="24"/>
        </w:rPr>
        <w:t>付款方式：一次性结算付款。</w:t>
      </w:r>
    </w:p>
    <w:p w14:paraId="1809500F">
      <w:pPr>
        <w:spacing w:line="400" w:lineRule="exact"/>
        <w:ind w:firstLine="480"/>
        <w:rPr>
          <w:rFonts w:hint="eastAsia" w:ascii="仿宋" w:hAnsi="仿宋" w:eastAsia="仿宋" w:cs="仿宋_GB2312"/>
          <w:sz w:val="24"/>
        </w:rPr>
      </w:pPr>
      <w:r>
        <w:rPr>
          <w:rFonts w:hint="eastAsia" w:ascii="仿宋" w:hAnsi="仿宋" w:eastAsia="仿宋" w:cs="仿宋_GB2312"/>
          <w:sz w:val="24"/>
        </w:rPr>
        <w:t>2.付款条件：乙方完成全部</w:t>
      </w:r>
      <w:r>
        <w:rPr>
          <w:rFonts w:hint="eastAsia" w:ascii="仿宋" w:hAnsi="仿宋" w:eastAsia="仿宋" w:cs="仿宋_GB2312"/>
          <w:sz w:val="24"/>
          <w:lang w:val="en-US" w:eastAsia="zh-CN"/>
        </w:rPr>
        <w:t>供货后</w:t>
      </w:r>
      <w:r>
        <w:rPr>
          <w:rFonts w:hint="eastAsia" w:ascii="仿宋" w:hAnsi="仿宋" w:eastAsia="仿宋" w:cs="仿宋_GB2312"/>
          <w:sz w:val="24"/>
        </w:rPr>
        <w:t>，经甲方验收合格后，乙方向甲方开具合法、合规、有效的全额增值税发票。</w:t>
      </w:r>
    </w:p>
    <w:p w14:paraId="5EB151DA">
      <w:pPr>
        <w:spacing w:line="400" w:lineRule="exact"/>
        <w:ind w:firstLine="480"/>
        <w:rPr>
          <w:rFonts w:hint="eastAsia" w:ascii="仿宋" w:hAnsi="仿宋" w:eastAsia="仿宋" w:cs="仿宋_GB2312"/>
          <w:sz w:val="24"/>
        </w:rPr>
      </w:pPr>
      <w:r>
        <w:rPr>
          <w:rFonts w:hint="eastAsia" w:ascii="仿宋" w:hAnsi="仿宋" w:eastAsia="仿宋" w:cs="仿宋_GB2312"/>
          <w:sz w:val="24"/>
          <w:lang w:val="en-US" w:eastAsia="zh-CN"/>
        </w:rPr>
        <w:t>3</w:t>
      </w:r>
      <w:r>
        <w:rPr>
          <w:rFonts w:hint="eastAsia" w:ascii="仿宋" w:hAnsi="仿宋" w:eastAsia="仿宋" w:cs="仿宋_GB2312"/>
          <w:sz w:val="24"/>
        </w:rPr>
        <w:t>.费用支付：</w:t>
      </w:r>
    </w:p>
    <w:p w14:paraId="0A3BFED3">
      <w:pPr>
        <w:spacing w:line="400" w:lineRule="exact"/>
        <w:ind w:firstLine="480"/>
        <w:rPr>
          <w:rFonts w:hint="eastAsia" w:ascii="仿宋" w:hAnsi="仿宋" w:eastAsia="仿宋" w:cs="仿宋_GB2312"/>
          <w:sz w:val="24"/>
        </w:rPr>
      </w:pPr>
      <w:r>
        <w:rPr>
          <w:rFonts w:hint="eastAsia" w:ascii="仿宋" w:hAnsi="仿宋" w:eastAsia="仿宋" w:cs="仿宋_GB2312"/>
          <w:sz w:val="24"/>
        </w:rPr>
        <w:t>甲方在完成审核并收到发票后，以非现金（支票/转账)结算方式支付乙方服务费。甲方无故逾期支付，应就逾期部分按日支付万分之三的违约金，违约金总额累计不超过应付款项的</w:t>
      </w:r>
      <w:r>
        <w:rPr>
          <w:rFonts w:hint="eastAsia" w:ascii="仿宋" w:hAnsi="仿宋" w:eastAsia="仿宋" w:cs="仿宋_GB2312"/>
          <w:sz w:val="24"/>
          <w:u w:val="single"/>
          <w:lang w:val="en-US" w:eastAsia="zh-CN"/>
        </w:rPr>
        <w:t xml:space="preserve">   </w:t>
      </w:r>
      <w:r>
        <w:rPr>
          <w:rFonts w:hint="eastAsia" w:ascii="仿宋" w:hAnsi="仿宋" w:eastAsia="仿宋" w:cs="仿宋_GB2312"/>
          <w:sz w:val="24"/>
        </w:rPr>
        <w:t>%。</w:t>
      </w:r>
    </w:p>
    <w:p w14:paraId="79853EBA">
      <w:pPr>
        <w:spacing w:line="400" w:lineRule="exact"/>
        <w:ind w:firstLine="480"/>
        <w:rPr>
          <w:rFonts w:hint="eastAsia" w:ascii="仿宋" w:hAnsi="仿宋" w:eastAsia="仿宋" w:cs="仿宋_GB2312"/>
          <w:sz w:val="24"/>
        </w:rPr>
      </w:pPr>
      <w:r>
        <w:rPr>
          <w:rFonts w:hint="eastAsia" w:ascii="仿宋" w:hAnsi="仿宋" w:eastAsia="仿宋" w:cs="仿宋_GB2312"/>
          <w:sz w:val="24"/>
        </w:rPr>
        <w:t>5.乙方应在甲方付款前开具合法有效的增值税普通发票，甲方收到乙方发票后</w:t>
      </w:r>
      <w:r>
        <w:rPr>
          <w:rFonts w:hint="eastAsia" w:ascii="仿宋" w:hAnsi="仿宋" w:eastAsia="仿宋" w:cs="仿宋_GB2312"/>
          <w:sz w:val="24"/>
          <w:lang w:val="en-US" w:eastAsia="zh-CN"/>
        </w:rPr>
        <w:t>10个工作日内</w:t>
      </w:r>
      <w:r>
        <w:rPr>
          <w:rFonts w:hint="eastAsia" w:ascii="仿宋" w:hAnsi="仿宋" w:eastAsia="仿宋" w:cs="仿宋"/>
          <w:sz w:val="24"/>
        </w:rPr>
        <w:t>以转账方式付款</w:t>
      </w:r>
      <w:r>
        <w:rPr>
          <w:rFonts w:hint="eastAsia" w:ascii="仿宋" w:hAnsi="仿宋" w:eastAsia="仿宋" w:cs="仿宋_GB2312"/>
          <w:sz w:val="24"/>
        </w:rPr>
        <w:t>。若由于乙方逾期未提供合法有效的增值税发票或者提供结算票据不齐全，甲方有权拒绝付款，直至票据及结算票据齐全、合法，且不视为甲方违约。</w:t>
      </w:r>
    </w:p>
    <w:p w14:paraId="2F2E03B3">
      <w:pPr>
        <w:pStyle w:val="6"/>
        <w:rPr>
          <w:rFonts w:hint="eastAsia" w:ascii="仿宋" w:hAnsi="仿宋" w:eastAsia="仿宋" w:cs="仿宋_GB2312"/>
          <w:sz w:val="24"/>
          <w:lang w:val="en-US" w:eastAsia="zh-CN"/>
        </w:rPr>
      </w:pPr>
      <w:r>
        <w:rPr>
          <w:rFonts w:hint="eastAsia" w:ascii="仿宋" w:hAnsi="仿宋" w:eastAsia="仿宋" w:cs="仿宋_GB2312"/>
          <w:sz w:val="24"/>
          <w:lang w:val="en-US" w:eastAsia="zh-CN"/>
        </w:rPr>
        <w:t>6.乙方需提供合法合规发票，如提供的发票被税务部门稽查认定为不合规发票，所有责任由乙方承担，乙方应当重新提供合法合规的发票，并按合同票面值支付20%的违约金。</w:t>
      </w:r>
    </w:p>
    <w:p w14:paraId="28E06BC6">
      <w:pPr>
        <w:pStyle w:val="6"/>
        <w:rPr>
          <w:rFonts w:hint="default" w:eastAsia="仿宋"/>
          <w:lang w:val="en-US" w:eastAsia="zh-CN"/>
        </w:rPr>
      </w:pPr>
      <w:r>
        <w:rPr>
          <w:rFonts w:hint="eastAsia" w:ascii="仿宋" w:hAnsi="仿宋" w:eastAsia="仿宋" w:cs="仿宋_GB2312"/>
          <w:sz w:val="24"/>
          <w:lang w:val="en-US" w:eastAsia="zh-CN"/>
        </w:rPr>
        <w:t>7.双方支付金额上限以合同约定为准，超过合同约定金额的，乙方应及时终止提供服务，超过合同金额继续提供服务的，乙方应当向甲方支付超过部分价值20%的违约金；未达到合同约定金额的据实结算，双方另有约定除外。</w:t>
      </w:r>
    </w:p>
    <w:p w14:paraId="2B523F4D">
      <w:pPr>
        <w:spacing w:line="360" w:lineRule="exact"/>
        <w:ind w:firstLine="480" w:firstLineChars="200"/>
        <w:rPr>
          <w:rFonts w:hint="eastAsia" w:ascii="仿宋" w:hAnsi="仿宋" w:eastAsia="仿宋" w:cs="仿宋"/>
          <w:sz w:val="24"/>
        </w:rPr>
      </w:pPr>
      <w:r>
        <w:rPr>
          <w:rFonts w:hint="eastAsia" w:ascii="仿宋" w:hAnsi="仿宋" w:eastAsia="仿宋" w:cs="仿宋_GB2312"/>
          <w:sz w:val="24"/>
          <w:lang w:val="en-US" w:eastAsia="zh-CN"/>
        </w:rPr>
        <w:t>8</w:t>
      </w:r>
      <w:r>
        <w:rPr>
          <w:rFonts w:hint="eastAsia" w:ascii="仿宋" w:hAnsi="仿宋" w:eastAsia="仿宋" w:cs="仿宋_GB2312"/>
          <w:sz w:val="24"/>
        </w:rPr>
        <w:t>.</w:t>
      </w:r>
      <w:r>
        <w:rPr>
          <w:rFonts w:hint="eastAsia" w:ascii="仿宋" w:hAnsi="仿宋" w:eastAsia="仿宋" w:cs="仿宋"/>
          <w:sz w:val="24"/>
        </w:rPr>
        <w:t>乙方银行账户信息如下：</w:t>
      </w:r>
    </w:p>
    <w:p w14:paraId="7E900DB7">
      <w:pPr>
        <w:spacing w:line="420" w:lineRule="exact"/>
        <w:ind w:firstLine="480" w:firstLineChars="200"/>
        <w:rPr>
          <w:rFonts w:hint="eastAsia" w:ascii="仿宋" w:hAnsi="仿宋" w:eastAsia="仿宋" w:cs="仿宋"/>
          <w:sz w:val="24"/>
        </w:rPr>
      </w:pPr>
      <w:r>
        <w:rPr>
          <w:rFonts w:hint="eastAsia" w:ascii="仿宋" w:hAnsi="仿宋" w:eastAsia="仿宋" w:cs="仿宋"/>
          <w:sz w:val="24"/>
        </w:rPr>
        <w:t xml:space="preserve">账户名称： </w:t>
      </w:r>
    </w:p>
    <w:p w14:paraId="16092E48">
      <w:pPr>
        <w:spacing w:line="420" w:lineRule="exact"/>
        <w:ind w:firstLine="480" w:firstLineChars="200"/>
        <w:rPr>
          <w:rFonts w:hint="eastAsia" w:ascii="仿宋" w:hAnsi="仿宋" w:eastAsia="仿宋" w:cs="仿宋"/>
          <w:sz w:val="24"/>
        </w:rPr>
      </w:pPr>
      <w:r>
        <w:rPr>
          <w:rFonts w:hint="eastAsia" w:ascii="仿宋" w:hAnsi="仿宋" w:eastAsia="仿宋" w:cs="仿宋"/>
          <w:sz w:val="24"/>
        </w:rPr>
        <w:t xml:space="preserve">开户行： </w:t>
      </w:r>
    </w:p>
    <w:p w14:paraId="3736BB8A">
      <w:pPr>
        <w:spacing w:line="420" w:lineRule="exact"/>
        <w:ind w:firstLine="480" w:firstLineChars="200"/>
        <w:rPr>
          <w:rFonts w:hint="eastAsia" w:ascii="仿宋" w:hAnsi="仿宋" w:eastAsia="仿宋" w:cs="仿宋"/>
          <w:sz w:val="24"/>
        </w:rPr>
      </w:pPr>
      <w:r>
        <w:rPr>
          <w:rFonts w:hint="eastAsia" w:ascii="仿宋" w:hAnsi="仿宋" w:eastAsia="仿宋" w:cs="仿宋"/>
          <w:sz w:val="24"/>
        </w:rPr>
        <w:t>账  号：</w:t>
      </w:r>
    </w:p>
    <w:p w14:paraId="4DDE1C7A">
      <w:pPr>
        <w:spacing w:line="400" w:lineRule="exact"/>
        <w:ind w:firstLine="480"/>
        <w:rPr>
          <w:rFonts w:hint="eastAsia" w:ascii="仿宋" w:hAnsi="仿宋" w:eastAsia="仿宋" w:cs="仿宋"/>
          <w:sz w:val="24"/>
        </w:rPr>
      </w:pPr>
      <w:r>
        <w:rPr>
          <w:rFonts w:hint="eastAsia" w:ascii="仿宋" w:hAnsi="仿宋" w:eastAsia="仿宋" w:cs="仿宋"/>
          <w:sz w:val="24"/>
        </w:rPr>
        <w:t>纳税人识别号：</w:t>
      </w:r>
    </w:p>
    <w:p w14:paraId="35493FC5">
      <w:pPr>
        <w:spacing w:line="400" w:lineRule="exact"/>
        <w:ind w:firstLine="480"/>
        <w:rPr>
          <w:rFonts w:hint="eastAsia" w:ascii="仿宋" w:hAnsi="仿宋" w:eastAsia="仿宋" w:cs="仿宋_GB2312"/>
          <w:sz w:val="24"/>
        </w:rPr>
      </w:pPr>
      <w:r>
        <w:rPr>
          <w:rFonts w:hint="eastAsia" w:ascii="仿宋" w:hAnsi="仿宋" w:eastAsia="仿宋" w:cs="仿宋"/>
          <w:sz w:val="24"/>
          <w:lang w:val="en-US" w:eastAsia="zh-CN"/>
        </w:rPr>
        <w:t>9</w:t>
      </w:r>
      <w:r>
        <w:rPr>
          <w:rFonts w:hint="eastAsia" w:ascii="仿宋" w:hAnsi="仿宋" w:eastAsia="仿宋" w:cs="仿宋"/>
          <w:sz w:val="24"/>
        </w:rPr>
        <w:t>.</w:t>
      </w:r>
      <w:r>
        <w:rPr>
          <w:rFonts w:hint="eastAsia" w:ascii="仿宋" w:hAnsi="仿宋" w:eastAsia="仿宋" w:cs="仿宋_GB2312"/>
          <w:sz w:val="24"/>
        </w:rPr>
        <w:t>乙方应向甲方提供真实有效的银行账户，银行账户如有变更，应立即书面通知甲方，如乙方银行账户变更未书面通知甲方，甲方向本合同约定的收款账户付款造成乙方实际未收到款的，该责任由乙方自行承担。未经甲方书面认可，乙方不得将应收款项转让给任何第三方或让任何第三方代收，否则甲方有权拒绝付款。</w:t>
      </w:r>
    </w:p>
    <w:p w14:paraId="0589006B">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lang w:val="en-US" w:eastAsia="zh-CN"/>
        </w:rPr>
        <w:t>10</w:t>
      </w:r>
      <w:r>
        <w:rPr>
          <w:rFonts w:hint="eastAsia" w:ascii="仿宋" w:hAnsi="仿宋" w:eastAsia="仿宋" w:cs="仿宋_GB2312"/>
          <w:sz w:val="24"/>
        </w:rPr>
        <w:t>.若本合同付款涉及甲方内部或财政审批迟延的特殊情况，因该种情况造成付款延迟的不视为甲方违约，乙方应继续履行本合同项下义务</w:t>
      </w:r>
    </w:p>
    <w:p w14:paraId="29F46FB4">
      <w:pPr>
        <w:spacing w:line="40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第四条  服务（售后）条款</w:t>
      </w:r>
    </w:p>
    <w:p w14:paraId="74F1983A">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（一）供货要求</w:t>
      </w:r>
    </w:p>
    <w:p w14:paraId="09D4A681">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1.采购人提出采购需求后，中标人须在2个工作日内与采购人确定物品款式等，按照采购人的要求进行供货，否则一切后果由中标人负责。</w:t>
      </w:r>
    </w:p>
    <w:p w14:paraId="2D747815">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2.由于中标人原因未能按时供货的，每延迟一天，须支付当月货款5%的违约金；如超过供货期15个日历日，采购人有权终止合同并通过法律程序对中标人进行索赔，同时中标人应向采购人支付当月货款10％的违约金。</w:t>
      </w:r>
    </w:p>
    <w:p w14:paraId="70B3C0B5">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3.中标人须无条件接受采购人在供货过程中的监督。如发现中标人无能力完成该批货物供货、用料、工艺不符合技术规范要求、有外包现象、生产不能按计划进行等，采购人有权废标或</w:t>
      </w:r>
      <w:r>
        <w:rPr>
          <w:rFonts w:hint="eastAsia" w:ascii="仿宋" w:hAnsi="仿宋" w:eastAsia="仿宋" w:cs="仿宋_GB2312"/>
          <w:sz w:val="24"/>
          <w:lang w:eastAsia="zh-CN"/>
        </w:rPr>
        <w:t>终止</w:t>
      </w:r>
      <w:r>
        <w:rPr>
          <w:rFonts w:hint="eastAsia" w:ascii="仿宋" w:hAnsi="仿宋" w:eastAsia="仿宋" w:cs="仿宋_GB2312"/>
          <w:sz w:val="24"/>
        </w:rPr>
        <w:t>合同，由此带来的损失由中标人自负，并报政府采购主管部门进行相应处罚。</w:t>
      </w:r>
    </w:p>
    <w:p w14:paraId="604BCF12">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6.依照招标文件技术、质量标准要求，整批货物出现不合格数量达10%时，视为整批货物不合格，采购人有权拒收，由此造成采购人无法按时配置，中标人必须向采购人赔偿因此造成的一切损失。</w:t>
      </w:r>
    </w:p>
    <w:p w14:paraId="64661490">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（二）运输及包装要求</w:t>
      </w:r>
    </w:p>
    <w:p w14:paraId="5D9BB79A">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1.中标人负责把货物免费运送至采购人指定地点（深圳市内）。</w:t>
      </w:r>
    </w:p>
    <w:p w14:paraId="5BA52B6D">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2.中标人应按货物的类型分类包装。</w:t>
      </w:r>
    </w:p>
    <w:p w14:paraId="55CB9460">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3.中标人应严格按照行业中规定的技术标准包装及装箱，交货时要提供货物明细单一式两份。明细清单应注明到货数量（货物名称、规格、数量等）箱数、供货日期等。</w:t>
      </w:r>
    </w:p>
    <w:p w14:paraId="20740CC2">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（三）售后服务要求</w:t>
      </w:r>
    </w:p>
    <w:p w14:paraId="152A331F">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1.服务不到位或货不对板随时退货。</w:t>
      </w:r>
    </w:p>
    <w:p w14:paraId="76A46207">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2.任何时候，中标人均不能免除因产品本身的缺陷所应负的责任，中标人有义务对所提供的货物进行维护或更换。</w:t>
      </w:r>
    </w:p>
    <w:p w14:paraId="19D770F5">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3.中标人提供售后服务，根据采购人的需求提供售后服务时间，响应时间不超过4小时。</w:t>
      </w:r>
    </w:p>
    <w:p w14:paraId="2D2F4708">
      <w:pPr>
        <w:spacing w:line="40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第五条  验收要求</w:t>
      </w:r>
    </w:p>
    <w:p w14:paraId="088B1163">
      <w:pPr>
        <w:pStyle w:val="25"/>
        <w:rPr>
          <w:rFonts w:hint="eastAsia" w:ascii="仿宋" w:hAnsi="仿宋" w:eastAsia="仿宋" w:cs="仿宋_GB2312"/>
          <w:kern w:val="2"/>
          <w:sz w:val="24"/>
          <w:szCs w:val="24"/>
          <w:lang w:val="en-US" w:eastAsia="zh-CN" w:bidi="ar-SA"/>
        </w:rPr>
      </w:pPr>
      <w:r>
        <w:rPr>
          <w:rFonts w:hint="eastAsia" w:ascii="仿宋" w:hAnsi="仿宋" w:eastAsia="仿宋" w:cs="仿宋_GB2312"/>
          <w:kern w:val="2"/>
          <w:sz w:val="24"/>
          <w:szCs w:val="24"/>
          <w:lang w:val="en-US" w:eastAsia="zh-CN" w:bidi="ar-SA"/>
        </w:rPr>
        <w:t>1.中标人交付的货物应当完全符合招投标文件所规定、订单约定的货物、数量、质量和规格要求。中标人提供的货物不符合招投标文件和订单规定的，采购人有权拒收货物，由此引起的损失及责任，由中标人承担。</w:t>
      </w:r>
    </w:p>
    <w:p w14:paraId="1520F4C9">
      <w:pPr>
        <w:pStyle w:val="25"/>
        <w:rPr>
          <w:rFonts w:hint="eastAsia" w:ascii="仿宋" w:hAnsi="仿宋" w:eastAsia="仿宋" w:cs="仿宋_GB2312"/>
          <w:kern w:val="2"/>
          <w:sz w:val="24"/>
          <w:szCs w:val="24"/>
          <w:lang w:val="en-US" w:eastAsia="zh-CN" w:bidi="ar-SA"/>
        </w:rPr>
      </w:pPr>
      <w:r>
        <w:rPr>
          <w:rFonts w:hint="eastAsia" w:ascii="仿宋" w:hAnsi="仿宋" w:eastAsia="仿宋" w:cs="仿宋_GB2312"/>
          <w:kern w:val="2"/>
          <w:sz w:val="24"/>
          <w:szCs w:val="24"/>
          <w:lang w:val="en-US" w:eastAsia="zh-CN" w:bidi="ar-SA"/>
        </w:rPr>
        <w:t>2.必须是达到国家标准或行业标准，具备出厂合格证的无表面划损、无任何缺陷的全新原装产品且无任何的侵权行为。</w:t>
      </w:r>
    </w:p>
    <w:p w14:paraId="3B35FB7F">
      <w:pPr>
        <w:pStyle w:val="25"/>
        <w:rPr>
          <w:rFonts w:hint="eastAsia" w:ascii="仿宋" w:hAnsi="仿宋" w:eastAsia="仿宋" w:cs="仿宋_GB2312"/>
          <w:kern w:val="2"/>
          <w:sz w:val="24"/>
          <w:szCs w:val="24"/>
          <w:lang w:val="en-US" w:eastAsia="zh-CN" w:bidi="ar-SA"/>
        </w:rPr>
      </w:pPr>
      <w:r>
        <w:rPr>
          <w:rFonts w:hint="eastAsia" w:ascii="仿宋" w:hAnsi="仿宋" w:eastAsia="仿宋" w:cs="仿宋_GB2312"/>
          <w:kern w:val="2"/>
          <w:sz w:val="24"/>
          <w:szCs w:val="24"/>
          <w:lang w:val="en-US" w:eastAsia="zh-CN" w:bidi="ar-SA"/>
        </w:rPr>
        <w:t>3.采购人在中国使用该货物或货物的任何一部分时，免受第三方提出的侵犯其专利权、商标权或工业设计权等知识产权的起诉或司法干预。如果发生上诉起诉或干预，则其法律责任均中标人负责。</w:t>
      </w:r>
    </w:p>
    <w:p w14:paraId="26B98FDE">
      <w:pPr>
        <w:pStyle w:val="25"/>
        <w:rPr>
          <w:rFonts w:hint="eastAsia" w:ascii="仿宋" w:hAnsi="仿宋" w:eastAsia="仿宋" w:cs="仿宋_GB2312"/>
          <w:kern w:val="2"/>
          <w:sz w:val="24"/>
          <w:szCs w:val="24"/>
          <w:lang w:val="en-US" w:eastAsia="zh-CN" w:bidi="ar-SA"/>
        </w:rPr>
      </w:pPr>
      <w:r>
        <w:rPr>
          <w:rFonts w:hint="eastAsia" w:ascii="仿宋" w:hAnsi="仿宋" w:eastAsia="仿宋" w:cs="仿宋_GB2312"/>
          <w:kern w:val="2"/>
          <w:sz w:val="24"/>
          <w:szCs w:val="24"/>
          <w:lang w:val="en-US" w:eastAsia="zh-CN" w:bidi="ar-SA"/>
        </w:rPr>
        <w:t>4.提供的供货清单检验产品合格证、使用说明和其它的技术资料、检查产品及附件是否完整无损，是否符合要求。如有损坏、缺件等情况，中标人自行负责。</w:t>
      </w:r>
    </w:p>
    <w:p w14:paraId="15D8E220">
      <w:pPr>
        <w:pStyle w:val="25"/>
        <w:rPr>
          <w:rFonts w:hint="eastAsia" w:ascii="仿宋" w:hAnsi="仿宋" w:eastAsia="仿宋" w:cs="仿宋_GB2312"/>
          <w:kern w:val="2"/>
          <w:sz w:val="24"/>
          <w:szCs w:val="24"/>
          <w:lang w:val="en-US" w:eastAsia="zh-CN" w:bidi="ar-SA"/>
        </w:rPr>
      </w:pPr>
      <w:r>
        <w:rPr>
          <w:rFonts w:hint="eastAsia" w:ascii="仿宋" w:hAnsi="仿宋" w:eastAsia="仿宋" w:cs="仿宋_GB2312"/>
          <w:kern w:val="2"/>
          <w:sz w:val="24"/>
          <w:szCs w:val="24"/>
          <w:lang w:val="en-US" w:eastAsia="zh-CN" w:bidi="ar-SA"/>
        </w:rPr>
        <w:t>5.货物送达采购人指定地点后，采购人立即进行现场验收。</w:t>
      </w:r>
    </w:p>
    <w:p w14:paraId="2CEA1225">
      <w:pPr>
        <w:pStyle w:val="25"/>
        <w:rPr>
          <w:rFonts w:hint="eastAsia" w:ascii="仿宋" w:hAnsi="仿宋" w:eastAsia="仿宋" w:cs="仿宋_GB2312"/>
          <w:kern w:val="2"/>
          <w:sz w:val="24"/>
          <w:szCs w:val="24"/>
          <w:lang w:val="en-US" w:eastAsia="zh-CN" w:bidi="ar-SA"/>
        </w:rPr>
      </w:pPr>
      <w:r>
        <w:rPr>
          <w:rFonts w:hint="eastAsia" w:ascii="仿宋" w:hAnsi="仿宋" w:eastAsia="仿宋" w:cs="仿宋_GB2312"/>
          <w:kern w:val="2"/>
          <w:sz w:val="24"/>
          <w:szCs w:val="24"/>
          <w:lang w:val="en-US" w:eastAsia="zh-CN" w:bidi="ar-SA"/>
        </w:rPr>
        <w:t>6.产品应符合货物采购合同的技术要求，如没有提及适用标准，则应符合中华人民共和国国家标准或行业标准，如果中华人民共和国没有相关标准的，则采用货物来源国适用的官方标准。这些标准必须是有关机构发布的最新版本的标准。</w:t>
      </w:r>
    </w:p>
    <w:p w14:paraId="1C3E47D3">
      <w:pPr>
        <w:spacing w:line="400" w:lineRule="exact"/>
        <w:ind w:firstLine="482" w:firstLineChars="200"/>
        <w:rPr>
          <w:rFonts w:hint="default" w:ascii="仿宋" w:hAnsi="仿宋" w:eastAsia="仿宋" w:cs="仿宋_GB2312"/>
          <w:sz w:val="24"/>
          <w:lang w:val="en-US" w:eastAsia="zh-CN"/>
        </w:rPr>
      </w:pPr>
      <w:r>
        <w:rPr>
          <w:rFonts w:hint="eastAsia" w:ascii="仿宋" w:hAnsi="仿宋" w:eastAsia="仿宋" w:cs="仿宋_GB2312"/>
          <w:b/>
          <w:bCs/>
          <w:sz w:val="24"/>
        </w:rPr>
        <w:t>第</w:t>
      </w:r>
      <w:r>
        <w:rPr>
          <w:rFonts w:hint="eastAsia" w:ascii="仿宋" w:hAnsi="仿宋" w:eastAsia="仿宋" w:cs="仿宋_GB2312"/>
          <w:b/>
          <w:bCs/>
          <w:sz w:val="24"/>
          <w:lang w:val="en-US" w:eastAsia="zh-CN"/>
        </w:rPr>
        <w:t>六</w:t>
      </w:r>
      <w:r>
        <w:rPr>
          <w:rFonts w:hint="eastAsia" w:ascii="仿宋" w:hAnsi="仿宋" w:eastAsia="仿宋" w:cs="仿宋_GB2312"/>
          <w:b/>
          <w:bCs/>
          <w:sz w:val="24"/>
        </w:rPr>
        <w:t xml:space="preserve">条  </w:t>
      </w:r>
      <w:r>
        <w:rPr>
          <w:rFonts w:hint="eastAsia" w:ascii="仿宋" w:hAnsi="仿宋" w:eastAsia="仿宋" w:cs="仿宋_GB2312"/>
          <w:b/>
          <w:bCs/>
          <w:sz w:val="24"/>
          <w:lang w:val="en-US" w:eastAsia="zh-CN"/>
        </w:rPr>
        <w:t>权利与义务</w:t>
      </w:r>
    </w:p>
    <w:p w14:paraId="498A677A">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（一）甲方权利与义务</w:t>
      </w:r>
    </w:p>
    <w:p w14:paraId="47D18173">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1.甲方有权对乙方提供的全部货物从生产加工、包装封装、仓储保管到配送交付的全过程进行监督，对不符合招投标文件及订单约定的产品，有权要求乙方立即整改、换货或拒收。</w:t>
      </w:r>
    </w:p>
    <w:p w14:paraId="749D1001">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2.甲方负责提供货物接收场地及卸货区域的通行便利，协调院内物资交接相关事宜，并按约定及时组织验收。</w:t>
      </w:r>
    </w:p>
    <w:p w14:paraId="324984B3">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3.甲方按合同约定，对乙方交付的合格货物及时验收、按时支付合同款项。</w:t>
      </w:r>
    </w:p>
    <w:p w14:paraId="55E6FFD4">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4.甲方有权对交付货物的数量、规格、质量、包装及外观进行核查，对存疑货物有权要求乙方提供产品来源证明、合格证书、检测报告等相关资料，乙方不得拒绝。</w:t>
      </w:r>
    </w:p>
    <w:p w14:paraId="0C96889C">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（二）乙方权利与义务</w:t>
      </w:r>
    </w:p>
    <w:p w14:paraId="36EEA829">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1.乙方有权在全部货物交付完毕并经甲方验收合格后，要求甲方按时足额支付合同款项。</w:t>
      </w:r>
    </w:p>
    <w:p w14:paraId="3D14F470">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2.乙方须具备本项目所需的合法经营资质（含国内贸易、商贸经营相关的营业执照及食品经营许可证等），严格按照招投标文件、合同约定及订单要求组织货源、生产加工及配送交付，确保所供货物为全新原装合格产品，无任何质量缺陷及权利瑕疵。</w:t>
      </w:r>
    </w:p>
    <w:p w14:paraId="66E88F07">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3.乙方保证所供货物不存在侵犯第三方知识产权的情形（包括但不限于专利权、商标权、工业设计权等）。如因货物侵权引发任何第三方索赔、诉讼或行政查处，乙方承担全部法律责任及经济赔偿，并负责妥善处理，确保不影响甲方的正常使用。由此给甲方造成损失的，甲方有权向乙方追偿。</w:t>
      </w:r>
    </w:p>
    <w:p w14:paraId="41F363D9">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4.乙方须确保所有货物来源正规、渠道合法、质量合格，水果生鲜类须保证新鲜无腐烂变质，食品类须为正规厂家生产且在保质期内，家居用品及电器类须为全新原装正品。乙方须提供每批次货物的合格证、检测报告、产地证明等质量凭证备查。</w:t>
      </w:r>
    </w:p>
    <w:p w14:paraId="34DB9A77">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5.本项目严禁转包、违法分包，一经发现，甲方有权单方解除合同、没收履约保证金、追究乙方违约责任，由此产生的一切损失由乙方自行承担。</w:t>
      </w:r>
    </w:p>
    <w:p w14:paraId="6170C002">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6.乙方交付货物后，须按甲方要求无偿提供货物使用指导、产品答疑及质量跟踪服务。质保期内出现质量问题的，乙方应在收到甲方通知后24小时内响应，48小时内完成退换货闭环，相关费用由乙方承担。</w:t>
      </w:r>
    </w:p>
    <w:p w14:paraId="144F1353">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7.乙方须自主负责工作人员用工、薪酬、社保、安全管理，所有用工纠纷、安全事故、财产损失由乙方全权承担，与甲方无关。</w:t>
      </w:r>
    </w:p>
    <w:p w14:paraId="26DA8B54">
      <w:pPr>
        <w:spacing w:line="40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第六条  保证与承诺</w:t>
      </w:r>
    </w:p>
    <w:p w14:paraId="55409E18">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1.资质真实有效承诺：乙方保证所提供的营业执照等全部资质证明文件真实、合法、有效，且在合同履行期间持续保持有效状态。如因资质失效、不实或缺失导致的一切法律后果及经济损失，由乙方承担全部责任。</w:t>
      </w:r>
    </w:p>
    <w:p w14:paraId="3BB5BCD6">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2.产品质量保证承诺：乙方承诺所供货物完全符合招投标文件、合同约定及订单规定的规格、数量和质量要求，均为全新原装合格产品，不存在任何表面划损、功能缺陷、安全隐患或权利瑕疵。水果生鲜类货物承诺从采购到送达甲方指定地点的时间不超过</w:t>
      </w:r>
      <w:r>
        <w:rPr>
          <w:rFonts w:hint="eastAsia" w:ascii="仿宋" w:hAnsi="仿宋" w:eastAsia="仿宋" w:cs="仿宋_GB2312"/>
          <w:sz w:val="24"/>
          <w:lang w:val="en-US" w:eastAsia="zh-CN"/>
        </w:rPr>
        <w:t xml:space="preserve">  </w:t>
      </w:r>
      <w:r>
        <w:rPr>
          <w:rFonts w:hint="eastAsia" w:ascii="仿宋" w:hAnsi="仿宋" w:eastAsia="仿宋" w:cs="仿宋_GB2312"/>
          <w:sz w:val="24"/>
        </w:rPr>
        <w:t>小时，且全程按要求温控保存。</w:t>
      </w:r>
    </w:p>
    <w:p w14:paraId="597F301D">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3.食品安全保证承诺：乙方承诺所供食品类货物均来自具备合法生产资质的正规厂家，在保质期内且距生产日期不超过保质期的三分之一，符合国家食品安全标准，不存在致病菌超标、变质、掺假掺杂等食品安全问题。如因乙方提供的食品导致甲方或其人员发生食物中毒或健康损害的，乙方承担全部赔偿责任。</w:t>
      </w:r>
    </w:p>
    <w:p w14:paraId="04570F0C">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4.来源正规保证承诺：乙方承诺所有货物来源渠道合法正规，可追溯至生产源头。电器类货物须为全新原装正品，具备3C认证标志及完整的产品合格证明；家居用品类货物须具备产品合格证及洗涤/使用说明标签。</w:t>
      </w:r>
    </w:p>
    <w:p w14:paraId="2DC3EB97">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5.不侵权保证承诺：乙方承诺在中国境内使用所供货物或货物的任何一部分时，免受第三方提出的侵犯其专利权、商标权、工业设计权等知识产权的起诉或司法干预。如发生上述起诉或干预，乙方承担全部法律责任及诉讼费用，并赔偿因此给甲方造成的全部损失。</w:t>
      </w:r>
    </w:p>
    <w:p w14:paraId="512254A9">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6.交付时间保证承诺：乙方承诺按订单通知约定的时限内完成全部货物的生产备货及配送交付。因乙方原因导致交付延迟的，乙方自愿按合同约定承担相应的违约责任。</w:t>
      </w:r>
    </w:p>
    <w:p w14:paraId="2D46BA4A">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7.售后服务保证承诺：乙方承诺对本次项目所供全部货物提供不少于6个月的质量保证期（自验收合格之日起计算），质保期内非因甲方人为原因造成的质量问题，乙方负责免费维修、更换或退货，相关费用由乙方承担。</w:t>
      </w:r>
    </w:p>
    <w:p w14:paraId="1DC4ECE6">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8.配合义务承诺：乙方承诺在合同履行及质保期内，无条件配合甲方进行货物验收、质量抽查、资料核查等工作，按要求及时提供各类质量凭证、检测报告、使用说明等文件，不得以任何理由拒绝或拖延。</w:t>
      </w:r>
    </w:p>
    <w:p w14:paraId="18C78FFD">
      <w:pPr>
        <w:spacing w:line="40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第</w:t>
      </w:r>
      <w:r>
        <w:rPr>
          <w:rFonts w:hint="eastAsia" w:ascii="仿宋" w:hAnsi="仿宋" w:eastAsia="仿宋" w:cs="仿宋_GB2312"/>
          <w:b/>
          <w:bCs/>
          <w:sz w:val="24"/>
          <w:lang w:val="en-US" w:eastAsia="zh-CN"/>
        </w:rPr>
        <w:t>七</w:t>
      </w:r>
      <w:r>
        <w:rPr>
          <w:rFonts w:hint="eastAsia" w:ascii="仿宋" w:hAnsi="仿宋" w:eastAsia="仿宋" w:cs="仿宋_GB2312"/>
          <w:b/>
          <w:bCs/>
          <w:sz w:val="24"/>
        </w:rPr>
        <w:t>条  免责条款</w:t>
      </w:r>
    </w:p>
    <w:p w14:paraId="0276191F">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1.因不可抗力导致合同不能履行或不能完全履行的，遭受不可抗力的一方应在不可抗力事件发生后48小时内以书面形式通知对方，并在7日内提供相关证明文件，经双方协商一致后，可部分或全部免除该方的违约责任。</w:t>
      </w:r>
    </w:p>
    <w:p w14:paraId="05AEE09B">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2.本合同所称不可抗力，是指不能预见、不能避免并不能克服的客观情况，包括但不限于：自然灾害（如地震、台风、洪水等）、政府行为（如征收、征用、禁令等）、重大突发公共卫生事件、法律法规或政策调整导致合同无法继续履行的情形。</w:t>
      </w:r>
    </w:p>
    <w:p w14:paraId="1ED8E892">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3.因不可抗力致使合同无法履行的，双方互不承担违约责任。但遭受不可抗力的一方应采取一切合理措施减少损失，否则应就扩大损失部分承担责任。</w:t>
      </w:r>
    </w:p>
    <w:p w14:paraId="3AC59C91">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4.因甲方原因（如未按时提供卸货场地、未及时安排验收、未按约定支付款项等）导致乙方无法按时交付货物或履行义务的，乙方不承担相应迟延履行的违约责任，且乙方有权要求顺延履行期限。</w:t>
      </w:r>
    </w:p>
    <w:p w14:paraId="38160431">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5.因甲方提供的收货信息不准确或不完整导致货物无法按时送达或交付错误的，由此产生的额外费用及责任由甲方承担，乙方不承担相应违约责任。</w:t>
      </w:r>
    </w:p>
    <w:p w14:paraId="20AEF586">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6.因第三方物流运输途中发生交通事故、货物毁损等情况的，如该物流服务由乙方委托安排的，乙方仍须对甲方的交付义务承担责任，不得以第三方原因为由免除自身责任。但如甲方指定或自行安排的物流运输方式，运输途中的风险及责任由甲方承担。</w:t>
      </w:r>
    </w:p>
    <w:p w14:paraId="6FD7FE1F">
      <w:pPr>
        <w:spacing w:line="40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第</w:t>
      </w:r>
      <w:r>
        <w:rPr>
          <w:rFonts w:hint="eastAsia" w:ascii="仿宋" w:hAnsi="仿宋" w:eastAsia="仿宋" w:cs="仿宋_GB2312"/>
          <w:b/>
          <w:bCs/>
          <w:sz w:val="24"/>
          <w:lang w:val="en-US" w:eastAsia="zh-CN"/>
        </w:rPr>
        <w:t>八</w:t>
      </w:r>
      <w:r>
        <w:rPr>
          <w:rFonts w:hint="eastAsia" w:ascii="仿宋" w:hAnsi="仿宋" w:eastAsia="仿宋" w:cs="仿宋_GB2312"/>
          <w:b/>
          <w:bCs/>
          <w:sz w:val="24"/>
        </w:rPr>
        <w:t>条  违约责任</w:t>
      </w:r>
    </w:p>
    <w:p w14:paraId="4380BC3F">
      <w:pPr>
        <w:spacing w:line="400" w:lineRule="exact"/>
        <w:ind w:firstLine="480" w:firstLineChars="200"/>
        <w:rPr>
          <w:rFonts w:hint="eastAsia" w:ascii="仿宋" w:hAnsi="仿宋" w:eastAsia="仿宋" w:cs="仿宋_GB2312"/>
          <w:sz w:val="24"/>
        </w:rPr>
      </w:pPr>
      <w:bookmarkStart w:id="18" w:name="_Hlk42353112"/>
      <w:r>
        <w:rPr>
          <w:rFonts w:hint="eastAsia" w:ascii="仿宋" w:hAnsi="仿宋" w:eastAsia="仿宋" w:cs="仿宋_GB2312"/>
          <w:sz w:val="24"/>
        </w:rPr>
        <w:t>1.双方均应忠实履行合同约定的各项内容，任何一方违反本合同，均应承担违约责任。双方约定如一方违反合同约定，则违约方应向守约方支付违约金，违约金的金额为合同总价款的</w:t>
      </w:r>
      <w:r>
        <w:rPr>
          <w:rFonts w:hint="eastAsia" w:ascii="仿宋" w:hAnsi="仿宋" w:eastAsia="仿宋" w:cs="仿宋_GB2312"/>
          <w:sz w:val="24"/>
          <w:u w:val="single"/>
        </w:rPr>
        <w:t>（</w:t>
      </w:r>
      <w:r>
        <w:rPr>
          <w:rFonts w:hint="eastAsia" w:ascii="仿宋" w:hAnsi="仿宋" w:eastAsia="仿宋" w:cs="仿宋_GB2312"/>
          <w:sz w:val="24"/>
          <w:u w:val="single"/>
          <w:lang w:val="en-US" w:eastAsia="zh-CN"/>
        </w:rPr>
        <w:t xml:space="preserve">  </w:t>
      </w:r>
      <w:r>
        <w:rPr>
          <w:rFonts w:hint="eastAsia" w:ascii="仿宋" w:hAnsi="仿宋" w:eastAsia="仿宋" w:cs="仿宋_GB2312"/>
          <w:sz w:val="24"/>
          <w:u w:val="single"/>
        </w:rPr>
        <w:t>）</w:t>
      </w:r>
      <w:r>
        <w:rPr>
          <w:rFonts w:hint="eastAsia" w:ascii="仿宋" w:hAnsi="仿宋" w:eastAsia="仿宋" w:cs="仿宋_GB2312"/>
          <w:sz w:val="24"/>
        </w:rPr>
        <w:t>%，因一方违约给另一方造成经济损失的，违约方除应支付违约金外，还应另行根据守约方遭受损失的实际情况进行赔偿，赔偿范围包括直接损失、守约方因维权而产生的律师费、鉴定费、差旅费、诉讼费、保全费、保全担保费等合理支出。</w:t>
      </w:r>
    </w:p>
    <w:bookmarkEnd w:id="18"/>
    <w:p w14:paraId="76E521F8">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2.乙方未按照双方约定的时间提交</w:t>
      </w:r>
      <w:r>
        <w:rPr>
          <w:rFonts w:hint="eastAsia" w:ascii="仿宋" w:hAnsi="仿宋" w:eastAsia="仿宋" w:cs="仿宋_GB2312"/>
          <w:sz w:val="24"/>
          <w:lang w:val="en-US" w:eastAsia="zh-CN"/>
        </w:rPr>
        <w:t>货物</w:t>
      </w:r>
      <w:r>
        <w:rPr>
          <w:rFonts w:hint="eastAsia" w:ascii="仿宋" w:hAnsi="仿宋" w:eastAsia="仿宋" w:cs="仿宋_GB2312"/>
          <w:sz w:val="24"/>
        </w:rPr>
        <w:t>的，每延迟一天，应该按照服务费用金额的</w:t>
      </w:r>
      <w:r>
        <w:rPr>
          <w:rFonts w:hint="eastAsia" w:ascii="仿宋" w:hAnsi="仿宋" w:eastAsia="仿宋" w:cs="仿宋_GB2312"/>
          <w:sz w:val="24"/>
          <w:u w:val="single"/>
        </w:rPr>
        <w:t>1</w:t>
      </w:r>
      <w:r>
        <w:rPr>
          <w:rFonts w:hint="eastAsia" w:ascii="仿宋" w:hAnsi="仿宋" w:eastAsia="仿宋" w:cs="仿宋_GB2312"/>
          <w:sz w:val="24"/>
        </w:rPr>
        <w:t>‰向甲方支付违约金。</w:t>
      </w:r>
    </w:p>
    <w:p w14:paraId="449047A6">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3.发生以下情形之一，甲方有权单方解除本合同，乙方应向甲方退回已支付的全部款项，且甲方有权要求乙方按照服务费总金额的</w:t>
      </w:r>
      <w:r>
        <w:rPr>
          <w:rFonts w:hint="eastAsia" w:ascii="仿宋" w:hAnsi="仿宋" w:eastAsia="仿宋" w:cs="仿宋_GB2312"/>
          <w:sz w:val="24"/>
          <w:u w:val="single"/>
          <w:lang w:val="en-US" w:eastAsia="zh-CN"/>
        </w:rPr>
        <w:t xml:space="preserve">    </w:t>
      </w:r>
      <w:r>
        <w:rPr>
          <w:rFonts w:hint="eastAsia" w:ascii="仿宋" w:hAnsi="仿宋" w:eastAsia="仿宋" w:cs="仿宋_GB2312"/>
          <w:sz w:val="24"/>
        </w:rPr>
        <w:t>%支付违约金：</w:t>
      </w:r>
    </w:p>
    <w:p w14:paraId="47799492">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（1）乙方延迟提交服务成果超过</w:t>
      </w:r>
      <w:r>
        <w:rPr>
          <w:rFonts w:hint="eastAsia" w:ascii="仿宋" w:hAnsi="仿宋" w:eastAsia="仿宋" w:cs="仿宋_GB2312"/>
          <w:sz w:val="24"/>
          <w:u w:val="single"/>
        </w:rPr>
        <w:t xml:space="preserve"> </w:t>
      </w:r>
      <w:r>
        <w:rPr>
          <w:rFonts w:hint="eastAsia" w:ascii="仿宋" w:hAnsi="仿宋" w:eastAsia="仿宋" w:cs="仿宋_GB2312"/>
          <w:sz w:val="24"/>
          <w:u w:val="single"/>
          <w:lang w:val="en-US" w:eastAsia="zh-CN"/>
        </w:rPr>
        <w:t xml:space="preserve">  </w:t>
      </w:r>
      <w:r>
        <w:rPr>
          <w:rFonts w:hint="eastAsia" w:ascii="仿宋" w:hAnsi="仿宋" w:eastAsia="仿宋" w:cs="仿宋_GB2312"/>
          <w:sz w:val="24"/>
          <w:u w:val="single"/>
        </w:rPr>
        <w:t xml:space="preserve"> </w:t>
      </w:r>
      <w:r>
        <w:rPr>
          <w:rFonts w:hint="eastAsia" w:ascii="仿宋" w:hAnsi="仿宋" w:eastAsia="仿宋" w:cs="仿宋_GB2312"/>
          <w:sz w:val="24"/>
        </w:rPr>
        <w:t>天；</w:t>
      </w:r>
    </w:p>
    <w:p w14:paraId="16B788C9">
      <w:pPr>
        <w:spacing w:line="400" w:lineRule="exact"/>
        <w:ind w:firstLine="480" w:firstLineChars="200"/>
        <w:rPr>
          <w:rFonts w:ascii="仿宋" w:hAnsi="仿宋" w:eastAsia="仿宋" w:cs="仿宋_GB2312"/>
          <w:sz w:val="24"/>
        </w:rPr>
      </w:pPr>
      <w:r>
        <w:rPr>
          <w:rFonts w:hint="eastAsia" w:ascii="仿宋" w:hAnsi="仿宋" w:eastAsia="仿宋" w:cs="仿宋_GB2312"/>
          <w:sz w:val="24"/>
        </w:rPr>
        <w:t>（2）未经甲方书面同意，乙方将本合同项下部分或全部工作委托给第三方承担的；</w:t>
      </w:r>
    </w:p>
    <w:p w14:paraId="25E12DA7">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（3）乙方提交的</w:t>
      </w:r>
      <w:r>
        <w:rPr>
          <w:rFonts w:hint="eastAsia" w:ascii="仿宋" w:hAnsi="仿宋" w:eastAsia="仿宋" w:cs="仿宋_GB2312"/>
          <w:sz w:val="24"/>
          <w:lang w:val="en-US" w:eastAsia="zh-CN"/>
        </w:rPr>
        <w:t>货物</w:t>
      </w:r>
      <w:r>
        <w:rPr>
          <w:rFonts w:hint="eastAsia" w:ascii="仿宋" w:hAnsi="仿宋" w:eastAsia="仿宋" w:cs="仿宋_GB2312"/>
          <w:sz w:val="24"/>
        </w:rPr>
        <w:t>未能通过甲方验收，乙方拒绝整改或经二次整改后仍未能通过甲方验收的。</w:t>
      </w:r>
    </w:p>
    <w:p w14:paraId="316CD851">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4.如乙方原因导致提供</w:t>
      </w:r>
      <w:r>
        <w:rPr>
          <w:rFonts w:hint="eastAsia" w:ascii="仿宋" w:hAnsi="仿宋" w:eastAsia="仿宋" w:cs="仿宋_GB2312"/>
          <w:sz w:val="24"/>
          <w:lang w:val="en-US" w:eastAsia="zh-CN"/>
        </w:rPr>
        <w:t>货物</w:t>
      </w:r>
      <w:r>
        <w:rPr>
          <w:rFonts w:hint="eastAsia" w:ascii="仿宋" w:hAnsi="仿宋" w:eastAsia="仿宋" w:cs="仿宋_GB2312"/>
          <w:sz w:val="24"/>
        </w:rPr>
        <w:t>存在侵犯第三方知识产权或其他合法权益的情形，乙方除了承担全部赔偿责任之外，还应按照合同总金额</w:t>
      </w:r>
      <w:r>
        <w:rPr>
          <w:rFonts w:hint="eastAsia" w:ascii="仿宋" w:hAnsi="仿宋" w:eastAsia="仿宋" w:cs="仿宋_GB2312"/>
          <w:sz w:val="24"/>
          <w:u w:val="single"/>
          <w:lang w:val="en-US" w:eastAsia="zh-CN"/>
        </w:rPr>
        <w:t xml:space="preserve">   </w:t>
      </w:r>
      <w:r>
        <w:rPr>
          <w:rFonts w:hint="eastAsia" w:ascii="仿宋" w:hAnsi="仿宋" w:eastAsia="仿宋" w:cs="仿宋_GB2312"/>
          <w:sz w:val="24"/>
        </w:rPr>
        <w:t>%向甲方支付违约金。</w:t>
      </w:r>
    </w:p>
    <w:p w14:paraId="509E240E">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5.甲方有权自应支付给乙方的服务费用中直接扣除各种索赔款项，包括但不限于赔偿款、违约金、律师费、诉讼费、鉴定费等。</w:t>
      </w:r>
    </w:p>
    <w:p w14:paraId="49A0E78F">
      <w:pPr>
        <w:spacing w:line="40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第</w:t>
      </w:r>
      <w:r>
        <w:rPr>
          <w:rFonts w:hint="eastAsia" w:ascii="仿宋" w:hAnsi="仿宋" w:eastAsia="仿宋" w:cs="仿宋_GB2312"/>
          <w:b/>
          <w:bCs/>
          <w:sz w:val="24"/>
          <w:lang w:val="en-US" w:eastAsia="zh-CN"/>
        </w:rPr>
        <w:t>九</w:t>
      </w:r>
      <w:r>
        <w:rPr>
          <w:rFonts w:hint="eastAsia" w:ascii="仿宋" w:hAnsi="仿宋" w:eastAsia="仿宋" w:cs="仿宋_GB2312"/>
          <w:b/>
          <w:bCs/>
          <w:sz w:val="24"/>
        </w:rPr>
        <w:t>条  争议解决</w:t>
      </w:r>
    </w:p>
    <w:p w14:paraId="29C7479C">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因履行本合同引起的或与本合同有关的争议，甲乙双方应首先通过友好协商解决，如果协商不能解决，则通过向甲方所在地有管辖权的人民法院提起诉讼解决。</w:t>
      </w:r>
    </w:p>
    <w:p w14:paraId="4CF61873">
      <w:pPr>
        <w:spacing w:line="40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第十条  本合同附件</w:t>
      </w:r>
    </w:p>
    <w:p w14:paraId="569730A1">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以下附件及乙方投标时提供的投标文件和其他相关资料作为本合同的补充内容，具有同等法律效力。</w:t>
      </w:r>
    </w:p>
    <w:p w14:paraId="52FD48F1">
      <w:pPr>
        <w:spacing w:line="400" w:lineRule="exact"/>
        <w:ind w:firstLine="480" w:firstLineChars="200"/>
        <w:rPr>
          <w:rFonts w:ascii="仿宋" w:hAnsi="仿宋" w:eastAsia="仿宋" w:cs="仿宋_GB2312"/>
          <w:sz w:val="24"/>
        </w:rPr>
      </w:pPr>
      <w:r>
        <w:rPr>
          <w:rFonts w:hint="eastAsia" w:ascii="仿宋" w:hAnsi="仿宋" w:eastAsia="仿宋" w:cs="仿宋_GB2312"/>
          <w:sz w:val="24"/>
        </w:rPr>
        <w:t>附件1：龙岗区进一步规范政商交往行为告知书；</w:t>
      </w:r>
    </w:p>
    <w:p w14:paraId="36DC9B65">
      <w:pPr>
        <w:spacing w:line="400" w:lineRule="exact"/>
        <w:ind w:firstLine="480" w:firstLineChars="200"/>
        <w:rPr>
          <w:rFonts w:ascii="仿宋" w:hAnsi="仿宋" w:eastAsia="仿宋" w:cs="仿宋_GB2312"/>
          <w:sz w:val="24"/>
        </w:rPr>
      </w:pPr>
      <w:r>
        <w:rPr>
          <w:rFonts w:hint="eastAsia" w:ascii="仿宋" w:hAnsi="仿宋" w:eastAsia="仿宋" w:cs="仿宋_GB2312"/>
          <w:sz w:val="24"/>
        </w:rPr>
        <w:t>附件</w:t>
      </w:r>
      <w:r>
        <w:rPr>
          <w:rFonts w:hint="eastAsia" w:ascii="仿宋" w:hAnsi="仿宋" w:eastAsia="仿宋" w:cs="仿宋_GB2312"/>
          <w:sz w:val="24"/>
          <w:lang w:val="en-US" w:eastAsia="zh-CN"/>
        </w:rPr>
        <w:t>2</w:t>
      </w:r>
      <w:r>
        <w:rPr>
          <w:rFonts w:hint="eastAsia" w:ascii="仿宋" w:hAnsi="仿宋" w:eastAsia="仿宋" w:cs="仿宋_GB2312"/>
          <w:sz w:val="24"/>
        </w:rPr>
        <w:t>：</w:t>
      </w:r>
      <w:r>
        <w:rPr>
          <w:rFonts w:hint="eastAsia" w:ascii="仿宋" w:hAnsi="仿宋" w:eastAsia="仿宋" w:cs="仿宋_GB2312"/>
          <w:sz w:val="24"/>
          <w:lang w:val="en-US" w:eastAsia="zh-CN"/>
        </w:rPr>
        <w:t>龙岗区第七人民医院廉洁购销合同</w:t>
      </w:r>
      <w:r>
        <w:rPr>
          <w:rFonts w:hint="eastAsia" w:ascii="仿宋" w:hAnsi="仿宋" w:eastAsia="仿宋" w:cs="仿宋_GB2312"/>
          <w:sz w:val="24"/>
        </w:rPr>
        <w:t>；</w:t>
      </w:r>
    </w:p>
    <w:p w14:paraId="19ABB0CA">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附件</w:t>
      </w:r>
      <w:r>
        <w:rPr>
          <w:rFonts w:hint="eastAsia" w:ascii="仿宋" w:hAnsi="仿宋" w:eastAsia="仿宋" w:cs="仿宋_GB2312"/>
          <w:sz w:val="24"/>
          <w:lang w:val="en-US" w:eastAsia="zh-CN"/>
        </w:rPr>
        <w:t>3</w:t>
      </w:r>
      <w:r>
        <w:rPr>
          <w:rFonts w:hint="eastAsia" w:ascii="仿宋" w:hAnsi="仿宋" w:eastAsia="仿宋" w:cs="仿宋_GB2312"/>
          <w:sz w:val="24"/>
        </w:rPr>
        <w:t>：安全</w:t>
      </w:r>
      <w:r>
        <w:rPr>
          <w:rFonts w:hint="eastAsia" w:ascii="仿宋" w:hAnsi="仿宋" w:eastAsia="仿宋" w:cs="仿宋_GB2312"/>
          <w:sz w:val="24"/>
          <w:lang w:val="en-US" w:eastAsia="zh-CN"/>
        </w:rPr>
        <w:t>生产责任协议书</w:t>
      </w:r>
      <w:r>
        <w:rPr>
          <w:rFonts w:hint="eastAsia" w:ascii="仿宋" w:hAnsi="仿宋" w:eastAsia="仿宋" w:cs="仿宋_GB2312"/>
          <w:sz w:val="24"/>
        </w:rPr>
        <w:t>。</w:t>
      </w:r>
    </w:p>
    <w:p w14:paraId="78138E06">
      <w:pPr>
        <w:spacing w:line="40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第十</w:t>
      </w:r>
      <w:r>
        <w:rPr>
          <w:rFonts w:hint="eastAsia" w:ascii="仿宋" w:hAnsi="仿宋" w:eastAsia="仿宋" w:cs="仿宋_GB2312"/>
          <w:b/>
          <w:bCs/>
          <w:sz w:val="24"/>
          <w:lang w:val="en-US" w:eastAsia="zh-CN"/>
        </w:rPr>
        <w:t>一</w:t>
      </w:r>
      <w:r>
        <w:rPr>
          <w:rFonts w:hint="eastAsia" w:ascii="仿宋" w:hAnsi="仿宋" w:eastAsia="仿宋" w:cs="仿宋_GB2312"/>
          <w:b/>
          <w:bCs/>
          <w:sz w:val="24"/>
        </w:rPr>
        <w:t>条  合同生效及其它</w:t>
      </w:r>
    </w:p>
    <w:p w14:paraId="44C26BEF">
      <w:pPr>
        <w:spacing w:line="400" w:lineRule="exact"/>
        <w:ind w:firstLine="480" w:firstLineChars="200"/>
        <w:rPr>
          <w:rFonts w:ascii="仿宋" w:hAnsi="仿宋" w:eastAsia="仿宋" w:cs="仿宋"/>
          <w:sz w:val="24"/>
        </w:rPr>
      </w:pPr>
      <w:r>
        <w:rPr>
          <w:rFonts w:hint="eastAsia" w:ascii="仿宋" w:hAnsi="仿宋" w:eastAsia="仿宋" w:cs="仿宋"/>
          <w:sz w:val="24"/>
        </w:rPr>
        <w:t>1.在本合同中，明确约定服务执行的标准与依据，即双方应严格遵循中标文件中详尽列明的各项技术参数、性能指标及服务要求，作为本服务提供与验收的核心基准。同时，中标时所附带的承诺书，其所有承诺内容均视为本合同不可分割的组成部分，服务提供方需全面、忠实地履行承诺书中的各项义务与保证，包括但不限于服务质量、时间节点、技术支持及后续服务等关键条款。</w:t>
      </w:r>
    </w:p>
    <w:p w14:paraId="712E7EB1">
      <w:pPr>
        <w:spacing w:line="400" w:lineRule="exact"/>
        <w:ind w:firstLine="480" w:firstLineChars="200"/>
        <w:rPr>
          <w:rFonts w:hint="eastAsia" w:ascii="仿宋" w:hAnsi="仿宋" w:eastAsia="仿宋" w:cs="仿宋"/>
          <w:sz w:val="24"/>
        </w:rPr>
      </w:pPr>
      <w:r>
        <w:rPr>
          <w:rFonts w:hint="eastAsia" w:ascii="仿宋" w:hAnsi="仿宋" w:eastAsia="仿宋" w:cs="仿宋"/>
          <w:sz w:val="24"/>
        </w:rPr>
        <w:t>2.合同经双方法定代表人或授权委托代表人签字并加盖单位公章或合同专用章后生效。</w:t>
      </w:r>
    </w:p>
    <w:p w14:paraId="6FE07CEE">
      <w:pPr>
        <w:spacing w:line="400" w:lineRule="exact"/>
        <w:ind w:firstLine="480" w:firstLineChars="200"/>
        <w:rPr>
          <w:rFonts w:hint="eastAsia" w:ascii="仿宋" w:hAnsi="仿宋" w:eastAsia="仿宋" w:cs="仿宋"/>
          <w:sz w:val="24"/>
          <w:u w:val="single"/>
        </w:rPr>
      </w:pPr>
      <w:r>
        <w:rPr>
          <w:rFonts w:hint="eastAsia" w:ascii="仿宋" w:hAnsi="仿宋" w:eastAsia="仿宋" w:cs="仿宋"/>
          <w:sz w:val="24"/>
        </w:rPr>
        <w:t>3.其他约定条款：</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w:t>
      </w:r>
    </w:p>
    <w:p w14:paraId="70AFAF96">
      <w:pPr>
        <w:spacing w:line="400" w:lineRule="exact"/>
        <w:ind w:firstLine="480" w:firstLineChars="200"/>
        <w:rPr>
          <w:rFonts w:hint="eastAsia" w:ascii="仿宋" w:hAnsi="仿宋" w:eastAsia="仿宋" w:cs="仿宋"/>
          <w:sz w:val="24"/>
        </w:rPr>
      </w:pPr>
      <w:r>
        <w:rPr>
          <w:rFonts w:hint="eastAsia" w:ascii="仿宋" w:hAnsi="仿宋" w:eastAsia="仿宋" w:cs="仿宋"/>
          <w:sz w:val="24"/>
        </w:rPr>
        <w:t>4.本合同未尽事宜，遵照《中华人民共和国民法典》有关条文执行。</w:t>
      </w:r>
    </w:p>
    <w:p w14:paraId="7B5809AB">
      <w:pPr>
        <w:spacing w:line="400" w:lineRule="exact"/>
        <w:ind w:left="210" w:leftChars="100" w:firstLine="240" w:firstLineChars="100"/>
        <w:rPr>
          <w:rFonts w:hint="eastAsia" w:ascii="仿宋" w:hAnsi="仿宋" w:eastAsia="仿宋" w:cs="Times New Roman"/>
          <w:sz w:val="24"/>
        </w:rPr>
      </w:pPr>
      <w:r>
        <w:rPr>
          <w:rFonts w:hint="eastAsia" w:ascii="仿宋" w:hAnsi="仿宋" w:eastAsia="仿宋" w:cs="仿宋"/>
          <w:sz w:val="24"/>
        </w:rPr>
        <w:t>5.本合同正本一式</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陆</w:t>
      </w:r>
      <w:r>
        <w:rPr>
          <w:rFonts w:hint="eastAsia" w:ascii="仿宋" w:hAnsi="仿宋" w:eastAsia="仿宋" w:cs="仿宋"/>
          <w:sz w:val="24"/>
          <w:u w:val="single"/>
        </w:rPr>
        <w:t xml:space="preserve"> </w:t>
      </w:r>
      <w:r>
        <w:rPr>
          <w:rFonts w:hint="eastAsia" w:ascii="仿宋" w:hAnsi="仿宋" w:eastAsia="仿宋" w:cs="仿宋"/>
          <w:sz w:val="24"/>
        </w:rPr>
        <w:t>份，具有同等法律效力，甲方执</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肆</w:t>
      </w:r>
      <w:r>
        <w:rPr>
          <w:rFonts w:hint="eastAsia" w:ascii="仿宋" w:hAnsi="仿宋" w:eastAsia="仿宋" w:cs="仿宋"/>
          <w:sz w:val="24"/>
          <w:u w:val="single"/>
        </w:rPr>
        <w:t xml:space="preserve"> </w:t>
      </w:r>
      <w:r>
        <w:rPr>
          <w:rFonts w:hint="eastAsia" w:ascii="仿宋" w:hAnsi="仿宋" w:eastAsia="仿宋" w:cs="仿宋"/>
          <w:sz w:val="24"/>
        </w:rPr>
        <w:t>份；乙方执</w:t>
      </w:r>
      <w:r>
        <w:rPr>
          <w:rFonts w:hint="eastAsia" w:ascii="仿宋" w:hAnsi="仿宋" w:eastAsia="仿宋" w:cs="仿宋"/>
          <w:sz w:val="24"/>
          <w:u w:val="single"/>
        </w:rPr>
        <w:t>贰</w:t>
      </w:r>
      <w:r>
        <w:rPr>
          <w:rFonts w:hint="eastAsia" w:ascii="仿宋" w:hAnsi="仿宋" w:eastAsia="仿宋" w:cs="仿宋"/>
          <w:sz w:val="24"/>
        </w:rPr>
        <w:t>份。</w:t>
      </w:r>
    </w:p>
    <w:p w14:paraId="3E020391">
      <w:pPr>
        <w:spacing w:line="440" w:lineRule="exact"/>
        <w:ind w:firstLine="420"/>
        <w:rPr>
          <w:rFonts w:ascii="Times New Roman" w:hAnsi="Times New Roman" w:cs="Times New Roman"/>
          <w:szCs w:val="20"/>
        </w:rPr>
      </w:pPr>
    </w:p>
    <w:tbl>
      <w:tblPr>
        <w:tblStyle w:val="19"/>
        <w:tblW w:w="92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46"/>
        <w:gridCol w:w="4397"/>
      </w:tblGrid>
      <w:tr w14:paraId="4CE25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4846" w:type="dxa"/>
            <w:shd w:val="clear" w:color="auto" w:fill="auto"/>
            <w:noWrap/>
          </w:tcPr>
          <w:p w14:paraId="783A2B08">
            <w:pPr>
              <w:spacing w:line="360" w:lineRule="auto"/>
              <w:ind w:firstLine="482"/>
              <w:rPr>
                <w:rFonts w:hint="eastAsia" w:ascii="仿宋" w:hAnsi="仿宋" w:eastAsia="仿宋" w:cs="仿宋"/>
                <w:b/>
                <w:bCs/>
                <w:kern w:val="0"/>
                <w:sz w:val="24"/>
              </w:rPr>
            </w:pPr>
            <w:r>
              <w:rPr>
                <w:rFonts w:hint="eastAsia" w:ascii="仿宋" w:hAnsi="仿宋" w:eastAsia="仿宋" w:cs="仿宋"/>
                <w:b/>
                <w:bCs/>
                <w:kern w:val="0"/>
                <w:sz w:val="24"/>
              </w:rPr>
              <w:t>甲方（盖章）：深圳市龙岗区第七人民医院</w:t>
            </w:r>
          </w:p>
        </w:tc>
        <w:tc>
          <w:tcPr>
            <w:tcW w:w="4397" w:type="dxa"/>
            <w:shd w:val="clear" w:color="auto" w:fill="auto"/>
            <w:noWrap/>
          </w:tcPr>
          <w:p w14:paraId="6BFF9622">
            <w:pPr>
              <w:spacing w:line="360" w:lineRule="auto"/>
              <w:ind w:firstLine="482"/>
              <w:rPr>
                <w:rFonts w:hint="eastAsia" w:ascii="仿宋" w:hAnsi="仿宋" w:eastAsia="仿宋" w:cs="仿宋"/>
                <w:b/>
                <w:bCs/>
                <w:kern w:val="0"/>
                <w:sz w:val="24"/>
              </w:rPr>
            </w:pPr>
            <w:r>
              <w:rPr>
                <w:rFonts w:hint="eastAsia" w:ascii="仿宋" w:hAnsi="仿宋" w:eastAsia="仿宋" w:cs="仿宋"/>
                <w:b/>
                <w:bCs/>
                <w:kern w:val="0"/>
                <w:sz w:val="24"/>
              </w:rPr>
              <w:t xml:space="preserve">乙方（盖章）： </w:t>
            </w:r>
          </w:p>
        </w:tc>
      </w:tr>
      <w:tr w14:paraId="5D73F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4846" w:type="dxa"/>
            <w:shd w:val="clear" w:color="auto" w:fill="auto"/>
            <w:noWrap/>
          </w:tcPr>
          <w:p w14:paraId="4E75D76F">
            <w:pPr>
              <w:spacing w:line="360" w:lineRule="auto"/>
              <w:ind w:firstLine="482"/>
              <w:rPr>
                <w:rFonts w:hint="eastAsia" w:ascii="仿宋" w:hAnsi="仿宋" w:eastAsia="仿宋" w:cs="仿宋"/>
                <w:b/>
                <w:bCs/>
                <w:kern w:val="0"/>
                <w:sz w:val="24"/>
              </w:rPr>
            </w:pPr>
            <w:r>
              <w:rPr>
                <w:rFonts w:hint="eastAsia" w:ascii="仿宋" w:hAnsi="仿宋" w:eastAsia="仿宋" w:cs="仿宋"/>
                <w:b/>
                <w:bCs/>
                <w:kern w:val="0"/>
                <w:sz w:val="24"/>
              </w:rPr>
              <w:t xml:space="preserve">地 址： </w:t>
            </w:r>
          </w:p>
        </w:tc>
        <w:tc>
          <w:tcPr>
            <w:tcW w:w="4397" w:type="dxa"/>
            <w:shd w:val="clear" w:color="auto" w:fill="auto"/>
            <w:noWrap/>
          </w:tcPr>
          <w:p w14:paraId="03E3C915">
            <w:pPr>
              <w:spacing w:line="360" w:lineRule="auto"/>
              <w:ind w:firstLine="482"/>
              <w:rPr>
                <w:rFonts w:hint="eastAsia" w:ascii="仿宋" w:hAnsi="仿宋" w:eastAsia="仿宋" w:cs="仿宋"/>
                <w:b/>
                <w:bCs/>
                <w:kern w:val="0"/>
                <w:sz w:val="24"/>
              </w:rPr>
            </w:pPr>
            <w:r>
              <w:rPr>
                <w:rFonts w:hint="eastAsia" w:ascii="仿宋" w:hAnsi="仿宋" w:eastAsia="仿宋" w:cs="仿宋"/>
                <w:b/>
                <w:bCs/>
                <w:kern w:val="0"/>
                <w:sz w:val="24"/>
              </w:rPr>
              <w:t xml:space="preserve">地 址： </w:t>
            </w:r>
          </w:p>
        </w:tc>
      </w:tr>
      <w:tr w14:paraId="20639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4846" w:type="dxa"/>
            <w:shd w:val="clear" w:color="auto" w:fill="auto"/>
            <w:noWrap/>
          </w:tcPr>
          <w:p w14:paraId="486D16FC">
            <w:pPr>
              <w:spacing w:line="360" w:lineRule="auto"/>
              <w:ind w:firstLine="482"/>
              <w:rPr>
                <w:rFonts w:hint="eastAsia" w:ascii="仿宋" w:hAnsi="仿宋" w:eastAsia="仿宋" w:cs="仿宋"/>
                <w:b/>
                <w:bCs/>
                <w:kern w:val="0"/>
                <w:sz w:val="24"/>
              </w:rPr>
            </w:pPr>
            <w:r>
              <w:rPr>
                <w:rFonts w:hint="eastAsia" w:ascii="仿宋" w:hAnsi="仿宋" w:eastAsia="仿宋" w:cs="仿宋"/>
                <w:b/>
                <w:bCs/>
                <w:color w:val="000000"/>
                <w:sz w:val="24"/>
              </w:rPr>
              <w:t>电 话：</w:t>
            </w:r>
          </w:p>
        </w:tc>
        <w:tc>
          <w:tcPr>
            <w:tcW w:w="4397" w:type="dxa"/>
            <w:shd w:val="clear" w:color="auto" w:fill="auto"/>
            <w:noWrap/>
          </w:tcPr>
          <w:p w14:paraId="73B9D354">
            <w:pPr>
              <w:spacing w:line="360" w:lineRule="auto"/>
              <w:ind w:firstLine="482"/>
              <w:rPr>
                <w:rFonts w:hint="eastAsia" w:ascii="仿宋" w:hAnsi="仿宋" w:eastAsia="仿宋" w:cs="仿宋"/>
                <w:b/>
                <w:bCs/>
                <w:color w:val="000000"/>
                <w:sz w:val="24"/>
              </w:rPr>
            </w:pPr>
            <w:r>
              <w:rPr>
                <w:rFonts w:hint="eastAsia" w:ascii="仿宋" w:hAnsi="仿宋" w:eastAsia="仿宋" w:cs="仿宋"/>
                <w:b/>
                <w:bCs/>
                <w:color w:val="000000"/>
                <w:sz w:val="24"/>
              </w:rPr>
              <w:t>电 话：</w:t>
            </w:r>
          </w:p>
        </w:tc>
      </w:tr>
      <w:tr w14:paraId="16010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5" w:hRule="atLeast"/>
        </w:trPr>
        <w:tc>
          <w:tcPr>
            <w:tcW w:w="4846" w:type="dxa"/>
            <w:shd w:val="clear" w:color="auto" w:fill="auto"/>
            <w:noWrap/>
          </w:tcPr>
          <w:p w14:paraId="78F3F048">
            <w:pPr>
              <w:spacing w:line="360" w:lineRule="auto"/>
              <w:ind w:firstLine="482"/>
              <w:rPr>
                <w:rFonts w:hint="eastAsia" w:ascii="仿宋" w:hAnsi="仿宋" w:eastAsia="仿宋" w:cs="仿宋"/>
                <w:b/>
                <w:bCs/>
                <w:kern w:val="0"/>
                <w:sz w:val="24"/>
              </w:rPr>
            </w:pPr>
            <w:r>
              <w:rPr>
                <w:rFonts w:hint="eastAsia" w:ascii="仿宋" w:hAnsi="仿宋" w:eastAsia="仿宋" w:cs="仿宋"/>
                <w:b/>
                <w:bCs/>
                <w:kern w:val="0"/>
                <w:sz w:val="24"/>
              </w:rPr>
              <w:t>甲方法定代表人或授权人（签字）：</w:t>
            </w:r>
          </w:p>
          <w:p w14:paraId="593A6EB8">
            <w:pPr>
              <w:ind w:firstLine="420"/>
              <w:rPr>
                <w:rFonts w:ascii="Times New Roman" w:hAnsi="Times New Roman" w:cs="Times New Roman"/>
                <w:szCs w:val="20"/>
              </w:rPr>
            </w:pPr>
          </w:p>
          <w:p w14:paraId="79EE5FA2">
            <w:pPr>
              <w:ind w:firstLine="420"/>
              <w:rPr>
                <w:rFonts w:ascii="Times New Roman" w:hAnsi="Times New Roman" w:cs="Times New Roman"/>
                <w:szCs w:val="20"/>
              </w:rPr>
            </w:pPr>
          </w:p>
          <w:p w14:paraId="6D25CBEC">
            <w:pPr>
              <w:spacing w:line="360" w:lineRule="auto"/>
              <w:ind w:firstLine="482"/>
              <w:rPr>
                <w:rFonts w:ascii="Times New Roman" w:hAnsi="Times New Roman" w:cs="Times New Roman"/>
              </w:rPr>
            </w:pPr>
            <w:r>
              <w:rPr>
                <w:rFonts w:hint="eastAsia" w:ascii="仿宋" w:hAnsi="仿宋" w:eastAsia="仿宋" w:cs="仿宋"/>
                <w:b/>
                <w:bCs/>
                <w:kern w:val="0"/>
                <w:sz w:val="24"/>
              </w:rPr>
              <w:t>分管领导、经办科室负责人（签字）：</w:t>
            </w:r>
          </w:p>
        </w:tc>
        <w:tc>
          <w:tcPr>
            <w:tcW w:w="4397" w:type="dxa"/>
            <w:shd w:val="clear" w:color="auto" w:fill="auto"/>
            <w:noWrap/>
          </w:tcPr>
          <w:p w14:paraId="35D7E9B2">
            <w:pPr>
              <w:spacing w:line="360" w:lineRule="auto"/>
              <w:ind w:firstLine="482"/>
              <w:rPr>
                <w:rFonts w:ascii="Times New Roman" w:hAnsi="Times New Roman" w:cs="Times New Roman"/>
              </w:rPr>
            </w:pPr>
            <w:r>
              <w:rPr>
                <w:rFonts w:hint="eastAsia" w:ascii="仿宋" w:hAnsi="仿宋" w:eastAsia="仿宋" w:cs="仿宋"/>
                <w:b/>
                <w:bCs/>
                <w:kern w:val="0"/>
                <w:sz w:val="24"/>
              </w:rPr>
              <w:t>乙方法定代表人或授权人（签字）：</w:t>
            </w:r>
          </w:p>
        </w:tc>
      </w:tr>
      <w:tr w14:paraId="0076A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9243" w:type="dxa"/>
            <w:gridSpan w:val="2"/>
            <w:shd w:val="clear" w:color="auto" w:fill="auto"/>
            <w:noWrap/>
            <w:vAlign w:val="center"/>
          </w:tcPr>
          <w:p w14:paraId="253781C6">
            <w:pPr>
              <w:spacing w:line="480" w:lineRule="exact"/>
              <w:ind w:firstLine="482"/>
              <w:jc w:val="center"/>
              <w:rPr>
                <w:rFonts w:hint="eastAsia" w:ascii="仿宋" w:hAnsi="仿宋" w:eastAsia="仿宋" w:cs="仿宋"/>
                <w:b/>
                <w:bCs/>
                <w:color w:val="000000"/>
                <w:sz w:val="24"/>
              </w:rPr>
            </w:pPr>
            <w:r>
              <w:rPr>
                <w:rFonts w:hint="eastAsia" w:ascii="仿宋" w:hAnsi="仿宋" w:eastAsia="仿宋" w:cs="仿宋"/>
                <w:b/>
                <w:bCs/>
                <w:color w:val="000000"/>
                <w:sz w:val="24"/>
              </w:rPr>
              <w:t>签约时间：    年  月  日</w:t>
            </w:r>
          </w:p>
          <w:p w14:paraId="44664959">
            <w:pPr>
              <w:spacing w:line="480" w:lineRule="exact"/>
              <w:ind w:firstLine="482"/>
              <w:jc w:val="center"/>
              <w:rPr>
                <w:rFonts w:hint="eastAsia" w:ascii="宋体" w:hAnsi="宋体" w:cs="Times New Roman"/>
                <w:kern w:val="0"/>
                <w:sz w:val="24"/>
              </w:rPr>
            </w:pPr>
            <w:r>
              <w:rPr>
                <w:rFonts w:hint="eastAsia" w:ascii="仿宋" w:hAnsi="仿宋" w:eastAsia="仿宋" w:cs="仿宋"/>
                <w:b/>
                <w:bCs/>
                <w:color w:val="000000"/>
                <w:sz w:val="24"/>
              </w:rPr>
              <w:t>签约地址：深圳市龙岗区第七人民医院</w:t>
            </w:r>
          </w:p>
        </w:tc>
      </w:tr>
    </w:tbl>
    <w:p w14:paraId="4E39D176">
      <w:pPr>
        <w:spacing w:line="400" w:lineRule="exact"/>
        <w:ind w:firstLine="643"/>
        <w:rPr>
          <w:rFonts w:ascii="Verdana" w:hAnsi="Verdana" w:eastAsia="仿宋_GB2312" w:cs="Times New Roman"/>
          <w:b/>
          <w:bCs/>
          <w:kern w:val="0"/>
          <w:sz w:val="24"/>
        </w:rPr>
      </w:pPr>
      <w:r>
        <w:rPr>
          <w:rFonts w:hint="eastAsia" w:ascii="仿宋" w:hAnsi="仿宋" w:eastAsia="仿宋" w:cs="仿宋_GB2312"/>
          <w:b/>
          <w:bCs/>
          <w:sz w:val="32"/>
          <w:szCs w:val="32"/>
        </w:rPr>
        <w:br w:type="page"/>
      </w:r>
    </w:p>
    <w:p w14:paraId="45AB9E79">
      <w:pPr>
        <w:widowControl/>
        <w:spacing w:line="520" w:lineRule="exact"/>
        <w:ind w:firstLine="320" w:firstLineChars="100"/>
        <w:rPr>
          <w:rFonts w:hint="eastAsia" w:ascii="黑体" w:hAnsi="黑体" w:eastAsia="黑体" w:cs="黑体"/>
          <w:b w:val="0"/>
          <w:bCs/>
          <w:color w:val="000000"/>
          <w:kern w:val="0"/>
          <w:sz w:val="32"/>
          <w:szCs w:val="32"/>
          <w:lang w:val="en-US" w:eastAsia="zh-CN"/>
        </w:rPr>
      </w:pPr>
      <w:r>
        <w:rPr>
          <w:rFonts w:hint="eastAsia" w:ascii="黑体" w:hAnsi="黑体" w:eastAsia="黑体" w:cs="黑体"/>
          <w:b w:val="0"/>
          <w:bCs/>
          <w:color w:val="000000"/>
          <w:kern w:val="0"/>
          <w:sz w:val="32"/>
          <w:szCs w:val="32"/>
          <w:lang w:val="en-US" w:eastAsia="zh-CN"/>
        </w:rPr>
        <w:t>附件1</w:t>
      </w:r>
    </w:p>
    <w:p w14:paraId="316649BE">
      <w:pPr>
        <w:widowControl/>
        <w:spacing w:line="520" w:lineRule="exact"/>
        <w:ind w:firstLine="442" w:firstLineChars="100"/>
        <w:rPr>
          <w:rFonts w:cs="方正小标宋简体" w:asciiTheme="minorEastAsia" w:hAnsiTheme="minorEastAsia" w:eastAsiaTheme="minorEastAsia"/>
          <w:b/>
          <w:color w:val="000000"/>
          <w:kern w:val="0"/>
          <w:sz w:val="44"/>
          <w:szCs w:val="44"/>
        </w:rPr>
      </w:pPr>
      <w:r>
        <w:rPr>
          <w:rFonts w:hint="eastAsia" w:cs="方正小标宋简体" w:asciiTheme="minorEastAsia" w:hAnsiTheme="minorEastAsia" w:eastAsiaTheme="minorEastAsia"/>
          <w:b/>
          <w:color w:val="000000"/>
          <w:kern w:val="0"/>
          <w:sz w:val="44"/>
          <w:szCs w:val="44"/>
        </w:rPr>
        <w:t>龙岗区进一步规范政商交往行为告知书</w:t>
      </w:r>
    </w:p>
    <w:p w14:paraId="6BA53214">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rPr>
      </w:pPr>
      <w:r>
        <w:rPr>
          <w:rFonts w:hint="eastAsia" w:ascii="仿宋" w:hAnsi="仿宋" w:eastAsia="仿宋" w:cs="仿宋_GB2312"/>
          <w:color w:val="000000"/>
          <w:kern w:val="0"/>
          <w:sz w:val="30"/>
          <w:szCs w:val="30"/>
        </w:rPr>
        <w:t>为深入构建</w:t>
      </w:r>
      <w:r>
        <w:rPr>
          <w:rFonts w:hint="eastAsia" w:ascii="仿宋" w:hAnsi="仿宋" w:eastAsia="仿宋" w:cs="仿宋_GB2312"/>
          <w:color w:val="000000"/>
          <w:kern w:val="0"/>
          <w:sz w:val="30"/>
          <w:szCs w:val="30"/>
          <w:lang w:eastAsia="zh-CN"/>
        </w:rPr>
        <w:t>“</w:t>
      </w:r>
      <w:r>
        <w:rPr>
          <w:rFonts w:hint="eastAsia" w:ascii="仿宋" w:hAnsi="仿宋" w:eastAsia="仿宋" w:cs="仿宋_GB2312"/>
          <w:color w:val="000000"/>
          <w:kern w:val="0"/>
          <w:sz w:val="30"/>
          <w:szCs w:val="30"/>
        </w:rPr>
        <w:t>亲</w:t>
      </w:r>
      <w:r>
        <w:rPr>
          <w:rFonts w:hint="eastAsia" w:ascii="仿宋" w:hAnsi="仿宋" w:eastAsia="仿宋" w:cs="仿宋_GB2312"/>
          <w:color w:val="000000"/>
          <w:kern w:val="0"/>
          <w:sz w:val="30"/>
          <w:szCs w:val="30"/>
          <w:lang w:eastAsia="zh-CN"/>
        </w:rPr>
        <w:t>”“</w:t>
      </w:r>
      <w:r>
        <w:rPr>
          <w:rFonts w:hint="eastAsia" w:ascii="仿宋" w:hAnsi="仿宋" w:eastAsia="仿宋" w:cs="仿宋_GB2312"/>
          <w:color w:val="000000"/>
          <w:kern w:val="0"/>
          <w:sz w:val="30"/>
          <w:szCs w:val="30"/>
        </w:rPr>
        <w:t>清</w:t>
      </w:r>
      <w:r>
        <w:rPr>
          <w:rFonts w:hint="eastAsia" w:ascii="仿宋" w:hAnsi="仿宋" w:eastAsia="仿宋" w:cs="仿宋_GB2312"/>
          <w:color w:val="000000"/>
          <w:kern w:val="0"/>
          <w:sz w:val="30"/>
          <w:szCs w:val="30"/>
          <w:lang w:eastAsia="zh-CN"/>
        </w:rPr>
        <w:t>”</w:t>
      </w:r>
      <w:r>
        <w:rPr>
          <w:rFonts w:hint="eastAsia" w:ascii="仿宋" w:hAnsi="仿宋" w:eastAsia="仿宋" w:cs="仿宋_GB2312"/>
          <w:color w:val="000000"/>
          <w:kern w:val="0"/>
          <w:sz w:val="30"/>
          <w:szCs w:val="30"/>
        </w:rPr>
        <w:t>新型政商关系，努力打造尊商、亲商、助商、安商良好营商环境，龙岗区委区政府制定了《龙岗区公职人员政商交往“十个不准”》，严明公职人员在政商交往中的纪律要求。请参与龙岗建设的广大企业及其从业人员，严格监督我区公职人员落实“十个不准”，并在与我区公职人员交往中切实做到“十个不得”。</w:t>
      </w:r>
    </w:p>
    <w:p w14:paraId="312AAD61">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rPr>
      </w:pPr>
      <w:r>
        <w:rPr>
          <w:rFonts w:hint="eastAsia" w:ascii="仿宋" w:hAnsi="仿宋" w:eastAsia="仿宋" w:cs="仿宋_GB2312"/>
          <w:color w:val="000000"/>
          <w:kern w:val="0"/>
          <w:sz w:val="30"/>
          <w:szCs w:val="30"/>
        </w:rPr>
        <w:t>一、不得向公职人员赠送礼品、礼金、消费卡等财物。</w:t>
      </w:r>
    </w:p>
    <w:p w14:paraId="5CC665A1">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rPr>
      </w:pPr>
      <w:r>
        <w:rPr>
          <w:rFonts w:hint="eastAsia" w:ascii="仿宋" w:hAnsi="仿宋" w:eastAsia="仿宋" w:cs="仿宋_GB2312"/>
          <w:color w:val="000000"/>
          <w:kern w:val="0"/>
          <w:sz w:val="30"/>
          <w:szCs w:val="30"/>
        </w:rPr>
        <w:t>二、不得违规向公职人员提供宴请、旅游、娱乐等安排。</w:t>
      </w:r>
    </w:p>
    <w:p w14:paraId="2A45283F">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rPr>
      </w:pPr>
      <w:r>
        <w:rPr>
          <w:rFonts w:hint="eastAsia" w:ascii="仿宋" w:hAnsi="仿宋" w:eastAsia="仿宋" w:cs="仿宋_GB2312"/>
          <w:color w:val="000000"/>
          <w:kern w:val="0"/>
          <w:sz w:val="30"/>
          <w:szCs w:val="30"/>
        </w:rPr>
        <w:t>三、不得通过打麻将等形式向公职人员输送利益。</w:t>
      </w:r>
    </w:p>
    <w:p w14:paraId="2FE7C83E">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rPr>
      </w:pPr>
      <w:r>
        <w:rPr>
          <w:rFonts w:hint="eastAsia" w:ascii="仿宋" w:hAnsi="仿宋" w:eastAsia="仿宋" w:cs="仿宋_GB2312"/>
          <w:color w:val="000000"/>
          <w:kern w:val="0"/>
          <w:sz w:val="30"/>
          <w:szCs w:val="30"/>
        </w:rPr>
        <w:t>四、不得为公职人员报销应由其个人支付的费用。</w:t>
      </w:r>
    </w:p>
    <w:p w14:paraId="3F1E65AF">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rPr>
      </w:pPr>
      <w:r>
        <w:rPr>
          <w:rFonts w:hint="eastAsia" w:ascii="仿宋" w:hAnsi="仿宋" w:eastAsia="仿宋" w:cs="仿宋_GB2312"/>
          <w:color w:val="000000"/>
          <w:kern w:val="0"/>
          <w:sz w:val="30"/>
          <w:szCs w:val="30"/>
        </w:rPr>
        <w:t>五、不得违规向公职人员及其亲友借贷款。</w:t>
      </w:r>
    </w:p>
    <w:p w14:paraId="3352EB17">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rPr>
      </w:pPr>
      <w:r>
        <w:rPr>
          <w:rFonts w:hint="eastAsia" w:ascii="仿宋" w:hAnsi="仿宋" w:eastAsia="仿宋" w:cs="仿宋_GB2312"/>
          <w:color w:val="000000"/>
          <w:kern w:val="0"/>
          <w:sz w:val="30"/>
          <w:szCs w:val="30"/>
        </w:rPr>
        <w:t>六、不得违规将车辆、住房等借给公职人员使用。</w:t>
      </w:r>
    </w:p>
    <w:p w14:paraId="2F0E7CBA">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rPr>
      </w:pPr>
      <w:r>
        <w:rPr>
          <w:rFonts w:hint="eastAsia" w:ascii="仿宋" w:hAnsi="仿宋" w:eastAsia="仿宋" w:cs="仿宋_GB2312"/>
          <w:color w:val="000000"/>
          <w:kern w:val="0"/>
          <w:sz w:val="30"/>
          <w:szCs w:val="30"/>
        </w:rPr>
        <w:t>七、不得在招投标中与公职人员搞暗箱操作、围标串标。</w:t>
      </w:r>
    </w:p>
    <w:p w14:paraId="54E4305D">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rPr>
      </w:pPr>
      <w:r>
        <w:rPr>
          <w:rFonts w:hint="eastAsia" w:ascii="仿宋" w:hAnsi="仿宋" w:eastAsia="仿宋" w:cs="仿宋_GB2312"/>
          <w:color w:val="000000"/>
          <w:kern w:val="0"/>
          <w:sz w:val="30"/>
          <w:szCs w:val="30"/>
        </w:rPr>
        <w:t>八、不得为利益相关人和公职人员牵线搭桥或者代为传递信息、传递财物。</w:t>
      </w:r>
    </w:p>
    <w:p w14:paraId="1471313B">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rPr>
      </w:pPr>
      <w:r>
        <w:rPr>
          <w:rFonts w:hint="eastAsia" w:ascii="仿宋" w:hAnsi="仿宋" w:eastAsia="仿宋" w:cs="仿宋_GB2312"/>
          <w:color w:val="000000"/>
          <w:kern w:val="0"/>
          <w:sz w:val="30"/>
          <w:szCs w:val="30"/>
        </w:rPr>
        <w:t>九、不得让公职人员在企业违规兼职取酬。</w:t>
      </w:r>
    </w:p>
    <w:p w14:paraId="602F483F">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rPr>
      </w:pPr>
      <w:r>
        <w:rPr>
          <w:rFonts w:hint="eastAsia" w:ascii="仿宋" w:hAnsi="仿宋" w:eastAsia="仿宋" w:cs="仿宋_GB2312"/>
          <w:color w:val="000000"/>
          <w:kern w:val="0"/>
          <w:sz w:val="30"/>
          <w:szCs w:val="30"/>
        </w:rPr>
        <w:t>十、不得为公职人员亲友违规承揽业务提供便利。</w:t>
      </w:r>
    </w:p>
    <w:p w14:paraId="1F024DEC">
      <w:pPr>
        <w:keepNext w:val="0"/>
        <w:keepLines w:val="0"/>
        <w:pageBreakBefore w:val="0"/>
        <w:kinsoku/>
        <w:wordWrap/>
        <w:overflowPunct/>
        <w:topLinePunct w:val="0"/>
        <w:autoSpaceDE/>
        <w:autoSpaceDN/>
        <w:bidi w:val="0"/>
        <w:adjustRightInd/>
        <w:snapToGrid/>
        <w:spacing w:line="480" w:lineRule="exact"/>
        <w:textAlignment w:val="auto"/>
        <w:rPr>
          <w:rFonts w:ascii="仿宋" w:hAnsi="仿宋" w:eastAsia="仿宋" w:cs="仿宋_GB2312"/>
          <w:color w:val="000000"/>
          <w:kern w:val="0"/>
          <w:sz w:val="30"/>
          <w:szCs w:val="30"/>
        </w:rPr>
      </w:pPr>
      <w:r>
        <w:rPr>
          <w:rFonts w:hint="eastAsia" w:ascii="仿宋" w:hAnsi="仿宋" w:eastAsia="仿宋" w:cs="仿宋_GB2312"/>
          <w:color w:val="000000"/>
          <w:kern w:val="0"/>
          <w:sz w:val="30"/>
          <w:szCs w:val="30"/>
        </w:rPr>
        <w:t>上述“十个不得”，请您严格遵守。同时，在政商交往中，如有发现我区公职人员存在违反“十个不准”的问题，请及时通过网络举报平台或者 12388 举报电话等方式，向纪检监察机关反映举报，我们将一律严格保密、一律优先处置、一律严肃查处。</w:t>
      </w:r>
    </w:p>
    <w:p w14:paraId="241DA2CE">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rPr>
      </w:pPr>
      <w:r>
        <w:rPr>
          <w:rFonts w:hint="eastAsia" w:ascii="仿宋" w:hAnsi="仿宋" w:eastAsia="仿宋" w:cs="仿宋_GB2312"/>
          <w:color w:val="000000"/>
          <w:kern w:val="0"/>
          <w:sz w:val="30"/>
          <w:szCs w:val="30"/>
        </w:rPr>
        <w:t>本人已知晓上述告知内容，并愿意遵照执行（签名、盖章）：</w:t>
      </w:r>
    </w:p>
    <w:p w14:paraId="668F769B">
      <w:pPr>
        <w:keepNext w:val="0"/>
        <w:keepLines w:val="0"/>
        <w:pageBreakBefore w:val="0"/>
        <w:widowControl/>
        <w:kinsoku/>
        <w:wordWrap/>
        <w:overflowPunct/>
        <w:topLinePunct w:val="0"/>
        <w:autoSpaceDE/>
        <w:autoSpaceDN/>
        <w:bidi w:val="0"/>
        <w:adjustRightInd/>
        <w:snapToGrid/>
        <w:spacing w:line="480" w:lineRule="exact"/>
        <w:ind w:firstLine="5100" w:firstLineChars="1700"/>
        <w:jc w:val="left"/>
        <w:textAlignment w:val="auto"/>
        <w:rPr>
          <w:rFonts w:ascii="仿宋" w:hAnsi="仿宋" w:eastAsia="仿宋" w:cs="仿宋_GB2312"/>
          <w:color w:val="000000"/>
          <w:kern w:val="0"/>
          <w:sz w:val="30"/>
          <w:szCs w:val="30"/>
        </w:rPr>
      </w:pPr>
    </w:p>
    <w:p w14:paraId="062FFB5B">
      <w:pPr>
        <w:keepNext w:val="0"/>
        <w:keepLines w:val="0"/>
        <w:pageBreakBefore w:val="0"/>
        <w:widowControl/>
        <w:kinsoku/>
        <w:wordWrap/>
        <w:overflowPunct/>
        <w:topLinePunct w:val="0"/>
        <w:autoSpaceDE/>
        <w:autoSpaceDN/>
        <w:bidi w:val="0"/>
        <w:adjustRightInd/>
        <w:snapToGrid/>
        <w:spacing w:line="480" w:lineRule="exact"/>
        <w:ind w:firstLine="5100" w:firstLineChars="1700"/>
        <w:jc w:val="left"/>
        <w:textAlignment w:val="auto"/>
        <w:rPr>
          <w:rFonts w:ascii="仿宋" w:hAnsi="仿宋" w:eastAsia="仿宋" w:cs="楷体_GB2312"/>
          <w:color w:val="000000"/>
          <w:kern w:val="0"/>
          <w:sz w:val="24"/>
          <w:szCs w:val="24"/>
        </w:rPr>
      </w:pPr>
      <w:r>
        <w:rPr>
          <w:rFonts w:hint="eastAsia" w:ascii="仿宋" w:hAnsi="仿宋" w:eastAsia="仿宋" w:cs="仿宋_GB2312"/>
          <w:color w:val="000000"/>
          <w:kern w:val="0"/>
          <w:sz w:val="30"/>
          <w:szCs w:val="30"/>
        </w:rPr>
        <w:t>20  年  月  日</w:t>
      </w:r>
    </w:p>
    <w:p w14:paraId="38B980BE">
      <w:pPr>
        <w:widowControl/>
        <w:jc w:val="left"/>
        <w:rPr>
          <w:rFonts w:ascii="仿宋" w:hAnsi="仿宋" w:eastAsia="仿宋" w:cs="仿宋_GB2312"/>
          <w:color w:val="000000"/>
          <w:sz w:val="24"/>
          <w:szCs w:val="24"/>
        </w:rPr>
      </w:pPr>
      <w:r>
        <w:rPr>
          <w:rFonts w:ascii="仿宋" w:hAnsi="仿宋" w:eastAsia="仿宋" w:cs="楷体_GB2312"/>
          <w:color w:val="000000"/>
          <w:kern w:val="0"/>
          <w:sz w:val="24"/>
          <w:szCs w:val="24"/>
        </w:rPr>
        <w:t>（本告知书一式两份，一份由被告知人保存，一份由告知人所在单位留存。）</w:t>
      </w:r>
    </w:p>
    <w:p w14:paraId="787022E1">
      <w:pPr>
        <w:widowControl/>
        <w:spacing w:line="520" w:lineRule="exact"/>
        <w:ind w:firstLine="320" w:firstLineChars="100"/>
        <w:rPr>
          <w:rFonts w:hint="eastAsia" w:ascii="黑体" w:hAnsi="黑体" w:eastAsia="黑体" w:cs="黑体"/>
          <w:b w:val="0"/>
          <w:bCs/>
          <w:color w:val="000000"/>
          <w:kern w:val="0"/>
          <w:sz w:val="32"/>
          <w:szCs w:val="32"/>
          <w:lang w:val="en-US" w:eastAsia="zh-CN"/>
        </w:rPr>
      </w:pPr>
      <w:r>
        <w:rPr>
          <w:rFonts w:hint="eastAsia" w:ascii="黑体" w:hAnsi="黑体" w:eastAsia="黑体" w:cs="黑体"/>
          <w:b w:val="0"/>
          <w:bCs/>
          <w:color w:val="000000"/>
          <w:kern w:val="0"/>
          <w:sz w:val="32"/>
          <w:szCs w:val="32"/>
          <w:lang w:val="en-US" w:eastAsia="zh-CN"/>
        </w:rPr>
        <w:t>附件2</w:t>
      </w:r>
    </w:p>
    <w:p w14:paraId="75963E26">
      <w:pPr>
        <w:jc w:val="center"/>
        <w:rPr>
          <w:rFonts w:hint="eastAsia" w:ascii="宋体" w:hAnsi="宋体"/>
          <w:b w:val="0"/>
          <w:bCs/>
          <w:sz w:val="44"/>
          <w:szCs w:val="44"/>
        </w:rPr>
      </w:pPr>
      <w:r>
        <w:rPr>
          <w:rFonts w:hint="eastAsia" w:ascii="宋体" w:hAnsi="宋体"/>
          <w:b w:val="0"/>
          <w:bCs/>
          <w:sz w:val="44"/>
          <w:szCs w:val="44"/>
        </w:rPr>
        <w:t>深圳市龙岗区第七人民医院廉洁购销合同</w:t>
      </w:r>
    </w:p>
    <w:p w14:paraId="58D77A80">
      <w:pPr>
        <w:jc w:val="center"/>
        <w:rPr>
          <w:rFonts w:hint="eastAsia" w:ascii="宋体" w:hAnsi="宋体"/>
          <w:b/>
          <w:sz w:val="24"/>
          <w:szCs w:val="24"/>
        </w:rPr>
      </w:pPr>
    </w:p>
    <w:p w14:paraId="470758F2">
      <w:pPr>
        <w:spacing w:line="580" w:lineRule="exact"/>
        <w:rPr>
          <w:rFonts w:ascii="仿宋_GB2312" w:hAnsi="ˎ̥" w:eastAsia="仿宋_GB2312"/>
          <w:sz w:val="32"/>
          <w:szCs w:val="32"/>
        </w:rPr>
      </w:pPr>
      <w:r>
        <w:rPr>
          <w:rFonts w:hint="eastAsia" w:ascii="楷体_GB2312" w:hAnsi="ˎ̥" w:eastAsia="楷体_GB2312"/>
          <w:b/>
          <w:sz w:val="32"/>
          <w:szCs w:val="32"/>
        </w:rPr>
        <w:t>甲方</w:t>
      </w:r>
      <w:r>
        <w:rPr>
          <w:rFonts w:hint="eastAsia" w:ascii="仿宋_GB2312" w:hAnsi="ˎ̥" w:eastAsia="仿宋_GB2312"/>
          <w:sz w:val="32"/>
          <w:szCs w:val="32"/>
        </w:rPr>
        <w:t>：深圳市龙岗区第七人民医院</w:t>
      </w:r>
    </w:p>
    <w:p w14:paraId="10DADD15">
      <w:pPr>
        <w:spacing w:line="400" w:lineRule="exact"/>
        <w:rPr>
          <w:rFonts w:hint="default" w:ascii="楷体_GB2312" w:hAnsi="ˎ̥" w:eastAsia="仿宋_GB2312"/>
          <w:b/>
          <w:sz w:val="32"/>
          <w:szCs w:val="32"/>
          <w:lang w:val="en-US" w:eastAsia="zh-CN"/>
        </w:rPr>
      </w:pPr>
      <w:r>
        <w:rPr>
          <w:rFonts w:hint="eastAsia" w:ascii="楷体_GB2312" w:hAnsi="ˎ̥" w:eastAsia="楷体_GB2312"/>
          <w:b/>
          <w:sz w:val="32"/>
          <w:szCs w:val="32"/>
        </w:rPr>
        <w:t>乙方</w:t>
      </w:r>
      <w:r>
        <w:rPr>
          <w:rFonts w:hint="eastAsia" w:ascii="仿宋_GB2312" w:hAnsi="ˎ̥" w:eastAsia="仿宋_GB2312"/>
          <w:sz w:val="32"/>
          <w:szCs w:val="32"/>
        </w:rPr>
        <w:t>：</w:t>
      </w:r>
    </w:p>
    <w:p w14:paraId="1048CF82">
      <w:pPr>
        <w:spacing w:line="580" w:lineRule="exact"/>
        <w:rPr>
          <w:rFonts w:hint="eastAsia" w:ascii="仿宋_GB2312" w:hAnsi="ˎ̥" w:eastAsia="仿宋_GB2312" w:cs="黑体"/>
          <w:sz w:val="32"/>
          <w:szCs w:val="32"/>
          <w:lang w:val="zh-CN"/>
        </w:rPr>
      </w:pPr>
      <w:r>
        <w:rPr>
          <w:rFonts w:hint="eastAsia" w:ascii="楷体_GB2312" w:hAnsi="ˎ̥" w:eastAsia="楷体_GB2312"/>
          <w:b/>
          <w:sz w:val="32"/>
          <w:szCs w:val="32"/>
        </w:rPr>
        <w:t>项目名称：</w:t>
      </w:r>
      <w:r>
        <w:rPr>
          <w:rFonts w:hint="eastAsia" w:ascii="仿宋_GB2312" w:hAnsi="ˎ̥" w:eastAsia="仿宋_GB2312" w:cs="黑体"/>
          <w:sz w:val="32"/>
          <w:szCs w:val="32"/>
          <w:lang w:val="zh-CN"/>
        </w:rPr>
        <w:t>深圳市龙岗区第七人民医院2026-2027年度五金耗材</w:t>
      </w:r>
    </w:p>
    <w:p w14:paraId="725A48A1">
      <w:pPr>
        <w:spacing w:line="580" w:lineRule="exact"/>
        <w:rPr>
          <w:rFonts w:hint="eastAsia" w:ascii="仿宋_GB2312" w:hAnsi="ˎ̥" w:eastAsia="仿宋_GB2312"/>
          <w:sz w:val="32"/>
          <w:szCs w:val="32"/>
          <w:lang w:val="en-US" w:eastAsia="zh-CN"/>
        </w:rPr>
      </w:pPr>
      <w:r>
        <w:rPr>
          <w:rFonts w:hint="eastAsia" w:ascii="楷体_GB2312" w:hAnsi="ˎ̥" w:eastAsia="楷体_GB2312"/>
          <w:b/>
          <w:sz w:val="32"/>
          <w:szCs w:val="32"/>
        </w:rPr>
        <w:t>合同总价</w:t>
      </w:r>
      <w:r>
        <w:rPr>
          <w:rFonts w:hint="eastAsia" w:ascii="楷体_GB2312" w:hAnsi="ˎ̥" w:eastAsia="楷体_GB2312"/>
          <w:sz w:val="32"/>
          <w:szCs w:val="32"/>
        </w:rPr>
        <w:t>：</w:t>
      </w:r>
      <w:r>
        <w:rPr>
          <w:rFonts w:hint="eastAsia" w:ascii="楷体_GB2312" w:hAnsi="ˎ̥" w:eastAsia="楷体_GB2312"/>
          <w:sz w:val="32"/>
          <w:szCs w:val="32"/>
          <w:highlight w:val="none"/>
          <w:lang w:val="en-US" w:eastAsia="zh-CN"/>
        </w:rPr>
        <w:t xml:space="preserve">       </w:t>
      </w:r>
      <w:r>
        <w:rPr>
          <w:rFonts w:hint="eastAsia" w:ascii="仿宋_GB2312" w:hAnsi="ˎ̥" w:eastAsia="仿宋_GB2312"/>
          <w:sz w:val="32"/>
          <w:szCs w:val="32"/>
          <w:highlight w:val="none"/>
          <w:lang w:val="en-US" w:eastAsia="zh-CN"/>
        </w:rPr>
        <w:t>元</w:t>
      </w:r>
    </w:p>
    <w:p w14:paraId="638369DA">
      <w:pPr>
        <w:spacing w:line="580" w:lineRule="exact"/>
        <w:rPr>
          <w:rFonts w:hint="eastAsia" w:ascii="楷体_GB2312" w:hAnsi="ˎ̥" w:eastAsia="楷体_GB2312"/>
          <w:b/>
          <w:sz w:val="32"/>
          <w:szCs w:val="32"/>
          <w:lang w:val="en-US" w:eastAsia="zh-CN"/>
        </w:rPr>
      </w:pPr>
      <w:r>
        <w:rPr>
          <w:rFonts w:hint="eastAsia" w:ascii="楷体_GB2312" w:hAnsi="ˎ̥" w:eastAsia="楷体_GB2312"/>
          <w:b/>
          <w:sz w:val="32"/>
          <w:szCs w:val="32"/>
        </w:rPr>
        <w:t>主办科室：</w:t>
      </w:r>
      <w:r>
        <w:rPr>
          <w:rFonts w:hint="eastAsia" w:ascii="楷体_GB2312" w:hAnsi="ˎ̥" w:eastAsia="楷体_GB2312"/>
          <w:b w:val="0"/>
          <w:bCs/>
          <w:sz w:val="32"/>
          <w:szCs w:val="32"/>
          <w:lang w:val="en-US" w:eastAsia="zh-CN"/>
        </w:rPr>
        <w:t>总务科</w:t>
      </w:r>
    </w:p>
    <w:p w14:paraId="6156B1E7">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ˎ̥" w:eastAsia="仿宋_GB2312"/>
          <w:sz w:val="32"/>
          <w:szCs w:val="32"/>
        </w:rPr>
      </w:pPr>
      <w:r>
        <w:rPr>
          <w:rFonts w:hint="eastAsia" w:ascii="仿宋_GB2312" w:hAnsi="ˎ̥" w:eastAsia="仿宋_GB2312"/>
          <w:sz w:val="32"/>
          <w:szCs w:val="32"/>
        </w:rPr>
        <w:t>为进一步加强医疗卫生行风建设，规范购销行为，有效防范商业贿赂，营造公平交易、诚实守信的购销环境，经甲、乙双方协商，同意签订本合同，并共同遵守：</w:t>
      </w:r>
    </w:p>
    <w:p w14:paraId="0029C51E">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ˎ̥" w:eastAsia="仿宋_GB2312"/>
          <w:sz w:val="32"/>
          <w:szCs w:val="32"/>
        </w:rPr>
      </w:pPr>
      <w:r>
        <w:rPr>
          <w:rFonts w:hint="eastAsia" w:ascii="仿宋_GB2312" w:hAnsi="ˎ̥" w:eastAsia="仿宋_GB2312"/>
          <w:sz w:val="32"/>
          <w:szCs w:val="32"/>
        </w:rPr>
        <w:t>一、甲乙双方按照《</w:t>
      </w:r>
      <w:r>
        <w:rPr>
          <w:rFonts w:hint="eastAsia" w:ascii="仿宋_GB2312" w:hAnsi="ˎ̥" w:eastAsia="仿宋_GB2312"/>
          <w:sz w:val="32"/>
          <w:szCs w:val="32"/>
          <w:lang w:val="en-US" w:eastAsia="zh-CN"/>
        </w:rPr>
        <w:t>中华人民共和国民法典</w:t>
      </w:r>
      <w:r>
        <w:rPr>
          <w:rFonts w:hint="eastAsia" w:ascii="仿宋_GB2312" w:hAnsi="ˎ̥" w:eastAsia="仿宋_GB2312"/>
          <w:sz w:val="32"/>
          <w:szCs w:val="32"/>
        </w:rPr>
        <w:t>》及产品</w:t>
      </w:r>
      <w:r>
        <w:rPr>
          <w:rFonts w:hint="eastAsia" w:ascii="仿宋_GB2312" w:eastAsia="仿宋_GB2312"/>
          <w:sz w:val="32"/>
          <w:szCs w:val="32"/>
        </w:rPr>
        <w:t>购销合同</w:t>
      </w:r>
      <w:r>
        <w:rPr>
          <w:rFonts w:hint="eastAsia" w:ascii="仿宋_GB2312" w:hAnsi="ˎ̥" w:eastAsia="仿宋_GB2312"/>
          <w:sz w:val="32"/>
          <w:szCs w:val="32"/>
        </w:rPr>
        <w:t>约定实施购销行为。</w:t>
      </w:r>
    </w:p>
    <w:p w14:paraId="64A04762">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ˎ̥" w:eastAsia="仿宋_GB2312"/>
          <w:sz w:val="32"/>
          <w:szCs w:val="32"/>
        </w:rPr>
      </w:pPr>
      <w:r>
        <w:rPr>
          <w:rFonts w:hint="eastAsia" w:ascii="仿宋_GB2312" w:hAnsi="ˎ̥" w:eastAsia="仿宋_GB2312"/>
          <w:sz w:val="32"/>
          <w:szCs w:val="32"/>
        </w:rPr>
        <w:t>二、甲方应当严格执行验收、入库制度，对采购产品及发票进行查验，不得违反有关规定进行合同外采购、违价采购或从非规定渠道采购。</w:t>
      </w:r>
    </w:p>
    <w:p w14:paraId="31889727">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ˎ̥" w:eastAsia="仿宋_GB2312"/>
          <w:sz w:val="32"/>
          <w:szCs w:val="32"/>
        </w:rPr>
      </w:pPr>
      <w:r>
        <w:rPr>
          <w:rFonts w:hint="eastAsia" w:ascii="仿宋_GB2312" w:hAnsi="ˎ̥" w:eastAsia="仿宋_GB2312"/>
          <w:sz w:val="32"/>
          <w:szCs w:val="32"/>
        </w:rPr>
        <w:t>三、甲方不得接受乙方以任何名义、形式给予的利益输送，不得将接受捐赠资助与采购挂钩。甲方工作人员不得参加乙方安排并支付费用的营业性娱乐场所的娱乐活动，</w:t>
      </w:r>
      <w:r>
        <w:rPr>
          <w:rFonts w:hint="eastAsia" w:ascii="仿宋_GB2312" w:eastAsia="仿宋_GB2312"/>
          <w:sz w:val="32"/>
          <w:szCs w:val="32"/>
        </w:rPr>
        <w:t>不得以任何形式向乙方索要现金、有价证券、支付凭证和贵重礼品等</w:t>
      </w:r>
      <w:r>
        <w:rPr>
          <w:rFonts w:hint="eastAsia" w:ascii="仿宋_GB2312" w:hAnsi="ˎ̥" w:eastAsia="仿宋_GB2312"/>
          <w:sz w:val="32"/>
          <w:szCs w:val="32"/>
        </w:rPr>
        <w:t>。被迫接受乙方给予的钱物，应予退还，无法退还的，有责任如实向纪检监察部门反映情况。</w:t>
      </w:r>
    </w:p>
    <w:p w14:paraId="1B5648E5">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ˎ̥" w:eastAsia="仿宋_GB2312"/>
          <w:sz w:val="32"/>
          <w:szCs w:val="32"/>
        </w:rPr>
      </w:pPr>
      <w:r>
        <w:rPr>
          <w:rFonts w:hint="eastAsia" w:ascii="仿宋_GB2312" w:hAnsi="ˎ̥" w:eastAsia="仿宋_GB2312"/>
          <w:sz w:val="32"/>
          <w:szCs w:val="32"/>
        </w:rPr>
        <w:t>四、严禁甲方工作人员利用任何途径和方式，非法为乙方统计医师个人及临床科室有关医药产品用量信息，或为乙方统方提供便利。</w:t>
      </w:r>
    </w:p>
    <w:p w14:paraId="2D418639">
      <w:pPr>
        <w:keepNext w:val="0"/>
        <w:keepLines w:val="0"/>
        <w:pageBreakBefore w:val="0"/>
        <w:kinsoku/>
        <w:wordWrap/>
        <w:overflowPunct/>
        <w:topLinePunct w:val="0"/>
        <w:autoSpaceDE/>
        <w:autoSpaceDN/>
        <w:bidi w:val="0"/>
        <w:adjustRightInd/>
        <w:snapToGrid/>
        <w:spacing w:line="560" w:lineRule="exact"/>
        <w:ind w:firstLine="640" w:firstLineChars="200"/>
        <w:rPr>
          <w:rFonts w:ascii="仿宋_GB2312" w:eastAsia="仿宋_GB2312"/>
          <w:sz w:val="32"/>
          <w:szCs w:val="32"/>
        </w:rPr>
      </w:pPr>
      <w:r>
        <w:rPr>
          <w:rFonts w:hint="eastAsia" w:ascii="仿宋_GB2312" w:eastAsia="仿宋_GB2312"/>
          <w:sz w:val="32"/>
          <w:szCs w:val="32"/>
        </w:rPr>
        <w:t>五、</w:t>
      </w:r>
      <w:r>
        <w:rPr>
          <w:rFonts w:hint="eastAsia" w:ascii="仿宋_GB2312" w:hAnsi="ˎ̥" w:eastAsia="仿宋_GB2312"/>
          <w:sz w:val="32"/>
          <w:szCs w:val="32"/>
        </w:rPr>
        <w:t>乙方不得以回扣、</w:t>
      </w:r>
      <w:r>
        <w:rPr>
          <w:rFonts w:hint="eastAsia" w:ascii="仿宋_GB2312" w:eastAsia="仿宋_GB2312"/>
          <w:sz w:val="32"/>
          <w:szCs w:val="32"/>
        </w:rPr>
        <w:t>宴请等方式影响甲方工作人员采购或使用医药产品的选择权，不得在学术活动中提供旅游、超标准支付食宿费用，以及其他任何形式的利益输送。</w:t>
      </w:r>
    </w:p>
    <w:p w14:paraId="58433975">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ˎ̥" w:eastAsia="仿宋_GB2312"/>
          <w:sz w:val="32"/>
          <w:szCs w:val="32"/>
        </w:rPr>
      </w:pPr>
      <w:r>
        <w:rPr>
          <w:rFonts w:hint="eastAsia" w:ascii="仿宋_GB2312" w:eastAsia="仿宋_GB2312"/>
          <w:sz w:val="32"/>
          <w:szCs w:val="32"/>
        </w:rPr>
        <w:t>六、乙方指定</w:t>
      </w:r>
      <w:r>
        <w:rPr>
          <w:rFonts w:hint="eastAsia" w:ascii="仿宋_GB2312" w:eastAsia="仿宋_GB2312"/>
          <w:sz w:val="32"/>
          <w:szCs w:val="32"/>
          <w:u w:val="single"/>
        </w:rPr>
        <w:t xml:space="preserve">        </w:t>
      </w:r>
      <w:r>
        <w:rPr>
          <w:rFonts w:hint="eastAsia" w:ascii="仿宋_GB2312" w:eastAsia="仿宋_GB2312"/>
          <w:sz w:val="32"/>
          <w:szCs w:val="32"/>
        </w:rPr>
        <w:t>作为销售代表洽谈业务。销售代表必须在工作时间到甲方指定地点联系商谈，不得到住院部、门诊部、医技科室等推销医药产品，不得借故到甲方相关领导、部门</w:t>
      </w:r>
      <w:r>
        <w:rPr>
          <w:rFonts w:hint="eastAsia" w:ascii="仿宋_GB2312" w:hAnsi="ˎ̥" w:eastAsia="仿宋_GB2312"/>
          <w:sz w:val="32"/>
          <w:szCs w:val="32"/>
        </w:rPr>
        <w:t>负责人及相关工作人员家中访谈并提供任何好处费。</w:t>
      </w:r>
    </w:p>
    <w:p w14:paraId="6F31A6DF">
      <w:pPr>
        <w:keepNext w:val="0"/>
        <w:keepLines w:val="0"/>
        <w:pageBreakBefore w:val="0"/>
        <w:kinsoku/>
        <w:wordWrap/>
        <w:overflowPunct/>
        <w:topLinePunct w:val="0"/>
        <w:autoSpaceDE/>
        <w:autoSpaceDN/>
        <w:bidi w:val="0"/>
        <w:adjustRightInd/>
        <w:snapToGrid/>
        <w:spacing w:line="560" w:lineRule="exact"/>
        <w:ind w:firstLine="640" w:firstLineChars="200"/>
        <w:rPr>
          <w:rFonts w:ascii="仿宋_GB2312" w:eastAsia="仿宋_GB2312"/>
          <w:sz w:val="32"/>
          <w:szCs w:val="32"/>
        </w:rPr>
      </w:pPr>
      <w:r>
        <w:rPr>
          <w:rFonts w:hint="eastAsia" w:ascii="仿宋_GB2312" w:eastAsia="仿宋_GB2312"/>
          <w:sz w:val="32"/>
          <w:szCs w:val="32"/>
        </w:rPr>
        <w:t>七、</w:t>
      </w:r>
      <w:r>
        <w:rPr>
          <w:rFonts w:hint="eastAsia" w:ascii="仿宋_GB2312" w:hAnsi="ˎ̥" w:eastAsia="仿宋_GB2312"/>
          <w:sz w:val="32"/>
          <w:szCs w:val="32"/>
        </w:rPr>
        <w:t>乙方如违反本合同，一经发现，</w:t>
      </w:r>
      <w:r>
        <w:rPr>
          <w:rFonts w:hint="eastAsia" w:ascii="仿宋_GB2312" w:eastAsia="仿宋_GB2312"/>
          <w:sz w:val="32"/>
          <w:szCs w:val="32"/>
        </w:rPr>
        <w:t>甲方有权终止产品购销合同，并向有关部门报告。如乙方被列入商业贿赂不良记录，则严格按照《国家</w:t>
      </w:r>
      <w:r>
        <w:rPr>
          <w:rFonts w:ascii="仿宋_GB2312" w:eastAsia="仿宋_GB2312"/>
          <w:sz w:val="32"/>
          <w:szCs w:val="32"/>
        </w:rPr>
        <w:t>卫生计生委关于建立医药购销领域商业贿赂不良记录的规定</w:t>
      </w:r>
      <w:r>
        <w:rPr>
          <w:rFonts w:hint="eastAsia" w:ascii="仿宋_GB2312" w:eastAsia="仿宋_GB2312"/>
          <w:sz w:val="32"/>
          <w:szCs w:val="32"/>
        </w:rPr>
        <w:t>》</w:t>
      </w:r>
      <w:r>
        <w:rPr>
          <w:rFonts w:eastAsia="仿宋_GB2312"/>
          <w:color w:val="000000"/>
          <w:sz w:val="32"/>
          <w:szCs w:val="32"/>
          <w:shd w:val="clear" w:color="auto" w:fill="FFFFFF"/>
        </w:rPr>
        <w:t>（国卫法制发〔2013〕50号）</w:t>
      </w:r>
      <w:r>
        <w:rPr>
          <w:rFonts w:hint="eastAsia" w:ascii="仿宋_GB2312" w:eastAsia="仿宋_GB2312"/>
          <w:sz w:val="32"/>
          <w:szCs w:val="32"/>
        </w:rPr>
        <w:t>相关规定处理。</w:t>
      </w:r>
    </w:p>
    <w:p w14:paraId="23A9A7F5">
      <w:pPr>
        <w:keepNext w:val="0"/>
        <w:keepLines w:val="0"/>
        <w:pageBreakBefore w:val="0"/>
        <w:kinsoku/>
        <w:wordWrap/>
        <w:overflowPunct/>
        <w:topLinePunct w:val="0"/>
        <w:autoSpaceDE/>
        <w:autoSpaceDN/>
        <w:bidi w:val="0"/>
        <w:adjustRightInd/>
        <w:snapToGrid/>
        <w:spacing w:line="560" w:lineRule="exact"/>
        <w:ind w:firstLine="640" w:firstLineChars="200"/>
        <w:rPr>
          <w:rFonts w:ascii="仿宋_GB2312" w:eastAsia="仿宋_GB2312"/>
          <w:sz w:val="32"/>
          <w:szCs w:val="32"/>
        </w:rPr>
      </w:pPr>
      <w:r>
        <w:rPr>
          <w:rFonts w:hint="eastAsia" w:ascii="仿宋_GB2312" w:hAnsi="ˎ̥" w:eastAsia="仿宋_GB2312"/>
          <w:sz w:val="32"/>
          <w:szCs w:val="32"/>
        </w:rPr>
        <w:t>八、</w:t>
      </w:r>
      <w:r>
        <w:rPr>
          <w:rFonts w:hint="eastAsia" w:ascii="仿宋_GB2312" w:eastAsia="仿宋_GB2312"/>
          <w:sz w:val="32"/>
          <w:szCs w:val="32"/>
        </w:rPr>
        <w:t>本合同作为产品购销合同的组成部分，与购销合同一并执行，具有同等的法律效力。</w:t>
      </w:r>
    </w:p>
    <w:p w14:paraId="283C9510">
      <w:pPr>
        <w:autoSpaceDE/>
        <w:autoSpaceDN/>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九、本合同一式叁份，甲方贰份（一份随购销主合同存档，一份交医院纪检监察部门），乙方壹份，从签订之日起生效。</w:t>
      </w:r>
    </w:p>
    <w:p w14:paraId="0BBB5B74">
      <w:pPr>
        <w:pStyle w:val="8"/>
        <w:rPr>
          <w:sz w:val="24"/>
          <w:szCs w:val="24"/>
        </w:rPr>
      </w:pPr>
    </w:p>
    <w:p w14:paraId="59F5A9A3">
      <w:pPr>
        <w:keepNext w:val="0"/>
        <w:keepLines w:val="0"/>
        <w:pageBreakBefore w:val="0"/>
        <w:kinsoku/>
        <w:wordWrap/>
        <w:overflowPunct/>
        <w:topLinePunct w:val="0"/>
        <w:autoSpaceDE/>
        <w:autoSpaceDN/>
        <w:bidi w:val="0"/>
        <w:adjustRightInd/>
        <w:snapToGrid/>
        <w:spacing w:line="560" w:lineRule="exact"/>
        <w:rPr>
          <w:rFonts w:ascii="楷体_GB2312" w:eastAsia="楷体_GB2312"/>
          <w:b/>
          <w:sz w:val="32"/>
          <w:szCs w:val="32"/>
        </w:rPr>
      </w:pPr>
      <w:r>
        <w:rPr>
          <w:rFonts w:hint="eastAsia" w:ascii="楷体_GB2312" w:eastAsia="楷体_GB2312"/>
          <w:b/>
          <w:sz w:val="32"/>
          <w:szCs w:val="32"/>
        </w:rPr>
        <w:t>甲方（盖章）：                  乙方（盖章）：</w:t>
      </w:r>
    </w:p>
    <w:p w14:paraId="199B05D7">
      <w:pPr>
        <w:keepNext w:val="0"/>
        <w:keepLines w:val="0"/>
        <w:pageBreakBefore w:val="0"/>
        <w:kinsoku/>
        <w:wordWrap/>
        <w:overflowPunct/>
        <w:topLinePunct w:val="0"/>
        <w:autoSpaceDE/>
        <w:autoSpaceDN/>
        <w:bidi w:val="0"/>
        <w:adjustRightInd/>
        <w:snapToGrid/>
        <w:spacing w:line="560" w:lineRule="exact"/>
        <w:rPr>
          <w:rFonts w:ascii="楷体_GB2312" w:eastAsia="楷体_GB2312"/>
          <w:b/>
          <w:sz w:val="32"/>
          <w:szCs w:val="32"/>
        </w:rPr>
      </w:pPr>
      <w:r>
        <w:rPr>
          <w:rFonts w:hint="eastAsia" w:ascii="楷体_GB2312" w:eastAsia="楷体_GB2312"/>
          <w:b/>
          <w:sz w:val="32"/>
          <w:szCs w:val="32"/>
        </w:rPr>
        <w:t>法定代表人（</w:t>
      </w:r>
      <w:r>
        <w:rPr>
          <w:rFonts w:ascii="楷体_GB2312" w:eastAsia="楷体_GB2312"/>
          <w:b/>
          <w:sz w:val="32"/>
          <w:szCs w:val="32"/>
        </w:rPr>
        <w:t>负责人</w:t>
      </w:r>
      <w:r>
        <w:rPr>
          <w:rFonts w:hint="eastAsia" w:ascii="楷体_GB2312" w:eastAsia="楷体_GB2312"/>
          <w:b/>
          <w:sz w:val="32"/>
          <w:szCs w:val="32"/>
        </w:rPr>
        <w:t>）：          法定代表人（</w:t>
      </w:r>
      <w:r>
        <w:rPr>
          <w:rFonts w:ascii="楷体_GB2312" w:eastAsia="楷体_GB2312"/>
          <w:b/>
          <w:sz w:val="32"/>
          <w:szCs w:val="32"/>
        </w:rPr>
        <w:t>负责人</w:t>
      </w:r>
      <w:r>
        <w:rPr>
          <w:rFonts w:hint="eastAsia" w:ascii="楷体_GB2312" w:eastAsia="楷体_GB2312"/>
          <w:b/>
          <w:sz w:val="32"/>
          <w:szCs w:val="32"/>
        </w:rPr>
        <w:t>）：</w:t>
      </w:r>
    </w:p>
    <w:p w14:paraId="3700BCAA">
      <w:pPr>
        <w:keepNext w:val="0"/>
        <w:keepLines w:val="0"/>
        <w:pageBreakBefore w:val="0"/>
        <w:kinsoku/>
        <w:wordWrap/>
        <w:overflowPunct/>
        <w:topLinePunct w:val="0"/>
        <w:autoSpaceDE/>
        <w:autoSpaceDN/>
        <w:bidi w:val="0"/>
        <w:adjustRightInd/>
        <w:snapToGrid/>
        <w:spacing w:line="560" w:lineRule="exact"/>
        <w:rPr>
          <w:rFonts w:hint="eastAsia"/>
        </w:rPr>
      </w:pPr>
      <w:r>
        <w:rPr>
          <w:rFonts w:hint="eastAsia" w:ascii="楷体_GB2312" w:eastAsia="楷体_GB2312"/>
          <w:b/>
          <w:sz w:val="32"/>
          <w:szCs w:val="32"/>
        </w:rPr>
        <w:t>委托代理人签名：               经办人签名：</w:t>
      </w:r>
    </w:p>
    <w:p w14:paraId="25C5D3A0">
      <w:pPr>
        <w:spacing w:line="560" w:lineRule="exact"/>
      </w:pPr>
      <w:r>
        <w:rPr>
          <w:rFonts w:hint="eastAsia" w:ascii="仿宋_GB2312" w:eastAsia="仿宋_GB2312"/>
          <w:sz w:val="32"/>
          <w:szCs w:val="32"/>
        </w:rPr>
        <w:t>年    月   日                 年    月   日</w:t>
      </w:r>
    </w:p>
    <w:sectPr>
      <w:pgSz w:w="11906" w:h="16838"/>
      <w:pgMar w:top="2098" w:right="1474" w:bottom="1984" w:left="1304" w:header="851" w:footer="1417" w:gutter="0"/>
      <w:cols w:space="0" w:num="1"/>
      <w:rtlGutter w:val="0"/>
      <w:docGrid w:type="lines" w:linePitch="33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8996C6F-2A2E-4CA8-8100-8A17E544528E}"/>
  </w:font>
  <w:font w:name="黑体">
    <w:panose1 w:val="02010609060101010101"/>
    <w:charset w:val="86"/>
    <w:family w:val="auto"/>
    <w:pitch w:val="default"/>
    <w:sig w:usb0="800002BF" w:usb1="38CF7CFA" w:usb2="00000016" w:usb3="00000000" w:csb0="00040001" w:csb1="00000000"/>
    <w:embedRegular r:id="rId2" w:fontKey="{81CBB55C-FCC1-4DDB-AD27-7F98A9C4BBE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844F2AFA-5368-416E-91D2-B31FFAA9BA4D}"/>
  </w:font>
  <w:font w:name="H Yb 2gj">
    <w:altName w:val="黑体"/>
    <w:panose1 w:val="00000000000000000000"/>
    <w:charset w:val="86"/>
    <w:family w:val="auto"/>
    <w:pitch w:val="default"/>
    <w:sig w:usb0="00000000" w:usb1="00000000" w:usb2="00000010" w:usb3="00000000" w:csb0="00040000" w:csb1="00000000"/>
  </w:font>
  <w:font w:name="长城仿宋">
    <w:altName w:val="黑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embedRegular r:id="rId4" w:fontKey="{27E22D26-AEC4-4950-B32A-DC224C3FEADF}"/>
  </w:font>
  <w:font w:name="仿宋_GB2312">
    <w:panose1 w:val="02010609030101010101"/>
    <w:charset w:val="86"/>
    <w:family w:val="modern"/>
    <w:pitch w:val="default"/>
    <w:sig w:usb0="00000001" w:usb1="080E0000" w:usb2="00000000" w:usb3="00000000" w:csb0="00040000" w:csb1="00000000"/>
    <w:embedRegular r:id="rId5" w:fontKey="{5275BFE6-238D-40CA-9CF2-B2C55634E7BE}"/>
  </w:font>
  <w:font w:name="楷体_GB2312">
    <w:panose1 w:val="02010609030101010101"/>
    <w:charset w:val="86"/>
    <w:family w:val="auto"/>
    <w:pitch w:val="default"/>
    <w:sig w:usb0="00000001" w:usb1="080E0000" w:usb2="00000000" w:usb3="00000000" w:csb0="00040000" w:csb1="00000000"/>
    <w:embedRegular r:id="rId6" w:fontKey="{41608366-7210-4627-B69E-F4E230107579}"/>
  </w:font>
  <w:font w:name="仿宋">
    <w:panose1 w:val="02010609060101010101"/>
    <w:charset w:val="86"/>
    <w:family w:val="auto"/>
    <w:pitch w:val="default"/>
    <w:sig w:usb0="800002BF" w:usb1="38CF7CFA" w:usb2="00000016" w:usb3="00000000" w:csb0="00040001" w:csb1="00000000"/>
    <w:embedRegular r:id="rId7" w:fontKey="{CB5E406C-7BF3-4BD0-B370-864D6BB6B36F}"/>
  </w:font>
  <w:font w:name="方正小标宋简体">
    <w:panose1 w:val="03000509000000000000"/>
    <w:charset w:val="86"/>
    <w:family w:val="auto"/>
    <w:pitch w:val="default"/>
    <w:sig w:usb0="00000001" w:usb1="080E0000" w:usb2="00000000" w:usb3="00000000" w:csb0="00040000" w:csb1="00000000"/>
    <w:embedRegular r:id="rId8" w:fontKey="{8AAA8A47-FDF9-48E3-97FC-56EC15EC4DDB}"/>
  </w:font>
  <w:font w:name="Verdana">
    <w:panose1 w:val="020B0604030504040204"/>
    <w:charset w:val="00"/>
    <w:family w:val="swiss"/>
    <w:pitch w:val="default"/>
    <w:sig w:usb0="A00006FF" w:usb1="4000205B" w:usb2="00000010" w:usb3="00000000" w:csb0="2000019F" w:csb1="00000000"/>
    <w:embedRegular r:id="rId9" w:fontKey="{F8F0DE0E-818A-49A7-801C-E81E0AC4AB75}"/>
  </w:font>
  <w:font w:name="ˎ̥">
    <w:altName w:val="Times New Roman"/>
    <w:panose1 w:val="00000000000000000000"/>
    <w:charset w:val="00"/>
    <w:family w:val="auto"/>
    <w:pitch w:val="default"/>
    <w:sig w:usb0="00000000" w:usb1="00000000" w:usb2="00000000" w:usb3="00000000" w:csb0="00040001" w:csb1="00000000"/>
    <w:embedRegular r:id="rId10" w:fontKey="{9E52E5A1-9FB2-42E1-8177-5A2D89A8AAEF}"/>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DF851">
    <w:pPr>
      <w:pStyle w:val="1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16CD9D6E">
                          <w:pPr>
                            <w:pStyle w:val="14"/>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- 48 -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&#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CpQ6mh0QEAAKUDAAAOAAAAAAAAAAEAIAAAACIB&#10;AABkcnMvZTJvRG9jLnhtbFBLBQYAAAAABgAGAFkBAABlBQAAAAA=&#10;">
              <v:fill on="f" focussize="0,0"/>
              <v:stroke on="f" weight="1.25pt"/>
              <v:imagedata o:title=""/>
              <o:lock v:ext="edit" aspectratio="f"/>
              <v:textbox inset="0mm,0mm,0mm,0mm" style="mso-fit-shape-to-text:t;">
                <w:txbxContent>
                  <w:p w14:paraId="16CD9D6E">
                    <w:pPr>
                      <w:pStyle w:val="14"/>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- 48 -</w:t>
                    </w:r>
                    <w:r>
                      <w:rPr>
                        <w:rFonts w:hint="eastAsia" w:ascii="宋体" w:hAnsi="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1C74B">
    <w:pPr>
      <w:pStyle w:val="1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475D0836">
                          <w:pPr>
                            <w:pStyle w:val="14"/>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47</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&#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Dm5NvJ0QEAAKUDAAAOAAAAAAAAAAEAIAAAACIB&#10;AABkcnMvZTJvRG9jLnhtbFBLBQYAAAAABgAGAFkBAABlBQAAAAA=&#10;">
              <v:fill on="f" focussize="0,0"/>
              <v:stroke on="f" weight="1.25pt"/>
              <v:imagedata o:title=""/>
              <o:lock v:ext="edit" aspectratio="f"/>
              <v:textbox inset="0mm,0mm,0mm,0mm" style="mso-fit-shape-to-text:t;">
                <w:txbxContent>
                  <w:p w14:paraId="475D0836">
                    <w:pPr>
                      <w:pStyle w:val="14"/>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47</w:t>
                    </w:r>
                    <w:r>
                      <w:rPr>
                        <w:rFonts w:hint="eastAsia" w:ascii="宋体" w:hAnsi="宋体" w:cs="宋体"/>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87EB3">
    <w:pPr>
      <w:pStyle w:val="1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089999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32</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HwXDx3FAQAAmwMAAA4AAAAAAAAAAQAgAAAAHgEAAGRycy9lMm9Eb2MueG1s&#10;UEsFBgAAAAAGAAYAWQEAAFUFAAAAAA==&#10;">
              <v:fill on="f" focussize="0,0"/>
              <v:stroke on="f"/>
              <v:imagedata o:title=""/>
              <o:lock v:ext="edit" aspectratio="f"/>
              <v:textbox inset="0mm,0mm,0mm,0mm" style="mso-fit-shape-to-text:t;">
                <w:txbxContent>
                  <w:p w14:paraId="3089999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AF8EA">
    <w:pPr>
      <w:pStyle w:val="15"/>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C4380">
    <w:pPr>
      <w:pStyle w:val="15"/>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D4DD9">
    <w:pPr>
      <w:pStyle w:val="15"/>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7B1880"/>
    <w:multiLevelType w:val="singleLevel"/>
    <w:tmpl w:val="827B1880"/>
    <w:lvl w:ilvl="0" w:tentative="0">
      <w:start w:val="2"/>
      <w:numFmt w:val="chineseCounting"/>
      <w:suff w:val="nothing"/>
      <w:lvlText w:val="%1、"/>
      <w:lvlJc w:val="left"/>
      <w:rPr>
        <w:rFonts w:hint="eastAsia"/>
      </w:rPr>
    </w:lvl>
  </w:abstractNum>
  <w:abstractNum w:abstractNumId="1">
    <w:nsid w:val="22B7BE7E"/>
    <w:multiLevelType w:val="singleLevel"/>
    <w:tmpl w:val="22B7BE7E"/>
    <w:lvl w:ilvl="0" w:tentative="0">
      <w:start w:val="3"/>
      <w:numFmt w:val="chineseCounting"/>
      <w:suff w:val="nothing"/>
      <w:lvlText w:val="（%1）"/>
      <w:lvlJc w:val="left"/>
      <w:rPr>
        <w:rFonts w:hint="eastAsia"/>
      </w:rPr>
    </w:lvl>
  </w:abstractNum>
  <w:abstractNum w:abstractNumId="2">
    <w:nsid w:val="5BEC3A51"/>
    <w:multiLevelType w:val="multilevel"/>
    <w:tmpl w:val="5BEC3A51"/>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6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xMmRkYjg1MWYxOTgzYmE0YjcwNjU0NzA5NzU1Y2UifQ=="/>
  </w:docVars>
  <w:rsids>
    <w:rsidRoot w:val="00000000"/>
    <w:rsid w:val="000273CC"/>
    <w:rsid w:val="00043144"/>
    <w:rsid w:val="000D26B7"/>
    <w:rsid w:val="009F56B9"/>
    <w:rsid w:val="01021383"/>
    <w:rsid w:val="011137C5"/>
    <w:rsid w:val="012670EA"/>
    <w:rsid w:val="013613FF"/>
    <w:rsid w:val="01BC250C"/>
    <w:rsid w:val="01D64122"/>
    <w:rsid w:val="022B5A08"/>
    <w:rsid w:val="024B215D"/>
    <w:rsid w:val="025F4662"/>
    <w:rsid w:val="02685C0C"/>
    <w:rsid w:val="02EE3C38"/>
    <w:rsid w:val="03083097"/>
    <w:rsid w:val="03127217"/>
    <w:rsid w:val="035166A0"/>
    <w:rsid w:val="036D47D9"/>
    <w:rsid w:val="03725D80"/>
    <w:rsid w:val="0413430B"/>
    <w:rsid w:val="04216C12"/>
    <w:rsid w:val="0433224A"/>
    <w:rsid w:val="04344F5C"/>
    <w:rsid w:val="049D275A"/>
    <w:rsid w:val="04DD561A"/>
    <w:rsid w:val="04F459FA"/>
    <w:rsid w:val="04F71BD7"/>
    <w:rsid w:val="05182245"/>
    <w:rsid w:val="051A6F66"/>
    <w:rsid w:val="05243941"/>
    <w:rsid w:val="056A6230"/>
    <w:rsid w:val="05A131E3"/>
    <w:rsid w:val="05B20F4D"/>
    <w:rsid w:val="05FE0636"/>
    <w:rsid w:val="060F45F1"/>
    <w:rsid w:val="061A394A"/>
    <w:rsid w:val="063D4CBA"/>
    <w:rsid w:val="06440F1E"/>
    <w:rsid w:val="067F0EA1"/>
    <w:rsid w:val="06F86E33"/>
    <w:rsid w:val="07355EF4"/>
    <w:rsid w:val="075B48E7"/>
    <w:rsid w:val="07833724"/>
    <w:rsid w:val="078A2B12"/>
    <w:rsid w:val="07CB517B"/>
    <w:rsid w:val="08375DC9"/>
    <w:rsid w:val="086E0768"/>
    <w:rsid w:val="089A5059"/>
    <w:rsid w:val="08A84E85"/>
    <w:rsid w:val="08EB30F3"/>
    <w:rsid w:val="09A078D0"/>
    <w:rsid w:val="09AE7789"/>
    <w:rsid w:val="09D4172C"/>
    <w:rsid w:val="09E56AE3"/>
    <w:rsid w:val="0A026946"/>
    <w:rsid w:val="0A3E1E30"/>
    <w:rsid w:val="0A4A3E4A"/>
    <w:rsid w:val="0A51552A"/>
    <w:rsid w:val="0AE70551"/>
    <w:rsid w:val="0B026F41"/>
    <w:rsid w:val="0B100BEF"/>
    <w:rsid w:val="0B626F71"/>
    <w:rsid w:val="0B63273E"/>
    <w:rsid w:val="0B837613"/>
    <w:rsid w:val="0BCA5242"/>
    <w:rsid w:val="0BEA3AEE"/>
    <w:rsid w:val="0C0D5702"/>
    <w:rsid w:val="0C321039"/>
    <w:rsid w:val="0C344DB1"/>
    <w:rsid w:val="0C3C77C2"/>
    <w:rsid w:val="0C631449"/>
    <w:rsid w:val="0CCD3CE8"/>
    <w:rsid w:val="0D1F336B"/>
    <w:rsid w:val="0D5E0A87"/>
    <w:rsid w:val="0D975B9D"/>
    <w:rsid w:val="0DCB34F3"/>
    <w:rsid w:val="0E0A5DCA"/>
    <w:rsid w:val="0E880A30"/>
    <w:rsid w:val="0EA24254"/>
    <w:rsid w:val="0ED463D8"/>
    <w:rsid w:val="0EDE4676"/>
    <w:rsid w:val="0F1F3AF7"/>
    <w:rsid w:val="0F4E7F38"/>
    <w:rsid w:val="0F5A67F4"/>
    <w:rsid w:val="0FEE1638"/>
    <w:rsid w:val="10702130"/>
    <w:rsid w:val="10D601E5"/>
    <w:rsid w:val="11072A94"/>
    <w:rsid w:val="111073FE"/>
    <w:rsid w:val="114710E3"/>
    <w:rsid w:val="115C2CF7"/>
    <w:rsid w:val="11C3514A"/>
    <w:rsid w:val="11C7149D"/>
    <w:rsid w:val="11F443AB"/>
    <w:rsid w:val="12055B84"/>
    <w:rsid w:val="12217BA7"/>
    <w:rsid w:val="12617F82"/>
    <w:rsid w:val="128D65FD"/>
    <w:rsid w:val="12966669"/>
    <w:rsid w:val="129C348E"/>
    <w:rsid w:val="12A65A60"/>
    <w:rsid w:val="12A76554"/>
    <w:rsid w:val="130A686C"/>
    <w:rsid w:val="134771FE"/>
    <w:rsid w:val="13710699"/>
    <w:rsid w:val="137E6912"/>
    <w:rsid w:val="1393465A"/>
    <w:rsid w:val="13CE7899"/>
    <w:rsid w:val="14396A7F"/>
    <w:rsid w:val="145853B5"/>
    <w:rsid w:val="151B08BC"/>
    <w:rsid w:val="154871D8"/>
    <w:rsid w:val="15A86FED"/>
    <w:rsid w:val="15F35EDD"/>
    <w:rsid w:val="161758B8"/>
    <w:rsid w:val="167271AA"/>
    <w:rsid w:val="16901C52"/>
    <w:rsid w:val="169F1079"/>
    <w:rsid w:val="16B15CA2"/>
    <w:rsid w:val="16CE40C0"/>
    <w:rsid w:val="16E55626"/>
    <w:rsid w:val="170830C2"/>
    <w:rsid w:val="176357EB"/>
    <w:rsid w:val="17656B71"/>
    <w:rsid w:val="17BF1CFD"/>
    <w:rsid w:val="181B431D"/>
    <w:rsid w:val="18B057C0"/>
    <w:rsid w:val="18C36BEB"/>
    <w:rsid w:val="192341E3"/>
    <w:rsid w:val="19257F5C"/>
    <w:rsid w:val="19891DC1"/>
    <w:rsid w:val="19EF5AF8"/>
    <w:rsid w:val="19F3005A"/>
    <w:rsid w:val="1A6B4094"/>
    <w:rsid w:val="1A7F3A1B"/>
    <w:rsid w:val="1AA611B2"/>
    <w:rsid w:val="1AA90D4E"/>
    <w:rsid w:val="1ABC3C21"/>
    <w:rsid w:val="1AEC0313"/>
    <w:rsid w:val="1AF95B35"/>
    <w:rsid w:val="1B157ABC"/>
    <w:rsid w:val="1B1A1616"/>
    <w:rsid w:val="1B59309C"/>
    <w:rsid w:val="1B9F30FF"/>
    <w:rsid w:val="1BAA3FC2"/>
    <w:rsid w:val="1BAB70CA"/>
    <w:rsid w:val="1C000F80"/>
    <w:rsid w:val="1C724DEF"/>
    <w:rsid w:val="1D3F5364"/>
    <w:rsid w:val="1D43446F"/>
    <w:rsid w:val="1D804DF1"/>
    <w:rsid w:val="1D850AA2"/>
    <w:rsid w:val="1D951E9C"/>
    <w:rsid w:val="1DCA7323"/>
    <w:rsid w:val="1E197963"/>
    <w:rsid w:val="1E1F6FCD"/>
    <w:rsid w:val="1E390005"/>
    <w:rsid w:val="1E3B56D4"/>
    <w:rsid w:val="1E693EC0"/>
    <w:rsid w:val="1F3303C2"/>
    <w:rsid w:val="1F372797"/>
    <w:rsid w:val="1F417171"/>
    <w:rsid w:val="1F84468E"/>
    <w:rsid w:val="1F850FAE"/>
    <w:rsid w:val="1FA53BA4"/>
    <w:rsid w:val="1FC33C06"/>
    <w:rsid w:val="1FE87F35"/>
    <w:rsid w:val="1FEE1B49"/>
    <w:rsid w:val="20A4740D"/>
    <w:rsid w:val="20AC7FEF"/>
    <w:rsid w:val="20BB73F7"/>
    <w:rsid w:val="20E56222"/>
    <w:rsid w:val="20E71F9A"/>
    <w:rsid w:val="215F0992"/>
    <w:rsid w:val="217557F8"/>
    <w:rsid w:val="21E84823"/>
    <w:rsid w:val="220350C6"/>
    <w:rsid w:val="226C645C"/>
    <w:rsid w:val="22CC25C7"/>
    <w:rsid w:val="22EE1BBD"/>
    <w:rsid w:val="22F56BF1"/>
    <w:rsid w:val="230778FE"/>
    <w:rsid w:val="230806C2"/>
    <w:rsid w:val="23631F41"/>
    <w:rsid w:val="236F3B3D"/>
    <w:rsid w:val="23E66539"/>
    <w:rsid w:val="241C63FF"/>
    <w:rsid w:val="24762A0C"/>
    <w:rsid w:val="2492046F"/>
    <w:rsid w:val="250524F8"/>
    <w:rsid w:val="257D2ECD"/>
    <w:rsid w:val="25822292"/>
    <w:rsid w:val="258F3E5B"/>
    <w:rsid w:val="269C578A"/>
    <w:rsid w:val="26B47F5C"/>
    <w:rsid w:val="26D62895"/>
    <w:rsid w:val="270C05A6"/>
    <w:rsid w:val="27385371"/>
    <w:rsid w:val="275814FC"/>
    <w:rsid w:val="276441C9"/>
    <w:rsid w:val="27716A62"/>
    <w:rsid w:val="27750300"/>
    <w:rsid w:val="27952750"/>
    <w:rsid w:val="27F51441"/>
    <w:rsid w:val="27FA6A57"/>
    <w:rsid w:val="28216F3C"/>
    <w:rsid w:val="28610884"/>
    <w:rsid w:val="287C746C"/>
    <w:rsid w:val="28A6273B"/>
    <w:rsid w:val="28CB21A2"/>
    <w:rsid w:val="28CD627E"/>
    <w:rsid w:val="2984039C"/>
    <w:rsid w:val="29F85218"/>
    <w:rsid w:val="2A614B6C"/>
    <w:rsid w:val="2AA131BA"/>
    <w:rsid w:val="2AAA6513"/>
    <w:rsid w:val="2AE45A0B"/>
    <w:rsid w:val="2AF53506"/>
    <w:rsid w:val="2B00317A"/>
    <w:rsid w:val="2B556281"/>
    <w:rsid w:val="2B593A95"/>
    <w:rsid w:val="2B5B780D"/>
    <w:rsid w:val="2B88437A"/>
    <w:rsid w:val="2B9B40AD"/>
    <w:rsid w:val="2BDA50EC"/>
    <w:rsid w:val="2BDE3F9A"/>
    <w:rsid w:val="2C3D6F12"/>
    <w:rsid w:val="2C8E4B7C"/>
    <w:rsid w:val="2C940DFE"/>
    <w:rsid w:val="2CF92803"/>
    <w:rsid w:val="2CFE2B46"/>
    <w:rsid w:val="2D4C45A1"/>
    <w:rsid w:val="2D5B158F"/>
    <w:rsid w:val="2D7C5264"/>
    <w:rsid w:val="2DD5778F"/>
    <w:rsid w:val="2E291833"/>
    <w:rsid w:val="2E6D1C25"/>
    <w:rsid w:val="2E6D4CAE"/>
    <w:rsid w:val="2E6E5AA9"/>
    <w:rsid w:val="2E7D3F3E"/>
    <w:rsid w:val="2E943223"/>
    <w:rsid w:val="2EB536D8"/>
    <w:rsid w:val="2EBA6EE4"/>
    <w:rsid w:val="2F3D5D93"/>
    <w:rsid w:val="2F3E12DE"/>
    <w:rsid w:val="2F522419"/>
    <w:rsid w:val="2F6F4B44"/>
    <w:rsid w:val="2F8337D6"/>
    <w:rsid w:val="2F927575"/>
    <w:rsid w:val="2FF921CA"/>
    <w:rsid w:val="2FFB336C"/>
    <w:rsid w:val="302F5A11"/>
    <w:rsid w:val="30663F74"/>
    <w:rsid w:val="30677565"/>
    <w:rsid w:val="3085027E"/>
    <w:rsid w:val="30CC6B49"/>
    <w:rsid w:val="30F027A5"/>
    <w:rsid w:val="31132938"/>
    <w:rsid w:val="31691F2D"/>
    <w:rsid w:val="31EE221F"/>
    <w:rsid w:val="324E1E79"/>
    <w:rsid w:val="328A2F94"/>
    <w:rsid w:val="32912E68"/>
    <w:rsid w:val="32A11A16"/>
    <w:rsid w:val="32DC7485"/>
    <w:rsid w:val="33613E2E"/>
    <w:rsid w:val="33A76E6F"/>
    <w:rsid w:val="34157E83"/>
    <w:rsid w:val="342310E4"/>
    <w:rsid w:val="34565015"/>
    <w:rsid w:val="346516FC"/>
    <w:rsid w:val="34B9075D"/>
    <w:rsid w:val="34F21A94"/>
    <w:rsid w:val="350E769E"/>
    <w:rsid w:val="35205C57"/>
    <w:rsid w:val="353043A7"/>
    <w:rsid w:val="3538471B"/>
    <w:rsid w:val="356704E5"/>
    <w:rsid w:val="359F2181"/>
    <w:rsid w:val="35D5415D"/>
    <w:rsid w:val="35E3611B"/>
    <w:rsid w:val="3619279E"/>
    <w:rsid w:val="363F11E1"/>
    <w:rsid w:val="36484E32"/>
    <w:rsid w:val="368F2E43"/>
    <w:rsid w:val="369D517D"/>
    <w:rsid w:val="36DE5DD1"/>
    <w:rsid w:val="3726778C"/>
    <w:rsid w:val="373C3F12"/>
    <w:rsid w:val="373E1FC8"/>
    <w:rsid w:val="37405B09"/>
    <w:rsid w:val="374E2513"/>
    <w:rsid w:val="37656815"/>
    <w:rsid w:val="382B7FA3"/>
    <w:rsid w:val="39DE29F3"/>
    <w:rsid w:val="3A075AFE"/>
    <w:rsid w:val="3A371C54"/>
    <w:rsid w:val="3A473901"/>
    <w:rsid w:val="3A502507"/>
    <w:rsid w:val="3A704957"/>
    <w:rsid w:val="3A722C7E"/>
    <w:rsid w:val="3A804118"/>
    <w:rsid w:val="3AF3026A"/>
    <w:rsid w:val="3B0B7C37"/>
    <w:rsid w:val="3B253993"/>
    <w:rsid w:val="3B774829"/>
    <w:rsid w:val="3BBA2C38"/>
    <w:rsid w:val="3C074E47"/>
    <w:rsid w:val="3C1A001F"/>
    <w:rsid w:val="3C2B43F0"/>
    <w:rsid w:val="3C4553A4"/>
    <w:rsid w:val="3C5502A8"/>
    <w:rsid w:val="3C641CA7"/>
    <w:rsid w:val="3C8D435B"/>
    <w:rsid w:val="3CA64AA0"/>
    <w:rsid w:val="3CD25455"/>
    <w:rsid w:val="3CF4186F"/>
    <w:rsid w:val="3D000214"/>
    <w:rsid w:val="3D106B23"/>
    <w:rsid w:val="3D5F5CEB"/>
    <w:rsid w:val="3E1E266B"/>
    <w:rsid w:val="3E3C34CE"/>
    <w:rsid w:val="3E584BA3"/>
    <w:rsid w:val="3E8B1D5F"/>
    <w:rsid w:val="3E993D51"/>
    <w:rsid w:val="3EBE7137"/>
    <w:rsid w:val="3EC07C8A"/>
    <w:rsid w:val="3EE6343A"/>
    <w:rsid w:val="3F245438"/>
    <w:rsid w:val="3F4C7741"/>
    <w:rsid w:val="3FEA20D4"/>
    <w:rsid w:val="41054FBE"/>
    <w:rsid w:val="4157061F"/>
    <w:rsid w:val="415B2A37"/>
    <w:rsid w:val="4173542A"/>
    <w:rsid w:val="41D659E7"/>
    <w:rsid w:val="42176969"/>
    <w:rsid w:val="4259773D"/>
    <w:rsid w:val="42997141"/>
    <w:rsid w:val="42FD131E"/>
    <w:rsid w:val="43790D20"/>
    <w:rsid w:val="438D20D6"/>
    <w:rsid w:val="43B35609"/>
    <w:rsid w:val="43BD0C0D"/>
    <w:rsid w:val="43D16DFB"/>
    <w:rsid w:val="441133CA"/>
    <w:rsid w:val="44150A49"/>
    <w:rsid w:val="44634DEC"/>
    <w:rsid w:val="4473408E"/>
    <w:rsid w:val="44A92F3F"/>
    <w:rsid w:val="44AB4F09"/>
    <w:rsid w:val="44BD4C3D"/>
    <w:rsid w:val="4510737E"/>
    <w:rsid w:val="452B604A"/>
    <w:rsid w:val="45967F9C"/>
    <w:rsid w:val="45EE77A4"/>
    <w:rsid w:val="461B1C1B"/>
    <w:rsid w:val="467F03FC"/>
    <w:rsid w:val="46907768"/>
    <w:rsid w:val="46C200B8"/>
    <w:rsid w:val="46D45C9C"/>
    <w:rsid w:val="474F75B8"/>
    <w:rsid w:val="478832E0"/>
    <w:rsid w:val="47AA120F"/>
    <w:rsid w:val="47B6609F"/>
    <w:rsid w:val="47F37767"/>
    <w:rsid w:val="481A3FC2"/>
    <w:rsid w:val="49030B38"/>
    <w:rsid w:val="492902BF"/>
    <w:rsid w:val="493F7E31"/>
    <w:rsid w:val="495C7150"/>
    <w:rsid w:val="4971555C"/>
    <w:rsid w:val="49925A7D"/>
    <w:rsid w:val="4A0A0C77"/>
    <w:rsid w:val="4A233794"/>
    <w:rsid w:val="4A2A5330"/>
    <w:rsid w:val="4A431964"/>
    <w:rsid w:val="4A6F4C2B"/>
    <w:rsid w:val="4A800BE6"/>
    <w:rsid w:val="4A951D4C"/>
    <w:rsid w:val="4AAB57B2"/>
    <w:rsid w:val="4ACC771A"/>
    <w:rsid w:val="4B2B4033"/>
    <w:rsid w:val="4B722358"/>
    <w:rsid w:val="4B7778F3"/>
    <w:rsid w:val="4BB60892"/>
    <w:rsid w:val="4C062E76"/>
    <w:rsid w:val="4C1E53FF"/>
    <w:rsid w:val="4CA11388"/>
    <w:rsid w:val="4CA54934"/>
    <w:rsid w:val="4CA74208"/>
    <w:rsid w:val="4CD00139"/>
    <w:rsid w:val="4CE90CC5"/>
    <w:rsid w:val="4D221AE1"/>
    <w:rsid w:val="4D246133"/>
    <w:rsid w:val="4D675994"/>
    <w:rsid w:val="4DC1731C"/>
    <w:rsid w:val="4DC20621"/>
    <w:rsid w:val="4DC86B2C"/>
    <w:rsid w:val="4DD4267A"/>
    <w:rsid w:val="4DF51B4E"/>
    <w:rsid w:val="4E2D698F"/>
    <w:rsid w:val="4EB96475"/>
    <w:rsid w:val="4EC2357B"/>
    <w:rsid w:val="4ECF6248"/>
    <w:rsid w:val="4ED432AF"/>
    <w:rsid w:val="4EFB6DE2"/>
    <w:rsid w:val="4F55128C"/>
    <w:rsid w:val="4F674123"/>
    <w:rsid w:val="4F950C90"/>
    <w:rsid w:val="4FB8672C"/>
    <w:rsid w:val="4FBF5D0D"/>
    <w:rsid w:val="50060682"/>
    <w:rsid w:val="50617154"/>
    <w:rsid w:val="50767D8A"/>
    <w:rsid w:val="50AA47D9"/>
    <w:rsid w:val="50C7131D"/>
    <w:rsid w:val="50D15CF8"/>
    <w:rsid w:val="5108607B"/>
    <w:rsid w:val="51145BE4"/>
    <w:rsid w:val="51857D38"/>
    <w:rsid w:val="51B82A14"/>
    <w:rsid w:val="51C441A9"/>
    <w:rsid w:val="52173BDE"/>
    <w:rsid w:val="521D6D1B"/>
    <w:rsid w:val="522B1438"/>
    <w:rsid w:val="528154FB"/>
    <w:rsid w:val="52BA7FE0"/>
    <w:rsid w:val="52C045C2"/>
    <w:rsid w:val="53B2700F"/>
    <w:rsid w:val="53C102A5"/>
    <w:rsid w:val="53D74903"/>
    <w:rsid w:val="53EE45A5"/>
    <w:rsid w:val="540957A8"/>
    <w:rsid w:val="54304096"/>
    <w:rsid w:val="545253A1"/>
    <w:rsid w:val="54640C31"/>
    <w:rsid w:val="5467154F"/>
    <w:rsid w:val="54747364"/>
    <w:rsid w:val="547C41CC"/>
    <w:rsid w:val="548D7284"/>
    <w:rsid w:val="54911254"/>
    <w:rsid w:val="5495703C"/>
    <w:rsid w:val="550C7ACC"/>
    <w:rsid w:val="55266C86"/>
    <w:rsid w:val="555F672F"/>
    <w:rsid w:val="557B05CC"/>
    <w:rsid w:val="55A0213D"/>
    <w:rsid w:val="55A4498D"/>
    <w:rsid w:val="55B13259"/>
    <w:rsid w:val="55C827EC"/>
    <w:rsid w:val="55E22755"/>
    <w:rsid w:val="56312D95"/>
    <w:rsid w:val="564D0E3E"/>
    <w:rsid w:val="567A6E1F"/>
    <w:rsid w:val="567D422C"/>
    <w:rsid w:val="567F6C85"/>
    <w:rsid w:val="571050A0"/>
    <w:rsid w:val="57546DC1"/>
    <w:rsid w:val="57C136CD"/>
    <w:rsid w:val="58466FCB"/>
    <w:rsid w:val="585963C3"/>
    <w:rsid w:val="58A528D5"/>
    <w:rsid w:val="58EE3113"/>
    <w:rsid w:val="592D3CE7"/>
    <w:rsid w:val="596A0A97"/>
    <w:rsid w:val="598002BB"/>
    <w:rsid w:val="59835FFD"/>
    <w:rsid w:val="59AD15AB"/>
    <w:rsid w:val="59CC1752"/>
    <w:rsid w:val="59CF1242"/>
    <w:rsid w:val="59EC0C94"/>
    <w:rsid w:val="59F12F67"/>
    <w:rsid w:val="59F26F59"/>
    <w:rsid w:val="5A2109E1"/>
    <w:rsid w:val="5ADA1C4D"/>
    <w:rsid w:val="5AF70E1A"/>
    <w:rsid w:val="5B0B2544"/>
    <w:rsid w:val="5B43290D"/>
    <w:rsid w:val="5B7253B2"/>
    <w:rsid w:val="5B751975"/>
    <w:rsid w:val="5BAE65A3"/>
    <w:rsid w:val="5BC806C1"/>
    <w:rsid w:val="5BEB1E5A"/>
    <w:rsid w:val="5BEB56DE"/>
    <w:rsid w:val="5BF31218"/>
    <w:rsid w:val="5C0B78E8"/>
    <w:rsid w:val="5C2869E8"/>
    <w:rsid w:val="5C435F5A"/>
    <w:rsid w:val="5C4A6E10"/>
    <w:rsid w:val="5C7165E1"/>
    <w:rsid w:val="5CE23825"/>
    <w:rsid w:val="5D1B4B7A"/>
    <w:rsid w:val="5D1E0517"/>
    <w:rsid w:val="5D514C25"/>
    <w:rsid w:val="5DA86747"/>
    <w:rsid w:val="5DAA3A0C"/>
    <w:rsid w:val="5E1A6CE7"/>
    <w:rsid w:val="5E1D38A4"/>
    <w:rsid w:val="5ECC5796"/>
    <w:rsid w:val="5F106E73"/>
    <w:rsid w:val="5F132D8C"/>
    <w:rsid w:val="5F182D44"/>
    <w:rsid w:val="5F2D4A41"/>
    <w:rsid w:val="5F7A57AC"/>
    <w:rsid w:val="5FBE3555"/>
    <w:rsid w:val="6028345A"/>
    <w:rsid w:val="60326087"/>
    <w:rsid w:val="60407D8C"/>
    <w:rsid w:val="606020F0"/>
    <w:rsid w:val="60AE5783"/>
    <w:rsid w:val="60B619AB"/>
    <w:rsid w:val="60E56871"/>
    <w:rsid w:val="60E941A0"/>
    <w:rsid w:val="60F41D4D"/>
    <w:rsid w:val="610F0B89"/>
    <w:rsid w:val="611E4CE6"/>
    <w:rsid w:val="61296C23"/>
    <w:rsid w:val="615564D1"/>
    <w:rsid w:val="615F10FE"/>
    <w:rsid w:val="6175447D"/>
    <w:rsid w:val="61B52858"/>
    <w:rsid w:val="61E819B1"/>
    <w:rsid w:val="62E80C7F"/>
    <w:rsid w:val="63280D60"/>
    <w:rsid w:val="634436DA"/>
    <w:rsid w:val="6368499C"/>
    <w:rsid w:val="6387310C"/>
    <w:rsid w:val="63A948B2"/>
    <w:rsid w:val="63C811DC"/>
    <w:rsid w:val="63E7103C"/>
    <w:rsid w:val="63F01D9B"/>
    <w:rsid w:val="64350EF3"/>
    <w:rsid w:val="645A5BAC"/>
    <w:rsid w:val="64914D1F"/>
    <w:rsid w:val="64BF6C21"/>
    <w:rsid w:val="64EB74F5"/>
    <w:rsid w:val="64FD4FB2"/>
    <w:rsid w:val="65017861"/>
    <w:rsid w:val="650E70C3"/>
    <w:rsid w:val="65465E7D"/>
    <w:rsid w:val="6562740E"/>
    <w:rsid w:val="65932529"/>
    <w:rsid w:val="65C72A98"/>
    <w:rsid w:val="65D81104"/>
    <w:rsid w:val="660B7819"/>
    <w:rsid w:val="66171FA7"/>
    <w:rsid w:val="661F2C0A"/>
    <w:rsid w:val="667B0788"/>
    <w:rsid w:val="66B34245"/>
    <w:rsid w:val="66BB5028"/>
    <w:rsid w:val="66C13CC1"/>
    <w:rsid w:val="67392D70"/>
    <w:rsid w:val="674F5670"/>
    <w:rsid w:val="67877971"/>
    <w:rsid w:val="678D5D76"/>
    <w:rsid w:val="67913794"/>
    <w:rsid w:val="679E072B"/>
    <w:rsid w:val="67C40EBB"/>
    <w:rsid w:val="67CD5355"/>
    <w:rsid w:val="68541290"/>
    <w:rsid w:val="685D143A"/>
    <w:rsid w:val="686D2352"/>
    <w:rsid w:val="68B74A09"/>
    <w:rsid w:val="68EA39A3"/>
    <w:rsid w:val="68F309CB"/>
    <w:rsid w:val="695E0300"/>
    <w:rsid w:val="698E432E"/>
    <w:rsid w:val="699F1794"/>
    <w:rsid w:val="6A31115D"/>
    <w:rsid w:val="6A59526A"/>
    <w:rsid w:val="6AD0121A"/>
    <w:rsid w:val="6AD86FA2"/>
    <w:rsid w:val="6AE52674"/>
    <w:rsid w:val="6B146605"/>
    <w:rsid w:val="6B3E7DF1"/>
    <w:rsid w:val="6B797A34"/>
    <w:rsid w:val="6BA42C8E"/>
    <w:rsid w:val="6C940230"/>
    <w:rsid w:val="6C9A0567"/>
    <w:rsid w:val="6D165BE9"/>
    <w:rsid w:val="6D8A7502"/>
    <w:rsid w:val="6D8F4B19"/>
    <w:rsid w:val="6DD34202"/>
    <w:rsid w:val="6E007EAA"/>
    <w:rsid w:val="6E166FE8"/>
    <w:rsid w:val="6E1E2833"/>
    <w:rsid w:val="6E2C2368"/>
    <w:rsid w:val="6E341EFF"/>
    <w:rsid w:val="6E3D27C7"/>
    <w:rsid w:val="6E865F1C"/>
    <w:rsid w:val="6EA91C0A"/>
    <w:rsid w:val="6F524050"/>
    <w:rsid w:val="6F5A2F04"/>
    <w:rsid w:val="6F8D5088"/>
    <w:rsid w:val="6FCA62DC"/>
    <w:rsid w:val="700B57C3"/>
    <w:rsid w:val="70233161"/>
    <w:rsid w:val="70BD199D"/>
    <w:rsid w:val="70DF2FD7"/>
    <w:rsid w:val="71522AC9"/>
    <w:rsid w:val="718C2FFF"/>
    <w:rsid w:val="71A255F1"/>
    <w:rsid w:val="71FC02A3"/>
    <w:rsid w:val="72943F28"/>
    <w:rsid w:val="729F135A"/>
    <w:rsid w:val="72D80D10"/>
    <w:rsid w:val="730D7B4F"/>
    <w:rsid w:val="736C3B47"/>
    <w:rsid w:val="73D2575F"/>
    <w:rsid w:val="73FA5DFE"/>
    <w:rsid w:val="73FD4B26"/>
    <w:rsid w:val="759552F3"/>
    <w:rsid w:val="75A93F0B"/>
    <w:rsid w:val="75F145C2"/>
    <w:rsid w:val="760065B4"/>
    <w:rsid w:val="765849D5"/>
    <w:rsid w:val="769907B6"/>
    <w:rsid w:val="76E97048"/>
    <w:rsid w:val="771263E5"/>
    <w:rsid w:val="771852A8"/>
    <w:rsid w:val="773651D5"/>
    <w:rsid w:val="776112D4"/>
    <w:rsid w:val="778D031B"/>
    <w:rsid w:val="77972419"/>
    <w:rsid w:val="779F10A7"/>
    <w:rsid w:val="77E912C9"/>
    <w:rsid w:val="786C6182"/>
    <w:rsid w:val="78AA31FD"/>
    <w:rsid w:val="78E350FE"/>
    <w:rsid w:val="792702FB"/>
    <w:rsid w:val="79336CA0"/>
    <w:rsid w:val="79A9552B"/>
    <w:rsid w:val="79C505D8"/>
    <w:rsid w:val="7A3A41A1"/>
    <w:rsid w:val="7A680BCB"/>
    <w:rsid w:val="7A835A05"/>
    <w:rsid w:val="7A900331"/>
    <w:rsid w:val="7AB05E52"/>
    <w:rsid w:val="7AB83901"/>
    <w:rsid w:val="7AC62683"/>
    <w:rsid w:val="7AEA338E"/>
    <w:rsid w:val="7B4118B2"/>
    <w:rsid w:val="7B4927AB"/>
    <w:rsid w:val="7B5B603A"/>
    <w:rsid w:val="7BDF4EBD"/>
    <w:rsid w:val="7C9C1996"/>
    <w:rsid w:val="7CF077D4"/>
    <w:rsid w:val="7D200C7E"/>
    <w:rsid w:val="7D733B0F"/>
    <w:rsid w:val="7D761851"/>
    <w:rsid w:val="7DA168CE"/>
    <w:rsid w:val="7DC13ACC"/>
    <w:rsid w:val="7DDA0140"/>
    <w:rsid w:val="7E576F8D"/>
    <w:rsid w:val="7E61605D"/>
    <w:rsid w:val="7EB50157"/>
    <w:rsid w:val="7ECC728C"/>
    <w:rsid w:val="7EEF5417"/>
    <w:rsid w:val="7F121106"/>
    <w:rsid w:val="7F473C0E"/>
    <w:rsid w:val="7F511C2E"/>
    <w:rsid w:val="7F5C0EA0"/>
    <w:rsid w:val="7FB81CAD"/>
    <w:rsid w:val="7FD90169"/>
    <w:rsid w:val="7FE5528A"/>
    <w:rsid w:val="7FF865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semiHidden/>
    <w:unhideWhenUsed/>
    <w:qFormat/>
    <w:uiPriority w:val="0"/>
    <w:pPr>
      <w:outlineLvl w:val="1"/>
    </w:pPr>
    <w:rPr>
      <w:sz w:val="36"/>
      <w:szCs w:val="36"/>
    </w:rPr>
  </w:style>
  <w:style w:type="paragraph" w:styleId="4">
    <w:name w:val="heading 3"/>
    <w:basedOn w:val="1"/>
    <w:next w:val="1"/>
    <w:autoRedefine/>
    <w:qFormat/>
    <w:uiPriority w:val="0"/>
    <w:pPr>
      <w:spacing w:before="260" w:after="260"/>
      <w:outlineLvl w:val="2"/>
    </w:pPr>
    <w:rPr>
      <w:rFonts w:ascii="宋体"/>
      <w:szCs w:val="32"/>
    </w:rPr>
  </w:style>
  <w:style w:type="character" w:default="1" w:styleId="21">
    <w:name w:val="Default Paragraph Font"/>
    <w:autoRedefine/>
    <w:semiHidden/>
    <w:qFormat/>
    <w:uiPriority w:val="0"/>
  </w:style>
  <w:style w:type="table" w:default="1" w:styleId="19">
    <w:name w:val="Normal Table"/>
    <w:autoRedefine/>
    <w:semiHidden/>
    <w:qFormat/>
    <w:uiPriority w:val="0"/>
    <w:tblPr>
      <w:tblCellMar>
        <w:top w:w="0" w:type="dxa"/>
        <w:left w:w="108" w:type="dxa"/>
        <w:bottom w:w="0" w:type="dxa"/>
        <w:right w:w="108" w:type="dxa"/>
      </w:tblCellMar>
    </w:tblPr>
  </w:style>
  <w:style w:type="paragraph" w:styleId="5">
    <w:name w:val="index 8"/>
    <w:basedOn w:val="1"/>
    <w:next w:val="1"/>
    <w:autoRedefine/>
    <w:qFormat/>
    <w:uiPriority w:val="0"/>
    <w:pPr>
      <w:ind w:left="2940"/>
    </w:pPr>
  </w:style>
  <w:style w:type="paragraph" w:styleId="6">
    <w:name w:val="Normal Indent"/>
    <w:basedOn w:val="1"/>
    <w:autoRedefine/>
    <w:qFormat/>
    <w:uiPriority w:val="0"/>
    <w:pPr>
      <w:ind w:firstLine="420"/>
    </w:pPr>
    <w:rPr>
      <w:szCs w:val="20"/>
    </w:rPr>
  </w:style>
  <w:style w:type="paragraph" w:styleId="7">
    <w:name w:val="annotation text"/>
    <w:basedOn w:val="1"/>
    <w:autoRedefine/>
    <w:qFormat/>
    <w:uiPriority w:val="99"/>
    <w:pPr>
      <w:jc w:val="left"/>
    </w:pPr>
  </w:style>
  <w:style w:type="paragraph" w:styleId="8">
    <w:name w:val="Body Text"/>
    <w:basedOn w:val="1"/>
    <w:next w:val="9"/>
    <w:autoRedefine/>
    <w:qFormat/>
    <w:uiPriority w:val="0"/>
    <w:pPr>
      <w:autoSpaceDE w:val="0"/>
      <w:autoSpaceDN w:val="0"/>
      <w:jc w:val="left"/>
    </w:pPr>
    <w:rPr>
      <w:rFonts w:ascii="宋体" w:hAnsi="宋体"/>
      <w:kern w:val="0"/>
      <w:sz w:val="32"/>
      <w:szCs w:val="32"/>
    </w:rPr>
  </w:style>
  <w:style w:type="paragraph" w:styleId="9">
    <w:name w:val="Body Text 2"/>
    <w:basedOn w:val="1"/>
    <w:autoRedefine/>
    <w:qFormat/>
    <w:uiPriority w:val="0"/>
    <w:pPr>
      <w:spacing w:line="360" w:lineRule="auto"/>
    </w:pPr>
    <w:rPr>
      <w:sz w:val="24"/>
    </w:rPr>
  </w:style>
  <w:style w:type="paragraph" w:styleId="10">
    <w:name w:val="Body Text Indent"/>
    <w:basedOn w:val="1"/>
    <w:autoRedefine/>
    <w:qFormat/>
    <w:uiPriority w:val="0"/>
    <w:pPr>
      <w:spacing w:line="360" w:lineRule="auto"/>
      <w:ind w:firstLine="420" w:firstLineChars="200"/>
    </w:pPr>
    <w:rPr>
      <w:kern w:val="0"/>
      <w:sz w:val="20"/>
      <w:szCs w:val="24"/>
    </w:rPr>
  </w:style>
  <w:style w:type="paragraph" w:styleId="11">
    <w:name w:val="Plain Text"/>
    <w:basedOn w:val="1"/>
    <w:next w:val="12"/>
    <w:autoRedefine/>
    <w:qFormat/>
    <w:uiPriority w:val="0"/>
    <w:rPr>
      <w:rFonts w:hint="eastAsia" w:ascii="宋体" w:hAnsi="Courier New"/>
      <w:kern w:val="0"/>
      <w:sz w:val="20"/>
      <w:szCs w:val="21"/>
    </w:rPr>
  </w:style>
  <w:style w:type="paragraph" w:customStyle="1" w:styleId="12">
    <w:name w:val="Default"/>
    <w:autoRedefine/>
    <w:qFormat/>
    <w:uiPriority w:val="0"/>
    <w:pPr>
      <w:widowControl w:val="0"/>
      <w:autoSpaceDE w:val="0"/>
      <w:autoSpaceDN w:val="0"/>
      <w:adjustRightInd w:val="0"/>
    </w:pPr>
    <w:rPr>
      <w:rFonts w:ascii="H Yb 2gj" w:hAnsi="H Yb 2gj" w:eastAsia="H Yb 2gj" w:cs="H Yb 2gj"/>
      <w:color w:val="000000"/>
      <w:sz w:val="24"/>
      <w:szCs w:val="24"/>
      <w:lang w:val="en-US" w:eastAsia="zh-CN" w:bidi="ar-SA"/>
    </w:rPr>
  </w:style>
  <w:style w:type="paragraph" w:styleId="13">
    <w:name w:val="Balloon Text"/>
    <w:basedOn w:val="1"/>
    <w:autoRedefine/>
    <w:qFormat/>
    <w:uiPriority w:val="0"/>
    <w:rPr>
      <w:rFonts w:ascii="Calibri" w:hAnsi="Calibri"/>
      <w:sz w:val="18"/>
      <w:szCs w:val="18"/>
    </w:rPr>
  </w:style>
  <w:style w:type="paragraph" w:styleId="14">
    <w:name w:val="footer"/>
    <w:basedOn w:val="1"/>
    <w:autoRedefine/>
    <w:qFormat/>
    <w:uiPriority w:val="0"/>
    <w:pPr>
      <w:tabs>
        <w:tab w:val="center" w:pos="4153"/>
        <w:tab w:val="right" w:pos="8306"/>
      </w:tabs>
      <w:snapToGrid w:val="0"/>
      <w:jc w:val="left"/>
    </w:pPr>
    <w:rPr>
      <w:sz w:val="18"/>
      <w:szCs w:val="18"/>
    </w:rPr>
  </w:style>
  <w:style w:type="paragraph" w:styleId="1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autoRedefine/>
    <w:unhideWhenUsed/>
    <w:qFormat/>
    <w:uiPriority w:val="39"/>
  </w:style>
  <w:style w:type="paragraph" w:styleId="17">
    <w:name w:val="Normal (Web)"/>
    <w:basedOn w:val="1"/>
    <w:autoRedefine/>
    <w:qFormat/>
    <w:uiPriority w:val="0"/>
    <w:pPr>
      <w:spacing w:beforeAutospacing="1" w:afterAutospacing="1"/>
      <w:jc w:val="left"/>
    </w:pPr>
    <w:rPr>
      <w:kern w:val="0"/>
      <w:sz w:val="24"/>
    </w:rPr>
  </w:style>
  <w:style w:type="paragraph" w:styleId="18">
    <w:name w:val="Body Text First Indent 2"/>
    <w:basedOn w:val="10"/>
    <w:autoRedefine/>
    <w:qFormat/>
    <w:uiPriority w:val="0"/>
    <w:pPr>
      <w:spacing w:after="120" w:line="240" w:lineRule="auto"/>
      <w:ind w:left="420" w:leftChars="200"/>
    </w:pPr>
    <w:rPr>
      <w:rFonts w:ascii="Calibri" w:hAnsi="Calibri"/>
      <w:kern w:val="2"/>
      <w:sz w:val="21"/>
    </w:rPr>
  </w:style>
  <w:style w:type="table" w:styleId="20">
    <w:name w:val="Table Grid"/>
    <w:basedOn w:val="1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autoRedefine/>
    <w:qFormat/>
    <w:uiPriority w:val="0"/>
    <w:rPr>
      <w:b/>
    </w:rPr>
  </w:style>
  <w:style w:type="character" w:styleId="23">
    <w:name w:val="page number"/>
    <w:autoRedefine/>
    <w:qFormat/>
    <w:uiPriority w:val="0"/>
  </w:style>
  <w:style w:type="character" w:styleId="24">
    <w:name w:val="Hyperlink"/>
    <w:basedOn w:val="21"/>
    <w:autoRedefine/>
    <w:qFormat/>
    <w:uiPriority w:val="0"/>
    <w:rPr>
      <w:color w:val="0000FF"/>
      <w:u w:val="single"/>
    </w:rPr>
  </w:style>
  <w:style w:type="paragraph" w:customStyle="1" w:styleId="25">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paragraph" w:styleId="26">
    <w:name w:val="No Spacing"/>
    <w:basedOn w:val="1"/>
    <w:autoRedefine/>
    <w:qFormat/>
    <w:uiPriority w:val="1"/>
    <w:pPr>
      <w:widowControl w:val="0"/>
      <w:jc w:val="both"/>
    </w:pPr>
    <w:rPr>
      <w:rFonts w:ascii="Calibri" w:hAnsi="Calibri" w:eastAsia="宋体" w:cs="Times New Roman"/>
      <w:kern w:val="2"/>
      <w:sz w:val="21"/>
      <w:szCs w:val="22"/>
      <w:lang w:val="en-US" w:eastAsia="zh-CN" w:bidi="ar-SA"/>
    </w:rPr>
  </w:style>
  <w:style w:type="paragraph" w:customStyle="1" w:styleId="27">
    <w:name w:val="p0"/>
    <w:basedOn w:val="1"/>
    <w:autoRedefine/>
    <w:qFormat/>
    <w:uiPriority w:val="0"/>
    <w:pPr>
      <w:widowControl/>
    </w:pPr>
    <w:rPr>
      <w:kern w:val="0"/>
      <w:szCs w:val="21"/>
    </w:rPr>
  </w:style>
  <w:style w:type="paragraph" w:customStyle="1" w:styleId="28">
    <w:name w:val="表格文字"/>
    <w:basedOn w:val="1"/>
    <w:autoRedefine/>
    <w:qFormat/>
    <w:uiPriority w:val="0"/>
    <w:pPr>
      <w:spacing w:before="25" w:after="25"/>
    </w:pPr>
    <w:rPr>
      <w:spacing w:val="10"/>
      <w:sz w:val="24"/>
    </w:rPr>
  </w:style>
  <w:style w:type="paragraph" w:customStyle="1" w:styleId="29">
    <w:name w:val="列出段落111"/>
    <w:basedOn w:val="1"/>
    <w:autoRedefine/>
    <w:qFormat/>
    <w:uiPriority w:val="0"/>
    <w:pPr>
      <w:ind w:firstLine="420" w:firstLineChars="200"/>
    </w:pPr>
  </w:style>
  <w:style w:type="paragraph" w:customStyle="1" w:styleId="30">
    <w:name w:val="保留正文"/>
    <w:basedOn w:val="8"/>
    <w:autoRedefine/>
    <w:qFormat/>
    <w:uiPriority w:val="0"/>
    <w:pPr>
      <w:keepNext/>
      <w:tabs>
        <w:tab w:val="left" w:pos="562"/>
        <w:tab w:val="left" w:pos="3372"/>
        <w:tab w:val="left" w:pos="3653"/>
      </w:tabs>
      <w:spacing w:after="160"/>
    </w:pPr>
    <w:rPr>
      <w:sz w:val="21"/>
    </w:rPr>
  </w:style>
  <w:style w:type="character" w:customStyle="1" w:styleId="31">
    <w:name w:val="font31"/>
    <w:basedOn w:val="21"/>
    <w:autoRedefine/>
    <w:qFormat/>
    <w:uiPriority w:val="0"/>
    <w:rPr>
      <w:rFonts w:hint="eastAsia" w:ascii="宋体" w:hAnsi="宋体" w:eastAsia="宋体" w:cs="宋体"/>
      <w:color w:val="000000"/>
      <w:sz w:val="24"/>
      <w:szCs w:val="24"/>
      <w:u w:val="none"/>
    </w:rPr>
  </w:style>
  <w:style w:type="paragraph" w:customStyle="1" w:styleId="32">
    <w:name w:val="列出段落1"/>
    <w:basedOn w:val="1"/>
    <w:autoRedefine/>
    <w:qFormat/>
    <w:uiPriority w:val="34"/>
    <w:pPr>
      <w:ind w:firstLine="420" w:firstLineChars="200"/>
    </w:pPr>
  </w:style>
  <w:style w:type="paragraph" w:customStyle="1" w:styleId="33">
    <w:name w:val="_Style 1"/>
    <w:basedOn w:val="1"/>
    <w:next w:val="1"/>
    <w:autoRedefine/>
    <w:qFormat/>
    <w:uiPriority w:val="99"/>
    <w:pPr>
      <w:ind w:firstLine="420" w:firstLineChars="200"/>
    </w:pPr>
  </w:style>
  <w:style w:type="paragraph" w:customStyle="1" w:styleId="34">
    <w:name w:val="表格小五F4"/>
    <w:basedOn w:val="35"/>
    <w:autoRedefine/>
    <w:qFormat/>
    <w:uiPriority w:val="0"/>
    <w:rPr>
      <w:sz w:val="18"/>
    </w:rPr>
  </w:style>
  <w:style w:type="paragraph" w:customStyle="1" w:styleId="35">
    <w:name w:val="表格F2"/>
    <w:autoRedefine/>
    <w:qFormat/>
    <w:uiPriority w:val="0"/>
    <w:pPr>
      <w:jc w:val="center"/>
    </w:pPr>
    <w:rPr>
      <w:rFonts w:ascii="Times New Roman" w:hAnsi="Times New Roman" w:eastAsia="楷体" w:cs="Times New Roman"/>
      <w:sz w:val="24"/>
      <w:szCs w:val="22"/>
      <w:lang w:val="en-US" w:eastAsia="zh-CN" w:bidi="ar-SA"/>
    </w:rPr>
  </w:style>
  <w:style w:type="paragraph" w:customStyle="1" w:styleId="36">
    <w:name w:val="样式 首行缩进:  2 字符"/>
    <w:autoRedefine/>
    <w:qFormat/>
    <w:uiPriority w:val="0"/>
    <w:pPr>
      <w:widowControl w:val="0"/>
      <w:spacing w:before="120" w:after="120" w:line="360" w:lineRule="auto"/>
      <w:ind w:firstLine="582" w:firstLineChars="200"/>
      <w:jc w:val="both"/>
    </w:pPr>
    <w:rPr>
      <w:rFonts w:ascii="Times New Roman" w:hAnsi="Times New Roman" w:eastAsia="仿宋_GB2312" w:cs="宋体"/>
      <w:kern w:val="10"/>
      <w:sz w:val="28"/>
      <w:szCs w:val="28"/>
      <w:lang w:val="en-US" w:eastAsia="zh-CN" w:bidi="ar-SA"/>
    </w:rPr>
  </w:style>
  <w:style w:type="paragraph" w:customStyle="1" w:styleId="37">
    <w:name w:val="列表段落1"/>
    <w:basedOn w:val="1"/>
    <w:autoRedefine/>
    <w:qFormat/>
    <w:uiPriority w:val="0"/>
    <w:pPr>
      <w:ind w:firstLine="420" w:firstLineChars="200"/>
    </w:pPr>
  </w:style>
  <w:style w:type="paragraph" w:customStyle="1" w:styleId="38">
    <w:name w:val="List Paragraph"/>
    <w:basedOn w:val="1"/>
    <w:autoRedefine/>
    <w:qFormat/>
    <w:uiPriority w:val="34"/>
    <w:pPr>
      <w:ind w:firstLine="420" w:firstLineChars="200"/>
    </w:pPr>
  </w:style>
  <w:style w:type="paragraph" w:customStyle="1" w:styleId="39">
    <w:name w:val="Normal Indent1"/>
    <w:basedOn w:val="1"/>
    <w:autoRedefine/>
    <w:qFormat/>
    <w:uiPriority w:val="0"/>
    <w:pPr>
      <w:ind w:firstLine="420" w:firstLineChars="200"/>
    </w:pPr>
  </w:style>
  <w:style w:type="character" w:customStyle="1" w:styleId="40">
    <w:name w:val="font11"/>
    <w:basedOn w:val="21"/>
    <w:qFormat/>
    <w:uiPriority w:val="0"/>
    <w:rPr>
      <w:rFonts w:hint="eastAsia" w:ascii="宋体" w:hAnsi="宋体" w:eastAsia="宋体" w:cs="宋体"/>
      <w:color w:val="000000"/>
      <w:sz w:val="32"/>
      <w:szCs w:val="32"/>
      <w:u w:val="none"/>
    </w:rPr>
  </w:style>
  <w:style w:type="character" w:customStyle="1" w:styleId="41">
    <w:name w:val="font51"/>
    <w:basedOn w:val="21"/>
    <w:qFormat/>
    <w:uiPriority w:val="0"/>
    <w:rPr>
      <w:rFonts w:hint="eastAsia" w:ascii="宋体" w:hAnsi="宋体" w:eastAsia="宋体" w:cs="宋体"/>
      <w:color w:val="FF0000"/>
      <w:sz w:val="32"/>
      <w:szCs w:val="32"/>
      <w:u w:val="none"/>
    </w:rPr>
  </w:style>
  <w:style w:type="character" w:customStyle="1" w:styleId="42">
    <w:name w:val="font01"/>
    <w:basedOn w:val="21"/>
    <w:qFormat/>
    <w:uiPriority w:val="0"/>
    <w:rPr>
      <w:rFonts w:hint="eastAsia" w:ascii="宋体" w:hAnsi="宋体" w:eastAsia="宋体" w:cs="宋体"/>
      <w:color w:val="000000"/>
      <w:sz w:val="22"/>
      <w:szCs w:val="22"/>
      <w:u w:val="none"/>
    </w:rPr>
  </w:style>
  <w:style w:type="character" w:customStyle="1" w:styleId="43">
    <w:name w:val="font21"/>
    <w:basedOn w:val="21"/>
    <w:qFormat/>
    <w:uiPriority w:val="0"/>
    <w:rPr>
      <w:rFonts w:hint="eastAsia" w:ascii="宋体" w:hAnsi="宋体" w:eastAsia="宋体" w:cs="宋体"/>
      <w:i/>
      <w:i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0bdc61ba-f395-4412-8b84-ba73595f4929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3699E77E</paraID>
      <start>46</start>
      <end>47</end>
      <status>unmodified</status>
      <modifiedWord/>
      <trackRevisions>false</trackRevisions>
    </reviewItem>
    <reviewItem>
      <errorID>6e1732b2-e69d-475d-98a3-5a868503e50f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1BE2E728</paraID>
      <start>46</start>
      <end>47</end>
      <status>ignored</status>
      <modifiedWord/>
      <trackRevisions>false</trackRevisions>
    </reviewItem>
    <reviewItem>
      <errorID>413a955f-ef99-4d41-a2ad-caca0f8bb515</errorID>
      <errorWord>圆型</errorWord>
      <group>L1_Word</group>
      <groupName>字词问题</groupName>
      <ability>L2_Typo</ability>
      <abilityName>字词错误</abilityName>
      <candidateList>
        <item>圆形</item>
      </candidateList>
      <explain/>
      <paraID>75868807</paraID>
      <start>4</start>
      <end>6</end>
      <status>unmodified</status>
      <modifiedWord/>
      <trackRevisions>false</trackRevisions>
    </reviewItem>
    <reviewItem>
      <errorID>f3b0abcb-fb59-4116-859a-60c6e9867206</errorID>
      <errorWord>圆型</errorWord>
      <group>L1_Word</group>
      <groupName>字词问题</groupName>
      <ability>L2_Typo</ability>
      <abilityName>字词错误</abilityName>
      <candidateList>
        <item>圆形</item>
      </candidateList>
      <explain/>
      <paraID> 88FC9C9</paraID>
      <start>4</start>
      <end>6</end>
      <status>unmodified</status>
      <modifiedWord/>
      <trackRevisions>false</trackRevisions>
    </reviewItem>
    <reviewItem>
      <errorID>b76f571a-6faf-48fc-94b5-5f0521ffda41</errorID>
      <errorWord>圆型</errorWord>
      <group>L1_Word</group>
      <groupName>字词问题</groupName>
      <ability>L2_Typo</ability>
      <abilityName>字词错误</abilityName>
      <candidateList>
        <item>圆形</item>
      </candidateList>
      <explain/>
      <paraID>32DC2DA7</paraID>
      <start>3</start>
      <end>5</end>
      <status>unmodified</status>
      <modifiedWord/>
      <trackRevisions>false</trackRevisions>
    </reviewItem>
    <reviewItem>
      <errorID>59c39cec-b445-4c55-ac0a-dbe5b4a6ff7e</errorID>
      <errorWord>厨柜</errorWord>
      <group>L1_Word</group>
      <groupName>字词问题</groupName>
      <ability>L2_Typo</ability>
      <abilityName>字词错误</abilityName>
      <candidateList>
        <item>橱柜</item>
      </candidateList>
      <explain/>
      <paraID>7B9F62F3</paraID>
      <start>0</start>
      <end>2</end>
      <status>unmodified</status>
      <modifiedWord/>
      <trackRevisions>false</trackRevisions>
    </reviewItem>
    <reviewItem>
      <errorID>27b1486e-286b-446c-87f2-a987db5c34f6</errorID>
      <errorWord>方</errorWord>
      <group>L1_Word</group>
      <groupName>字词问题</groupName>
      <ability>L2_Typo</ability>
      <abilityName>字词错误</abilityName>
      <candidateList>
        <item>方米</item>
      </candidateList>
      <explain/>
      <paraID>597EE5AC</paraID>
      <start>4</start>
      <end>5</end>
      <status>unmodified</status>
      <modifiedWord/>
      <trackRevisions>false</trackRevisions>
    </reviewItem>
    <reviewItem>
      <errorID>42dd8bd9-abbd-4db3-ab0f-af4bd19ff41e</errorID>
      <errorWord>方</errorWord>
      <group>L1_Word</group>
      <groupName>字词问题</groupName>
      <ability>L2_Typo</ability>
      <abilityName>字词错误</abilityName>
      <candidateList>
        <item>方米</item>
      </candidateList>
      <explain/>
      <paraID> E0E6F12</paraID>
      <start>2</start>
      <end>3</end>
      <status>unmodified</status>
      <modifiedWord/>
      <trackRevisions>false</trackRevisions>
    </reviewItem>
    <reviewItem>
      <errorID>b7e00a9e-7882-4c56-a5a1-43f23aed7fb3</errorID>
      <errorWord>方</errorWord>
      <group>L1_Word</group>
      <groupName>字词问题</groupName>
      <ability>L2_Typo</ability>
      <abilityName>字词错误</abilityName>
      <candidateList>
        <item>方米</item>
      </candidateList>
      <explain/>
      <paraID>44C838FC</paraID>
      <start>4</start>
      <end>5</end>
      <status>unmodified</status>
      <modifiedWord/>
      <trackRevisions>false</trackRevisions>
    </reviewItem>
    <reviewItem>
      <errorID>1f590591-18dd-4b11-935c-ef33631c5534</errorID>
      <errorWord>方</errorWord>
      <group>L1_Word</group>
      <groupName>字词问题</groupName>
      <ability>L2_Typo</ability>
      <abilityName>字词错误</abilityName>
      <candidateList>
        <item>方米</item>
      </candidateList>
      <explain/>
      <paraID>274E3FC7</paraID>
      <start>4</start>
      <end>5</end>
      <status>unmodified</status>
      <modifiedWord/>
      <trackRevisions>false</trackRevisions>
    </reviewItem>
    <reviewItem>
      <errorID>329eb515-2ee5-43ca-a495-9075f91d4ed8</errorID>
      <errorWord>方</errorWord>
      <group>L1_Word</group>
      <groupName>字词问题</groupName>
      <ability>L2_Typo</ability>
      <abilityName>字词错误</abilityName>
      <candidateList>
        <item>方米</item>
      </candidateList>
      <explain/>
      <paraID>3D1FB8D6</paraID>
      <start>2</start>
      <end>3</end>
      <status>unmodified</status>
      <modifiedWord/>
      <trackRevisions>false</trackRevisions>
    </reviewItem>
    <reviewItem>
      <errorID>21c8e09d-dc4f-4033-871c-4870d06d5b37</errorID>
      <errorWord>方</errorWord>
      <group>L1_Word</group>
      <groupName>字词问题</groupName>
      <ability>L2_Typo</ability>
      <abilityName>字词错误</abilityName>
      <candidateList>
        <item>方米</item>
      </candidateList>
      <explain/>
      <paraID>4443232C</paraID>
      <start>2</start>
      <end>3</end>
      <status>unmodified</status>
      <modifiedWord/>
      <trackRevisions>false</trackRevisions>
    </reviewItem>
    <reviewItem>
      <errorID>37bc6e8c-d25e-4959-8183-50d409ecb6e5</errorID>
      <errorWord>方</errorWord>
      <group>L1_Word</group>
      <groupName>字词问题</groupName>
      <ability>L2_Typo</ability>
      <abilityName>字词错误</abilityName>
      <candidateList>
        <item>方米</item>
      </candidateList>
      <explain/>
      <paraID>3E5D77EB</paraID>
      <start>3</start>
      <end>4</end>
      <status>unmodified</status>
      <modifiedWord/>
      <trackRevisions>false</trackRevisions>
    </reviewItem>
    <reviewItem>
      <errorID>6fd11051-ac01-4851-b94f-16f7d251eb6f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102716AC</paraID>
      <start>1</start>
      <end>2</end>
      <status>unmodified</status>
      <modifiedWord/>
      <trackRevisions>false</trackRevisions>
    </reviewItem>
    <reviewItem>
      <errorID>9201467e-fd2a-4a7a-bfbb-ac02f291571a</errorID>
      <errorWord>暗装</errorWord>
      <group>L1_Word</group>
      <groupName>字词问题</groupName>
      <ability>L2_Typo</ability>
      <abilityName>字词错误</abilityName>
      <candidateList>
        <item>安装</item>
      </candidateList>
      <explain/>
      <paraID> AFD12CB</paraID>
      <start>0</start>
      <end>2</end>
      <status>unmodified</status>
      <modifiedWord/>
      <trackRevisions>false</trackRevisions>
    </reviewItem>
    <reviewItem>
      <errorID>f137f9da-a74a-4e62-9bb2-3782c323873c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2DFCE5CB</paraID>
      <start>2</start>
      <end>3</end>
      <status>unmodified</status>
      <modifiedWord/>
      <trackRevisions>false</trackRevisions>
    </reviewItem>
    <reviewItem>
      <errorID>d4b11bf6-a1c6-4d22-bd62-a3e3a08ef06f</errorID>
      <errorWord>圆型</errorWord>
      <group>L1_Word</group>
      <groupName>字词问题</groupName>
      <ability>L2_Typo</ability>
      <abilityName>字词错误</abilityName>
      <candidateList>
        <item>圆形</item>
      </candidateList>
      <explain/>
      <paraID>143573AF</paraID>
      <start>0</start>
      <end>2</end>
      <status>unmodified</status>
      <modifiedWord/>
      <trackRevisions>false</trackRevisions>
    </reviewItem>
    <reviewItem>
      <errorID>e293f0dd-d04f-4ff9-b0ef-6cf0a2c0969e</errorID>
      <errorWord>按触</errorWord>
      <group>L1_Word</group>
      <groupName>字词问题</groupName>
      <ability>L2_Typo</ability>
      <abilityName>字词错误</abilityName>
      <candidateList>
        <item>接触</item>
      </candidateList>
      <explain/>
      <paraID>5E02623E</paraID>
      <start>4</start>
      <end>6</end>
      <status>unmodified</status>
      <modifiedWord/>
      <trackRevisions>false</trackRevisions>
    </reviewItem>
    <reviewItem>
      <errorID>f1aa1250-89d2-44ff-a652-685f439f8d01</errorID>
      <errorWord>门栓</errorWord>
      <group>L1_Word</group>
      <groupName>字词问题</groupName>
      <ability>L2_Alias</ability>
      <abilityName>也作/曾用词</abilityName>
      <candidateList>
        <item>门闩</item>
      </candidateList>
      <explain>词汇[门栓]为不规范表述或旧称，其规范书面表述为[门闩]。</explain>
      <paraID>3CFCB74D</paraID>
      <start>0</start>
      <end>2</end>
      <status>unmodified</status>
      <modifiedWord/>
      <trackRevisions>false</trackRevisions>
    </reviewItem>
    <reviewItem>
      <errorID>9987df41-be67-447e-9ae3-56d39cf4aef1</errorID>
      <errorWord>、</errorWord>
      <group>L1_Punc</group>
      <groupName>标点问题</groupName>
      <ability>L2_Punc_CN</ability>
      <abilityName>标点符号问题</abilityName>
      <candidateList>
        <item>.</item>
      </candidateList>
      <explain/>
      <paraID>60E7A675</paraID>
      <start>1</start>
      <end>2</end>
      <status>unmodified</status>
      <modifiedWord/>
      <trackRevisions>false</trackRevisions>
    </reviewItem>
    <reviewItem>
      <errorID>ae5a5115-3598-4342-a9e7-26d072419d21</errorID>
      <errorWord>、</errorWord>
      <group>L1_Punc</group>
      <groupName>标点问题</groupName>
      <ability>L2_Punc_CN</ability>
      <abilityName>标点符号问题</abilityName>
      <candidateList>
        <item>.</item>
      </candidateList>
      <explain/>
      <paraID>74931736</paraID>
      <start>1</start>
      <end>2</end>
      <status>unmodified</status>
      <modifiedWord/>
      <trackRevisions>false</trackRevisions>
    </reviewItem>
    <reviewItem>
      <errorID>4fedea76-ec3b-4974-8279-3d03533bcd46</errorID>
      <errorWord>(</errorWord>
      <group>L1_Format</group>
      <groupName>格式问题</groupName>
      <ability>L2_HalfPunc_CN</ability>
      <abilityName>全半角问题</abilityName>
      <candidateList>
        <item>（</item>
      </candidateList>
      <explain>文本全半角错误。</explain>
      <paraID>10F37642</paraID>
      <start>87</start>
      <end>88</end>
      <status>unmodified</status>
      <modifiedWord/>
      <trackRevisions>false</trackRevisions>
    </reviewItem>
    <reviewItem>
      <errorID>ed167621-aa19-4e5a-8ec4-0271c2df8bcd</errorID>
      <errorWord>)</errorWord>
      <group>L1_Format</group>
      <groupName>格式问题</groupName>
      <ability>L2_HalfPunc_CN</ability>
      <abilityName>全半角问题</abilityName>
      <candidateList>
        <item>）</item>
      </candidateList>
      <explain>文本全半角错误。</explain>
      <paraID>10F37642</paraID>
      <start>98</start>
      <end>99</end>
      <status>unmodified</status>
      <modifiedWord/>
      <trackRevisions>false</trackRevisions>
    </reviewItem>
    <reviewItem>
      <errorID>a76e5c12-7fe6-483d-b529-b55464adf57b</errorID>
      <errorWord>(</errorWord>
      <group>L1_Format</group>
      <groupName>格式问题</groupName>
      <ability>L2_HalfPunc_CN</ability>
      <abilityName>全半角问题</abilityName>
      <candidateList>
        <item>（</item>
      </candidateList>
      <explain>文本全半角错误。</explain>
      <paraID>63205694</paraID>
      <start>85</start>
      <end>86</end>
      <status>unmodified</status>
      <modifiedWord/>
      <trackRevisions>false</trackRevisions>
    </reviewItem>
    <reviewItem>
      <errorID>326f2ace-b4fc-4382-8f7d-efd451e916fb</errorID>
      <errorWord>)</errorWord>
      <group>L1_Format</group>
      <groupName>格式问题</groupName>
      <ability>L2_HalfPunc_CN</ability>
      <abilityName>全半角问题</abilityName>
      <candidateList>
        <item>）</item>
      </candidateList>
      <explain>文本全半角错误。</explain>
      <paraID>63205694</paraID>
      <start>96</start>
      <end>97</end>
      <status>unmodified</status>
      <modifiedWord/>
      <trackRevisions>false</trackRevisions>
    </reviewItem>
    <reviewItem>
      <errorID>86d92eee-24a4-4852-9bd6-4ad7af7b9f55</errorID>
      <errorWord>(</errorWord>
      <group>L1_Format</group>
      <groupName>格式问题</groupName>
      <ability>L2_HalfPunc_CN</ability>
      <abilityName>全半角问题</abilityName>
      <candidateList>
        <item>（</item>
      </candidateList>
      <explain>文本全半角错误。</explain>
      <paraID>29BE2C54</paraID>
      <start>30</start>
      <end>31</end>
      <status>unmodified</status>
      <modifiedWord/>
      <trackRevisions>false</trackRevisions>
    </reviewItem>
    <reviewItem>
      <errorID>f379275c-ea9b-483c-9cdb-6ab16bdabfb7</errorID>
      <errorWord>)</errorWord>
      <group>L1_Format</group>
      <groupName>格式问题</groupName>
      <ability>L2_HalfPunc_CN</ability>
      <abilityName>全半角问题</abilityName>
      <candidateList>
        <item>）</item>
      </candidateList>
      <explain>文本全半角错误。</explain>
      <paraID>29BE2C54</paraID>
      <start>40</start>
      <end>41</end>
      <status>unmodified</status>
      <modifiedWord/>
      <trackRevisions>false</trackRevisions>
    </reviewItem>
    <reviewItem>
      <errorID>2a4b63a6-7039-4933-b952-3cd13bafa1bb</errorID>
      <errorWord>(</errorWord>
      <group>L1_Format</group>
      <groupName>格式问题</groupName>
      <ability>L2_HalfPunc_CN</ability>
      <abilityName>全半角问题</abilityName>
      <candidateList>
        <item>（</item>
      </candidateList>
      <explain>文本全半角错误。</explain>
      <paraID>1D7244B2</paraID>
      <start>31</start>
      <end>32</end>
      <status>unmodified</status>
      <modifiedWord/>
      <trackRevisions>false</trackRevisions>
    </reviewItem>
    <reviewItem>
      <errorID>1e942629-d913-4e91-ab7e-d1d454e45a3f</errorID>
      <errorWord>)</errorWord>
      <group>L1_Format</group>
      <groupName>格式问题</groupName>
      <ability>L2_HalfPunc_CN</ability>
      <abilityName>全半角问题</abilityName>
      <candidateList>
        <item>）</item>
      </candidateList>
      <explain>文本全半角错误。</explain>
      <paraID>1D7244B2</paraID>
      <start>34</start>
      <end>35</end>
      <status>unmodified</status>
      <modifiedWord/>
      <trackRevisions>false</trackRevisions>
    </reviewItem>
    <reviewItem>
      <errorID>16f5eac5-5de0-4034-9872-3df05228fa42</errorID>
      <errorWord>&lt;</errorWord>
      <group>L1_Format</group>
      <groupName>格式问题</groupName>
      <ability>L2_HalfPunc_CN</ability>
      <abilityName>全半角问题</abilityName>
      <candidateList>
        <item>〈</item>
      </candidateList>
      <explain>文本全半角错误。</explain>
      <paraID>1D7244B2</paraID>
      <start>90</start>
      <end>91</end>
      <status>unmodified</status>
      <modifiedWord/>
      <trackRevisions>false</trackRevisions>
    </reviewItem>
    <reviewItem>
      <errorID>2edac011-b6c1-47e6-81fe-8309ab57db5f</errorID>
      <errorWord>&lt;</errorWord>
      <group>L1_Format</group>
      <groupName>格式问题</groupName>
      <ability>L2_HalfPunc_CN</ability>
      <abilityName>全半角问题</abilityName>
      <candidateList>
        <item>〈</item>
      </candidateList>
      <explain>文本全半角错误。</explain>
      <paraID>1D7244B2</paraID>
      <start>169</start>
      <end>170</end>
      <status>unmodified</status>
      <modifiedWord/>
      <trackRevisions>false</trackRevisions>
    </reviewItem>
    <reviewItem>
      <errorID>983edef5-414f-4bf7-9796-be29e3c73241</errorID>
      <errorWord>&lt;</errorWord>
      <group>L1_Format</group>
      <groupName>格式问题</groupName>
      <ability>L2_HalfPunc_CN</ability>
      <abilityName>全半角问题</abilityName>
      <candidateList>
        <item>〈</item>
      </candidateList>
      <explain>文本全半角错误。</explain>
      <paraID>1D7244B2</paraID>
      <start>233</start>
      <end>234</end>
      <status>unmodified</status>
      <modifiedWord/>
      <trackRevisions>false</trackRevisions>
    </reviewItem>
    <reviewItem>
      <errorID>4ca5c8b7-0fbc-4d1f-8d59-ec3d8a26e7e2</errorID>
      <errorWord>法律、法规</errorWord>
      <group>L1_Word</group>
      <groupName>字词问题</groupName>
      <ability>L2_Typo</ability>
      <abilityName>字词错误</abilityName>
      <candidateList>
        <item>法律法规</item>
      </candidateList>
      <explain/>
      <paraID>65277D9E</paraID>
      <start>0</start>
      <end>5</end>
      <status>unmodified</status>
      <modifiedWord/>
      <trackRevisions>false</trackRevisions>
    </reviewItem>
    <reviewItem>
      <errorID>0519f2a3-98f6-4a31-9ed5-4c5e11defa8e</errorID>
      <errorWord>》</errorWord>
      <group>L1_Word</group>
      <groupName>字词问题</groupName>
      <ability>L2_Typo</ability>
      <abilityName>字词错误</abilityName>
      <candidateList>
        <item>》和</item>
      </candidateList>
      <explain/>
      <paraID>10170BA1</paraID>
      <start>19</start>
      <end>20</end>
      <status>unmodified</status>
      <modifiedWord/>
      <trackRevisions>false</trackRevisions>
    </reviewItem>
    <reviewItem>
      <errorID>ab725a6f-33a7-4ec6-a31e-cc7d68c21fbe</errorID>
      <errorWord>&lt;</errorWord>
      <group>L1_Format</group>
      <groupName>格式问题</groupName>
      <ability>L2_HalfPunc_CN</ability>
      <abilityName>全半角问题</abilityName>
      <candidateList>
        <item>〈</item>
      </candidateList>
      <explain>文本全半角错误。</explain>
      <paraID>3E6D9F49</paraID>
      <start>40</start>
      <end>41</end>
      <status>unmodified</status>
      <modifiedWord/>
      <trackRevisions>false</trackRevisions>
    </reviewItem>
    <reviewItem>
      <errorID>8d97198c-c66d-4284-8afc-bd1a839d986d</errorID>
      <errorWord>&gt;的通知》</errorWord>
      <group>L1_Punc</group>
      <groupName>标点问题</groupName>
      <ability>L2_Punc_CN</ability>
      <abilityName>标点符号问题</abilityName>
      <candidateList>
        <item>〉的通知》</item>
      </candidateList>
      <explain/>
      <paraID>3E6D9F49</paraID>
      <start>62</start>
      <end>67</end>
      <status>unmodified</status>
      <modifiedWord/>
      <trackRevisions>false</trackRevisions>
    </reviewItem>
    <reviewItem>
      <errorID>5bc9559a-84bb-4e7c-a2b1-64408d3f1ccb</errorID>
      <errorWord>股东大会</errorWord>
      <group>L1_Knowledge</group>
      <groupName>知识性问题</groupName>
      <ability>L2_Knowledge</ability>
      <abilityName>其他知识</abilityName>
      <candidateList>
        <item>股东会</item>
      </candidateList>
      <explain/>
      <paraID>4BE4B1DD</paraID>
      <start>102</start>
      <end>106</end>
      <status>unmodified</status>
      <modifiedWord/>
      <trackRevisions>false</trackRevisions>
    </reviewItem>
    <reviewItem>
      <errorID>852bf425-a480-4601-9012-5f2378fddba0</errorID>
      <errorWord>(</errorWord>
      <group>L1_Format</group>
      <groupName>格式问题</groupName>
      <ability>L2_HalfPunc_CN</ability>
      <abilityName>全半角问题</abilityName>
      <candidateList>
        <item>（</item>
      </candidateList>
      <explain>文本全半角错误。</explain>
      <paraID> D666482</paraID>
      <start>0</start>
      <end>1</end>
      <status>unmodified</status>
      <modifiedWord/>
      <trackRevisions>false</trackRevisions>
    </reviewItem>
    <reviewItem>
      <errorID>7481a25f-5ff5-403c-a0f2-ea59287b33c3</errorID>
      <errorWord>)</errorWord>
      <group>L1_Format</group>
      <groupName>格式问题</groupName>
      <ability>L2_HalfPunc_CN</ability>
      <abilityName>全半角问题</abilityName>
      <candidateList>
        <item>）</item>
      </candidateList>
      <explain>文本全半角错误。</explain>
      <paraID> D666482</paraID>
      <start>2</start>
      <end>3</end>
      <status>unmodified</status>
      <modifiedWord/>
      <trackRevisions>false</trackRevisions>
    </reviewItem>
    <reviewItem>
      <errorID>2c108fe2-deed-40d0-a4cf-84c963f981de</errorID>
      <errorWord>包含现</errorWord>
      <group>L1_Word</group>
      <groupName>字词问题</groupName>
      <ability>L2_Typo</ability>
      <abilityName>字词错误</abilityName>
      <candidateList>
        <item>包含</item>
      </candidateList>
      <explain/>
      <paraID>7E8E5D08</paraID>
      <start>8</start>
      <end>11</end>
      <status>unmodified</status>
      <modifiedWord/>
      <trackRevisions>false</trackRevisions>
    </reviewItem>
    <reviewItem>
      <errorID>3ba40bf4-d57e-4abe-a6cd-dac477090472</errorID>
      <errorWord>)</errorWord>
      <group>L1_Format</group>
      <groupName>格式问题</groupName>
      <ability>L2_HalfPunc_CN</ability>
      <abilityName>全半角问题</abilityName>
      <candidateList>
        <item>）</item>
      </candidateList>
      <explain>文本全半角错误。</explain>
      <paraID> A3BFED3</paraID>
      <start>24</start>
      <end>25</end>
      <status>unmodified</status>
      <modifiedWord/>
      <trackRevisions>false</trackRevisions>
    </reviewItem>
    <reviewItem>
      <errorID>774f6c10-13fd-4f5d-9948-4be0b84176f9</errorID>
      <errorWord>行业中</errorWord>
      <group>L1_Word</group>
      <groupName>字词问题</groupName>
      <ability>L2_Typo</ability>
      <abilityName>字词错误</abilityName>
      <candidateList>
        <item>行业</item>
      </candidateList>
      <explain/>
      <paraID>55CB9460</paraID>
      <start>10</start>
      <end>13</end>
      <status>unmodified</status>
      <modifiedWord/>
      <trackRevisions>false</trackRevisions>
    </reviewItem>
    <reviewItem>
      <errorID>44ce1f93-c4d8-4d72-90ec-f8f141317cc8</errorID>
      <errorWord>任何的</errorWord>
      <group>L1_Word</group>
      <groupName>字词问题</groupName>
      <ability>L2_Typo</ability>
      <abilityName>字词错误</abilityName>
      <candidateList>
        <item>任何</item>
      </candidateList>
      <explain/>
      <paraID>1520F4C9</paraID>
      <start>45</start>
      <end>48</end>
      <status>unmodified</status>
      <modifiedWord/>
      <trackRevisions>false</trackRevisions>
    </reviewItem>
    <reviewItem>
      <errorID>08fa16c4-1cee-488d-9759-3df53a28b525</errorID>
      <errorWord>均</errorWord>
      <group>L1_Word</group>
      <groupName>字词问题</groupName>
      <ability>L2_Typo</ability>
      <abilityName>字词错误</abilityName>
      <candidateList>
        <item>均由</item>
      </candidateList>
      <explain/>
      <paraID>3B35FB7F</paraID>
      <start>80</start>
      <end>81</end>
      <status>unmodified</status>
      <modifiedWord/>
      <trackRevisions>false</trackRevisions>
    </reviewItem>
    <reviewItem>
      <errorID>dcf1ffdf-f771-4839-83c4-cd5eeb7c9707</errorID>
      <errorWord>其它的技术</errorWord>
      <group>L1_Word</group>
      <groupName>字词问题</groupName>
      <ability>L2_Alias</ability>
      <abilityName>也作/曾用词</abilityName>
      <candidateList>
        <item>其他的技术</item>
      </candidateList>
      <explain>词汇[其它的技术]为不规范表述或旧称，其规范书面表述为[其他的技术]。</explain>
      <paraID>26B98FDE</paraID>
      <start>22</start>
      <end>27</end>
      <status>unmodified</status>
      <modifiedWord/>
      <trackRevisions>false</trackRevisions>
    </reviewItem>
    <reviewItem>
      <errorID>53424d8c-5749-4087-b48d-6a8a0f6128af</errorID>
      <errorWord>人民法院提起诉讼解决</errorWord>
      <group>L1_Knowledge</group>
      <groupName>知识性问题</groupName>
      <ability>L2_Knowledge</ability>
      <abilityName>其他知识</abilityName>
      <candidateList>
        <item>人民法院提起诉讼</item>
      </candidateList>
      <explain/>
      <paraID>29C7479C</paraID>
      <start>59</start>
      <end>69</end>
      <status>unmodified</status>
      <modifiedWord/>
      <trackRevisions>false</trackRevisions>
    </reviewItem>
    <reviewItem>
      <errorID>d81f75eb-850c-4cf2-a4df-5f10d63aee4f</errorID>
      <errorWord>生效及其它</errorWord>
      <group>L1_Word</group>
      <groupName>字词问题</groupName>
      <ability>L2_Alias</ability>
      <abilityName>也作/曾用词</abilityName>
      <candidateList>
        <item>生效及其他</item>
      </candidateList>
      <explain>词汇[生效及其它]为不规范表述或旧称，其规范书面表述为[生效及其他]。</explain>
      <paraID>78138E06</paraID>
      <start>8</start>
      <end>13</end>
      <status>unmodified</status>
      <modifiedWord/>
      <trackRevisions>false</trackRevisions>
    </reviewItem>
    <reviewItem>
      <errorID>d51954bf-ea37-427c-be45-01845975d5c7</errorID>
      <errorWord>“亲”“清”新型政商关系</errorWord>
      <group>L1_Word</group>
      <groupName>字词问题</groupName>
      <ability>L2_Typo</ability>
      <abilityName>字词错误</abilityName>
      <candidateList>
        <item>亲清政商关系</item>
      </candidateList>
      <explain/>
      <paraID>6BA53214</paraID>
      <start>5</start>
      <end>17</end>
      <status>unmodified</status>
      <modifiedWord/>
      <trackRevisions>false</trackRevisions>
    </reviewItem>
    <reviewItem>
      <errorID>6d52a235-0d39-4513-a732-77ecf249a814</errorID>
      <errorWord>区委区政府</errorWord>
      <group>L1_Political</group>
      <groupName>政治性问题</groupName>
      <ability>L2_Keyword</ability>
      <abilityName>固定表述</abilityName>
      <candidateList>
        <item>区委、区政府</item>
      </candidateList>
      <explain>注意检查当前固定表述标点是否使用规范。</explain>
      <paraID>6BA53214</paraID>
      <start>42</start>
      <end>47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dbf58a-bd47-4d8c-b84e-5da9064221db}">
  <ds:schemaRefs/>
</ds:datastoreItem>
</file>

<file path=docProps/app.xml><?xml version="1.0" encoding="utf-8"?>
<Properties xmlns="http://schemas.openxmlformats.org/officeDocument/2006/extended-properties" xmlns:vt="http://schemas.openxmlformats.org/officeDocument/2006/docPropsVTypes">
  <Template>Normal.dotm</Template>
  <Pages>105</Pages>
  <Words>3816</Words>
  <Characters>4058</Characters>
  <Lines>0</Lines>
  <Paragraphs>0</Paragraphs>
  <TotalTime>9</TotalTime>
  <ScaleCrop>false</ScaleCrop>
  <LinksUpToDate>false</LinksUpToDate>
  <CharactersWithSpaces>4096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2025-12-16T01:57:00Z</dcterms:created>
  <dc:creator>Administrator</dc:creator>
  <cp:lastModifiedBy>小满</cp:lastModifiedBy>
  <dcterms:modified xsi:type="dcterms:W3CDTF">2026-08-26T08:13:59Z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eyJoZGlkIjoiMDQxMmRkYjg1MWYxOTgzYmE0YjcwNjU0NzA5NzU1Y2UiLCJ1c2VySWQiOiI0MjY3MjA4MDgifQ==</vt:lpwstr>
  </property>
  <property fmtid="{D5CDD505-2E9C-101B-9397-08002B2CF9AE}" pid="4" name="ICV">
    <vt:lpwstr>29C70056B5254567B0FACC74454E2675_13</vt:lpwstr>
  </property>
</Properties>
</file>