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EC76A0">
      <w:pPr>
        <w:spacing w:line="560" w:lineRule="exact"/>
        <w:jc w:val="both"/>
        <w:rPr>
          <w:rFonts w:ascii="宋体" w:hAnsi="宋体"/>
          <w:b/>
          <w:sz w:val="48"/>
          <w:szCs w:val="48"/>
          <w:highlight w:val="none"/>
        </w:rPr>
      </w:pPr>
    </w:p>
    <w:p w14:paraId="31C944DD">
      <w:pPr>
        <w:pStyle w:val="30"/>
        <w:spacing w:line="560" w:lineRule="exact"/>
        <w:ind w:firstLine="0" w:firstLineChars="0"/>
        <w:jc w:val="center"/>
        <w:rPr>
          <w:rFonts w:hint="eastAsia" w:hAnsi="宋体" w:cs="宋体"/>
          <w:b w:val="0"/>
          <w:color w:val="auto"/>
          <w:sz w:val="52"/>
          <w:szCs w:val="52"/>
          <w:highlight w:val="none"/>
          <w:lang w:eastAsia="zh-CN"/>
        </w:rPr>
      </w:pPr>
      <w:r>
        <w:rPr>
          <w:rFonts w:hint="eastAsia" w:hAnsi="宋体" w:cs="宋体"/>
          <w:b w:val="0"/>
          <w:color w:val="auto"/>
          <w:sz w:val="52"/>
          <w:szCs w:val="52"/>
          <w:highlight w:val="none"/>
          <w:lang w:eastAsia="zh-CN"/>
        </w:rPr>
        <w:t>深圳建筑产业生态智谷总部基</w:t>
      </w:r>
    </w:p>
    <w:p w14:paraId="7144FE03">
      <w:pPr>
        <w:pStyle w:val="30"/>
        <w:spacing w:line="560" w:lineRule="exact"/>
        <w:ind w:firstLine="0" w:firstLineChars="0"/>
        <w:jc w:val="center"/>
        <w:rPr>
          <w:rFonts w:hint="eastAsia" w:hAnsi="宋体" w:cs="宋体"/>
          <w:b w:val="0"/>
          <w:color w:val="auto"/>
          <w:sz w:val="52"/>
          <w:szCs w:val="52"/>
          <w:highlight w:val="none"/>
          <w:lang w:eastAsia="zh-CN"/>
        </w:rPr>
      </w:pPr>
      <w:r>
        <w:rPr>
          <w:rFonts w:hint="eastAsia" w:hAnsi="宋体" w:cs="宋体"/>
          <w:b w:val="0"/>
          <w:color w:val="auto"/>
          <w:sz w:val="52"/>
          <w:szCs w:val="52"/>
          <w:highlight w:val="none"/>
          <w:lang w:eastAsia="zh-CN"/>
        </w:rPr>
        <w:t>地一期二单元15、16层办公用</w:t>
      </w:r>
    </w:p>
    <w:p w14:paraId="6E3D6959">
      <w:pPr>
        <w:pStyle w:val="30"/>
        <w:spacing w:line="560" w:lineRule="exact"/>
        <w:ind w:firstLine="0" w:firstLineChars="0"/>
        <w:jc w:val="center"/>
        <w:rPr>
          <w:rFonts w:hint="eastAsia" w:ascii="宋体" w:hAnsi="宋体" w:eastAsia="宋体" w:cs="宋体"/>
          <w:color w:val="auto"/>
          <w:sz w:val="44"/>
          <w:szCs w:val="44"/>
          <w:highlight w:val="none"/>
          <w:lang w:val="en-US" w:eastAsia="zh-CN"/>
        </w:rPr>
      </w:pPr>
      <w:r>
        <w:rPr>
          <w:rFonts w:hint="eastAsia" w:hAnsi="宋体" w:cs="宋体"/>
          <w:b w:val="0"/>
          <w:color w:val="auto"/>
          <w:sz w:val="52"/>
          <w:szCs w:val="52"/>
          <w:highlight w:val="none"/>
          <w:lang w:eastAsia="zh-CN"/>
        </w:rPr>
        <w:t>房提升工程监理（</w:t>
      </w:r>
      <w:r>
        <w:rPr>
          <w:rFonts w:hint="eastAsia" w:hAnsi="宋体" w:cs="宋体"/>
          <w:b w:val="0"/>
          <w:color w:val="auto"/>
          <w:sz w:val="52"/>
          <w:szCs w:val="52"/>
          <w:highlight w:val="none"/>
          <w:lang w:val="en-US" w:eastAsia="zh-CN"/>
        </w:rPr>
        <w:t>二次公告</w:t>
      </w:r>
      <w:r>
        <w:rPr>
          <w:rFonts w:hint="eastAsia" w:hAnsi="宋体" w:cs="宋体"/>
          <w:b w:val="0"/>
          <w:color w:val="auto"/>
          <w:sz w:val="52"/>
          <w:szCs w:val="52"/>
          <w:highlight w:val="none"/>
          <w:lang w:eastAsia="zh-CN"/>
        </w:rPr>
        <w:t>）</w:t>
      </w:r>
    </w:p>
    <w:p w14:paraId="53EC0AA6">
      <w:pPr>
        <w:pStyle w:val="15"/>
        <w:spacing w:line="560" w:lineRule="exact"/>
        <w:rPr>
          <w:rFonts w:hint="eastAsia" w:ascii="宋体" w:hAnsi="宋体" w:eastAsia="宋体" w:cs="宋体"/>
          <w:color w:val="auto"/>
          <w:sz w:val="44"/>
          <w:szCs w:val="44"/>
          <w:highlight w:val="none"/>
          <w:lang w:val="en-US" w:eastAsia="zh-CN"/>
        </w:rPr>
      </w:pPr>
    </w:p>
    <w:p w14:paraId="613ECEAC">
      <w:pPr>
        <w:spacing w:line="560" w:lineRule="exact"/>
        <w:rPr>
          <w:rFonts w:hint="eastAsia"/>
          <w:highlight w:val="none"/>
          <w:lang w:val="en-US" w:eastAsia="zh-CN"/>
        </w:rPr>
      </w:pPr>
    </w:p>
    <w:p w14:paraId="6509B7BE">
      <w:pPr>
        <w:spacing w:line="560" w:lineRule="exact"/>
        <w:rPr>
          <w:rFonts w:hint="eastAsia"/>
          <w:highlight w:val="none"/>
          <w:lang w:val="en-US" w:eastAsia="zh-CN"/>
        </w:rPr>
      </w:pPr>
    </w:p>
    <w:p w14:paraId="3745EFC1">
      <w:pPr>
        <w:spacing w:line="560" w:lineRule="exact"/>
        <w:rPr>
          <w:rFonts w:hint="eastAsia"/>
          <w:highlight w:val="none"/>
          <w:lang w:val="en-US" w:eastAsia="zh-CN"/>
        </w:rPr>
      </w:pPr>
    </w:p>
    <w:p w14:paraId="65C9513A">
      <w:pPr>
        <w:spacing w:before="120" w:beforeLines="50" w:after="240" w:afterLines="100" w:line="560" w:lineRule="exact"/>
        <w:jc w:val="center"/>
        <w:rPr>
          <w:rFonts w:ascii="宋体" w:hAnsi="宋体"/>
          <w:b/>
          <w:sz w:val="72"/>
          <w:szCs w:val="72"/>
          <w:highlight w:val="none"/>
        </w:rPr>
      </w:pPr>
      <w:r>
        <w:rPr>
          <w:rFonts w:hint="eastAsia" w:ascii="宋体" w:hAnsi="宋体"/>
          <w:b/>
          <w:sz w:val="72"/>
          <w:szCs w:val="72"/>
          <w:highlight w:val="none"/>
        </w:rPr>
        <w:t>公开招标（自主）文件</w:t>
      </w:r>
    </w:p>
    <w:p w14:paraId="358E9A64">
      <w:pPr>
        <w:spacing w:line="560" w:lineRule="exact"/>
        <w:jc w:val="center"/>
        <w:rPr>
          <w:rFonts w:ascii="宋体" w:hAnsi="宋体"/>
          <w:b/>
          <w:sz w:val="32"/>
          <w:szCs w:val="32"/>
          <w:highlight w:val="none"/>
        </w:rPr>
      </w:pPr>
    </w:p>
    <w:p w14:paraId="5676D44E">
      <w:pPr>
        <w:spacing w:line="560" w:lineRule="exact"/>
        <w:jc w:val="center"/>
        <w:rPr>
          <w:rFonts w:ascii="宋体" w:hAnsi="宋体"/>
          <w:b/>
          <w:sz w:val="32"/>
          <w:szCs w:val="32"/>
          <w:highlight w:val="none"/>
        </w:rPr>
      </w:pPr>
    </w:p>
    <w:p w14:paraId="0B66551B">
      <w:pPr>
        <w:spacing w:line="560" w:lineRule="exact"/>
        <w:jc w:val="center"/>
        <w:rPr>
          <w:rFonts w:ascii="宋体" w:hAnsi="宋体"/>
          <w:b/>
          <w:sz w:val="32"/>
          <w:szCs w:val="32"/>
          <w:highlight w:val="none"/>
        </w:rPr>
      </w:pPr>
    </w:p>
    <w:p w14:paraId="42F81773">
      <w:pPr>
        <w:spacing w:line="560" w:lineRule="exact"/>
        <w:jc w:val="center"/>
        <w:rPr>
          <w:rFonts w:ascii="宋体" w:hAnsi="宋体"/>
          <w:b/>
          <w:sz w:val="32"/>
          <w:szCs w:val="32"/>
          <w:highlight w:val="none"/>
        </w:rPr>
      </w:pPr>
    </w:p>
    <w:p w14:paraId="59B3B688">
      <w:pPr>
        <w:spacing w:line="560" w:lineRule="exact"/>
        <w:rPr>
          <w:rFonts w:ascii="宋体" w:hAnsi="宋体"/>
          <w:b/>
          <w:sz w:val="32"/>
          <w:szCs w:val="32"/>
          <w:highlight w:val="none"/>
        </w:rPr>
      </w:pPr>
    </w:p>
    <w:p w14:paraId="4E760F72">
      <w:pPr>
        <w:pStyle w:val="25"/>
        <w:spacing w:line="560" w:lineRule="exact"/>
        <w:rPr>
          <w:rFonts w:ascii="宋体" w:hAnsi="宋体"/>
          <w:b/>
          <w:sz w:val="32"/>
          <w:szCs w:val="32"/>
          <w:highlight w:val="none"/>
        </w:rPr>
      </w:pPr>
    </w:p>
    <w:p w14:paraId="19FF7676">
      <w:pPr>
        <w:spacing w:line="560" w:lineRule="exact"/>
        <w:rPr>
          <w:highlight w:val="none"/>
        </w:rPr>
      </w:pPr>
    </w:p>
    <w:p w14:paraId="61259E5A">
      <w:pPr>
        <w:spacing w:line="560" w:lineRule="exact"/>
        <w:jc w:val="center"/>
        <w:rPr>
          <w:rFonts w:ascii="宋体" w:hAnsi="宋体"/>
          <w:b/>
          <w:sz w:val="32"/>
          <w:szCs w:val="32"/>
          <w:highlight w:val="none"/>
        </w:rPr>
      </w:pPr>
    </w:p>
    <w:p w14:paraId="03FC1B01">
      <w:pPr>
        <w:spacing w:line="560" w:lineRule="exact"/>
        <w:jc w:val="center"/>
        <w:rPr>
          <w:rFonts w:hint="eastAsia" w:ascii="仿宋_GB2312" w:hAnsi="宋体" w:eastAsia="仿宋_GB2312" w:cs="Times New Roman"/>
          <w:b w:val="0"/>
          <w:bCs/>
          <w:kern w:val="2"/>
          <w:sz w:val="30"/>
          <w:szCs w:val="30"/>
          <w:highlight w:val="none"/>
          <w:lang w:val="en-US" w:eastAsia="zh-CN" w:bidi="ar-SA"/>
        </w:rPr>
      </w:pPr>
      <w:r>
        <w:rPr>
          <w:rFonts w:hint="eastAsia" w:ascii="仿宋_GB2312" w:hAnsi="宋体" w:eastAsia="仿宋_GB2312"/>
          <w:b w:val="0"/>
          <w:bCs/>
          <w:sz w:val="30"/>
          <w:szCs w:val="30"/>
          <w:highlight w:val="none"/>
        </w:rPr>
        <w:t>招标人：</w:t>
      </w:r>
      <w:r>
        <w:rPr>
          <w:rFonts w:hint="eastAsia" w:ascii="仿宋_GB2312" w:hAnsi="宋体" w:eastAsia="仿宋_GB2312" w:cs="Times New Roman"/>
          <w:b w:val="0"/>
          <w:bCs/>
          <w:kern w:val="2"/>
          <w:sz w:val="30"/>
          <w:szCs w:val="30"/>
          <w:highlight w:val="none"/>
          <w:lang w:val="en-US" w:eastAsia="zh-CN" w:bidi="ar-SA"/>
        </w:rPr>
        <w:t>深圳市龙岗区城投新基础设施建设管理有限公司</w:t>
      </w:r>
    </w:p>
    <w:p w14:paraId="48CD65B4">
      <w:pPr>
        <w:spacing w:line="560" w:lineRule="exact"/>
        <w:jc w:val="center"/>
        <w:rPr>
          <w:rFonts w:ascii="宋体" w:hAnsi="宋体"/>
          <w:sz w:val="30"/>
          <w:szCs w:val="30"/>
          <w:highlight w:val="none"/>
        </w:rPr>
      </w:pPr>
      <w:r>
        <w:rPr>
          <w:rFonts w:hint="eastAsia" w:ascii="宋体" w:hAnsi="宋体"/>
          <w:sz w:val="30"/>
          <w:szCs w:val="30"/>
          <w:highlight w:val="none"/>
        </w:rPr>
        <w:t xml:space="preserve">   二〇二</w:t>
      </w:r>
      <w:r>
        <w:rPr>
          <w:rFonts w:hint="eastAsia" w:ascii="宋体" w:hAnsi="宋体"/>
          <w:sz w:val="30"/>
          <w:szCs w:val="30"/>
          <w:highlight w:val="none"/>
          <w:lang w:val="en-US" w:eastAsia="zh-CN"/>
        </w:rPr>
        <w:t>六</w:t>
      </w:r>
      <w:r>
        <w:rPr>
          <w:rFonts w:hint="eastAsia" w:ascii="宋体" w:hAnsi="宋体"/>
          <w:sz w:val="30"/>
          <w:szCs w:val="30"/>
          <w:highlight w:val="none"/>
        </w:rPr>
        <w:t>年</w:t>
      </w:r>
      <w:r>
        <w:rPr>
          <w:rFonts w:hint="eastAsia" w:ascii="宋体" w:hAnsi="宋体"/>
          <w:sz w:val="30"/>
          <w:szCs w:val="30"/>
          <w:highlight w:val="none"/>
          <w:lang w:val="en-US" w:eastAsia="zh-CN"/>
        </w:rPr>
        <w:t>八</w:t>
      </w:r>
      <w:r>
        <w:rPr>
          <w:rFonts w:hint="eastAsia" w:ascii="宋体" w:hAnsi="宋体"/>
          <w:sz w:val="30"/>
          <w:szCs w:val="30"/>
          <w:highlight w:val="none"/>
        </w:rPr>
        <w:t>月</w:t>
      </w:r>
    </w:p>
    <w:p w14:paraId="10EFF518">
      <w:pPr>
        <w:widowControl/>
        <w:spacing w:before="60" w:beforeLines="25" w:after="60" w:afterLines="25" w:line="560" w:lineRule="exact"/>
        <w:jc w:val="center"/>
        <w:rPr>
          <w:rFonts w:ascii="宋体" w:hAnsi="宋体"/>
          <w:b/>
          <w:sz w:val="32"/>
          <w:szCs w:val="32"/>
          <w:highlight w:val="none"/>
          <w:lang w:val="zh-CN"/>
        </w:rPr>
        <w:sectPr>
          <w:headerReference r:id="rId3" w:type="default"/>
          <w:pgSz w:w="11906" w:h="16838"/>
          <w:pgMar w:top="1440" w:right="1800" w:bottom="1440" w:left="1800" w:header="1247" w:footer="737" w:gutter="0"/>
          <w:pgNumType w:start="1"/>
          <w:cols w:space="720" w:num="1"/>
          <w:docGrid w:linePitch="380" w:charSpace="-4301"/>
        </w:sectPr>
      </w:pPr>
    </w:p>
    <w:p w14:paraId="3E31FF5B">
      <w:pPr>
        <w:widowControl/>
        <w:spacing w:before="78" w:beforeLines="25" w:after="78" w:afterLines="25" w:line="560" w:lineRule="exact"/>
        <w:jc w:val="center"/>
        <w:rPr>
          <w:rFonts w:ascii="宋体" w:hAnsi="宋体"/>
          <w:b/>
          <w:sz w:val="32"/>
          <w:szCs w:val="32"/>
          <w:highlight w:val="none"/>
          <w:lang w:val="zh-CN"/>
        </w:rPr>
      </w:pPr>
      <w:r>
        <w:rPr>
          <w:rFonts w:ascii="宋体" w:hAnsi="宋体"/>
          <w:b/>
          <w:sz w:val="32"/>
          <w:szCs w:val="32"/>
          <w:highlight w:val="none"/>
          <w:lang w:val="zh-CN"/>
        </w:rPr>
        <w:t>目</w:t>
      </w:r>
      <w:r>
        <w:rPr>
          <w:rFonts w:hint="eastAsia" w:ascii="宋体" w:hAnsi="宋体"/>
          <w:b/>
          <w:sz w:val="32"/>
          <w:szCs w:val="32"/>
          <w:highlight w:val="none"/>
          <w:lang w:val="zh-CN"/>
        </w:rPr>
        <w:t>　</w:t>
      </w:r>
      <w:r>
        <w:rPr>
          <w:rFonts w:ascii="宋体" w:hAnsi="宋体"/>
          <w:b/>
          <w:sz w:val="32"/>
          <w:szCs w:val="32"/>
          <w:highlight w:val="none"/>
          <w:lang w:val="zh-CN"/>
        </w:rPr>
        <w:t>录</w:t>
      </w:r>
    </w:p>
    <w:p w14:paraId="61B1C2D2">
      <w:pPr>
        <w:spacing w:line="560" w:lineRule="exact"/>
        <w:jc w:val="left"/>
        <w:rPr>
          <w:rFonts w:ascii="宋体" w:hAnsi="宋体"/>
          <w:sz w:val="24"/>
          <w:szCs w:val="24"/>
          <w:highlight w:val="none"/>
        </w:rPr>
      </w:pPr>
      <w:r>
        <w:rPr>
          <w:rFonts w:hint="eastAsia" w:ascii="宋体" w:hAnsi="宋体"/>
          <w:sz w:val="24"/>
          <w:szCs w:val="24"/>
          <w:highlight w:val="none"/>
          <w:lang w:val="zh-CN"/>
        </w:rPr>
        <w:t>第一章</w:t>
      </w:r>
      <w:r>
        <w:rPr>
          <w:rFonts w:ascii="宋体" w:hAnsi="宋体"/>
          <w:sz w:val="24"/>
          <w:szCs w:val="24"/>
          <w:highlight w:val="none"/>
          <w:lang w:val="zh-CN"/>
        </w:rPr>
        <w:tab/>
      </w:r>
      <w:r>
        <w:rPr>
          <w:rFonts w:hint="eastAsia" w:ascii="宋体" w:hAnsi="宋体"/>
          <w:sz w:val="24"/>
          <w:szCs w:val="24"/>
          <w:highlight w:val="none"/>
          <w:lang w:val="zh-CN"/>
        </w:rPr>
        <w:t xml:space="preserve"> 公开招标（自主）公</w:t>
      </w:r>
      <w:r>
        <w:rPr>
          <w:rFonts w:hint="eastAsia" w:ascii="宋体" w:hAnsi="宋体"/>
          <w:sz w:val="24"/>
          <w:szCs w:val="24"/>
          <w:highlight w:val="none"/>
        </w:rPr>
        <w:t>告</w:t>
      </w:r>
      <w:r>
        <w:rPr>
          <w:rFonts w:ascii="宋体" w:hAnsi="宋体"/>
          <w:sz w:val="24"/>
          <w:szCs w:val="24"/>
          <w:highlight w:val="none"/>
          <w:lang w:val="zh-CN"/>
        </w:rPr>
        <w:t>…………………………………………………</w:t>
      </w:r>
      <w:r>
        <w:rPr>
          <w:rFonts w:hint="eastAsia" w:ascii="宋体" w:hAnsi="宋体"/>
          <w:sz w:val="24"/>
          <w:szCs w:val="24"/>
          <w:highlight w:val="none"/>
        </w:rPr>
        <w:t>3</w:t>
      </w:r>
    </w:p>
    <w:p w14:paraId="71FD79FE">
      <w:pPr>
        <w:spacing w:line="560" w:lineRule="exact"/>
        <w:rPr>
          <w:rFonts w:ascii="宋体" w:hAnsi="宋体"/>
          <w:sz w:val="24"/>
          <w:szCs w:val="24"/>
          <w:highlight w:val="none"/>
        </w:rPr>
      </w:pPr>
      <w:r>
        <w:rPr>
          <w:rFonts w:hint="eastAsia" w:ascii="宋体" w:hAnsi="宋体"/>
          <w:sz w:val="24"/>
          <w:szCs w:val="24"/>
          <w:highlight w:val="none"/>
          <w:lang w:val="zh-CN"/>
        </w:rPr>
        <w:t>第二章  投标须知</w:t>
      </w:r>
      <w:r>
        <w:rPr>
          <w:rFonts w:ascii="宋体" w:hAnsi="宋体"/>
          <w:sz w:val="24"/>
          <w:szCs w:val="24"/>
          <w:highlight w:val="none"/>
          <w:lang w:val="zh-CN"/>
        </w:rPr>
        <w:t>…………………………………………………………………</w:t>
      </w:r>
      <w:r>
        <w:rPr>
          <w:rFonts w:hint="eastAsia" w:ascii="宋体" w:hAnsi="宋体"/>
          <w:sz w:val="24"/>
          <w:szCs w:val="24"/>
          <w:highlight w:val="none"/>
        </w:rPr>
        <w:t>6</w:t>
      </w:r>
    </w:p>
    <w:p w14:paraId="5D8DB8A1">
      <w:pPr>
        <w:spacing w:line="560" w:lineRule="exact"/>
        <w:ind w:firstLine="240" w:firstLineChars="100"/>
        <w:rPr>
          <w:rFonts w:ascii="宋体" w:hAnsi="宋体"/>
          <w:sz w:val="24"/>
          <w:szCs w:val="24"/>
          <w:highlight w:val="none"/>
        </w:rPr>
      </w:pPr>
      <w:r>
        <w:rPr>
          <w:rFonts w:hint="eastAsia" w:ascii="宋体" w:hAnsi="宋体"/>
          <w:sz w:val="24"/>
          <w:szCs w:val="24"/>
          <w:highlight w:val="none"/>
          <w:lang w:val="zh-CN"/>
        </w:rPr>
        <w:t>一、总</w:t>
      </w:r>
      <w:r>
        <w:rPr>
          <w:rFonts w:ascii="宋体" w:hAnsi="宋体"/>
          <w:sz w:val="24"/>
          <w:szCs w:val="24"/>
          <w:highlight w:val="none"/>
          <w:lang w:val="zh-CN"/>
        </w:rPr>
        <w:t xml:space="preserve">  </w:t>
      </w:r>
      <w:r>
        <w:rPr>
          <w:rFonts w:hint="eastAsia" w:ascii="宋体" w:hAnsi="宋体"/>
          <w:sz w:val="24"/>
          <w:szCs w:val="24"/>
          <w:highlight w:val="none"/>
          <w:lang w:val="zh-CN"/>
        </w:rPr>
        <w:t>则</w:t>
      </w:r>
      <w:r>
        <w:rPr>
          <w:rFonts w:ascii="宋体" w:hAnsi="宋体"/>
          <w:sz w:val="24"/>
          <w:szCs w:val="24"/>
          <w:highlight w:val="none"/>
          <w:lang w:val="zh-CN"/>
        </w:rPr>
        <w:t>………………………………………………………………………</w:t>
      </w:r>
      <w:r>
        <w:rPr>
          <w:rFonts w:hint="eastAsia" w:ascii="宋体" w:hAnsi="宋体"/>
          <w:sz w:val="24"/>
          <w:szCs w:val="24"/>
          <w:highlight w:val="none"/>
        </w:rPr>
        <w:t>7</w:t>
      </w:r>
    </w:p>
    <w:p w14:paraId="2617C64C">
      <w:pPr>
        <w:spacing w:line="560" w:lineRule="exact"/>
        <w:ind w:firstLine="240" w:firstLineChars="100"/>
        <w:rPr>
          <w:rFonts w:ascii="宋体" w:hAnsi="宋体"/>
          <w:sz w:val="24"/>
          <w:szCs w:val="24"/>
          <w:highlight w:val="none"/>
        </w:rPr>
      </w:pPr>
      <w:r>
        <w:rPr>
          <w:rFonts w:hint="eastAsia" w:ascii="宋体" w:hAnsi="宋体"/>
          <w:sz w:val="24"/>
          <w:szCs w:val="24"/>
          <w:highlight w:val="none"/>
          <w:lang w:val="zh-CN"/>
        </w:rPr>
        <w:t>二、</w:t>
      </w:r>
      <w:r>
        <w:rPr>
          <w:rFonts w:hint="eastAsia" w:ascii="宋体" w:hAnsi="宋体"/>
          <w:sz w:val="24"/>
          <w:szCs w:val="24"/>
          <w:highlight w:val="none"/>
          <w:lang w:val="en-US" w:eastAsia="zh-CN"/>
        </w:rPr>
        <w:t>投标</w:t>
      </w:r>
      <w:r>
        <w:rPr>
          <w:rFonts w:hint="eastAsia" w:ascii="宋体" w:hAnsi="宋体"/>
          <w:sz w:val="24"/>
          <w:szCs w:val="24"/>
          <w:highlight w:val="none"/>
          <w:lang w:val="zh-CN"/>
        </w:rPr>
        <w:t>文件的编制</w:t>
      </w:r>
      <w:r>
        <w:rPr>
          <w:rFonts w:ascii="宋体" w:hAnsi="宋体"/>
          <w:sz w:val="24"/>
          <w:szCs w:val="24"/>
          <w:highlight w:val="none"/>
          <w:lang w:val="zh-CN"/>
        </w:rPr>
        <w:t>……………………………………………………………</w:t>
      </w:r>
      <w:r>
        <w:rPr>
          <w:rFonts w:hint="eastAsia" w:ascii="宋体" w:hAnsi="宋体"/>
          <w:sz w:val="24"/>
          <w:szCs w:val="24"/>
          <w:highlight w:val="none"/>
        </w:rPr>
        <w:t>8</w:t>
      </w:r>
    </w:p>
    <w:p w14:paraId="2FC57719">
      <w:pPr>
        <w:spacing w:line="560" w:lineRule="exact"/>
        <w:ind w:firstLine="240" w:firstLineChars="100"/>
        <w:rPr>
          <w:rFonts w:ascii="宋体" w:hAnsi="宋体"/>
          <w:sz w:val="24"/>
          <w:szCs w:val="24"/>
          <w:highlight w:val="none"/>
        </w:rPr>
      </w:pPr>
      <w:r>
        <w:rPr>
          <w:rFonts w:hint="eastAsia" w:ascii="宋体" w:hAnsi="宋体"/>
          <w:sz w:val="24"/>
          <w:szCs w:val="24"/>
          <w:highlight w:val="none"/>
          <w:lang w:val="zh-CN"/>
        </w:rPr>
        <w:t>三、投标文件的</w:t>
      </w:r>
      <w:r>
        <w:rPr>
          <w:rFonts w:hint="eastAsia" w:ascii="宋体" w:hAnsi="宋体"/>
          <w:sz w:val="24"/>
          <w:szCs w:val="24"/>
          <w:highlight w:val="none"/>
        </w:rPr>
        <w:t>递</w:t>
      </w:r>
      <w:r>
        <w:rPr>
          <w:rFonts w:hint="eastAsia" w:ascii="宋体" w:hAnsi="宋体"/>
          <w:sz w:val="24"/>
          <w:szCs w:val="24"/>
          <w:highlight w:val="none"/>
          <w:lang w:val="zh-CN"/>
        </w:rPr>
        <w:t>交</w:t>
      </w:r>
      <w:r>
        <w:rPr>
          <w:rFonts w:ascii="宋体" w:hAnsi="宋体"/>
          <w:sz w:val="24"/>
          <w:szCs w:val="24"/>
          <w:highlight w:val="none"/>
          <w:lang w:val="zh-CN"/>
        </w:rPr>
        <w:t>……………………………………………………………</w:t>
      </w:r>
      <w:r>
        <w:rPr>
          <w:rFonts w:hint="eastAsia" w:ascii="宋体" w:hAnsi="宋体"/>
          <w:sz w:val="24"/>
          <w:szCs w:val="24"/>
          <w:highlight w:val="none"/>
        </w:rPr>
        <w:t>8</w:t>
      </w:r>
    </w:p>
    <w:p w14:paraId="1CD84729">
      <w:pPr>
        <w:spacing w:line="560" w:lineRule="exact"/>
        <w:ind w:firstLine="240" w:firstLineChars="100"/>
        <w:rPr>
          <w:rFonts w:ascii="宋体" w:hAnsi="宋体"/>
          <w:sz w:val="24"/>
          <w:szCs w:val="24"/>
          <w:highlight w:val="none"/>
        </w:rPr>
      </w:pPr>
      <w:r>
        <w:rPr>
          <w:rFonts w:hint="eastAsia" w:ascii="宋体" w:hAnsi="宋体"/>
          <w:sz w:val="24"/>
          <w:szCs w:val="24"/>
          <w:highlight w:val="none"/>
          <w:lang w:val="zh-CN"/>
        </w:rPr>
        <w:t>四、开</w:t>
      </w:r>
      <w:r>
        <w:rPr>
          <w:rFonts w:ascii="宋体" w:hAnsi="宋体"/>
          <w:sz w:val="24"/>
          <w:szCs w:val="24"/>
          <w:highlight w:val="none"/>
          <w:lang w:val="zh-CN"/>
        </w:rPr>
        <w:t xml:space="preserve">  </w:t>
      </w:r>
      <w:r>
        <w:rPr>
          <w:rFonts w:hint="eastAsia" w:ascii="宋体" w:hAnsi="宋体"/>
          <w:sz w:val="24"/>
          <w:szCs w:val="24"/>
          <w:highlight w:val="none"/>
          <w:lang w:val="zh-CN"/>
        </w:rPr>
        <w:t>标</w:t>
      </w:r>
      <w:r>
        <w:rPr>
          <w:rFonts w:ascii="宋体" w:hAnsi="宋体"/>
          <w:sz w:val="24"/>
          <w:szCs w:val="24"/>
          <w:highlight w:val="none"/>
          <w:lang w:val="zh-CN"/>
        </w:rPr>
        <w:t>………………………………………………………………………</w:t>
      </w:r>
      <w:r>
        <w:rPr>
          <w:rFonts w:hint="eastAsia" w:ascii="宋体" w:hAnsi="宋体"/>
          <w:sz w:val="24"/>
          <w:szCs w:val="24"/>
          <w:highlight w:val="none"/>
        </w:rPr>
        <w:t>9</w:t>
      </w:r>
    </w:p>
    <w:p w14:paraId="058C4D29">
      <w:pPr>
        <w:spacing w:line="560" w:lineRule="exact"/>
        <w:ind w:firstLine="240" w:firstLineChars="100"/>
        <w:rPr>
          <w:rFonts w:ascii="宋体" w:hAnsi="宋体"/>
          <w:sz w:val="24"/>
          <w:szCs w:val="24"/>
          <w:highlight w:val="none"/>
        </w:rPr>
      </w:pPr>
      <w:r>
        <w:rPr>
          <w:rFonts w:hint="eastAsia" w:ascii="宋体" w:hAnsi="宋体"/>
          <w:sz w:val="24"/>
          <w:szCs w:val="24"/>
          <w:highlight w:val="none"/>
          <w:lang w:val="zh-CN"/>
        </w:rPr>
        <w:t>五、资格审查</w:t>
      </w:r>
      <w:r>
        <w:rPr>
          <w:rFonts w:ascii="宋体" w:hAnsi="宋体"/>
          <w:sz w:val="24"/>
          <w:szCs w:val="24"/>
          <w:highlight w:val="none"/>
          <w:lang w:val="zh-CN"/>
        </w:rPr>
        <w:t>……………………………………………………………………</w:t>
      </w:r>
      <w:r>
        <w:rPr>
          <w:rFonts w:hint="eastAsia" w:ascii="宋体" w:hAnsi="宋体"/>
          <w:sz w:val="24"/>
          <w:szCs w:val="24"/>
          <w:highlight w:val="none"/>
        </w:rPr>
        <w:t>9</w:t>
      </w:r>
    </w:p>
    <w:p w14:paraId="24C99FB8">
      <w:pPr>
        <w:spacing w:line="560" w:lineRule="exact"/>
        <w:ind w:firstLine="240" w:firstLineChars="100"/>
        <w:rPr>
          <w:rFonts w:ascii="宋体" w:hAnsi="宋体"/>
          <w:sz w:val="24"/>
          <w:szCs w:val="24"/>
          <w:highlight w:val="none"/>
        </w:rPr>
      </w:pPr>
      <w:r>
        <w:rPr>
          <w:rFonts w:hint="eastAsia" w:ascii="宋体" w:hAnsi="宋体"/>
          <w:sz w:val="24"/>
          <w:szCs w:val="24"/>
          <w:highlight w:val="none"/>
          <w:lang w:val="zh-CN"/>
        </w:rPr>
        <w:t>六、评标</w:t>
      </w:r>
      <w:r>
        <w:rPr>
          <w:rFonts w:ascii="宋体" w:hAnsi="宋体"/>
          <w:sz w:val="24"/>
          <w:szCs w:val="24"/>
          <w:highlight w:val="none"/>
          <w:lang w:val="zh-CN"/>
        </w:rPr>
        <w:t>…………………………………………………………………………</w:t>
      </w:r>
      <w:r>
        <w:rPr>
          <w:rFonts w:hint="eastAsia" w:ascii="宋体" w:hAnsi="宋体"/>
          <w:sz w:val="24"/>
          <w:szCs w:val="24"/>
          <w:highlight w:val="none"/>
        </w:rPr>
        <w:t>9</w:t>
      </w:r>
    </w:p>
    <w:p w14:paraId="1BFCFB74">
      <w:pPr>
        <w:spacing w:line="560" w:lineRule="exact"/>
        <w:ind w:firstLine="240" w:firstLineChars="100"/>
        <w:rPr>
          <w:rFonts w:ascii="宋体" w:hAnsi="宋体"/>
          <w:sz w:val="24"/>
          <w:szCs w:val="24"/>
          <w:highlight w:val="none"/>
        </w:rPr>
      </w:pPr>
      <w:r>
        <w:rPr>
          <w:rFonts w:hint="eastAsia" w:ascii="宋体" w:hAnsi="宋体"/>
          <w:sz w:val="24"/>
          <w:szCs w:val="24"/>
          <w:highlight w:val="none"/>
          <w:lang w:val="zh-CN"/>
        </w:rPr>
        <w:t>七、签订合同</w:t>
      </w:r>
      <w:r>
        <w:rPr>
          <w:rFonts w:ascii="宋体" w:hAnsi="宋体"/>
          <w:sz w:val="24"/>
          <w:szCs w:val="24"/>
          <w:highlight w:val="none"/>
          <w:lang w:val="zh-CN"/>
        </w:rPr>
        <w:t>……………………………………………………………………</w:t>
      </w:r>
      <w:r>
        <w:rPr>
          <w:rFonts w:hint="eastAsia" w:ascii="宋体" w:hAnsi="宋体"/>
          <w:sz w:val="24"/>
          <w:szCs w:val="24"/>
          <w:highlight w:val="none"/>
        </w:rPr>
        <w:t>10</w:t>
      </w:r>
    </w:p>
    <w:p w14:paraId="575C336E">
      <w:pPr>
        <w:spacing w:line="560" w:lineRule="exact"/>
        <w:rPr>
          <w:rFonts w:hint="eastAsia" w:ascii="宋体" w:hAnsi="宋体" w:eastAsia="宋体"/>
          <w:sz w:val="24"/>
          <w:szCs w:val="24"/>
          <w:highlight w:val="none"/>
          <w:lang w:val="en-US" w:eastAsia="zh-CN"/>
        </w:rPr>
      </w:pPr>
      <w:r>
        <w:rPr>
          <w:rFonts w:hint="eastAsia" w:ascii="宋体" w:hAnsi="宋体"/>
          <w:sz w:val="24"/>
          <w:szCs w:val="24"/>
          <w:highlight w:val="none"/>
          <w:lang w:val="zh-CN"/>
        </w:rPr>
        <w:t>第三章</w:t>
      </w:r>
      <w:r>
        <w:rPr>
          <w:rFonts w:hint="eastAsia" w:ascii="宋体" w:hAnsi="宋体"/>
          <w:sz w:val="24"/>
          <w:szCs w:val="24"/>
          <w:highlight w:val="none"/>
          <w:lang w:val="en-US"/>
        </w:rPr>
        <w:t xml:space="preserve">  </w:t>
      </w:r>
      <w:r>
        <w:rPr>
          <w:rFonts w:hint="eastAsia" w:ascii="宋体" w:hAnsi="宋体"/>
          <w:sz w:val="24"/>
          <w:szCs w:val="24"/>
          <w:highlight w:val="none"/>
        </w:rPr>
        <w:t>合同文件</w:t>
      </w:r>
      <w:r>
        <w:rPr>
          <w:rFonts w:ascii="宋体" w:hAnsi="宋体"/>
          <w:sz w:val="24"/>
          <w:szCs w:val="24"/>
          <w:highlight w:val="none"/>
          <w:lang w:val="en-US"/>
        </w:rPr>
        <w:t>…………………………………………………………………</w:t>
      </w:r>
      <w:r>
        <w:rPr>
          <w:rFonts w:hint="eastAsia" w:ascii="宋体" w:hAnsi="宋体"/>
          <w:sz w:val="24"/>
          <w:szCs w:val="24"/>
          <w:highlight w:val="none"/>
        </w:rPr>
        <w:t>1</w:t>
      </w:r>
      <w:r>
        <w:rPr>
          <w:rFonts w:hint="eastAsia" w:ascii="宋体" w:hAnsi="宋体"/>
          <w:sz w:val="24"/>
          <w:szCs w:val="24"/>
          <w:highlight w:val="none"/>
          <w:lang w:val="en-US" w:eastAsia="zh-CN"/>
        </w:rPr>
        <w:t>2</w:t>
      </w:r>
    </w:p>
    <w:p w14:paraId="1C33202A">
      <w:pPr>
        <w:spacing w:line="560" w:lineRule="exact"/>
        <w:rPr>
          <w:rFonts w:hint="default" w:ascii="宋体" w:hAnsi="宋体" w:eastAsia="宋体"/>
          <w:sz w:val="24"/>
          <w:szCs w:val="24"/>
          <w:highlight w:val="none"/>
          <w:lang w:val="en-US" w:eastAsia="zh-CN"/>
        </w:rPr>
      </w:pPr>
      <w:r>
        <w:rPr>
          <w:rFonts w:hint="eastAsia" w:ascii="宋体" w:hAnsi="宋体"/>
          <w:sz w:val="24"/>
          <w:szCs w:val="24"/>
          <w:highlight w:val="none"/>
        </w:rPr>
        <w:t>第四章  投标文件格式</w:t>
      </w:r>
      <w:r>
        <w:rPr>
          <w:rFonts w:ascii="宋体" w:hAnsi="宋体"/>
          <w:sz w:val="24"/>
          <w:szCs w:val="24"/>
          <w:highlight w:val="none"/>
          <w:lang w:val="zh-CN"/>
        </w:rPr>
        <w:t>……………………………………………………………</w:t>
      </w:r>
      <w:r>
        <w:rPr>
          <w:rFonts w:hint="eastAsia" w:ascii="宋体" w:hAnsi="宋体"/>
          <w:sz w:val="24"/>
          <w:szCs w:val="24"/>
          <w:highlight w:val="none"/>
          <w:lang w:val="en-US" w:eastAsia="zh-CN"/>
        </w:rPr>
        <w:t>30</w:t>
      </w:r>
    </w:p>
    <w:p w14:paraId="261C2BDA">
      <w:pPr>
        <w:spacing w:line="560" w:lineRule="exact"/>
        <w:rPr>
          <w:rFonts w:ascii="宋体" w:hAnsi="宋体"/>
          <w:sz w:val="24"/>
          <w:szCs w:val="24"/>
          <w:highlight w:val="none"/>
          <w:lang w:val="zh-CN"/>
        </w:rPr>
      </w:pPr>
      <w:r>
        <w:rPr>
          <w:rFonts w:ascii="宋体" w:hAnsi="宋体"/>
          <w:sz w:val="24"/>
          <w:szCs w:val="24"/>
          <w:highlight w:val="none"/>
        </w:rPr>
        <w:t xml:space="preserve"> </w:t>
      </w:r>
      <w:r>
        <w:rPr>
          <w:rFonts w:hint="eastAsia" w:ascii="宋体" w:hAnsi="宋体"/>
          <w:sz w:val="24"/>
          <w:szCs w:val="24"/>
          <w:highlight w:val="none"/>
        </w:rPr>
        <w:t xml:space="preserve"> </w:t>
      </w:r>
    </w:p>
    <w:p w14:paraId="3FBEE8AF">
      <w:pPr>
        <w:pStyle w:val="29"/>
        <w:tabs>
          <w:tab w:val="right" w:leader="dot" w:pos="9141"/>
        </w:tabs>
        <w:spacing w:line="560" w:lineRule="exact"/>
        <w:rPr>
          <w:rFonts w:hint="eastAsia" w:ascii="宋体" w:hAnsi="宋体"/>
          <w:highlight w:val="none"/>
        </w:rPr>
      </w:pPr>
    </w:p>
    <w:p w14:paraId="309A28EC">
      <w:pPr>
        <w:pStyle w:val="29"/>
        <w:tabs>
          <w:tab w:val="right" w:leader="dot" w:pos="9141"/>
        </w:tabs>
        <w:spacing w:line="560" w:lineRule="exact"/>
        <w:rPr>
          <w:rFonts w:hint="eastAsia" w:ascii="宋体" w:hAnsi="宋体"/>
          <w:highlight w:val="none"/>
        </w:rPr>
      </w:pPr>
    </w:p>
    <w:p w14:paraId="5AAB41DD">
      <w:pPr>
        <w:pStyle w:val="29"/>
        <w:tabs>
          <w:tab w:val="right" w:leader="dot" w:pos="9141"/>
        </w:tabs>
        <w:spacing w:line="560" w:lineRule="exact"/>
        <w:rPr>
          <w:rFonts w:hint="eastAsia" w:ascii="宋体" w:hAnsi="宋体"/>
          <w:highlight w:val="none"/>
        </w:rPr>
      </w:pPr>
    </w:p>
    <w:p w14:paraId="2B23ECAA">
      <w:pPr>
        <w:pStyle w:val="29"/>
        <w:tabs>
          <w:tab w:val="right" w:leader="dot" w:pos="9141"/>
        </w:tabs>
        <w:spacing w:line="560" w:lineRule="exact"/>
        <w:rPr>
          <w:rFonts w:hint="eastAsia" w:ascii="宋体" w:hAnsi="宋体"/>
          <w:highlight w:val="none"/>
        </w:rPr>
      </w:pPr>
    </w:p>
    <w:p w14:paraId="74C3F0C9">
      <w:pPr>
        <w:pStyle w:val="29"/>
        <w:tabs>
          <w:tab w:val="right" w:leader="dot" w:pos="9141"/>
        </w:tabs>
        <w:spacing w:line="560" w:lineRule="exact"/>
        <w:rPr>
          <w:rFonts w:hint="eastAsia" w:ascii="宋体" w:hAnsi="宋体"/>
          <w:highlight w:val="none"/>
        </w:rPr>
      </w:pPr>
    </w:p>
    <w:p w14:paraId="40CB04CC">
      <w:pPr>
        <w:pStyle w:val="29"/>
        <w:tabs>
          <w:tab w:val="right" w:leader="dot" w:pos="9141"/>
        </w:tabs>
        <w:spacing w:line="560" w:lineRule="exact"/>
        <w:rPr>
          <w:rFonts w:hint="eastAsia" w:ascii="宋体" w:hAnsi="宋体"/>
          <w:highlight w:val="none"/>
        </w:rPr>
      </w:pPr>
    </w:p>
    <w:p w14:paraId="7F1FAE77">
      <w:pPr>
        <w:pStyle w:val="29"/>
        <w:tabs>
          <w:tab w:val="right" w:leader="dot" w:pos="9141"/>
        </w:tabs>
        <w:spacing w:line="560" w:lineRule="exact"/>
        <w:rPr>
          <w:rFonts w:hint="eastAsia" w:ascii="宋体" w:hAnsi="宋体"/>
          <w:highlight w:val="none"/>
        </w:rPr>
      </w:pPr>
    </w:p>
    <w:p w14:paraId="5AD6E4CE">
      <w:pPr>
        <w:pStyle w:val="29"/>
        <w:tabs>
          <w:tab w:val="right" w:leader="dot" w:pos="9141"/>
        </w:tabs>
        <w:spacing w:line="560" w:lineRule="exact"/>
        <w:rPr>
          <w:rFonts w:hint="eastAsia" w:ascii="宋体" w:hAnsi="宋体"/>
          <w:highlight w:val="none"/>
        </w:rPr>
      </w:pPr>
    </w:p>
    <w:p w14:paraId="420676A3">
      <w:pPr>
        <w:pStyle w:val="29"/>
        <w:tabs>
          <w:tab w:val="right" w:leader="dot" w:pos="9141"/>
        </w:tabs>
        <w:spacing w:line="560" w:lineRule="exact"/>
        <w:rPr>
          <w:rFonts w:hint="eastAsia" w:ascii="宋体" w:hAnsi="宋体"/>
          <w:highlight w:val="none"/>
        </w:rPr>
      </w:pPr>
    </w:p>
    <w:p w14:paraId="6B46F696">
      <w:pPr>
        <w:pStyle w:val="29"/>
        <w:tabs>
          <w:tab w:val="right" w:leader="dot" w:pos="9141"/>
        </w:tabs>
        <w:spacing w:line="560" w:lineRule="exact"/>
        <w:rPr>
          <w:rFonts w:hint="eastAsia" w:ascii="宋体" w:hAnsi="宋体"/>
          <w:highlight w:val="none"/>
        </w:rPr>
      </w:pPr>
    </w:p>
    <w:p w14:paraId="4C38EBB1">
      <w:pPr>
        <w:pStyle w:val="29"/>
        <w:tabs>
          <w:tab w:val="right" w:leader="dot" w:pos="9141"/>
        </w:tabs>
        <w:spacing w:line="560" w:lineRule="exact"/>
        <w:rPr>
          <w:rFonts w:hint="eastAsia" w:ascii="宋体" w:hAnsi="宋体"/>
          <w:highlight w:val="none"/>
        </w:rPr>
      </w:pPr>
    </w:p>
    <w:p w14:paraId="179B1DFE">
      <w:pPr>
        <w:spacing w:line="560" w:lineRule="exact"/>
        <w:jc w:val="center"/>
        <w:outlineLvl w:val="2"/>
        <w:rPr>
          <w:rFonts w:hint="eastAsia" w:ascii="宋体" w:hAnsi="宋体"/>
          <w:b/>
          <w:snapToGrid w:val="0"/>
          <w:kern w:val="0"/>
          <w:sz w:val="32"/>
          <w:szCs w:val="32"/>
          <w:highlight w:val="none"/>
          <w:lang w:val="en-US" w:eastAsia="zh-CN"/>
        </w:rPr>
      </w:pPr>
      <w:bookmarkStart w:id="0" w:name="_Toc509669684"/>
      <w:r>
        <w:rPr>
          <w:rFonts w:hint="eastAsia" w:ascii="宋体" w:hAnsi="宋体"/>
          <w:b/>
          <w:snapToGrid w:val="0"/>
          <w:kern w:val="0"/>
          <w:sz w:val="32"/>
          <w:szCs w:val="32"/>
          <w:highlight w:val="none"/>
          <w:lang w:val="en-US" w:eastAsia="zh-CN"/>
        </w:rPr>
        <w:t xml:space="preserve">第一章  </w:t>
      </w:r>
      <w:bookmarkEnd w:id="0"/>
      <w:r>
        <w:rPr>
          <w:rFonts w:hint="eastAsia" w:ascii="宋体" w:hAnsi="宋体"/>
          <w:b/>
          <w:snapToGrid w:val="0"/>
          <w:kern w:val="0"/>
          <w:sz w:val="32"/>
          <w:szCs w:val="32"/>
          <w:highlight w:val="none"/>
          <w:lang w:val="en-US" w:eastAsia="zh-CN"/>
        </w:rPr>
        <w:t>公开招标（自主）公告</w:t>
      </w:r>
    </w:p>
    <w:p w14:paraId="255CDD4F">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sz w:val="28"/>
          <w:szCs w:val="28"/>
          <w:highlight w:val="none"/>
          <w:lang w:val="en-US" w:eastAsia="zh-CN"/>
        </w:rPr>
      </w:pPr>
      <w:bookmarkStart w:id="1" w:name="_Toc509669685"/>
      <w:r>
        <w:rPr>
          <w:rFonts w:hint="eastAsia" w:ascii="仿宋_GB2312" w:hAnsi="仿宋_GB2312" w:eastAsia="仿宋_GB2312" w:cs="仿宋_GB2312"/>
          <w:b/>
          <w:bCs/>
          <w:sz w:val="28"/>
          <w:szCs w:val="28"/>
          <w:highlight w:val="none"/>
          <w:lang w:val="en-US" w:eastAsia="zh-CN"/>
        </w:rPr>
        <w:t>一、</w:t>
      </w:r>
      <w:r>
        <w:rPr>
          <w:rFonts w:hint="eastAsia" w:ascii="仿宋_GB2312" w:hAnsi="仿宋_GB2312" w:eastAsia="仿宋_GB2312" w:cs="仿宋_GB2312"/>
          <w:b/>
          <w:bCs/>
          <w:sz w:val="28"/>
          <w:szCs w:val="28"/>
          <w:highlight w:val="none"/>
        </w:rPr>
        <w:t>项目名称：</w:t>
      </w:r>
      <w:r>
        <w:rPr>
          <w:rFonts w:hint="eastAsia" w:ascii="仿宋_GB2312" w:hAnsi="仿宋_GB2312" w:eastAsia="仿宋_GB2312" w:cs="仿宋_GB2312"/>
          <w:b w:val="0"/>
          <w:bCs w:val="0"/>
          <w:sz w:val="28"/>
          <w:szCs w:val="28"/>
          <w:highlight w:val="none"/>
          <w:lang w:val="en-US" w:eastAsia="zh-CN"/>
        </w:rPr>
        <w:t>深圳建筑产业生态智谷总部基地一期二单元15、16层办公用房提升工程监理（二次公告）</w:t>
      </w:r>
    </w:p>
    <w:p w14:paraId="041C8BA7">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b/>
          <w:bCs/>
          <w:sz w:val="28"/>
          <w:szCs w:val="28"/>
          <w:highlight w:val="none"/>
          <w:lang w:val="en-US" w:eastAsia="zh-CN"/>
        </w:rPr>
        <w:t>二、</w:t>
      </w:r>
      <w:r>
        <w:rPr>
          <w:rFonts w:hint="eastAsia" w:ascii="仿宋_GB2312" w:hAnsi="仿宋_GB2312" w:eastAsia="仿宋_GB2312" w:cs="仿宋_GB2312"/>
          <w:b/>
          <w:bCs/>
          <w:sz w:val="28"/>
          <w:szCs w:val="28"/>
          <w:highlight w:val="none"/>
        </w:rPr>
        <w:t>项目概况：</w:t>
      </w:r>
      <w:r>
        <w:rPr>
          <w:rFonts w:hint="eastAsia" w:ascii="仿宋_GB2312" w:hAnsi="仿宋_GB2312" w:eastAsia="仿宋_GB2312" w:cs="仿宋_GB2312"/>
          <w:color w:val="auto"/>
          <w:sz w:val="28"/>
          <w:szCs w:val="28"/>
          <w:highlight w:val="none"/>
          <w:u w:val="none"/>
        </w:rPr>
        <w:t>项本工程主要是对深圳建筑产业生态智谷总部基地一期1栋二单元15及16层，五单元3层、六单元半地下一层局部区域（深圳市龙岗区建筑科技公司）办公用房进行装修，总装修建筑面积约为4477平方米，其中二单元15及16层为办公室，五单元3层为档案室，六单元半地下一层局部区域为食堂。</w:t>
      </w:r>
    </w:p>
    <w:p w14:paraId="73A63CD7">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rPr>
        <w:t>主要建设内容包含室内装修、水电安装、暖通工程、办公网络信息系统、机房设备、会议系统、标识标牌等内容。</w:t>
      </w:r>
    </w:p>
    <w:p w14:paraId="26240746">
      <w:pPr>
        <w:spacing w:line="560" w:lineRule="exact"/>
        <w:ind w:left="0" w:leftChars="0" w:firstLine="638" w:firstLineChars="228"/>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u w:val="none"/>
        </w:rPr>
        <w:t>估算总投资671.55万元</w:t>
      </w:r>
      <w:r>
        <w:rPr>
          <w:rFonts w:hint="eastAsia" w:ascii="仿宋_GB2312" w:hAnsi="仿宋_GB2312" w:eastAsia="仿宋_GB2312" w:cs="仿宋_GB2312"/>
          <w:bCs w:val="0"/>
          <w:color w:val="auto"/>
          <w:kern w:val="2"/>
          <w:sz w:val="28"/>
          <w:szCs w:val="28"/>
          <w:highlight w:val="none"/>
          <w:lang w:val="en-US" w:eastAsia="zh-CN" w:bidi="ar-SA"/>
        </w:rPr>
        <w:t>。</w:t>
      </w:r>
    </w:p>
    <w:p w14:paraId="24DFD082">
      <w:pPr>
        <w:spacing w:line="560" w:lineRule="exact"/>
        <w:ind w:left="0" w:leftChars="0" w:firstLine="0" w:firstLineChars="0"/>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lang w:val="en-US" w:eastAsia="zh-CN"/>
        </w:rPr>
        <w:t>三、</w:t>
      </w:r>
      <w:r>
        <w:rPr>
          <w:rFonts w:hint="eastAsia" w:ascii="仿宋_GB2312" w:hAnsi="仿宋_GB2312" w:eastAsia="仿宋_GB2312" w:cs="仿宋_GB2312"/>
          <w:b/>
          <w:bCs/>
          <w:sz w:val="28"/>
          <w:szCs w:val="28"/>
          <w:highlight w:val="none"/>
        </w:rPr>
        <w:t>工作</w:t>
      </w:r>
      <w:r>
        <w:rPr>
          <w:rFonts w:hint="eastAsia" w:ascii="仿宋_GB2312" w:hAnsi="仿宋_GB2312" w:eastAsia="仿宋_GB2312" w:cs="仿宋_GB2312"/>
          <w:b/>
          <w:bCs/>
          <w:sz w:val="28"/>
          <w:szCs w:val="28"/>
          <w:highlight w:val="none"/>
          <w:lang w:val="en-US" w:eastAsia="zh-CN"/>
        </w:rPr>
        <w:t>内容</w:t>
      </w:r>
      <w:r>
        <w:rPr>
          <w:rFonts w:hint="eastAsia" w:ascii="仿宋_GB2312" w:hAnsi="仿宋_GB2312" w:eastAsia="仿宋_GB2312" w:cs="仿宋_GB2312"/>
          <w:b w:val="0"/>
          <w:bCs w:val="0"/>
          <w:sz w:val="28"/>
          <w:szCs w:val="28"/>
          <w:highlight w:val="none"/>
        </w:rPr>
        <w:t>：</w:t>
      </w:r>
    </w:p>
    <w:p w14:paraId="6FEEF4A3">
      <w:pPr>
        <w:spacing w:line="560" w:lineRule="exact"/>
        <w:ind w:left="0" w:leftChars="0" w:firstLine="638" w:firstLineChars="228"/>
        <w:rPr>
          <w:rFonts w:hint="default"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color w:val="auto"/>
          <w:sz w:val="28"/>
          <w:szCs w:val="28"/>
          <w:highlight w:val="none"/>
          <w:u w:val="none"/>
        </w:rPr>
        <w:t>施工阶段（暂定3个月）、保修阶段（2年）的监理及相关服务。</w:t>
      </w:r>
    </w:p>
    <w:p w14:paraId="2836CC79">
      <w:pPr>
        <w:spacing w:line="560" w:lineRule="exact"/>
        <w:ind w:left="0" w:leftChars="0" w:firstLine="0" w:firstLineChars="0"/>
        <w:rPr>
          <w:rFonts w:hint="default" w:ascii="仿宋_GB2312" w:hAnsi="仿宋_GB2312" w:eastAsia="仿宋_GB2312" w:cs="仿宋_GB2312"/>
          <w:b/>
          <w:bCs/>
          <w:sz w:val="28"/>
          <w:szCs w:val="28"/>
          <w:highlight w:val="none"/>
          <w:lang w:val="en-US"/>
        </w:rPr>
      </w:pPr>
      <w:r>
        <w:rPr>
          <w:rFonts w:hint="eastAsia" w:ascii="仿宋_GB2312" w:hAnsi="仿宋_GB2312" w:eastAsia="仿宋_GB2312" w:cs="仿宋_GB2312"/>
          <w:b/>
          <w:bCs/>
          <w:sz w:val="28"/>
          <w:szCs w:val="28"/>
          <w:highlight w:val="none"/>
        </w:rPr>
        <w:t>四、</w:t>
      </w:r>
      <w:r>
        <w:rPr>
          <w:rFonts w:hint="eastAsia" w:ascii="仿宋_GB2312" w:hAnsi="仿宋_GB2312" w:eastAsia="仿宋_GB2312" w:cs="仿宋_GB2312"/>
          <w:b/>
          <w:bCs/>
          <w:sz w:val="28"/>
          <w:szCs w:val="28"/>
          <w:highlight w:val="none"/>
          <w:lang w:val="en-US" w:eastAsia="zh-CN"/>
        </w:rPr>
        <w:t>投标报价上限价：</w:t>
      </w:r>
      <w:r>
        <w:rPr>
          <w:rFonts w:hint="eastAsia" w:ascii="仿宋_GB2312" w:hAnsi="仿宋_GB2312" w:eastAsia="仿宋_GB2312" w:cs="仿宋_GB2312"/>
          <w:b/>
          <w:bCs/>
          <w:color w:val="auto"/>
          <w:sz w:val="28"/>
          <w:szCs w:val="28"/>
          <w:highlight w:val="none"/>
          <w:lang w:val="en-US" w:eastAsia="zh-CN"/>
        </w:rPr>
        <w:t>20.181</w:t>
      </w:r>
      <w:r>
        <w:rPr>
          <w:rFonts w:hint="eastAsia" w:ascii="仿宋_GB2312" w:hAnsi="仿宋_GB2312" w:eastAsia="仿宋_GB2312" w:cs="仿宋_GB2312"/>
          <w:b/>
          <w:bCs/>
          <w:sz w:val="28"/>
          <w:szCs w:val="28"/>
          <w:highlight w:val="none"/>
          <w:lang w:val="en-US" w:eastAsia="zh-CN"/>
        </w:rPr>
        <w:t>万元</w:t>
      </w:r>
    </w:p>
    <w:p w14:paraId="1CEE0016">
      <w:pPr>
        <w:keepNext w:val="0"/>
        <w:keepLines w:val="0"/>
        <w:pageBreakBefore w:val="0"/>
        <w:kinsoku/>
        <w:wordWrap/>
        <w:overflowPunct/>
        <w:topLinePunct w:val="0"/>
        <w:bidi w:val="0"/>
        <w:spacing w:before="0" w:line="560" w:lineRule="exact"/>
        <w:ind w:left="120" w:firstLine="638" w:firstLineChars="228"/>
        <w:jc w:val="left"/>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rPr>
        <w:t>投标人在限价范围内，自主报价。以600</w:t>
      </w:r>
      <w:r>
        <w:rPr>
          <w:rFonts w:hint="eastAsia" w:ascii="仿宋_GB2312" w:hAnsi="仿宋_GB2312" w:eastAsia="仿宋_GB2312" w:cs="仿宋_GB2312"/>
          <w:color w:val="auto"/>
          <w:sz w:val="28"/>
          <w:szCs w:val="28"/>
          <w:highlight w:val="none"/>
          <w:u w:val="none"/>
          <w:lang w:eastAsia="zh-CN"/>
        </w:rPr>
        <w:t>万元</w:t>
      </w:r>
      <w:r>
        <w:rPr>
          <w:rFonts w:hint="eastAsia" w:ascii="仿宋_GB2312" w:hAnsi="仿宋_GB2312" w:eastAsia="仿宋_GB2312" w:cs="仿宋_GB2312"/>
          <w:color w:val="auto"/>
          <w:sz w:val="28"/>
          <w:szCs w:val="28"/>
          <w:highlight w:val="none"/>
          <w:u w:val="none"/>
        </w:rPr>
        <w:t>为基数，按费率报价。。</w:t>
      </w:r>
    </w:p>
    <w:p w14:paraId="1D072F2D">
      <w:pPr>
        <w:spacing w:line="560" w:lineRule="exact"/>
        <w:rPr>
          <w:rFonts w:hint="eastAsia" w:ascii="仿宋_GB2312" w:hAnsi="仿宋_GB2312" w:eastAsia="仿宋_GB2312" w:cs="仿宋_GB2312"/>
          <w:sz w:val="28"/>
          <w:szCs w:val="28"/>
          <w:highlight w:val="none"/>
        </w:rPr>
      </w:pPr>
      <w:r>
        <w:rPr>
          <w:rFonts w:hint="eastAsia" w:ascii="仿宋_GB2312" w:hAnsi="仿宋_GB2312" w:eastAsia="仿宋_GB2312" w:cs="仿宋_GB2312"/>
          <w:b/>
          <w:bCs/>
          <w:sz w:val="28"/>
          <w:szCs w:val="28"/>
          <w:highlight w:val="none"/>
        </w:rPr>
        <w:t>五、报价要求</w:t>
      </w:r>
      <w:r>
        <w:rPr>
          <w:rFonts w:hint="eastAsia" w:ascii="仿宋_GB2312" w:hAnsi="仿宋_GB2312" w:eastAsia="仿宋_GB2312" w:cs="仿宋_GB2312"/>
          <w:sz w:val="28"/>
          <w:szCs w:val="28"/>
          <w:highlight w:val="none"/>
        </w:rPr>
        <w:t>：投标人在</w:t>
      </w:r>
      <w:r>
        <w:rPr>
          <w:rFonts w:hint="eastAsia" w:ascii="仿宋_GB2312" w:hAnsi="仿宋_GB2312" w:eastAsia="仿宋_GB2312" w:cs="仿宋_GB2312"/>
          <w:sz w:val="28"/>
          <w:szCs w:val="28"/>
          <w:highlight w:val="none"/>
          <w:lang w:val="en-US" w:eastAsia="zh-CN"/>
        </w:rPr>
        <w:t>投标报价上限价</w:t>
      </w:r>
      <w:r>
        <w:rPr>
          <w:rFonts w:hint="eastAsia" w:ascii="仿宋_GB2312" w:hAnsi="仿宋_GB2312" w:eastAsia="仿宋_GB2312" w:cs="仿宋_GB2312"/>
          <w:sz w:val="28"/>
          <w:szCs w:val="28"/>
          <w:highlight w:val="none"/>
        </w:rPr>
        <w:t>范围内，自主报价。</w:t>
      </w:r>
    </w:p>
    <w:p w14:paraId="3611CC67">
      <w:pPr>
        <w:spacing w:line="560" w:lineRule="exact"/>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六、</w:t>
      </w:r>
      <w:r>
        <w:rPr>
          <w:rFonts w:hint="eastAsia" w:ascii="仿宋_GB2312" w:hAnsi="仿宋_GB2312" w:eastAsia="仿宋_GB2312" w:cs="仿宋_GB2312"/>
          <w:b/>
          <w:bCs/>
          <w:sz w:val="28"/>
          <w:szCs w:val="28"/>
          <w:highlight w:val="none"/>
          <w:lang w:val="en-US" w:eastAsia="zh-CN"/>
        </w:rPr>
        <w:t>投标人</w:t>
      </w:r>
      <w:r>
        <w:rPr>
          <w:rFonts w:hint="eastAsia" w:ascii="仿宋_GB2312" w:hAnsi="仿宋_GB2312" w:eastAsia="仿宋_GB2312" w:cs="仿宋_GB2312"/>
          <w:b/>
          <w:bCs/>
          <w:sz w:val="28"/>
          <w:szCs w:val="28"/>
          <w:highlight w:val="none"/>
        </w:rPr>
        <w:t>资格要求：</w:t>
      </w:r>
    </w:p>
    <w:p w14:paraId="31D358BF">
      <w:pPr>
        <w:keepNext w:val="0"/>
        <w:keepLines w:val="0"/>
        <w:pageBreakBefore w:val="0"/>
        <w:kinsoku/>
        <w:wordWrap/>
        <w:overflowPunct/>
        <w:topLinePunct w:val="0"/>
        <w:bidi w:val="0"/>
        <w:spacing w:line="560" w:lineRule="exact"/>
        <w:ind w:firstLine="560" w:firstLineChars="200"/>
        <w:textAlignment w:val="auto"/>
        <w:rPr>
          <w:rStyle w:val="59"/>
          <w:rFonts w:hint="eastAsia" w:ascii="仿宋_GB2312" w:hAnsi="仿宋_GB2312" w:eastAsia="仿宋_GB2312" w:cs="仿宋_GB2312"/>
          <w:color w:val="auto"/>
          <w:sz w:val="28"/>
          <w:szCs w:val="28"/>
          <w:highlight w:val="none"/>
        </w:rPr>
      </w:pPr>
      <w:r>
        <w:rPr>
          <w:rStyle w:val="59"/>
          <w:rFonts w:hint="eastAsia" w:ascii="仿宋_GB2312" w:hAnsi="仿宋_GB2312" w:eastAsia="仿宋_GB2312" w:cs="仿宋_GB2312"/>
          <w:color w:val="auto"/>
          <w:sz w:val="28"/>
          <w:szCs w:val="28"/>
          <w:highlight w:val="none"/>
        </w:rPr>
        <w:t>1</w:t>
      </w:r>
      <w:r>
        <w:rPr>
          <w:rStyle w:val="59"/>
          <w:rFonts w:hint="eastAsia" w:ascii="仿宋_GB2312" w:hAnsi="仿宋_GB2312" w:eastAsia="仿宋_GB2312" w:cs="仿宋_GB2312"/>
          <w:color w:val="auto"/>
          <w:sz w:val="28"/>
          <w:szCs w:val="28"/>
          <w:highlight w:val="none"/>
          <w:lang w:val="en-US" w:eastAsia="zh-CN"/>
        </w:rPr>
        <w:t>.</w:t>
      </w:r>
      <w:r>
        <w:rPr>
          <w:rStyle w:val="59"/>
          <w:rFonts w:hint="eastAsia" w:ascii="仿宋_GB2312" w:hAnsi="仿宋_GB2312" w:eastAsia="仿宋_GB2312" w:cs="仿宋_GB2312"/>
          <w:color w:val="auto"/>
          <w:sz w:val="28"/>
          <w:szCs w:val="28"/>
          <w:highlight w:val="none"/>
        </w:rPr>
        <w:t>企业资</w:t>
      </w:r>
      <w:r>
        <w:rPr>
          <w:rStyle w:val="59"/>
          <w:rFonts w:hint="eastAsia" w:ascii="仿宋_GB2312" w:hAnsi="仿宋_GB2312" w:eastAsia="仿宋_GB2312" w:cs="仿宋_GB2312"/>
          <w:color w:val="auto"/>
          <w:sz w:val="28"/>
          <w:szCs w:val="28"/>
          <w:highlight w:val="none"/>
          <w:lang w:val="en-US" w:eastAsia="zh-CN"/>
        </w:rPr>
        <w:t>信</w:t>
      </w:r>
      <w:r>
        <w:rPr>
          <w:rStyle w:val="59"/>
          <w:rFonts w:hint="eastAsia" w:ascii="仿宋_GB2312" w:hAnsi="仿宋_GB2312" w:eastAsia="仿宋_GB2312" w:cs="仿宋_GB2312"/>
          <w:color w:val="auto"/>
          <w:sz w:val="28"/>
          <w:szCs w:val="28"/>
          <w:highlight w:val="none"/>
        </w:rPr>
        <w:t>要求</w:t>
      </w:r>
      <w:r>
        <w:rPr>
          <w:rStyle w:val="59"/>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具有房屋建筑工程监理丙级或以上资质</w:t>
      </w:r>
      <w:r>
        <w:rPr>
          <w:rStyle w:val="59"/>
          <w:rFonts w:hint="eastAsia" w:ascii="仿宋_GB2312" w:hAnsi="仿宋_GB2312" w:eastAsia="仿宋_GB2312" w:cs="仿宋_GB2312"/>
          <w:color w:val="auto"/>
          <w:sz w:val="28"/>
          <w:szCs w:val="28"/>
          <w:highlight w:val="none"/>
        </w:rPr>
        <w:t>；</w:t>
      </w:r>
    </w:p>
    <w:p w14:paraId="51EC19EA">
      <w:pPr>
        <w:keepNext w:val="0"/>
        <w:keepLines w:val="0"/>
        <w:pageBreakBefore w:val="0"/>
        <w:kinsoku/>
        <w:wordWrap/>
        <w:overflowPunct/>
        <w:topLinePunct w:val="0"/>
        <w:bidi w:val="0"/>
        <w:spacing w:line="560" w:lineRule="exact"/>
        <w:ind w:firstLine="640"/>
        <w:textAlignment w:val="auto"/>
        <w:rPr>
          <w:rStyle w:val="59"/>
          <w:rFonts w:hint="eastAsia" w:ascii="仿宋_GB2312" w:hAnsi="仿宋_GB2312" w:eastAsia="仿宋_GB2312" w:cs="仿宋_GB2312"/>
          <w:sz w:val="28"/>
          <w:szCs w:val="28"/>
          <w:highlight w:val="none"/>
          <w:lang w:val="en-US" w:eastAsia="zh-CN"/>
        </w:rPr>
      </w:pPr>
      <w:r>
        <w:rPr>
          <w:rStyle w:val="59"/>
          <w:rFonts w:hint="eastAsia" w:ascii="仿宋_GB2312" w:hAnsi="仿宋_GB2312" w:eastAsia="仿宋_GB2312" w:cs="仿宋_GB2312"/>
          <w:sz w:val="28"/>
          <w:szCs w:val="28"/>
          <w:highlight w:val="none"/>
          <w:lang w:val="en-US" w:eastAsia="zh-CN"/>
        </w:rPr>
        <w:t>2.项目负责人资格要求：房屋建筑注册监理工程师资格；</w:t>
      </w:r>
    </w:p>
    <w:p w14:paraId="43962D49">
      <w:pPr>
        <w:keepNext w:val="0"/>
        <w:keepLines w:val="0"/>
        <w:pageBreakBefore w:val="0"/>
        <w:kinsoku/>
        <w:wordWrap/>
        <w:overflowPunct/>
        <w:topLinePunct w:val="0"/>
        <w:bidi w:val="0"/>
        <w:spacing w:line="560" w:lineRule="exact"/>
        <w:ind w:firstLine="640"/>
        <w:textAlignment w:val="auto"/>
        <w:rPr>
          <w:rStyle w:val="59"/>
          <w:rFonts w:hint="eastAsia" w:ascii="仿宋_GB2312" w:hAnsi="仿宋_GB2312" w:eastAsia="仿宋_GB2312" w:cs="仿宋_GB2312"/>
          <w:sz w:val="28"/>
          <w:szCs w:val="28"/>
          <w:highlight w:val="none"/>
        </w:rPr>
      </w:pPr>
      <w:r>
        <w:rPr>
          <w:rStyle w:val="59"/>
          <w:rFonts w:hint="eastAsia" w:ascii="仿宋_GB2312" w:hAnsi="仿宋_GB2312" w:eastAsia="仿宋_GB2312" w:cs="仿宋_GB2312"/>
          <w:sz w:val="28"/>
          <w:szCs w:val="28"/>
          <w:highlight w:val="none"/>
          <w:lang w:val="en-US" w:eastAsia="zh-CN"/>
        </w:rPr>
        <w:t>3.</w:t>
      </w:r>
      <w:r>
        <w:rPr>
          <w:rStyle w:val="59"/>
          <w:rFonts w:hint="eastAsia" w:ascii="仿宋_GB2312" w:hAnsi="仿宋_GB2312" w:eastAsia="仿宋_GB2312" w:cs="仿宋_GB2312"/>
          <w:sz w:val="28"/>
          <w:szCs w:val="28"/>
          <w:highlight w:val="none"/>
        </w:rPr>
        <w:t>不接受联合体投标。</w:t>
      </w:r>
    </w:p>
    <w:p w14:paraId="4A7F32A4">
      <w:pPr>
        <w:spacing w:line="560" w:lineRule="exact"/>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bCs/>
          <w:sz w:val="28"/>
          <w:szCs w:val="28"/>
          <w:highlight w:val="none"/>
        </w:rPr>
        <w:t>七、评审方法：</w:t>
      </w:r>
      <w:r>
        <w:rPr>
          <w:rFonts w:hint="eastAsia" w:ascii="仿宋_GB2312" w:hAnsi="仿宋_GB2312" w:eastAsia="仿宋_GB2312" w:cs="仿宋_GB2312"/>
          <w:b w:val="0"/>
          <w:bCs w:val="0"/>
          <w:sz w:val="28"/>
          <w:szCs w:val="28"/>
          <w:highlight w:val="none"/>
          <w:lang w:val="en-US" w:eastAsia="zh-CN"/>
        </w:rPr>
        <w:t>定性评审，票决定标。</w:t>
      </w:r>
    </w:p>
    <w:p w14:paraId="7F937FA2">
      <w:pPr>
        <w:pStyle w:val="53"/>
        <w:spacing w:after="0" w:line="560" w:lineRule="exact"/>
        <w:ind w:left="0" w:leftChars="0" w:firstLine="0" w:firstLineChars="0"/>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bCs/>
          <w:kern w:val="2"/>
          <w:sz w:val="28"/>
          <w:szCs w:val="28"/>
          <w:highlight w:val="none"/>
          <w:lang w:val="en-US" w:eastAsia="zh-CN" w:bidi="ar-SA"/>
        </w:rPr>
        <w:t>八、评审要素：</w:t>
      </w:r>
      <w:r>
        <w:rPr>
          <w:rFonts w:hint="eastAsia" w:ascii="仿宋_GB2312" w:hAnsi="仿宋_GB2312" w:eastAsia="仿宋_GB2312" w:cs="仿宋_GB2312"/>
          <w:b w:val="0"/>
          <w:bCs w:val="0"/>
          <w:kern w:val="2"/>
          <w:sz w:val="28"/>
          <w:szCs w:val="28"/>
          <w:highlight w:val="none"/>
          <w:lang w:val="en-US" w:eastAsia="zh-CN" w:bidi="ar-SA"/>
        </w:rPr>
        <w:t>投标报价、投标人类似工程业绩、项目负责人类似工程业绩、履约评价、投标人诚信、实施方案</w:t>
      </w:r>
    </w:p>
    <w:p w14:paraId="75DE2AB7">
      <w:pPr>
        <w:spacing w:line="560" w:lineRule="exact"/>
        <w:rPr>
          <w:rFonts w:hint="eastAsia"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lang w:val="en-US" w:eastAsia="zh-CN"/>
        </w:rPr>
        <w:t>九、</w:t>
      </w:r>
      <w:r>
        <w:rPr>
          <w:rFonts w:hint="eastAsia" w:ascii="仿宋_GB2312" w:hAnsi="仿宋_GB2312" w:eastAsia="仿宋_GB2312" w:cs="仿宋_GB2312"/>
          <w:b/>
          <w:bCs/>
          <w:sz w:val="28"/>
          <w:szCs w:val="28"/>
          <w:highlight w:val="none"/>
        </w:rPr>
        <w:t>支付方式</w:t>
      </w:r>
      <w:r>
        <w:rPr>
          <w:rFonts w:hint="eastAsia" w:ascii="仿宋_GB2312" w:hAnsi="仿宋_GB2312" w:eastAsia="仿宋_GB2312" w:cs="仿宋_GB2312"/>
          <w:b/>
          <w:bCs/>
          <w:sz w:val="28"/>
          <w:szCs w:val="28"/>
          <w:highlight w:val="none"/>
          <w:lang w:val="en-US" w:eastAsia="zh-CN"/>
        </w:rPr>
        <w:t>及结算原则</w:t>
      </w:r>
      <w:r>
        <w:rPr>
          <w:rFonts w:hint="eastAsia" w:ascii="仿宋_GB2312" w:hAnsi="仿宋_GB2312" w:eastAsia="仿宋_GB2312" w:cs="仿宋_GB2312"/>
          <w:b/>
          <w:bCs/>
          <w:sz w:val="28"/>
          <w:szCs w:val="28"/>
          <w:highlight w:val="none"/>
        </w:rPr>
        <w:t>：</w:t>
      </w:r>
    </w:p>
    <w:p w14:paraId="6EAE320F">
      <w:pPr>
        <w:keepNext w:val="0"/>
        <w:keepLines w:val="0"/>
        <w:pageBreakBefore w:val="0"/>
        <w:kinsoku/>
        <w:wordWrap/>
        <w:overflowPunct/>
        <w:topLinePunct w:val="0"/>
        <w:autoSpaceDE/>
        <w:autoSpaceDN/>
        <w:bidi w:val="0"/>
        <w:adjustRightInd/>
        <w:spacing w:line="560" w:lineRule="exact"/>
        <w:ind w:firstLine="624" w:firstLineChars="0"/>
        <w:textAlignment w:val="auto"/>
        <w:rPr>
          <w:rFonts w:hint="eastAsia" w:ascii="仿宋_GB2312" w:hAnsi="仿宋_GB2312" w:eastAsia="仿宋_GB2312" w:cs="仿宋_GB2312"/>
          <w:bCs w:val="0"/>
          <w:color w:val="auto"/>
          <w:sz w:val="28"/>
          <w:szCs w:val="28"/>
          <w:highlight w:val="none"/>
          <w:lang w:val="en-US" w:eastAsia="zh-CN"/>
        </w:rPr>
      </w:pPr>
      <w:r>
        <w:rPr>
          <w:rFonts w:hint="eastAsia" w:ascii="仿宋_GB2312" w:hAnsi="仿宋_GB2312" w:eastAsia="仿宋_GB2312" w:cs="仿宋_GB2312"/>
          <w:bCs w:val="0"/>
          <w:color w:val="auto"/>
          <w:sz w:val="28"/>
          <w:szCs w:val="28"/>
          <w:highlight w:val="none"/>
        </w:rPr>
        <w:t>（1）</w:t>
      </w:r>
      <w:r>
        <w:rPr>
          <w:rFonts w:hint="eastAsia" w:ascii="仿宋_GB2312" w:hAnsi="仿宋_GB2312" w:eastAsia="仿宋_GB2312" w:cs="仿宋_GB2312"/>
          <w:bCs w:val="0"/>
          <w:color w:val="auto"/>
          <w:sz w:val="28"/>
          <w:szCs w:val="28"/>
          <w:highlight w:val="none"/>
          <w:lang w:val="en-US" w:eastAsia="zh-CN"/>
        </w:rPr>
        <w:t>项目开工1个月后，支付施工阶段监理合同费的20%;完成全部施工内容并通过竣工验收后，并将所有工程过程资料(包含但不限于工程设计变更资料及其审批表等)归档完毕，支付至施工阶段监理合同费的60%，待监理合同结算完成后，支付至施工阶段监理合同费的100%;保修阶段监理合同费在工程保修期满2年后一次性支付。监理人应于每次申请付款时向委托人提交与付款金额一致的合规增值税专用发票及经委托人确认的工作量证明文件;监理人未提交或者所提交发票不符合规定的，委托人有权暂缓支付且不构成逾期付款，付款期限自监理人补正之日起重新起算。</w:t>
      </w:r>
    </w:p>
    <w:p w14:paraId="340171C4">
      <w:pPr>
        <w:keepNext w:val="0"/>
        <w:keepLines w:val="0"/>
        <w:pageBreakBefore w:val="0"/>
        <w:kinsoku/>
        <w:wordWrap/>
        <w:overflowPunct/>
        <w:topLinePunct w:val="0"/>
        <w:autoSpaceDE/>
        <w:autoSpaceDN/>
        <w:bidi w:val="0"/>
        <w:adjustRightInd/>
        <w:spacing w:line="560" w:lineRule="exact"/>
        <w:ind w:firstLine="624" w:firstLineChars="0"/>
        <w:textAlignment w:val="auto"/>
        <w:rPr>
          <w:rFonts w:hint="eastAsia" w:ascii="仿宋_GB2312" w:hAnsi="仿宋_GB2312" w:eastAsia="仿宋_GB2312" w:cs="仿宋_GB2312"/>
          <w:bCs w:val="0"/>
          <w:color w:val="auto"/>
          <w:sz w:val="28"/>
          <w:szCs w:val="28"/>
          <w:highlight w:val="none"/>
        </w:rPr>
      </w:pPr>
      <w:r>
        <w:rPr>
          <w:rFonts w:hint="eastAsia" w:ascii="仿宋_GB2312" w:hAnsi="仿宋_GB2312" w:eastAsia="仿宋_GB2312" w:cs="仿宋_GB2312"/>
          <w:bCs w:val="0"/>
          <w:color w:val="auto"/>
          <w:sz w:val="28"/>
          <w:szCs w:val="28"/>
          <w:highlight w:val="none"/>
          <w:lang w:eastAsia="zh-CN"/>
        </w:rPr>
        <w:t>（</w:t>
      </w:r>
      <w:r>
        <w:rPr>
          <w:rFonts w:hint="eastAsia" w:ascii="仿宋_GB2312" w:hAnsi="仿宋_GB2312" w:eastAsia="仿宋_GB2312" w:cs="仿宋_GB2312"/>
          <w:bCs w:val="0"/>
          <w:color w:val="auto"/>
          <w:sz w:val="28"/>
          <w:szCs w:val="28"/>
          <w:highlight w:val="none"/>
          <w:lang w:val="en-US" w:eastAsia="zh-CN"/>
        </w:rPr>
        <w:t>2</w:t>
      </w:r>
      <w:r>
        <w:rPr>
          <w:rFonts w:hint="eastAsia" w:ascii="仿宋_GB2312" w:hAnsi="仿宋_GB2312" w:eastAsia="仿宋_GB2312" w:cs="仿宋_GB2312"/>
          <w:bCs w:val="0"/>
          <w:color w:val="auto"/>
          <w:sz w:val="28"/>
          <w:szCs w:val="28"/>
          <w:highlight w:val="none"/>
          <w:lang w:eastAsia="zh-CN"/>
        </w:rPr>
        <w:t>）</w:t>
      </w:r>
      <w:r>
        <w:rPr>
          <w:rFonts w:hint="eastAsia" w:ascii="仿宋_GB2312" w:hAnsi="仿宋_GB2312" w:eastAsia="仿宋_GB2312" w:cs="仿宋_GB2312"/>
          <w:bCs w:val="0"/>
          <w:color w:val="auto"/>
          <w:sz w:val="28"/>
          <w:szCs w:val="28"/>
          <w:highlight w:val="none"/>
        </w:rPr>
        <w:t>结算原则：最终的工程监理服务酬金按[2007]670 号文固定取</w:t>
      </w:r>
    </w:p>
    <w:p w14:paraId="68BB9D8C">
      <w:pPr>
        <w:keepNext w:val="0"/>
        <w:keepLines w:val="0"/>
        <w:pageBreakBefore w:val="0"/>
        <w:kinsoku/>
        <w:wordWrap/>
        <w:overflowPunct/>
        <w:topLinePunct w:val="0"/>
        <w:autoSpaceDE/>
        <w:autoSpaceDN/>
        <w:bidi w:val="0"/>
        <w:adjustRightInd/>
        <w:spacing w:line="560" w:lineRule="exact"/>
        <w:ind w:firstLine="0" w:firstLineChars="0"/>
        <w:textAlignment w:val="auto"/>
        <w:rPr>
          <w:rFonts w:hint="eastAsia" w:ascii="仿宋_GB2312" w:hAnsi="仿宋_GB2312" w:eastAsia="仿宋_GB2312" w:cs="仿宋_GB2312"/>
          <w:bCs w:val="0"/>
          <w:color w:val="auto"/>
          <w:sz w:val="28"/>
          <w:szCs w:val="28"/>
          <w:highlight w:val="none"/>
        </w:rPr>
      </w:pPr>
      <w:r>
        <w:rPr>
          <w:rFonts w:hint="eastAsia" w:ascii="仿宋_GB2312" w:hAnsi="仿宋_GB2312" w:eastAsia="仿宋_GB2312" w:cs="仿宋_GB2312"/>
          <w:bCs w:val="0"/>
          <w:color w:val="auto"/>
          <w:sz w:val="28"/>
          <w:szCs w:val="28"/>
          <w:highlight w:val="none"/>
        </w:rPr>
        <w:t>费的合同计费方式，以经确认的施工图预算价（不含设计费、工程保险费、土方弃置受纳费）为结算基准，乘以中标下浮进行计算。</w:t>
      </w:r>
    </w:p>
    <w:p w14:paraId="7B8480AA">
      <w:pPr>
        <w:spacing w:line="560" w:lineRule="exact"/>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十、招标公告地址</w:t>
      </w:r>
    </w:p>
    <w:p w14:paraId="7C87EDAD">
      <w:pPr>
        <w:keepNext w:val="0"/>
        <w:keepLines w:val="0"/>
        <w:pageBreakBefore w:val="0"/>
        <w:kinsoku/>
        <w:wordWrap/>
        <w:overflowPunct/>
        <w:topLinePunct w:val="0"/>
        <w:bidi w:val="0"/>
        <w:spacing w:line="560" w:lineRule="exact"/>
        <w:ind w:firstLine="640"/>
        <w:textAlignment w:val="auto"/>
        <w:rPr>
          <w:rFonts w:hint="default"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龙岗区城投集团官方网站</w:t>
      </w:r>
    </w:p>
    <w:p w14:paraId="67DE2D47">
      <w:pPr>
        <w:spacing w:line="560" w:lineRule="exact"/>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lang w:val="en-US" w:eastAsia="zh-CN"/>
        </w:rPr>
        <w:t>十一</w:t>
      </w:r>
      <w:r>
        <w:rPr>
          <w:rFonts w:hint="eastAsia" w:ascii="仿宋_GB2312" w:hAnsi="仿宋_GB2312" w:eastAsia="仿宋_GB2312" w:cs="仿宋_GB2312"/>
          <w:b/>
          <w:bCs/>
          <w:sz w:val="28"/>
          <w:szCs w:val="28"/>
          <w:highlight w:val="none"/>
        </w:rPr>
        <w:t>、响应文件要求：</w:t>
      </w:r>
    </w:p>
    <w:p w14:paraId="597BF874">
      <w:pPr>
        <w:numPr>
          <w:ilvl w:val="255"/>
          <w:numId w:val="0"/>
        </w:numPr>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1.</w:t>
      </w:r>
      <w:r>
        <w:rPr>
          <w:rFonts w:hint="eastAsia" w:ascii="仿宋_GB2312" w:hAnsi="仿宋_GB2312" w:eastAsia="仿宋_GB2312" w:cs="仿宋_GB2312"/>
          <w:color w:val="auto"/>
          <w:sz w:val="28"/>
          <w:szCs w:val="28"/>
          <w:highlight w:val="none"/>
        </w:rPr>
        <w:t>本次公告时间从202</w:t>
      </w:r>
      <w:r>
        <w:rPr>
          <w:rFonts w:hint="eastAsia" w:ascii="仿宋_GB2312" w:hAnsi="仿宋_GB2312" w:eastAsia="仿宋_GB2312" w:cs="仿宋_GB2312"/>
          <w:color w:val="auto"/>
          <w:sz w:val="28"/>
          <w:szCs w:val="28"/>
          <w:highlight w:val="none"/>
          <w:lang w:val="en-US" w:eastAsia="zh-CN"/>
        </w:rPr>
        <w:t>6</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lang w:val="en-US" w:eastAsia="zh-CN"/>
        </w:rPr>
        <w:t>8月26日</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val="en-US" w:eastAsia="zh-CN"/>
        </w:rPr>
        <w:t>8</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lang w:val="en-US" w:eastAsia="zh-CN"/>
        </w:rPr>
        <w:t>31</w:t>
      </w:r>
      <w:r>
        <w:rPr>
          <w:rFonts w:hint="eastAsia" w:ascii="仿宋_GB2312" w:hAnsi="仿宋_GB2312" w:eastAsia="仿宋_GB2312" w:cs="仿宋_GB2312"/>
          <w:color w:val="auto"/>
          <w:sz w:val="28"/>
          <w:szCs w:val="28"/>
          <w:highlight w:val="none"/>
        </w:rPr>
        <w:t>日止，响应承包商应于</w:t>
      </w:r>
      <w:r>
        <w:rPr>
          <w:rFonts w:hint="eastAsia" w:ascii="仿宋_GB2312" w:hAnsi="仿宋_GB2312" w:eastAsia="仿宋_GB2312" w:cs="仿宋_GB2312"/>
          <w:color w:val="auto"/>
          <w:sz w:val="28"/>
          <w:szCs w:val="28"/>
          <w:highlight w:val="none"/>
          <w:lang w:val="en-US" w:eastAsia="zh-CN"/>
        </w:rPr>
        <w:t>8月31日</w:t>
      </w:r>
      <w:r>
        <w:rPr>
          <w:rFonts w:hint="eastAsia" w:ascii="仿宋_GB2312" w:hAnsi="仿宋_GB2312" w:eastAsia="仿宋_GB2312" w:cs="仿宋_GB2312"/>
          <w:color w:val="auto"/>
          <w:sz w:val="28"/>
          <w:szCs w:val="28"/>
          <w:highlight w:val="none"/>
        </w:rPr>
        <w:t>1</w:t>
      </w:r>
      <w:r>
        <w:rPr>
          <w:rFonts w:hint="eastAsia" w:ascii="仿宋_GB2312" w:hAnsi="仿宋_GB2312" w:eastAsia="仿宋_GB2312" w:cs="仿宋_GB2312"/>
          <w:color w:val="auto"/>
          <w:sz w:val="28"/>
          <w:szCs w:val="28"/>
          <w:highlight w:val="none"/>
          <w:lang w:val="en-US" w:eastAsia="zh-CN"/>
        </w:rPr>
        <w:t>5</w:t>
      </w:r>
      <w:r>
        <w:rPr>
          <w:rFonts w:hint="eastAsia" w:ascii="仿宋_GB2312" w:hAnsi="仿宋_GB2312" w:eastAsia="仿宋_GB2312" w:cs="仿宋_GB2312"/>
          <w:color w:val="auto"/>
          <w:sz w:val="28"/>
          <w:szCs w:val="28"/>
          <w:highlight w:val="none"/>
        </w:rPr>
        <w:t>:00</w:t>
      </w:r>
      <w:r>
        <w:rPr>
          <w:rFonts w:ascii="仿宋_GB2312" w:hAnsi="仿宋_GB2312" w:eastAsia="仿宋_GB2312" w:cs="仿宋_GB2312"/>
          <w:color w:val="auto"/>
          <w:sz w:val="28"/>
          <w:szCs w:val="28"/>
          <w:highlight w:val="none"/>
        </w:rPr>
        <w:t>前</w:t>
      </w:r>
      <w:r>
        <w:rPr>
          <w:rFonts w:hint="eastAsia" w:ascii="仿宋_GB2312" w:hAnsi="仿宋_GB2312" w:eastAsia="仿宋_GB2312" w:cs="仿宋_GB2312"/>
          <w:sz w:val="28"/>
          <w:szCs w:val="28"/>
          <w:highlight w:val="none"/>
        </w:rPr>
        <w:t>将响应文件1正4副密封（统一密封，密封处加盖公章）送交到龙岗区中心城腾飞路创投大厦22</w:t>
      </w:r>
      <w:r>
        <w:rPr>
          <w:rFonts w:hint="eastAsia" w:ascii="仿宋_GB2312" w:hAnsi="仿宋_GB2312" w:eastAsia="仿宋_GB2312" w:cs="仿宋_GB2312"/>
          <w:sz w:val="28"/>
          <w:szCs w:val="28"/>
          <w:highlight w:val="none"/>
          <w:lang w:val="en-US" w:eastAsia="zh-CN"/>
        </w:rPr>
        <w:t>10</w:t>
      </w:r>
      <w:r>
        <w:rPr>
          <w:rFonts w:hint="eastAsia" w:ascii="仿宋_GB2312" w:hAnsi="仿宋_GB2312" w:eastAsia="仿宋_GB2312" w:cs="仿宋_GB2312"/>
          <w:sz w:val="28"/>
          <w:szCs w:val="28"/>
          <w:highlight w:val="none"/>
        </w:rPr>
        <w:t>室（</w:t>
      </w:r>
      <w:r>
        <w:rPr>
          <w:rFonts w:hint="eastAsia" w:ascii="仿宋_GB2312" w:hAnsi="仿宋_GB2312" w:eastAsia="仿宋_GB2312" w:cs="仿宋_GB2312"/>
          <w:sz w:val="28"/>
          <w:szCs w:val="28"/>
          <w:highlight w:val="none"/>
          <w:lang w:val="en-US" w:eastAsia="zh-CN"/>
        </w:rPr>
        <w:t>合约造价部</w:t>
      </w:r>
      <w:r>
        <w:rPr>
          <w:rFonts w:hint="eastAsia" w:ascii="仿宋_GB2312" w:hAnsi="仿宋_GB2312" w:eastAsia="仿宋_GB2312" w:cs="仿宋_GB2312"/>
          <w:sz w:val="28"/>
          <w:szCs w:val="28"/>
          <w:highlight w:val="none"/>
        </w:rPr>
        <w:t>，联系人：</w:t>
      </w:r>
      <w:r>
        <w:rPr>
          <w:rFonts w:hint="eastAsia" w:ascii="仿宋_GB2312" w:hAnsi="仿宋_GB2312" w:eastAsia="仿宋_GB2312" w:cs="仿宋_GB2312"/>
          <w:sz w:val="28"/>
          <w:szCs w:val="28"/>
          <w:highlight w:val="none"/>
          <w:lang w:val="en-US" w:eastAsia="zh-CN"/>
        </w:rPr>
        <w:t>邹工</w:t>
      </w:r>
      <w:r>
        <w:rPr>
          <w:rFonts w:hint="eastAsia" w:ascii="仿宋_GB2312" w:hAnsi="仿宋_GB2312" w:eastAsia="仿宋_GB2312" w:cs="仿宋_GB2312"/>
          <w:sz w:val="28"/>
          <w:szCs w:val="28"/>
          <w:highlight w:val="none"/>
        </w:rPr>
        <w:t>，</w:t>
      </w:r>
      <w:r>
        <w:rPr>
          <w:rFonts w:hint="eastAsia" w:ascii="仿宋_GB2312" w:hAnsi="仿宋_GB2312" w:eastAsia="仿宋_GB2312" w:cs="仿宋_GB2312"/>
          <w:sz w:val="28"/>
          <w:szCs w:val="28"/>
          <w:highlight w:val="none"/>
          <w:lang w:val="en-US" w:eastAsia="zh-CN"/>
        </w:rPr>
        <w:t>15820472526</w:t>
      </w:r>
      <w:r>
        <w:rPr>
          <w:rFonts w:hint="eastAsia" w:ascii="仿宋_GB2312" w:hAnsi="仿宋_GB2312" w:eastAsia="仿宋_GB2312" w:cs="仿宋_GB2312"/>
          <w:sz w:val="28"/>
          <w:szCs w:val="28"/>
          <w:highlight w:val="none"/>
        </w:rPr>
        <w:t>），逾期送达或未按要求密封将予以拒收或原封退回给报价人。</w:t>
      </w:r>
    </w:p>
    <w:p w14:paraId="7F43F3A9">
      <w:pPr>
        <w:numPr>
          <w:ilvl w:val="255"/>
          <w:numId w:val="0"/>
        </w:numPr>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2.</w:t>
      </w:r>
      <w:r>
        <w:rPr>
          <w:rFonts w:hint="eastAsia" w:ascii="仿宋_GB2312" w:hAnsi="仿宋_GB2312" w:eastAsia="仿宋_GB2312" w:cs="仿宋_GB2312"/>
          <w:sz w:val="28"/>
          <w:szCs w:val="28"/>
          <w:highlight w:val="none"/>
        </w:rPr>
        <w:t>响应文件包含承诺函、委托人要求提供的资料等，详见公开招标（自主）文件。</w:t>
      </w:r>
    </w:p>
    <w:p w14:paraId="305545AB">
      <w:pPr>
        <w:numPr>
          <w:ilvl w:val="255"/>
          <w:numId w:val="0"/>
        </w:numPr>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3.</w:t>
      </w:r>
      <w:r>
        <w:rPr>
          <w:rFonts w:hint="eastAsia" w:ascii="仿宋_GB2312" w:hAnsi="仿宋_GB2312" w:eastAsia="仿宋_GB2312" w:cs="仿宋_GB2312"/>
          <w:sz w:val="28"/>
          <w:szCs w:val="28"/>
          <w:highlight w:val="none"/>
        </w:rPr>
        <w:t>本次递交响应文件截止时间后，若有效响应单位不足3家的，则发布二次公告（原则不少于一次公告发布时间的50%），若二次公告期满后，有效响应单位仅有2家的，则拆封响应文件继续评审，有效响应单位仅有1家的，则直接选定承包单位。</w:t>
      </w:r>
    </w:p>
    <w:p w14:paraId="55CF0C66">
      <w:pPr>
        <w:spacing w:line="560" w:lineRule="exact"/>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十</w:t>
      </w:r>
      <w:r>
        <w:rPr>
          <w:rFonts w:hint="eastAsia" w:ascii="仿宋_GB2312" w:hAnsi="仿宋_GB2312" w:eastAsia="仿宋_GB2312" w:cs="仿宋_GB2312"/>
          <w:b/>
          <w:bCs/>
          <w:sz w:val="28"/>
          <w:szCs w:val="28"/>
          <w:highlight w:val="none"/>
          <w:lang w:val="en-US" w:eastAsia="zh-CN"/>
        </w:rPr>
        <w:t>二</w:t>
      </w:r>
      <w:r>
        <w:rPr>
          <w:rFonts w:hint="eastAsia" w:ascii="仿宋_GB2312" w:hAnsi="仿宋_GB2312" w:eastAsia="仿宋_GB2312" w:cs="仿宋_GB2312"/>
          <w:b/>
          <w:bCs/>
          <w:sz w:val="28"/>
          <w:szCs w:val="28"/>
          <w:highlight w:val="none"/>
        </w:rPr>
        <w:t>、公开招标（自主）结果公示</w:t>
      </w:r>
    </w:p>
    <w:p w14:paraId="5814A406">
      <w:pPr>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递交响应文件截止后，委托人将自行组织响应文件开启、评审等工作，确定承包单位后将在龙岗区城投集团官方网站进行公示。</w:t>
      </w:r>
    </w:p>
    <w:p w14:paraId="1BD915F3">
      <w:pPr>
        <w:numPr>
          <w:ilvl w:val="255"/>
          <w:numId w:val="0"/>
        </w:numPr>
        <w:spacing w:line="560" w:lineRule="exact"/>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开标时间：截标时间之后，具体以招标人时间安排为准。</w:t>
      </w:r>
    </w:p>
    <w:p w14:paraId="654E11F0">
      <w:pPr>
        <w:numPr>
          <w:ilvl w:val="255"/>
          <w:numId w:val="0"/>
        </w:numPr>
        <w:spacing w:line="560" w:lineRule="exact"/>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开标地址：深圳市龙岗区城市建设投资集团有限公司会议室</w:t>
      </w:r>
    </w:p>
    <w:p w14:paraId="42F4B565">
      <w:pPr>
        <w:pStyle w:val="25"/>
        <w:spacing w:line="560" w:lineRule="exact"/>
        <w:rPr>
          <w:highlight w:val="none"/>
        </w:rPr>
      </w:pPr>
    </w:p>
    <w:p w14:paraId="6C3F3A3A">
      <w:pPr>
        <w:spacing w:line="560" w:lineRule="exact"/>
        <w:rPr>
          <w:highlight w:val="none"/>
        </w:rPr>
      </w:pPr>
    </w:p>
    <w:p w14:paraId="7DBD978C">
      <w:pPr>
        <w:spacing w:line="560" w:lineRule="exact"/>
        <w:rPr>
          <w:highlight w:val="none"/>
        </w:rPr>
      </w:pPr>
    </w:p>
    <w:p w14:paraId="30F26B8C">
      <w:pPr>
        <w:spacing w:line="560" w:lineRule="exact"/>
        <w:rPr>
          <w:highlight w:val="none"/>
        </w:rPr>
      </w:pPr>
    </w:p>
    <w:p w14:paraId="2E1E3600">
      <w:pPr>
        <w:spacing w:line="560" w:lineRule="exact"/>
        <w:ind w:left="1687" w:hanging="1687" w:hangingChars="600"/>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特别说明：1.资格不符合要求的投标人不能进入比选程序。</w:t>
      </w:r>
    </w:p>
    <w:p w14:paraId="52130EF8">
      <w:pPr>
        <w:numPr>
          <w:ilvl w:val="255"/>
          <w:numId w:val="0"/>
        </w:numPr>
        <w:spacing w:line="560" w:lineRule="exact"/>
        <w:ind w:left="1677" w:leftChars="665" w:hanging="281" w:hangingChars="100"/>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lang w:val="en-US" w:eastAsia="zh-CN"/>
        </w:rPr>
        <w:t>2.</w:t>
      </w:r>
      <w:r>
        <w:rPr>
          <w:rFonts w:hint="eastAsia" w:ascii="仿宋_GB2312" w:hAnsi="仿宋_GB2312" w:eastAsia="仿宋_GB2312" w:cs="仿宋_GB2312"/>
          <w:b/>
          <w:bCs/>
          <w:sz w:val="28"/>
          <w:szCs w:val="28"/>
          <w:highlight w:val="none"/>
        </w:rPr>
        <w:t>所有响应单位视为同意上述公告内容，确定为承包单位后按公告约定与委托人签署合同。</w:t>
      </w:r>
    </w:p>
    <w:p w14:paraId="68D1F76C">
      <w:pPr>
        <w:numPr>
          <w:ilvl w:val="255"/>
          <w:numId w:val="0"/>
        </w:numPr>
        <w:spacing w:line="560" w:lineRule="exact"/>
        <w:ind w:left="1677" w:leftChars="665" w:hanging="281" w:hangingChars="100"/>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lang w:val="en-US" w:eastAsia="zh-CN"/>
        </w:rPr>
        <w:t>3.</w:t>
      </w:r>
      <w:r>
        <w:rPr>
          <w:rFonts w:hint="eastAsia" w:ascii="仿宋_GB2312" w:hAnsi="仿宋_GB2312" w:eastAsia="仿宋_GB2312" w:cs="仿宋_GB2312"/>
          <w:b/>
          <w:bCs/>
          <w:sz w:val="28"/>
          <w:szCs w:val="28"/>
          <w:highlight w:val="none"/>
        </w:rPr>
        <w:t>公开招标（自主）评审后，如承包单位放弃中选资格或者拒不签订合同的，委托人可以从资格审查合格的其他投标单位中采用原评审方法，由原评审小组确定承包单位。</w:t>
      </w:r>
    </w:p>
    <w:p w14:paraId="3893AE84">
      <w:pPr>
        <w:spacing w:line="560" w:lineRule="exact"/>
        <w:ind w:left="1687" w:hanging="1687" w:hangingChars="600"/>
        <w:rPr>
          <w:rFonts w:ascii="仿宋_GB2312" w:hAnsi="仿宋_GB2312" w:eastAsia="仿宋_GB2312" w:cs="仿宋_GB2312"/>
          <w:b/>
          <w:bCs/>
          <w:sz w:val="28"/>
          <w:szCs w:val="28"/>
          <w:highlight w:val="none"/>
        </w:rPr>
      </w:pPr>
    </w:p>
    <w:p w14:paraId="6B1D67F2">
      <w:pPr>
        <w:adjustRightInd/>
        <w:snapToGrid/>
        <w:spacing w:line="560" w:lineRule="exact"/>
        <w:ind w:left="0" w:firstLine="0" w:firstLineChars="0"/>
        <w:jc w:val="center"/>
        <w:rPr>
          <w:rFonts w:hint="eastAsia" w:ascii="仿宋_GB2312" w:hAnsi="宋体" w:eastAsia="仿宋_GB2312" w:cs="Times New Roman"/>
          <w:b/>
          <w:bCs w:val="0"/>
          <w:sz w:val="30"/>
          <w:szCs w:val="30"/>
          <w:highlight w:val="none"/>
          <w:lang w:val="en-US" w:eastAsia="zh-CN"/>
        </w:rPr>
      </w:pPr>
      <w:r>
        <w:rPr>
          <w:rFonts w:ascii="仿宋_GB2312" w:hAnsi="仿宋_GB2312" w:eastAsia="仿宋_GB2312" w:cs="仿宋_GB2312"/>
          <w:b/>
          <w:bCs/>
          <w:sz w:val="28"/>
          <w:szCs w:val="28"/>
          <w:highlight w:val="none"/>
        </w:rPr>
        <w:t xml:space="preserve">        </w:t>
      </w:r>
      <w:r>
        <w:rPr>
          <w:rFonts w:hint="eastAsia" w:ascii="仿宋_GB2312" w:hAnsi="仿宋_GB2312" w:eastAsia="仿宋_GB2312" w:cs="仿宋_GB2312"/>
          <w:b/>
          <w:bCs/>
          <w:sz w:val="28"/>
          <w:szCs w:val="28"/>
          <w:highlight w:val="none"/>
          <w:lang w:val="en-US" w:eastAsia="zh-CN"/>
        </w:rPr>
        <w:t xml:space="preserve">     </w:t>
      </w:r>
      <w:r>
        <w:rPr>
          <w:rFonts w:hint="eastAsia" w:ascii="仿宋_GB2312" w:hAnsi="宋体" w:eastAsia="仿宋_GB2312" w:cs="Times New Roman"/>
          <w:b/>
          <w:bCs w:val="0"/>
          <w:sz w:val="30"/>
          <w:szCs w:val="30"/>
          <w:highlight w:val="none"/>
          <w:lang w:val="en-US" w:eastAsia="zh-CN"/>
        </w:rPr>
        <w:t>深圳市龙岗区城投新基础设施建设管理有限公司</w:t>
      </w:r>
    </w:p>
    <w:p w14:paraId="3EA6FE10">
      <w:pPr>
        <w:spacing w:line="560" w:lineRule="exact"/>
        <w:ind w:firstLine="480"/>
        <w:rPr>
          <w:rFonts w:ascii="仿宋_GB2312" w:hAnsi="仿宋_GB2312" w:eastAsia="仿宋_GB2312" w:cs="仿宋_GB2312"/>
          <w:b/>
          <w:bCs/>
          <w:sz w:val="28"/>
          <w:szCs w:val="28"/>
          <w:highlight w:val="none"/>
        </w:rPr>
      </w:pPr>
      <w:r>
        <w:rPr>
          <w:rFonts w:hint="eastAsia" w:ascii="仿宋_GB2312" w:hAnsi="仿宋_GB2312" w:eastAsia="仿宋_GB2312" w:cs="仿宋_GB2312"/>
          <w:sz w:val="28"/>
          <w:szCs w:val="28"/>
          <w:highlight w:val="none"/>
        </w:rPr>
        <w:t xml:space="preserve">                                </w:t>
      </w:r>
      <w:r>
        <w:rPr>
          <w:rFonts w:hint="eastAsia" w:ascii="仿宋_GB2312" w:hAnsi="仿宋_GB2312" w:eastAsia="仿宋_GB2312" w:cs="仿宋_GB2312"/>
          <w:b/>
          <w:bCs/>
          <w:sz w:val="28"/>
          <w:szCs w:val="28"/>
          <w:highlight w:val="none"/>
        </w:rPr>
        <w:t>202</w:t>
      </w:r>
      <w:r>
        <w:rPr>
          <w:rFonts w:hint="eastAsia" w:ascii="仿宋_GB2312" w:hAnsi="仿宋_GB2312" w:eastAsia="仿宋_GB2312" w:cs="仿宋_GB2312"/>
          <w:b/>
          <w:bCs/>
          <w:sz w:val="28"/>
          <w:szCs w:val="28"/>
          <w:highlight w:val="none"/>
          <w:lang w:val="en-US" w:eastAsia="zh-CN"/>
        </w:rPr>
        <w:t>6</w:t>
      </w:r>
      <w:r>
        <w:rPr>
          <w:rFonts w:hint="eastAsia" w:ascii="仿宋_GB2312" w:hAnsi="仿宋_GB2312" w:eastAsia="仿宋_GB2312" w:cs="仿宋_GB2312"/>
          <w:b/>
          <w:bCs/>
          <w:sz w:val="28"/>
          <w:szCs w:val="28"/>
          <w:highlight w:val="none"/>
        </w:rPr>
        <w:t>年</w:t>
      </w:r>
      <w:r>
        <w:rPr>
          <w:rFonts w:hint="eastAsia" w:ascii="仿宋_GB2312" w:hAnsi="仿宋_GB2312" w:eastAsia="仿宋_GB2312" w:cs="仿宋_GB2312"/>
          <w:b/>
          <w:bCs/>
          <w:sz w:val="28"/>
          <w:szCs w:val="28"/>
          <w:highlight w:val="none"/>
          <w:lang w:val="en-US" w:eastAsia="zh-CN"/>
        </w:rPr>
        <w:t>8</w:t>
      </w:r>
      <w:r>
        <w:rPr>
          <w:rFonts w:hint="eastAsia" w:ascii="仿宋_GB2312" w:hAnsi="仿宋_GB2312" w:eastAsia="仿宋_GB2312" w:cs="仿宋_GB2312"/>
          <w:b/>
          <w:bCs/>
          <w:sz w:val="28"/>
          <w:szCs w:val="28"/>
          <w:highlight w:val="none"/>
        </w:rPr>
        <w:t>月</w:t>
      </w:r>
      <w:r>
        <w:rPr>
          <w:rFonts w:hint="eastAsia" w:ascii="仿宋_GB2312" w:hAnsi="仿宋_GB2312" w:eastAsia="仿宋_GB2312" w:cs="仿宋_GB2312"/>
          <w:b/>
          <w:bCs/>
          <w:sz w:val="28"/>
          <w:szCs w:val="28"/>
          <w:highlight w:val="none"/>
          <w:lang w:val="en-US" w:eastAsia="zh-CN"/>
        </w:rPr>
        <w:t>26</w:t>
      </w:r>
      <w:r>
        <w:rPr>
          <w:rFonts w:hint="eastAsia" w:ascii="仿宋_GB2312" w:hAnsi="仿宋_GB2312" w:eastAsia="仿宋_GB2312" w:cs="仿宋_GB2312"/>
          <w:b/>
          <w:bCs/>
          <w:sz w:val="28"/>
          <w:szCs w:val="28"/>
          <w:highlight w:val="none"/>
        </w:rPr>
        <w:t>日</w:t>
      </w:r>
    </w:p>
    <w:p w14:paraId="094B0A85">
      <w:pPr>
        <w:spacing w:line="560" w:lineRule="exact"/>
        <w:rPr>
          <w:highlight w:val="none"/>
        </w:rPr>
      </w:pPr>
      <w:r>
        <w:rPr>
          <w:highlight w:val="none"/>
        </w:rPr>
        <w:br w:type="page"/>
      </w:r>
    </w:p>
    <w:p w14:paraId="5BD361D1">
      <w:pPr>
        <w:spacing w:line="560" w:lineRule="exact"/>
        <w:jc w:val="center"/>
        <w:outlineLvl w:val="2"/>
        <w:rPr>
          <w:rFonts w:hint="eastAsia" w:ascii="宋体" w:hAnsi="宋体"/>
          <w:b/>
          <w:snapToGrid w:val="0"/>
          <w:kern w:val="0"/>
          <w:sz w:val="32"/>
          <w:szCs w:val="32"/>
          <w:highlight w:val="none"/>
          <w:lang w:val="en-US" w:eastAsia="zh-CN"/>
        </w:rPr>
      </w:pPr>
      <w:r>
        <w:rPr>
          <w:rFonts w:hint="eastAsia" w:ascii="宋体" w:hAnsi="宋体"/>
          <w:b/>
          <w:snapToGrid w:val="0"/>
          <w:kern w:val="0"/>
          <w:sz w:val="32"/>
          <w:szCs w:val="32"/>
          <w:highlight w:val="none"/>
          <w:lang w:val="en-US" w:eastAsia="zh-CN"/>
        </w:rPr>
        <w:t>第二章　</w:t>
      </w:r>
      <w:bookmarkStart w:id="2" w:name="_Toc306716052"/>
      <w:r>
        <w:rPr>
          <w:rFonts w:hint="eastAsia" w:ascii="宋体" w:hAnsi="宋体"/>
          <w:b/>
          <w:snapToGrid w:val="0"/>
          <w:kern w:val="0"/>
          <w:sz w:val="32"/>
          <w:szCs w:val="32"/>
          <w:highlight w:val="none"/>
          <w:lang w:val="en-US" w:eastAsia="zh-CN"/>
        </w:rPr>
        <w:t>投标须知</w:t>
      </w:r>
      <w:bookmarkEnd w:id="1"/>
      <w:bookmarkEnd w:id="2"/>
    </w:p>
    <w:p w14:paraId="42BE0DE4">
      <w:pPr>
        <w:spacing w:line="560" w:lineRule="exact"/>
        <w:jc w:val="center"/>
        <w:outlineLvl w:val="3"/>
        <w:rPr>
          <w:rFonts w:ascii="宋体" w:hAnsi="宋体"/>
          <w:b/>
          <w:snapToGrid w:val="0"/>
          <w:kern w:val="0"/>
          <w:sz w:val="32"/>
          <w:szCs w:val="32"/>
          <w:highlight w:val="none"/>
        </w:rPr>
      </w:pPr>
      <w:bookmarkStart w:id="3" w:name="_Toc15270"/>
      <w:bookmarkStart w:id="4" w:name="_Toc509669687"/>
      <w:r>
        <w:rPr>
          <w:rFonts w:hint="eastAsia" w:ascii="宋体" w:hAnsi="宋体"/>
          <w:b/>
          <w:snapToGrid w:val="0"/>
          <w:kern w:val="0"/>
          <w:sz w:val="32"/>
          <w:szCs w:val="32"/>
          <w:highlight w:val="none"/>
          <w:lang w:val="en-US" w:eastAsia="zh-CN"/>
        </w:rPr>
        <w:t>一</w:t>
      </w:r>
      <w:r>
        <w:rPr>
          <w:rFonts w:hint="eastAsia" w:ascii="宋体" w:hAnsi="宋体"/>
          <w:b/>
          <w:snapToGrid w:val="0"/>
          <w:kern w:val="0"/>
          <w:sz w:val="32"/>
          <w:szCs w:val="32"/>
          <w:highlight w:val="none"/>
        </w:rPr>
        <w:t>、投标文件的编制</w:t>
      </w:r>
      <w:bookmarkEnd w:id="3"/>
      <w:bookmarkEnd w:id="4"/>
    </w:p>
    <w:p w14:paraId="0C0B97A2">
      <w:pPr>
        <w:spacing w:line="560" w:lineRule="exact"/>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lang w:val="en-US" w:eastAsia="zh-CN"/>
        </w:rPr>
        <w:t>1</w:t>
      </w:r>
      <w:r>
        <w:rPr>
          <w:rFonts w:hint="eastAsia" w:ascii="宋体" w:hAnsi="宋体"/>
          <w:b/>
          <w:snapToGrid w:val="0"/>
          <w:kern w:val="0"/>
          <w:sz w:val="28"/>
          <w:szCs w:val="28"/>
          <w:highlight w:val="none"/>
        </w:rPr>
        <w:t>.投标文件的语言及度量单位</w:t>
      </w:r>
    </w:p>
    <w:p w14:paraId="7D80583A">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1</w:t>
      </w:r>
      <w:r>
        <w:rPr>
          <w:rFonts w:hint="eastAsia" w:ascii="宋体" w:hAnsi="宋体"/>
          <w:snapToGrid w:val="0"/>
          <w:kern w:val="0"/>
          <w:sz w:val="28"/>
          <w:szCs w:val="28"/>
          <w:highlight w:val="none"/>
        </w:rPr>
        <w:t>.1投标人与招标人之间与投标有关的所有往来通知、函件和投标文件均应用中文。投标人随投标文件提供的证明文件和资料可以为其他语言，但必须附中文译文。在此，为了解释投标文件，应以中文为准。</w:t>
      </w:r>
    </w:p>
    <w:p w14:paraId="46889353">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1</w:t>
      </w:r>
      <w:r>
        <w:rPr>
          <w:rFonts w:hint="eastAsia" w:ascii="宋体" w:hAnsi="宋体"/>
          <w:snapToGrid w:val="0"/>
          <w:kern w:val="0"/>
          <w:sz w:val="28"/>
          <w:szCs w:val="28"/>
          <w:highlight w:val="none"/>
        </w:rPr>
        <w:t>.2 除技术规范另有规定外，投标文件使用的度量单位，均采用中华人民共和国法定计量单位。</w:t>
      </w:r>
    </w:p>
    <w:p w14:paraId="3955BAD2">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1</w:t>
      </w:r>
      <w:r>
        <w:rPr>
          <w:rFonts w:hint="eastAsia" w:ascii="宋体" w:hAnsi="宋体"/>
          <w:snapToGrid w:val="0"/>
          <w:kern w:val="0"/>
          <w:sz w:val="28"/>
          <w:szCs w:val="28"/>
          <w:highlight w:val="none"/>
        </w:rPr>
        <w:t>.3公开招标（自主）文件中所出现的日期为自然日，货币单位为人民币。</w:t>
      </w:r>
    </w:p>
    <w:p w14:paraId="4B9E4AD7">
      <w:pPr>
        <w:spacing w:line="560" w:lineRule="exact"/>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lang w:val="en-US" w:eastAsia="zh-CN"/>
        </w:rPr>
        <w:t>2</w:t>
      </w:r>
      <w:r>
        <w:rPr>
          <w:rFonts w:hint="eastAsia" w:ascii="宋体" w:hAnsi="宋体"/>
          <w:b/>
          <w:snapToGrid w:val="0"/>
          <w:kern w:val="0"/>
          <w:sz w:val="28"/>
          <w:szCs w:val="28"/>
          <w:highlight w:val="none"/>
        </w:rPr>
        <w:t>.投标有效期</w:t>
      </w:r>
    </w:p>
    <w:p w14:paraId="74F79453">
      <w:pPr>
        <w:spacing w:line="560" w:lineRule="exact"/>
        <w:ind w:firstLine="560" w:firstLineChars="200"/>
        <w:jc w:val="left"/>
        <w:rPr>
          <w:rFonts w:hint="eastAsia" w:ascii="宋体" w:hAnsi="宋体"/>
          <w:snapToGrid w:val="0"/>
          <w:kern w:val="0"/>
          <w:sz w:val="28"/>
          <w:szCs w:val="28"/>
          <w:highlight w:val="none"/>
        </w:rPr>
      </w:pPr>
      <w:r>
        <w:rPr>
          <w:rFonts w:hint="eastAsia" w:ascii="宋体" w:hAnsi="宋体"/>
          <w:snapToGrid w:val="0"/>
          <w:kern w:val="0"/>
          <w:sz w:val="28"/>
          <w:szCs w:val="28"/>
          <w:highlight w:val="none"/>
          <w:lang w:val="en-US" w:eastAsia="zh-CN"/>
        </w:rPr>
        <w:t>2</w:t>
      </w:r>
      <w:r>
        <w:rPr>
          <w:rFonts w:hint="eastAsia" w:ascii="宋体" w:hAnsi="宋体"/>
          <w:snapToGrid w:val="0"/>
          <w:kern w:val="0"/>
          <w:sz w:val="28"/>
          <w:szCs w:val="28"/>
          <w:highlight w:val="none"/>
        </w:rPr>
        <w:t>.1投标有效期60天。在此期间，所有投标均保持有效。</w:t>
      </w:r>
    </w:p>
    <w:p w14:paraId="31CB1B59">
      <w:pPr>
        <w:spacing w:line="560" w:lineRule="exact"/>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rPr>
        <w:t>3.投标费用</w:t>
      </w:r>
    </w:p>
    <w:p w14:paraId="3AE8762F">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rPr>
        <w:t>投标人应自行承担所有准备及参加投标相关的费用。不论投标的结果如何，招标人均无承担相应的义务和责任。</w:t>
      </w:r>
    </w:p>
    <w:p w14:paraId="2D650246">
      <w:pPr>
        <w:spacing w:line="560" w:lineRule="exact"/>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rPr>
        <w:t>4.踏勘现场</w:t>
      </w:r>
    </w:p>
    <w:p w14:paraId="07AC7EB1">
      <w:pPr>
        <w:spacing w:line="560" w:lineRule="exact"/>
        <w:ind w:firstLine="560" w:firstLineChars="200"/>
        <w:jc w:val="left"/>
        <w:rPr>
          <w:rFonts w:ascii="宋体" w:hAnsi="宋体"/>
          <w:snapToGrid w:val="0"/>
          <w:kern w:val="0"/>
          <w:sz w:val="28"/>
          <w:szCs w:val="28"/>
          <w:highlight w:val="none"/>
        </w:rPr>
      </w:pPr>
      <w:r>
        <w:rPr>
          <w:rFonts w:ascii="宋体" w:hAnsi="宋体"/>
          <w:snapToGrid w:val="0"/>
          <w:kern w:val="0"/>
          <w:sz w:val="28"/>
          <w:szCs w:val="28"/>
          <w:highlight w:val="none"/>
        </w:rPr>
        <w:t>本项目不组织现场踏</w:t>
      </w:r>
      <w:r>
        <w:rPr>
          <w:rFonts w:hint="eastAsia" w:ascii="宋体" w:hAnsi="宋体"/>
          <w:snapToGrid w:val="0"/>
          <w:kern w:val="0"/>
          <w:sz w:val="28"/>
          <w:szCs w:val="28"/>
          <w:highlight w:val="none"/>
        </w:rPr>
        <w:t>勘。</w:t>
      </w:r>
    </w:p>
    <w:p w14:paraId="5DB79D9A">
      <w:pPr>
        <w:spacing w:line="560" w:lineRule="exact"/>
        <w:ind w:firstLine="420" w:firstLineChars="200"/>
        <w:jc w:val="left"/>
        <w:rPr>
          <w:rFonts w:hint="eastAsia" w:ascii="宋体" w:hAnsi="宋体"/>
          <w:snapToGrid w:val="0"/>
          <w:kern w:val="0"/>
          <w:szCs w:val="21"/>
          <w:highlight w:val="none"/>
        </w:rPr>
      </w:pPr>
    </w:p>
    <w:p w14:paraId="7F66440D">
      <w:pPr>
        <w:spacing w:line="560" w:lineRule="exact"/>
        <w:ind w:firstLine="420" w:firstLineChars="200"/>
        <w:jc w:val="left"/>
        <w:rPr>
          <w:rFonts w:ascii="宋体" w:hAnsi="宋体"/>
          <w:snapToGrid w:val="0"/>
          <w:kern w:val="0"/>
          <w:szCs w:val="21"/>
          <w:highlight w:val="none"/>
        </w:rPr>
      </w:pPr>
    </w:p>
    <w:p w14:paraId="3C6A7198">
      <w:pPr>
        <w:spacing w:line="560" w:lineRule="exact"/>
        <w:jc w:val="center"/>
        <w:outlineLvl w:val="3"/>
        <w:rPr>
          <w:rFonts w:ascii="宋体" w:hAnsi="宋体"/>
          <w:b/>
          <w:snapToGrid w:val="0"/>
          <w:kern w:val="0"/>
          <w:sz w:val="32"/>
          <w:szCs w:val="32"/>
          <w:highlight w:val="none"/>
        </w:rPr>
      </w:pPr>
      <w:bookmarkStart w:id="5" w:name="_Toc18627"/>
      <w:bookmarkStart w:id="6" w:name="_Toc509669688"/>
      <w:r>
        <w:rPr>
          <w:rFonts w:hint="eastAsia" w:ascii="宋体" w:hAnsi="宋体"/>
          <w:b/>
          <w:snapToGrid w:val="0"/>
          <w:kern w:val="0"/>
          <w:sz w:val="32"/>
          <w:szCs w:val="32"/>
          <w:highlight w:val="none"/>
          <w:lang w:val="en-US" w:eastAsia="zh-CN"/>
        </w:rPr>
        <w:t>二</w:t>
      </w:r>
      <w:r>
        <w:rPr>
          <w:rFonts w:hint="eastAsia" w:ascii="宋体" w:hAnsi="宋体"/>
          <w:b/>
          <w:snapToGrid w:val="0"/>
          <w:kern w:val="0"/>
          <w:sz w:val="32"/>
          <w:szCs w:val="32"/>
          <w:highlight w:val="none"/>
        </w:rPr>
        <w:t>、投标文件的递交</w:t>
      </w:r>
      <w:bookmarkEnd w:id="5"/>
      <w:bookmarkEnd w:id="6"/>
    </w:p>
    <w:p w14:paraId="167E740E">
      <w:pPr>
        <w:spacing w:line="560" w:lineRule="exact"/>
        <w:ind w:firstLine="560" w:firstLineChars="200"/>
        <w:jc w:val="left"/>
        <w:rPr>
          <w:rFonts w:hint="default" w:ascii="宋体" w:hAnsi="宋体" w:eastAsia="宋体"/>
          <w:snapToGrid w:val="0"/>
          <w:kern w:val="0"/>
          <w:sz w:val="28"/>
          <w:szCs w:val="28"/>
          <w:highlight w:val="none"/>
          <w:lang w:val="en-US" w:eastAsia="zh-CN"/>
        </w:rPr>
      </w:pPr>
      <w:r>
        <w:rPr>
          <w:rFonts w:hint="eastAsia" w:ascii="宋体" w:hAnsi="宋体"/>
          <w:b/>
          <w:snapToGrid w:val="0"/>
          <w:kern w:val="0"/>
          <w:sz w:val="28"/>
          <w:szCs w:val="28"/>
          <w:highlight w:val="none"/>
          <w:lang w:val="en-US" w:eastAsia="zh-CN"/>
        </w:rPr>
        <w:t>5</w:t>
      </w:r>
      <w:r>
        <w:rPr>
          <w:rFonts w:hint="eastAsia" w:ascii="宋体" w:hAnsi="宋体"/>
          <w:b/>
          <w:snapToGrid w:val="0"/>
          <w:kern w:val="0"/>
          <w:sz w:val="28"/>
          <w:szCs w:val="28"/>
          <w:highlight w:val="none"/>
        </w:rPr>
        <w:t>.投标文件</w:t>
      </w:r>
      <w:r>
        <w:rPr>
          <w:rFonts w:hint="eastAsia" w:ascii="宋体" w:hAnsi="宋体"/>
          <w:b/>
          <w:snapToGrid w:val="0"/>
          <w:kern w:val="0"/>
          <w:sz w:val="28"/>
          <w:szCs w:val="28"/>
          <w:highlight w:val="none"/>
          <w:lang w:val="en-US" w:eastAsia="zh-CN"/>
        </w:rPr>
        <w:t>要求</w:t>
      </w:r>
    </w:p>
    <w:p w14:paraId="12D70BFA">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5</w:t>
      </w:r>
      <w:r>
        <w:rPr>
          <w:rFonts w:hint="eastAsia" w:ascii="宋体" w:hAnsi="宋体"/>
          <w:snapToGrid w:val="0"/>
          <w:kern w:val="0"/>
          <w:sz w:val="28"/>
          <w:szCs w:val="28"/>
          <w:highlight w:val="none"/>
        </w:rPr>
        <w:t>.</w:t>
      </w:r>
      <w:r>
        <w:rPr>
          <w:rFonts w:hint="eastAsia" w:ascii="宋体" w:hAnsi="宋体"/>
          <w:snapToGrid w:val="0"/>
          <w:kern w:val="0"/>
          <w:sz w:val="28"/>
          <w:szCs w:val="28"/>
          <w:highlight w:val="none"/>
          <w:lang w:val="en-US" w:eastAsia="zh-CN"/>
        </w:rPr>
        <w:t>1</w:t>
      </w:r>
      <w:r>
        <w:rPr>
          <w:rFonts w:hint="eastAsia" w:ascii="宋体" w:hAnsi="宋体"/>
          <w:snapToGrid w:val="0"/>
          <w:kern w:val="0"/>
          <w:sz w:val="28"/>
          <w:szCs w:val="28"/>
          <w:highlight w:val="none"/>
        </w:rPr>
        <w:t>投标文件的密封和标记</w:t>
      </w:r>
    </w:p>
    <w:p w14:paraId="6AF62EBD">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5</w:t>
      </w:r>
      <w:r>
        <w:rPr>
          <w:rFonts w:hint="eastAsia" w:ascii="宋体" w:hAnsi="宋体"/>
          <w:snapToGrid w:val="0"/>
          <w:kern w:val="0"/>
          <w:sz w:val="28"/>
          <w:szCs w:val="28"/>
          <w:highlight w:val="none"/>
        </w:rPr>
        <w:t>.</w:t>
      </w:r>
      <w:r>
        <w:rPr>
          <w:rFonts w:hint="eastAsia" w:ascii="宋体" w:hAnsi="宋体"/>
          <w:snapToGrid w:val="0"/>
          <w:kern w:val="0"/>
          <w:sz w:val="28"/>
          <w:szCs w:val="28"/>
          <w:highlight w:val="none"/>
          <w:lang w:val="en-US" w:eastAsia="zh-CN"/>
        </w:rPr>
        <w:t>1</w:t>
      </w:r>
      <w:r>
        <w:rPr>
          <w:rFonts w:hint="eastAsia" w:ascii="宋体" w:hAnsi="宋体"/>
          <w:snapToGrid w:val="0"/>
          <w:kern w:val="0"/>
          <w:sz w:val="28"/>
          <w:szCs w:val="28"/>
          <w:highlight w:val="none"/>
        </w:rPr>
        <w:t>.1投标文件1正4副，1个密封袋密封。将密封包装好的投标文件密封袋上注明工程名称、招标人、投标人名称、时间等，并在密封袋的封口处和标签上应加盖投标人公章，同时1正4副投标文件封面加盖公章及骑缝章。</w:t>
      </w:r>
    </w:p>
    <w:p w14:paraId="36AFD8D5">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5</w:t>
      </w:r>
      <w:r>
        <w:rPr>
          <w:rFonts w:hint="eastAsia" w:ascii="宋体" w:hAnsi="宋体"/>
          <w:snapToGrid w:val="0"/>
          <w:kern w:val="0"/>
          <w:sz w:val="28"/>
          <w:szCs w:val="28"/>
          <w:highlight w:val="none"/>
        </w:rPr>
        <w:t>.</w:t>
      </w:r>
      <w:r>
        <w:rPr>
          <w:rFonts w:hint="eastAsia" w:ascii="宋体" w:hAnsi="宋体"/>
          <w:snapToGrid w:val="0"/>
          <w:kern w:val="0"/>
          <w:sz w:val="28"/>
          <w:szCs w:val="28"/>
          <w:highlight w:val="none"/>
          <w:lang w:val="en-US" w:eastAsia="zh-CN"/>
        </w:rPr>
        <w:t>1</w:t>
      </w:r>
      <w:r>
        <w:rPr>
          <w:rFonts w:hint="eastAsia" w:ascii="宋体" w:hAnsi="宋体"/>
          <w:snapToGrid w:val="0"/>
          <w:kern w:val="0"/>
          <w:sz w:val="28"/>
          <w:szCs w:val="28"/>
          <w:highlight w:val="none"/>
        </w:rPr>
        <w:t>.2投标文件若未按规定进行密封及标志，招标人不承担投标文件错放或提前开封的责任。</w:t>
      </w:r>
    </w:p>
    <w:p w14:paraId="59AE19B3">
      <w:pPr>
        <w:spacing w:line="560" w:lineRule="exact"/>
        <w:ind w:firstLine="560" w:firstLineChars="200"/>
        <w:jc w:val="left"/>
        <w:rPr>
          <w:rFonts w:ascii="宋体" w:hAnsi="宋体"/>
          <w:b/>
          <w:bCs/>
          <w:snapToGrid w:val="0"/>
          <w:kern w:val="0"/>
          <w:sz w:val="28"/>
          <w:szCs w:val="28"/>
          <w:highlight w:val="none"/>
        </w:rPr>
      </w:pPr>
      <w:r>
        <w:rPr>
          <w:rFonts w:hint="eastAsia" w:ascii="宋体" w:hAnsi="宋体"/>
          <w:snapToGrid w:val="0"/>
          <w:kern w:val="0"/>
          <w:sz w:val="28"/>
          <w:szCs w:val="28"/>
          <w:highlight w:val="none"/>
          <w:lang w:val="en-US" w:eastAsia="zh-CN"/>
        </w:rPr>
        <w:t>5</w:t>
      </w:r>
      <w:r>
        <w:rPr>
          <w:rFonts w:hint="eastAsia" w:ascii="宋体" w:hAnsi="宋体"/>
          <w:snapToGrid w:val="0"/>
          <w:kern w:val="0"/>
          <w:sz w:val="28"/>
          <w:szCs w:val="28"/>
          <w:highlight w:val="none"/>
        </w:rPr>
        <w:t>.</w:t>
      </w:r>
      <w:r>
        <w:rPr>
          <w:rFonts w:hint="eastAsia" w:ascii="宋体" w:hAnsi="宋体"/>
          <w:snapToGrid w:val="0"/>
          <w:kern w:val="0"/>
          <w:sz w:val="28"/>
          <w:szCs w:val="28"/>
          <w:highlight w:val="none"/>
          <w:lang w:val="en-US" w:eastAsia="zh-CN"/>
        </w:rPr>
        <w:t>2</w:t>
      </w:r>
      <w:r>
        <w:rPr>
          <w:rFonts w:hint="eastAsia" w:ascii="宋体" w:hAnsi="宋体"/>
          <w:b/>
          <w:bCs/>
          <w:snapToGrid w:val="0"/>
          <w:kern w:val="0"/>
          <w:sz w:val="28"/>
          <w:szCs w:val="28"/>
          <w:highlight w:val="none"/>
        </w:rPr>
        <w:t>一次公告后，递交资审文件或资格审查合格投标人少于3家的，重新发布公开招标（自主）公告（原则不少于一次公告发布时间的50%）。二次公告后，递交资审文件或资格审查合格投标人数量不足3家的，将按定标规则横向对比后选取1家；递交资审文件或资格审查合格投标人数量不足2家的，将进入直接委托程序。</w:t>
      </w:r>
    </w:p>
    <w:p w14:paraId="5969BF7A">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5</w:t>
      </w:r>
      <w:r>
        <w:rPr>
          <w:rFonts w:hint="eastAsia" w:ascii="宋体" w:hAnsi="宋体"/>
          <w:snapToGrid w:val="0"/>
          <w:kern w:val="0"/>
          <w:sz w:val="28"/>
          <w:szCs w:val="28"/>
          <w:highlight w:val="none"/>
        </w:rPr>
        <w:t>.4迟交的投标文件</w:t>
      </w:r>
    </w:p>
    <w:p w14:paraId="47F631CF">
      <w:pPr>
        <w:spacing w:line="560" w:lineRule="exact"/>
        <w:ind w:firstLine="560" w:firstLineChars="200"/>
        <w:jc w:val="left"/>
        <w:rPr>
          <w:rFonts w:hint="eastAsia" w:ascii="宋体" w:hAnsi="宋体"/>
          <w:snapToGrid w:val="0"/>
          <w:kern w:val="0"/>
          <w:sz w:val="28"/>
          <w:szCs w:val="28"/>
          <w:highlight w:val="none"/>
        </w:rPr>
      </w:pPr>
      <w:r>
        <w:rPr>
          <w:rFonts w:hint="eastAsia" w:ascii="宋体" w:hAnsi="宋体"/>
          <w:snapToGrid w:val="0"/>
          <w:kern w:val="0"/>
          <w:sz w:val="28"/>
          <w:szCs w:val="28"/>
          <w:highlight w:val="none"/>
        </w:rPr>
        <w:t>招标人在本须知规定的投标截止日期以后收到的投标文件，将被拒绝或原封退回给投标人。</w:t>
      </w:r>
    </w:p>
    <w:p w14:paraId="638A89F0">
      <w:pPr>
        <w:spacing w:line="560" w:lineRule="exact"/>
        <w:ind w:firstLine="560" w:firstLineChars="200"/>
        <w:jc w:val="left"/>
        <w:rPr>
          <w:rFonts w:hint="eastAsia" w:ascii="宋体" w:hAnsi="宋体"/>
          <w:snapToGrid w:val="0"/>
          <w:kern w:val="0"/>
          <w:sz w:val="28"/>
          <w:szCs w:val="28"/>
          <w:highlight w:val="none"/>
        </w:rPr>
      </w:pPr>
    </w:p>
    <w:p w14:paraId="79476D7E">
      <w:pPr>
        <w:spacing w:line="560" w:lineRule="exact"/>
        <w:jc w:val="center"/>
        <w:outlineLvl w:val="3"/>
        <w:rPr>
          <w:rFonts w:ascii="宋体" w:hAnsi="宋体"/>
          <w:b/>
          <w:snapToGrid w:val="0"/>
          <w:kern w:val="0"/>
          <w:sz w:val="32"/>
          <w:szCs w:val="32"/>
          <w:highlight w:val="none"/>
        </w:rPr>
      </w:pPr>
      <w:bookmarkStart w:id="7" w:name="_Toc512"/>
      <w:bookmarkStart w:id="8" w:name="_Toc509669689"/>
      <w:r>
        <w:rPr>
          <w:rFonts w:hint="eastAsia" w:ascii="宋体" w:hAnsi="宋体"/>
          <w:b/>
          <w:snapToGrid w:val="0"/>
          <w:kern w:val="0"/>
          <w:sz w:val="32"/>
          <w:szCs w:val="32"/>
          <w:highlight w:val="none"/>
          <w:lang w:val="en-US" w:eastAsia="zh-CN"/>
        </w:rPr>
        <w:t>三</w:t>
      </w:r>
      <w:r>
        <w:rPr>
          <w:rFonts w:hint="eastAsia" w:ascii="宋体" w:hAnsi="宋体"/>
          <w:b/>
          <w:snapToGrid w:val="0"/>
          <w:kern w:val="0"/>
          <w:sz w:val="32"/>
          <w:szCs w:val="32"/>
          <w:highlight w:val="none"/>
        </w:rPr>
        <w:t>、开  标</w:t>
      </w:r>
      <w:bookmarkEnd w:id="7"/>
      <w:bookmarkEnd w:id="8"/>
    </w:p>
    <w:p w14:paraId="6C71A4DE">
      <w:pPr>
        <w:spacing w:line="560" w:lineRule="exact"/>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lang w:val="en-US" w:eastAsia="zh-CN"/>
        </w:rPr>
        <w:t>6</w:t>
      </w:r>
      <w:r>
        <w:rPr>
          <w:rFonts w:hint="eastAsia" w:ascii="宋体" w:hAnsi="宋体"/>
          <w:b/>
          <w:snapToGrid w:val="0"/>
          <w:kern w:val="0"/>
          <w:sz w:val="28"/>
          <w:szCs w:val="28"/>
          <w:highlight w:val="none"/>
        </w:rPr>
        <w:t>.开标</w:t>
      </w:r>
    </w:p>
    <w:p w14:paraId="69C9759B">
      <w:pPr>
        <w:pStyle w:val="100"/>
        <w:tabs>
          <w:tab w:val="left" w:pos="14"/>
          <w:tab w:val="left" w:pos="1232"/>
        </w:tabs>
        <w:spacing w:line="560" w:lineRule="exac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6</w:t>
      </w:r>
      <w:r>
        <w:rPr>
          <w:rFonts w:hint="eastAsia" w:ascii="宋体" w:hAnsi="宋体"/>
          <w:snapToGrid w:val="0"/>
          <w:kern w:val="0"/>
          <w:sz w:val="28"/>
          <w:szCs w:val="28"/>
          <w:highlight w:val="none"/>
        </w:rPr>
        <w:t>.1招标人计划</w:t>
      </w:r>
      <w:r>
        <w:rPr>
          <w:rFonts w:hint="eastAsia" w:ascii="宋体" w:hAnsi="宋体" w:eastAsia="宋体"/>
          <w:snapToGrid w:val="0"/>
          <w:kern w:val="0"/>
          <w:sz w:val="28"/>
          <w:szCs w:val="28"/>
          <w:highlight w:val="none"/>
        </w:rPr>
        <w:t>在龙岗</w:t>
      </w:r>
      <w:r>
        <w:rPr>
          <w:rFonts w:ascii="宋体" w:hAnsi="宋体" w:cs="宋体"/>
          <w:kern w:val="0"/>
          <w:sz w:val="28"/>
          <w:szCs w:val="28"/>
          <w:highlight w:val="none"/>
        </w:rPr>
        <w:t>区中心城腾飞路创投大厦</w:t>
      </w:r>
      <w:r>
        <w:rPr>
          <w:rFonts w:hint="eastAsia" w:ascii="宋体" w:hAnsi="宋体"/>
          <w:sz w:val="28"/>
          <w:szCs w:val="28"/>
          <w:highlight w:val="none"/>
        </w:rPr>
        <w:t>深圳市龙岗区城市建设投资集团有限公司会议室</w:t>
      </w:r>
      <w:r>
        <w:rPr>
          <w:rFonts w:hint="eastAsia" w:ascii="宋体" w:hAnsi="宋体"/>
          <w:b/>
          <w:snapToGrid w:val="0"/>
          <w:color w:val="000000"/>
          <w:kern w:val="0"/>
          <w:sz w:val="28"/>
          <w:szCs w:val="28"/>
          <w:highlight w:val="none"/>
        </w:rPr>
        <w:t>开标</w:t>
      </w:r>
      <w:r>
        <w:rPr>
          <w:rFonts w:hint="eastAsia" w:ascii="宋体" w:hAnsi="宋体"/>
          <w:snapToGrid w:val="0"/>
          <w:kern w:val="0"/>
          <w:sz w:val="28"/>
          <w:szCs w:val="28"/>
          <w:highlight w:val="none"/>
        </w:rPr>
        <w:t>，并邀请</w:t>
      </w:r>
      <w:r>
        <w:rPr>
          <w:rFonts w:hint="eastAsia" w:ascii="宋体" w:hAnsi="宋体"/>
          <w:sz w:val="28"/>
          <w:szCs w:val="28"/>
          <w:highlight w:val="none"/>
        </w:rPr>
        <w:t>评标委员会委员和监督小组成员</w:t>
      </w:r>
      <w:r>
        <w:rPr>
          <w:rFonts w:hint="eastAsia" w:ascii="宋体" w:hAnsi="宋体"/>
          <w:snapToGrid w:val="0"/>
          <w:kern w:val="0"/>
          <w:sz w:val="28"/>
          <w:szCs w:val="28"/>
          <w:highlight w:val="none"/>
        </w:rPr>
        <w:t>参加。</w:t>
      </w:r>
    </w:p>
    <w:p w14:paraId="2DD760E8">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6</w:t>
      </w:r>
      <w:r>
        <w:rPr>
          <w:rFonts w:hint="eastAsia" w:ascii="宋体" w:hAnsi="宋体"/>
          <w:snapToGrid w:val="0"/>
          <w:kern w:val="0"/>
          <w:sz w:val="28"/>
          <w:szCs w:val="28"/>
          <w:highlight w:val="none"/>
        </w:rPr>
        <w:t>.2开标会由招标人主持。</w:t>
      </w:r>
    </w:p>
    <w:p w14:paraId="65A45511">
      <w:pPr>
        <w:spacing w:line="560" w:lineRule="exact"/>
        <w:ind w:firstLine="560" w:firstLineChars="200"/>
        <w:jc w:val="left"/>
        <w:rPr>
          <w:rFonts w:hint="eastAsia" w:ascii="宋体" w:hAnsi="宋体"/>
          <w:sz w:val="28"/>
          <w:szCs w:val="28"/>
          <w:highlight w:val="none"/>
        </w:rPr>
      </w:pPr>
      <w:r>
        <w:rPr>
          <w:rFonts w:hint="eastAsia" w:ascii="宋体" w:hAnsi="宋体"/>
          <w:snapToGrid w:val="0"/>
          <w:kern w:val="0"/>
          <w:sz w:val="28"/>
          <w:szCs w:val="28"/>
          <w:highlight w:val="none"/>
          <w:lang w:val="en-US" w:eastAsia="zh-CN"/>
        </w:rPr>
        <w:t>6</w:t>
      </w:r>
      <w:r>
        <w:rPr>
          <w:rFonts w:hint="eastAsia" w:ascii="宋体" w:hAnsi="宋体"/>
          <w:snapToGrid w:val="0"/>
          <w:kern w:val="0"/>
          <w:sz w:val="28"/>
          <w:szCs w:val="28"/>
          <w:highlight w:val="none"/>
        </w:rPr>
        <w:t>.3</w:t>
      </w:r>
      <w:r>
        <w:rPr>
          <w:rFonts w:hint="eastAsia" w:ascii="宋体" w:hAnsi="宋体"/>
          <w:sz w:val="28"/>
          <w:szCs w:val="28"/>
          <w:highlight w:val="none"/>
        </w:rPr>
        <w:t>开标会结束，相关资料送交评标委员会。</w:t>
      </w:r>
    </w:p>
    <w:p w14:paraId="5331A9C8">
      <w:pPr>
        <w:spacing w:line="560" w:lineRule="exact"/>
        <w:ind w:firstLine="420" w:firstLineChars="200"/>
        <w:jc w:val="left"/>
        <w:rPr>
          <w:rFonts w:hint="eastAsia" w:ascii="宋体" w:hAnsi="宋体"/>
          <w:szCs w:val="21"/>
          <w:highlight w:val="none"/>
        </w:rPr>
      </w:pPr>
    </w:p>
    <w:p w14:paraId="2499E6A6">
      <w:pPr>
        <w:spacing w:line="560" w:lineRule="exact"/>
        <w:jc w:val="center"/>
        <w:outlineLvl w:val="3"/>
        <w:rPr>
          <w:rFonts w:ascii="宋体" w:hAnsi="宋体"/>
          <w:b/>
          <w:snapToGrid w:val="0"/>
          <w:kern w:val="0"/>
          <w:sz w:val="32"/>
          <w:szCs w:val="32"/>
          <w:highlight w:val="none"/>
        </w:rPr>
      </w:pPr>
      <w:bookmarkStart w:id="9" w:name="_Toc509669690"/>
      <w:bookmarkStart w:id="10" w:name="_Toc23872"/>
      <w:r>
        <w:rPr>
          <w:rFonts w:hint="eastAsia" w:ascii="宋体" w:hAnsi="宋体"/>
          <w:b/>
          <w:snapToGrid w:val="0"/>
          <w:kern w:val="0"/>
          <w:sz w:val="32"/>
          <w:szCs w:val="32"/>
          <w:highlight w:val="none"/>
          <w:lang w:val="en-US" w:eastAsia="zh-CN"/>
        </w:rPr>
        <w:t>四</w:t>
      </w:r>
      <w:r>
        <w:rPr>
          <w:rFonts w:hint="eastAsia" w:ascii="宋体" w:hAnsi="宋体"/>
          <w:b/>
          <w:snapToGrid w:val="0"/>
          <w:kern w:val="0"/>
          <w:sz w:val="32"/>
          <w:szCs w:val="32"/>
          <w:highlight w:val="none"/>
        </w:rPr>
        <w:t>、资格审查</w:t>
      </w:r>
      <w:bookmarkEnd w:id="9"/>
      <w:bookmarkEnd w:id="10"/>
    </w:p>
    <w:p w14:paraId="3A29D04C">
      <w:pPr>
        <w:spacing w:line="560" w:lineRule="exact"/>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lang w:val="en-US" w:eastAsia="zh-CN"/>
        </w:rPr>
        <w:t>7</w:t>
      </w:r>
      <w:r>
        <w:rPr>
          <w:rFonts w:hint="eastAsia" w:ascii="宋体" w:hAnsi="宋体"/>
          <w:b/>
          <w:snapToGrid w:val="0"/>
          <w:kern w:val="0"/>
          <w:sz w:val="28"/>
          <w:szCs w:val="28"/>
          <w:highlight w:val="none"/>
        </w:rPr>
        <w:t>.资格审查按以下规定进行</w:t>
      </w:r>
    </w:p>
    <w:p w14:paraId="1F312996">
      <w:pPr>
        <w:spacing w:line="560" w:lineRule="exact"/>
        <w:ind w:firstLine="560" w:firstLineChars="200"/>
        <w:jc w:val="left"/>
        <w:rPr>
          <w:rFonts w:ascii="宋体" w:hAnsi="宋体"/>
          <w:snapToGrid w:val="0"/>
          <w:color w:val="000000"/>
          <w:kern w:val="0"/>
          <w:sz w:val="28"/>
          <w:szCs w:val="28"/>
          <w:highlight w:val="none"/>
        </w:rPr>
      </w:pPr>
      <w:r>
        <w:rPr>
          <w:rFonts w:hint="eastAsia" w:ascii="宋体" w:hAnsi="宋体"/>
          <w:snapToGrid w:val="0"/>
          <w:color w:val="000000"/>
          <w:kern w:val="0"/>
          <w:sz w:val="28"/>
          <w:szCs w:val="28"/>
          <w:highlight w:val="none"/>
          <w:lang w:val="en-US" w:eastAsia="zh-CN"/>
        </w:rPr>
        <w:t>7</w:t>
      </w:r>
      <w:r>
        <w:rPr>
          <w:rFonts w:hint="eastAsia" w:ascii="宋体" w:hAnsi="宋体"/>
          <w:snapToGrid w:val="0"/>
          <w:color w:val="000000"/>
          <w:kern w:val="0"/>
          <w:sz w:val="28"/>
          <w:szCs w:val="28"/>
          <w:highlight w:val="none"/>
        </w:rPr>
        <w:t>.1资格审查由评标委员会负责。</w:t>
      </w:r>
    </w:p>
    <w:p w14:paraId="2599F676">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7</w:t>
      </w:r>
      <w:r>
        <w:rPr>
          <w:rFonts w:hint="eastAsia" w:ascii="宋体" w:hAnsi="宋体"/>
          <w:snapToGrid w:val="0"/>
          <w:kern w:val="0"/>
          <w:sz w:val="28"/>
          <w:szCs w:val="28"/>
          <w:highlight w:val="none"/>
        </w:rPr>
        <w:t>.2评标委员严格对照公开招标（自主）要求的投标人资格条件，逐个审查投标人递交的资格审查文件，审核判断投标人是否满足该资格条件。</w:t>
      </w:r>
    </w:p>
    <w:p w14:paraId="4234A59E">
      <w:pPr>
        <w:spacing w:line="560" w:lineRule="exact"/>
        <w:ind w:firstLine="560" w:firstLineChars="200"/>
        <w:jc w:val="left"/>
        <w:rPr>
          <w:rFonts w:hint="eastAsia" w:ascii="宋体" w:hAnsi="宋体"/>
          <w:snapToGrid w:val="0"/>
          <w:kern w:val="0"/>
          <w:sz w:val="28"/>
          <w:szCs w:val="28"/>
          <w:highlight w:val="none"/>
        </w:rPr>
      </w:pPr>
      <w:r>
        <w:rPr>
          <w:rFonts w:hint="eastAsia" w:ascii="宋体" w:hAnsi="宋体"/>
          <w:snapToGrid w:val="0"/>
          <w:kern w:val="0"/>
          <w:sz w:val="28"/>
          <w:szCs w:val="28"/>
          <w:highlight w:val="none"/>
          <w:lang w:val="en-US" w:eastAsia="zh-CN"/>
        </w:rPr>
        <w:t>7</w:t>
      </w:r>
      <w:r>
        <w:rPr>
          <w:rFonts w:hint="eastAsia" w:ascii="宋体" w:hAnsi="宋体"/>
          <w:snapToGrid w:val="0"/>
          <w:kern w:val="0"/>
          <w:sz w:val="28"/>
          <w:szCs w:val="28"/>
          <w:highlight w:val="none"/>
        </w:rPr>
        <w:t>.3全部投标人的资格审查材料审查完毕后，</w:t>
      </w:r>
      <w:r>
        <w:rPr>
          <w:rFonts w:hint="eastAsia" w:ascii="宋体" w:hAnsi="宋体"/>
          <w:b/>
          <w:snapToGrid w:val="0"/>
          <w:color w:val="000000"/>
          <w:kern w:val="0"/>
          <w:sz w:val="28"/>
          <w:szCs w:val="28"/>
          <w:highlight w:val="none"/>
        </w:rPr>
        <w:t>评标委员会出具资格审查报告</w:t>
      </w:r>
      <w:r>
        <w:rPr>
          <w:rFonts w:hint="eastAsia" w:ascii="宋体" w:hAnsi="宋体"/>
          <w:snapToGrid w:val="0"/>
          <w:kern w:val="0"/>
          <w:sz w:val="28"/>
          <w:szCs w:val="28"/>
          <w:highlight w:val="none"/>
        </w:rPr>
        <w:t>。资格审查合格投标人少于3家的，不再进行后续公开招标（自主）投标程序。</w:t>
      </w:r>
      <w:bookmarkStart w:id="11" w:name="_Toc509669691"/>
    </w:p>
    <w:p w14:paraId="053D5D86">
      <w:pPr>
        <w:spacing w:line="560" w:lineRule="exact"/>
        <w:ind w:firstLine="560" w:firstLineChars="200"/>
        <w:jc w:val="left"/>
        <w:rPr>
          <w:rFonts w:hint="eastAsia" w:ascii="宋体" w:hAnsi="宋体"/>
          <w:snapToGrid w:val="0"/>
          <w:kern w:val="0"/>
          <w:sz w:val="28"/>
          <w:szCs w:val="28"/>
          <w:highlight w:val="none"/>
        </w:rPr>
      </w:pPr>
    </w:p>
    <w:p w14:paraId="65041D0D">
      <w:pPr>
        <w:spacing w:line="560" w:lineRule="exact"/>
        <w:jc w:val="center"/>
        <w:outlineLvl w:val="3"/>
        <w:rPr>
          <w:rFonts w:ascii="宋体" w:hAnsi="宋体"/>
          <w:b/>
          <w:snapToGrid w:val="0"/>
          <w:kern w:val="0"/>
          <w:sz w:val="32"/>
          <w:szCs w:val="32"/>
          <w:highlight w:val="none"/>
        </w:rPr>
      </w:pPr>
      <w:bookmarkStart w:id="12" w:name="_Toc31878"/>
      <w:r>
        <w:rPr>
          <w:rFonts w:hint="eastAsia" w:ascii="宋体" w:hAnsi="宋体"/>
          <w:b/>
          <w:snapToGrid w:val="0"/>
          <w:kern w:val="0"/>
          <w:sz w:val="32"/>
          <w:szCs w:val="32"/>
          <w:highlight w:val="none"/>
          <w:lang w:val="en-US" w:eastAsia="zh-CN"/>
        </w:rPr>
        <w:t>五</w:t>
      </w:r>
      <w:r>
        <w:rPr>
          <w:rFonts w:hint="eastAsia" w:ascii="宋体" w:hAnsi="宋体"/>
          <w:b/>
          <w:snapToGrid w:val="0"/>
          <w:kern w:val="0"/>
          <w:sz w:val="32"/>
          <w:szCs w:val="32"/>
          <w:highlight w:val="none"/>
        </w:rPr>
        <w:t>、评标</w:t>
      </w:r>
      <w:bookmarkEnd w:id="11"/>
      <w:bookmarkEnd w:id="12"/>
    </w:p>
    <w:p w14:paraId="38936D90">
      <w:pPr>
        <w:spacing w:line="560" w:lineRule="exact"/>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lang w:val="en-US" w:eastAsia="zh-CN"/>
        </w:rPr>
        <w:t>8</w:t>
      </w:r>
      <w:r>
        <w:rPr>
          <w:rFonts w:hint="eastAsia" w:ascii="宋体" w:hAnsi="宋体"/>
          <w:b/>
          <w:snapToGrid w:val="0"/>
          <w:kern w:val="0"/>
          <w:sz w:val="28"/>
          <w:szCs w:val="28"/>
          <w:highlight w:val="none"/>
        </w:rPr>
        <w:t>.评标委员会和评标</w:t>
      </w:r>
    </w:p>
    <w:p w14:paraId="4A1AAD54">
      <w:pPr>
        <w:spacing w:line="560" w:lineRule="exact"/>
        <w:ind w:firstLine="560" w:firstLineChars="200"/>
        <w:jc w:val="left"/>
        <w:rPr>
          <w:rFonts w:hAnsi="宋体"/>
          <w:sz w:val="28"/>
          <w:szCs w:val="28"/>
          <w:highlight w:val="none"/>
        </w:rPr>
      </w:pPr>
      <w:r>
        <w:rPr>
          <w:rFonts w:hint="eastAsia" w:ascii="宋体" w:hAnsi="宋体"/>
          <w:snapToGrid w:val="0"/>
          <w:kern w:val="0"/>
          <w:sz w:val="28"/>
          <w:szCs w:val="28"/>
          <w:highlight w:val="none"/>
          <w:lang w:val="en-US" w:eastAsia="zh-CN"/>
        </w:rPr>
        <w:t>8</w:t>
      </w:r>
      <w:r>
        <w:rPr>
          <w:rFonts w:hint="eastAsia" w:ascii="宋体" w:hAnsi="宋体"/>
          <w:snapToGrid w:val="0"/>
          <w:kern w:val="0"/>
          <w:sz w:val="28"/>
          <w:szCs w:val="28"/>
          <w:highlight w:val="none"/>
        </w:rPr>
        <w:t>.1评标委员会的组建：招标人依法组建评标委员会，负责该公开招标（自主）项目的评标活动。</w:t>
      </w:r>
    </w:p>
    <w:p w14:paraId="49403400">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8</w:t>
      </w:r>
      <w:r>
        <w:rPr>
          <w:rFonts w:hint="eastAsia" w:ascii="宋体" w:hAnsi="宋体"/>
          <w:snapToGrid w:val="0"/>
          <w:kern w:val="0"/>
          <w:sz w:val="28"/>
          <w:szCs w:val="28"/>
          <w:highlight w:val="none"/>
        </w:rPr>
        <w:t>.2评标委员会的职责：评标委员会应根据公开招标（自主）文件规定的评标方法和标准，对投标文件进行系统地评审。评标委员会根据公开招标（自主）文件的规定直接确定中标人。</w:t>
      </w:r>
    </w:p>
    <w:p w14:paraId="10172B5D">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8</w:t>
      </w:r>
      <w:r>
        <w:rPr>
          <w:rFonts w:hint="eastAsia" w:ascii="宋体" w:hAnsi="宋体"/>
          <w:snapToGrid w:val="0"/>
          <w:kern w:val="0"/>
          <w:sz w:val="28"/>
          <w:szCs w:val="28"/>
          <w:highlight w:val="none"/>
        </w:rPr>
        <w:t>.3评标委员会的原则：</w:t>
      </w:r>
      <w:r>
        <w:rPr>
          <w:rFonts w:ascii="宋体" w:hAnsi="宋体"/>
          <w:snapToGrid w:val="0"/>
          <w:kern w:val="0"/>
          <w:sz w:val="28"/>
          <w:szCs w:val="28"/>
          <w:highlight w:val="none"/>
        </w:rPr>
        <w:t>评标活动</w:t>
      </w:r>
      <w:r>
        <w:rPr>
          <w:rFonts w:hint="eastAsia" w:ascii="宋体" w:hAnsi="宋体"/>
          <w:snapToGrid w:val="0"/>
          <w:kern w:val="0"/>
          <w:sz w:val="28"/>
          <w:szCs w:val="28"/>
          <w:highlight w:val="none"/>
        </w:rPr>
        <w:t>应</w:t>
      </w:r>
      <w:r>
        <w:rPr>
          <w:rFonts w:ascii="宋体" w:hAnsi="宋体"/>
          <w:snapToGrid w:val="0"/>
          <w:kern w:val="0"/>
          <w:sz w:val="28"/>
          <w:szCs w:val="28"/>
          <w:highlight w:val="none"/>
        </w:rPr>
        <w:t>遵循公开、公正、公平、科学、择优的原则。</w:t>
      </w:r>
      <w:r>
        <w:rPr>
          <w:rFonts w:hint="eastAsia" w:ascii="宋体" w:hAnsi="宋体"/>
          <w:snapToGrid w:val="0"/>
          <w:kern w:val="0"/>
          <w:sz w:val="28"/>
          <w:szCs w:val="28"/>
          <w:highlight w:val="none"/>
        </w:rPr>
        <w:t>评标委员会的评审应实行少数服从多数的原则，经评标委员会成员实名表决半数以上通过的评标结果有效。</w:t>
      </w:r>
    </w:p>
    <w:p w14:paraId="24B01E06">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8</w:t>
      </w:r>
      <w:r>
        <w:rPr>
          <w:rFonts w:hint="eastAsia" w:ascii="宋体" w:hAnsi="宋体"/>
          <w:snapToGrid w:val="0"/>
          <w:kern w:val="0"/>
          <w:sz w:val="28"/>
          <w:szCs w:val="28"/>
          <w:highlight w:val="none"/>
        </w:rPr>
        <w:t>.4招标人应向评标委员会提供以下资料，供评标使用：</w:t>
      </w:r>
    </w:p>
    <w:p w14:paraId="5D0E765C">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rPr>
        <w:t>(1)公开招标（自主）文件，包括公开招标（自主）文件的补充、修改或澄清文件；</w:t>
      </w:r>
    </w:p>
    <w:p w14:paraId="0DB2A6BC">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rPr>
        <w:t>(2)其他评标必需的资料。</w:t>
      </w:r>
    </w:p>
    <w:p w14:paraId="120A6407">
      <w:pPr>
        <w:spacing w:line="560" w:lineRule="exact"/>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lang w:val="en-US" w:eastAsia="zh-CN"/>
        </w:rPr>
        <w:t>9</w:t>
      </w:r>
      <w:r>
        <w:rPr>
          <w:rFonts w:hint="eastAsia" w:ascii="宋体" w:hAnsi="宋体"/>
          <w:b/>
          <w:snapToGrid w:val="0"/>
          <w:kern w:val="0"/>
          <w:sz w:val="28"/>
          <w:szCs w:val="28"/>
          <w:highlight w:val="none"/>
        </w:rPr>
        <w:t>.投标文件的澄清和对答辩人的要求（此次不要求）</w:t>
      </w:r>
    </w:p>
    <w:p w14:paraId="568A9A1C">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9</w:t>
      </w:r>
      <w:r>
        <w:rPr>
          <w:rFonts w:hint="eastAsia" w:ascii="宋体" w:hAnsi="宋体"/>
          <w:snapToGrid w:val="0"/>
          <w:kern w:val="0"/>
          <w:sz w:val="28"/>
          <w:szCs w:val="28"/>
          <w:highlight w:val="none"/>
        </w:rPr>
        <w:t>.1可以要求投标人对投标文件含义不明确的内容作必要的澄清、说明。澄清、说明应以书面方式进行并不得超出投标文件的范围或改变投标文件的实质性内容。</w:t>
      </w:r>
    </w:p>
    <w:p w14:paraId="043A3C6E">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9</w:t>
      </w:r>
      <w:r>
        <w:rPr>
          <w:rFonts w:hint="eastAsia" w:ascii="宋体" w:hAnsi="宋体"/>
          <w:snapToGrid w:val="0"/>
          <w:kern w:val="0"/>
          <w:sz w:val="28"/>
          <w:szCs w:val="28"/>
          <w:highlight w:val="none"/>
        </w:rPr>
        <w:t>.2</w:t>
      </w:r>
      <w:r>
        <w:rPr>
          <w:rFonts w:ascii="宋体" w:hAnsi="宋体"/>
          <w:snapToGrid w:val="0"/>
          <w:kern w:val="0"/>
          <w:sz w:val="28"/>
          <w:szCs w:val="28"/>
          <w:highlight w:val="none"/>
        </w:rPr>
        <w:t>投标</w:t>
      </w:r>
      <w:r>
        <w:rPr>
          <w:rFonts w:hint="eastAsia" w:ascii="宋体" w:hAnsi="宋体"/>
          <w:snapToGrid w:val="0"/>
          <w:kern w:val="0"/>
          <w:sz w:val="28"/>
          <w:szCs w:val="28"/>
          <w:highlight w:val="none"/>
        </w:rPr>
        <w:t>人委派</w:t>
      </w:r>
      <w:r>
        <w:rPr>
          <w:rFonts w:ascii="宋体" w:hAnsi="宋体"/>
          <w:snapToGrid w:val="0"/>
          <w:kern w:val="0"/>
          <w:sz w:val="28"/>
          <w:szCs w:val="28"/>
          <w:highlight w:val="none"/>
        </w:rPr>
        <w:t>的答辩人</w:t>
      </w:r>
      <w:r>
        <w:rPr>
          <w:rFonts w:hint="eastAsia" w:ascii="宋体" w:hAnsi="宋体"/>
          <w:snapToGrid w:val="0"/>
          <w:kern w:val="0"/>
          <w:sz w:val="28"/>
          <w:szCs w:val="28"/>
          <w:highlight w:val="none"/>
        </w:rPr>
        <w:t>应符合以</w:t>
      </w:r>
      <w:r>
        <w:rPr>
          <w:rFonts w:ascii="宋体" w:hAnsi="宋体"/>
          <w:snapToGrid w:val="0"/>
          <w:kern w:val="0"/>
          <w:sz w:val="28"/>
          <w:szCs w:val="28"/>
          <w:highlight w:val="none"/>
        </w:rPr>
        <w:t>下</w:t>
      </w:r>
      <w:r>
        <w:rPr>
          <w:rFonts w:hint="eastAsia" w:ascii="宋体" w:hAnsi="宋体"/>
          <w:snapToGrid w:val="0"/>
          <w:kern w:val="0"/>
          <w:sz w:val="28"/>
          <w:szCs w:val="28"/>
          <w:highlight w:val="none"/>
        </w:rPr>
        <w:t>条件</w:t>
      </w:r>
      <w:r>
        <w:rPr>
          <w:rFonts w:ascii="宋体" w:hAnsi="宋体"/>
          <w:snapToGrid w:val="0"/>
          <w:kern w:val="0"/>
          <w:sz w:val="28"/>
          <w:szCs w:val="28"/>
          <w:highlight w:val="none"/>
        </w:rPr>
        <w:t>：</w:t>
      </w:r>
    </w:p>
    <w:p w14:paraId="0B133EC9">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9</w:t>
      </w:r>
      <w:r>
        <w:rPr>
          <w:rFonts w:hint="eastAsia" w:ascii="宋体" w:hAnsi="宋体"/>
          <w:snapToGrid w:val="0"/>
          <w:kern w:val="0"/>
          <w:sz w:val="28"/>
          <w:szCs w:val="28"/>
          <w:highlight w:val="none"/>
        </w:rPr>
        <w:t>.2.1拟进行投标</w:t>
      </w:r>
      <w:r>
        <w:rPr>
          <w:rFonts w:ascii="宋体" w:hAnsi="宋体"/>
          <w:snapToGrid w:val="0"/>
          <w:kern w:val="0"/>
          <w:sz w:val="28"/>
          <w:szCs w:val="28"/>
          <w:highlight w:val="none"/>
        </w:rPr>
        <w:t>答辩</w:t>
      </w:r>
      <w:r>
        <w:rPr>
          <w:rFonts w:hint="eastAsia" w:ascii="宋体" w:hAnsi="宋体"/>
          <w:snapToGrid w:val="0"/>
          <w:kern w:val="0"/>
          <w:sz w:val="28"/>
          <w:szCs w:val="28"/>
          <w:highlight w:val="none"/>
        </w:rPr>
        <w:t>的，答辩人必须是投标人拟派往本公开招标（自主）项目的项目负责人、其法定代表人或者法定代表人委托代理人。</w:t>
      </w:r>
    </w:p>
    <w:p w14:paraId="133CC717">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9</w:t>
      </w:r>
      <w:r>
        <w:rPr>
          <w:rFonts w:hint="eastAsia" w:ascii="宋体" w:hAnsi="宋体"/>
          <w:snapToGrid w:val="0"/>
          <w:kern w:val="0"/>
          <w:sz w:val="28"/>
          <w:szCs w:val="28"/>
          <w:highlight w:val="none"/>
        </w:rPr>
        <w:t>.3要求投标人进行答辩，但投标人在规定时间内未派出答辩人的，将根据公开招标（自主）文件规定作出不利于投标人的判定，且投标人不得因此提出任何异议。</w:t>
      </w:r>
    </w:p>
    <w:p w14:paraId="210DD6BE">
      <w:pPr>
        <w:spacing w:line="560" w:lineRule="exact"/>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rPr>
        <w:t>1</w:t>
      </w:r>
      <w:r>
        <w:rPr>
          <w:rFonts w:hint="eastAsia" w:ascii="宋体" w:hAnsi="宋体"/>
          <w:b/>
          <w:snapToGrid w:val="0"/>
          <w:kern w:val="0"/>
          <w:sz w:val="28"/>
          <w:szCs w:val="28"/>
          <w:highlight w:val="none"/>
          <w:lang w:val="en-US" w:eastAsia="zh-CN"/>
        </w:rPr>
        <w:t>0</w:t>
      </w:r>
      <w:r>
        <w:rPr>
          <w:rFonts w:hint="eastAsia" w:ascii="宋体" w:hAnsi="宋体"/>
          <w:b/>
          <w:snapToGrid w:val="0"/>
          <w:kern w:val="0"/>
          <w:sz w:val="28"/>
          <w:szCs w:val="28"/>
          <w:highlight w:val="none"/>
        </w:rPr>
        <w:t>.评标方法</w:t>
      </w:r>
    </w:p>
    <w:p w14:paraId="5635B9B6">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rPr>
        <w:t>评标委员会对进入评标环节的全部投标文件进行评审，给出评审意见，评委采用投票方式推荐综合评价最优的1名投标单位为中标候选人。</w:t>
      </w:r>
    </w:p>
    <w:p w14:paraId="51BA0171">
      <w:pPr>
        <w:spacing w:line="560" w:lineRule="exact"/>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rPr>
        <w:t>1</w:t>
      </w:r>
      <w:r>
        <w:rPr>
          <w:rFonts w:hint="eastAsia" w:ascii="宋体" w:hAnsi="宋体"/>
          <w:b/>
          <w:snapToGrid w:val="0"/>
          <w:kern w:val="0"/>
          <w:sz w:val="28"/>
          <w:szCs w:val="28"/>
          <w:highlight w:val="none"/>
          <w:lang w:val="en-US" w:eastAsia="zh-CN"/>
        </w:rPr>
        <w:t>1</w:t>
      </w:r>
      <w:r>
        <w:rPr>
          <w:rFonts w:hint="eastAsia" w:ascii="宋体" w:hAnsi="宋体"/>
          <w:b/>
          <w:snapToGrid w:val="0"/>
          <w:kern w:val="0"/>
          <w:sz w:val="28"/>
          <w:szCs w:val="28"/>
          <w:highlight w:val="none"/>
        </w:rPr>
        <w:t>．投标人的推荐</w:t>
      </w:r>
    </w:p>
    <w:p w14:paraId="0BD87112">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rPr>
        <w:t>1</w:t>
      </w:r>
      <w:r>
        <w:rPr>
          <w:rFonts w:hint="eastAsia" w:ascii="宋体" w:hAnsi="宋体"/>
          <w:snapToGrid w:val="0"/>
          <w:kern w:val="0"/>
          <w:sz w:val="28"/>
          <w:szCs w:val="28"/>
          <w:highlight w:val="none"/>
          <w:lang w:val="en-US" w:eastAsia="zh-CN"/>
        </w:rPr>
        <w:t>1</w:t>
      </w:r>
      <w:r>
        <w:rPr>
          <w:rFonts w:hint="eastAsia" w:ascii="宋体" w:hAnsi="宋体"/>
          <w:snapToGrid w:val="0"/>
          <w:kern w:val="0"/>
          <w:sz w:val="28"/>
          <w:szCs w:val="28"/>
          <w:highlight w:val="none"/>
        </w:rPr>
        <w:t>.1评标委员会完成评标后，应向招标人提出书面评标报告。评标报告由评标委员会全体成员签字。按为“优”项数多少选取排名第一(且得票超过半数以上)的投标人作为中标候选人.如得优数量一致不能满足要求，则根据评审人对本项目的理解，再次投票确定中标候选人。</w:t>
      </w:r>
    </w:p>
    <w:p w14:paraId="07CA5AB3">
      <w:pPr>
        <w:spacing w:line="560" w:lineRule="exact"/>
        <w:ind w:firstLine="560" w:firstLineChars="200"/>
        <w:jc w:val="left"/>
        <w:rPr>
          <w:rFonts w:hint="eastAsia" w:ascii="宋体" w:hAnsi="宋体"/>
          <w:snapToGrid w:val="0"/>
          <w:kern w:val="0"/>
          <w:sz w:val="28"/>
          <w:szCs w:val="28"/>
          <w:highlight w:val="none"/>
        </w:rPr>
      </w:pPr>
      <w:r>
        <w:rPr>
          <w:rFonts w:hint="eastAsia" w:ascii="宋体" w:hAnsi="宋体"/>
          <w:snapToGrid w:val="0"/>
          <w:kern w:val="0"/>
          <w:sz w:val="28"/>
          <w:szCs w:val="28"/>
          <w:highlight w:val="none"/>
        </w:rPr>
        <w:t>1</w:t>
      </w:r>
      <w:r>
        <w:rPr>
          <w:rFonts w:hint="eastAsia" w:ascii="宋体" w:hAnsi="宋体"/>
          <w:snapToGrid w:val="0"/>
          <w:kern w:val="0"/>
          <w:sz w:val="28"/>
          <w:szCs w:val="28"/>
          <w:highlight w:val="none"/>
          <w:lang w:val="en-US" w:eastAsia="zh-CN"/>
        </w:rPr>
        <w:t>1</w:t>
      </w:r>
      <w:r>
        <w:rPr>
          <w:rFonts w:hint="eastAsia" w:ascii="宋体" w:hAnsi="宋体"/>
          <w:snapToGrid w:val="0"/>
          <w:kern w:val="0"/>
          <w:sz w:val="28"/>
          <w:szCs w:val="28"/>
          <w:highlight w:val="none"/>
        </w:rPr>
        <w:t>.2本次公开招标（自主）如果评标委员会已推荐投标人，无论随后出现何种情形，招标人在本次公开招标（自主）中不再接受另外的投标人，除非重新组织公开招标（自主）投标。</w:t>
      </w:r>
      <w:bookmarkStart w:id="13" w:name="_Toc509669692"/>
    </w:p>
    <w:p w14:paraId="41A1FE62">
      <w:pPr>
        <w:spacing w:line="560" w:lineRule="exact"/>
        <w:ind w:firstLine="560" w:firstLineChars="200"/>
        <w:jc w:val="left"/>
        <w:rPr>
          <w:rFonts w:hint="eastAsia" w:ascii="宋体" w:hAnsi="宋体"/>
          <w:snapToGrid w:val="0"/>
          <w:kern w:val="0"/>
          <w:sz w:val="28"/>
          <w:szCs w:val="28"/>
          <w:highlight w:val="none"/>
        </w:rPr>
      </w:pPr>
    </w:p>
    <w:p w14:paraId="59A311A5">
      <w:pPr>
        <w:spacing w:line="560" w:lineRule="exact"/>
        <w:jc w:val="center"/>
        <w:outlineLvl w:val="3"/>
        <w:rPr>
          <w:rFonts w:ascii="宋体" w:hAnsi="宋体"/>
          <w:b/>
          <w:snapToGrid w:val="0"/>
          <w:kern w:val="0"/>
          <w:sz w:val="32"/>
          <w:szCs w:val="32"/>
          <w:highlight w:val="none"/>
        </w:rPr>
      </w:pPr>
      <w:bookmarkStart w:id="14" w:name="_Toc31188"/>
      <w:r>
        <w:rPr>
          <w:rFonts w:hint="eastAsia" w:ascii="宋体" w:hAnsi="宋体"/>
          <w:b/>
          <w:snapToGrid w:val="0"/>
          <w:kern w:val="0"/>
          <w:sz w:val="32"/>
          <w:szCs w:val="32"/>
          <w:highlight w:val="none"/>
          <w:lang w:val="en-US" w:eastAsia="zh-CN"/>
        </w:rPr>
        <w:t>六</w:t>
      </w:r>
      <w:r>
        <w:rPr>
          <w:rFonts w:hint="eastAsia" w:ascii="宋体" w:hAnsi="宋体"/>
          <w:b/>
          <w:snapToGrid w:val="0"/>
          <w:kern w:val="0"/>
          <w:sz w:val="32"/>
          <w:szCs w:val="32"/>
          <w:highlight w:val="none"/>
        </w:rPr>
        <w:t>、签订合同</w:t>
      </w:r>
      <w:bookmarkEnd w:id="13"/>
      <w:bookmarkEnd w:id="14"/>
    </w:p>
    <w:p w14:paraId="6AC4FA6D">
      <w:pPr>
        <w:spacing w:line="560" w:lineRule="exact"/>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rPr>
        <w:t>1</w:t>
      </w:r>
      <w:r>
        <w:rPr>
          <w:rFonts w:hint="eastAsia" w:ascii="宋体" w:hAnsi="宋体"/>
          <w:b/>
          <w:snapToGrid w:val="0"/>
          <w:kern w:val="0"/>
          <w:sz w:val="28"/>
          <w:szCs w:val="28"/>
          <w:highlight w:val="none"/>
          <w:lang w:val="en-US" w:eastAsia="zh-CN"/>
        </w:rPr>
        <w:t>2</w:t>
      </w:r>
      <w:r>
        <w:rPr>
          <w:rFonts w:hint="eastAsia" w:ascii="宋体" w:hAnsi="宋体"/>
          <w:b/>
          <w:snapToGrid w:val="0"/>
          <w:kern w:val="0"/>
          <w:sz w:val="28"/>
          <w:szCs w:val="28"/>
          <w:highlight w:val="none"/>
        </w:rPr>
        <w:t>.中标通知</w:t>
      </w:r>
    </w:p>
    <w:p w14:paraId="4F0429B2">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rPr>
        <w:t>招标人应在确定中标人后，发出委托函。委托函是本公开招标（自主）项目合同的组成部分。如接到有关投诉的，招标人将可能暂停发出委托函。</w:t>
      </w:r>
    </w:p>
    <w:p w14:paraId="5D0C2BF6">
      <w:pPr>
        <w:spacing w:line="560" w:lineRule="exact"/>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rPr>
        <w:t>1</w:t>
      </w:r>
      <w:r>
        <w:rPr>
          <w:rFonts w:hint="eastAsia" w:ascii="宋体" w:hAnsi="宋体"/>
          <w:b/>
          <w:snapToGrid w:val="0"/>
          <w:kern w:val="0"/>
          <w:sz w:val="28"/>
          <w:szCs w:val="28"/>
          <w:highlight w:val="none"/>
          <w:lang w:val="en-US" w:eastAsia="zh-CN"/>
        </w:rPr>
        <w:t>3</w:t>
      </w:r>
      <w:r>
        <w:rPr>
          <w:rFonts w:hint="eastAsia" w:ascii="宋体" w:hAnsi="宋体"/>
          <w:b/>
          <w:snapToGrid w:val="0"/>
          <w:kern w:val="0"/>
          <w:sz w:val="28"/>
          <w:szCs w:val="28"/>
          <w:highlight w:val="none"/>
        </w:rPr>
        <w:t>.签订合同</w:t>
      </w:r>
    </w:p>
    <w:p w14:paraId="7C9C17B1">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rPr>
        <w:t>招标人和中标人应当按在委托函</w:t>
      </w:r>
      <w:r>
        <w:rPr>
          <w:rFonts w:hint="eastAsia" w:ascii="宋体" w:hAnsi="宋体"/>
          <w:snapToGrid w:val="0"/>
          <w:color w:val="auto"/>
          <w:kern w:val="0"/>
          <w:sz w:val="28"/>
          <w:szCs w:val="28"/>
          <w:highlight w:val="none"/>
        </w:rPr>
        <w:t>发出30日内</w:t>
      </w:r>
      <w:r>
        <w:rPr>
          <w:rFonts w:hint="eastAsia" w:ascii="宋体" w:hAnsi="宋体"/>
          <w:snapToGrid w:val="0"/>
          <w:kern w:val="0"/>
          <w:sz w:val="28"/>
          <w:szCs w:val="28"/>
          <w:highlight w:val="none"/>
        </w:rPr>
        <w:t>，依据公开招标（自主）文件和中标人的投标文件订立书面合同。</w:t>
      </w:r>
    </w:p>
    <w:p w14:paraId="72D1017F">
      <w:pPr>
        <w:spacing w:line="560" w:lineRule="exact"/>
        <w:ind w:firstLine="420" w:firstLineChars="200"/>
        <w:jc w:val="left"/>
        <w:rPr>
          <w:rFonts w:hint="default" w:ascii="仿宋" w:hAnsi="仿宋" w:eastAsia="仿宋"/>
          <w:sz w:val="30"/>
          <w:szCs w:val="30"/>
          <w:highlight w:val="none"/>
        </w:rPr>
      </w:pPr>
      <w:r>
        <w:rPr>
          <w:rFonts w:hAnsi="宋体"/>
          <w:b/>
          <w:szCs w:val="21"/>
          <w:highlight w:val="none"/>
        </w:rPr>
        <w:br w:type="page"/>
      </w:r>
      <w:r>
        <w:rPr>
          <w:rFonts w:ascii="仿宋" w:hAnsi="仿宋" w:eastAsia="仿宋"/>
          <w:b/>
          <w:sz w:val="30"/>
          <w:szCs w:val="30"/>
          <w:highlight w:val="none"/>
        </w:rPr>
        <w:t>投标文件一览表</w:t>
      </w:r>
    </w:p>
    <w:tbl>
      <w:tblPr>
        <w:tblStyle w:val="55"/>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3234"/>
        <w:gridCol w:w="5095"/>
      </w:tblGrid>
      <w:tr w14:paraId="2EFE2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94" w:hRule="atLeast"/>
        </w:trPr>
        <w:tc>
          <w:tcPr>
            <w:tcW w:w="702" w:type="dxa"/>
            <w:vAlign w:val="center"/>
          </w:tcPr>
          <w:p w14:paraId="4E6BBA95">
            <w:pPr>
              <w:pStyle w:val="100"/>
              <w:spacing w:line="560" w:lineRule="exact"/>
              <w:ind w:firstLine="0" w:firstLineChars="0"/>
              <w:jc w:val="center"/>
              <w:rPr>
                <w:rFonts w:ascii="宋体" w:hAnsi="宋体"/>
                <w:b/>
                <w:bCs/>
                <w:sz w:val="24"/>
                <w:szCs w:val="24"/>
                <w:highlight w:val="none"/>
              </w:rPr>
            </w:pPr>
            <w:r>
              <w:rPr>
                <w:rFonts w:hint="eastAsia" w:ascii="宋体" w:hAnsi="宋体"/>
                <w:b/>
                <w:bCs/>
                <w:sz w:val="24"/>
                <w:szCs w:val="24"/>
                <w:highlight w:val="none"/>
              </w:rPr>
              <w:t>序号</w:t>
            </w:r>
          </w:p>
        </w:tc>
        <w:tc>
          <w:tcPr>
            <w:tcW w:w="3234" w:type="dxa"/>
            <w:vAlign w:val="center"/>
          </w:tcPr>
          <w:p w14:paraId="37463680">
            <w:pPr>
              <w:pStyle w:val="100"/>
              <w:spacing w:line="560" w:lineRule="exact"/>
              <w:ind w:firstLine="0" w:firstLineChars="0"/>
              <w:jc w:val="center"/>
              <w:rPr>
                <w:rFonts w:ascii="宋体" w:hAnsi="宋体"/>
                <w:b/>
                <w:bCs/>
                <w:sz w:val="24"/>
                <w:szCs w:val="24"/>
                <w:highlight w:val="none"/>
              </w:rPr>
            </w:pPr>
            <w:r>
              <w:rPr>
                <w:rFonts w:hint="eastAsia" w:ascii="宋体" w:hAnsi="宋体"/>
                <w:b/>
                <w:bCs/>
                <w:sz w:val="24"/>
                <w:szCs w:val="24"/>
                <w:highlight w:val="none"/>
              </w:rPr>
              <w:t>文件名称</w:t>
            </w:r>
          </w:p>
        </w:tc>
        <w:tc>
          <w:tcPr>
            <w:tcW w:w="5095" w:type="dxa"/>
            <w:vAlign w:val="center"/>
          </w:tcPr>
          <w:p w14:paraId="6C5C88AC">
            <w:pPr>
              <w:pStyle w:val="100"/>
              <w:spacing w:line="560" w:lineRule="exact"/>
              <w:ind w:firstLine="0" w:firstLineChars="0"/>
              <w:jc w:val="center"/>
              <w:rPr>
                <w:rFonts w:ascii="宋体" w:hAnsi="宋体"/>
                <w:b/>
                <w:bCs/>
                <w:sz w:val="24"/>
                <w:szCs w:val="24"/>
                <w:highlight w:val="none"/>
              </w:rPr>
            </w:pPr>
            <w:r>
              <w:rPr>
                <w:rFonts w:hint="eastAsia" w:ascii="宋体" w:hAnsi="宋体"/>
                <w:b/>
                <w:bCs/>
                <w:sz w:val="24"/>
                <w:szCs w:val="24"/>
                <w:highlight w:val="none"/>
              </w:rPr>
              <w:t>要求说明</w:t>
            </w:r>
          </w:p>
        </w:tc>
      </w:tr>
      <w:tr w14:paraId="2D05C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 w:hRule="atLeast"/>
        </w:trPr>
        <w:tc>
          <w:tcPr>
            <w:tcW w:w="702" w:type="dxa"/>
            <w:vAlign w:val="center"/>
          </w:tcPr>
          <w:p w14:paraId="63525E4A">
            <w:pPr>
              <w:pStyle w:val="100"/>
              <w:spacing w:line="560" w:lineRule="exact"/>
              <w:ind w:firstLine="0" w:firstLineChars="0"/>
              <w:jc w:val="center"/>
              <w:rPr>
                <w:rFonts w:ascii="宋体" w:hAnsi="宋体"/>
                <w:sz w:val="24"/>
                <w:szCs w:val="24"/>
                <w:highlight w:val="none"/>
              </w:rPr>
            </w:pPr>
            <w:r>
              <w:rPr>
                <w:rFonts w:hint="eastAsia" w:ascii="宋体" w:hAnsi="宋体"/>
                <w:sz w:val="24"/>
                <w:szCs w:val="24"/>
                <w:highlight w:val="none"/>
              </w:rPr>
              <w:t>1</w:t>
            </w:r>
          </w:p>
        </w:tc>
        <w:tc>
          <w:tcPr>
            <w:tcW w:w="3234" w:type="dxa"/>
            <w:vAlign w:val="center"/>
          </w:tcPr>
          <w:p w14:paraId="4A91ECC9">
            <w:pPr>
              <w:adjustRightInd w:val="0"/>
              <w:snapToGrid w:val="0"/>
              <w:spacing w:line="560" w:lineRule="exact"/>
              <w:jc w:val="left"/>
              <w:rPr>
                <w:rFonts w:ascii="宋体" w:hAnsi="宋体"/>
                <w:sz w:val="24"/>
                <w:szCs w:val="24"/>
                <w:highlight w:val="none"/>
              </w:rPr>
            </w:pPr>
            <w:r>
              <w:rPr>
                <w:rFonts w:hint="eastAsia" w:ascii="宋体" w:hAnsi="宋体"/>
                <w:sz w:val="24"/>
                <w:szCs w:val="24"/>
                <w:highlight w:val="none"/>
              </w:rPr>
              <w:t>基本情况资料</w:t>
            </w:r>
          </w:p>
        </w:tc>
        <w:tc>
          <w:tcPr>
            <w:tcW w:w="5095" w:type="dxa"/>
            <w:vAlign w:val="center"/>
          </w:tcPr>
          <w:p w14:paraId="203403DB">
            <w:pPr>
              <w:pStyle w:val="30"/>
              <w:spacing w:line="560" w:lineRule="exact"/>
              <w:ind w:firstLine="0" w:firstLineChars="0"/>
              <w:rPr>
                <w:highlight w:val="none"/>
              </w:rPr>
            </w:pPr>
            <w:r>
              <w:rPr>
                <w:rFonts w:ascii="宋体" w:hAnsi="宋体" w:eastAsia="宋体" w:cs="Times New Roman"/>
                <w:sz w:val="24"/>
                <w:szCs w:val="24"/>
                <w:highlight w:val="none"/>
              </w:rPr>
              <w:t>提供营业执照复印件、资质证书复印件、法定代表人证明书及身份证复印件、法定代表人授权委托书及身份证复印件（如有）</w:t>
            </w:r>
          </w:p>
        </w:tc>
      </w:tr>
      <w:tr w14:paraId="025F4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02" w:type="dxa"/>
            <w:vAlign w:val="center"/>
          </w:tcPr>
          <w:p w14:paraId="031FB846">
            <w:pPr>
              <w:pStyle w:val="100"/>
              <w:spacing w:line="560" w:lineRule="exact"/>
              <w:ind w:firstLine="0" w:firstLineChars="0"/>
              <w:jc w:val="center"/>
              <w:rPr>
                <w:rFonts w:ascii="宋体" w:hAnsi="宋体"/>
                <w:sz w:val="24"/>
                <w:szCs w:val="24"/>
                <w:highlight w:val="none"/>
              </w:rPr>
            </w:pPr>
            <w:r>
              <w:rPr>
                <w:rFonts w:hint="eastAsia" w:ascii="宋体" w:hAnsi="宋体"/>
                <w:sz w:val="24"/>
                <w:szCs w:val="24"/>
                <w:highlight w:val="none"/>
              </w:rPr>
              <w:t>2</w:t>
            </w:r>
          </w:p>
        </w:tc>
        <w:tc>
          <w:tcPr>
            <w:tcW w:w="3234" w:type="dxa"/>
            <w:vAlign w:val="center"/>
          </w:tcPr>
          <w:p w14:paraId="7FF2963F">
            <w:pPr>
              <w:adjustRightInd w:val="0"/>
              <w:snapToGrid w:val="0"/>
              <w:spacing w:line="560" w:lineRule="exact"/>
              <w:jc w:val="left"/>
              <w:rPr>
                <w:rFonts w:ascii="宋体" w:hAnsi="宋体"/>
                <w:sz w:val="24"/>
                <w:szCs w:val="24"/>
                <w:highlight w:val="none"/>
              </w:rPr>
            </w:pPr>
            <w:r>
              <w:rPr>
                <w:rFonts w:hint="eastAsia" w:ascii="宋体" w:hAnsi="宋体"/>
                <w:sz w:val="24"/>
                <w:szCs w:val="24"/>
                <w:highlight w:val="none"/>
              </w:rPr>
              <w:t>承诺函</w:t>
            </w:r>
          </w:p>
        </w:tc>
        <w:tc>
          <w:tcPr>
            <w:tcW w:w="5095" w:type="dxa"/>
            <w:vAlign w:val="center"/>
          </w:tcPr>
          <w:p w14:paraId="00F3ED6B">
            <w:pPr>
              <w:pStyle w:val="100"/>
              <w:spacing w:line="560" w:lineRule="exact"/>
              <w:ind w:firstLine="0" w:firstLineChars="0"/>
              <w:jc w:val="left"/>
              <w:rPr>
                <w:rFonts w:ascii="宋体" w:hAnsi="宋体"/>
                <w:sz w:val="24"/>
                <w:szCs w:val="24"/>
                <w:highlight w:val="none"/>
              </w:rPr>
            </w:pPr>
            <w:r>
              <w:rPr>
                <w:rFonts w:hint="eastAsia" w:ascii="宋体" w:hAnsi="宋体"/>
                <w:sz w:val="24"/>
                <w:szCs w:val="24"/>
                <w:highlight w:val="none"/>
              </w:rPr>
              <w:t>格式附后</w:t>
            </w:r>
          </w:p>
        </w:tc>
      </w:tr>
      <w:tr w14:paraId="5435E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702" w:type="dxa"/>
            <w:vAlign w:val="center"/>
          </w:tcPr>
          <w:p w14:paraId="0CE54997">
            <w:pPr>
              <w:pStyle w:val="100"/>
              <w:spacing w:line="560" w:lineRule="exact"/>
              <w:ind w:firstLine="0" w:firstLineChars="0"/>
              <w:jc w:val="center"/>
              <w:rPr>
                <w:rFonts w:ascii="宋体" w:hAnsi="宋体"/>
                <w:sz w:val="24"/>
                <w:szCs w:val="24"/>
                <w:highlight w:val="none"/>
              </w:rPr>
            </w:pPr>
            <w:r>
              <w:rPr>
                <w:rFonts w:hint="eastAsia" w:ascii="宋体" w:hAnsi="宋体"/>
                <w:sz w:val="24"/>
                <w:szCs w:val="24"/>
                <w:highlight w:val="none"/>
              </w:rPr>
              <w:t>3</w:t>
            </w:r>
          </w:p>
        </w:tc>
        <w:tc>
          <w:tcPr>
            <w:tcW w:w="3234" w:type="dxa"/>
            <w:vAlign w:val="center"/>
          </w:tcPr>
          <w:p w14:paraId="30B30F29">
            <w:pPr>
              <w:pStyle w:val="100"/>
              <w:spacing w:line="560" w:lineRule="exact"/>
              <w:ind w:firstLine="0" w:firstLineChars="0"/>
              <w:jc w:val="left"/>
              <w:rPr>
                <w:rFonts w:ascii="宋体" w:hAnsi="宋体" w:cs="宋体"/>
                <w:kern w:val="0"/>
                <w:sz w:val="24"/>
                <w:szCs w:val="24"/>
                <w:highlight w:val="none"/>
              </w:rPr>
            </w:pPr>
            <w:r>
              <w:rPr>
                <w:rFonts w:hint="eastAsia" w:ascii="宋体" w:hAnsi="宋体" w:cs="宋体"/>
                <w:kern w:val="0"/>
                <w:sz w:val="24"/>
                <w:szCs w:val="24"/>
                <w:highlight w:val="none"/>
              </w:rPr>
              <w:t>龙岗区进一步规范政商交往行为告知书</w:t>
            </w:r>
          </w:p>
        </w:tc>
        <w:tc>
          <w:tcPr>
            <w:tcW w:w="5095" w:type="dxa"/>
            <w:vAlign w:val="center"/>
          </w:tcPr>
          <w:p w14:paraId="1D4F1795">
            <w:pPr>
              <w:pStyle w:val="100"/>
              <w:spacing w:line="560" w:lineRule="exact"/>
              <w:ind w:firstLine="0" w:firstLineChars="0"/>
              <w:jc w:val="left"/>
              <w:rPr>
                <w:rFonts w:ascii="宋体" w:hAnsi="宋体"/>
                <w:sz w:val="24"/>
                <w:szCs w:val="24"/>
                <w:highlight w:val="none"/>
              </w:rPr>
            </w:pPr>
            <w:r>
              <w:rPr>
                <w:rFonts w:hint="eastAsia" w:ascii="宋体" w:hAnsi="宋体"/>
                <w:sz w:val="24"/>
                <w:szCs w:val="24"/>
                <w:highlight w:val="none"/>
              </w:rPr>
              <w:t>提供法定代表人或者法定代表人授权人签字版</w:t>
            </w:r>
          </w:p>
          <w:p w14:paraId="2F72A160">
            <w:pPr>
              <w:pStyle w:val="100"/>
              <w:spacing w:line="560" w:lineRule="exact"/>
              <w:ind w:firstLine="0" w:firstLineChars="0"/>
              <w:jc w:val="left"/>
              <w:rPr>
                <w:rFonts w:ascii="宋体" w:hAnsi="宋体"/>
                <w:sz w:val="24"/>
                <w:szCs w:val="24"/>
                <w:highlight w:val="none"/>
              </w:rPr>
            </w:pPr>
            <w:r>
              <w:rPr>
                <w:rFonts w:hint="eastAsia" w:ascii="宋体" w:hAnsi="宋体"/>
                <w:sz w:val="24"/>
                <w:szCs w:val="24"/>
                <w:highlight w:val="none"/>
              </w:rPr>
              <w:t>格式见后附件</w:t>
            </w:r>
          </w:p>
        </w:tc>
      </w:tr>
      <w:tr w14:paraId="12545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702" w:type="dxa"/>
            <w:vAlign w:val="center"/>
          </w:tcPr>
          <w:p w14:paraId="4B9B6B74">
            <w:pPr>
              <w:pStyle w:val="100"/>
              <w:spacing w:line="560" w:lineRule="exact"/>
              <w:ind w:firstLine="0" w:firstLineChars="0"/>
              <w:jc w:val="center"/>
              <w:rPr>
                <w:rFonts w:ascii="宋体" w:hAnsi="宋体"/>
                <w:sz w:val="24"/>
                <w:szCs w:val="24"/>
                <w:highlight w:val="none"/>
              </w:rPr>
            </w:pPr>
            <w:r>
              <w:rPr>
                <w:rFonts w:ascii="宋体" w:hAnsi="宋体"/>
                <w:sz w:val="24"/>
                <w:szCs w:val="24"/>
                <w:highlight w:val="none"/>
              </w:rPr>
              <w:t>4</w:t>
            </w:r>
          </w:p>
        </w:tc>
        <w:tc>
          <w:tcPr>
            <w:tcW w:w="3234" w:type="dxa"/>
            <w:vAlign w:val="center"/>
          </w:tcPr>
          <w:p w14:paraId="4856C2FA">
            <w:pPr>
              <w:pStyle w:val="100"/>
              <w:spacing w:line="560" w:lineRule="exact"/>
              <w:ind w:firstLine="0" w:firstLineChars="0"/>
              <w:jc w:val="left"/>
              <w:rPr>
                <w:rFonts w:ascii="宋体" w:hAnsi="宋体" w:cs="宋体"/>
                <w:kern w:val="0"/>
                <w:sz w:val="24"/>
                <w:szCs w:val="24"/>
                <w:highlight w:val="none"/>
              </w:rPr>
            </w:pPr>
            <w:r>
              <w:rPr>
                <w:rFonts w:hint="eastAsia" w:ascii="宋体" w:hAnsi="宋体" w:cs="宋体"/>
                <w:kern w:val="0"/>
                <w:sz w:val="24"/>
                <w:szCs w:val="24"/>
                <w:highlight w:val="none"/>
              </w:rPr>
              <w:t>资信与方案要求</w:t>
            </w:r>
          </w:p>
        </w:tc>
        <w:tc>
          <w:tcPr>
            <w:tcW w:w="5095" w:type="dxa"/>
            <w:vAlign w:val="center"/>
          </w:tcPr>
          <w:p w14:paraId="7CCC0C51">
            <w:pPr>
              <w:pStyle w:val="100"/>
              <w:spacing w:line="560" w:lineRule="exact"/>
              <w:ind w:firstLine="0" w:firstLineChars="0"/>
              <w:jc w:val="left"/>
              <w:rPr>
                <w:rFonts w:ascii="宋体" w:hAnsi="宋体"/>
                <w:sz w:val="24"/>
                <w:szCs w:val="24"/>
                <w:highlight w:val="none"/>
              </w:rPr>
            </w:pPr>
            <w:r>
              <w:rPr>
                <w:rFonts w:hint="eastAsia" w:ascii="宋体" w:hAnsi="宋体"/>
                <w:sz w:val="24"/>
                <w:szCs w:val="24"/>
                <w:highlight w:val="none"/>
              </w:rPr>
              <w:t>按</w:t>
            </w:r>
            <w:r>
              <w:rPr>
                <w:rFonts w:ascii="宋体" w:hAnsi="宋体"/>
                <w:sz w:val="24"/>
                <w:szCs w:val="24"/>
                <w:highlight w:val="none"/>
              </w:rPr>
              <w:t>“</w:t>
            </w:r>
            <w:r>
              <w:rPr>
                <w:rFonts w:hint="eastAsia" w:ascii="宋体" w:hAnsi="宋体"/>
                <w:sz w:val="24"/>
                <w:szCs w:val="24"/>
                <w:highlight w:val="none"/>
              </w:rPr>
              <w:t>资信与方案要求</w:t>
            </w:r>
            <w:r>
              <w:rPr>
                <w:rFonts w:ascii="宋体" w:hAnsi="宋体"/>
                <w:sz w:val="24"/>
                <w:szCs w:val="24"/>
                <w:highlight w:val="none"/>
              </w:rPr>
              <w:t>”</w:t>
            </w:r>
            <w:r>
              <w:rPr>
                <w:rFonts w:hint="eastAsia" w:ascii="宋体" w:hAnsi="宋体"/>
                <w:sz w:val="24"/>
                <w:szCs w:val="24"/>
                <w:highlight w:val="none"/>
              </w:rPr>
              <w:t>提供</w:t>
            </w:r>
          </w:p>
        </w:tc>
      </w:tr>
      <w:tr w14:paraId="1D861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64" w:hRule="atLeast"/>
        </w:trPr>
        <w:tc>
          <w:tcPr>
            <w:tcW w:w="702" w:type="dxa"/>
            <w:vAlign w:val="center"/>
          </w:tcPr>
          <w:p w14:paraId="4EBA07C2">
            <w:pPr>
              <w:pStyle w:val="100"/>
              <w:spacing w:line="560" w:lineRule="exact"/>
              <w:ind w:firstLine="0" w:firstLineChars="0"/>
              <w:jc w:val="center"/>
              <w:rPr>
                <w:rFonts w:hint="eastAsia" w:ascii="宋体" w:hAnsi="宋体" w:eastAsia="宋体"/>
                <w:sz w:val="24"/>
                <w:szCs w:val="24"/>
                <w:highlight w:val="none"/>
                <w:lang w:val="en-US" w:eastAsia="zh-CN"/>
              </w:rPr>
            </w:pPr>
            <w:r>
              <w:rPr>
                <w:rFonts w:hint="eastAsia" w:ascii="宋体" w:hAnsi="宋体"/>
                <w:sz w:val="24"/>
                <w:szCs w:val="24"/>
                <w:highlight w:val="none"/>
                <w:lang w:val="en-US" w:eastAsia="zh-CN"/>
              </w:rPr>
              <w:t>5</w:t>
            </w:r>
          </w:p>
        </w:tc>
        <w:tc>
          <w:tcPr>
            <w:tcW w:w="3234" w:type="dxa"/>
            <w:vAlign w:val="center"/>
          </w:tcPr>
          <w:p w14:paraId="4A7F230B">
            <w:pPr>
              <w:pStyle w:val="100"/>
              <w:spacing w:line="560" w:lineRule="exact"/>
              <w:ind w:firstLine="0" w:firstLineChars="0"/>
              <w:jc w:val="left"/>
              <w:rPr>
                <w:rFonts w:hint="default" w:ascii="宋体" w:hAnsi="宋体" w:eastAsia="宋体" w:cs="宋体"/>
                <w:kern w:val="0"/>
                <w:sz w:val="24"/>
                <w:szCs w:val="24"/>
                <w:highlight w:val="none"/>
                <w:lang w:val="en-US" w:eastAsia="zh-CN"/>
              </w:rPr>
            </w:pPr>
            <w:r>
              <w:rPr>
                <w:rFonts w:hint="eastAsia" w:ascii="宋体" w:hAnsi="宋体" w:cs="宋体"/>
                <w:kern w:val="0"/>
                <w:sz w:val="24"/>
                <w:szCs w:val="24"/>
                <w:highlight w:val="none"/>
                <w:lang w:val="en-US" w:eastAsia="zh-CN"/>
              </w:rPr>
              <w:t>商务标</w:t>
            </w:r>
          </w:p>
        </w:tc>
        <w:tc>
          <w:tcPr>
            <w:tcW w:w="5095" w:type="dxa"/>
            <w:vAlign w:val="center"/>
          </w:tcPr>
          <w:p w14:paraId="7BD7379F">
            <w:pPr>
              <w:pStyle w:val="100"/>
              <w:spacing w:line="560" w:lineRule="exact"/>
              <w:ind w:firstLine="0" w:firstLineChars="0"/>
              <w:jc w:val="left"/>
              <w:rPr>
                <w:rFonts w:hint="default" w:ascii="宋体" w:hAnsi="宋体" w:eastAsia="宋体"/>
                <w:sz w:val="24"/>
                <w:szCs w:val="24"/>
                <w:highlight w:val="none"/>
                <w:lang w:val="en-US" w:eastAsia="zh-CN"/>
              </w:rPr>
            </w:pPr>
            <w:r>
              <w:rPr>
                <w:rFonts w:hint="eastAsia" w:ascii="宋体" w:hAnsi="宋体"/>
                <w:sz w:val="24"/>
                <w:szCs w:val="24"/>
                <w:highlight w:val="none"/>
                <w:lang w:val="en-US" w:eastAsia="zh-CN"/>
              </w:rPr>
              <w:t>按要求提供</w:t>
            </w:r>
          </w:p>
        </w:tc>
      </w:tr>
      <w:tr w14:paraId="56B69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trPr>
        <w:tc>
          <w:tcPr>
            <w:tcW w:w="702" w:type="dxa"/>
            <w:vAlign w:val="center"/>
          </w:tcPr>
          <w:p w14:paraId="77414CC1">
            <w:pPr>
              <w:pStyle w:val="100"/>
              <w:spacing w:line="560" w:lineRule="exact"/>
              <w:ind w:firstLine="0" w:firstLineChars="0"/>
              <w:jc w:val="center"/>
              <w:rPr>
                <w:rFonts w:hint="eastAsia" w:ascii="宋体" w:hAnsi="宋体" w:eastAsia="宋体"/>
                <w:sz w:val="24"/>
                <w:szCs w:val="24"/>
                <w:highlight w:val="none"/>
                <w:lang w:eastAsia="zh-CN"/>
              </w:rPr>
            </w:pPr>
            <w:r>
              <w:rPr>
                <w:rFonts w:hint="eastAsia" w:ascii="宋体" w:hAnsi="宋体"/>
                <w:sz w:val="24"/>
                <w:szCs w:val="24"/>
                <w:highlight w:val="none"/>
                <w:lang w:val="en-US" w:eastAsia="zh-CN"/>
              </w:rPr>
              <w:t>6</w:t>
            </w:r>
          </w:p>
        </w:tc>
        <w:tc>
          <w:tcPr>
            <w:tcW w:w="3234" w:type="dxa"/>
            <w:vAlign w:val="center"/>
          </w:tcPr>
          <w:p w14:paraId="1FAD329F">
            <w:pPr>
              <w:pStyle w:val="100"/>
              <w:spacing w:line="560" w:lineRule="exact"/>
              <w:ind w:firstLine="0" w:firstLineChars="0"/>
              <w:jc w:val="left"/>
              <w:rPr>
                <w:rFonts w:ascii="宋体" w:hAnsi="宋体" w:cs="宋体"/>
                <w:kern w:val="0"/>
                <w:sz w:val="24"/>
                <w:szCs w:val="24"/>
                <w:highlight w:val="none"/>
              </w:rPr>
            </w:pPr>
            <w:r>
              <w:rPr>
                <w:rFonts w:hint="eastAsia" w:ascii="宋体" w:hAnsi="宋体" w:cs="宋体"/>
                <w:kern w:val="0"/>
                <w:sz w:val="24"/>
                <w:szCs w:val="24"/>
                <w:highlight w:val="none"/>
              </w:rPr>
              <w:t>报价人认为需要加以说明的其他内容</w:t>
            </w:r>
          </w:p>
        </w:tc>
        <w:tc>
          <w:tcPr>
            <w:tcW w:w="5095" w:type="dxa"/>
            <w:vAlign w:val="center"/>
          </w:tcPr>
          <w:p w14:paraId="513A94C1">
            <w:pPr>
              <w:pStyle w:val="30"/>
              <w:spacing w:line="560" w:lineRule="exact"/>
              <w:ind w:firstLine="0" w:firstLineChars="0"/>
              <w:rPr>
                <w:highlight w:val="none"/>
              </w:rPr>
            </w:pPr>
            <w:r>
              <w:rPr>
                <w:rFonts w:ascii="宋体" w:hAnsi="宋体" w:eastAsia="宋体" w:cs="Times New Roman"/>
                <w:sz w:val="24"/>
                <w:szCs w:val="24"/>
                <w:highlight w:val="none"/>
              </w:rPr>
              <w:t>如有</w:t>
            </w:r>
          </w:p>
        </w:tc>
      </w:tr>
    </w:tbl>
    <w:p w14:paraId="4451D899">
      <w:pPr>
        <w:pStyle w:val="100"/>
        <w:tabs>
          <w:tab w:val="left" w:pos="426"/>
          <w:tab w:val="left" w:pos="567"/>
        </w:tabs>
        <w:spacing w:line="560" w:lineRule="exact"/>
        <w:ind w:left="622" w:firstLine="0" w:firstLineChars="0"/>
        <w:outlineLvl w:val="0"/>
        <w:rPr>
          <w:rFonts w:ascii="仿宋" w:hAnsi="仿宋" w:eastAsia="仿宋"/>
          <w:b/>
          <w:sz w:val="30"/>
          <w:szCs w:val="30"/>
          <w:highlight w:val="none"/>
        </w:rPr>
      </w:pPr>
    </w:p>
    <w:p w14:paraId="22EC8901">
      <w:pPr>
        <w:widowControl/>
        <w:spacing w:line="560" w:lineRule="exact"/>
        <w:jc w:val="left"/>
        <w:rPr>
          <w:rFonts w:ascii="黑体" w:eastAsia="黑体"/>
          <w:snapToGrid w:val="0"/>
          <w:kern w:val="0"/>
          <w:sz w:val="32"/>
          <w:szCs w:val="32"/>
          <w:highlight w:val="none"/>
        </w:rPr>
      </w:pPr>
    </w:p>
    <w:p w14:paraId="23FB6063">
      <w:pPr>
        <w:pStyle w:val="102"/>
        <w:widowControl/>
        <w:spacing w:line="560" w:lineRule="exact"/>
        <w:rPr>
          <w:rFonts w:hint="default" w:ascii="仿宋" w:hAnsi="仿宋" w:eastAsia="仿宋"/>
          <w:b/>
          <w:sz w:val="30"/>
          <w:szCs w:val="30"/>
          <w:highlight w:val="none"/>
        </w:rPr>
      </w:pPr>
    </w:p>
    <w:p w14:paraId="54AC55E0">
      <w:pPr>
        <w:spacing w:line="560" w:lineRule="exact"/>
        <w:rPr>
          <w:rFonts w:ascii="仿宋" w:hAnsi="仿宋" w:eastAsia="仿宋"/>
          <w:b/>
          <w:sz w:val="30"/>
          <w:szCs w:val="30"/>
          <w:highlight w:val="none"/>
        </w:rPr>
      </w:pPr>
      <w:r>
        <w:rPr>
          <w:rFonts w:ascii="仿宋" w:hAnsi="仿宋" w:eastAsia="仿宋"/>
          <w:b/>
          <w:sz w:val="30"/>
          <w:szCs w:val="30"/>
          <w:highlight w:val="none"/>
        </w:rPr>
        <w:br w:type="page"/>
      </w:r>
    </w:p>
    <w:p w14:paraId="55598483">
      <w:pPr>
        <w:pStyle w:val="102"/>
        <w:widowControl/>
        <w:spacing w:line="560" w:lineRule="exact"/>
        <w:rPr>
          <w:rFonts w:hint="default" w:ascii="仿宋" w:hAnsi="仿宋" w:eastAsia="仿宋"/>
          <w:b/>
          <w:sz w:val="30"/>
          <w:szCs w:val="30"/>
          <w:highlight w:val="none"/>
        </w:rPr>
      </w:pPr>
      <w:r>
        <w:rPr>
          <w:rFonts w:ascii="仿宋" w:hAnsi="仿宋" w:eastAsia="仿宋"/>
          <w:b/>
          <w:sz w:val="30"/>
          <w:szCs w:val="30"/>
          <w:highlight w:val="none"/>
        </w:rPr>
        <w:t>资信与方案要求</w:t>
      </w:r>
      <w:bookmarkStart w:id="15" w:name="_Toc306716037"/>
      <w:bookmarkStart w:id="16" w:name="_Toc151020524"/>
      <w:bookmarkStart w:id="17" w:name="_Toc509669694"/>
    </w:p>
    <w:tbl>
      <w:tblPr>
        <w:tblStyle w:val="55"/>
        <w:tblW w:w="85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1746"/>
        <w:gridCol w:w="6012"/>
      </w:tblGrid>
      <w:tr w14:paraId="0A3DC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761" w:type="dxa"/>
            <w:vAlign w:val="center"/>
          </w:tcPr>
          <w:p w14:paraId="7956B778">
            <w:pPr>
              <w:spacing w:line="560" w:lineRule="exact"/>
              <w:jc w:val="center"/>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b/>
                <w:color w:val="auto"/>
                <w:sz w:val="24"/>
                <w:szCs w:val="24"/>
                <w:highlight w:val="none"/>
              </w:rPr>
              <w:t>序号</w:t>
            </w:r>
          </w:p>
        </w:tc>
        <w:tc>
          <w:tcPr>
            <w:tcW w:w="1746" w:type="dxa"/>
            <w:vAlign w:val="center"/>
          </w:tcPr>
          <w:p w14:paraId="4F63F1B1">
            <w:pPr>
              <w:spacing w:line="560" w:lineRule="exact"/>
              <w:jc w:val="center"/>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b/>
                <w:color w:val="auto"/>
                <w:sz w:val="24"/>
                <w:szCs w:val="24"/>
                <w:highlight w:val="none"/>
              </w:rPr>
              <w:t>要素名称</w:t>
            </w:r>
          </w:p>
        </w:tc>
        <w:tc>
          <w:tcPr>
            <w:tcW w:w="6012" w:type="dxa"/>
            <w:vAlign w:val="center"/>
          </w:tcPr>
          <w:p w14:paraId="78546EFA">
            <w:pPr>
              <w:spacing w:line="560" w:lineRule="exact"/>
              <w:jc w:val="center"/>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b/>
                <w:color w:val="auto"/>
                <w:sz w:val="24"/>
                <w:szCs w:val="24"/>
                <w:highlight w:val="none"/>
              </w:rPr>
              <w:t>有关要求或说明</w:t>
            </w:r>
          </w:p>
        </w:tc>
      </w:tr>
      <w:tr w14:paraId="4399D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8" w:hRule="atLeast"/>
        </w:trPr>
        <w:tc>
          <w:tcPr>
            <w:tcW w:w="761" w:type="dxa"/>
            <w:shd w:val="clear" w:color="auto" w:fill="auto"/>
            <w:vAlign w:val="center"/>
          </w:tcPr>
          <w:p w14:paraId="11DB0A1B">
            <w:pPr>
              <w:widowControl/>
              <w:adjustRightInd w:val="0"/>
              <w:snapToGrid w:val="0"/>
              <w:spacing w:before="80" w:after="80" w:line="560" w:lineRule="exact"/>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rPr>
              <w:t>1</w:t>
            </w:r>
          </w:p>
        </w:tc>
        <w:tc>
          <w:tcPr>
            <w:tcW w:w="1746" w:type="dxa"/>
            <w:shd w:val="clear" w:color="auto" w:fill="auto"/>
            <w:vAlign w:val="center"/>
          </w:tcPr>
          <w:p w14:paraId="2C3432ED">
            <w:pPr>
              <w:widowControl/>
              <w:adjustRightInd w:val="0"/>
              <w:snapToGrid w:val="0"/>
              <w:spacing w:before="80" w:after="80" w:line="560" w:lineRule="exact"/>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rPr>
              <w:t>投标人</w:t>
            </w:r>
            <w:r>
              <w:rPr>
                <w:rFonts w:hint="eastAsia" w:ascii="仿宋_GB2312" w:hAnsi="仿宋_GB2312" w:eastAsia="仿宋_GB2312" w:cs="仿宋_GB2312"/>
                <w:color w:val="auto"/>
                <w:kern w:val="0"/>
                <w:sz w:val="24"/>
                <w:szCs w:val="24"/>
                <w:highlight w:val="none"/>
                <w:lang w:val="en-US" w:eastAsia="zh-CN"/>
              </w:rPr>
              <w:t>类似工程业绩</w:t>
            </w:r>
          </w:p>
        </w:tc>
        <w:tc>
          <w:tcPr>
            <w:tcW w:w="6012" w:type="dxa"/>
            <w:shd w:val="clear" w:color="auto" w:fill="auto"/>
            <w:vAlign w:val="center"/>
          </w:tcPr>
          <w:p w14:paraId="55C118BB">
            <w:pPr>
              <w:keepNext w:val="0"/>
              <w:keepLines w:val="0"/>
              <w:pageBreakBefore w:val="0"/>
              <w:widowControl/>
              <w:kinsoku/>
              <w:wordWrap/>
              <w:overflowPunct/>
              <w:topLinePunct w:val="0"/>
              <w:autoSpaceDE/>
              <w:autoSpaceDN/>
              <w:bidi w:val="0"/>
              <w:spacing w:line="560" w:lineRule="exact"/>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投标人提供：</w:t>
            </w:r>
          </w:p>
          <w:p w14:paraId="36C164F7">
            <w:pPr>
              <w:keepNext w:val="0"/>
              <w:keepLines w:val="0"/>
              <w:pageBreakBefore w:val="0"/>
              <w:widowControl/>
              <w:kinsoku/>
              <w:wordWrap/>
              <w:overflowPunct/>
              <w:topLinePunct w:val="0"/>
              <w:autoSpaceDE/>
              <w:autoSpaceDN/>
              <w:bidi w:val="0"/>
              <w:spacing w:line="560" w:lineRule="exact"/>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2023年1月1日至今，投标人类似工程业绩（不超过3项，若超过3项，招标人仅对前3项业绩进行复核及统计，以合同签订时间为准，合同未体现签订时间的，则不予统计此项业绩）</w:t>
            </w:r>
          </w:p>
          <w:p w14:paraId="1EF9FD60">
            <w:pPr>
              <w:keepNext w:val="0"/>
              <w:keepLines w:val="0"/>
              <w:pageBreakBefore w:val="0"/>
              <w:widowControl/>
              <w:kinsoku/>
              <w:wordWrap/>
              <w:overflowPunct/>
              <w:topLinePunct w:val="0"/>
              <w:autoSpaceDE/>
              <w:autoSpaceDN/>
              <w:bidi w:val="0"/>
              <w:spacing w:line="560" w:lineRule="exact"/>
              <w:jc w:val="left"/>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sz w:val="24"/>
                <w:szCs w:val="24"/>
                <w:highlight w:val="none"/>
              </w:rPr>
              <w:t>（证明资料为相关合同，应包含工程名称、委托单位名称、受托单位名称、合同金额等信息，可提供合同关键页扫描件，若未体现以上信息，可提供其他相关证明材料。）</w:t>
            </w:r>
          </w:p>
        </w:tc>
      </w:tr>
      <w:tr w14:paraId="20E6D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0" w:hRule="atLeast"/>
        </w:trPr>
        <w:tc>
          <w:tcPr>
            <w:tcW w:w="761" w:type="dxa"/>
            <w:shd w:val="clear" w:color="auto" w:fill="auto"/>
            <w:vAlign w:val="center"/>
          </w:tcPr>
          <w:p w14:paraId="7F16D12E">
            <w:pPr>
              <w:widowControl/>
              <w:adjustRightInd w:val="0"/>
              <w:snapToGrid w:val="0"/>
              <w:spacing w:before="80" w:after="80" w:line="560" w:lineRule="exact"/>
              <w:jc w:val="center"/>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2</w:t>
            </w:r>
          </w:p>
          <w:p w14:paraId="38C8EF39">
            <w:pPr>
              <w:widowControl/>
              <w:adjustRightInd w:val="0"/>
              <w:snapToGrid w:val="0"/>
              <w:spacing w:before="80" w:after="80" w:line="560" w:lineRule="exact"/>
              <w:jc w:val="center"/>
              <w:rPr>
                <w:rFonts w:hint="eastAsia" w:ascii="仿宋_GB2312" w:hAnsi="仿宋_GB2312" w:eastAsia="仿宋_GB2312" w:cs="仿宋_GB2312"/>
                <w:color w:val="auto"/>
                <w:kern w:val="0"/>
                <w:sz w:val="24"/>
                <w:szCs w:val="24"/>
                <w:highlight w:val="none"/>
                <w:lang w:val="en-US" w:eastAsia="zh-CN" w:bidi="ar-SA"/>
              </w:rPr>
            </w:pPr>
          </w:p>
        </w:tc>
        <w:tc>
          <w:tcPr>
            <w:tcW w:w="1746" w:type="dxa"/>
            <w:shd w:val="clear" w:color="auto" w:fill="auto"/>
            <w:vAlign w:val="center"/>
          </w:tcPr>
          <w:p w14:paraId="29606BA3">
            <w:pPr>
              <w:widowControl/>
              <w:adjustRightInd w:val="0"/>
              <w:snapToGrid w:val="0"/>
              <w:spacing w:before="80" w:after="80" w:line="560" w:lineRule="exact"/>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项目负责人</w:t>
            </w:r>
            <w:r>
              <w:rPr>
                <w:rFonts w:hint="eastAsia" w:ascii="仿宋_GB2312" w:hAnsi="仿宋_GB2312" w:eastAsia="仿宋_GB2312" w:cs="仿宋_GB2312"/>
                <w:color w:val="auto"/>
                <w:sz w:val="24"/>
                <w:szCs w:val="24"/>
                <w:highlight w:val="none"/>
                <w:lang w:eastAsia="zh-CN"/>
              </w:rPr>
              <w:t>类似工程业绩</w:t>
            </w:r>
          </w:p>
        </w:tc>
        <w:tc>
          <w:tcPr>
            <w:tcW w:w="6012" w:type="dxa"/>
            <w:shd w:val="clear" w:color="auto" w:fill="auto"/>
            <w:vAlign w:val="center"/>
          </w:tcPr>
          <w:p w14:paraId="4D47EA14">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投标人提供：</w:t>
            </w:r>
          </w:p>
          <w:p w14:paraId="58D28C0A">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2023年1月1日至今，项目负责人类似工程业绩（不超过3项，若超过3项，招标人仅对前3项业绩进行复核及统计，以合同签订时间为准，合同未体现签订时间的，则不予统计此项业绩。）</w:t>
            </w:r>
          </w:p>
          <w:p w14:paraId="218211C7">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kern w:val="0"/>
                <w:sz w:val="28"/>
                <w:szCs w:val="28"/>
                <w:lang w:val="en-US" w:eastAsia="zh-CN" w:bidi="ar-SA"/>
              </w:rPr>
            </w:pPr>
            <w:r>
              <w:rPr>
                <w:rFonts w:hint="eastAsia" w:ascii="仿宋_GB2312" w:hAnsi="仿宋_GB2312" w:eastAsia="仿宋_GB2312" w:cs="仿宋_GB2312"/>
                <w:color w:val="auto"/>
                <w:sz w:val="24"/>
                <w:szCs w:val="24"/>
                <w:highlight w:val="none"/>
              </w:rPr>
              <w:t>（证明资料为合同关键页等证明文件扫描件，须体现合同签订时间、合同签订金额和项目负责人任职信息等，如无法体现任职信息，需提供业主证明等证明材料。）</w:t>
            </w:r>
          </w:p>
        </w:tc>
      </w:tr>
      <w:tr w14:paraId="08AD2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9" w:hRule="atLeast"/>
        </w:trPr>
        <w:tc>
          <w:tcPr>
            <w:tcW w:w="761" w:type="dxa"/>
            <w:shd w:val="clear" w:color="auto" w:fill="auto"/>
            <w:vAlign w:val="center"/>
          </w:tcPr>
          <w:p w14:paraId="1B477F09">
            <w:pPr>
              <w:widowControl/>
              <w:adjustRightInd w:val="0"/>
              <w:snapToGrid w:val="0"/>
              <w:spacing w:before="80" w:after="80" w:line="560" w:lineRule="exact"/>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rPr>
              <w:t>3</w:t>
            </w:r>
          </w:p>
        </w:tc>
        <w:tc>
          <w:tcPr>
            <w:tcW w:w="1746" w:type="dxa"/>
            <w:shd w:val="clear" w:color="auto" w:fill="auto"/>
            <w:vAlign w:val="center"/>
          </w:tcPr>
          <w:p w14:paraId="21F018BB">
            <w:pPr>
              <w:widowControl/>
              <w:adjustRightInd w:val="0"/>
              <w:snapToGrid w:val="0"/>
              <w:spacing w:before="80" w:after="80" w:line="560" w:lineRule="exact"/>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rPr>
              <w:t>履约评价</w:t>
            </w:r>
          </w:p>
        </w:tc>
        <w:tc>
          <w:tcPr>
            <w:tcW w:w="6012" w:type="dxa"/>
            <w:shd w:val="clear" w:color="auto" w:fill="auto"/>
            <w:vAlign w:val="center"/>
          </w:tcPr>
          <w:p w14:paraId="44F27800">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投标人提供：</w:t>
            </w:r>
          </w:p>
          <w:p w14:paraId="24D548DD">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2023年1月1日至今，类似工程合同履约情况；（不超过3项，若超过3项，招标人仅对前3项履约进行复核及统计）。</w:t>
            </w:r>
          </w:p>
          <w:p w14:paraId="6A46E352">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sz w:val="24"/>
                <w:szCs w:val="24"/>
                <w:highlight w:val="none"/>
              </w:rPr>
            </w:pPr>
          </w:p>
          <w:p w14:paraId="1D091CC8">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kern w:val="0"/>
                <w:sz w:val="28"/>
                <w:szCs w:val="28"/>
                <w:lang w:val="en-US" w:eastAsia="zh-CN" w:bidi="ar-SA"/>
              </w:rPr>
            </w:pPr>
            <w:r>
              <w:rPr>
                <w:rFonts w:hint="eastAsia" w:ascii="仿宋_GB2312" w:hAnsi="仿宋_GB2312" w:eastAsia="仿宋_GB2312" w:cs="仿宋_GB2312"/>
                <w:color w:val="auto"/>
                <w:sz w:val="24"/>
                <w:szCs w:val="24"/>
                <w:highlight w:val="none"/>
              </w:rPr>
              <w:t>证明材料：履约证明等扫描件（应包含工程名称、评价单位名称、被评价单位名称、评价结论、评价单位盖章等，若未体现以上信息，可提供其他相关证明材料），以履约证明上载明的时间为准，未体现履约评价时间的，则不予统计此项履约。一个项目的履约评价只计1项。若未附证明材料或证明材料中未能清晰体现关键信息或证明材料前后不一致，招标人有可能做出对投标人不利的判断。。</w:t>
            </w:r>
          </w:p>
        </w:tc>
      </w:tr>
      <w:tr w14:paraId="79D51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3" w:hRule="atLeast"/>
        </w:trPr>
        <w:tc>
          <w:tcPr>
            <w:tcW w:w="761" w:type="dxa"/>
            <w:shd w:val="clear" w:color="auto" w:fill="auto"/>
            <w:vAlign w:val="center"/>
          </w:tcPr>
          <w:p w14:paraId="4967CD32">
            <w:pPr>
              <w:widowControl/>
              <w:adjustRightInd w:val="0"/>
              <w:snapToGrid w:val="0"/>
              <w:spacing w:before="80" w:after="80" w:line="560" w:lineRule="exact"/>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rPr>
              <w:t>4</w:t>
            </w:r>
          </w:p>
        </w:tc>
        <w:tc>
          <w:tcPr>
            <w:tcW w:w="1746" w:type="dxa"/>
            <w:shd w:val="clear" w:color="auto" w:fill="auto"/>
            <w:vAlign w:val="center"/>
          </w:tcPr>
          <w:p w14:paraId="658A7C15">
            <w:pPr>
              <w:widowControl/>
              <w:adjustRightInd w:val="0"/>
              <w:snapToGrid w:val="0"/>
              <w:spacing w:before="80" w:after="80" w:line="560" w:lineRule="exact"/>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rPr>
              <w:t>投标人诚信</w:t>
            </w:r>
          </w:p>
        </w:tc>
        <w:tc>
          <w:tcPr>
            <w:tcW w:w="6012" w:type="dxa"/>
            <w:shd w:val="clear" w:color="auto" w:fill="auto"/>
            <w:vAlign w:val="center"/>
          </w:tcPr>
          <w:p w14:paraId="5C35BD1A">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提供通</w:t>
            </w:r>
            <w:r>
              <w:rPr>
                <w:rFonts w:hint="eastAsia" w:ascii="仿宋_GB2312" w:hAnsi="仿宋_GB2312" w:eastAsia="仿宋_GB2312" w:cs="仿宋_GB2312"/>
                <w:color w:val="auto"/>
                <w:kern w:val="2"/>
                <w:sz w:val="24"/>
                <w:szCs w:val="24"/>
                <w:highlight w:val="none"/>
              </w:rPr>
              <w:t>过“国家企业信用信息公示系统”、“</w:t>
            </w:r>
            <w:r>
              <w:rPr>
                <w:rFonts w:hint="eastAsia" w:ascii="仿宋_GB2312" w:hAnsi="仿宋_GB2312" w:eastAsia="仿宋_GB2312" w:cs="仿宋_GB2312"/>
                <w:color w:val="auto"/>
                <w:sz w:val="24"/>
                <w:szCs w:val="24"/>
                <w:highlight w:val="none"/>
              </w:rPr>
              <w:t>信用中国”、中国政府采购网（www.ccgp.gov.cn）严重违法失信行为查询截图。</w:t>
            </w:r>
          </w:p>
          <w:p w14:paraId="2DC309BF">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kern w:val="2"/>
                <w:sz w:val="24"/>
                <w:szCs w:val="24"/>
                <w:highlight w:val="none"/>
              </w:rPr>
              <w:t>证明资料为相关查询结果截图</w:t>
            </w:r>
            <w:r>
              <w:rPr>
                <w:rFonts w:hint="eastAsia" w:ascii="仿宋_GB2312" w:hAnsi="仿宋_GB2312" w:eastAsia="仿宋_GB2312" w:cs="仿宋_GB2312"/>
                <w:color w:val="auto"/>
                <w:sz w:val="24"/>
                <w:szCs w:val="24"/>
                <w:highlight w:val="none"/>
              </w:rPr>
              <w:t>）</w:t>
            </w:r>
          </w:p>
        </w:tc>
      </w:tr>
      <w:tr w14:paraId="30361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trPr>
        <w:tc>
          <w:tcPr>
            <w:tcW w:w="761" w:type="dxa"/>
            <w:shd w:val="clear" w:color="auto" w:fill="auto"/>
            <w:vAlign w:val="center"/>
          </w:tcPr>
          <w:p w14:paraId="024AB5EC">
            <w:pPr>
              <w:widowControl/>
              <w:adjustRightInd w:val="0"/>
              <w:snapToGrid w:val="0"/>
              <w:spacing w:before="80" w:after="80" w:line="560" w:lineRule="exact"/>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rPr>
              <w:t>5</w:t>
            </w:r>
          </w:p>
        </w:tc>
        <w:tc>
          <w:tcPr>
            <w:tcW w:w="1746" w:type="dxa"/>
            <w:shd w:val="clear" w:color="auto" w:fill="auto"/>
            <w:vAlign w:val="center"/>
          </w:tcPr>
          <w:p w14:paraId="2EFFD32A">
            <w:pPr>
              <w:widowControl/>
              <w:adjustRightInd w:val="0"/>
              <w:snapToGrid w:val="0"/>
              <w:spacing w:before="80" w:after="80" w:line="560" w:lineRule="exact"/>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rPr>
              <w:t>实施方案</w:t>
            </w:r>
          </w:p>
        </w:tc>
        <w:tc>
          <w:tcPr>
            <w:tcW w:w="6012" w:type="dxa"/>
            <w:shd w:val="clear" w:color="auto" w:fill="auto"/>
            <w:vAlign w:val="center"/>
          </w:tcPr>
          <w:p w14:paraId="4B349DAA">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投标人结合自身情况，依据本招标文件要求，编写本项目监理服务实施方案。包括质量控制措施、安全文明施工管理措施、进度控制措施、团队人员配备等。</w:t>
            </w:r>
          </w:p>
        </w:tc>
      </w:tr>
    </w:tbl>
    <w:p w14:paraId="517AF752">
      <w:pPr>
        <w:pStyle w:val="26"/>
        <w:spacing w:line="560" w:lineRule="exact"/>
        <w:jc w:val="center"/>
        <w:rPr>
          <w:b/>
          <w:sz w:val="36"/>
          <w:szCs w:val="36"/>
          <w:highlight w:val="none"/>
        </w:rPr>
      </w:pPr>
    </w:p>
    <w:p w14:paraId="253BAE47">
      <w:pPr>
        <w:spacing w:line="560" w:lineRule="exact"/>
        <w:rPr>
          <w:b/>
          <w:sz w:val="36"/>
          <w:szCs w:val="36"/>
          <w:highlight w:val="none"/>
        </w:rPr>
      </w:pPr>
      <w:r>
        <w:rPr>
          <w:rFonts w:hint="eastAsia"/>
          <w:b/>
          <w:sz w:val="36"/>
          <w:szCs w:val="36"/>
          <w:highlight w:val="none"/>
        </w:rPr>
        <w:br w:type="page"/>
      </w:r>
    </w:p>
    <w:p w14:paraId="48AB1E8E">
      <w:pPr>
        <w:spacing w:after="120" w:line="560" w:lineRule="exact"/>
        <w:ind w:left="420" w:leftChars="200"/>
        <w:jc w:val="center"/>
        <w:rPr>
          <w:rFonts w:hint="eastAsia"/>
          <w:b/>
          <w:sz w:val="36"/>
          <w:szCs w:val="36"/>
          <w:highlight w:val="none"/>
        </w:rPr>
      </w:pPr>
    </w:p>
    <w:p w14:paraId="0A355D1A">
      <w:pPr>
        <w:spacing w:line="560" w:lineRule="exact"/>
        <w:jc w:val="center"/>
        <w:outlineLvl w:val="2"/>
        <w:rPr>
          <w:rFonts w:hint="eastAsia" w:ascii="宋体" w:hAnsi="宋体"/>
          <w:b/>
          <w:snapToGrid w:val="0"/>
          <w:kern w:val="0"/>
          <w:sz w:val="32"/>
          <w:szCs w:val="32"/>
          <w:highlight w:val="none"/>
          <w:lang w:val="en-US" w:eastAsia="zh-CN"/>
        </w:rPr>
      </w:pPr>
      <w:r>
        <w:rPr>
          <w:rFonts w:hint="eastAsia" w:ascii="宋体" w:hAnsi="宋体"/>
          <w:b/>
          <w:snapToGrid w:val="0"/>
          <w:kern w:val="0"/>
          <w:sz w:val="32"/>
          <w:szCs w:val="32"/>
          <w:highlight w:val="none"/>
          <w:lang w:val="en-US" w:eastAsia="zh-CN"/>
        </w:rPr>
        <w:t>第三章  合同文件</w:t>
      </w:r>
    </w:p>
    <w:p w14:paraId="2EA8A701">
      <w:pPr>
        <w:spacing w:line="560" w:lineRule="exact"/>
        <w:ind w:left="0" w:leftChars="0" w:right="0" w:rightChars="0" w:firstLineChars="700"/>
        <w:jc w:val="right"/>
        <w:rPr>
          <w:rFonts w:eastAsia="宋体"/>
          <w:b w:val="0"/>
          <w:bCs w:val="0"/>
          <w:color w:val="000000"/>
          <w:sz w:val="24"/>
          <w:szCs w:val="24"/>
          <w:highlight w:val="none"/>
        </w:rPr>
      </w:pPr>
      <w:r>
        <w:rPr>
          <w:rFonts w:hint="eastAsia"/>
          <w:b w:val="0"/>
          <w:bCs w:val="0"/>
          <w:color w:val="000000"/>
          <w:sz w:val="28"/>
          <w:szCs w:val="28"/>
          <w:highlight w:val="none"/>
        </w:rPr>
        <w:t xml:space="preserve">合同编号： </w:t>
      </w:r>
      <w:r>
        <w:rPr>
          <w:rFonts w:hint="eastAsia"/>
          <w:b w:val="0"/>
          <w:bCs w:val="0"/>
          <w:color w:val="000000"/>
          <w:sz w:val="24"/>
          <w:szCs w:val="24"/>
          <w:highlight w:val="none"/>
        </w:rPr>
        <w:t xml:space="preserve">    </w:t>
      </w:r>
    </w:p>
    <w:p w14:paraId="169A15E4">
      <w:pPr>
        <w:spacing w:line="560" w:lineRule="exact"/>
        <w:ind w:left="0" w:leftChars="0" w:right="0" w:rightChars="0" w:firstLineChars="700"/>
        <w:jc w:val="right"/>
        <w:rPr>
          <w:rFonts w:hint="eastAsia" w:eastAsia="宋体"/>
          <w:b w:val="0"/>
          <w:bCs w:val="0"/>
          <w:color w:val="000000"/>
          <w:sz w:val="24"/>
          <w:szCs w:val="24"/>
          <w:highlight w:val="none"/>
        </w:rPr>
      </w:pPr>
    </w:p>
    <w:p w14:paraId="32CD398F">
      <w:pPr>
        <w:spacing w:line="560" w:lineRule="exact"/>
        <w:ind w:left="0" w:leftChars="0" w:right="0" w:rightChars="0" w:firstLineChars="700"/>
        <w:rPr>
          <w:rFonts w:hint="eastAsia"/>
          <w:b w:val="0"/>
          <w:bCs w:val="0"/>
          <w:color w:val="000000"/>
          <w:sz w:val="30"/>
          <w:szCs w:val="30"/>
          <w:highlight w:val="none"/>
        </w:rPr>
      </w:pPr>
    </w:p>
    <w:p w14:paraId="1361C26F">
      <w:pPr>
        <w:pStyle w:val="45"/>
        <w:spacing w:line="560" w:lineRule="exact"/>
        <w:rPr>
          <w:rFonts w:hint="eastAsia"/>
          <w:b w:val="0"/>
          <w:bCs w:val="0"/>
          <w:color w:val="000000"/>
          <w:sz w:val="30"/>
          <w:szCs w:val="30"/>
          <w:highlight w:val="none"/>
        </w:rPr>
      </w:pPr>
    </w:p>
    <w:p w14:paraId="5C0D4BD2">
      <w:pPr>
        <w:spacing w:line="560" w:lineRule="exact"/>
        <w:rPr>
          <w:rFonts w:hint="eastAsia"/>
          <w:b w:val="0"/>
          <w:bCs w:val="0"/>
          <w:color w:val="000000"/>
          <w:sz w:val="30"/>
          <w:szCs w:val="30"/>
          <w:highlight w:val="none"/>
        </w:rPr>
      </w:pPr>
    </w:p>
    <w:p w14:paraId="29E7EE40">
      <w:pPr>
        <w:pStyle w:val="2"/>
        <w:spacing w:line="560" w:lineRule="exact"/>
        <w:ind w:left="0" w:leftChars="0" w:right="0" w:rightChars="0" w:firstLineChars="200"/>
        <w:rPr>
          <w:rFonts w:hint="eastAsia" w:cs="宋体"/>
          <w:b w:val="0"/>
          <w:bCs w:val="0"/>
          <w:color w:val="000000"/>
          <w:highlight w:val="none"/>
        </w:rPr>
      </w:pPr>
    </w:p>
    <w:p w14:paraId="2A5CDA1B">
      <w:pPr>
        <w:pStyle w:val="2"/>
        <w:tabs>
          <w:tab w:val="left" w:pos="2083"/>
        </w:tabs>
        <w:spacing w:line="560" w:lineRule="exact"/>
        <w:rPr>
          <w:rFonts w:hint="eastAsia" w:cs="宋体"/>
          <w:b w:val="0"/>
          <w:bCs w:val="0"/>
          <w:color w:val="000000"/>
          <w:sz w:val="48"/>
          <w:szCs w:val="48"/>
          <w:highlight w:val="none"/>
        </w:rPr>
      </w:pPr>
    </w:p>
    <w:p w14:paraId="32D66351">
      <w:pPr>
        <w:pStyle w:val="2"/>
        <w:tabs>
          <w:tab w:val="left" w:pos="2083"/>
        </w:tabs>
        <w:spacing w:line="560" w:lineRule="exact"/>
        <w:jc w:val="center"/>
        <w:rPr>
          <w:rFonts w:hint="eastAsia" w:ascii="宋体" w:hAnsi="宋体" w:eastAsia="宋体" w:cs="宋体"/>
          <w:b/>
          <w:bCs/>
          <w:color w:val="000000"/>
          <w:sz w:val="44"/>
          <w:szCs w:val="44"/>
          <w:highlight w:val="none"/>
        </w:rPr>
      </w:pPr>
      <w:r>
        <w:rPr>
          <w:rFonts w:hint="eastAsia" w:ascii="宋体" w:hAnsi="宋体" w:cs="宋体"/>
          <w:b/>
          <w:bCs/>
          <w:color w:val="000000"/>
          <w:sz w:val="44"/>
          <w:szCs w:val="44"/>
          <w:highlight w:val="none"/>
        </w:rPr>
        <w:t>建设工程监理合同</w:t>
      </w:r>
    </w:p>
    <w:p w14:paraId="04261B5F">
      <w:pPr>
        <w:spacing w:line="560" w:lineRule="exact"/>
        <w:rPr>
          <w:rFonts w:hint="eastAsia" w:ascii="宋体" w:hAnsi="宋体" w:eastAsia="宋体" w:cs="宋体"/>
          <w:b w:val="0"/>
          <w:bCs w:val="0"/>
          <w:color w:val="000000"/>
          <w:sz w:val="44"/>
          <w:szCs w:val="44"/>
          <w:highlight w:val="none"/>
        </w:rPr>
      </w:pPr>
    </w:p>
    <w:p w14:paraId="62FC6483">
      <w:pPr>
        <w:spacing w:line="560" w:lineRule="exact"/>
        <w:rPr>
          <w:rFonts w:hint="eastAsia"/>
          <w:b w:val="0"/>
          <w:bCs w:val="0"/>
          <w:color w:val="000000"/>
          <w:highlight w:val="none"/>
        </w:rPr>
      </w:pPr>
    </w:p>
    <w:p w14:paraId="4DA6D062">
      <w:pPr>
        <w:spacing w:line="560" w:lineRule="exact"/>
        <w:ind w:left="0" w:leftChars="0" w:right="0" w:rightChars="0" w:firstLineChars="700"/>
        <w:rPr>
          <w:rFonts w:hint="eastAsia"/>
          <w:b w:val="0"/>
          <w:bCs w:val="0"/>
          <w:color w:val="000000"/>
          <w:sz w:val="30"/>
          <w:szCs w:val="30"/>
          <w:highlight w:val="none"/>
        </w:rPr>
      </w:pPr>
      <w:r>
        <w:rPr>
          <w:rFonts w:hint="eastAsia"/>
          <w:b w:val="0"/>
          <w:bCs w:val="0"/>
          <w:color w:val="000000"/>
          <w:sz w:val="30"/>
          <w:szCs w:val="30"/>
          <w:highlight w:val="none"/>
        </w:rPr>
        <w:t xml:space="preserve"> </w:t>
      </w:r>
    </w:p>
    <w:p w14:paraId="23C9684E">
      <w:pPr>
        <w:spacing w:line="560" w:lineRule="exact"/>
        <w:ind w:left="0" w:leftChars="0" w:right="0" w:rightChars="0" w:firstLineChars="1450"/>
        <w:rPr>
          <w:rFonts w:hint="eastAsia"/>
          <w:b w:val="0"/>
          <w:bCs w:val="0"/>
          <w:color w:val="000000"/>
          <w:sz w:val="30"/>
          <w:szCs w:val="30"/>
          <w:highlight w:val="none"/>
        </w:rPr>
      </w:pPr>
    </w:p>
    <w:p w14:paraId="2437E015">
      <w:pPr>
        <w:spacing w:line="560" w:lineRule="exact"/>
        <w:ind w:left="0" w:leftChars="0" w:right="0" w:rightChars="0" w:firstLineChars="1450"/>
        <w:rPr>
          <w:rFonts w:hint="eastAsia"/>
          <w:b w:val="0"/>
          <w:bCs w:val="0"/>
          <w:color w:val="000000"/>
          <w:sz w:val="30"/>
          <w:szCs w:val="30"/>
          <w:highlight w:val="none"/>
        </w:rPr>
      </w:pPr>
    </w:p>
    <w:p w14:paraId="1455BE16">
      <w:pPr>
        <w:spacing w:line="560" w:lineRule="exact"/>
        <w:ind w:left="0" w:leftChars="0" w:right="0" w:rightChars="0" w:firstLineChars="1450"/>
        <w:rPr>
          <w:rFonts w:hint="eastAsia"/>
          <w:b w:val="0"/>
          <w:bCs w:val="0"/>
          <w:color w:val="000000"/>
          <w:sz w:val="30"/>
          <w:szCs w:val="30"/>
          <w:highlight w:val="none"/>
        </w:rPr>
      </w:pPr>
    </w:p>
    <w:p w14:paraId="49354559">
      <w:pPr>
        <w:spacing w:line="560" w:lineRule="exact"/>
        <w:ind w:leftChars="456" w:right="0" w:rightChars="0" w:hangingChars="500"/>
        <w:rPr>
          <w:rFonts w:hint="eastAsia" w:ascii="宋体" w:hAnsi="宋体" w:eastAsia="宋体" w:cs="宋体"/>
          <w:b w:val="0"/>
          <w:bCs w:val="0"/>
          <w:color w:val="000000"/>
          <w:sz w:val="30"/>
          <w:szCs w:val="30"/>
          <w:highlight w:val="none"/>
          <w:u w:val="none"/>
        </w:rPr>
      </w:pPr>
      <w:r>
        <w:rPr>
          <w:rFonts w:hint="eastAsia" w:ascii="宋体" w:hAnsi="宋体" w:cs="宋体"/>
          <w:b/>
          <w:bCs/>
          <w:color w:val="000000"/>
          <w:kern w:val="0"/>
          <w:sz w:val="32"/>
          <w:szCs w:val="32"/>
          <w:highlight w:val="none"/>
        </w:rPr>
        <w:t>工程名称：</w:t>
      </w:r>
      <w:r>
        <w:rPr>
          <w:rFonts w:hint="eastAsia" w:ascii="宋体" w:hAnsi="宋体" w:cs="宋体"/>
          <w:b/>
          <w:bCs/>
          <w:color w:val="000000"/>
          <w:kern w:val="0"/>
          <w:sz w:val="32"/>
          <w:szCs w:val="32"/>
          <w:highlight w:val="none"/>
          <w:u w:val="single"/>
        </w:rPr>
        <w:t>深圳建筑产业生态智谷总部基地一期二单元</w:t>
      </w:r>
      <w:r>
        <w:rPr>
          <w:rFonts w:hint="eastAsia" w:ascii="宋体" w:hAnsi="宋体" w:eastAsia="宋体" w:cs="宋体"/>
          <w:b/>
          <w:bCs/>
          <w:color w:val="000000"/>
          <w:kern w:val="0"/>
          <w:sz w:val="32"/>
          <w:szCs w:val="32"/>
          <w:highlight w:val="none"/>
          <w:u w:val="single"/>
        </w:rPr>
        <w:t>15</w:t>
      </w:r>
      <w:r>
        <w:rPr>
          <w:rFonts w:hint="eastAsia" w:ascii="宋体" w:hAnsi="宋体" w:cs="宋体"/>
          <w:b/>
          <w:bCs/>
          <w:color w:val="000000"/>
          <w:kern w:val="0"/>
          <w:sz w:val="32"/>
          <w:szCs w:val="32"/>
          <w:highlight w:val="none"/>
          <w:u w:val="single"/>
        </w:rPr>
        <w:t>、</w:t>
      </w:r>
      <w:r>
        <w:rPr>
          <w:rFonts w:hint="eastAsia" w:ascii="宋体" w:hAnsi="宋体" w:eastAsia="宋体" w:cs="宋体"/>
          <w:b/>
          <w:bCs/>
          <w:color w:val="000000"/>
          <w:kern w:val="0"/>
          <w:sz w:val="32"/>
          <w:szCs w:val="32"/>
          <w:highlight w:val="none"/>
          <w:u w:val="single"/>
        </w:rPr>
        <w:t>16</w:t>
      </w:r>
      <w:r>
        <w:rPr>
          <w:rFonts w:hint="eastAsia" w:ascii="宋体" w:hAnsi="宋体" w:cs="宋体"/>
          <w:b/>
          <w:bCs/>
          <w:color w:val="000000"/>
          <w:kern w:val="0"/>
          <w:sz w:val="32"/>
          <w:szCs w:val="32"/>
          <w:highlight w:val="none"/>
          <w:u w:val="single"/>
        </w:rPr>
        <w:t xml:space="preserve">层办公用房提升工程    </w:t>
      </w:r>
      <w:r>
        <w:rPr>
          <w:rFonts w:hint="eastAsia" w:ascii="宋体" w:hAnsi="宋体" w:cs="宋体"/>
          <w:b w:val="0"/>
          <w:bCs w:val="0"/>
          <w:color w:val="000000"/>
          <w:sz w:val="30"/>
          <w:szCs w:val="30"/>
          <w:highlight w:val="none"/>
          <w:u w:val="none"/>
        </w:rPr>
        <w:t xml:space="preserve">                                </w:t>
      </w:r>
    </w:p>
    <w:p w14:paraId="55CBA563">
      <w:pPr>
        <w:spacing w:line="560" w:lineRule="exact"/>
        <w:ind w:left="0" w:leftChars="0" w:right="0" w:rightChars="0" w:firstLineChars="300"/>
        <w:rPr>
          <w:rFonts w:hint="eastAsia" w:ascii="宋体" w:hAnsi="宋体" w:eastAsia="宋体" w:cs="宋体"/>
          <w:b w:val="0"/>
          <w:bCs w:val="0"/>
          <w:color w:val="000000"/>
          <w:sz w:val="30"/>
          <w:szCs w:val="30"/>
          <w:highlight w:val="none"/>
          <w:u w:val="none"/>
        </w:rPr>
      </w:pPr>
      <w:r>
        <w:rPr>
          <w:rFonts w:hint="eastAsia" w:ascii="宋体" w:hAnsi="宋体" w:cs="宋体"/>
          <w:b/>
          <w:bCs/>
          <w:color w:val="000000"/>
          <w:kern w:val="0"/>
          <w:sz w:val="32"/>
          <w:szCs w:val="32"/>
          <w:highlight w:val="none"/>
        </w:rPr>
        <w:t>工程地点</w:t>
      </w:r>
      <w:r>
        <w:rPr>
          <w:rFonts w:hint="eastAsia" w:ascii="宋体" w:hAnsi="宋体" w:eastAsia="宋体" w:cs="宋体"/>
          <w:b/>
          <w:bCs/>
          <w:color w:val="000000"/>
          <w:kern w:val="0"/>
          <w:sz w:val="32"/>
          <w:szCs w:val="32"/>
          <w:highlight w:val="none"/>
        </w:rPr>
        <w:t xml:space="preserve">: </w:t>
      </w:r>
      <w:r>
        <w:rPr>
          <w:rFonts w:hint="eastAsia" w:ascii="宋体" w:hAnsi="宋体" w:cs="宋体"/>
          <w:b/>
          <w:bCs/>
          <w:color w:val="000000"/>
          <w:kern w:val="0"/>
          <w:sz w:val="32"/>
          <w:szCs w:val="32"/>
          <w:highlight w:val="none"/>
          <w:u w:val="single"/>
        </w:rPr>
        <w:t>深圳市龙岗区</w:t>
      </w:r>
      <w:r>
        <w:rPr>
          <w:rFonts w:hint="eastAsia" w:ascii="宋体" w:hAnsi="宋体" w:cs="宋体"/>
          <w:b w:val="0"/>
          <w:bCs w:val="0"/>
          <w:color w:val="000000"/>
          <w:sz w:val="30"/>
          <w:szCs w:val="30"/>
          <w:highlight w:val="none"/>
          <w:u w:val="none"/>
        </w:rPr>
        <w:t xml:space="preserve">                                    </w:t>
      </w:r>
    </w:p>
    <w:p w14:paraId="255C29C5">
      <w:pPr>
        <w:keepNext w:val="0"/>
        <w:keepLines w:val="0"/>
        <w:pageBreakBefore w:val="0"/>
        <w:widowControl/>
        <w:kinsoku/>
        <w:overflowPunct/>
        <w:autoSpaceDE/>
        <w:bidi w:val="0"/>
        <w:snapToGrid/>
        <w:spacing w:line="560" w:lineRule="exact"/>
        <w:ind w:leftChars="457" w:right="0" w:rightChars="0" w:hangingChars="500"/>
        <w:textAlignment w:val="auto"/>
        <w:rPr>
          <w:rFonts w:hint="eastAsia" w:ascii="宋体" w:hAnsi="宋体" w:eastAsia="宋体" w:cs="宋体"/>
          <w:b w:val="0"/>
          <w:bCs w:val="0"/>
          <w:color w:val="000000"/>
          <w:sz w:val="30"/>
          <w:szCs w:val="30"/>
          <w:highlight w:val="none"/>
          <w:u w:val="none"/>
        </w:rPr>
      </w:pPr>
      <w:r>
        <w:rPr>
          <w:rFonts w:hint="eastAsia" w:ascii="宋体" w:hAnsi="宋体" w:cs="宋体"/>
          <w:b/>
          <w:bCs/>
          <w:color w:val="000000"/>
          <w:kern w:val="0"/>
          <w:sz w:val="32"/>
          <w:szCs w:val="32"/>
          <w:highlight w:val="none"/>
        </w:rPr>
        <w:t>委 托 人：</w:t>
      </w:r>
      <w:r>
        <w:rPr>
          <w:rFonts w:hint="eastAsia" w:ascii="宋体" w:hAnsi="宋体" w:cs="宋体"/>
          <w:b/>
          <w:bCs/>
          <w:color w:val="000000"/>
          <w:kern w:val="0"/>
          <w:sz w:val="32"/>
          <w:szCs w:val="32"/>
          <w:highlight w:val="none"/>
          <w:u w:val="single"/>
        </w:rPr>
        <w:t>深圳市龙岗区城投新基础设施建设管理有限公司</w:t>
      </w:r>
      <w:r>
        <w:rPr>
          <w:rFonts w:hint="eastAsia" w:ascii="宋体" w:hAnsi="宋体" w:cs="宋体"/>
          <w:b w:val="0"/>
          <w:bCs w:val="0"/>
          <w:color w:val="000000"/>
          <w:sz w:val="30"/>
          <w:szCs w:val="30"/>
          <w:highlight w:val="none"/>
          <w:u w:val="none"/>
        </w:rPr>
        <w:t xml:space="preserve">                                     </w:t>
      </w:r>
    </w:p>
    <w:p w14:paraId="77672B32">
      <w:pPr>
        <w:spacing w:line="560" w:lineRule="exact"/>
        <w:ind w:left="0" w:leftChars="0" w:right="0" w:rightChars="0" w:firstLineChars="300"/>
        <w:rPr>
          <w:rFonts w:ascii="宋体" w:hAnsi="宋体" w:eastAsia="宋体" w:cs="宋体"/>
          <w:b w:val="0"/>
          <w:bCs w:val="0"/>
          <w:color w:val="000000"/>
          <w:sz w:val="30"/>
          <w:szCs w:val="30"/>
          <w:highlight w:val="none"/>
          <w:u w:val="single"/>
        </w:rPr>
      </w:pPr>
      <w:r>
        <w:rPr>
          <w:rFonts w:hint="eastAsia" w:ascii="宋体" w:hAnsi="宋体" w:cs="宋体"/>
          <w:b/>
          <w:bCs/>
          <w:color w:val="000000"/>
          <w:kern w:val="0"/>
          <w:sz w:val="32"/>
          <w:szCs w:val="32"/>
          <w:highlight w:val="none"/>
        </w:rPr>
        <w:t>监 理 人：</w:t>
      </w:r>
      <w:r>
        <w:rPr>
          <w:rFonts w:hint="eastAsia" w:ascii="宋体" w:hAnsi="宋体" w:eastAsia="宋体" w:cs="宋体"/>
          <w:b w:val="0"/>
          <w:bCs w:val="0"/>
          <w:color w:val="000000"/>
          <w:sz w:val="30"/>
          <w:szCs w:val="30"/>
          <w:highlight w:val="none"/>
          <w:u w:val="none"/>
        </w:rPr>
        <w:t xml:space="preserve">___________________________________      </w:t>
      </w:r>
      <w:r>
        <w:rPr>
          <w:rFonts w:hint="eastAsia" w:ascii="宋体" w:hAnsi="宋体" w:eastAsia="宋体" w:cs="宋体"/>
          <w:b w:val="0"/>
          <w:bCs w:val="0"/>
          <w:color w:val="000000"/>
          <w:sz w:val="30"/>
          <w:szCs w:val="30"/>
          <w:highlight w:val="none"/>
          <w:u w:val="single"/>
        </w:rPr>
        <w:t xml:space="preserve">              </w:t>
      </w:r>
    </w:p>
    <w:p w14:paraId="02BD514E">
      <w:pPr>
        <w:pStyle w:val="186"/>
        <w:pageBreakBefore w:val="0"/>
        <w:kinsoku/>
        <w:overflowPunct/>
        <w:bidi w:val="0"/>
        <w:spacing w:line="560" w:lineRule="exact"/>
        <w:jc w:val="both"/>
        <w:textAlignment w:val="auto"/>
        <w:rPr>
          <w:rFonts w:hint="eastAsia" w:ascii="宋体" w:hAnsi="宋体" w:eastAsia="宋体" w:cs="宋体"/>
          <w:b w:val="0"/>
          <w:bCs w:val="0"/>
          <w:color w:val="000000"/>
          <w:sz w:val="44"/>
          <w:szCs w:val="44"/>
          <w:highlight w:val="none"/>
          <w:u w:val="single"/>
        </w:rPr>
        <w:sectPr>
          <w:headerReference r:id="rId4" w:type="default"/>
          <w:footerReference r:id="rId5" w:type="default"/>
          <w:pgSz w:w="11906" w:h="16838"/>
          <w:pgMar w:top="1440" w:right="1800" w:bottom="1440" w:left="1800" w:header="851" w:footer="992" w:gutter="0"/>
          <w:pgNumType w:fmt="decimal"/>
          <w:cols w:space="720" w:num="1"/>
          <w:formProt w:val="0"/>
          <w:docGrid w:type="lines" w:linePitch="312" w:charSpace="0"/>
        </w:sectPr>
      </w:pPr>
    </w:p>
    <w:p w14:paraId="5AE1B87D">
      <w:pPr>
        <w:pStyle w:val="5"/>
        <w:numPr>
          <w:ilvl w:val="0"/>
          <w:numId w:val="0"/>
        </w:numPr>
        <w:tabs>
          <w:tab w:val="left" w:pos="576"/>
          <w:tab w:val="clear" w:pos="720"/>
        </w:tabs>
        <w:snapToGrid w:val="0"/>
        <w:spacing w:before="120" w:after="260" w:line="560" w:lineRule="exact"/>
        <w:ind w:left="573" w:leftChars="0" w:right="0" w:rightChars="0" w:hangingChars="179"/>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rPr>
        <w:t xml:space="preserve">                  </w:t>
      </w:r>
      <w:r>
        <w:rPr>
          <w:rFonts w:hint="eastAsia" w:ascii="宋体" w:hAnsi="宋体" w:eastAsia="宋体" w:cs="宋体"/>
          <w:color w:val="000000"/>
          <w:sz w:val="36"/>
          <w:szCs w:val="36"/>
          <w:highlight w:val="none"/>
        </w:rPr>
        <w:t xml:space="preserve"> </w:t>
      </w:r>
      <w:r>
        <w:rPr>
          <w:rFonts w:hint="eastAsia" w:ascii="宋体" w:hAnsi="宋体" w:cs="宋体"/>
          <w:color w:val="000000"/>
          <w:sz w:val="28"/>
          <w:szCs w:val="28"/>
          <w:highlight w:val="none"/>
        </w:rPr>
        <w:t xml:space="preserve"> </w:t>
      </w:r>
      <w:r>
        <w:rPr>
          <w:rFonts w:hint="eastAsia" w:ascii="宋体" w:hAnsi="宋体" w:eastAsia="宋体" w:cs="宋体"/>
          <w:color w:val="000000"/>
          <w:sz w:val="44"/>
          <w:szCs w:val="44"/>
          <w:highlight w:val="none"/>
        </w:rPr>
        <w:t xml:space="preserve"> 目   录</w:t>
      </w:r>
    </w:p>
    <w:p w14:paraId="6CF3F44E">
      <w:pPr>
        <w:rPr>
          <w:rFonts w:hint="default" w:ascii="Cambria" w:hAnsi="Cambria" w:eastAsia="宋体" w:cs="Times New Roman"/>
          <w:sz w:val="32"/>
          <w:szCs w:val="32"/>
        </w:rPr>
      </w:pPr>
      <w:r>
        <w:rPr>
          <w:rFonts w:hint="default" w:ascii="Cambria" w:hAnsi="Cambria" w:eastAsia="宋体" w:cs="Times New Roman"/>
          <w:sz w:val="32"/>
          <w:szCs w:val="32"/>
        </w:rPr>
        <w:t>第一部分 协议书…………………………………………</w:t>
      </w:r>
    </w:p>
    <w:p w14:paraId="35DB2BE4">
      <w:pPr>
        <w:rPr>
          <w:rFonts w:hint="default" w:ascii="Cambria" w:hAnsi="Cambria" w:eastAsia="宋体" w:cs="Times New Roman"/>
          <w:sz w:val="32"/>
          <w:szCs w:val="32"/>
        </w:rPr>
      </w:pPr>
      <w:r>
        <w:rPr>
          <w:rFonts w:hint="default" w:ascii="Cambria" w:hAnsi="Cambria" w:eastAsia="宋体" w:cs="Times New Roman"/>
          <w:sz w:val="32"/>
          <w:szCs w:val="32"/>
        </w:rPr>
        <w:t>第二部分 委托文件………………………………………</w:t>
      </w:r>
    </w:p>
    <w:p w14:paraId="41C8DF40">
      <w:pPr>
        <w:rPr>
          <w:rFonts w:hint="default" w:ascii="Cambria" w:hAnsi="Cambria" w:eastAsia="宋体" w:cs="Times New Roman"/>
          <w:sz w:val="32"/>
          <w:szCs w:val="32"/>
        </w:rPr>
      </w:pPr>
      <w:r>
        <w:rPr>
          <w:rFonts w:hint="default" w:ascii="Cambria" w:hAnsi="Cambria" w:eastAsia="宋体" w:cs="Times New Roman"/>
          <w:sz w:val="32"/>
          <w:szCs w:val="32"/>
        </w:rPr>
        <w:t>第三部分 通用条款………………………………………</w:t>
      </w:r>
    </w:p>
    <w:p w14:paraId="7B650922">
      <w:pPr>
        <w:rPr>
          <w:rFonts w:hint="default" w:ascii="Cambria" w:hAnsi="Cambria" w:eastAsia="宋体" w:cs="Times New Roman"/>
          <w:sz w:val="32"/>
          <w:szCs w:val="32"/>
        </w:rPr>
      </w:pPr>
      <w:r>
        <w:rPr>
          <w:rFonts w:hint="default" w:ascii="Cambria" w:hAnsi="Cambria" w:eastAsia="宋体" w:cs="Times New Roman"/>
          <w:sz w:val="32"/>
          <w:szCs w:val="32"/>
        </w:rPr>
        <w:t>第四部分 专用条款………………………………………</w:t>
      </w:r>
    </w:p>
    <w:p w14:paraId="1CAF68CB">
      <w:pPr>
        <w:rPr>
          <w:rFonts w:hint="default" w:ascii="Cambria" w:hAnsi="Cambria" w:eastAsia="宋体" w:cs="Times New Roman"/>
          <w:sz w:val="32"/>
          <w:szCs w:val="32"/>
        </w:rPr>
      </w:pPr>
      <w:r>
        <w:rPr>
          <w:rFonts w:hint="default" w:ascii="Cambria" w:hAnsi="Cambria" w:eastAsia="宋体" w:cs="Times New Roman"/>
          <w:sz w:val="32"/>
          <w:szCs w:val="32"/>
        </w:rPr>
        <w:t>第五部分 补充条款………………………………………</w:t>
      </w:r>
    </w:p>
    <w:p w14:paraId="54699B0A">
      <w:pPr>
        <w:spacing w:line="560" w:lineRule="exact"/>
        <w:rPr>
          <w:rFonts w:hint="eastAsia" w:ascii="宋体" w:hAnsi="宋体" w:eastAsia="宋体" w:cs="宋体"/>
          <w:color w:val="000000"/>
          <w:sz w:val="32"/>
          <w:szCs w:val="32"/>
          <w:highlight w:val="none"/>
        </w:rPr>
      </w:pPr>
    </w:p>
    <w:p w14:paraId="625DB70A">
      <w:pPr>
        <w:pStyle w:val="186"/>
        <w:pageBreakBefore w:val="0"/>
        <w:kinsoku/>
        <w:overflowPunct/>
        <w:bidi w:val="0"/>
        <w:spacing w:line="560" w:lineRule="exact"/>
        <w:textAlignment w:val="auto"/>
        <w:rPr>
          <w:rFonts w:hint="eastAsia" w:ascii="宋体" w:hAnsi="宋体" w:eastAsia="宋体" w:cs="宋体"/>
          <w:b/>
          <w:bCs/>
          <w:color w:val="000000"/>
          <w:sz w:val="36"/>
          <w:szCs w:val="36"/>
          <w:highlight w:val="none"/>
        </w:rPr>
      </w:pPr>
    </w:p>
    <w:p w14:paraId="6BA2F2AB">
      <w:pPr>
        <w:pStyle w:val="186"/>
        <w:pageBreakBefore w:val="0"/>
        <w:kinsoku/>
        <w:overflowPunct/>
        <w:bidi w:val="0"/>
        <w:spacing w:line="560" w:lineRule="exact"/>
        <w:textAlignment w:val="auto"/>
        <w:rPr>
          <w:rFonts w:hint="eastAsia" w:ascii="宋体" w:hAnsi="宋体" w:eastAsia="宋体" w:cs="宋体"/>
          <w:b/>
          <w:bCs/>
          <w:color w:val="000000"/>
          <w:sz w:val="36"/>
          <w:szCs w:val="36"/>
          <w:highlight w:val="none"/>
        </w:rPr>
      </w:pPr>
    </w:p>
    <w:p w14:paraId="533B5BA9">
      <w:pPr>
        <w:pStyle w:val="186"/>
        <w:pageBreakBefore w:val="0"/>
        <w:kinsoku/>
        <w:overflowPunct/>
        <w:bidi w:val="0"/>
        <w:spacing w:line="560" w:lineRule="exact"/>
        <w:textAlignment w:val="auto"/>
        <w:rPr>
          <w:rFonts w:hint="eastAsia" w:ascii="宋体" w:hAnsi="宋体" w:eastAsia="宋体" w:cs="宋体"/>
          <w:b/>
          <w:bCs/>
          <w:color w:val="000000"/>
          <w:sz w:val="36"/>
          <w:szCs w:val="36"/>
          <w:highlight w:val="none"/>
        </w:rPr>
      </w:pPr>
    </w:p>
    <w:p w14:paraId="4D7831F8">
      <w:pPr>
        <w:pStyle w:val="186"/>
        <w:pageBreakBefore w:val="0"/>
        <w:kinsoku/>
        <w:overflowPunct/>
        <w:bidi w:val="0"/>
        <w:spacing w:line="560" w:lineRule="exact"/>
        <w:textAlignment w:val="auto"/>
        <w:rPr>
          <w:rFonts w:hint="eastAsia" w:ascii="宋体" w:hAnsi="宋体" w:eastAsia="宋体" w:cs="宋体"/>
          <w:b/>
          <w:bCs/>
          <w:color w:val="000000"/>
          <w:sz w:val="36"/>
          <w:szCs w:val="36"/>
          <w:highlight w:val="none"/>
        </w:rPr>
      </w:pPr>
    </w:p>
    <w:p w14:paraId="373E035F">
      <w:pPr>
        <w:pStyle w:val="186"/>
        <w:pageBreakBefore w:val="0"/>
        <w:kinsoku/>
        <w:overflowPunct/>
        <w:bidi w:val="0"/>
        <w:spacing w:line="560" w:lineRule="exact"/>
        <w:textAlignment w:val="auto"/>
        <w:rPr>
          <w:rFonts w:hint="eastAsia" w:ascii="宋体" w:hAnsi="宋体" w:eastAsia="宋体" w:cs="宋体"/>
          <w:b/>
          <w:bCs/>
          <w:color w:val="000000"/>
          <w:sz w:val="36"/>
          <w:szCs w:val="36"/>
          <w:highlight w:val="none"/>
        </w:rPr>
      </w:pPr>
    </w:p>
    <w:p w14:paraId="77C1F31C">
      <w:pPr>
        <w:pStyle w:val="186"/>
        <w:pageBreakBefore w:val="0"/>
        <w:kinsoku/>
        <w:overflowPunct/>
        <w:bidi w:val="0"/>
        <w:spacing w:line="560" w:lineRule="exact"/>
        <w:textAlignment w:val="auto"/>
        <w:rPr>
          <w:rFonts w:hint="eastAsia" w:ascii="宋体" w:hAnsi="宋体" w:eastAsia="宋体" w:cs="宋体"/>
          <w:b/>
          <w:bCs/>
          <w:color w:val="000000"/>
          <w:sz w:val="36"/>
          <w:szCs w:val="36"/>
          <w:highlight w:val="none"/>
        </w:rPr>
      </w:pPr>
    </w:p>
    <w:p w14:paraId="3A850D3B">
      <w:pPr>
        <w:pStyle w:val="186"/>
        <w:pageBreakBefore w:val="0"/>
        <w:kinsoku/>
        <w:overflowPunct/>
        <w:bidi w:val="0"/>
        <w:spacing w:line="560" w:lineRule="exact"/>
        <w:textAlignment w:val="auto"/>
        <w:rPr>
          <w:rFonts w:hint="eastAsia" w:ascii="宋体" w:hAnsi="宋体" w:eastAsia="宋体" w:cs="宋体"/>
          <w:b/>
          <w:bCs/>
          <w:color w:val="000000"/>
          <w:sz w:val="36"/>
          <w:szCs w:val="36"/>
          <w:highlight w:val="none"/>
        </w:rPr>
      </w:pPr>
    </w:p>
    <w:p w14:paraId="12070C57">
      <w:pPr>
        <w:pStyle w:val="186"/>
        <w:pageBreakBefore w:val="0"/>
        <w:kinsoku/>
        <w:overflowPunct/>
        <w:bidi w:val="0"/>
        <w:spacing w:line="560" w:lineRule="exact"/>
        <w:textAlignment w:val="auto"/>
        <w:rPr>
          <w:rFonts w:hint="eastAsia" w:ascii="宋体" w:hAnsi="宋体" w:eastAsia="宋体" w:cs="宋体"/>
          <w:b/>
          <w:bCs/>
          <w:color w:val="000000"/>
          <w:sz w:val="36"/>
          <w:szCs w:val="36"/>
          <w:highlight w:val="none"/>
        </w:rPr>
      </w:pPr>
    </w:p>
    <w:p w14:paraId="1529B8C4">
      <w:pPr>
        <w:pStyle w:val="186"/>
        <w:pageBreakBefore w:val="0"/>
        <w:kinsoku/>
        <w:overflowPunct/>
        <w:bidi w:val="0"/>
        <w:spacing w:line="560" w:lineRule="exact"/>
        <w:textAlignment w:val="auto"/>
        <w:rPr>
          <w:rFonts w:hint="eastAsia" w:ascii="宋体" w:hAnsi="宋体" w:eastAsia="宋体" w:cs="宋体"/>
          <w:b/>
          <w:bCs/>
          <w:color w:val="000000"/>
          <w:sz w:val="36"/>
          <w:szCs w:val="36"/>
          <w:highlight w:val="none"/>
        </w:rPr>
      </w:pPr>
    </w:p>
    <w:p w14:paraId="64DED49C">
      <w:pPr>
        <w:rPr>
          <w:rFonts w:hint="eastAsia" w:ascii="宋体" w:hAnsi="宋体" w:eastAsia="宋体" w:cs="宋体"/>
          <w:b/>
          <w:bCs/>
          <w:color w:val="000000"/>
          <w:sz w:val="36"/>
          <w:szCs w:val="36"/>
          <w:highlight w:val="none"/>
        </w:rPr>
      </w:pPr>
    </w:p>
    <w:p w14:paraId="525E7E4C">
      <w:pPr>
        <w:pStyle w:val="2"/>
        <w:rPr>
          <w:rFonts w:hint="eastAsia" w:ascii="宋体" w:hAnsi="宋体" w:eastAsia="宋体" w:cs="宋体"/>
          <w:b/>
          <w:bCs/>
          <w:color w:val="000000"/>
          <w:sz w:val="36"/>
          <w:szCs w:val="36"/>
          <w:highlight w:val="none"/>
        </w:rPr>
      </w:pPr>
    </w:p>
    <w:p w14:paraId="090AABA8">
      <w:pPr>
        <w:pStyle w:val="3"/>
        <w:rPr>
          <w:rFonts w:hint="eastAsia" w:ascii="宋体" w:hAnsi="宋体" w:eastAsia="宋体" w:cs="宋体"/>
          <w:b/>
          <w:bCs/>
          <w:color w:val="000000"/>
          <w:sz w:val="36"/>
          <w:szCs w:val="36"/>
          <w:highlight w:val="none"/>
        </w:rPr>
      </w:pPr>
    </w:p>
    <w:p w14:paraId="1795C256">
      <w:pPr>
        <w:rPr>
          <w:rFonts w:hint="eastAsia" w:ascii="宋体" w:hAnsi="宋体" w:eastAsia="宋体" w:cs="宋体"/>
          <w:b/>
          <w:bCs/>
          <w:color w:val="000000"/>
          <w:sz w:val="36"/>
          <w:szCs w:val="36"/>
          <w:highlight w:val="none"/>
        </w:rPr>
      </w:pPr>
    </w:p>
    <w:p w14:paraId="252E31B7">
      <w:pPr>
        <w:pStyle w:val="2"/>
        <w:rPr>
          <w:rFonts w:hint="eastAsia"/>
        </w:rPr>
      </w:pPr>
    </w:p>
    <w:p w14:paraId="3E0E0785">
      <w:pPr>
        <w:pStyle w:val="186"/>
        <w:pageBreakBefore w:val="0"/>
        <w:kinsoku/>
        <w:overflowPunct/>
        <w:bidi w:val="0"/>
        <w:spacing w:line="560" w:lineRule="exact"/>
        <w:textAlignment w:val="auto"/>
        <w:rPr>
          <w:rFonts w:hint="eastAsia" w:ascii="宋体" w:hAnsi="宋体" w:eastAsia="宋体" w:cs="宋体"/>
          <w:b/>
          <w:bCs/>
          <w:color w:val="000000"/>
          <w:sz w:val="36"/>
          <w:szCs w:val="36"/>
          <w:highlight w:val="none"/>
        </w:rPr>
      </w:pPr>
      <w:r>
        <w:rPr>
          <w:rFonts w:hint="eastAsia" w:ascii="宋体" w:hAnsi="宋体" w:cs="宋体"/>
          <w:b/>
          <w:bCs/>
          <w:color w:val="000000"/>
          <w:sz w:val="36"/>
          <w:szCs w:val="36"/>
          <w:highlight w:val="none"/>
        </w:rPr>
        <w:t>第一部分  协议书</w:t>
      </w:r>
    </w:p>
    <w:p w14:paraId="36EDCA3F">
      <w:pPr>
        <w:pageBreakBefore w:val="0"/>
        <w:kinsoku/>
        <w:overflowPunct/>
        <w:bidi w:val="0"/>
        <w:spacing w:line="560" w:lineRule="exact"/>
        <w:ind w:left="0" w:leftChars="0" w:right="0" w:rightChars="0" w:firstLineChars="350"/>
        <w:textAlignment w:val="auto"/>
        <w:rPr>
          <w:rFonts w:hint="eastAsia" w:ascii="宋体" w:hAnsi="宋体" w:eastAsia="宋体" w:cs="宋体"/>
          <w:b w:val="0"/>
          <w:bCs w:val="0"/>
          <w:color w:val="000000"/>
          <w:kern w:val="2"/>
          <w:sz w:val="24"/>
          <w:szCs w:val="24"/>
          <w:highlight w:val="none"/>
        </w:rPr>
      </w:pPr>
    </w:p>
    <w:p w14:paraId="482F9BAB">
      <w:pPr>
        <w:pageBreakBefore w:val="0"/>
        <w:kinsoku/>
        <w:overflowPunct/>
        <w:bidi w:val="0"/>
        <w:snapToGrid w:val="0"/>
        <w:spacing w:line="560" w:lineRule="exact"/>
        <w:jc w:val="left"/>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    </w:t>
      </w:r>
      <w:r>
        <w:rPr>
          <w:rFonts w:hint="eastAsia" w:ascii="宋体" w:hAnsi="宋体" w:cs="宋体"/>
          <w:b w:val="0"/>
          <w:bCs w:val="0"/>
          <w:color w:val="000000"/>
          <w:kern w:val="2"/>
          <w:sz w:val="24"/>
          <w:szCs w:val="24"/>
          <w:highlight w:val="none"/>
        </w:rPr>
        <w:t>根据《中华人民共和国民法典》、《中华人民共和国建筑法》、《深圳经济特区建设工程监理条例》及其他有关法律、法规，遵循平等、自愿、公平和诚信的原则，双方就下述工程委托监理与相关服务事项协商一致，订立本合同。</w:t>
      </w:r>
    </w:p>
    <w:p w14:paraId="605F6A1E">
      <w:pPr>
        <w:pStyle w:val="186"/>
        <w:pageBreakBefore w:val="0"/>
        <w:kinsoku/>
        <w:overflowPunct/>
        <w:bidi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一、工程概况</w:t>
      </w:r>
    </w:p>
    <w:p w14:paraId="3E5A2C5D">
      <w:pPr>
        <w:pStyle w:val="2"/>
        <w:pageBreakBefore w:val="0"/>
        <w:tabs>
          <w:tab w:val="left" w:pos="2083"/>
        </w:tabs>
        <w:kinsoku/>
        <w:overflowPunct/>
        <w:bidi w:val="0"/>
        <w:spacing w:line="560" w:lineRule="exact"/>
        <w:ind w:left="1920" w:leftChars="0" w:right="0" w:rightChars="0" w:hangingChars="800"/>
        <w:jc w:val="left"/>
        <w:textAlignment w:val="auto"/>
        <w:rPr>
          <w:rFonts w:hint="eastAsia" w:ascii="宋体" w:hAnsi="宋体" w:eastAsia="宋体" w:cs="宋体"/>
          <w:b w:val="0"/>
          <w:bCs w:val="0"/>
          <w:color w:val="000000"/>
          <w:kern w:val="2"/>
          <w:sz w:val="24"/>
          <w:szCs w:val="24"/>
          <w:highlight w:val="none"/>
        </w:rPr>
      </w:pPr>
      <w:r>
        <w:rPr>
          <w:rFonts w:hint="eastAsia" w:eastAsia="宋体" w:cs="宋体"/>
          <w:b w:val="0"/>
          <w:bCs w:val="0"/>
          <w:color w:val="000000"/>
          <w:kern w:val="2"/>
          <w:sz w:val="24"/>
          <w:szCs w:val="24"/>
          <w:highlight w:val="none"/>
        </w:rPr>
        <w:t xml:space="preserve">    1.</w:t>
      </w:r>
      <w:r>
        <w:rPr>
          <w:rFonts w:hint="eastAsia" w:ascii="宋体" w:hAnsi="宋体" w:cs="宋体"/>
          <w:b w:val="0"/>
          <w:bCs w:val="0"/>
          <w:color w:val="000000"/>
          <w:kern w:val="2"/>
          <w:sz w:val="24"/>
          <w:szCs w:val="24"/>
          <w:highlight w:val="none"/>
        </w:rPr>
        <w:t>工程名称：</w:t>
      </w:r>
      <w:r>
        <w:rPr>
          <w:rFonts w:hint="eastAsia" w:cs="宋体"/>
          <w:color w:val="000000"/>
          <w:sz w:val="24"/>
          <w:szCs w:val="24"/>
          <w:highlight w:val="none"/>
          <w:u w:val="single"/>
        </w:rPr>
        <w:t>深圳建筑产业生态智谷总部基地一期二单元</w:t>
      </w:r>
      <w:r>
        <w:rPr>
          <w:rFonts w:hint="eastAsia" w:eastAsia="宋体" w:cs="宋体"/>
          <w:color w:val="000000"/>
          <w:sz w:val="24"/>
          <w:szCs w:val="24"/>
          <w:highlight w:val="none"/>
          <w:u w:val="single"/>
        </w:rPr>
        <w:t>15</w:t>
      </w:r>
      <w:r>
        <w:rPr>
          <w:rFonts w:hint="eastAsia" w:cs="宋体"/>
          <w:color w:val="000000"/>
          <w:sz w:val="24"/>
          <w:szCs w:val="24"/>
          <w:highlight w:val="none"/>
          <w:u w:val="single"/>
        </w:rPr>
        <w:t>、</w:t>
      </w:r>
      <w:r>
        <w:rPr>
          <w:rFonts w:hint="eastAsia" w:eastAsia="宋体" w:cs="宋体"/>
          <w:color w:val="000000"/>
          <w:sz w:val="24"/>
          <w:szCs w:val="24"/>
          <w:highlight w:val="none"/>
          <w:u w:val="single"/>
        </w:rPr>
        <w:t>16</w:t>
      </w:r>
      <w:r>
        <w:rPr>
          <w:rFonts w:hint="eastAsia" w:cs="宋体"/>
          <w:color w:val="000000"/>
          <w:sz w:val="24"/>
          <w:szCs w:val="24"/>
          <w:highlight w:val="none"/>
          <w:u w:val="single"/>
        </w:rPr>
        <w:t>层办公用房提升工程</w:t>
      </w:r>
    </w:p>
    <w:p w14:paraId="75ED6F46">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color w:val="000000"/>
          <w:kern w:val="0"/>
          <w:sz w:val="24"/>
          <w:szCs w:val="24"/>
          <w:highlight w:val="none"/>
          <w:u w:val="single"/>
        </w:rPr>
      </w:pPr>
      <w:r>
        <w:rPr>
          <w:rFonts w:hint="eastAsia" w:ascii="宋体" w:hAnsi="宋体" w:eastAsia="宋体" w:cs="宋体"/>
          <w:b w:val="0"/>
          <w:bCs w:val="0"/>
          <w:color w:val="000000"/>
          <w:kern w:val="2"/>
          <w:sz w:val="24"/>
          <w:szCs w:val="24"/>
          <w:highlight w:val="none"/>
        </w:rPr>
        <w:t>2.</w:t>
      </w:r>
      <w:r>
        <w:rPr>
          <w:rFonts w:hint="eastAsia" w:ascii="宋体" w:hAnsi="宋体" w:cs="宋体"/>
          <w:b w:val="0"/>
          <w:bCs w:val="0"/>
          <w:color w:val="000000"/>
          <w:kern w:val="2"/>
          <w:sz w:val="24"/>
          <w:szCs w:val="24"/>
          <w:highlight w:val="none"/>
        </w:rPr>
        <w:t>工程地点：</w:t>
      </w:r>
      <w:r>
        <w:rPr>
          <w:rFonts w:hint="eastAsia" w:ascii="宋体" w:hAnsi="宋体" w:cs="宋体"/>
          <w:color w:val="000000"/>
          <w:kern w:val="0"/>
          <w:sz w:val="24"/>
          <w:szCs w:val="24"/>
          <w:highlight w:val="none"/>
          <w:u w:val="single"/>
        </w:rPr>
        <w:t>深圳市龙岗区</w:t>
      </w:r>
    </w:p>
    <w:p w14:paraId="440ED2B3">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color w:val="000000"/>
          <w:kern w:val="0"/>
          <w:sz w:val="24"/>
          <w:szCs w:val="24"/>
          <w:highlight w:val="none"/>
          <w:u w:val="single"/>
        </w:rPr>
      </w:pPr>
      <w:r>
        <w:rPr>
          <w:rFonts w:hint="eastAsia" w:ascii="宋体" w:hAnsi="宋体" w:eastAsia="宋体" w:cs="宋体"/>
          <w:b w:val="0"/>
          <w:bCs w:val="0"/>
          <w:color w:val="000000"/>
          <w:kern w:val="2"/>
          <w:sz w:val="24"/>
          <w:szCs w:val="24"/>
          <w:highlight w:val="none"/>
        </w:rPr>
        <w:t>3.</w:t>
      </w:r>
      <w:r>
        <w:rPr>
          <w:rFonts w:hint="eastAsia" w:ascii="宋体" w:hAnsi="宋体" w:cs="宋体"/>
          <w:b w:val="0"/>
          <w:bCs w:val="0"/>
          <w:color w:val="000000"/>
          <w:kern w:val="2"/>
          <w:sz w:val="24"/>
          <w:szCs w:val="24"/>
          <w:highlight w:val="none"/>
        </w:rPr>
        <w:t>工程规模：</w:t>
      </w:r>
      <w:r>
        <w:rPr>
          <w:rFonts w:hint="eastAsia" w:ascii="宋体" w:hAnsi="宋体" w:eastAsia="宋体" w:cs="宋体"/>
          <w:color w:val="000000"/>
          <w:kern w:val="0"/>
          <w:sz w:val="24"/>
          <w:szCs w:val="24"/>
          <w:highlight w:val="none"/>
          <w:u w:val="single"/>
        </w:rPr>
        <w:t>本工程主要对对深圳建筑产业生态智谷总部基地一期1栋二单元15及16层，五单元3层、六单元半地下一层局部区域（深圳市龙岗区建筑科技公司）办公用房进行装修，总装修建筑面积约为4477平方米（具体以房源实际测绘面积为准），其中二单元15及16层为办公室，五单元3层为档案室，六单元半地下一层局部区域为食堂。</w:t>
      </w:r>
    </w:p>
    <w:p w14:paraId="51FFFDC1">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color w:val="000000"/>
          <w:kern w:val="0"/>
          <w:sz w:val="24"/>
          <w:szCs w:val="24"/>
          <w:highlight w:val="none"/>
          <w:u w:val="single"/>
        </w:rPr>
      </w:pPr>
      <w:r>
        <w:rPr>
          <w:rFonts w:hint="eastAsia" w:ascii="宋体" w:hAnsi="宋体" w:eastAsia="宋体" w:cs="宋体"/>
          <w:color w:val="000000"/>
          <w:kern w:val="0"/>
          <w:sz w:val="24"/>
          <w:szCs w:val="24"/>
          <w:highlight w:val="none"/>
          <w:u w:val="single"/>
        </w:rPr>
        <w:t>主要建设内容包含室内装修、水电安装、暖通工程、办公网络信息系统、机房设备、会议系统、标识标牌等内容。</w:t>
      </w:r>
    </w:p>
    <w:p w14:paraId="4E7F91D9">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kern w:val="0"/>
          <w:sz w:val="24"/>
          <w:szCs w:val="24"/>
          <w:highlight w:val="none"/>
        </w:rPr>
      </w:pPr>
      <w:r>
        <w:rPr>
          <w:rFonts w:hint="eastAsia" w:ascii="宋体" w:hAnsi="宋体" w:eastAsia="宋体" w:cs="宋体"/>
          <w:color w:val="000000"/>
          <w:kern w:val="0"/>
          <w:sz w:val="24"/>
          <w:szCs w:val="24"/>
          <w:highlight w:val="none"/>
          <w:u w:val="single"/>
        </w:rPr>
        <w:t>估算总投资671.55万元。</w:t>
      </w:r>
    </w:p>
    <w:p w14:paraId="34F76746">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4.</w:t>
      </w:r>
      <w:r>
        <w:rPr>
          <w:rFonts w:hint="eastAsia" w:ascii="宋体" w:hAnsi="宋体" w:cs="宋体"/>
          <w:b w:val="0"/>
          <w:bCs w:val="0"/>
          <w:color w:val="000000"/>
          <w:kern w:val="2"/>
          <w:sz w:val="24"/>
          <w:szCs w:val="24"/>
          <w:highlight w:val="none"/>
        </w:rPr>
        <w:t>工程类别：</w:t>
      </w:r>
      <w:r>
        <w:rPr>
          <w:rFonts w:hint="eastAsia" w:ascii="宋体" w:hAnsi="宋体" w:eastAsia="宋体" w:cs="宋体"/>
          <w:b w:val="0"/>
          <w:bCs w:val="0"/>
          <w:color w:val="000000"/>
          <w:sz w:val="24"/>
          <w:szCs w:val="24"/>
          <w:highlight w:val="none"/>
        </w:rPr>
        <w:t>____/_______</w:t>
      </w:r>
      <w:r>
        <w:rPr>
          <w:rFonts w:hint="eastAsia" w:ascii="宋体" w:hAnsi="宋体" w:eastAsia="宋体" w:cs="宋体"/>
          <w:b w:val="0"/>
          <w:bCs w:val="0"/>
          <w:color w:val="000000"/>
          <w:kern w:val="2"/>
          <w:sz w:val="24"/>
          <w:szCs w:val="24"/>
          <w:highlight w:val="none"/>
          <w:u w:val="single"/>
        </w:rPr>
        <w:t xml:space="preserve">          </w:t>
      </w:r>
      <w:r>
        <w:rPr>
          <w:rFonts w:hint="eastAsia" w:ascii="宋体" w:hAnsi="宋体" w:eastAsia="宋体" w:cs="宋体"/>
          <w:b w:val="0"/>
          <w:bCs w:val="0"/>
          <w:color w:val="000000"/>
          <w:kern w:val="2"/>
          <w:sz w:val="24"/>
          <w:szCs w:val="24"/>
          <w:highlight w:val="none"/>
        </w:rPr>
        <w:t xml:space="preserve">          </w:t>
      </w:r>
    </w:p>
    <w:p w14:paraId="6902E258">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kern w:val="2"/>
          <w:sz w:val="24"/>
          <w:szCs w:val="24"/>
          <w:highlight w:val="none"/>
          <w:u w:val="single"/>
        </w:rPr>
      </w:pPr>
      <w:r>
        <w:rPr>
          <w:rFonts w:hint="eastAsia" w:ascii="宋体" w:hAnsi="宋体" w:eastAsia="宋体" w:cs="宋体"/>
          <w:b w:val="0"/>
          <w:bCs w:val="0"/>
          <w:color w:val="000000"/>
          <w:kern w:val="2"/>
          <w:sz w:val="24"/>
          <w:szCs w:val="24"/>
          <w:highlight w:val="none"/>
        </w:rPr>
        <w:t>5.</w:t>
      </w:r>
      <w:r>
        <w:rPr>
          <w:rFonts w:hint="eastAsia" w:ascii="宋体" w:hAnsi="宋体" w:cs="宋体"/>
          <w:b w:val="0"/>
          <w:bCs w:val="0"/>
          <w:color w:val="000000"/>
          <w:kern w:val="2"/>
          <w:sz w:val="24"/>
          <w:szCs w:val="24"/>
          <w:highlight w:val="none"/>
        </w:rPr>
        <w:t>投资性质：</w:t>
      </w:r>
      <w:r>
        <w:rPr>
          <w:rFonts w:hint="eastAsia" w:ascii="宋体" w:hAnsi="宋体" w:eastAsia="宋体" w:cs="宋体"/>
          <w:b w:val="0"/>
          <w:bCs w:val="0"/>
          <w:color w:val="000000"/>
          <w:kern w:val="2"/>
          <w:sz w:val="24"/>
          <w:szCs w:val="24"/>
          <w:highlight w:val="none"/>
        </w:rPr>
        <w:t>_____/______</w:t>
      </w:r>
    </w:p>
    <w:p w14:paraId="53CA992E">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kern w:val="2"/>
          <w:sz w:val="24"/>
          <w:szCs w:val="24"/>
          <w:highlight w:val="none"/>
          <w:u w:val="single"/>
        </w:rPr>
      </w:pPr>
      <w:r>
        <w:rPr>
          <w:rFonts w:hint="eastAsia" w:ascii="宋体" w:hAnsi="宋体" w:eastAsia="宋体" w:cs="宋体"/>
          <w:b w:val="0"/>
          <w:bCs w:val="0"/>
          <w:color w:val="000000"/>
          <w:kern w:val="2"/>
          <w:sz w:val="24"/>
          <w:szCs w:val="24"/>
          <w:highlight w:val="none"/>
        </w:rPr>
        <w:t>6.</w:t>
      </w:r>
      <w:r>
        <w:rPr>
          <w:rFonts w:hint="eastAsia" w:ascii="宋体" w:hAnsi="宋体" w:cs="宋体"/>
          <w:b w:val="0"/>
          <w:bCs w:val="0"/>
          <w:color w:val="000000"/>
          <w:kern w:val="2"/>
          <w:sz w:val="24"/>
          <w:szCs w:val="24"/>
          <w:highlight w:val="none"/>
        </w:rPr>
        <w:t>工程估算：</w:t>
      </w:r>
      <w:r>
        <w:rPr>
          <w:rFonts w:hint="eastAsia" w:ascii="宋体" w:hAnsi="宋体" w:eastAsia="宋体" w:cs="宋体"/>
          <w:b w:val="0"/>
          <w:bCs w:val="0"/>
          <w:color w:val="000000"/>
          <w:kern w:val="2"/>
          <w:sz w:val="24"/>
          <w:szCs w:val="24"/>
          <w:highlight w:val="none"/>
        </w:rPr>
        <w:t>_____/____</w:t>
      </w:r>
      <w:r>
        <w:rPr>
          <w:rFonts w:hint="eastAsia" w:ascii="宋体" w:hAnsi="宋体" w:eastAsia="宋体" w:cs="宋体"/>
          <w:b w:val="0"/>
          <w:bCs w:val="0"/>
          <w:color w:val="000000"/>
          <w:kern w:val="2"/>
          <w:sz w:val="24"/>
          <w:szCs w:val="24"/>
          <w:highlight w:val="none"/>
          <w:u w:val="single"/>
        </w:rPr>
        <w:t xml:space="preserve"> </w:t>
      </w:r>
    </w:p>
    <w:p w14:paraId="05A1C74F">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kern w:val="2"/>
          <w:sz w:val="24"/>
          <w:szCs w:val="24"/>
          <w:highlight w:val="none"/>
          <w:u w:val="single"/>
        </w:rPr>
      </w:pPr>
      <w:r>
        <w:rPr>
          <w:rFonts w:hint="eastAsia" w:ascii="宋体" w:hAnsi="宋体" w:eastAsia="宋体" w:cs="宋体"/>
          <w:b w:val="0"/>
          <w:bCs w:val="0"/>
          <w:color w:val="000000"/>
          <w:kern w:val="2"/>
          <w:sz w:val="24"/>
          <w:szCs w:val="24"/>
          <w:highlight w:val="none"/>
        </w:rPr>
        <w:t>7.</w:t>
      </w:r>
      <w:r>
        <w:rPr>
          <w:rFonts w:hint="eastAsia" w:ascii="宋体" w:hAnsi="宋体" w:cs="宋体"/>
          <w:b w:val="0"/>
          <w:bCs w:val="0"/>
          <w:color w:val="000000"/>
          <w:kern w:val="2"/>
          <w:sz w:val="24"/>
          <w:szCs w:val="24"/>
          <w:highlight w:val="none"/>
        </w:rPr>
        <w:t xml:space="preserve">其它： </w:t>
      </w:r>
      <w:r>
        <w:rPr>
          <w:rFonts w:hint="eastAsia" w:ascii="宋体" w:hAnsi="宋体" w:eastAsia="宋体" w:cs="宋体"/>
          <w:b w:val="0"/>
          <w:bCs w:val="0"/>
          <w:color w:val="000000"/>
          <w:sz w:val="24"/>
          <w:szCs w:val="24"/>
          <w:highlight w:val="none"/>
        </w:rPr>
        <w:t>____/_______</w:t>
      </w:r>
      <w:r>
        <w:rPr>
          <w:rFonts w:hint="eastAsia" w:ascii="宋体" w:hAnsi="宋体" w:cs="宋体"/>
          <w:b w:val="0"/>
          <w:bCs w:val="0"/>
          <w:color w:val="000000"/>
          <w:kern w:val="2"/>
          <w:sz w:val="24"/>
          <w:szCs w:val="24"/>
          <w:highlight w:val="none"/>
        </w:rPr>
        <w:t>。</w:t>
      </w:r>
    </w:p>
    <w:p w14:paraId="5011612F">
      <w:pPr>
        <w:pStyle w:val="186"/>
        <w:pageBreakBefore w:val="0"/>
        <w:kinsoku/>
        <w:overflowPunct/>
        <w:bidi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二、词语含义</w:t>
      </w:r>
    </w:p>
    <w:p w14:paraId="5E34478A">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协议书中相关词语的含义与通用条款中的定义与解释相同。</w:t>
      </w:r>
    </w:p>
    <w:p w14:paraId="2CA6A131">
      <w:pPr>
        <w:pStyle w:val="186"/>
        <w:pageBreakBefore w:val="0"/>
        <w:kinsoku/>
        <w:overflowPunct/>
        <w:bidi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三、本合同由以下文件组成，以下文件存在不一致的，以下列排序在前的文件为准。</w:t>
      </w:r>
    </w:p>
    <w:p w14:paraId="0ABFAFB9">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w:t>
      </w:r>
      <w:r>
        <w:rPr>
          <w:rFonts w:hint="eastAsia" w:ascii="宋体" w:hAnsi="宋体" w:cs="宋体"/>
          <w:b w:val="0"/>
          <w:bCs w:val="0"/>
          <w:color w:val="000000"/>
          <w:sz w:val="24"/>
          <w:szCs w:val="24"/>
          <w:highlight w:val="none"/>
        </w:rPr>
        <w:t>协议书；</w:t>
      </w:r>
    </w:p>
    <w:p w14:paraId="228A5AE0">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2.中标通知书（适用于招标工程）或委托文件（适用于非招标工程）；</w:t>
      </w:r>
    </w:p>
    <w:p w14:paraId="44CC0FA8">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3.补充条款；</w:t>
      </w:r>
    </w:p>
    <w:p w14:paraId="6C85154F">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4.专用条款；</w:t>
      </w:r>
    </w:p>
    <w:p w14:paraId="7E6FE467">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5.通用条款；</w:t>
      </w:r>
    </w:p>
    <w:p w14:paraId="51D3A232">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6.本合同附件，包括《建设工程廉政责任合同》《安全生产责任书》《建设工程承包商（监理）履约评分表》《龙岗区进一步规范政商交往行为告知书》及委托人现行有效的《深圳市龙岗区城投新基础设施建设管理有限公司工程建设项目合同履约考核实施细则》；</w:t>
      </w:r>
    </w:p>
    <w:p w14:paraId="1FFC4C4E">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7.监理人的投标文件及其在投标过程中所作的全部承诺（适用于招标工程）或监理与相关服务建议书（适用于非招标工程）。</w:t>
      </w:r>
    </w:p>
    <w:p w14:paraId="4C576A4F">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前项第7项文件中监理人所作的承诺，其标准高于本合同其他文件约定的，从其承诺；与本合同其他文件相抵触或者低于其约定标准的，以本合同其他文件为准。监理人在投标文件中所作的保留、偏离或者附条件的表述，未经委托人书面确认的，对委托人不发生效力。</w:t>
      </w:r>
    </w:p>
    <w:p w14:paraId="311D1750">
      <w:pPr>
        <w:snapToGrid w:val="0"/>
        <w:spacing w:line="560" w:lineRule="exact"/>
        <w:ind w:left="0" w:leftChars="0" w:right="0" w:rightChars="0" w:firstLineChars="200"/>
        <w:rPr>
          <w:rFonts w:hint="eastAsia" w:ascii="宋体" w:hAnsi="宋体" w:eastAsia="宋体" w:cs="宋体"/>
          <w:b w:val="0"/>
          <w:bCs w:val="0"/>
          <w:color w:val="000000"/>
          <w:kern w:val="2"/>
          <w:sz w:val="24"/>
          <w:szCs w:val="24"/>
          <w:highlight w:val="none"/>
        </w:rPr>
      </w:pPr>
      <w:r>
        <w:rPr>
          <w:rFonts w:hint="eastAsia" w:ascii="宋体" w:hAnsi="宋体" w:cs="宋体"/>
          <w:b w:val="0"/>
          <w:bCs w:val="0"/>
          <w:color w:val="000000"/>
          <w:kern w:val="2"/>
          <w:sz w:val="24"/>
          <w:szCs w:val="24"/>
          <w:highlight w:val="none"/>
        </w:rPr>
        <w:t>本合同签订后，双方签订的补充协议与本合同发生矛盾或歧义时，应以最新签署的为准。</w:t>
      </w:r>
    </w:p>
    <w:p w14:paraId="4BF3C5C4">
      <w:pPr>
        <w:snapToGrid w:val="0"/>
        <w:spacing w:line="560" w:lineRule="exact"/>
        <w:ind w:left="0" w:leftChars="0" w:right="0" w:rightChars="0" w:firstLineChars="200"/>
        <w:rPr>
          <w:rFonts w:hint="eastAsia" w:ascii="宋体" w:hAnsi="宋体" w:eastAsia="宋体" w:cs="宋体"/>
          <w:b w:val="0"/>
          <w:bCs w:val="0"/>
          <w:color w:val="000000"/>
          <w:kern w:val="2"/>
          <w:sz w:val="24"/>
          <w:szCs w:val="24"/>
          <w:highlight w:val="none"/>
        </w:rPr>
      </w:pPr>
      <w:r>
        <w:rPr>
          <w:rFonts w:hint="eastAsia" w:ascii="宋体" w:hAnsi="宋体" w:cs="宋体"/>
          <w:b w:val="0"/>
          <w:bCs w:val="0"/>
          <w:color w:val="000000"/>
          <w:kern w:val="2"/>
          <w:sz w:val="24"/>
          <w:szCs w:val="24"/>
          <w:highlight w:val="none"/>
        </w:rPr>
        <w:t>四、签约酬金</w:t>
      </w:r>
    </w:p>
    <w:p w14:paraId="4199CC21">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kern w:val="2"/>
          <w:sz w:val="24"/>
          <w:szCs w:val="24"/>
          <w:highlight w:val="none"/>
        </w:rPr>
      </w:pPr>
      <w:r>
        <w:rPr>
          <w:rFonts w:hint="eastAsia" w:ascii="宋体" w:hAnsi="宋体" w:cs="宋体"/>
          <w:b w:val="0"/>
          <w:bCs w:val="0"/>
          <w:color w:val="000000"/>
          <w:kern w:val="2"/>
          <w:sz w:val="24"/>
          <w:szCs w:val="24"/>
          <w:highlight w:val="none"/>
        </w:rPr>
        <w:t>按照第四部分《专用条款》第</w:t>
      </w:r>
      <w:r>
        <w:rPr>
          <w:rFonts w:hint="eastAsia" w:ascii="宋体" w:hAnsi="宋体" w:eastAsia="宋体" w:cs="宋体"/>
          <w:b w:val="0"/>
          <w:bCs w:val="0"/>
          <w:color w:val="000000"/>
          <w:kern w:val="2"/>
          <w:sz w:val="24"/>
          <w:szCs w:val="24"/>
          <w:highlight w:val="none"/>
        </w:rPr>
        <w:t>5.1</w:t>
      </w:r>
      <w:r>
        <w:rPr>
          <w:rFonts w:hint="eastAsia" w:ascii="宋体" w:hAnsi="宋体" w:cs="宋体"/>
          <w:b w:val="0"/>
          <w:bCs w:val="0"/>
          <w:color w:val="000000"/>
          <w:kern w:val="2"/>
          <w:sz w:val="24"/>
          <w:szCs w:val="24"/>
          <w:highlight w:val="none"/>
        </w:rPr>
        <w:t>条《酬金计取》的计取，本工程所有工程监理与相关服务的签约酬金暂定总金额为</w:t>
      </w:r>
      <w:r>
        <w:rPr>
          <w:rFonts w:hint="eastAsia" w:ascii="宋体" w:hAnsi="宋体" w:cs="宋体"/>
          <w:b w:val="0"/>
          <w:bCs w:val="0"/>
          <w:color w:val="000000"/>
          <w:sz w:val="24"/>
          <w:szCs w:val="24"/>
          <w:highlight w:val="none"/>
        </w:rPr>
        <w:t>（大写）：</w:t>
      </w:r>
      <w:r>
        <w:rPr>
          <w:rFonts w:hint="eastAsia" w:ascii="宋体" w:hAnsi="宋体" w:eastAsia="宋体" w:cs="宋体"/>
          <w:b w:val="0"/>
          <w:bCs w:val="0"/>
          <w:color w:val="000000"/>
          <w:sz w:val="24"/>
          <w:szCs w:val="24"/>
          <w:highlight w:val="none"/>
        </w:rPr>
        <w:t>______________</w:t>
      </w:r>
      <w:r>
        <w:rPr>
          <w:rFonts w:hint="eastAsia" w:ascii="宋体" w:hAnsi="宋体" w:cs="宋体"/>
          <w:b w:val="0"/>
          <w:bCs w:val="0"/>
          <w:color w:val="000000"/>
          <w:sz w:val="24"/>
          <w:szCs w:val="24"/>
          <w:highlight w:val="none"/>
        </w:rPr>
        <w:t>（￥</w:t>
      </w:r>
      <w:r>
        <w:rPr>
          <w:rFonts w:hint="eastAsia" w:ascii="宋体" w:hAnsi="宋体" w:eastAsia="宋体" w:cs="宋体"/>
          <w:b w:val="0"/>
          <w:bCs w:val="0"/>
          <w:color w:val="000000"/>
          <w:sz w:val="24"/>
          <w:szCs w:val="24"/>
          <w:highlight w:val="none"/>
        </w:rPr>
        <w:t>______</w:t>
      </w:r>
      <w:r>
        <w:rPr>
          <w:rFonts w:hint="eastAsia" w:ascii="宋体" w:hAnsi="宋体" w:cs="宋体"/>
          <w:b w:val="0"/>
          <w:bCs w:val="0"/>
          <w:color w:val="000000"/>
          <w:sz w:val="24"/>
          <w:szCs w:val="24"/>
          <w:highlight w:val="none"/>
        </w:rPr>
        <w:t>万元）（含税及保修阶段费用）。</w:t>
      </w:r>
    </w:p>
    <w:p w14:paraId="777513B5">
      <w:pPr>
        <w:pStyle w:val="186"/>
        <w:pageBreakBefore w:val="0"/>
        <w:kinsoku/>
        <w:overflowPunct/>
        <w:bidi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五、工作期限</w:t>
      </w:r>
    </w:p>
    <w:p w14:paraId="0E48BA7E">
      <w:pPr>
        <w:pageBreakBefore w:val="0"/>
        <w:kinsoku/>
        <w:overflowPunct/>
        <w:bidi w:val="0"/>
        <w:snapToGrid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kern w:val="2"/>
          <w:sz w:val="24"/>
          <w:szCs w:val="24"/>
          <w:highlight w:val="none"/>
        </w:rPr>
        <w:t>工程监理与相关服务期限：</w:t>
      </w:r>
    </w:p>
    <w:p w14:paraId="5A90526A">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u w:val="none"/>
        </w:rPr>
      </w:pPr>
      <w:r>
        <w:rPr>
          <w:rFonts w:hint="eastAsia" w:ascii="宋体" w:hAnsi="宋体" w:cs="宋体"/>
          <w:b w:val="0"/>
          <w:bCs w:val="0"/>
          <w:color w:val="000000"/>
          <w:kern w:val="0"/>
          <w:sz w:val="24"/>
          <w:szCs w:val="24"/>
          <w:highlight w:val="none"/>
        </w:rPr>
        <w:t>施工阶段：</w:t>
      </w:r>
      <w:r>
        <w:rPr>
          <w:rFonts w:hint="eastAsia" w:ascii="宋体" w:hAnsi="宋体" w:cs="宋体"/>
          <w:b w:val="0"/>
          <w:bCs w:val="0"/>
          <w:color w:val="000000"/>
          <w:kern w:val="0"/>
          <w:sz w:val="24"/>
          <w:szCs w:val="24"/>
          <w:highlight w:val="none"/>
          <w:u w:val="none"/>
        </w:rPr>
        <w:t xml:space="preserve"> </w:t>
      </w:r>
      <w:r>
        <w:rPr>
          <w:rFonts w:hint="eastAsia" w:ascii="宋体" w:hAnsi="宋体" w:cs="宋体"/>
          <w:b w:val="0"/>
          <w:bCs w:val="0"/>
          <w:color w:val="000000"/>
          <w:kern w:val="0"/>
          <w:sz w:val="24"/>
          <w:szCs w:val="24"/>
          <w:highlight w:val="none"/>
          <w:u w:val="single"/>
        </w:rPr>
        <w:t xml:space="preserve">  </w:t>
      </w:r>
      <w:r>
        <w:rPr>
          <w:rFonts w:hint="eastAsia" w:ascii="宋体" w:hAnsi="宋体" w:eastAsia="宋体" w:cs="宋体"/>
          <w:b w:val="0"/>
          <w:bCs w:val="0"/>
          <w:color w:val="000000"/>
          <w:kern w:val="0"/>
          <w:sz w:val="24"/>
          <w:szCs w:val="24"/>
          <w:highlight w:val="none"/>
          <w:u w:val="single"/>
        </w:rPr>
        <w:t xml:space="preserve">3  </w:t>
      </w:r>
      <w:r>
        <w:rPr>
          <w:rFonts w:hint="eastAsia" w:ascii="宋体" w:hAnsi="宋体" w:cs="宋体"/>
          <w:b w:val="0"/>
          <w:bCs w:val="0"/>
          <w:color w:val="000000"/>
          <w:kern w:val="0"/>
          <w:sz w:val="24"/>
          <w:szCs w:val="24"/>
          <w:highlight w:val="none"/>
          <w:u w:val="none"/>
        </w:rPr>
        <w:t>月，暂定</w:t>
      </w:r>
      <w:r>
        <w:rPr>
          <w:rFonts w:hint="eastAsia" w:ascii="宋体" w:hAnsi="宋体" w:cs="宋体"/>
          <w:b w:val="0"/>
          <w:bCs w:val="0"/>
          <w:color w:val="000000"/>
          <w:kern w:val="0"/>
          <w:sz w:val="24"/>
          <w:szCs w:val="24"/>
          <w:highlight w:val="none"/>
          <w:u w:val="single"/>
        </w:rPr>
        <w:t xml:space="preserve">     </w:t>
      </w:r>
      <w:r>
        <w:rPr>
          <w:rFonts w:hint="eastAsia" w:ascii="宋体" w:hAnsi="宋体" w:cs="宋体"/>
          <w:b w:val="0"/>
          <w:bCs w:val="0"/>
          <w:color w:val="000000"/>
          <w:sz w:val="24"/>
          <w:szCs w:val="24"/>
          <w:highlight w:val="none"/>
          <w:u w:val="none"/>
        </w:rPr>
        <w:t>年</w:t>
      </w:r>
      <w:r>
        <w:rPr>
          <w:rFonts w:hint="eastAsia" w:ascii="宋体" w:hAnsi="宋体" w:cs="宋体"/>
          <w:b w:val="0"/>
          <w:bCs w:val="0"/>
          <w:color w:val="000000"/>
          <w:sz w:val="24"/>
          <w:szCs w:val="24"/>
          <w:highlight w:val="none"/>
          <w:u w:val="single"/>
        </w:rPr>
        <w:t xml:space="preserve">   </w:t>
      </w:r>
      <w:r>
        <w:rPr>
          <w:rFonts w:hint="eastAsia" w:ascii="宋体" w:hAnsi="宋体" w:cs="宋体"/>
          <w:b w:val="0"/>
          <w:bCs w:val="0"/>
          <w:color w:val="000000"/>
          <w:sz w:val="24"/>
          <w:szCs w:val="24"/>
          <w:highlight w:val="none"/>
          <w:u w:val="none"/>
        </w:rPr>
        <w:t>月</w:t>
      </w:r>
      <w:r>
        <w:rPr>
          <w:rFonts w:hint="eastAsia" w:ascii="宋体" w:hAnsi="宋体" w:cs="宋体"/>
          <w:b w:val="0"/>
          <w:bCs w:val="0"/>
          <w:color w:val="000000"/>
          <w:sz w:val="24"/>
          <w:szCs w:val="24"/>
          <w:highlight w:val="none"/>
          <w:u w:val="single"/>
        </w:rPr>
        <w:t xml:space="preserve">   </w:t>
      </w:r>
      <w:r>
        <w:rPr>
          <w:rFonts w:hint="eastAsia" w:ascii="宋体" w:hAnsi="宋体" w:cs="宋体"/>
          <w:b w:val="0"/>
          <w:bCs w:val="0"/>
          <w:color w:val="000000"/>
          <w:sz w:val="24"/>
          <w:szCs w:val="24"/>
          <w:highlight w:val="none"/>
          <w:u w:val="none"/>
        </w:rPr>
        <w:t>日</w:t>
      </w:r>
      <w:r>
        <w:rPr>
          <w:rFonts w:hint="eastAsia" w:ascii="宋体" w:hAnsi="宋体" w:eastAsia="宋体" w:cs="宋体"/>
          <w:b w:val="0"/>
          <w:bCs w:val="0"/>
          <w:color w:val="000000"/>
          <w:sz w:val="24"/>
          <w:szCs w:val="24"/>
          <w:highlight w:val="none"/>
          <w:u w:val="none"/>
        </w:rPr>
        <w:t>-</w:t>
      </w:r>
      <w:r>
        <w:rPr>
          <w:rFonts w:hint="eastAsia" w:ascii="宋体" w:hAnsi="宋体" w:eastAsia="宋体" w:cs="宋体"/>
          <w:b w:val="0"/>
          <w:bCs w:val="0"/>
          <w:color w:val="000000"/>
          <w:sz w:val="24"/>
          <w:szCs w:val="24"/>
          <w:highlight w:val="none"/>
          <w:u w:val="single"/>
        </w:rPr>
        <w:t xml:space="preserve">      </w:t>
      </w:r>
      <w:r>
        <w:rPr>
          <w:rFonts w:hint="eastAsia" w:ascii="宋体" w:hAnsi="宋体" w:cs="宋体"/>
          <w:b w:val="0"/>
          <w:bCs w:val="0"/>
          <w:color w:val="000000"/>
          <w:sz w:val="24"/>
          <w:szCs w:val="24"/>
          <w:highlight w:val="none"/>
          <w:u w:val="none"/>
        </w:rPr>
        <w:t>年</w:t>
      </w:r>
      <w:r>
        <w:rPr>
          <w:rFonts w:hint="eastAsia" w:ascii="宋体" w:hAnsi="宋体" w:cs="宋体"/>
          <w:b w:val="0"/>
          <w:bCs w:val="0"/>
          <w:color w:val="000000"/>
          <w:sz w:val="24"/>
          <w:szCs w:val="24"/>
          <w:highlight w:val="none"/>
          <w:u w:val="single"/>
        </w:rPr>
        <w:t xml:space="preserve">   </w:t>
      </w:r>
      <w:r>
        <w:rPr>
          <w:rFonts w:hint="eastAsia" w:ascii="宋体" w:hAnsi="宋体" w:cs="宋体"/>
          <w:b w:val="0"/>
          <w:bCs w:val="0"/>
          <w:color w:val="000000"/>
          <w:sz w:val="24"/>
          <w:szCs w:val="24"/>
          <w:highlight w:val="none"/>
          <w:u w:val="none"/>
        </w:rPr>
        <w:t>月</w:t>
      </w:r>
      <w:r>
        <w:rPr>
          <w:rFonts w:hint="eastAsia" w:ascii="宋体" w:hAnsi="宋体" w:cs="宋体"/>
          <w:b w:val="0"/>
          <w:bCs w:val="0"/>
          <w:color w:val="000000"/>
          <w:sz w:val="24"/>
          <w:szCs w:val="24"/>
          <w:highlight w:val="none"/>
          <w:u w:val="single"/>
        </w:rPr>
        <w:t xml:space="preserve">   </w:t>
      </w:r>
      <w:r>
        <w:rPr>
          <w:rFonts w:hint="eastAsia" w:ascii="宋体" w:hAnsi="宋体" w:cs="宋体"/>
          <w:b w:val="0"/>
          <w:bCs w:val="0"/>
          <w:color w:val="000000"/>
          <w:sz w:val="24"/>
          <w:szCs w:val="24"/>
          <w:highlight w:val="none"/>
          <w:u w:val="none"/>
        </w:rPr>
        <w:t>日，最终以开工通知为准。</w:t>
      </w:r>
    </w:p>
    <w:p w14:paraId="5D34E927">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kern w:val="0"/>
          <w:sz w:val="24"/>
          <w:szCs w:val="24"/>
          <w:highlight w:val="none"/>
          <w:u w:val="single"/>
        </w:rPr>
      </w:pPr>
      <w:r>
        <w:rPr>
          <w:rFonts w:hint="eastAsia" w:ascii="宋体" w:hAnsi="宋体" w:cs="宋体"/>
          <w:b w:val="0"/>
          <w:bCs w:val="0"/>
          <w:color w:val="000000"/>
          <w:kern w:val="0"/>
          <w:sz w:val="24"/>
          <w:szCs w:val="24"/>
          <w:highlight w:val="none"/>
        </w:rPr>
        <w:t xml:space="preserve">保修阶段： </w:t>
      </w:r>
      <w:r>
        <w:rPr>
          <w:rFonts w:hint="eastAsia" w:ascii="宋体" w:hAnsi="宋体" w:cs="宋体"/>
          <w:b w:val="0"/>
          <w:bCs w:val="0"/>
          <w:color w:val="000000"/>
          <w:sz w:val="24"/>
          <w:szCs w:val="24"/>
          <w:highlight w:val="none"/>
          <w:u w:val="none"/>
        </w:rPr>
        <w:t>自竣工验收之日起</w:t>
      </w:r>
      <w:r>
        <w:rPr>
          <w:rFonts w:hint="eastAsia" w:ascii="宋体" w:hAnsi="宋体" w:cs="宋体"/>
          <w:b w:val="0"/>
          <w:bCs w:val="0"/>
          <w:color w:val="000000"/>
          <w:sz w:val="24"/>
          <w:szCs w:val="24"/>
          <w:highlight w:val="none"/>
          <w:u w:val="single"/>
          <w:lang w:val="en-US" w:eastAsia="zh-CN"/>
        </w:rPr>
        <w:t>2</w:t>
      </w:r>
      <w:r>
        <w:rPr>
          <w:rFonts w:hint="eastAsia" w:ascii="宋体" w:hAnsi="宋体" w:cs="宋体"/>
          <w:b w:val="0"/>
          <w:bCs w:val="0"/>
          <w:color w:val="000000"/>
          <w:sz w:val="24"/>
          <w:szCs w:val="24"/>
          <w:highlight w:val="none"/>
          <w:u w:val="none"/>
        </w:rPr>
        <w:t>年。</w:t>
      </w:r>
    </w:p>
    <w:p w14:paraId="03C4F967">
      <w:pPr>
        <w:pStyle w:val="186"/>
        <w:pageBreakBefore w:val="0"/>
        <w:kinsoku/>
        <w:overflowPunct/>
        <w:bidi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六、双方承诺</w:t>
      </w:r>
    </w:p>
    <w:p w14:paraId="1150F478">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w:t>
      </w:r>
      <w:r>
        <w:rPr>
          <w:rFonts w:hint="eastAsia" w:ascii="宋体" w:hAnsi="宋体" w:cs="宋体"/>
          <w:b w:val="0"/>
          <w:bCs w:val="0"/>
          <w:color w:val="000000"/>
          <w:sz w:val="24"/>
          <w:szCs w:val="24"/>
          <w:highlight w:val="none"/>
        </w:rPr>
        <w:t>监理人向委托人承诺，按照本合同约定提供监理与相关服务。</w:t>
      </w:r>
    </w:p>
    <w:p w14:paraId="5F8D5C77">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2.</w:t>
      </w:r>
      <w:r>
        <w:rPr>
          <w:rFonts w:hint="eastAsia" w:ascii="宋体" w:hAnsi="宋体" w:cs="宋体"/>
          <w:b w:val="0"/>
          <w:bCs w:val="0"/>
          <w:color w:val="000000"/>
          <w:sz w:val="24"/>
          <w:szCs w:val="24"/>
          <w:highlight w:val="none"/>
        </w:rPr>
        <w:t>委托人向监理人承诺，按照本合同约定派遣相应的人员，提供资料，并按本合同约定支付酬金。</w:t>
      </w:r>
    </w:p>
    <w:p w14:paraId="33E2B366">
      <w:pPr>
        <w:pStyle w:val="186"/>
        <w:pageBreakBefore w:val="0"/>
        <w:kinsoku/>
        <w:overflowPunct/>
        <w:bidi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七、合同订立</w:t>
      </w:r>
    </w:p>
    <w:p w14:paraId="0B591CA1">
      <w:pPr>
        <w:pageBreakBefore w:val="0"/>
        <w:kinsoku/>
        <w:overflowPunct/>
        <w:bidi w:val="0"/>
        <w:snapToGrid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w:t>
      </w:r>
      <w:r>
        <w:rPr>
          <w:rFonts w:hint="eastAsia" w:ascii="宋体" w:hAnsi="宋体" w:cs="宋体"/>
          <w:b w:val="0"/>
          <w:bCs w:val="0"/>
          <w:color w:val="000000"/>
          <w:sz w:val="24"/>
          <w:szCs w:val="24"/>
          <w:highlight w:val="none"/>
        </w:rPr>
        <w:t>订立时间：</w:t>
      </w:r>
      <w:r>
        <w:rPr>
          <w:rFonts w:hint="eastAsia" w:ascii="宋体" w:hAnsi="宋体" w:cs="宋体"/>
          <w:b w:val="0"/>
          <w:bCs w:val="0"/>
          <w:color w:val="000000"/>
          <w:sz w:val="24"/>
          <w:szCs w:val="24"/>
          <w:highlight w:val="none"/>
          <w:u w:val="single"/>
        </w:rPr>
        <w:t xml:space="preserve">     </w:t>
      </w:r>
      <w:r>
        <w:rPr>
          <w:rFonts w:hint="eastAsia" w:ascii="宋体" w:hAnsi="宋体" w:cs="宋体"/>
          <w:b w:val="0"/>
          <w:bCs w:val="0"/>
          <w:color w:val="000000"/>
          <w:sz w:val="24"/>
          <w:szCs w:val="24"/>
          <w:highlight w:val="none"/>
        </w:rPr>
        <w:t>年</w:t>
      </w:r>
      <w:r>
        <w:rPr>
          <w:rFonts w:hint="eastAsia" w:ascii="宋体" w:hAnsi="宋体" w:cs="宋体"/>
          <w:b w:val="0"/>
          <w:bCs w:val="0"/>
          <w:color w:val="000000"/>
          <w:sz w:val="24"/>
          <w:szCs w:val="24"/>
          <w:highlight w:val="none"/>
          <w:u w:val="single"/>
        </w:rPr>
        <w:t xml:space="preserve">   </w:t>
      </w:r>
      <w:r>
        <w:rPr>
          <w:rFonts w:hint="eastAsia" w:ascii="宋体" w:hAnsi="宋体" w:cs="宋体"/>
          <w:b w:val="0"/>
          <w:bCs w:val="0"/>
          <w:color w:val="000000"/>
          <w:sz w:val="24"/>
          <w:szCs w:val="24"/>
          <w:highlight w:val="none"/>
        </w:rPr>
        <w:t>月</w:t>
      </w:r>
      <w:r>
        <w:rPr>
          <w:rFonts w:hint="eastAsia" w:ascii="宋体" w:hAnsi="宋体" w:cs="宋体"/>
          <w:b w:val="0"/>
          <w:bCs w:val="0"/>
          <w:color w:val="000000"/>
          <w:sz w:val="24"/>
          <w:szCs w:val="24"/>
          <w:highlight w:val="none"/>
          <w:u w:val="single"/>
        </w:rPr>
        <w:t xml:space="preserve">   </w:t>
      </w:r>
      <w:r>
        <w:rPr>
          <w:rFonts w:hint="eastAsia" w:ascii="宋体" w:hAnsi="宋体" w:cs="宋体"/>
          <w:b w:val="0"/>
          <w:bCs w:val="0"/>
          <w:color w:val="000000"/>
          <w:sz w:val="24"/>
          <w:szCs w:val="24"/>
          <w:highlight w:val="none"/>
        </w:rPr>
        <w:t>日。</w:t>
      </w:r>
    </w:p>
    <w:p w14:paraId="2F4A53E2">
      <w:pPr>
        <w:pageBreakBefore w:val="0"/>
        <w:kinsoku/>
        <w:overflowPunct/>
        <w:bidi w:val="0"/>
        <w:snapToGrid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2.</w:t>
      </w:r>
      <w:r>
        <w:rPr>
          <w:rFonts w:hint="eastAsia" w:ascii="宋体" w:hAnsi="宋体" w:cs="宋体"/>
          <w:b w:val="0"/>
          <w:bCs w:val="0"/>
          <w:color w:val="000000"/>
          <w:sz w:val="24"/>
          <w:szCs w:val="24"/>
          <w:highlight w:val="none"/>
        </w:rPr>
        <w:t>订立地点：深圳市龙岗区。</w:t>
      </w:r>
    </w:p>
    <w:p w14:paraId="23E31426">
      <w:pPr>
        <w:pageBreakBefore w:val="0"/>
        <w:kinsoku/>
        <w:overflowPunct/>
        <w:bidi w:val="0"/>
        <w:snapToGrid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3.</w:t>
      </w:r>
      <w:r>
        <w:rPr>
          <w:rFonts w:hint="eastAsia" w:ascii="宋体" w:hAnsi="宋体" w:cs="宋体"/>
          <w:b w:val="0"/>
          <w:bCs w:val="0"/>
          <w:color w:val="000000"/>
          <w:sz w:val="24"/>
          <w:szCs w:val="24"/>
          <w:highlight w:val="none"/>
        </w:rPr>
        <w:t>合同履行地：深圳市龙岗区</w:t>
      </w:r>
    </w:p>
    <w:p w14:paraId="366C88AB">
      <w:pPr>
        <w:pageBreakBefore w:val="0"/>
        <w:kinsoku/>
        <w:overflowPunct/>
        <w:bidi w:val="0"/>
        <w:snapToGrid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4.</w:t>
      </w:r>
      <w:r>
        <w:rPr>
          <w:rFonts w:hint="eastAsia" w:ascii="宋体" w:hAnsi="宋体" w:cs="宋体"/>
          <w:b w:val="0"/>
          <w:bCs w:val="0"/>
          <w:color w:val="000000"/>
          <w:sz w:val="24"/>
          <w:szCs w:val="24"/>
          <w:highlight w:val="none"/>
        </w:rPr>
        <w:t>本合同</w:t>
      </w:r>
      <w:r>
        <w:rPr>
          <w:rFonts w:hint="eastAsia" w:ascii="宋体" w:hAnsi="宋体" w:cs="宋体"/>
          <w:b w:val="0"/>
          <w:bCs w:val="0"/>
          <w:color w:val="000000"/>
          <w:sz w:val="24"/>
          <w:szCs w:val="24"/>
          <w:highlight w:val="none"/>
          <w:u w:val="single"/>
        </w:rPr>
        <w:t>壹</w:t>
      </w:r>
      <w:r>
        <w:rPr>
          <w:rFonts w:hint="eastAsia" w:ascii="宋体" w:hAnsi="宋体" w:cs="宋体"/>
          <w:b w:val="0"/>
          <w:bCs w:val="0"/>
          <w:color w:val="000000"/>
          <w:sz w:val="24"/>
          <w:szCs w:val="24"/>
          <w:highlight w:val="none"/>
        </w:rPr>
        <w:t>式</w:t>
      </w:r>
      <w:r>
        <w:rPr>
          <w:rFonts w:hint="eastAsia" w:ascii="宋体" w:hAnsi="宋体" w:cs="宋体"/>
          <w:b w:val="0"/>
          <w:bCs w:val="0"/>
          <w:color w:val="000000"/>
          <w:sz w:val="24"/>
          <w:szCs w:val="24"/>
          <w:highlight w:val="none"/>
          <w:u w:val="single"/>
        </w:rPr>
        <w:t>拾伍</w:t>
      </w:r>
      <w:r>
        <w:rPr>
          <w:rFonts w:hint="eastAsia" w:ascii="宋体" w:hAnsi="宋体" w:cs="宋体"/>
          <w:b w:val="0"/>
          <w:bCs w:val="0"/>
          <w:color w:val="000000"/>
          <w:sz w:val="24"/>
          <w:szCs w:val="24"/>
          <w:highlight w:val="none"/>
          <w:u w:val="none"/>
        </w:rPr>
        <w:t>份</w:t>
      </w:r>
      <w:r>
        <w:rPr>
          <w:rFonts w:hint="eastAsia" w:ascii="宋体" w:hAnsi="宋体" w:cs="宋体"/>
          <w:b w:val="0"/>
          <w:bCs w:val="0"/>
          <w:color w:val="000000"/>
          <w:sz w:val="24"/>
          <w:szCs w:val="24"/>
          <w:highlight w:val="none"/>
        </w:rPr>
        <w:t>，委托人</w:t>
      </w:r>
      <w:r>
        <w:rPr>
          <w:rFonts w:hint="eastAsia" w:ascii="宋体" w:hAnsi="宋体" w:cs="宋体"/>
          <w:b w:val="0"/>
          <w:bCs w:val="0"/>
          <w:color w:val="000000"/>
          <w:sz w:val="24"/>
          <w:szCs w:val="24"/>
          <w:highlight w:val="none"/>
          <w:u w:val="single"/>
        </w:rPr>
        <w:t>拾壹</w:t>
      </w:r>
      <w:r>
        <w:rPr>
          <w:rFonts w:hint="eastAsia" w:ascii="宋体" w:hAnsi="宋体" w:cs="宋体"/>
          <w:b w:val="0"/>
          <w:bCs w:val="0"/>
          <w:color w:val="000000"/>
          <w:sz w:val="24"/>
          <w:szCs w:val="24"/>
          <w:highlight w:val="none"/>
        </w:rPr>
        <w:t>份；监理人</w:t>
      </w:r>
      <w:r>
        <w:rPr>
          <w:rFonts w:hint="eastAsia" w:ascii="宋体" w:hAnsi="宋体" w:cs="宋体"/>
          <w:b w:val="0"/>
          <w:bCs w:val="0"/>
          <w:color w:val="000000"/>
          <w:sz w:val="24"/>
          <w:szCs w:val="24"/>
          <w:highlight w:val="none"/>
          <w:u w:val="single"/>
        </w:rPr>
        <w:t>肆</w:t>
      </w:r>
      <w:r>
        <w:rPr>
          <w:rFonts w:hint="eastAsia" w:ascii="宋体" w:hAnsi="宋体" w:cs="宋体"/>
          <w:b w:val="0"/>
          <w:bCs w:val="0"/>
          <w:color w:val="000000"/>
          <w:sz w:val="24"/>
          <w:szCs w:val="24"/>
          <w:highlight w:val="none"/>
        </w:rPr>
        <w:t>份。</w:t>
      </w:r>
    </w:p>
    <w:p w14:paraId="3A5380C2">
      <w:pPr>
        <w:pStyle w:val="186"/>
        <w:pageBreakBefore w:val="0"/>
        <w:kinsoku/>
        <w:overflowPunct/>
        <w:bidi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（以下无正文）</w:t>
      </w:r>
    </w:p>
    <w:p w14:paraId="1B8C076E">
      <w:pPr>
        <w:pageBreakBefore w:val="0"/>
        <w:kinsoku/>
        <w:overflowPunct/>
        <w:autoSpaceDE w:val="0"/>
        <w:bidi w:val="0"/>
        <w:spacing w:line="560" w:lineRule="exact"/>
        <w:ind w:left="0" w:leftChars="0" w:right="0" w:rightChars="0" w:firstLineChars="100"/>
        <w:jc w:val="left"/>
        <w:textAlignment w:val="auto"/>
        <w:rPr>
          <w:rFonts w:ascii="宋体" w:hAnsi="宋体" w:eastAsia="宋体" w:cs="宋体"/>
          <w:b w:val="0"/>
          <w:bCs w:val="0"/>
          <w:color w:val="000000"/>
          <w:kern w:val="0"/>
          <w:sz w:val="24"/>
          <w:szCs w:val="24"/>
          <w:highlight w:val="none"/>
        </w:rPr>
      </w:pPr>
      <w:r>
        <w:rPr>
          <w:rFonts w:hint="eastAsia" w:ascii="宋体" w:hAnsi="宋体" w:cs="宋体"/>
          <w:b w:val="0"/>
          <w:bCs w:val="0"/>
          <w:color w:val="000000"/>
          <w:kern w:val="0"/>
          <w:sz w:val="24"/>
          <w:szCs w:val="24"/>
          <w:highlight w:val="none"/>
        </w:rPr>
        <w:t>双方签字盖章：</w:t>
      </w:r>
    </w:p>
    <w:p w14:paraId="4E5506DD">
      <w:pPr>
        <w:pageBreakBefore w:val="0"/>
        <w:kinsoku/>
        <w:overflowPunct/>
        <w:autoSpaceDE w:val="0"/>
        <w:bidi w:val="0"/>
        <w:spacing w:line="560" w:lineRule="exact"/>
        <w:jc w:val="left"/>
        <w:textAlignment w:val="auto"/>
        <w:rPr>
          <w:rFonts w:hint="eastAsia" w:ascii="宋体" w:hAnsi="宋体" w:eastAsia="宋体" w:cs="宋体"/>
          <w:b w:val="0"/>
          <w:bCs w:val="0"/>
          <w:color w:val="000000"/>
          <w:kern w:val="0"/>
          <w:sz w:val="24"/>
          <w:szCs w:val="24"/>
          <w:highlight w:val="none"/>
        </w:rPr>
      </w:pPr>
    </w:p>
    <w:p w14:paraId="508AD841">
      <w:pPr>
        <w:pageBreakBefore w:val="0"/>
        <w:kinsoku/>
        <w:overflowPunct/>
        <w:autoSpaceDE w:val="0"/>
        <w:bidi w:val="0"/>
        <w:spacing w:line="560" w:lineRule="exact"/>
        <w:ind w:left="0" w:leftChars="0" w:right="0" w:rightChars="0" w:firstLineChars="100"/>
        <w:jc w:val="left"/>
        <w:textAlignment w:val="auto"/>
        <w:rPr>
          <w:rFonts w:hint="eastAsia" w:ascii="宋体" w:hAnsi="宋体" w:eastAsia="宋体" w:cs="宋体"/>
          <w:b w:val="0"/>
          <w:bCs w:val="0"/>
          <w:color w:val="000000"/>
          <w:kern w:val="0"/>
          <w:sz w:val="24"/>
          <w:szCs w:val="24"/>
          <w:highlight w:val="none"/>
        </w:rPr>
      </w:pPr>
      <w:r>
        <w:rPr>
          <w:rFonts w:hint="eastAsia" w:ascii="宋体" w:hAnsi="宋体" w:cs="宋体"/>
          <w:b w:val="0"/>
          <w:bCs w:val="0"/>
          <w:color w:val="000000"/>
          <w:kern w:val="0"/>
          <w:sz w:val="24"/>
          <w:szCs w:val="24"/>
          <w:highlight w:val="none"/>
        </w:rPr>
        <w:t>委托人（盖章）：　                     监理人（盖章）：</w:t>
      </w:r>
      <w:r>
        <w:rPr>
          <w:rFonts w:hint="eastAsia" w:ascii="宋体" w:hAnsi="宋体" w:cs="宋体"/>
          <w:b w:val="0"/>
          <w:bCs w:val="0"/>
          <w:color w:val="000000"/>
          <w:kern w:val="0"/>
          <w:sz w:val="24"/>
          <w:szCs w:val="24"/>
          <w:highlight w:val="none"/>
          <w:u w:val="none"/>
        </w:rPr>
        <w:t xml:space="preserve">                           </w:t>
      </w:r>
    </w:p>
    <w:p w14:paraId="1AD295BA">
      <w:pPr>
        <w:pageBreakBefore w:val="0"/>
        <w:kinsoku/>
        <w:overflowPunct/>
        <w:autoSpaceDE w:val="0"/>
        <w:bidi w:val="0"/>
        <w:spacing w:line="560" w:lineRule="exact"/>
        <w:ind w:left="0" w:leftChars="0" w:right="0" w:rightChars="0" w:firstLineChars="100"/>
        <w:jc w:val="left"/>
        <w:textAlignment w:val="auto"/>
        <w:rPr>
          <w:rFonts w:hint="eastAsia" w:ascii="宋体" w:hAnsi="宋体" w:eastAsia="宋体" w:cs="宋体"/>
          <w:b w:val="0"/>
          <w:bCs w:val="0"/>
          <w:color w:val="000000"/>
          <w:kern w:val="0"/>
          <w:sz w:val="24"/>
          <w:szCs w:val="24"/>
          <w:highlight w:val="none"/>
        </w:rPr>
      </w:pPr>
      <w:r>
        <w:rPr>
          <w:rFonts w:hint="eastAsia" w:ascii="宋体" w:hAnsi="宋体" w:cs="宋体"/>
          <w:b w:val="0"/>
          <w:bCs w:val="0"/>
          <w:color w:val="000000"/>
          <w:kern w:val="0"/>
          <w:sz w:val="24"/>
          <w:szCs w:val="24"/>
          <w:highlight w:val="none"/>
        </w:rPr>
        <w:t>地址：                                 地址：</w:t>
      </w:r>
      <w:r>
        <w:rPr>
          <w:rFonts w:hint="eastAsia" w:ascii="宋体" w:hAnsi="宋体" w:cs="宋体"/>
          <w:b w:val="0"/>
          <w:bCs w:val="0"/>
          <w:color w:val="000000"/>
          <w:sz w:val="24"/>
          <w:szCs w:val="24"/>
          <w:highlight w:val="none"/>
        </w:rPr>
        <w:t xml:space="preserve">           </w:t>
      </w:r>
    </w:p>
    <w:p w14:paraId="336EE485">
      <w:pPr>
        <w:pageBreakBefore w:val="0"/>
        <w:kinsoku/>
        <w:overflowPunct/>
        <w:autoSpaceDE w:val="0"/>
        <w:bidi w:val="0"/>
        <w:spacing w:line="560" w:lineRule="exact"/>
        <w:ind w:left="0" w:leftChars="0" w:right="0" w:rightChars="0" w:firstLineChars="100"/>
        <w:jc w:val="left"/>
        <w:textAlignment w:val="auto"/>
        <w:rPr>
          <w:rFonts w:hint="eastAsia" w:ascii="宋体" w:hAnsi="宋体" w:eastAsia="宋体" w:cs="宋体"/>
          <w:b w:val="0"/>
          <w:bCs w:val="0"/>
          <w:color w:val="000000"/>
          <w:kern w:val="0"/>
          <w:sz w:val="24"/>
          <w:szCs w:val="24"/>
          <w:highlight w:val="none"/>
        </w:rPr>
      </w:pPr>
      <w:r>
        <w:rPr>
          <w:rFonts w:hint="eastAsia" w:ascii="宋体" w:hAnsi="宋体" w:cs="宋体"/>
          <w:b w:val="0"/>
          <w:bCs w:val="0"/>
          <w:color w:val="000000"/>
          <w:kern w:val="0"/>
          <w:sz w:val="24"/>
          <w:szCs w:val="24"/>
          <w:highlight w:val="none"/>
        </w:rPr>
        <w:t xml:space="preserve">法定代表人（或授权代表）签字：         法定代表人（或授权代表）签字：  </w:t>
      </w:r>
    </w:p>
    <w:p w14:paraId="46243B9A">
      <w:pPr>
        <w:pageBreakBefore w:val="0"/>
        <w:kinsoku/>
        <w:overflowPunct/>
        <w:autoSpaceDE w:val="0"/>
        <w:bidi w:val="0"/>
        <w:spacing w:line="560" w:lineRule="exact"/>
        <w:jc w:val="left"/>
        <w:textAlignment w:val="auto"/>
        <w:rPr>
          <w:rFonts w:hint="eastAsia" w:ascii="宋体" w:hAnsi="宋体" w:eastAsia="宋体" w:cs="宋体"/>
          <w:b w:val="0"/>
          <w:bCs w:val="0"/>
          <w:color w:val="000000"/>
          <w:kern w:val="0"/>
          <w:sz w:val="24"/>
          <w:szCs w:val="24"/>
          <w:highlight w:val="none"/>
        </w:rPr>
      </w:pPr>
    </w:p>
    <w:p w14:paraId="56DF575C">
      <w:pPr>
        <w:pageBreakBefore w:val="0"/>
        <w:kinsoku/>
        <w:overflowPunct/>
        <w:autoSpaceDE w:val="0"/>
        <w:bidi w:val="0"/>
        <w:spacing w:line="560" w:lineRule="exact"/>
        <w:jc w:val="left"/>
        <w:textAlignment w:val="auto"/>
        <w:rPr>
          <w:rFonts w:hint="eastAsia" w:ascii="宋体" w:hAnsi="宋体" w:eastAsia="宋体" w:cs="宋体"/>
          <w:b w:val="0"/>
          <w:bCs w:val="0"/>
          <w:color w:val="000000"/>
          <w:kern w:val="0"/>
          <w:sz w:val="24"/>
          <w:szCs w:val="24"/>
          <w:highlight w:val="none"/>
        </w:rPr>
      </w:pPr>
      <w:r>
        <w:rPr>
          <w:rFonts w:hint="eastAsia" w:ascii="宋体" w:hAnsi="宋体" w:cs="宋体"/>
          <w:b w:val="0"/>
          <w:bCs w:val="0"/>
          <w:color w:val="000000"/>
          <w:kern w:val="0"/>
          <w:sz w:val="24"/>
          <w:szCs w:val="24"/>
          <w:highlight w:val="none"/>
        </w:rPr>
        <w:t xml:space="preserve">　　　　　　　　　           </w:t>
      </w:r>
    </w:p>
    <w:p w14:paraId="554151CA">
      <w:pPr>
        <w:pageBreakBefore w:val="0"/>
        <w:kinsoku/>
        <w:overflowPunct/>
        <w:autoSpaceDE w:val="0"/>
        <w:bidi w:val="0"/>
        <w:spacing w:line="560" w:lineRule="exact"/>
        <w:ind w:left="0" w:leftChars="0" w:right="0" w:rightChars="0" w:firstLineChars="100"/>
        <w:jc w:val="left"/>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kern w:val="0"/>
          <w:sz w:val="24"/>
          <w:szCs w:val="24"/>
          <w:highlight w:val="none"/>
        </w:rPr>
        <w:t>年　　月　　日　　　　　              　 年　　月　　日</w:t>
      </w:r>
    </w:p>
    <w:p w14:paraId="4DC9589E">
      <w:pPr>
        <w:pStyle w:val="186"/>
        <w:pageBreakBefore w:val="0"/>
        <w:kinsoku/>
        <w:overflowPunct/>
        <w:bidi w:val="0"/>
        <w:spacing w:before="0" w:after="0" w:line="560" w:lineRule="exact"/>
        <w:textAlignment w:val="auto"/>
        <w:rPr>
          <w:rFonts w:hint="eastAsia" w:ascii="宋体" w:hAnsi="宋体" w:cs="宋体"/>
          <w:b/>
          <w:bCs/>
          <w:color w:val="000000"/>
          <w:sz w:val="36"/>
          <w:szCs w:val="36"/>
          <w:highlight w:val="none"/>
        </w:rPr>
        <w:sectPr>
          <w:headerReference r:id="rId7" w:type="first"/>
          <w:footerReference r:id="rId9" w:type="first"/>
          <w:headerReference r:id="rId6" w:type="default"/>
          <w:footerReference r:id="rId8" w:type="default"/>
          <w:pgSz w:w="11906" w:h="16838"/>
          <w:pgMar w:top="1418" w:right="1418" w:bottom="1418" w:left="1418" w:header="851" w:footer="567" w:gutter="0"/>
          <w:pgNumType w:fmt="decimal" w:start="1"/>
          <w:cols w:space="720" w:num="1"/>
          <w:formProt w:val="0"/>
          <w:docGrid w:linePitch="312" w:charSpace="0"/>
        </w:sectPr>
      </w:pPr>
    </w:p>
    <w:p w14:paraId="44C5F6D5">
      <w:pPr>
        <w:pStyle w:val="186"/>
        <w:pageBreakBefore w:val="0"/>
        <w:kinsoku/>
        <w:overflowPunct/>
        <w:bidi w:val="0"/>
        <w:spacing w:before="0" w:after="0" w:line="560" w:lineRule="exact"/>
        <w:textAlignment w:val="auto"/>
        <w:rPr>
          <w:rFonts w:hint="eastAsia" w:ascii="宋体" w:hAnsi="宋体" w:eastAsia="宋体" w:cs="宋体"/>
          <w:b/>
          <w:bCs/>
          <w:color w:val="000000"/>
          <w:sz w:val="36"/>
          <w:szCs w:val="36"/>
          <w:highlight w:val="none"/>
        </w:rPr>
      </w:pPr>
      <w:r>
        <w:rPr>
          <w:rFonts w:hint="eastAsia" w:ascii="宋体" w:hAnsi="宋体" w:cs="宋体"/>
          <w:b/>
          <w:bCs/>
          <w:color w:val="000000"/>
          <w:sz w:val="36"/>
          <w:szCs w:val="36"/>
          <w:highlight w:val="none"/>
        </w:rPr>
        <w:t>第二部分  委托文件</w:t>
      </w:r>
    </w:p>
    <w:p w14:paraId="00194188">
      <w:pPr>
        <w:pStyle w:val="113"/>
        <w:pageBreakBefore w:val="0"/>
        <w:kinsoku/>
        <w:overflowPunct/>
        <w:bidi w:val="0"/>
        <w:spacing w:line="560" w:lineRule="exact"/>
        <w:ind w:left="0" w:leftChars="0" w:right="0" w:rightChars="0" w:firstLineChars="300"/>
        <w:textAlignment w:val="auto"/>
        <w:rPr>
          <w:rFonts w:hint="eastAsia" w:ascii="宋体" w:hAnsi="宋体" w:eastAsia="宋体" w:cs="宋体"/>
          <w:b w:val="0"/>
          <w:bCs w:val="0"/>
          <w:color w:val="000000"/>
          <w:sz w:val="36"/>
          <w:szCs w:val="36"/>
          <w:highlight w:val="none"/>
        </w:rPr>
      </w:pPr>
    </w:p>
    <w:p w14:paraId="7FF4DE18">
      <w:pPr>
        <w:pStyle w:val="186"/>
        <w:pageBreakBefore w:val="0"/>
        <w:kinsoku/>
        <w:overflowPunct/>
        <w:bidi w:val="0"/>
        <w:spacing w:line="560" w:lineRule="exact"/>
        <w:textAlignment w:val="auto"/>
        <w:rPr>
          <w:rFonts w:hint="eastAsia" w:ascii="宋体" w:hAnsi="宋体" w:eastAsia="宋体" w:cs="宋体"/>
          <w:b w:val="0"/>
          <w:bCs w:val="0"/>
          <w:color w:val="000000"/>
          <w:sz w:val="24"/>
          <w:szCs w:val="24"/>
          <w:highlight w:val="none"/>
        </w:rPr>
      </w:pPr>
    </w:p>
    <w:p w14:paraId="296DB8B4">
      <w:pPr>
        <w:pStyle w:val="186"/>
        <w:pageBreakBefore w:val="0"/>
        <w:kinsoku/>
        <w:overflowPunct/>
        <w:bidi w:val="0"/>
        <w:spacing w:line="560" w:lineRule="exact"/>
        <w:textAlignment w:val="auto"/>
        <w:rPr>
          <w:rFonts w:hint="eastAsia" w:ascii="宋体" w:hAnsi="宋体" w:eastAsia="宋体" w:cs="宋体"/>
          <w:b w:val="0"/>
          <w:bCs w:val="0"/>
          <w:color w:val="000000"/>
          <w:sz w:val="24"/>
          <w:szCs w:val="24"/>
          <w:highlight w:val="none"/>
        </w:rPr>
      </w:pPr>
    </w:p>
    <w:p w14:paraId="41BA0DE3">
      <w:pPr>
        <w:pageBreakBefore w:val="0"/>
        <w:kinsoku/>
        <w:overflowPunct/>
        <w:bidi w:val="0"/>
        <w:spacing w:line="560" w:lineRule="exact"/>
        <w:textAlignment w:val="auto"/>
        <w:rPr>
          <w:rFonts w:hint="eastAsia" w:ascii="宋体" w:hAnsi="宋体" w:eastAsia="宋体" w:cs="宋体"/>
          <w:b w:val="0"/>
          <w:bCs w:val="0"/>
          <w:color w:val="000000"/>
          <w:sz w:val="24"/>
          <w:szCs w:val="24"/>
          <w:highlight w:val="none"/>
        </w:rPr>
      </w:pPr>
    </w:p>
    <w:p w14:paraId="32E7F3A7">
      <w:pPr>
        <w:pageBreakBefore w:val="0"/>
        <w:kinsoku/>
        <w:overflowPunct/>
        <w:bidi w:val="0"/>
        <w:spacing w:line="560" w:lineRule="exact"/>
        <w:textAlignment w:val="auto"/>
        <w:rPr>
          <w:rFonts w:hint="eastAsia" w:ascii="宋体" w:hAnsi="宋体" w:eastAsia="宋体" w:cs="宋体"/>
          <w:b w:val="0"/>
          <w:bCs w:val="0"/>
          <w:color w:val="000000"/>
          <w:sz w:val="24"/>
          <w:szCs w:val="24"/>
          <w:highlight w:val="none"/>
        </w:rPr>
      </w:pPr>
    </w:p>
    <w:p w14:paraId="39314459">
      <w:pPr>
        <w:pageBreakBefore w:val="0"/>
        <w:kinsoku/>
        <w:overflowPunct/>
        <w:bidi w:val="0"/>
        <w:spacing w:line="560" w:lineRule="exact"/>
        <w:textAlignment w:val="auto"/>
        <w:rPr>
          <w:rFonts w:hint="eastAsia" w:ascii="宋体" w:hAnsi="宋体" w:eastAsia="宋体" w:cs="宋体"/>
          <w:b w:val="0"/>
          <w:bCs w:val="0"/>
          <w:color w:val="000000"/>
          <w:sz w:val="24"/>
          <w:szCs w:val="24"/>
          <w:highlight w:val="none"/>
        </w:rPr>
      </w:pPr>
    </w:p>
    <w:p w14:paraId="31F52A2D">
      <w:pPr>
        <w:pageBreakBefore w:val="0"/>
        <w:kinsoku/>
        <w:overflowPunct/>
        <w:bidi w:val="0"/>
        <w:spacing w:line="560" w:lineRule="exact"/>
        <w:textAlignment w:val="auto"/>
        <w:rPr>
          <w:rFonts w:hint="eastAsia" w:ascii="宋体" w:hAnsi="宋体" w:eastAsia="宋体" w:cs="宋体"/>
          <w:b w:val="0"/>
          <w:bCs w:val="0"/>
          <w:color w:val="000000"/>
          <w:sz w:val="24"/>
          <w:szCs w:val="24"/>
          <w:highlight w:val="none"/>
        </w:rPr>
      </w:pPr>
    </w:p>
    <w:p w14:paraId="265C477D">
      <w:pPr>
        <w:pageBreakBefore w:val="0"/>
        <w:kinsoku/>
        <w:overflowPunct/>
        <w:bidi w:val="0"/>
        <w:spacing w:line="560" w:lineRule="exact"/>
        <w:textAlignment w:val="auto"/>
        <w:rPr>
          <w:rFonts w:hint="eastAsia" w:ascii="宋体" w:hAnsi="宋体" w:eastAsia="宋体" w:cs="宋体"/>
          <w:b w:val="0"/>
          <w:bCs w:val="0"/>
          <w:color w:val="000000"/>
          <w:sz w:val="24"/>
          <w:szCs w:val="24"/>
          <w:highlight w:val="none"/>
        </w:rPr>
      </w:pPr>
    </w:p>
    <w:p w14:paraId="4108291F">
      <w:pPr>
        <w:pageBreakBefore w:val="0"/>
        <w:kinsoku/>
        <w:overflowPunct/>
        <w:bidi w:val="0"/>
        <w:spacing w:line="560" w:lineRule="exact"/>
        <w:textAlignment w:val="auto"/>
        <w:rPr>
          <w:rFonts w:hint="eastAsia" w:ascii="宋体" w:hAnsi="宋体" w:eastAsia="宋体" w:cs="宋体"/>
          <w:b w:val="0"/>
          <w:bCs w:val="0"/>
          <w:color w:val="000000"/>
          <w:sz w:val="24"/>
          <w:szCs w:val="24"/>
          <w:highlight w:val="none"/>
        </w:rPr>
      </w:pPr>
    </w:p>
    <w:p w14:paraId="658D3EE1">
      <w:pPr>
        <w:pageBreakBefore w:val="0"/>
        <w:kinsoku/>
        <w:overflowPunct/>
        <w:bidi w:val="0"/>
        <w:spacing w:line="560" w:lineRule="exact"/>
        <w:textAlignment w:val="auto"/>
        <w:rPr>
          <w:rFonts w:hint="eastAsia" w:ascii="宋体" w:hAnsi="宋体" w:eastAsia="宋体" w:cs="宋体"/>
          <w:b w:val="0"/>
          <w:bCs w:val="0"/>
          <w:color w:val="000000"/>
          <w:sz w:val="24"/>
          <w:szCs w:val="24"/>
          <w:highlight w:val="none"/>
        </w:rPr>
      </w:pPr>
    </w:p>
    <w:p w14:paraId="622B9C5C">
      <w:pPr>
        <w:pageBreakBefore w:val="0"/>
        <w:kinsoku/>
        <w:overflowPunct/>
        <w:bidi w:val="0"/>
        <w:spacing w:line="560" w:lineRule="exact"/>
        <w:textAlignment w:val="auto"/>
        <w:rPr>
          <w:rFonts w:hint="eastAsia" w:ascii="宋体" w:hAnsi="宋体" w:eastAsia="宋体" w:cs="宋体"/>
          <w:b w:val="0"/>
          <w:bCs w:val="0"/>
          <w:color w:val="000000"/>
          <w:sz w:val="24"/>
          <w:szCs w:val="24"/>
          <w:highlight w:val="none"/>
        </w:rPr>
        <w:sectPr>
          <w:pgSz w:w="11906" w:h="16838"/>
          <w:pgMar w:top="1418" w:right="1418" w:bottom="1418" w:left="1418" w:header="851" w:footer="567" w:gutter="0"/>
          <w:pgNumType w:fmt="decimal" w:start="1"/>
          <w:cols w:space="720" w:num="1"/>
          <w:formProt w:val="0"/>
          <w:docGrid w:linePitch="312" w:charSpace="0"/>
        </w:sectPr>
      </w:pPr>
      <w:r>
        <w:rPr>
          <w:highlight w:val="none"/>
        </w:rPr>
        <w:br w:type="page"/>
      </w:r>
    </w:p>
    <w:p w14:paraId="32EA887A">
      <w:pPr>
        <w:jc w:val="center"/>
        <w:rPr>
          <w:rFonts w:hint="default" w:ascii="Cambria" w:hAnsi="Cambria" w:eastAsia="宋体" w:cs="Times New Roman"/>
          <w:b/>
          <w:bCs/>
          <w:sz w:val="36"/>
          <w:szCs w:val="36"/>
        </w:rPr>
      </w:pPr>
      <w:r>
        <w:rPr>
          <w:rFonts w:hint="default" w:ascii="Cambria" w:hAnsi="Cambria" w:eastAsia="宋体" w:cs="Times New Roman"/>
          <w:b/>
          <w:bCs/>
          <w:sz w:val="36"/>
          <w:szCs w:val="36"/>
        </w:rPr>
        <w:t>第三部分 通用条款</w:t>
      </w:r>
    </w:p>
    <w:p w14:paraId="77E7EB27">
      <w:pPr>
        <w:jc w:val="center"/>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1 </w:t>
      </w:r>
      <w:r>
        <w:rPr>
          <w:rFonts w:hint="eastAsia" w:ascii="宋体" w:hAnsi="宋体" w:cs="宋体"/>
          <w:b w:val="0"/>
          <w:bCs w:val="0"/>
          <w:color w:val="000000"/>
          <w:sz w:val="24"/>
          <w:szCs w:val="24"/>
          <w:highlight w:val="none"/>
        </w:rPr>
        <w:t>定义与解释</w:t>
      </w:r>
    </w:p>
    <w:p w14:paraId="7BB7E05B">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1.1 </w:t>
      </w:r>
      <w:r>
        <w:rPr>
          <w:rFonts w:hint="eastAsia" w:ascii="宋体" w:hAnsi="宋体" w:cs="宋体"/>
          <w:b w:val="0"/>
          <w:bCs w:val="0"/>
          <w:color w:val="000000"/>
          <w:kern w:val="2"/>
          <w:sz w:val="24"/>
          <w:szCs w:val="24"/>
          <w:highlight w:val="none"/>
        </w:rPr>
        <w:t>定义</w:t>
      </w:r>
    </w:p>
    <w:p w14:paraId="2446B870">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除根据上下文另有其意义外，组成本合同的全部文件中的下列名词和用语应具有本款所赋予的含义：</w:t>
      </w:r>
    </w:p>
    <w:p w14:paraId="3E6B3B76">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1.1.1“</w:t>
      </w:r>
      <w:r>
        <w:rPr>
          <w:rFonts w:hint="eastAsia" w:ascii="宋体" w:hAnsi="宋体" w:cs="宋体"/>
          <w:b w:val="0"/>
          <w:bCs w:val="0"/>
          <w:color w:val="000000"/>
          <w:sz w:val="24"/>
          <w:szCs w:val="24"/>
          <w:highlight w:val="none"/>
        </w:rPr>
        <w:t>工程”是指按照本合同约定实施监理与相关服务的建设工程。</w:t>
      </w:r>
    </w:p>
    <w:p w14:paraId="7901B0DE">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1.1.2“</w:t>
      </w:r>
      <w:r>
        <w:rPr>
          <w:rFonts w:hint="eastAsia" w:ascii="宋体" w:hAnsi="宋体" w:cs="宋体"/>
          <w:b w:val="0"/>
          <w:bCs w:val="0"/>
          <w:color w:val="000000"/>
          <w:sz w:val="24"/>
          <w:szCs w:val="24"/>
          <w:highlight w:val="none"/>
        </w:rPr>
        <w:t>委托人”是指本合同中委托监理与相关服务的一方，及其合法的继承人或受让人。</w:t>
      </w:r>
    </w:p>
    <w:p w14:paraId="4D1627B3">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1.1.3“</w:t>
      </w:r>
      <w:r>
        <w:rPr>
          <w:rFonts w:hint="eastAsia" w:ascii="宋体" w:hAnsi="宋体" w:cs="宋体"/>
          <w:b w:val="0"/>
          <w:bCs w:val="0"/>
          <w:color w:val="000000"/>
          <w:sz w:val="24"/>
          <w:szCs w:val="24"/>
          <w:highlight w:val="none"/>
        </w:rPr>
        <w:t>监理人”是指本合同中提供工程监理与相关服务的一方，及其合法的继承人。</w:t>
      </w:r>
    </w:p>
    <w:p w14:paraId="7F1E64F8">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1.1.4“</w:t>
      </w:r>
      <w:r>
        <w:rPr>
          <w:rFonts w:hint="eastAsia" w:ascii="宋体" w:hAnsi="宋体" w:cs="宋体"/>
          <w:b w:val="0"/>
          <w:bCs w:val="0"/>
          <w:color w:val="000000"/>
          <w:sz w:val="24"/>
          <w:szCs w:val="24"/>
          <w:highlight w:val="none"/>
        </w:rPr>
        <w:t>承包人”是指在工程范围内与委托人签订勘察、设计、施工等有关合同的当事人，及其合法的继承人。</w:t>
      </w:r>
    </w:p>
    <w:p w14:paraId="6FCAB0EF">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1.1.5“</w:t>
      </w:r>
      <w:r>
        <w:rPr>
          <w:rFonts w:hint="eastAsia" w:ascii="宋体" w:hAnsi="宋体" w:cs="宋体"/>
          <w:b w:val="0"/>
          <w:bCs w:val="0"/>
          <w:color w:val="000000"/>
          <w:sz w:val="24"/>
          <w:szCs w:val="24"/>
          <w:highlight w:val="none"/>
        </w:rPr>
        <w:t>监理”是指监理人受委托人的委托，依照法律法规、工程建设标准、勘察设计文件及合同，在施工阶段对建设工程质量、进度、造价进行控制，对合同、信息进行管理，对工程建设相关方的关系进行协调，并履行建设工程安全生产管理法定职责的服务活动。</w:t>
      </w:r>
    </w:p>
    <w:p w14:paraId="719FA405">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1.1.6“</w:t>
      </w:r>
      <w:r>
        <w:rPr>
          <w:rFonts w:hint="eastAsia" w:ascii="宋体" w:hAnsi="宋体" w:cs="宋体"/>
          <w:b w:val="0"/>
          <w:bCs w:val="0"/>
          <w:color w:val="000000"/>
          <w:sz w:val="24"/>
          <w:szCs w:val="24"/>
          <w:highlight w:val="none"/>
        </w:rPr>
        <w:t>相关服务”是指监理人受委托人的委托，按照本合同约定，在勘察、设计、保修等阶段提供的服务活动。</w:t>
      </w:r>
    </w:p>
    <w:p w14:paraId="6D6A5B5F">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1.1.7“</w:t>
      </w:r>
      <w:r>
        <w:rPr>
          <w:rFonts w:hint="eastAsia" w:ascii="宋体" w:hAnsi="宋体" w:cs="宋体"/>
          <w:b w:val="0"/>
          <w:bCs w:val="0"/>
          <w:color w:val="000000"/>
          <w:sz w:val="24"/>
          <w:szCs w:val="24"/>
          <w:highlight w:val="none"/>
        </w:rPr>
        <w:t>工程项目管理”是指监理人受委托人的委托，按照本合同约定，代表委托人对工程项目实施全过程或若干阶段的管理和服务。</w:t>
      </w:r>
    </w:p>
    <w:p w14:paraId="5FAA2DC5">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 1.1.8“</w:t>
      </w:r>
      <w:r>
        <w:rPr>
          <w:rFonts w:hint="eastAsia" w:ascii="宋体" w:hAnsi="宋体" w:cs="宋体"/>
          <w:b w:val="0"/>
          <w:bCs w:val="0"/>
          <w:color w:val="000000"/>
          <w:sz w:val="24"/>
          <w:szCs w:val="24"/>
          <w:highlight w:val="none"/>
        </w:rPr>
        <w:t>工程监理与项目管理一体化”是指监理人受委托人的委托，按照本合同约定，代表委托人对工程项目的实施全过程或若干阶段的管理和服务，对工程项目的施工阶段实施工程监理的服务活动。</w:t>
      </w:r>
    </w:p>
    <w:p w14:paraId="2B1093D6">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1.1.9“</w:t>
      </w:r>
      <w:r>
        <w:rPr>
          <w:rFonts w:hint="eastAsia" w:ascii="宋体" w:hAnsi="宋体" w:cs="宋体"/>
          <w:b w:val="0"/>
          <w:bCs w:val="0"/>
          <w:color w:val="000000"/>
          <w:sz w:val="24"/>
          <w:szCs w:val="24"/>
          <w:highlight w:val="none"/>
        </w:rPr>
        <w:t>正常工作”指本合同订立时通用条款和专用条款中约定的监理人的工作。</w:t>
      </w:r>
    </w:p>
    <w:p w14:paraId="247B2AAB">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1.1.10“</w:t>
      </w:r>
      <w:r>
        <w:rPr>
          <w:rFonts w:hint="eastAsia" w:ascii="宋体" w:hAnsi="宋体" w:cs="宋体"/>
          <w:b w:val="0"/>
          <w:bCs w:val="0"/>
          <w:color w:val="000000"/>
          <w:sz w:val="24"/>
          <w:szCs w:val="24"/>
          <w:highlight w:val="none"/>
        </w:rPr>
        <w:t>附加工作”是指本合同约定的正常工作以外监理人的工作。</w:t>
      </w:r>
    </w:p>
    <w:p w14:paraId="71C1F3A0">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1.1.11“</w:t>
      </w:r>
      <w:r>
        <w:rPr>
          <w:rFonts w:hint="eastAsia" w:ascii="宋体" w:hAnsi="宋体" w:cs="宋体"/>
          <w:b w:val="0"/>
          <w:bCs w:val="0"/>
          <w:color w:val="000000"/>
          <w:sz w:val="24"/>
          <w:szCs w:val="24"/>
          <w:highlight w:val="none"/>
        </w:rPr>
        <w:t>项目机构”是指监理人派驻工程负责履行本合同的组织机构。对于工程监理与项目管理一体化的项目机构，下设从事工程监理的子机构，在项目机构的领导下，负责履行本合同有关工程项目施工阶段工程监理的约定。</w:t>
      </w:r>
    </w:p>
    <w:p w14:paraId="52CA52E1">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1.1.12“</w:t>
      </w:r>
      <w:r>
        <w:rPr>
          <w:rFonts w:hint="eastAsia" w:ascii="宋体" w:hAnsi="宋体" w:cs="宋体"/>
          <w:b w:val="0"/>
          <w:bCs w:val="0"/>
          <w:color w:val="000000"/>
          <w:sz w:val="24"/>
          <w:szCs w:val="24"/>
          <w:highlight w:val="none"/>
        </w:rPr>
        <w:t>项目负责人（总监理工程师）”是指由监理人的法定代表人书面授权，全面负责履行本合同、主持项目机构工作的具有相应工程类注册执业资格或专业技术职称的专业人员。对于单纯从事工程监理的项目负责人，以及工程监理与项目管理一体化中具体从事工程监理的负责人，执业资格都为国家注册监理工程师。</w:t>
      </w:r>
    </w:p>
    <w:p w14:paraId="25A8FC57">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1.1.13“</w:t>
      </w:r>
      <w:r>
        <w:rPr>
          <w:rFonts w:hint="eastAsia" w:ascii="宋体" w:hAnsi="宋体" w:cs="宋体"/>
          <w:b w:val="0"/>
          <w:bCs w:val="0"/>
          <w:color w:val="000000"/>
          <w:sz w:val="24"/>
          <w:szCs w:val="24"/>
          <w:highlight w:val="none"/>
        </w:rPr>
        <w:t>总监理工程师代表”是指经总监理工程师授权，在项目机构中履行总监理工程师的部分职责，具有工程类注册执业资格或具有中级及以上专业技术职称，</w:t>
      </w:r>
      <w:r>
        <w:rPr>
          <w:rFonts w:hint="eastAsia" w:ascii="宋体" w:hAnsi="宋体" w:eastAsia="宋体" w:cs="宋体"/>
          <w:b w:val="0"/>
          <w:bCs w:val="0"/>
          <w:color w:val="000000"/>
          <w:sz w:val="24"/>
          <w:szCs w:val="24"/>
          <w:highlight w:val="none"/>
        </w:rPr>
        <w:t>3</w:t>
      </w:r>
      <w:r>
        <w:rPr>
          <w:rFonts w:hint="eastAsia" w:ascii="宋体" w:hAnsi="宋体" w:cs="宋体"/>
          <w:b w:val="0"/>
          <w:bCs w:val="0"/>
          <w:color w:val="000000"/>
          <w:sz w:val="24"/>
          <w:szCs w:val="24"/>
          <w:highlight w:val="none"/>
        </w:rPr>
        <w:t>年及以上工程监理实践经验的监理服务人员。总监理工程师为专职时不设总监理工程师代表。</w:t>
      </w:r>
    </w:p>
    <w:p w14:paraId="66CA2C62">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1.1.14“</w:t>
      </w:r>
      <w:r>
        <w:rPr>
          <w:rFonts w:hint="eastAsia" w:ascii="宋体" w:hAnsi="宋体" w:cs="宋体"/>
          <w:b w:val="0"/>
          <w:bCs w:val="0"/>
          <w:color w:val="000000"/>
          <w:sz w:val="24"/>
          <w:szCs w:val="24"/>
          <w:highlight w:val="none"/>
        </w:rPr>
        <w:t>专业监理工程师”，指由总监理工程师授权，负责实施某一专业或某一岗位的监理工作，有相应监理文件签发权，具有工程类注册执业资格或具有中级及以上专业技术职称，</w:t>
      </w:r>
      <w:r>
        <w:rPr>
          <w:rFonts w:hint="eastAsia" w:ascii="宋体" w:hAnsi="宋体" w:eastAsia="宋体" w:cs="宋体"/>
          <w:b w:val="0"/>
          <w:bCs w:val="0"/>
          <w:color w:val="000000"/>
          <w:sz w:val="24"/>
          <w:szCs w:val="24"/>
          <w:highlight w:val="none"/>
        </w:rPr>
        <w:t>3</w:t>
      </w:r>
      <w:r>
        <w:rPr>
          <w:rFonts w:hint="eastAsia" w:ascii="宋体" w:hAnsi="宋体" w:cs="宋体"/>
          <w:b w:val="0"/>
          <w:bCs w:val="0"/>
          <w:color w:val="000000"/>
          <w:sz w:val="24"/>
          <w:szCs w:val="24"/>
          <w:highlight w:val="none"/>
        </w:rPr>
        <w:t>年及以上工程监理实践经验的监理服务人员。</w:t>
      </w:r>
    </w:p>
    <w:p w14:paraId="66077FC9">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1.1.15“</w:t>
      </w:r>
      <w:r>
        <w:rPr>
          <w:rFonts w:hint="eastAsia" w:ascii="宋体" w:hAnsi="宋体" w:cs="宋体"/>
          <w:b w:val="0"/>
          <w:bCs w:val="0"/>
          <w:color w:val="000000"/>
          <w:sz w:val="24"/>
          <w:szCs w:val="24"/>
          <w:highlight w:val="none"/>
        </w:rPr>
        <w:t>监理员”，是指在总监理工程师或专业监理工程师的领导下，从事某项具体监理工作业务，具有中专及以上学历并经监理业务培训的监理服务人员。</w:t>
      </w:r>
    </w:p>
    <w:p w14:paraId="2317DBD9">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1.1.16“</w:t>
      </w:r>
      <w:r>
        <w:rPr>
          <w:rFonts w:hint="eastAsia" w:ascii="宋体" w:hAnsi="宋体" w:cs="宋体"/>
          <w:b w:val="0"/>
          <w:bCs w:val="0"/>
          <w:color w:val="000000"/>
          <w:sz w:val="24"/>
          <w:szCs w:val="24"/>
          <w:highlight w:val="none"/>
        </w:rPr>
        <w:t>酬金”是指监理人履行本合同义务，委托人按照本合同约定给付监理人的金额。</w:t>
      </w:r>
    </w:p>
    <w:p w14:paraId="65C762A5">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1.1.17“</w:t>
      </w:r>
      <w:r>
        <w:rPr>
          <w:rFonts w:hint="eastAsia" w:ascii="宋体" w:hAnsi="宋体" w:cs="宋体"/>
          <w:b w:val="0"/>
          <w:bCs w:val="0"/>
          <w:color w:val="000000"/>
          <w:sz w:val="24"/>
          <w:szCs w:val="24"/>
          <w:highlight w:val="none"/>
        </w:rPr>
        <w:t>正常工作酬金”是指监理人完成正常工作，委托人应给付监理人并在协议书中载明的签约酬金额。</w:t>
      </w:r>
    </w:p>
    <w:p w14:paraId="47489CEC">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1.1.18“</w:t>
      </w:r>
      <w:r>
        <w:rPr>
          <w:rFonts w:hint="eastAsia" w:ascii="宋体" w:hAnsi="宋体" w:cs="宋体"/>
          <w:b w:val="0"/>
          <w:bCs w:val="0"/>
          <w:color w:val="000000"/>
          <w:sz w:val="24"/>
          <w:szCs w:val="24"/>
          <w:highlight w:val="none"/>
        </w:rPr>
        <w:t>附加工作酬金”是指监理人完成附加工作，委托人应给付监理人的金额。</w:t>
      </w:r>
    </w:p>
    <w:p w14:paraId="1FD38EC1">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1.1.19“</w:t>
      </w:r>
      <w:r>
        <w:rPr>
          <w:rFonts w:hint="eastAsia" w:ascii="宋体" w:hAnsi="宋体" w:cs="宋体"/>
          <w:b w:val="0"/>
          <w:bCs w:val="0"/>
          <w:color w:val="000000"/>
          <w:sz w:val="24"/>
          <w:szCs w:val="24"/>
          <w:highlight w:val="none"/>
        </w:rPr>
        <w:t>一方”是指委托人或监理人；“双方”是指委托人和监理人；“第三方”是指除委托人和监理人以外的有关方。</w:t>
      </w:r>
    </w:p>
    <w:p w14:paraId="36B984D7">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1.1.20“</w:t>
      </w:r>
      <w:r>
        <w:rPr>
          <w:rFonts w:hint="eastAsia" w:ascii="宋体" w:hAnsi="宋体" w:cs="宋体"/>
          <w:b w:val="0"/>
          <w:bCs w:val="0"/>
          <w:color w:val="000000"/>
          <w:sz w:val="24"/>
          <w:szCs w:val="24"/>
          <w:highlight w:val="none"/>
        </w:rPr>
        <w:t>书面形式”是指合同书、信件和数据电文（包括电报、电传、传真、电子数据交换和电子邮件）等可以有形地表现所载内容的形式。</w:t>
      </w:r>
    </w:p>
    <w:p w14:paraId="49EA7C7C">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1.1.21“</w:t>
      </w:r>
      <w:r>
        <w:rPr>
          <w:rFonts w:hint="eastAsia" w:ascii="宋体" w:hAnsi="宋体" w:cs="宋体"/>
          <w:b w:val="0"/>
          <w:bCs w:val="0"/>
          <w:color w:val="000000"/>
          <w:sz w:val="24"/>
          <w:szCs w:val="24"/>
          <w:highlight w:val="none"/>
        </w:rPr>
        <w:t>天”是指第一天零时至第二天零时的时间。</w:t>
      </w:r>
    </w:p>
    <w:p w14:paraId="1C544624">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1.1.22“</w:t>
      </w:r>
      <w:r>
        <w:rPr>
          <w:rFonts w:hint="eastAsia" w:ascii="宋体" w:hAnsi="宋体" w:cs="宋体"/>
          <w:b w:val="0"/>
          <w:bCs w:val="0"/>
          <w:color w:val="000000"/>
          <w:sz w:val="24"/>
          <w:szCs w:val="24"/>
          <w:highlight w:val="none"/>
        </w:rPr>
        <w:t>月”是指按公历从一个月中任何一天开始的一个公历月时间。</w:t>
      </w:r>
    </w:p>
    <w:p w14:paraId="5E553CF9">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1.1.23“</w:t>
      </w:r>
      <w:r>
        <w:rPr>
          <w:rFonts w:hint="eastAsia" w:ascii="宋体" w:hAnsi="宋体" w:cs="宋体"/>
          <w:b w:val="0"/>
          <w:bCs w:val="0"/>
          <w:color w:val="000000"/>
          <w:sz w:val="24"/>
          <w:szCs w:val="24"/>
          <w:highlight w:val="none"/>
        </w:rPr>
        <w:t>不可抗力”是指委托人和监理人在订立本合同时不可预见，在工程施工过程中不可避免发生并不能克服的自然灾害和社会性突发事件，如地震、海啸、瘟疫、水灾、骚乱、暴动、战争和专用条款约定的其他情形。</w:t>
      </w:r>
    </w:p>
    <w:p w14:paraId="131B8A3E">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1.1.24“</w:t>
      </w:r>
      <w:r>
        <w:rPr>
          <w:rFonts w:hint="eastAsia" w:ascii="宋体" w:hAnsi="宋体" w:cs="宋体"/>
          <w:b w:val="0"/>
          <w:bCs w:val="0"/>
          <w:color w:val="000000"/>
          <w:sz w:val="24"/>
          <w:szCs w:val="24"/>
          <w:highlight w:val="none"/>
        </w:rPr>
        <w:t>工程概算投资额”是指经政府发展改革部门批复的建设项目工程投资概算额，而非施工招标的标底价、施工投标的中标价和工程竣工结算价。工程竣工验收前，工程概算投资额如经政府发展改革部门批准进行调整的，施工阶段监理酬金的计费额为调整后的工程概算投资额。</w:t>
      </w:r>
    </w:p>
    <w:p w14:paraId="06BE099B">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1.2 </w:t>
      </w:r>
      <w:r>
        <w:rPr>
          <w:rFonts w:hint="eastAsia" w:ascii="宋体" w:hAnsi="宋体" w:cs="宋体"/>
          <w:b w:val="0"/>
          <w:bCs w:val="0"/>
          <w:color w:val="000000"/>
          <w:kern w:val="2"/>
          <w:sz w:val="24"/>
          <w:szCs w:val="24"/>
          <w:highlight w:val="none"/>
        </w:rPr>
        <w:t>解释</w:t>
      </w:r>
    </w:p>
    <w:p w14:paraId="76DD80CD">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1.2.1</w:t>
      </w:r>
      <w:r>
        <w:rPr>
          <w:rFonts w:hint="eastAsia" w:ascii="宋体" w:hAnsi="宋体" w:cs="宋体"/>
          <w:b w:val="0"/>
          <w:bCs w:val="0"/>
          <w:color w:val="000000"/>
          <w:sz w:val="24"/>
          <w:szCs w:val="24"/>
          <w:highlight w:val="none"/>
        </w:rPr>
        <w:t>本合同使用中文书写、解释和说明。如专用条款约定使用两种及以上语言文字时，应以中文为准。</w:t>
      </w:r>
    </w:p>
    <w:p w14:paraId="3300C1F0">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1.2.2</w:t>
      </w:r>
      <w:r>
        <w:rPr>
          <w:rFonts w:hint="eastAsia" w:ascii="宋体" w:hAnsi="宋体" w:cs="宋体"/>
          <w:b w:val="0"/>
          <w:bCs w:val="0"/>
          <w:color w:val="000000"/>
          <w:sz w:val="24"/>
          <w:szCs w:val="24"/>
          <w:highlight w:val="none"/>
        </w:rPr>
        <w:t>组成本合同的下列文件彼此应能相互解释、互为说明。除专用条款另有约定外，本合同文件的解释顺序如下：</w:t>
      </w:r>
    </w:p>
    <w:p w14:paraId="07B58125">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⑴.</w:t>
      </w:r>
      <w:r>
        <w:rPr>
          <w:rFonts w:hint="eastAsia" w:ascii="宋体" w:hAnsi="宋体" w:cs="宋体"/>
          <w:b w:val="0"/>
          <w:bCs w:val="0"/>
          <w:color w:val="000000"/>
          <w:sz w:val="24"/>
          <w:szCs w:val="24"/>
          <w:highlight w:val="none"/>
        </w:rPr>
        <w:t>协议书；</w:t>
      </w:r>
    </w:p>
    <w:p w14:paraId="72A43B6A">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⑵.</w:t>
      </w:r>
      <w:r>
        <w:rPr>
          <w:rFonts w:hint="eastAsia" w:ascii="宋体" w:hAnsi="宋体" w:cs="宋体"/>
          <w:b w:val="0"/>
          <w:bCs w:val="0"/>
          <w:color w:val="000000"/>
          <w:sz w:val="24"/>
          <w:szCs w:val="24"/>
          <w:highlight w:val="none"/>
        </w:rPr>
        <w:t>中标通知书（适用于招标工程）或委托书（适用于非招标工程）；</w:t>
      </w:r>
    </w:p>
    <w:p w14:paraId="4A3D33DB">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⑶.</w:t>
      </w:r>
      <w:r>
        <w:rPr>
          <w:rFonts w:hint="eastAsia" w:ascii="宋体" w:hAnsi="宋体" w:cs="宋体"/>
          <w:b w:val="0"/>
          <w:bCs w:val="0"/>
          <w:color w:val="000000"/>
          <w:sz w:val="24"/>
          <w:szCs w:val="24"/>
          <w:highlight w:val="none"/>
        </w:rPr>
        <w:t>专用条款</w:t>
      </w:r>
    </w:p>
    <w:p w14:paraId="4E4B3318">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⑷.</w:t>
      </w:r>
      <w:r>
        <w:rPr>
          <w:rFonts w:hint="eastAsia" w:ascii="宋体" w:hAnsi="宋体" w:cs="宋体"/>
          <w:b w:val="0"/>
          <w:bCs w:val="0"/>
          <w:color w:val="000000"/>
          <w:sz w:val="24"/>
          <w:szCs w:val="24"/>
          <w:highlight w:val="none"/>
        </w:rPr>
        <w:t>通用条款；</w:t>
      </w:r>
    </w:p>
    <w:p w14:paraId="38AFA8CD">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⑸.</w:t>
      </w:r>
      <w:r>
        <w:rPr>
          <w:rFonts w:hint="eastAsia" w:ascii="宋体" w:hAnsi="宋体" w:cs="宋体"/>
          <w:b w:val="0"/>
          <w:bCs w:val="0"/>
          <w:color w:val="000000"/>
          <w:sz w:val="24"/>
          <w:szCs w:val="24"/>
          <w:highlight w:val="none"/>
        </w:rPr>
        <w:t>投标文件（适用于招标工程）或监理与相关服务建议书（适用于非招标工程）。</w:t>
      </w:r>
    </w:p>
    <w:p w14:paraId="045B1862">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双方签订的补充协议与其他文件发生矛盾或歧义时，属于同一类内容的文件，应以最新签署的为准。</w:t>
      </w:r>
    </w:p>
    <w:p w14:paraId="77CD4484">
      <w:pPr>
        <w:jc w:val="center"/>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2 </w:t>
      </w:r>
      <w:r>
        <w:rPr>
          <w:rFonts w:hint="eastAsia" w:ascii="宋体" w:hAnsi="宋体" w:cs="宋体"/>
          <w:b w:val="0"/>
          <w:bCs w:val="0"/>
          <w:color w:val="000000"/>
          <w:sz w:val="24"/>
          <w:szCs w:val="24"/>
          <w:highlight w:val="none"/>
        </w:rPr>
        <w:t>监理人的义务</w:t>
      </w:r>
    </w:p>
    <w:p w14:paraId="520237BF">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2.1</w:t>
      </w:r>
      <w:r>
        <w:rPr>
          <w:rFonts w:hint="eastAsia" w:ascii="宋体" w:hAnsi="宋体" w:cs="宋体"/>
          <w:b w:val="0"/>
          <w:bCs w:val="0"/>
          <w:color w:val="000000"/>
          <w:kern w:val="2"/>
          <w:sz w:val="24"/>
          <w:szCs w:val="24"/>
          <w:highlight w:val="none"/>
        </w:rPr>
        <w:t>监理的范围和工作内容</w:t>
      </w:r>
    </w:p>
    <w:p w14:paraId="7856742E">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2.1.1 </w:t>
      </w:r>
      <w:r>
        <w:rPr>
          <w:rFonts w:hint="eastAsia" w:ascii="宋体" w:hAnsi="宋体" w:cs="宋体"/>
          <w:b w:val="0"/>
          <w:bCs w:val="0"/>
          <w:color w:val="000000"/>
          <w:sz w:val="24"/>
          <w:szCs w:val="24"/>
          <w:highlight w:val="none"/>
        </w:rPr>
        <w:t>监理范围在专用条款中约定。</w:t>
      </w:r>
    </w:p>
    <w:p w14:paraId="079F4F8B">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2.1.2 </w:t>
      </w:r>
      <w:r>
        <w:rPr>
          <w:rFonts w:hint="eastAsia" w:ascii="宋体" w:hAnsi="宋体" w:cs="宋体"/>
          <w:b w:val="0"/>
          <w:bCs w:val="0"/>
          <w:color w:val="000000"/>
          <w:sz w:val="24"/>
          <w:szCs w:val="24"/>
          <w:highlight w:val="none"/>
        </w:rPr>
        <w:t>除专用条款另有约定外，监理工作内容包括：</w:t>
      </w:r>
    </w:p>
    <w:p w14:paraId="462E1075">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⑴</w:t>
      </w:r>
      <w:r>
        <w:rPr>
          <w:rFonts w:hint="eastAsia" w:ascii="宋体" w:hAnsi="宋体" w:cs="宋体"/>
          <w:b w:val="0"/>
          <w:bCs w:val="0"/>
          <w:color w:val="000000"/>
          <w:sz w:val="24"/>
          <w:szCs w:val="24"/>
          <w:highlight w:val="none"/>
        </w:rPr>
        <w:t>收到工程设计文件后编制监理规划，并在第一次工地会议</w:t>
      </w:r>
      <w:r>
        <w:rPr>
          <w:rFonts w:hint="eastAsia" w:ascii="宋体" w:hAnsi="宋体" w:eastAsia="宋体" w:cs="宋体"/>
          <w:b w:val="0"/>
          <w:bCs w:val="0"/>
          <w:color w:val="000000"/>
          <w:sz w:val="24"/>
          <w:szCs w:val="24"/>
          <w:highlight w:val="none"/>
        </w:rPr>
        <w:t>7</w:t>
      </w:r>
      <w:r>
        <w:rPr>
          <w:rFonts w:hint="eastAsia" w:ascii="宋体" w:hAnsi="宋体" w:cs="宋体"/>
          <w:b w:val="0"/>
          <w:bCs w:val="0"/>
          <w:color w:val="000000"/>
          <w:sz w:val="24"/>
          <w:szCs w:val="24"/>
          <w:highlight w:val="none"/>
        </w:rPr>
        <w:t>天前报委托人。根据有关规定和监理工作需要，编制监理实施细则；</w:t>
      </w:r>
    </w:p>
    <w:p w14:paraId="00A4B161">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⑵</w:t>
      </w:r>
      <w:r>
        <w:rPr>
          <w:rFonts w:hint="eastAsia" w:ascii="宋体" w:hAnsi="宋体" w:cs="宋体"/>
          <w:b w:val="0"/>
          <w:bCs w:val="0"/>
          <w:color w:val="000000"/>
          <w:sz w:val="24"/>
          <w:szCs w:val="24"/>
          <w:highlight w:val="none"/>
        </w:rPr>
        <w:t>熟悉工程设计文件，并参加由委托人主持的图纸会审和设计交底会议；</w:t>
      </w:r>
    </w:p>
    <w:p w14:paraId="3E72F3A1">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⑶</w:t>
      </w:r>
      <w:r>
        <w:rPr>
          <w:rFonts w:hint="eastAsia" w:ascii="宋体" w:hAnsi="宋体" w:cs="宋体"/>
          <w:b w:val="0"/>
          <w:bCs w:val="0"/>
          <w:color w:val="000000"/>
          <w:sz w:val="24"/>
          <w:szCs w:val="24"/>
          <w:highlight w:val="none"/>
        </w:rPr>
        <w:t>参加由委托人主持的第一次工地会议；主持监理例会并根据工程需要主持或参加专题会议；</w:t>
      </w:r>
    </w:p>
    <w:p w14:paraId="72D9F4F2">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⑷</w:t>
      </w:r>
      <w:r>
        <w:rPr>
          <w:rFonts w:hint="eastAsia" w:ascii="宋体" w:hAnsi="宋体" w:cs="宋体"/>
          <w:b w:val="0"/>
          <w:bCs w:val="0"/>
          <w:color w:val="000000"/>
          <w:sz w:val="24"/>
          <w:szCs w:val="24"/>
          <w:highlight w:val="none"/>
        </w:rPr>
        <w:t>审查施工承包人提交的施工组织设计，重点审查其中的质量安全技术措施、专项施工方案与工程建设强制性标准的符合性；</w:t>
      </w:r>
    </w:p>
    <w:p w14:paraId="7224DC6E">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⑸</w:t>
      </w:r>
      <w:r>
        <w:rPr>
          <w:rFonts w:hint="eastAsia" w:ascii="宋体" w:hAnsi="宋体" w:cs="宋体"/>
          <w:b w:val="0"/>
          <w:bCs w:val="0"/>
          <w:color w:val="000000"/>
          <w:sz w:val="24"/>
          <w:szCs w:val="24"/>
          <w:highlight w:val="none"/>
        </w:rPr>
        <w:t>检查施工承包人工程质量、安全生产管理制度及组织机构和人员资格；</w:t>
      </w:r>
    </w:p>
    <w:p w14:paraId="60E580B4">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⑹</w:t>
      </w:r>
      <w:r>
        <w:rPr>
          <w:rFonts w:hint="eastAsia" w:ascii="宋体" w:hAnsi="宋体" w:cs="宋体"/>
          <w:b w:val="0"/>
          <w:bCs w:val="0"/>
          <w:color w:val="000000"/>
          <w:sz w:val="24"/>
          <w:szCs w:val="24"/>
          <w:highlight w:val="none"/>
        </w:rPr>
        <w:t>检查施工承包人专职安全生产管理人员的配备情况；</w:t>
      </w:r>
    </w:p>
    <w:p w14:paraId="5BE7E5ED">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⑺</w:t>
      </w:r>
      <w:r>
        <w:rPr>
          <w:rFonts w:hint="eastAsia" w:ascii="宋体" w:hAnsi="宋体" w:cs="宋体"/>
          <w:b w:val="0"/>
          <w:bCs w:val="0"/>
          <w:color w:val="000000"/>
          <w:sz w:val="24"/>
          <w:szCs w:val="24"/>
          <w:highlight w:val="none"/>
        </w:rPr>
        <w:t>审查施工承包人提交的施工进度计划，核查承包人对施工进度计划的调整；</w:t>
      </w:r>
    </w:p>
    <w:p w14:paraId="0D5F3EB0">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⑻</w:t>
      </w:r>
      <w:r>
        <w:rPr>
          <w:rFonts w:hint="eastAsia" w:ascii="宋体" w:hAnsi="宋体" w:cs="宋体"/>
          <w:b w:val="0"/>
          <w:bCs w:val="0"/>
          <w:color w:val="000000"/>
          <w:sz w:val="24"/>
          <w:szCs w:val="24"/>
          <w:highlight w:val="none"/>
        </w:rPr>
        <w:t>检查施工承包人的试验室；</w:t>
      </w:r>
    </w:p>
    <w:p w14:paraId="36137873">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⑼</w:t>
      </w:r>
      <w:r>
        <w:rPr>
          <w:rFonts w:hint="eastAsia" w:ascii="宋体" w:hAnsi="宋体" w:cs="宋体"/>
          <w:b w:val="0"/>
          <w:bCs w:val="0"/>
          <w:color w:val="000000"/>
          <w:sz w:val="24"/>
          <w:szCs w:val="24"/>
          <w:highlight w:val="none"/>
        </w:rPr>
        <w:t>审核施工分包人资质条件；</w:t>
      </w:r>
    </w:p>
    <w:p w14:paraId="522058E1">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⑽</w:t>
      </w:r>
      <w:r>
        <w:rPr>
          <w:rFonts w:hint="eastAsia" w:ascii="宋体" w:hAnsi="宋体" w:cs="宋体"/>
          <w:b w:val="0"/>
          <w:bCs w:val="0"/>
          <w:color w:val="000000"/>
          <w:sz w:val="24"/>
          <w:szCs w:val="24"/>
          <w:highlight w:val="none"/>
        </w:rPr>
        <w:t>查验施工承包人的施工测量放线成果；</w:t>
      </w:r>
    </w:p>
    <w:p w14:paraId="42E73179">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⑾</w:t>
      </w:r>
      <w:r>
        <w:rPr>
          <w:rFonts w:hint="eastAsia" w:ascii="宋体" w:hAnsi="宋体" w:cs="宋体"/>
          <w:b w:val="0"/>
          <w:bCs w:val="0"/>
          <w:color w:val="000000"/>
          <w:sz w:val="24"/>
          <w:szCs w:val="24"/>
          <w:highlight w:val="none"/>
        </w:rPr>
        <w:t>审查工程开工条件，对条件具备的签发开工令；</w:t>
      </w:r>
    </w:p>
    <w:p w14:paraId="4BA5D510">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⑿</w:t>
      </w:r>
      <w:r>
        <w:rPr>
          <w:rFonts w:hint="eastAsia" w:ascii="宋体" w:hAnsi="宋体" w:cs="宋体"/>
          <w:b w:val="0"/>
          <w:bCs w:val="0"/>
          <w:color w:val="000000"/>
          <w:sz w:val="24"/>
          <w:szCs w:val="24"/>
          <w:highlight w:val="none"/>
        </w:rPr>
        <w:t>审查施工承包人报送的工程材料、构配件、设备质量证明文件的有效性和符合性，并按规定对用于工程的材料采取平行检查或见证取样方式进行抽检；</w:t>
      </w:r>
    </w:p>
    <w:p w14:paraId="734C320A">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⒀</w:t>
      </w:r>
      <w:r>
        <w:rPr>
          <w:rFonts w:hint="eastAsia" w:ascii="宋体" w:hAnsi="宋体" w:cs="宋体"/>
          <w:b w:val="0"/>
          <w:bCs w:val="0"/>
          <w:color w:val="000000"/>
          <w:sz w:val="24"/>
          <w:szCs w:val="24"/>
          <w:highlight w:val="none"/>
        </w:rPr>
        <w:t>审核施工承包人提交的工程款支付申请，签发或出具工程款支付证书，并报委托人审核、批准；</w:t>
      </w:r>
    </w:p>
    <w:p w14:paraId="3DF42B4A">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⒁</w:t>
      </w:r>
      <w:r>
        <w:rPr>
          <w:rFonts w:hint="eastAsia" w:ascii="宋体" w:hAnsi="宋体" w:cs="宋体"/>
          <w:b w:val="0"/>
          <w:bCs w:val="0"/>
          <w:color w:val="000000"/>
          <w:sz w:val="24"/>
          <w:szCs w:val="24"/>
          <w:highlight w:val="none"/>
        </w:rPr>
        <w:t>在巡视、旁站和检查、验收过程中，发现工程质量、施工安全存在事故隐患的，要求施工承包人整改并报委托人；</w:t>
      </w:r>
    </w:p>
    <w:p w14:paraId="158E978C">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⒂</w:t>
      </w:r>
      <w:r>
        <w:rPr>
          <w:rFonts w:hint="eastAsia" w:ascii="宋体" w:hAnsi="宋体" w:cs="宋体"/>
          <w:b w:val="0"/>
          <w:bCs w:val="0"/>
          <w:color w:val="000000"/>
          <w:sz w:val="24"/>
          <w:szCs w:val="24"/>
          <w:highlight w:val="none"/>
        </w:rPr>
        <w:t>经委托人同意，签发工程暂停令和复工令；</w:t>
      </w:r>
    </w:p>
    <w:p w14:paraId="0F69A228">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⒃</w:t>
      </w:r>
      <w:r>
        <w:rPr>
          <w:rFonts w:hint="eastAsia" w:ascii="宋体" w:hAnsi="宋体" w:cs="宋体"/>
          <w:b w:val="0"/>
          <w:bCs w:val="0"/>
          <w:color w:val="000000"/>
          <w:sz w:val="24"/>
          <w:szCs w:val="24"/>
          <w:highlight w:val="none"/>
        </w:rPr>
        <w:t>审查施工承包人提交的采用新材料、新工艺、新技术、新设备的论证材料及相关验收标准；</w:t>
      </w:r>
    </w:p>
    <w:p w14:paraId="30CC9B09">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⒄</w:t>
      </w:r>
      <w:r>
        <w:rPr>
          <w:rFonts w:hint="eastAsia" w:ascii="宋体" w:hAnsi="宋体" w:cs="宋体"/>
          <w:b w:val="0"/>
          <w:bCs w:val="0"/>
          <w:color w:val="000000"/>
          <w:sz w:val="24"/>
          <w:szCs w:val="24"/>
          <w:highlight w:val="none"/>
        </w:rPr>
        <w:t>验收隐蔽工程、分部分项工程；</w:t>
      </w:r>
    </w:p>
    <w:p w14:paraId="744D941A">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⒅</w:t>
      </w:r>
      <w:r>
        <w:rPr>
          <w:rFonts w:hint="eastAsia" w:ascii="宋体" w:hAnsi="宋体" w:cs="宋体"/>
          <w:b w:val="0"/>
          <w:bCs w:val="0"/>
          <w:color w:val="000000"/>
          <w:sz w:val="24"/>
          <w:szCs w:val="24"/>
          <w:highlight w:val="none"/>
        </w:rPr>
        <w:t>审查施工承包人提交的工程变更申请，协调处理施工进度调整、费用索赔、合同争议等事项；</w:t>
      </w:r>
    </w:p>
    <w:p w14:paraId="24D0C2F0">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⒆</w:t>
      </w:r>
      <w:r>
        <w:rPr>
          <w:rFonts w:hint="eastAsia" w:ascii="宋体" w:hAnsi="宋体" w:cs="宋体"/>
          <w:b w:val="0"/>
          <w:bCs w:val="0"/>
          <w:color w:val="000000"/>
          <w:sz w:val="24"/>
          <w:szCs w:val="24"/>
          <w:highlight w:val="none"/>
        </w:rPr>
        <w:t>审查施工承包人提交的竣工验收申请，编写工程质量评估报告；</w:t>
      </w:r>
    </w:p>
    <w:p w14:paraId="7BAB7D6E">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⒇</w:t>
      </w:r>
      <w:r>
        <w:rPr>
          <w:rFonts w:hint="eastAsia" w:ascii="宋体" w:hAnsi="宋体" w:cs="宋体"/>
          <w:b w:val="0"/>
          <w:bCs w:val="0"/>
          <w:color w:val="000000"/>
          <w:sz w:val="24"/>
          <w:szCs w:val="24"/>
          <w:highlight w:val="none"/>
        </w:rPr>
        <w:t>参加工程竣工验收，签署竣工验收意见；</w:t>
      </w:r>
    </w:p>
    <w:p w14:paraId="09C5E818">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(21)</w:t>
      </w:r>
      <w:r>
        <w:rPr>
          <w:rFonts w:hint="eastAsia" w:ascii="宋体" w:hAnsi="宋体" w:cs="宋体"/>
          <w:b w:val="0"/>
          <w:bCs w:val="0"/>
          <w:color w:val="000000"/>
          <w:sz w:val="24"/>
          <w:szCs w:val="24"/>
          <w:highlight w:val="none"/>
        </w:rPr>
        <w:t>审查施工承包人提交的竣工结算申请中有关工程变更部分的工程数量，并报委托人；</w:t>
      </w:r>
    </w:p>
    <w:p w14:paraId="4F1ED2F7">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(22)</w:t>
      </w:r>
      <w:r>
        <w:rPr>
          <w:rFonts w:hint="eastAsia" w:ascii="宋体" w:hAnsi="宋体" w:cs="宋体"/>
          <w:b w:val="0"/>
          <w:bCs w:val="0"/>
          <w:color w:val="000000"/>
          <w:sz w:val="24"/>
          <w:szCs w:val="24"/>
          <w:highlight w:val="none"/>
        </w:rPr>
        <w:t>编制、整理工程监理归档文件并报委托人。</w:t>
      </w:r>
    </w:p>
    <w:p w14:paraId="1AD8E2E3">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2.1.3 </w:t>
      </w:r>
      <w:r>
        <w:rPr>
          <w:rFonts w:hint="eastAsia" w:ascii="宋体" w:hAnsi="宋体" w:cs="宋体"/>
          <w:b w:val="0"/>
          <w:bCs w:val="0"/>
          <w:color w:val="000000"/>
          <w:sz w:val="24"/>
          <w:szCs w:val="24"/>
          <w:highlight w:val="none"/>
        </w:rPr>
        <w:t>相关服务的范围和内容在专用条款约定。</w:t>
      </w:r>
    </w:p>
    <w:p w14:paraId="5395DD1E">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2.2 </w:t>
      </w:r>
      <w:r>
        <w:rPr>
          <w:rFonts w:hint="eastAsia" w:ascii="宋体" w:hAnsi="宋体" w:cs="宋体"/>
          <w:b w:val="0"/>
          <w:bCs w:val="0"/>
          <w:color w:val="000000"/>
          <w:kern w:val="2"/>
          <w:sz w:val="24"/>
          <w:szCs w:val="24"/>
          <w:highlight w:val="none"/>
        </w:rPr>
        <w:t>监理与相关服务依据</w:t>
      </w:r>
    </w:p>
    <w:p w14:paraId="0EA23834">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2.2.1 </w:t>
      </w:r>
      <w:r>
        <w:rPr>
          <w:rFonts w:hint="eastAsia" w:ascii="宋体" w:hAnsi="宋体" w:cs="宋体"/>
          <w:b w:val="0"/>
          <w:bCs w:val="0"/>
          <w:color w:val="000000"/>
          <w:sz w:val="24"/>
          <w:szCs w:val="24"/>
          <w:highlight w:val="none"/>
        </w:rPr>
        <w:t>监理依据包括：</w:t>
      </w:r>
    </w:p>
    <w:p w14:paraId="1DCD65D3">
      <w:pPr>
        <w:pageBreakBefore w:val="0"/>
        <w:widowControl w:val="0"/>
        <w:kinsoku/>
        <w:overflowPunct/>
        <w:autoSpaceDE/>
        <w:bidi w:val="0"/>
        <w:snapToGrid/>
        <w:spacing w:line="560" w:lineRule="exact"/>
        <w:ind w:right="0" w:firstLine="42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⑴.</w:t>
      </w:r>
      <w:r>
        <w:rPr>
          <w:rFonts w:hint="eastAsia" w:ascii="宋体" w:hAnsi="宋体" w:cs="宋体"/>
          <w:b w:val="0"/>
          <w:bCs w:val="0"/>
          <w:color w:val="000000"/>
          <w:sz w:val="24"/>
          <w:szCs w:val="24"/>
          <w:highlight w:val="none"/>
        </w:rPr>
        <w:t>适用的法律、行政法规及部门规章；</w:t>
      </w:r>
    </w:p>
    <w:p w14:paraId="28A9DC10">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⑵.</w:t>
      </w:r>
      <w:r>
        <w:rPr>
          <w:rFonts w:hint="eastAsia" w:ascii="宋体" w:hAnsi="宋体" w:cs="宋体"/>
          <w:b w:val="0"/>
          <w:bCs w:val="0"/>
          <w:color w:val="000000"/>
          <w:sz w:val="24"/>
          <w:szCs w:val="24"/>
          <w:highlight w:val="none"/>
        </w:rPr>
        <w:t>与工程有关的标准；</w:t>
      </w:r>
    </w:p>
    <w:p w14:paraId="7C55C2D7">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⑶.</w:t>
      </w:r>
      <w:r>
        <w:rPr>
          <w:rFonts w:hint="eastAsia" w:ascii="宋体" w:hAnsi="宋体" w:cs="宋体"/>
          <w:b w:val="0"/>
          <w:bCs w:val="0"/>
          <w:color w:val="000000"/>
          <w:sz w:val="24"/>
          <w:szCs w:val="24"/>
          <w:highlight w:val="none"/>
        </w:rPr>
        <w:t>工程设计及有关文件；</w:t>
      </w:r>
    </w:p>
    <w:p w14:paraId="7D5DC230">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⑷.</w:t>
      </w:r>
      <w:r>
        <w:rPr>
          <w:rFonts w:hint="eastAsia" w:ascii="宋体" w:hAnsi="宋体" w:cs="宋体"/>
          <w:b w:val="0"/>
          <w:bCs w:val="0"/>
          <w:color w:val="000000"/>
          <w:sz w:val="24"/>
          <w:szCs w:val="24"/>
          <w:highlight w:val="none"/>
        </w:rPr>
        <w:t>本合同及委托人与第三方签订的与实施工程有关的其他合同。</w:t>
      </w:r>
    </w:p>
    <w:p w14:paraId="50A58CEC">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双方根据工程的行业和地域特点，在专用条款中具体约定监理依据。</w:t>
      </w:r>
    </w:p>
    <w:p w14:paraId="768A4F64">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2.2.2 </w:t>
      </w:r>
      <w:r>
        <w:rPr>
          <w:rFonts w:hint="eastAsia" w:ascii="宋体" w:hAnsi="宋体" w:cs="宋体"/>
          <w:b w:val="0"/>
          <w:bCs w:val="0"/>
          <w:color w:val="000000"/>
          <w:sz w:val="24"/>
          <w:szCs w:val="24"/>
          <w:highlight w:val="none"/>
        </w:rPr>
        <w:t>相关服务依据在专用条款中约定。</w:t>
      </w:r>
    </w:p>
    <w:p w14:paraId="36EED739">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2.3 </w:t>
      </w:r>
      <w:r>
        <w:rPr>
          <w:rFonts w:hint="eastAsia" w:ascii="宋体" w:hAnsi="宋体" w:cs="宋体"/>
          <w:b w:val="0"/>
          <w:bCs w:val="0"/>
          <w:color w:val="000000"/>
          <w:kern w:val="2"/>
          <w:sz w:val="24"/>
          <w:szCs w:val="24"/>
          <w:highlight w:val="none"/>
        </w:rPr>
        <w:t>项目机构和人员</w:t>
      </w:r>
    </w:p>
    <w:p w14:paraId="4FFC89EF">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2.3.1</w:t>
      </w:r>
      <w:r>
        <w:rPr>
          <w:rFonts w:hint="eastAsia" w:ascii="宋体" w:hAnsi="宋体" w:cs="宋体"/>
          <w:b w:val="0"/>
          <w:bCs w:val="0"/>
          <w:color w:val="000000"/>
          <w:sz w:val="24"/>
          <w:szCs w:val="24"/>
          <w:highlight w:val="none"/>
        </w:rPr>
        <w:t>监理人应组建满足工作需要的项目机构，配备必要的施工测量复核、简易的质量实测实量所需的仪器设备。项目机构的主要人员应具有相应的资格条件。</w:t>
      </w:r>
    </w:p>
    <w:p w14:paraId="620AFBF0">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2.3.2</w:t>
      </w:r>
      <w:r>
        <w:rPr>
          <w:rFonts w:hint="eastAsia" w:ascii="宋体" w:hAnsi="宋体" w:cs="宋体"/>
          <w:b w:val="0"/>
          <w:bCs w:val="0"/>
          <w:color w:val="000000"/>
          <w:sz w:val="24"/>
          <w:szCs w:val="24"/>
          <w:highlight w:val="none"/>
        </w:rPr>
        <w:t>本合同履行过程中，项目负责人（总监）及重要岗位监理服务人员应保持相对稳定，以保证工程监理与相关服务工作正常进行。</w:t>
      </w:r>
    </w:p>
    <w:p w14:paraId="0440027A">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2.3.3</w:t>
      </w:r>
      <w:r>
        <w:rPr>
          <w:rFonts w:hint="eastAsia" w:ascii="宋体" w:hAnsi="宋体" w:cs="宋体"/>
          <w:b w:val="0"/>
          <w:bCs w:val="0"/>
          <w:color w:val="000000"/>
          <w:sz w:val="24"/>
          <w:szCs w:val="24"/>
          <w:highlight w:val="none"/>
        </w:rPr>
        <w:t>监理人可根据工程进展和工作需要调整项目机构人员。监理人更换项目负责人（总监）时，应提前</w:t>
      </w:r>
      <w:r>
        <w:rPr>
          <w:rFonts w:hint="eastAsia" w:ascii="宋体" w:hAnsi="宋体" w:eastAsia="宋体" w:cs="宋体"/>
          <w:b w:val="0"/>
          <w:bCs w:val="0"/>
          <w:color w:val="000000"/>
          <w:sz w:val="24"/>
          <w:szCs w:val="24"/>
          <w:highlight w:val="none"/>
        </w:rPr>
        <w:t>7</w:t>
      </w:r>
      <w:r>
        <w:rPr>
          <w:rFonts w:hint="eastAsia" w:ascii="宋体" w:hAnsi="宋体" w:cs="宋体"/>
          <w:b w:val="0"/>
          <w:bCs w:val="0"/>
          <w:color w:val="000000"/>
          <w:sz w:val="24"/>
          <w:szCs w:val="24"/>
          <w:highlight w:val="none"/>
        </w:rPr>
        <w:t>天向委托人书面报告，经委托人同意后方可更换；监理人更换项目机构其他监理服务人员，应以相当资格与能力的人员替换，并通知委托人。</w:t>
      </w:r>
    </w:p>
    <w:p w14:paraId="298F06E6">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2.3.4 </w:t>
      </w:r>
      <w:r>
        <w:rPr>
          <w:rFonts w:hint="eastAsia" w:ascii="宋体" w:hAnsi="宋体" w:cs="宋体"/>
          <w:b w:val="0"/>
          <w:bCs w:val="0"/>
          <w:color w:val="000000"/>
          <w:sz w:val="24"/>
          <w:szCs w:val="24"/>
          <w:highlight w:val="none"/>
        </w:rPr>
        <w:t>监理人应及时更换有下列情形之一的监理服务人员：</w:t>
      </w:r>
    </w:p>
    <w:p w14:paraId="42CCAE6A">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⑴.</w:t>
      </w:r>
      <w:r>
        <w:rPr>
          <w:rFonts w:hint="eastAsia" w:ascii="宋体" w:hAnsi="宋体" w:cs="宋体"/>
          <w:b w:val="0"/>
          <w:bCs w:val="0"/>
          <w:color w:val="000000"/>
          <w:sz w:val="24"/>
          <w:szCs w:val="24"/>
          <w:highlight w:val="none"/>
        </w:rPr>
        <w:t>严重过失行为的；</w:t>
      </w:r>
    </w:p>
    <w:p w14:paraId="766DA167">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⑵.</w:t>
      </w:r>
      <w:r>
        <w:rPr>
          <w:rFonts w:hint="eastAsia" w:ascii="宋体" w:hAnsi="宋体" w:cs="宋体"/>
          <w:b w:val="0"/>
          <w:bCs w:val="0"/>
          <w:color w:val="000000"/>
          <w:sz w:val="24"/>
          <w:szCs w:val="24"/>
          <w:highlight w:val="none"/>
        </w:rPr>
        <w:t>有违法行为不能履行职责的；</w:t>
      </w:r>
    </w:p>
    <w:p w14:paraId="11434EE3">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⑶.</w:t>
      </w:r>
      <w:r>
        <w:rPr>
          <w:rFonts w:hint="eastAsia" w:ascii="宋体" w:hAnsi="宋体" w:cs="宋体"/>
          <w:b w:val="0"/>
          <w:bCs w:val="0"/>
          <w:color w:val="000000"/>
          <w:sz w:val="24"/>
          <w:szCs w:val="24"/>
          <w:highlight w:val="none"/>
        </w:rPr>
        <w:t>涉嫌犯罪的；</w:t>
      </w:r>
    </w:p>
    <w:p w14:paraId="4AB0F069">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⑷.</w:t>
      </w:r>
      <w:r>
        <w:rPr>
          <w:rFonts w:hint="eastAsia" w:ascii="宋体" w:hAnsi="宋体" w:cs="宋体"/>
          <w:b w:val="0"/>
          <w:bCs w:val="0"/>
          <w:color w:val="000000"/>
          <w:sz w:val="24"/>
          <w:szCs w:val="24"/>
          <w:highlight w:val="none"/>
        </w:rPr>
        <w:t>不能胜任岗位职责的；</w:t>
      </w:r>
    </w:p>
    <w:p w14:paraId="3C7F80F6">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⑸.</w:t>
      </w:r>
      <w:r>
        <w:rPr>
          <w:rFonts w:hint="eastAsia" w:ascii="宋体" w:hAnsi="宋体" w:cs="宋体"/>
          <w:b w:val="0"/>
          <w:bCs w:val="0"/>
          <w:color w:val="000000"/>
          <w:sz w:val="24"/>
          <w:szCs w:val="24"/>
          <w:highlight w:val="none"/>
        </w:rPr>
        <w:t>严重违反职业道德的；</w:t>
      </w:r>
    </w:p>
    <w:p w14:paraId="369DAAB9">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⑹.</w:t>
      </w:r>
      <w:r>
        <w:rPr>
          <w:rFonts w:hint="eastAsia" w:ascii="宋体" w:hAnsi="宋体" w:cs="宋体"/>
          <w:b w:val="0"/>
          <w:bCs w:val="0"/>
          <w:color w:val="000000"/>
          <w:sz w:val="24"/>
          <w:szCs w:val="24"/>
          <w:highlight w:val="none"/>
        </w:rPr>
        <w:t>专用条款约定的其他情形。</w:t>
      </w:r>
    </w:p>
    <w:p w14:paraId="525FE45C">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2.3.5 </w:t>
      </w:r>
      <w:r>
        <w:rPr>
          <w:rFonts w:hint="eastAsia" w:ascii="宋体" w:hAnsi="宋体" w:cs="宋体"/>
          <w:b w:val="0"/>
          <w:bCs w:val="0"/>
          <w:color w:val="000000"/>
          <w:sz w:val="24"/>
          <w:szCs w:val="24"/>
          <w:highlight w:val="none"/>
        </w:rPr>
        <w:t>委托人可要求监理人更换不能胜任本职工作的项目机构人员。</w:t>
      </w:r>
    </w:p>
    <w:p w14:paraId="42E029C1">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2.4 </w:t>
      </w:r>
      <w:r>
        <w:rPr>
          <w:rFonts w:hint="eastAsia" w:ascii="宋体" w:hAnsi="宋体" w:cs="宋体"/>
          <w:b w:val="0"/>
          <w:bCs w:val="0"/>
          <w:color w:val="000000"/>
          <w:kern w:val="2"/>
          <w:sz w:val="24"/>
          <w:szCs w:val="24"/>
          <w:highlight w:val="none"/>
        </w:rPr>
        <w:t>履行职责</w:t>
      </w:r>
    </w:p>
    <w:p w14:paraId="2F6C8BF6">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监理人应遵循职业道德准则和行为规范，严格按照法律法规、工程建设有关标准及本合同履行职责。</w:t>
      </w:r>
    </w:p>
    <w:p w14:paraId="3CD8131D">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2.4.1 </w:t>
      </w:r>
      <w:r>
        <w:rPr>
          <w:rFonts w:hint="eastAsia" w:ascii="宋体" w:hAnsi="宋体" w:cs="宋体"/>
          <w:b w:val="0"/>
          <w:bCs w:val="0"/>
          <w:color w:val="000000"/>
          <w:sz w:val="24"/>
          <w:szCs w:val="24"/>
          <w:highlight w:val="none"/>
        </w:rPr>
        <w:t>在监理与相关服务范围内，委托人和承包人提出的意见和要求，监理人应及时提出处置意见。当委托人与承包人之间发生合同争议时，监理人应协助委托人、承包人协商解决。</w:t>
      </w:r>
    </w:p>
    <w:p w14:paraId="079A5146">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2.4.2 </w:t>
      </w:r>
      <w:r>
        <w:rPr>
          <w:rFonts w:hint="eastAsia" w:ascii="宋体" w:hAnsi="宋体" w:cs="宋体"/>
          <w:b w:val="0"/>
          <w:bCs w:val="0"/>
          <w:color w:val="000000"/>
          <w:sz w:val="24"/>
          <w:szCs w:val="24"/>
          <w:highlight w:val="none"/>
        </w:rPr>
        <w:t>当委托人与承包人之间的合同争议提交仲裁机构仲裁或人民法院审理时，监理人应提供必要的证明资料。</w:t>
      </w:r>
    </w:p>
    <w:p w14:paraId="3F5FCC44">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2.4.3 </w:t>
      </w:r>
      <w:r>
        <w:rPr>
          <w:rFonts w:hint="eastAsia" w:ascii="宋体" w:hAnsi="宋体" w:cs="宋体"/>
          <w:b w:val="0"/>
          <w:bCs w:val="0"/>
          <w:color w:val="000000"/>
          <w:sz w:val="24"/>
          <w:szCs w:val="24"/>
          <w:highlight w:val="none"/>
        </w:rPr>
        <w:t>监理人应在专用条款约定的授权范围内，处理委托人与承包人所签订合同的变更事宜。如果变更超过授权范围，应以书面形式报委托人批准。</w:t>
      </w:r>
    </w:p>
    <w:p w14:paraId="042EE304">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在紧急情况下，为了保护财产和人身安全，监理人所发出的指令未能事先报委托人批准时，应在发出指令后的</w:t>
      </w:r>
      <w:r>
        <w:rPr>
          <w:rFonts w:hint="eastAsia" w:ascii="宋体" w:hAnsi="宋体" w:eastAsia="宋体" w:cs="宋体"/>
          <w:b w:val="0"/>
          <w:bCs w:val="0"/>
          <w:color w:val="000000"/>
          <w:sz w:val="24"/>
          <w:szCs w:val="24"/>
          <w:highlight w:val="none"/>
        </w:rPr>
        <w:t>24</w:t>
      </w:r>
      <w:r>
        <w:rPr>
          <w:rFonts w:hint="eastAsia" w:ascii="宋体" w:hAnsi="宋体" w:cs="宋体"/>
          <w:b w:val="0"/>
          <w:bCs w:val="0"/>
          <w:color w:val="000000"/>
          <w:sz w:val="24"/>
          <w:szCs w:val="24"/>
          <w:highlight w:val="none"/>
        </w:rPr>
        <w:t>小时内以书面形式报委托人。</w:t>
      </w:r>
    </w:p>
    <w:p w14:paraId="5A36AE9B">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2.4.4 </w:t>
      </w:r>
      <w:r>
        <w:rPr>
          <w:rFonts w:hint="eastAsia" w:ascii="宋体" w:hAnsi="宋体" w:cs="宋体"/>
          <w:b w:val="0"/>
          <w:bCs w:val="0"/>
          <w:color w:val="000000"/>
          <w:sz w:val="24"/>
          <w:szCs w:val="24"/>
          <w:highlight w:val="none"/>
        </w:rPr>
        <w:t>除专用条款另有约定外，监理人发现承包人的人员不能胜任本职工作的，有权要求承包人予以调换。</w:t>
      </w:r>
    </w:p>
    <w:p w14:paraId="30B230DC">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2.5 </w:t>
      </w:r>
      <w:r>
        <w:rPr>
          <w:rFonts w:hint="eastAsia" w:ascii="宋体" w:hAnsi="宋体" w:cs="宋体"/>
          <w:b w:val="0"/>
          <w:bCs w:val="0"/>
          <w:color w:val="000000"/>
          <w:kern w:val="2"/>
          <w:sz w:val="24"/>
          <w:szCs w:val="24"/>
          <w:highlight w:val="none"/>
        </w:rPr>
        <w:t>提交报告</w:t>
      </w:r>
    </w:p>
    <w:p w14:paraId="01070A33">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监理人应按专用条款约定的种类、时间和份数向委托人提交监理与相关服务的报告。</w:t>
      </w:r>
    </w:p>
    <w:p w14:paraId="5945223B">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2.6 </w:t>
      </w:r>
      <w:r>
        <w:rPr>
          <w:rFonts w:hint="eastAsia" w:ascii="宋体" w:hAnsi="宋体" w:cs="宋体"/>
          <w:b w:val="0"/>
          <w:bCs w:val="0"/>
          <w:color w:val="000000"/>
          <w:kern w:val="2"/>
          <w:sz w:val="24"/>
          <w:szCs w:val="24"/>
          <w:highlight w:val="none"/>
        </w:rPr>
        <w:t>文件资料</w:t>
      </w:r>
    </w:p>
    <w:p w14:paraId="313725BB">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在本合同履行期内，监理人应在现场保留工作所用的图纸、报告及记录监理工作的相关文件。工程竣工后，应当按照档案管理规定将监理有关文件归档。</w:t>
      </w:r>
    </w:p>
    <w:p w14:paraId="1D114A22">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2.7 </w:t>
      </w:r>
      <w:r>
        <w:rPr>
          <w:rFonts w:hint="eastAsia" w:ascii="宋体" w:hAnsi="宋体" w:cs="宋体"/>
          <w:b w:val="0"/>
          <w:bCs w:val="0"/>
          <w:color w:val="000000"/>
          <w:kern w:val="2"/>
          <w:sz w:val="24"/>
          <w:szCs w:val="24"/>
          <w:highlight w:val="none"/>
        </w:rPr>
        <w:t>使用委托人的财产</w:t>
      </w:r>
    </w:p>
    <w:p w14:paraId="68D91F98">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监理人无偿使用中由委托人派遣的人员和提供的房屋、资料、设备。除专用条款另有约定外，委托人提供的房屋、设备属于委托人的财产，监理人应妥善使用和保管，在本合同终止时将这些房屋、设备的清单提交委托人，并按专用条款约定的时间和方式移交。</w:t>
      </w:r>
    </w:p>
    <w:p w14:paraId="47992F53">
      <w:pPr>
        <w:jc w:val="center"/>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3 </w:t>
      </w:r>
      <w:r>
        <w:rPr>
          <w:rFonts w:hint="eastAsia" w:ascii="宋体" w:hAnsi="宋体" w:cs="宋体"/>
          <w:b w:val="0"/>
          <w:bCs w:val="0"/>
          <w:color w:val="000000"/>
          <w:sz w:val="24"/>
          <w:szCs w:val="24"/>
          <w:highlight w:val="none"/>
        </w:rPr>
        <w:t>委托人的义务</w:t>
      </w:r>
    </w:p>
    <w:p w14:paraId="36488A93">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3.1 </w:t>
      </w:r>
      <w:r>
        <w:rPr>
          <w:rFonts w:hint="eastAsia" w:ascii="宋体" w:hAnsi="宋体" w:cs="宋体"/>
          <w:b w:val="0"/>
          <w:bCs w:val="0"/>
          <w:color w:val="000000"/>
          <w:kern w:val="2"/>
          <w:sz w:val="24"/>
          <w:szCs w:val="24"/>
          <w:highlight w:val="none"/>
        </w:rPr>
        <w:t>告知</w:t>
      </w:r>
    </w:p>
    <w:p w14:paraId="2B206DD4">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委托人应在委托人与承包人签订的合同中明确监理人及监理人的项目负责人（总监）和授予项目机构的权限。如有变更，应及时通知承包人。</w:t>
      </w:r>
    </w:p>
    <w:p w14:paraId="78B8BF17">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3.2 </w:t>
      </w:r>
      <w:r>
        <w:rPr>
          <w:rFonts w:hint="eastAsia" w:ascii="宋体" w:hAnsi="宋体" w:cs="宋体"/>
          <w:b w:val="0"/>
          <w:bCs w:val="0"/>
          <w:color w:val="000000"/>
          <w:kern w:val="2"/>
          <w:sz w:val="24"/>
          <w:szCs w:val="24"/>
          <w:highlight w:val="none"/>
        </w:rPr>
        <w:t>提供资料</w:t>
      </w:r>
    </w:p>
    <w:p w14:paraId="29BDC0D3">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委托人应按照约定，无偿向监理人提供工程有关的资料。在本合同履行过程中，委托人应及时向监理人提供最新的与工程有关的资料。</w:t>
      </w:r>
    </w:p>
    <w:p w14:paraId="08AC182E">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3.3 </w:t>
      </w:r>
      <w:r>
        <w:rPr>
          <w:rFonts w:hint="eastAsia" w:ascii="宋体" w:hAnsi="宋体" w:cs="宋体"/>
          <w:b w:val="0"/>
          <w:bCs w:val="0"/>
          <w:color w:val="000000"/>
          <w:kern w:val="2"/>
          <w:sz w:val="24"/>
          <w:szCs w:val="24"/>
          <w:highlight w:val="none"/>
        </w:rPr>
        <w:t>提供工作条件</w:t>
      </w:r>
    </w:p>
    <w:p w14:paraId="1D2CF6BD">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委托人应为监理人完成监理与相关服务提供必要的条件。</w:t>
      </w:r>
    </w:p>
    <w:p w14:paraId="2D06F723">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3.3.1 </w:t>
      </w:r>
      <w:r>
        <w:rPr>
          <w:rFonts w:hint="eastAsia" w:ascii="宋体" w:hAnsi="宋体" w:cs="宋体"/>
          <w:b w:val="0"/>
          <w:bCs w:val="0"/>
          <w:color w:val="000000"/>
          <w:sz w:val="24"/>
          <w:szCs w:val="24"/>
          <w:highlight w:val="none"/>
        </w:rPr>
        <w:t>委托人应按照约定，派遣相应的人员，提供房屋、设备，供监理人无偿使用。</w:t>
      </w:r>
    </w:p>
    <w:p w14:paraId="487E4133">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3.3.2 </w:t>
      </w:r>
      <w:r>
        <w:rPr>
          <w:rFonts w:hint="eastAsia" w:ascii="宋体" w:hAnsi="宋体" w:cs="宋体"/>
          <w:b w:val="0"/>
          <w:bCs w:val="0"/>
          <w:color w:val="000000"/>
          <w:sz w:val="24"/>
          <w:szCs w:val="24"/>
          <w:highlight w:val="none"/>
        </w:rPr>
        <w:t>委托人应负责协调工程建设中所有外部关系，为监理人履行本合同提供必要的外部条件。</w:t>
      </w:r>
    </w:p>
    <w:p w14:paraId="2D76783D">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3.4 </w:t>
      </w:r>
      <w:r>
        <w:rPr>
          <w:rFonts w:hint="eastAsia" w:ascii="宋体" w:hAnsi="宋体" w:cs="宋体"/>
          <w:b w:val="0"/>
          <w:bCs w:val="0"/>
          <w:color w:val="000000"/>
          <w:kern w:val="2"/>
          <w:sz w:val="24"/>
          <w:szCs w:val="24"/>
          <w:highlight w:val="none"/>
        </w:rPr>
        <w:t>委托人代表</w:t>
      </w:r>
    </w:p>
    <w:p w14:paraId="14B9D063">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委托人应授权一名熟悉工程情况的代表，负责与监理人联系。委托人应在双方签订监理合同后</w:t>
      </w:r>
      <w:r>
        <w:rPr>
          <w:rFonts w:hint="eastAsia" w:ascii="宋体" w:hAnsi="宋体" w:eastAsia="宋体" w:cs="宋体"/>
          <w:b w:val="0"/>
          <w:bCs w:val="0"/>
          <w:color w:val="000000"/>
          <w:sz w:val="24"/>
          <w:szCs w:val="24"/>
          <w:highlight w:val="none"/>
        </w:rPr>
        <w:t>7</w:t>
      </w:r>
      <w:r>
        <w:rPr>
          <w:rFonts w:hint="eastAsia" w:ascii="宋体" w:hAnsi="宋体" w:cs="宋体"/>
          <w:b w:val="0"/>
          <w:bCs w:val="0"/>
          <w:color w:val="000000"/>
          <w:sz w:val="24"/>
          <w:szCs w:val="24"/>
          <w:highlight w:val="none"/>
        </w:rPr>
        <w:t>天内，将委托人代表的姓名和职责书面告知监理人。当委托人更换委托人代表时，应提前</w:t>
      </w:r>
      <w:r>
        <w:rPr>
          <w:rFonts w:hint="eastAsia" w:ascii="宋体" w:hAnsi="宋体" w:eastAsia="宋体" w:cs="宋体"/>
          <w:b w:val="0"/>
          <w:bCs w:val="0"/>
          <w:color w:val="000000"/>
          <w:sz w:val="24"/>
          <w:szCs w:val="24"/>
          <w:highlight w:val="none"/>
        </w:rPr>
        <w:t>7</w:t>
      </w:r>
      <w:r>
        <w:rPr>
          <w:rFonts w:hint="eastAsia" w:ascii="宋体" w:hAnsi="宋体" w:cs="宋体"/>
          <w:b w:val="0"/>
          <w:bCs w:val="0"/>
          <w:color w:val="000000"/>
          <w:sz w:val="24"/>
          <w:szCs w:val="24"/>
          <w:highlight w:val="none"/>
        </w:rPr>
        <w:t>天书面通知监理人。</w:t>
      </w:r>
    </w:p>
    <w:p w14:paraId="40A2CAAE">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3.5</w:t>
      </w:r>
      <w:r>
        <w:rPr>
          <w:rFonts w:hint="eastAsia" w:ascii="宋体" w:hAnsi="宋体" w:cs="宋体"/>
          <w:b w:val="0"/>
          <w:bCs w:val="0"/>
          <w:color w:val="000000"/>
          <w:kern w:val="2"/>
          <w:sz w:val="24"/>
          <w:szCs w:val="24"/>
          <w:highlight w:val="none"/>
        </w:rPr>
        <w:t>委托人意见或要求</w:t>
      </w:r>
    </w:p>
    <w:p w14:paraId="2EC58B59">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在本合同约定的监理与相关服务工作范围内，委托人对承包人的任何意见或要求应通知监理人，由监理人向承包人发出相应指令。</w:t>
      </w:r>
    </w:p>
    <w:p w14:paraId="6542ED79">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3.6</w:t>
      </w:r>
      <w:r>
        <w:rPr>
          <w:rFonts w:hint="eastAsia" w:ascii="宋体" w:hAnsi="宋体" w:cs="宋体"/>
          <w:b w:val="0"/>
          <w:bCs w:val="0"/>
          <w:color w:val="000000"/>
          <w:kern w:val="2"/>
          <w:sz w:val="24"/>
          <w:szCs w:val="24"/>
          <w:highlight w:val="none"/>
        </w:rPr>
        <w:t>答复</w:t>
      </w:r>
    </w:p>
    <w:p w14:paraId="4E6E3C76">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委托人应在专用条款约定的时间内，对监理人以书面形式提交并要求作出决定的事宜，给予书面答复。逾期未答复的，视为委托人认可。</w:t>
      </w:r>
    </w:p>
    <w:p w14:paraId="2A65FB48">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3.7 </w:t>
      </w:r>
      <w:r>
        <w:rPr>
          <w:rFonts w:hint="eastAsia" w:ascii="宋体" w:hAnsi="宋体" w:cs="宋体"/>
          <w:b w:val="0"/>
          <w:bCs w:val="0"/>
          <w:color w:val="000000"/>
          <w:kern w:val="2"/>
          <w:sz w:val="24"/>
          <w:szCs w:val="24"/>
          <w:highlight w:val="none"/>
        </w:rPr>
        <w:t>支付</w:t>
      </w:r>
    </w:p>
    <w:p w14:paraId="4CB452A3">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委托人应按本合同约定，向监理人支付酬金。</w:t>
      </w:r>
    </w:p>
    <w:p w14:paraId="1D7D7E7D">
      <w:pPr>
        <w:jc w:val="center"/>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4 </w:t>
      </w:r>
      <w:r>
        <w:rPr>
          <w:rFonts w:hint="eastAsia" w:ascii="宋体" w:hAnsi="宋体" w:cs="宋体"/>
          <w:b w:val="0"/>
          <w:bCs w:val="0"/>
          <w:color w:val="000000"/>
          <w:sz w:val="24"/>
          <w:szCs w:val="24"/>
          <w:highlight w:val="none"/>
        </w:rPr>
        <w:t>违约责任</w:t>
      </w:r>
    </w:p>
    <w:p w14:paraId="64224357">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4.1 </w:t>
      </w:r>
      <w:r>
        <w:rPr>
          <w:rFonts w:hint="eastAsia" w:ascii="宋体" w:hAnsi="宋体" w:cs="宋体"/>
          <w:b w:val="0"/>
          <w:bCs w:val="0"/>
          <w:color w:val="000000"/>
          <w:kern w:val="2"/>
          <w:sz w:val="24"/>
          <w:szCs w:val="24"/>
          <w:highlight w:val="none"/>
        </w:rPr>
        <w:t>监理人的违约责任</w:t>
      </w:r>
    </w:p>
    <w:p w14:paraId="063B8686">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监理人未履行本合同义务的，应承担相应的责任。</w:t>
      </w:r>
    </w:p>
    <w:p w14:paraId="142305D0">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4.1.1 </w:t>
      </w:r>
      <w:r>
        <w:rPr>
          <w:rFonts w:hint="eastAsia" w:ascii="宋体" w:hAnsi="宋体" w:cs="宋体"/>
          <w:b w:val="0"/>
          <w:bCs w:val="0"/>
          <w:color w:val="000000"/>
          <w:sz w:val="24"/>
          <w:szCs w:val="24"/>
          <w:highlight w:val="none"/>
        </w:rPr>
        <w:t>因监理人违反本合同约定给委托人造成损失的，监理人应当赔偿委托人损失。赔偿金额的确定方法在专用条款中约定。监理人承担部分赔偿责任的，其承担赔偿金额由双方协商确定。</w:t>
      </w:r>
    </w:p>
    <w:p w14:paraId="7412A4D5">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4.1.2 </w:t>
      </w:r>
      <w:r>
        <w:rPr>
          <w:rFonts w:hint="eastAsia" w:ascii="宋体" w:hAnsi="宋体" w:cs="宋体"/>
          <w:b w:val="0"/>
          <w:bCs w:val="0"/>
          <w:color w:val="000000"/>
          <w:sz w:val="24"/>
          <w:szCs w:val="24"/>
          <w:highlight w:val="none"/>
        </w:rPr>
        <w:t>监理人向委托人的索赔不成立时，监理人应赔偿委托人由此发生的费用。</w:t>
      </w:r>
    </w:p>
    <w:p w14:paraId="3862B62B">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4.2 </w:t>
      </w:r>
      <w:r>
        <w:rPr>
          <w:rFonts w:hint="eastAsia" w:ascii="宋体" w:hAnsi="宋体" w:cs="宋体"/>
          <w:b w:val="0"/>
          <w:bCs w:val="0"/>
          <w:color w:val="000000"/>
          <w:kern w:val="2"/>
          <w:sz w:val="24"/>
          <w:szCs w:val="24"/>
          <w:highlight w:val="none"/>
        </w:rPr>
        <w:t>委托人的违约责任</w:t>
      </w:r>
    </w:p>
    <w:p w14:paraId="05793A69">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委托人未履行本合同义务的，应承担相应的责任。</w:t>
      </w:r>
    </w:p>
    <w:p w14:paraId="69184944">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4.2.1 </w:t>
      </w:r>
      <w:r>
        <w:rPr>
          <w:rFonts w:hint="eastAsia" w:ascii="宋体" w:hAnsi="宋体" w:cs="宋体"/>
          <w:b w:val="0"/>
          <w:bCs w:val="0"/>
          <w:color w:val="000000"/>
          <w:sz w:val="24"/>
          <w:szCs w:val="24"/>
          <w:highlight w:val="none"/>
        </w:rPr>
        <w:t>委托人违反本合同约定造成监理人损失的，委托人应予以赔偿。</w:t>
      </w:r>
    </w:p>
    <w:p w14:paraId="1E3D08C8">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4.2.2 </w:t>
      </w:r>
      <w:r>
        <w:rPr>
          <w:rFonts w:hint="eastAsia" w:ascii="宋体" w:hAnsi="宋体" w:cs="宋体"/>
          <w:b w:val="0"/>
          <w:bCs w:val="0"/>
          <w:color w:val="000000"/>
          <w:sz w:val="24"/>
          <w:szCs w:val="24"/>
          <w:highlight w:val="none"/>
        </w:rPr>
        <w:t>委托人向监理人的索赔不成立时，应赔偿监理人由此引起的费用。</w:t>
      </w:r>
    </w:p>
    <w:p w14:paraId="40B817CC">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4.2.3 </w:t>
      </w:r>
      <w:r>
        <w:rPr>
          <w:rFonts w:hint="eastAsia" w:ascii="宋体" w:hAnsi="宋体" w:cs="宋体"/>
          <w:b w:val="0"/>
          <w:bCs w:val="0"/>
          <w:color w:val="000000"/>
          <w:sz w:val="24"/>
          <w:szCs w:val="24"/>
          <w:highlight w:val="none"/>
        </w:rPr>
        <w:t>委托人未能按期支付酬金超过</w:t>
      </w:r>
      <w:r>
        <w:rPr>
          <w:rFonts w:hint="eastAsia" w:ascii="宋体" w:hAnsi="宋体" w:eastAsia="宋体" w:cs="宋体"/>
          <w:b w:val="0"/>
          <w:bCs w:val="0"/>
          <w:color w:val="000000"/>
          <w:sz w:val="24"/>
          <w:szCs w:val="24"/>
          <w:highlight w:val="none"/>
        </w:rPr>
        <w:t>28</w:t>
      </w:r>
      <w:r>
        <w:rPr>
          <w:rFonts w:hint="eastAsia" w:ascii="宋体" w:hAnsi="宋体" w:cs="宋体"/>
          <w:b w:val="0"/>
          <w:bCs w:val="0"/>
          <w:color w:val="000000"/>
          <w:sz w:val="24"/>
          <w:szCs w:val="24"/>
          <w:highlight w:val="none"/>
        </w:rPr>
        <w:t>天，应按专用条款约定支付逾期付款利息。</w:t>
      </w:r>
    </w:p>
    <w:p w14:paraId="0AA079EF">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4.3 </w:t>
      </w:r>
      <w:r>
        <w:rPr>
          <w:rFonts w:hint="eastAsia" w:ascii="宋体" w:hAnsi="宋体" w:cs="宋体"/>
          <w:b w:val="0"/>
          <w:bCs w:val="0"/>
          <w:color w:val="000000"/>
          <w:kern w:val="2"/>
          <w:sz w:val="24"/>
          <w:szCs w:val="24"/>
          <w:highlight w:val="none"/>
        </w:rPr>
        <w:t>除外责任</w:t>
      </w:r>
    </w:p>
    <w:p w14:paraId="758BA793">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因非监理人的原因，且监理人无过错，发生工程质量事故、安全事故、工期延误等造成的损失，监理人不承担赔偿责任。</w:t>
      </w:r>
    </w:p>
    <w:p w14:paraId="2725B4DB">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因不可抗力导致本合同全部或部分不能履行时，双方各自承担其因此而造成的损失、损害。</w:t>
      </w:r>
    </w:p>
    <w:p w14:paraId="72A4BF59">
      <w:pPr>
        <w:jc w:val="center"/>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5</w:t>
      </w:r>
      <w:r>
        <w:rPr>
          <w:rFonts w:hint="eastAsia" w:ascii="宋体" w:hAnsi="宋体" w:cs="宋体"/>
          <w:b w:val="0"/>
          <w:bCs w:val="0"/>
          <w:color w:val="000000"/>
          <w:sz w:val="24"/>
          <w:szCs w:val="24"/>
          <w:highlight w:val="none"/>
        </w:rPr>
        <w:t>酬金的计取与支付</w:t>
      </w:r>
    </w:p>
    <w:p w14:paraId="34D14CDF">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5.1 </w:t>
      </w:r>
      <w:r>
        <w:rPr>
          <w:rFonts w:hint="eastAsia" w:ascii="宋体" w:hAnsi="宋体" w:cs="宋体"/>
          <w:b w:val="0"/>
          <w:bCs w:val="0"/>
          <w:color w:val="000000"/>
          <w:kern w:val="2"/>
          <w:sz w:val="24"/>
          <w:szCs w:val="24"/>
          <w:highlight w:val="none"/>
        </w:rPr>
        <w:t>酬金计取</w:t>
      </w:r>
    </w:p>
    <w:p w14:paraId="5836655D">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5.1.1</w:t>
      </w:r>
      <w:r>
        <w:rPr>
          <w:rFonts w:hint="eastAsia" w:ascii="宋体" w:hAnsi="宋体" w:cs="宋体"/>
          <w:b w:val="0"/>
          <w:bCs w:val="0"/>
          <w:color w:val="000000"/>
          <w:sz w:val="24"/>
          <w:szCs w:val="24"/>
          <w:highlight w:val="none"/>
        </w:rPr>
        <w:t>工程监理酬金特指工程施工阶段的监理酬金。</w:t>
      </w:r>
    </w:p>
    <w:p w14:paraId="3F791D06">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⑴.</w:t>
      </w:r>
      <w:r>
        <w:rPr>
          <w:rFonts w:hint="eastAsia" w:ascii="宋体" w:hAnsi="宋体" w:cs="宋体"/>
          <w:b w:val="0"/>
          <w:bCs w:val="0"/>
          <w:color w:val="000000"/>
          <w:sz w:val="24"/>
          <w:szCs w:val="24"/>
          <w:highlight w:val="none"/>
        </w:rPr>
        <w:t>施工阶段监理酬金的计取一般参照国家发改委、建设部《工程监理与相关服务收费管理规定》（发改价格〔</w:t>
      </w:r>
      <w:r>
        <w:rPr>
          <w:rFonts w:hint="eastAsia" w:ascii="宋体" w:hAnsi="宋体" w:eastAsia="宋体" w:cs="宋体"/>
          <w:b w:val="0"/>
          <w:bCs w:val="0"/>
          <w:color w:val="000000"/>
          <w:sz w:val="24"/>
          <w:szCs w:val="24"/>
          <w:highlight w:val="none"/>
        </w:rPr>
        <w:t>2007</w:t>
      </w:r>
      <w:r>
        <w:rPr>
          <w:rFonts w:hint="eastAsia" w:ascii="宋体" w:hAnsi="宋体" w:cs="宋体"/>
          <w:b w:val="0"/>
          <w:bCs w:val="0"/>
          <w:color w:val="000000"/>
          <w:sz w:val="24"/>
          <w:szCs w:val="24"/>
          <w:highlight w:val="none"/>
        </w:rPr>
        <w:t>〕</w:t>
      </w:r>
      <w:r>
        <w:rPr>
          <w:rFonts w:hint="eastAsia" w:ascii="宋体" w:hAnsi="宋体" w:eastAsia="宋体" w:cs="宋体"/>
          <w:b w:val="0"/>
          <w:bCs w:val="0"/>
          <w:color w:val="000000"/>
          <w:sz w:val="24"/>
          <w:szCs w:val="24"/>
          <w:highlight w:val="none"/>
        </w:rPr>
        <w:t>670</w:t>
      </w:r>
      <w:r>
        <w:rPr>
          <w:rFonts w:hint="eastAsia" w:ascii="宋体" w:hAnsi="宋体" w:cs="宋体"/>
          <w:b w:val="0"/>
          <w:bCs w:val="0"/>
          <w:color w:val="000000"/>
          <w:sz w:val="24"/>
          <w:szCs w:val="24"/>
          <w:highlight w:val="none"/>
        </w:rPr>
        <w:t>号）的相关规定，以工程概算投资额作为施工阶段监理酬金的计费额，先计算出监理酬金的基价，再计算监理酬金的基准价，然后再就基准价的浮动范围进行协商，并最后确定施工阶段监理酬金的总价。正常情况下，监理酬金基准价的浮动范围不应＞</w:t>
      </w:r>
      <w:r>
        <w:rPr>
          <w:rFonts w:hint="eastAsia" w:ascii="宋体" w:hAnsi="宋体" w:eastAsia="宋体" w:cs="宋体"/>
          <w:b w:val="0"/>
          <w:bCs w:val="0"/>
          <w:color w:val="000000"/>
          <w:sz w:val="24"/>
          <w:szCs w:val="24"/>
          <w:highlight w:val="none"/>
        </w:rPr>
        <w:t>±20</w:t>
      </w:r>
      <w:r>
        <w:rPr>
          <w:rFonts w:hint="eastAsia" w:ascii="宋体" w:hAnsi="宋体" w:cs="宋体"/>
          <w:b w:val="0"/>
          <w:bCs w:val="0"/>
          <w:color w:val="000000"/>
          <w:sz w:val="24"/>
          <w:szCs w:val="24"/>
          <w:highlight w:val="none"/>
        </w:rPr>
        <w:t>％。</w:t>
      </w:r>
    </w:p>
    <w:p w14:paraId="45C6C647">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⑵.</w:t>
      </w:r>
      <w:r>
        <w:rPr>
          <w:rFonts w:hint="eastAsia" w:ascii="宋体" w:hAnsi="宋体" w:cs="宋体"/>
          <w:b w:val="0"/>
          <w:bCs w:val="0"/>
          <w:color w:val="000000"/>
          <w:sz w:val="24"/>
          <w:szCs w:val="24"/>
          <w:highlight w:val="none"/>
        </w:rPr>
        <w:t>对于施工阶段监理，由于施工阶段的监理服务涉及工程质量控制和安全生产管理的监理服务内容，事关社会公众利益和人民生命财产安全，委托人不应恶意下浮监理酬金，监理人也不应以工程质量控制和安全生产管理的监理服务的责任重大而哄抬监理酬金。监理酬金的计取应参照国家发改委、建设部《工程监理与相关服务收费管理规定》（发改价格〔</w:t>
      </w:r>
      <w:r>
        <w:rPr>
          <w:rFonts w:hint="eastAsia" w:ascii="宋体" w:hAnsi="宋体" w:eastAsia="宋体" w:cs="宋体"/>
          <w:b w:val="0"/>
          <w:bCs w:val="0"/>
          <w:color w:val="000000"/>
          <w:sz w:val="24"/>
          <w:szCs w:val="24"/>
          <w:highlight w:val="none"/>
        </w:rPr>
        <w:t>2007</w:t>
      </w:r>
      <w:r>
        <w:rPr>
          <w:rFonts w:hint="eastAsia" w:ascii="宋体" w:hAnsi="宋体" w:cs="宋体"/>
          <w:b w:val="0"/>
          <w:bCs w:val="0"/>
          <w:color w:val="000000"/>
          <w:sz w:val="24"/>
          <w:szCs w:val="24"/>
          <w:highlight w:val="none"/>
        </w:rPr>
        <w:t>〕</w:t>
      </w:r>
      <w:r>
        <w:rPr>
          <w:rFonts w:hint="eastAsia" w:ascii="宋体" w:hAnsi="宋体" w:eastAsia="宋体" w:cs="宋体"/>
          <w:b w:val="0"/>
          <w:bCs w:val="0"/>
          <w:color w:val="000000"/>
          <w:sz w:val="24"/>
          <w:szCs w:val="24"/>
          <w:highlight w:val="none"/>
        </w:rPr>
        <w:t>670</w:t>
      </w:r>
      <w:r>
        <w:rPr>
          <w:rFonts w:hint="eastAsia" w:ascii="宋体" w:hAnsi="宋体" w:cs="宋体"/>
          <w:b w:val="0"/>
          <w:bCs w:val="0"/>
          <w:color w:val="000000"/>
          <w:sz w:val="24"/>
          <w:szCs w:val="24"/>
          <w:highlight w:val="none"/>
        </w:rPr>
        <w:t>号）的相关规定要求，并结合工程的实际情况，由双方协商确定。</w:t>
      </w:r>
    </w:p>
    <w:p w14:paraId="2597564B">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5.1.2 </w:t>
      </w:r>
      <w:r>
        <w:rPr>
          <w:rFonts w:hint="eastAsia" w:ascii="宋体" w:hAnsi="宋体" w:cs="宋体"/>
          <w:b w:val="0"/>
          <w:bCs w:val="0"/>
          <w:color w:val="000000"/>
          <w:sz w:val="24"/>
          <w:szCs w:val="24"/>
          <w:highlight w:val="none"/>
        </w:rPr>
        <w:t>相关服务（保修阶段、勘察阶段、设计阶段、设备监造等）酬金的计取，委托人应明确监理人项目机构各类组成人员的类型与数量、提供相关服务的阶段与期限，按专用条款所述的人员综合费用法计取酬金。对于政府建设投资项目，保修阶段的服务酬金一般按施工阶段监理酬金的</w:t>
      </w:r>
      <w:r>
        <w:rPr>
          <w:rFonts w:hint="eastAsia" w:ascii="宋体" w:hAnsi="宋体" w:eastAsia="宋体" w:cs="宋体"/>
          <w:b w:val="0"/>
          <w:bCs w:val="0"/>
          <w:color w:val="000000"/>
          <w:sz w:val="24"/>
          <w:szCs w:val="24"/>
          <w:highlight w:val="none"/>
        </w:rPr>
        <w:t>5</w:t>
      </w:r>
      <w:r>
        <w:rPr>
          <w:rFonts w:hint="eastAsia" w:ascii="宋体" w:hAnsi="宋体" w:cs="宋体"/>
          <w:b w:val="0"/>
          <w:bCs w:val="0"/>
          <w:color w:val="000000"/>
          <w:sz w:val="24"/>
          <w:szCs w:val="24"/>
          <w:highlight w:val="none"/>
        </w:rPr>
        <w:t>％进行计取。</w:t>
      </w:r>
    </w:p>
    <w:p w14:paraId="251DEA9C">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5.1.3</w:t>
      </w:r>
      <w:r>
        <w:rPr>
          <w:rFonts w:hint="eastAsia" w:ascii="宋体" w:hAnsi="宋体" w:cs="宋体"/>
          <w:b w:val="0"/>
          <w:bCs w:val="0"/>
          <w:color w:val="000000"/>
          <w:sz w:val="24"/>
          <w:szCs w:val="24"/>
          <w:highlight w:val="none"/>
        </w:rPr>
        <w:t>工程项目管理、工程监理与工程项目管理一体化中的项目管理的酬金计取，委托人应明确监理人项目机构各类组成人员的类型与数量、提供相关服务的阶段与期限，按专用条款所述的人员综合费用法计取酬金。</w:t>
      </w:r>
    </w:p>
    <w:p w14:paraId="6787C837">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5.2 </w:t>
      </w:r>
      <w:r>
        <w:rPr>
          <w:rFonts w:hint="eastAsia" w:ascii="宋体" w:hAnsi="宋体" w:cs="宋体"/>
          <w:b w:val="0"/>
          <w:bCs w:val="0"/>
          <w:color w:val="000000"/>
          <w:kern w:val="2"/>
          <w:sz w:val="24"/>
          <w:szCs w:val="24"/>
          <w:highlight w:val="none"/>
        </w:rPr>
        <w:t>酬金支付</w:t>
      </w:r>
    </w:p>
    <w:p w14:paraId="7079A412">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5.2.1 </w:t>
      </w:r>
      <w:r>
        <w:rPr>
          <w:rFonts w:hint="eastAsia" w:ascii="宋体" w:hAnsi="宋体" w:cs="宋体"/>
          <w:b w:val="0"/>
          <w:bCs w:val="0"/>
          <w:color w:val="000000"/>
          <w:sz w:val="24"/>
          <w:szCs w:val="24"/>
          <w:highlight w:val="none"/>
        </w:rPr>
        <w:t>施工阶段监理酬金支付</w:t>
      </w:r>
    </w:p>
    <w:p w14:paraId="178517A9">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施工阶段监理酬金支付包括：预付款支付、期中月度支付和余额支付三种。</w:t>
      </w:r>
    </w:p>
    <w:p w14:paraId="7FA1468F">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⑴.</w:t>
      </w:r>
      <w:r>
        <w:rPr>
          <w:rFonts w:hint="eastAsia" w:ascii="宋体" w:hAnsi="宋体" w:cs="宋体"/>
          <w:b w:val="0"/>
          <w:bCs w:val="0"/>
          <w:color w:val="000000"/>
          <w:sz w:val="24"/>
          <w:szCs w:val="24"/>
          <w:highlight w:val="none"/>
        </w:rPr>
        <w:t>预付款支付：自监理合同签订之日起</w:t>
      </w:r>
      <w:r>
        <w:rPr>
          <w:rFonts w:hint="eastAsia" w:ascii="宋体" w:hAnsi="宋体" w:eastAsia="宋体" w:cs="宋体"/>
          <w:b w:val="0"/>
          <w:bCs w:val="0"/>
          <w:color w:val="000000"/>
          <w:sz w:val="24"/>
          <w:szCs w:val="24"/>
          <w:highlight w:val="none"/>
        </w:rPr>
        <w:t>10</w:t>
      </w:r>
      <w:r>
        <w:rPr>
          <w:rFonts w:hint="eastAsia" w:ascii="宋体" w:hAnsi="宋体" w:cs="宋体"/>
          <w:b w:val="0"/>
          <w:bCs w:val="0"/>
          <w:color w:val="000000"/>
          <w:sz w:val="24"/>
          <w:szCs w:val="24"/>
          <w:highlight w:val="none"/>
        </w:rPr>
        <w:t>日内委托人应支付施工阶段监理酬金总额的</w:t>
      </w:r>
      <w:r>
        <w:rPr>
          <w:rFonts w:hint="eastAsia" w:ascii="宋体" w:hAnsi="宋体" w:eastAsia="宋体" w:cs="宋体"/>
          <w:b w:val="0"/>
          <w:bCs w:val="0"/>
          <w:color w:val="000000"/>
          <w:sz w:val="24"/>
          <w:szCs w:val="24"/>
          <w:highlight w:val="none"/>
        </w:rPr>
        <w:t>15</w:t>
      </w:r>
      <w:r>
        <w:rPr>
          <w:rFonts w:hint="eastAsia" w:ascii="宋体" w:hAnsi="宋体" w:cs="宋体"/>
          <w:b w:val="0"/>
          <w:bCs w:val="0"/>
          <w:color w:val="000000"/>
          <w:sz w:val="24"/>
          <w:szCs w:val="24"/>
          <w:highlight w:val="none"/>
        </w:rPr>
        <w:t>％～</w:t>
      </w:r>
      <w:r>
        <w:rPr>
          <w:rFonts w:hint="eastAsia" w:ascii="宋体" w:hAnsi="宋体" w:eastAsia="宋体" w:cs="宋体"/>
          <w:b w:val="0"/>
          <w:bCs w:val="0"/>
          <w:color w:val="000000"/>
          <w:sz w:val="24"/>
          <w:szCs w:val="24"/>
          <w:highlight w:val="none"/>
        </w:rPr>
        <w:t>25</w:t>
      </w:r>
      <w:r>
        <w:rPr>
          <w:rFonts w:hint="eastAsia" w:ascii="宋体" w:hAnsi="宋体" w:cs="宋体"/>
          <w:b w:val="0"/>
          <w:bCs w:val="0"/>
          <w:color w:val="000000"/>
          <w:sz w:val="24"/>
          <w:szCs w:val="24"/>
          <w:highlight w:val="none"/>
        </w:rPr>
        <w:t>％作为预付款，详细支付比例与金额在专用条款中约定。</w:t>
      </w:r>
    </w:p>
    <w:p w14:paraId="40787EAB">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⑵.</w:t>
      </w:r>
      <w:r>
        <w:rPr>
          <w:rFonts w:hint="eastAsia" w:ascii="宋体" w:hAnsi="宋体" w:cs="宋体"/>
          <w:b w:val="0"/>
          <w:bCs w:val="0"/>
          <w:color w:val="000000"/>
          <w:sz w:val="24"/>
          <w:szCs w:val="24"/>
          <w:highlight w:val="none"/>
        </w:rPr>
        <w:t>期中月度支付：期中月度支付每月一次，具体在专用条款中约定。</w:t>
      </w:r>
    </w:p>
    <w:p w14:paraId="15904AF9">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⑶.</w:t>
      </w:r>
      <w:r>
        <w:rPr>
          <w:rFonts w:hint="eastAsia" w:ascii="宋体" w:hAnsi="宋体" w:cs="宋体"/>
          <w:b w:val="0"/>
          <w:bCs w:val="0"/>
          <w:color w:val="000000"/>
          <w:sz w:val="24"/>
          <w:szCs w:val="24"/>
          <w:highlight w:val="none"/>
        </w:rPr>
        <w:t>余额支付：当月进度款支付至施工阶段监理酬金总额的</w:t>
      </w:r>
      <w:r>
        <w:rPr>
          <w:rFonts w:hint="eastAsia" w:ascii="宋体" w:hAnsi="宋体" w:eastAsia="宋体" w:cs="宋体"/>
          <w:b w:val="0"/>
          <w:bCs w:val="0"/>
          <w:color w:val="000000"/>
          <w:sz w:val="24"/>
          <w:szCs w:val="24"/>
          <w:highlight w:val="none"/>
        </w:rPr>
        <w:t>95</w:t>
      </w:r>
      <w:r>
        <w:rPr>
          <w:rFonts w:hint="eastAsia" w:ascii="宋体" w:hAnsi="宋体" w:cs="宋体"/>
          <w:b w:val="0"/>
          <w:bCs w:val="0"/>
          <w:color w:val="000000"/>
          <w:sz w:val="24"/>
          <w:szCs w:val="24"/>
          <w:highlight w:val="none"/>
        </w:rPr>
        <w:t>％时，委托人可暂停支付，但所剩余额须于工程正式通过竣工验收后</w:t>
      </w:r>
      <w:r>
        <w:rPr>
          <w:rFonts w:hint="eastAsia" w:ascii="宋体" w:hAnsi="宋体" w:eastAsia="宋体" w:cs="宋体"/>
          <w:b w:val="0"/>
          <w:bCs w:val="0"/>
          <w:color w:val="000000"/>
          <w:sz w:val="24"/>
          <w:szCs w:val="24"/>
          <w:highlight w:val="none"/>
        </w:rPr>
        <w:t>10</w:t>
      </w:r>
      <w:r>
        <w:rPr>
          <w:rFonts w:hint="eastAsia" w:ascii="宋体" w:hAnsi="宋体" w:cs="宋体"/>
          <w:b w:val="0"/>
          <w:bCs w:val="0"/>
          <w:color w:val="000000"/>
          <w:sz w:val="24"/>
          <w:szCs w:val="24"/>
          <w:highlight w:val="none"/>
        </w:rPr>
        <w:t>天内予以全部支付。</w:t>
      </w:r>
    </w:p>
    <w:p w14:paraId="64D8DF99">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5.2.2 </w:t>
      </w:r>
      <w:r>
        <w:rPr>
          <w:rFonts w:hint="eastAsia" w:ascii="宋体" w:hAnsi="宋体" w:cs="宋体"/>
          <w:b w:val="0"/>
          <w:bCs w:val="0"/>
          <w:color w:val="000000"/>
          <w:sz w:val="24"/>
          <w:szCs w:val="24"/>
          <w:highlight w:val="none"/>
        </w:rPr>
        <w:t>保修阶段服务酬金支付</w:t>
      </w:r>
    </w:p>
    <w:p w14:paraId="165C73C6">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采取按月份支付或按季度支付的形式，具体在专用条款中约定。按月份支付的，委托人应在每月的</w:t>
      </w:r>
      <w:r>
        <w:rPr>
          <w:rFonts w:hint="eastAsia" w:ascii="宋体" w:hAnsi="宋体" w:eastAsia="宋体" w:cs="宋体"/>
          <w:b w:val="0"/>
          <w:bCs w:val="0"/>
          <w:color w:val="000000"/>
          <w:sz w:val="24"/>
          <w:szCs w:val="24"/>
          <w:highlight w:val="none"/>
        </w:rPr>
        <w:t>10</w:t>
      </w:r>
      <w:r>
        <w:rPr>
          <w:rFonts w:hint="eastAsia" w:ascii="宋体" w:hAnsi="宋体" w:cs="宋体"/>
          <w:b w:val="0"/>
          <w:bCs w:val="0"/>
          <w:color w:val="000000"/>
          <w:sz w:val="24"/>
          <w:szCs w:val="24"/>
          <w:highlight w:val="none"/>
        </w:rPr>
        <w:t>日前支付监理人上一月度的服务酬金；按季度支付的，委托人应在每季度第一个月的</w:t>
      </w:r>
      <w:r>
        <w:rPr>
          <w:rFonts w:hint="eastAsia" w:ascii="宋体" w:hAnsi="宋体" w:eastAsia="宋体" w:cs="宋体"/>
          <w:b w:val="0"/>
          <w:bCs w:val="0"/>
          <w:color w:val="000000"/>
          <w:sz w:val="24"/>
          <w:szCs w:val="24"/>
          <w:highlight w:val="none"/>
        </w:rPr>
        <w:t>10</w:t>
      </w:r>
      <w:r>
        <w:rPr>
          <w:rFonts w:hint="eastAsia" w:ascii="宋体" w:hAnsi="宋体" w:cs="宋体"/>
          <w:b w:val="0"/>
          <w:bCs w:val="0"/>
          <w:color w:val="000000"/>
          <w:sz w:val="24"/>
          <w:szCs w:val="24"/>
          <w:highlight w:val="none"/>
        </w:rPr>
        <w:t>日前支付监理人上一季度的服务酬金。</w:t>
      </w:r>
    </w:p>
    <w:p w14:paraId="198B5137">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5.2.3 </w:t>
      </w:r>
      <w:r>
        <w:rPr>
          <w:rFonts w:hint="eastAsia" w:ascii="宋体" w:hAnsi="宋体" w:cs="宋体"/>
          <w:b w:val="0"/>
          <w:bCs w:val="0"/>
          <w:color w:val="000000"/>
          <w:sz w:val="24"/>
          <w:szCs w:val="24"/>
          <w:highlight w:val="none"/>
        </w:rPr>
        <w:t>勘察、设计阶段及设备监造、工程招标、造价咨询等相关服务酬金支付</w:t>
      </w:r>
    </w:p>
    <w:p w14:paraId="6BC3C5AF">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采用按月度支付的方式，委托人应在每月的</w:t>
      </w:r>
      <w:r>
        <w:rPr>
          <w:rFonts w:hint="eastAsia" w:ascii="宋体" w:hAnsi="宋体" w:eastAsia="宋体" w:cs="宋体"/>
          <w:b w:val="0"/>
          <w:bCs w:val="0"/>
          <w:color w:val="000000"/>
          <w:sz w:val="24"/>
          <w:szCs w:val="24"/>
          <w:highlight w:val="none"/>
        </w:rPr>
        <w:t>10</w:t>
      </w:r>
      <w:r>
        <w:rPr>
          <w:rFonts w:hint="eastAsia" w:ascii="宋体" w:hAnsi="宋体" w:cs="宋体"/>
          <w:b w:val="0"/>
          <w:bCs w:val="0"/>
          <w:color w:val="000000"/>
          <w:sz w:val="24"/>
          <w:szCs w:val="24"/>
          <w:highlight w:val="none"/>
        </w:rPr>
        <w:t>日前支付监理人上一月度的服务酬金。</w:t>
      </w:r>
    </w:p>
    <w:p w14:paraId="7F90ECE4">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5.2.4</w:t>
      </w:r>
      <w:r>
        <w:rPr>
          <w:rFonts w:hint="eastAsia" w:ascii="宋体" w:hAnsi="宋体" w:cs="宋体"/>
          <w:b w:val="0"/>
          <w:bCs w:val="0"/>
          <w:color w:val="000000"/>
          <w:sz w:val="24"/>
          <w:szCs w:val="24"/>
          <w:highlight w:val="none"/>
        </w:rPr>
        <w:t>工程项目管理酬金支付或工程监理与工程项目管理中的工程项目管理酬金支付。</w:t>
      </w:r>
    </w:p>
    <w:p w14:paraId="4C7F1AC2">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采用按月度支付的方式，委托人应在每月的</w:t>
      </w:r>
      <w:r>
        <w:rPr>
          <w:rFonts w:hint="eastAsia" w:ascii="宋体" w:hAnsi="宋体" w:eastAsia="宋体" w:cs="宋体"/>
          <w:b w:val="0"/>
          <w:bCs w:val="0"/>
          <w:color w:val="000000"/>
          <w:sz w:val="24"/>
          <w:szCs w:val="24"/>
          <w:highlight w:val="none"/>
        </w:rPr>
        <w:t>10</w:t>
      </w:r>
      <w:r>
        <w:rPr>
          <w:rFonts w:hint="eastAsia" w:ascii="宋体" w:hAnsi="宋体" w:cs="宋体"/>
          <w:b w:val="0"/>
          <w:bCs w:val="0"/>
          <w:color w:val="000000"/>
          <w:sz w:val="24"/>
          <w:szCs w:val="24"/>
          <w:highlight w:val="none"/>
        </w:rPr>
        <w:t>日前支付监理人上一月度的服务酬金。</w:t>
      </w:r>
    </w:p>
    <w:p w14:paraId="5A5FD874">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5.3 </w:t>
      </w:r>
      <w:r>
        <w:rPr>
          <w:rFonts w:hint="eastAsia" w:ascii="宋体" w:hAnsi="宋体" w:cs="宋体"/>
          <w:b w:val="0"/>
          <w:bCs w:val="0"/>
          <w:color w:val="000000"/>
          <w:kern w:val="2"/>
          <w:sz w:val="24"/>
          <w:szCs w:val="24"/>
          <w:highlight w:val="none"/>
        </w:rPr>
        <w:t>支付货币</w:t>
      </w:r>
    </w:p>
    <w:p w14:paraId="58717FAB">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除专用条款另有约定外，酬金均以人民币支付。涉及外币支付的，所采用的货币种类、比例和汇率在专用条款中约定。</w:t>
      </w:r>
    </w:p>
    <w:p w14:paraId="08408103">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5.4 </w:t>
      </w:r>
      <w:r>
        <w:rPr>
          <w:rFonts w:hint="eastAsia" w:ascii="宋体" w:hAnsi="宋体" w:cs="宋体"/>
          <w:b w:val="0"/>
          <w:bCs w:val="0"/>
          <w:color w:val="000000"/>
          <w:kern w:val="2"/>
          <w:sz w:val="24"/>
          <w:szCs w:val="24"/>
          <w:highlight w:val="none"/>
        </w:rPr>
        <w:t>支付申请</w:t>
      </w:r>
    </w:p>
    <w:p w14:paraId="70614FC0">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监理人应在本合同约定的每次应付款时间的</w:t>
      </w:r>
      <w:r>
        <w:rPr>
          <w:rFonts w:hint="eastAsia" w:ascii="宋体" w:hAnsi="宋体" w:eastAsia="宋体" w:cs="宋体"/>
          <w:b w:val="0"/>
          <w:bCs w:val="0"/>
          <w:color w:val="000000"/>
          <w:sz w:val="24"/>
          <w:szCs w:val="24"/>
          <w:highlight w:val="none"/>
        </w:rPr>
        <w:t>7</w:t>
      </w:r>
      <w:r>
        <w:rPr>
          <w:rFonts w:hint="eastAsia" w:ascii="宋体" w:hAnsi="宋体" w:cs="宋体"/>
          <w:b w:val="0"/>
          <w:bCs w:val="0"/>
          <w:color w:val="000000"/>
          <w:sz w:val="24"/>
          <w:szCs w:val="24"/>
          <w:highlight w:val="none"/>
        </w:rPr>
        <w:t>天前，向委托人提交支付申请书。支付申请书应当说明当期应付款总额，并列出当期应支付的款项及其金额。</w:t>
      </w:r>
    </w:p>
    <w:p w14:paraId="6E467411">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5.5 </w:t>
      </w:r>
      <w:r>
        <w:rPr>
          <w:rFonts w:hint="eastAsia" w:ascii="宋体" w:hAnsi="宋体" w:cs="宋体"/>
          <w:b w:val="0"/>
          <w:bCs w:val="0"/>
          <w:color w:val="000000"/>
          <w:kern w:val="2"/>
          <w:sz w:val="24"/>
          <w:szCs w:val="24"/>
          <w:highlight w:val="none"/>
        </w:rPr>
        <w:t>支付酬金</w:t>
      </w:r>
    </w:p>
    <w:p w14:paraId="6F200D1A">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支付的酬金包括正常工作酬金、附加工作酬金、合理化建议奖励金额及费用。</w:t>
      </w:r>
    </w:p>
    <w:p w14:paraId="0AF89A89">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5.6 </w:t>
      </w:r>
      <w:r>
        <w:rPr>
          <w:rFonts w:hint="eastAsia" w:ascii="宋体" w:hAnsi="宋体" w:cs="宋体"/>
          <w:b w:val="0"/>
          <w:bCs w:val="0"/>
          <w:color w:val="000000"/>
          <w:kern w:val="2"/>
          <w:sz w:val="24"/>
          <w:szCs w:val="24"/>
          <w:highlight w:val="none"/>
        </w:rPr>
        <w:t>有争议部分的付款</w:t>
      </w:r>
    </w:p>
    <w:p w14:paraId="00769A6F">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委托人对监理人提交的支付申请书有异议时，应当在收到监理人提交的支付申请书后</w:t>
      </w:r>
      <w:r>
        <w:rPr>
          <w:rFonts w:hint="eastAsia" w:ascii="宋体" w:hAnsi="宋体" w:eastAsia="宋体" w:cs="宋体"/>
          <w:b w:val="0"/>
          <w:bCs w:val="0"/>
          <w:color w:val="000000"/>
          <w:sz w:val="24"/>
          <w:szCs w:val="24"/>
          <w:highlight w:val="none"/>
        </w:rPr>
        <w:t>7</w:t>
      </w:r>
      <w:r>
        <w:rPr>
          <w:rFonts w:hint="eastAsia" w:ascii="宋体" w:hAnsi="宋体" w:cs="宋体"/>
          <w:b w:val="0"/>
          <w:bCs w:val="0"/>
          <w:color w:val="000000"/>
          <w:sz w:val="24"/>
          <w:szCs w:val="24"/>
          <w:highlight w:val="none"/>
        </w:rPr>
        <w:t>天内，以书面形式向监理人发出异议通知。无异议部分的款项应按期支付，有异议部分的款项按第</w:t>
      </w:r>
      <w:r>
        <w:rPr>
          <w:rFonts w:hint="eastAsia" w:ascii="宋体" w:hAnsi="宋体" w:eastAsia="宋体" w:cs="宋体"/>
          <w:b w:val="0"/>
          <w:bCs w:val="0"/>
          <w:color w:val="000000"/>
          <w:sz w:val="24"/>
          <w:szCs w:val="24"/>
          <w:highlight w:val="none"/>
        </w:rPr>
        <w:t>7</w:t>
      </w:r>
      <w:r>
        <w:rPr>
          <w:rFonts w:hint="eastAsia" w:ascii="宋体" w:hAnsi="宋体" w:cs="宋体"/>
          <w:b w:val="0"/>
          <w:bCs w:val="0"/>
          <w:color w:val="000000"/>
          <w:sz w:val="24"/>
          <w:szCs w:val="24"/>
          <w:highlight w:val="none"/>
        </w:rPr>
        <w:t>条约定办理。</w:t>
      </w:r>
    </w:p>
    <w:p w14:paraId="13C2F2A9">
      <w:pPr>
        <w:jc w:val="center"/>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6 </w:t>
      </w:r>
      <w:r>
        <w:rPr>
          <w:rFonts w:hint="eastAsia" w:ascii="宋体" w:hAnsi="宋体" w:cs="宋体"/>
          <w:b w:val="0"/>
          <w:bCs w:val="0"/>
          <w:color w:val="000000"/>
          <w:sz w:val="24"/>
          <w:szCs w:val="24"/>
          <w:highlight w:val="none"/>
        </w:rPr>
        <w:t>合同生效、变更、暂停、解除与终止</w:t>
      </w:r>
    </w:p>
    <w:p w14:paraId="16BFEA30">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6.1 </w:t>
      </w:r>
      <w:r>
        <w:rPr>
          <w:rFonts w:hint="eastAsia" w:ascii="宋体" w:hAnsi="宋体" w:cs="宋体"/>
          <w:b w:val="0"/>
          <w:bCs w:val="0"/>
          <w:color w:val="000000"/>
          <w:kern w:val="2"/>
          <w:sz w:val="24"/>
          <w:szCs w:val="24"/>
          <w:highlight w:val="none"/>
        </w:rPr>
        <w:t>生效</w:t>
      </w:r>
    </w:p>
    <w:p w14:paraId="42E8B20A">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除法律另有规定或者专用条款另有约定外，委托人和监理人的法定代表人或其授权代理人在协议书上签字并盖单位章后本合同生效。</w:t>
      </w:r>
    </w:p>
    <w:p w14:paraId="1F2816D4">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6.2 </w:t>
      </w:r>
      <w:r>
        <w:rPr>
          <w:rFonts w:hint="eastAsia" w:ascii="宋体" w:hAnsi="宋体" w:cs="宋体"/>
          <w:b w:val="0"/>
          <w:bCs w:val="0"/>
          <w:color w:val="000000"/>
          <w:kern w:val="2"/>
          <w:sz w:val="24"/>
          <w:szCs w:val="24"/>
          <w:highlight w:val="none"/>
        </w:rPr>
        <w:t>变更</w:t>
      </w:r>
    </w:p>
    <w:p w14:paraId="405AC2DF">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6.2.1 </w:t>
      </w:r>
      <w:r>
        <w:rPr>
          <w:rFonts w:hint="eastAsia" w:ascii="宋体" w:hAnsi="宋体" w:cs="宋体"/>
          <w:b w:val="0"/>
          <w:bCs w:val="0"/>
          <w:color w:val="000000"/>
          <w:sz w:val="24"/>
          <w:szCs w:val="24"/>
          <w:highlight w:val="none"/>
        </w:rPr>
        <w:t>任何一方提出变更请求时，双方经协商一致后可进行变更。</w:t>
      </w:r>
    </w:p>
    <w:p w14:paraId="114A40DC">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6.2.2</w:t>
      </w:r>
      <w:r>
        <w:rPr>
          <w:rFonts w:hint="eastAsia" w:ascii="宋体" w:hAnsi="宋体" w:cs="宋体"/>
          <w:b w:val="0"/>
          <w:bCs w:val="0"/>
          <w:color w:val="000000"/>
          <w:sz w:val="24"/>
          <w:szCs w:val="24"/>
          <w:highlight w:val="none"/>
        </w:rPr>
        <w:t>合同签订后，遇有与工程相关的法律法规、标准颁布或修订的，双方应遵照执行。由此引起工程监理与相关服务的范围、时间、酬金变化的，双方应通过协商进行相应调整。</w:t>
      </w:r>
    </w:p>
    <w:p w14:paraId="0E512124">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6.2.3 </w:t>
      </w:r>
      <w:r>
        <w:rPr>
          <w:rFonts w:hint="eastAsia" w:ascii="宋体" w:hAnsi="宋体" w:cs="宋体"/>
          <w:b w:val="0"/>
          <w:bCs w:val="0"/>
          <w:color w:val="000000"/>
          <w:sz w:val="24"/>
          <w:szCs w:val="24"/>
          <w:highlight w:val="none"/>
        </w:rPr>
        <w:t>因非监理人原因造成工程概算投资额或建筑安装工程费增加时，正常工作酬金应作相应调整。调整方法为：合同签订后至工程竣工验收前，如工程规模或工程范围发生变化，并经当地政府发展改革部门批准调整原工程概算投资额或建筑安装工程费的幅度≥</w:t>
      </w:r>
      <w:r>
        <w:rPr>
          <w:rFonts w:hint="eastAsia" w:ascii="宋体" w:hAnsi="宋体" w:eastAsia="宋体" w:cs="宋体"/>
          <w:b w:val="0"/>
          <w:bCs w:val="0"/>
          <w:color w:val="000000"/>
          <w:sz w:val="24"/>
          <w:szCs w:val="24"/>
          <w:highlight w:val="none"/>
        </w:rPr>
        <w:t>±5</w:t>
      </w:r>
      <w:r>
        <w:rPr>
          <w:rFonts w:hint="eastAsia" w:ascii="宋体" w:hAnsi="宋体" w:cs="宋体"/>
          <w:b w:val="0"/>
          <w:bCs w:val="0"/>
          <w:color w:val="000000"/>
          <w:sz w:val="24"/>
          <w:szCs w:val="24"/>
          <w:highlight w:val="none"/>
        </w:rPr>
        <w:t>％，施工阶段监理酬金作相应调整；对于工程竣工验收后当地政府发展改革部门方批准调整原工程概算投资额或建筑安装工程费的，施工阶段监理酬金不作任何调整。</w:t>
      </w:r>
    </w:p>
    <w:p w14:paraId="60B362CF">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6.3 </w:t>
      </w:r>
      <w:r>
        <w:rPr>
          <w:rFonts w:hint="eastAsia" w:ascii="宋体" w:hAnsi="宋体" w:cs="宋体"/>
          <w:b w:val="0"/>
          <w:bCs w:val="0"/>
          <w:color w:val="000000"/>
          <w:kern w:val="2"/>
          <w:sz w:val="24"/>
          <w:szCs w:val="24"/>
          <w:highlight w:val="none"/>
        </w:rPr>
        <w:t>暂停与解除</w:t>
      </w:r>
    </w:p>
    <w:p w14:paraId="1E4B5D33">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除双方协商一致可以解除本合同外，当一方无正当理由未履行本合同约定的义务时，另一方可以根据本合同约定暂停履行本合同直至解除本合同。</w:t>
      </w:r>
    </w:p>
    <w:p w14:paraId="1B571A8F">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6.3.1 </w:t>
      </w:r>
      <w:r>
        <w:rPr>
          <w:rFonts w:hint="eastAsia" w:ascii="宋体" w:hAnsi="宋体" w:cs="宋体"/>
          <w:b w:val="0"/>
          <w:bCs w:val="0"/>
          <w:color w:val="000000"/>
          <w:sz w:val="24"/>
          <w:szCs w:val="24"/>
          <w:highlight w:val="none"/>
        </w:rPr>
        <w:t>合同履行期间，委托人有权单方解除或终止合同，但应及时通知监理人。委托人单方解除或终止本合同，监理人未开始监理工作的，委托人不向监理人支付任何费用；监理人已经开始监理工作的，按照监理人实际工作量支付相关费用；除此以外，委托人不承担违约、赔偿等任何其他责任。</w:t>
      </w:r>
    </w:p>
    <w:p w14:paraId="31BE447D">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6.3.2 </w:t>
      </w:r>
      <w:r>
        <w:rPr>
          <w:rFonts w:hint="eastAsia" w:ascii="宋体" w:hAnsi="宋体" w:cs="宋体"/>
          <w:b w:val="0"/>
          <w:bCs w:val="0"/>
          <w:color w:val="000000"/>
          <w:sz w:val="24"/>
          <w:szCs w:val="24"/>
          <w:highlight w:val="none"/>
        </w:rPr>
        <w:t>当监理人无正当理由未履行本合同约定的义务时，委托人应通知监理人限期改正。若委托人在监理人接到通知后的</w:t>
      </w:r>
      <w:r>
        <w:rPr>
          <w:rFonts w:hint="eastAsia" w:ascii="宋体" w:hAnsi="宋体" w:eastAsia="宋体" w:cs="宋体"/>
          <w:b w:val="0"/>
          <w:bCs w:val="0"/>
          <w:color w:val="000000"/>
          <w:sz w:val="24"/>
          <w:szCs w:val="24"/>
          <w:highlight w:val="none"/>
        </w:rPr>
        <w:t>7</w:t>
      </w:r>
      <w:r>
        <w:rPr>
          <w:rFonts w:hint="eastAsia" w:ascii="宋体" w:hAnsi="宋体" w:cs="宋体"/>
          <w:b w:val="0"/>
          <w:bCs w:val="0"/>
          <w:color w:val="000000"/>
          <w:sz w:val="24"/>
          <w:szCs w:val="24"/>
          <w:highlight w:val="none"/>
        </w:rPr>
        <w:t>天内未收到监理人书面形式的合理解释，则可在</w:t>
      </w:r>
      <w:r>
        <w:rPr>
          <w:rFonts w:hint="eastAsia" w:ascii="宋体" w:hAnsi="宋体" w:eastAsia="宋体" w:cs="宋体"/>
          <w:b w:val="0"/>
          <w:bCs w:val="0"/>
          <w:color w:val="000000"/>
          <w:sz w:val="24"/>
          <w:szCs w:val="24"/>
          <w:highlight w:val="none"/>
        </w:rPr>
        <w:t>7</w:t>
      </w:r>
      <w:r>
        <w:rPr>
          <w:rFonts w:hint="eastAsia" w:ascii="宋体" w:hAnsi="宋体" w:cs="宋体"/>
          <w:b w:val="0"/>
          <w:bCs w:val="0"/>
          <w:color w:val="000000"/>
          <w:sz w:val="24"/>
          <w:szCs w:val="24"/>
          <w:highlight w:val="none"/>
        </w:rPr>
        <w:t>天内发出解除本合同的通知，自通知到达监理人时本合同解除。委托人应将工程监理与相关服务的酬金支付至限期改正通知到达监理人之日，但监理人应承担第</w:t>
      </w:r>
      <w:r>
        <w:rPr>
          <w:rFonts w:hint="eastAsia" w:ascii="宋体" w:hAnsi="宋体" w:eastAsia="宋体" w:cs="宋体"/>
          <w:b w:val="0"/>
          <w:bCs w:val="0"/>
          <w:color w:val="000000"/>
          <w:sz w:val="24"/>
          <w:szCs w:val="24"/>
          <w:highlight w:val="none"/>
        </w:rPr>
        <w:t>4.1</w:t>
      </w:r>
      <w:r>
        <w:rPr>
          <w:rFonts w:hint="eastAsia" w:ascii="宋体" w:hAnsi="宋体" w:cs="宋体"/>
          <w:b w:val="0"/>
          <w:bCs w:val="0"/>
          <w:color w:val="000000"/>
          <w:sz w:val="24"/>
          <w:szCs w:val="24"/>
          <w:highlight w:val="none"/>
        </w:rPr>
        <w:t>款约定的责任。</w:t>
      </w:r>
    </w:p>
    <w:p w14:paraId="360BE48D">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6.3.3 </w:t>
      </w:r>
      <w:r>
        <w:rPr>
          <w:rFonts w:hint="eastAsia" w:ascii="宋体" w:hAnsi="宋体" w:cs="宋体"/>
          <w:b w:val="0"/>
          <w:bCs w:val="0"/>
          <w:color w:val="000000"/>
          <w:sz w:val="24"/>
          <w:szCs w:val="24"/>
          <w:highlight w:val="none"/>
        </w:rPr>
        <w:t>监理人在专用条款第5.2条中约定的支付之日起</w:t>
      </w:r>
      <w:r>
        <w:rPr>
          <w:rFonts w:hint="eastAsia" w:ascii="宋体" w:hAnsi="宋体" w:eastAsia="宋体" w:cs="宋体"/>
          <w:b w:val="0"/>
          <w:bCs w:val="0"/>
          <w:color w:val="000000"/>
          <w:sz w:val="24"/>
          <w:szCs w:val="24"/>
          <w:highlight w:val="none"/>
        </w:rPr>
        <w:t>28</w:t>
      </w:r>
      <w:r>
        <w:rPr>
          <w:rFonts w:hint="eastAsia" w:ascii="宋体" w:hAnsi="宋体" w:cs="宋体"/>
          <w:b w:val="0"/>
          <w:bCs w:val="0"/>
          <w:color w:val="000000"/>
          <w:sz w:val="24"/>
          <w:szCs w:val="24"/>
          <w:highlight w:val="none"/>
        </w:rPr>
        <w:t>天后仍未收到委托人按本合同约定应付的款项，可向委托人发出催付通知。委托人接到通知</w:t>
      </w:r>
      <w:r>
        <w:rPr>
          <w:rFonts w:hint="eastAsia" w:ascii="宋体" w:hAnsi="宋体" w:eastAsia="宋体" w:cs="宋体"/>
          <w:b w:val="0"/>
          <w:bCs w:val="0"/>
          <w:color w:val="000000"/>
          <w:sz w:val="24"/>
          <w:szCs w:val="24"/>
          <w:highlight w:val="none"/>
        </w:rPr>
        <w:t>14</w:t>
      </w:r>
      <w:r>
        <w:rPr>
          <w:rFonts w:hint="eastAsia" w:ascii="宋体" w:hAnsi="宋体" w:cs="宋体"/>
          <w:b w:val="0"/>
          <w:bCs w:val="0"/>
          <w:color w:val="000000"/>
          <w:sz w:val="24"/>
          <w:szCs w:val="24"/>
          <w:highlight w:val="none"/>
        </w:rPr>
        <w:t>天后仍未支付或未提出监理人可以接受的延期支付安排，监理人可向委托人发出暂停工作的通知并可自行暂停全部或部分工作。暂停工作后</w:t>
      </w:r>
      <w:r>
        <w:rPr>
          <w:rFonts w:hint="eastAsia" w:ascii="宋体" w:hAnsi="宋体" w:eastAsia="宋体" w:cs="宋体"/>
          <w:b w:val="0"/>
          <w:bCs w:val="0"/>
          <w:color w:val="000000"/>
          <w:sz w:val="24"/>
          <w:szCs w:val="24"/>
          <w:highlight w:val="none"/>
        </w:rPr>
        <w:t>14</w:t>
      </w:r>
      <w:r>
        <w:rPr>
          <w:rFonts w:hint="eastAsia" w:ascii="宋体" w:hAnsi="宋体" w:cs="宋体"/>
          <w:b w:val="0"/>
          <w:bCs w:val="0"/>
          <w:color w:val="000000"/>
          <w:sz w:val="24"/>
          <w:szCs w:val="24"/>
          <w:highlight w:val="none"/>
        </w:rPr>
        <w:t>天内监理人仍未获得委托人应付酬金或委托人的合理答复，监理人可向委托人发出解除本合同的通知，自通知到达委托人时本合同解除。委托人应承担第</w:t>
      </w:r>
      <w:r>
        <w:rPr>
          <w:rFonts w:hint="eastAsia" w:ascii="宋体" w:hAnsi="宋体" w:eastAsia="宋体" w:cs="宋体"/>
          <w:b w:val="0"/>
          <w:bCs w:val="0"/>
          <w:color w:val="000000"/>
          <w:sz w:val="24"/>
          <w:szCs w:val="24"/>
          <w:highlight w:val="none"/>
        </w:rPr>
        <w:t>4.2.3</w:t>
      </w:r>
      <w:r>
        <w:rPr>
          <w:rFonts w:hint="eastAsia" w:ascii="宋体" w:hAnsi="宋体" w:cs="宋体"/>
          <w:b w:val="0"/>
          <w:bCs w:val="0"/>
          <w:color w:val="000000"/>
          <w:sz w:val="24"/>
          <w:szCs w:val="24"/>
          <w:highlight w:val="none"/>
        </w:rPr>
        <w:t>款约定的责任。</w:t>
      </w:r>
    </w:p>
    <w:p w14:paraId="2B12B15A">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6.3.4 </w:t>
      </w:r>
      <w:r>
        <w:rPr>
          <w:rFonts w:hint="eastAsia" w:ascii="宋体" w:hAnsi="宋体" w:cs="宋体"/>
          <w:b w:val="0"/>
          <w:bCs w:val="0"/>
          <w:color w:val="000000"/>
          <w:sz w:val="24"/>
          <w:szCs w:val="24"/>
          <w:highlight w:val="none"/>
        </w:rPr>
        <w:t>因不可抗力致使本合同部分或全部不能履行时，一方应立即通知另一方，可暂停或解除本合同。</w:t>
      </w:r>
    </w:p>
    <w:p w14:paraId="2A926A54">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6.3.5 </w:t>
      </w:r>
      <w:r>
        <w:rPr>
          <w:rFonts w:hint="eastAsia" w:ascii="宋体" w:hAnsi="宋体" w:cs="宋体"/>
          <w:b w:val="0"/>
          <w:bCs w:val="0"/>
          <w:color w:val="000000"/>
          <w:sz w:val="24"/>
          <w:szCs w:val="24"/>
          <w:highlight w:val="none"/>
        </w:rPr>
        <w:t>本合同解除后，本合同约定的有关结算、清理、争议解决方式的条件仍然有效。</w:t>
      </w:r>
    </w:p>
    <w:p w14:paraId="6C944878">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6.4 </w:t>
      </w:r>
      <w:r>
        <w:rPr>
          <w:rFonts w:hint="eastAsia" w:ascii="宋体" w:hAnsi="宋体" w:cs="宋体"/>
          <w:b w:val="0"/>
          <w:bCs w:val="0"/>
          <w:color w:val="000000"/>
          <w:kern w:val="2"/>
          <w:sz w:val="24"/>
          <w:szCs w:val="24"/>
          <w:highlight w:val="none"/>
        </w:rPr>
        <w:t>终止</w:t>
      </w:r>
    </w:p>
    <w:p w14:paraId="48C3B911">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以下条件全部满足时，本合同即告终止：</w:t>
      </w:r>
    </w:p>
    <w:p w14:paraId="1426B67E">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⑴.</w:t>
      </w:r>
      <w:r>
        <w:rPr>
          <w:rFonts w:hint="eastAsia" w:ascii="宋体" w:hAnsi="宋体" w:cs="宋体"/>
          <w:b w:val="0"/>
          <w:bCs w:val="0"/>
          <w:color w:val="000000"/>
          <w:sz w:val="24"/>
          <w:szCs w:val="24"/>
          <w:highlight w:val="none"/>
        </w:rPr>
        <w:t>监理人完成本合同约定的全部工作；</w:t>
      </w:r>
    </w:p>
    <w:p w14:paraId="0B436445">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⑵.</w:t>
      </w:r>
      <w:r>
        <w:rPr>
          <w:rFonts w:hint="eastAsia" w:ascii="宋体" w:hAnsi="宋体" w:cs="宋体"/>
          <w:b w:val="0"/>
          <w:bCs w:val="0"/>
          <w:color w:val="000000"/>
          <w:sz w:val="24"/>
          <w:szCs w:val="24"/>
          <w:highlight w:val="none"/>
        </w:rPr>
        <w:t>委托人与监理人结清并支付全部酬金。</w:t>
      </w:r>
    </w:p>
    <w:p w14:paraId="5DD69AF4">
      <w:pPr>
        <w:jc w:val="center"/>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7 </w:t>
      </w:r>
      <w:r>
        <w:rPr>
          <w:rFonts w:hint="eastAsia" w:ascii="宋体" w:hAnsi="宋体" w:cs="宋体"/>
          <w:b w:val="0"/>
          <w:bCs w:val="0"/>
          <w:color w:val="000000"/>
          <w:sz w:val="24"/>
          <w:szCs w:val="24"/>
          <w:highlight w:val="none"/>
        </w:rPr>
        <w:t>争议解决</w:t>
      </w:r>
    </w:p>
    <w:p w14:paraId="64ED91CD">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7.1</w:t>
      </w:r>
      <w:r>
        <w:rPr>
          <w:rFonts w:hint="eastAsia" w:ascii="宋体" w:hAnsi="宋体" w:cs="宋体"/>
          <w:b w:val="0"/>
          <w:bCs w:val="0"/>
          <w:color w:val="000000"/>
          <w:kern w:val="2"/>
          <w:sz w:val="24"/>
          <w:szCs w:val="24"/>
          <w:highlight w:val="none"/>
        </w:rPr>
        <w:t>协商</w:t>
      </w:r>
    </w:p>
    <w:p w14:paraId="61030C7B">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双方应本着诚信原则协商解决彼此间的争议。</w:t>
      </w:r>
    </w:p>
    <w:p w14:paraId="612C58EA">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7.2</w:t>
      </w:r>
      <w:r>
        <w:rPr>
          <w:rFonts w:hint="eastAsia" w:ascii="宋体" w:hAnsi="宋体" w:cs="宋体"/>
          <w:b w:val="0"/>
          <w:bCs w:val="0"/>
          <w:color w:val="000000"/>
          <w:kern w:val="2"/>
          <w:sz w:val="24"/>
          <w:szCs w:val="24"/>
          <w:highlight w:val="none"/>
        </w:rPr>
        <w:t>调解</w:t>
      </w:r>
    </w:p>
    <w:p w14:paraId="029F0973">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如果双方不能在</w:t>
      </w:r>
      <w:r>
        <w:rPr>
          <w:rFonts w:hint="eastAsia" w:ascii="宋体" w:hAnsi="宋体" w:eastAsia="宋体" w:cs="宋体"/>
          <w:b w:val="0"/>
          <w:bCs w:val="0"/>
          <w:color w:val="000000"/>
          <w:sz w:val="24"/>
          <w:szCs w:val="24"/>
          <w:highlight w:val="none"/>
        </w:rPr>
        <w:t>14</w:t>
      </w:r>
      <w:r>
        <w:rPr>
          <w:rFonts w:hint="eastAsia" w:ascii="宋体" w:hAnsi="宋体" w:cs="宋体"/>
          <w:b w:val="0"/>
          <w:bCs w:val="0"/>
          <w:color w:val="000000"/>
          <w:sz w:val="24"/>
          <w:szCs w:val="24"/>
          <w:highlight w:val="none"/>
        </w:rPr>
        <w:t>天内或双方商定的其他时间内解决本合同争议，可以将其提交给专用条款约定的或事后达成协议的调解人进行调解。</w:t>
      </w:r>
    </w:p>
    <w:p w14:paraId="7785D479">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7.3</w:t>
      </w:r>
      <w:r>
        <w:rPr>
          <w:rFonts w:hint="eastAsia" w:ascii="宋体" w:hAnsi="宋体" w:cs="宋体"/>
          <w:b w:val="0"/>
          <w:bCs w:val="0"/>
          <w:color w:val="000000"/>
          <w:kern w:val="2"/>
          <w:sz w:val="24"/>
          <w:szCs w:val="24"/>
          <w:highlight w:val="none"/>
        </w:rPr>
        <w:t>仲裁或诉讼</w:t>
      </w:r>
    </w:p>
    <w:p w14:paraId="0F9ECA5C">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双方均有权不经调解直接向专用条款约定的向有管辖权法院提起诉讼。</w:t>
      </w:r>
    </w:p>
    <w:p w14:paraId="34248AF8">
      <w:pPr>
        <w:jc w:val="center"/>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8 </w:t>
      </w:r>
      <w:r>
        <w:rPr>
          <w:rFonts w:hint="eastAsia" w:ascii="宋体" w:hAnsi="宋体" w:cs="宋体"/>
          <w:b w:val="0"/>
          <w:bCs w:val="0"/>
          <w:color w:val="000000"/>
          <w:sz w:val="24"/>
          <w:szCs w:val="24"/>
          <w:highlight w:val="none"/>
        </w:rPr>
        <w:t>其  他</w:t>
      </w:r>
    </w:p>
    <w:p w14:paraId="533B2FBD">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8.1 </w:t>
      </w:r>
      <w:r>
        <w:rPr>
          <w:rFonts w:hint="eastAsia" w:ascii="宋体" w:hAnsi="宋体" w:cs="宋体"/>
          <w:b w:val="0"/>
          <w:bCs w:val="0"/>
          <w:color w:val="000000"/>
          <w:kern w:val="2"/>
          <w:sz w:val="24"/>
          <w:szCs w:val="24"/>
          <w:highlight w:val="none"/>
        </w:rPr>
        <w:t>外出考察费用</w:t>
      </w:r>
    </w:p>
    <w:p w14:paraId="223DCA10">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经委托人同意，监理服务人员外出考察发生的费用由委托人审核后支付。</w:t>
      </w:r>
    </w:p>
    <w:p w14:paraId="37BF401A">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8.2 </w:t>
      </w:r>
      <w:r>
        <w:rPr>
          <w:rFonts w:hint="eastAsia" w:ascii="宋体" w:hAnsi="宋体" w:cs="宋体"/>
          <w:b w:val="0"/>
          <w:bCs w:val="0"/>
          <w:color w:val="000000"/>
          <w:kern w:val="2"/>
          <w:sz w:val="24"/>
          <w:szCs w:val="24"/>
          <w:highlight w:val="none"/>
        </w:rPr>
        <w:t>检测费用</w:t>
      </w:r>
    </w:p>
    <w:p w14:paraId="02EFCA57">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委托人要求监理人在工程现场设立具有工程质量检测资质的工程质量检测机构才能设立的工程质量检测试验室对工程材料和工程实体质量进行抽样检测，或要求监理人委托具有工程质量检测资质的工程质量检测机构对工程材料和工程实体质量进行抽样检测所发生的全部费用，由委托人额外按实支付。支付时间在专用条款中约定。</w:t>
      </w:r>
    </w:p>
    <w:p w14:paraId="53A1B482">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8.3 </w:t>
      </w:r>
      <w:r>
        <w:rPr>
          <w:rFonts w:hint="eastAsia" w:ascii="宋体" w:hAnsi="宋体" w:cs="宋体"/>
          <w:b w:val="0"/>
          <w:bCs w:val="0"/>
          <w:color w:val="000000"/>
          <w:kern w:val="2"/>
          <w:sz w:val="24"/>
          <w:szCs w:val="24"/>
          <w:highlight w:val="none"/>
        </w:rPr>
        <w:t>咨询费用</w:t>
      </w:r>
    </w:p>
    <w:p w14:paraId="6D064425">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委托人要求监理人开展需要具有工程造价咨询资质、工程招标代理资质或施工图审查资质才能执业的各项工作，或要求监理人委托具有工程造价咨询资质的工程造价咨询机构、工程招标代理资质的工程招标代理机构或施工图审查资质的施工图审查机构开展各项工作所发生的费用，由委托人额外按实支付；经委托人同意，根据工程需要由监理人组织的相关咨询论证会以及聘请相关专家等发生的费用由委托人额外按实支付。支付时间在专用条款中约定。</w:t>
      </w:r>
    </w:p>
    <w:p w14:paraId="3E4D4F7F">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8.4 </w:t>
      </w:r>
      <w:r>
        <w:rPr>
          <w:rFonts w:hint="eastAsia" w:ascii="宋体" w:hAnsi="宋体" w:cs="宋体"/>
          <w:b w:val="0"/>
          <w:bCs w:val="0"/>
          <w:color w:val="000000"/>
          <w:kern w:val="2"/>
          <w:sz w:val="24"/>
          <w:szCs w:val="24"/>
          <w:highlight w:val="none"/>
        </w:rPr>
        <w:t>奖励</w:t>
      </w:r>
    </w:p>
    <w:p w14:paraId="399C15B6">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监理人在服务过程中提出的合理化建议，使委托人获得经济效益的，双方在专用条款中约定奖励金额的确定方法。奖励金额在合理化建议被采纳后，与最近一期的正常工作酬金同期支付。</w:t>
      </w:r>
    </w:p>
    <w:p w14:paraId="3B8456FC">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8.5 </w:t>
      </w:r>
      <w:r>
        <w:rPr>
          <w:rFonts w:hint="eastAsia" w:ascii="宋体" w:hAnsi="宋体" w:cs="宋体"/>
          <w:b w:val="0"/>
          <w:bCs w:val="0"/>
          <w:color w:val="000000"/>
          <w:kern w:val="2"/>
          <w:sz w:val="24"/>
          <w:szCs w:val="24"/>
          <w:highlight w:val="none"/>
        </w:rPr>
        <w:t>守法诚信</w:t>
      </w:r>
    </w:p>
    <w:p w14:paraId="5B4C644E">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监理人及其工作人员不得从与实施工程有关的第三方处获得任何经济利益。</w:t>
      </w:r>
    </w:p>
    <w:p w14:paraId="330837E9">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8.6 </w:t>
      </w:r>
      <w:r>
        <w:rPr>
          <w:rFonts w:hint="eastAsia" w:ascii="宋体" w:hAnsi="宋体" w:cs="宋体"/>
          <w:b w:val="0"/>
          <w:bCs w:val="0"/>
          <w:color w:val="000000"/>
          <w:kern w:val="2"/>
          <w:sz w:val="24"/>
          <w:szCs w:val="24"/>
          <w:highlight w:val="none"/>
        </w:rPr>
        <w:t>保密</w:t>
      </w:r>
    </w:p>
    <w:p w14:paraId="6994D23F">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双方不得泄露对方申明的保密资料，亦不得泄露与实施工程有关的第三方所提供的保密资料，保密事项在专用条款中约定。</w:t>
      </w:r>
    </w:p>
    <w:p w14:paraId="0052A291">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8.7 </w:t>
      </w:r>
      <w:r>
        <w:rPr>
          <w:rFonts w:hint="eastAsia" w:ascii="宋体" w:hAnsi="宋体" w:cs="宋体"/>
          <w:b w:val="0"/>
          <w:bCs w:val="0"/>
          <w:color w:val="000000"/>
          <w:kern w:val="2"/>
          <w:sz w:val="24"/>
          <w:szCs w:val="24"/>
          <w:highlight w:val="none"/>
        </w:rPr>
        <w:t>通知</w:t>
      </w:r>
    </w:p>
    <w:p w14:paraId="12C6933B">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本合同涉及的通知均应当采用书面形式，并在送达对方时生效，收件人应书面签收。</w:t>
      </w:r>
    </w:p>
    <w:p w14:paraId="0E144C99">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8.8 </w:t>
      </w:r>
      <w:r>
        <w:rPr>
          <w:rFonts w:hint="eastAsia" w:ascii="宋体" w:hAnsi="宋体" w:cs="宋体"/>
          <w:b w:val="0"/>
          <w:bCs w:val="0"/>
          <w:color w:val="000000"/>
          <w:kern w:val="2"/>
          <w:sz w:val="24"/>
          <w:szCs w:val="24"/>
          <w:highlight w:val="none"/>
        </w:rPr>
        <w:t>著作权</w:t>
      </w:r>
    </w:p>
    <w:p w14:paraId="09FDE2EF">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监理人对其编制的文件拥有著作权。</w:t>
      </w:r>
    </w:p>
    <w:p w14:paraId="4F946A6D">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监理人可单独或与他人联合出版有关监理与相关服务的资料。除专用条款另有约定外，如果监理人在本合同履行期间及本合同终止后两年内出版涉及本工程的有关监理与相关服务的资料，应当征得委托人的同意。</w:t>
      </w:r>
    </w:p>
    <w:p w14:paraId="44FCCC15">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p>
    <w:p w14:paraId="0CDEF86A">
      <w:pPr>
        <w:rPr>
          <w:rFonts w:hint="default" w:ascii="Cambria" w:hAnsi="Cambria" w:eastAsia="宋体" w:cs="Times New Roman"/>
          <w:b/>
          <w:bCs/>
          <w:sz w:val="32"/>
          <w:szCs w:val="32"/>
        </w:rPr>
      </w:pPr>
    </w:p>
    <w:p w14:paraId="6045C25B">
      <w:pPr>
        <w:spacing w:line="560" w:lineRule="exact"/>
        <w:rPr>
          <w:rFonts w:hint="eastAsia" w:ascii="宋体" w:hAnsi="宋体" w:eastAsia="宋体" w:cs="宋体"/>
          <w:b w:val="0"/>
          <w:bCs w:val="0"/>
          <w:color w:val="000000"/>
          <w:sz w:val="24"/>
          <w:szCs w:val="24"/>
          <w:highlight w:val="none"/>
        </w:rPr>
      </w:pPr>
    </w:p>
    <w:p w14:paraId="5327CB9B">
      <w:pPr>
        <w:pStyle w:val="172"/>
        <w:spacing w:line="560" w:lineRule="exact"/>
        <w:rPr>
          <w:rFonts w:hint="eastAsia" w:ascii="宋体" w:hAnsi="宋体" w:eastAsia="宋体" w:cs="宋体"/>
          <w:b w:val="0"/>
          <w:bCs w:val="0"/>
          <w:color w:val="000000"/>
          <w:sz w:val="24"/>
          <w:szCs w:val="24"/>
          <w:highlight w:val="none"/>
        </w:rPr>
      </w:pPr>
    </w:p>
    <w:p w14:paraId="4785A36F">
      <w:pPr>
        <w:pStyle w:val="172"/>
        <w:spacing w:line="560" w:lineRule="exact"/>
        <w:rPr>
          <w:rFonts w:hint="eastAsia" w:ascii="宋体" w:hAnsi="宋体" w:eastAsia="宋体" w:cs="宋体"/>
          <w:b w:val="0"/>
          <w:bCs w:val="0"/>
          <w:color w:val="000000"/>
          <w:sz w:val="24"/>
          <w:szCs w:val="24"/>
          <w:highlight w:val="none"/>
        </w:rPr>
      </w:pPr>
    </w:p>
    <w:p w14:paraId="3722C8D3">
      <w:pPr>
        <w:pStyle w:val="172"/>
        <w:spacing w:line="560" w:lineRule="exact"/>
        <w:rPr>
          <w:rFonts w:hint="eastAsia" w:ascii="宋体" w:hAnsi="宋体" w:eastAsia="宋体" w:cs="宋体"/>
          <w:b w:val="0"/>
          <w:bCs w:val="0"/>
          <w:color w:val="000000"/>
          <w:sz w:val="24"/>
          <w:szCs w:val="24"/>
          <w:highlight w:val="none"/>
        </w:rPr>
      </w:pPr>
    </w:p>
    <w:p w14:paraId="537B8B5D">
      <w:pPr>
        <w:pStyle w:val="172"/>
        <w:spacing w:line="560" w:lineRule="exact"/>
        <w:rPr>
          <w:rFonts w:hint="eastAsia" w:ascii="宋体" w:hAnsi="宋体" w:eastAsia="宋体" w:cs="宋体"/>
          <w:b w:val="0"/>
          <w:bCs w:val="0"/>
          <w:color w:val="000000"/>
          <w:sz w:val="24"/>
          <w:szCs w:val="24"/>
          <w:highlight w:val="none"/>
        </w:rPr>
      </w:pPr>
    </w:p>
    <w:p w14:paraId="0D5CE01F">
      <w:pPr>
        <w:pStyle w:val="172"/>
        <w:spacing w:line="560" w:lineRule="exact"/>
        <w:rPr>
          <w:rFonts w:hint="eastAsia" w:ascii="宋体" w:hAnsi="宋体" w:eastAsia="宋体" w:cs="宋体"/>
          <w:b w:val="0"/>
          <w:bCs w:val="0"/>
          <w:color w:val="000000"/>
          <w:sz w:val="24"/>
          <w:szCs w:val="24"/>
          <w:highlight w:val="none"/>
        </w:rPr>
      </w:pPr>
    </w:p>
    <w:p w14:paraId="776E428C">
      <w:pPr>
        <w:pStyle w:val="172"/>
        <w:spacing w:line="560" w:lineRule="exact"/>
        <w:rPr>
          <w:rFonts w:hint="eastAsia" w:ascii="宋体" w:hAnsi="宋体" w:eastAsia="宋体" w:cs="宋体"/>
          <w:b w:val="0"/>
          <w:bCs w:val="0"/>
          <w:color w:val="000000"/>
          <w:sz w:val="24"/>
          <w:szCs w:val="24"/>
          <w:highlight w:val="none"/>
        </w:rPr>
      </w:pPr>
    </w:p>
    <w:p w14:paraId="41B16885">
      <w:pPr>
        <w:pStyle w:val="172"/>
        <w:spacing w:line="560" w:lineRule="exact"/>
        <w:rPr>
          <w:rFonts w:hint="eastAsia" w:ascii="宋体" w:hAnsi="宋体" w:eastAsia="宋体" w:cs="宋体"/>
          <w:b w:val="0"/>
          <w:bCs w:val="0"/>
          <w:color w:val="000000"/>
          <w:sz w:val="24"/>
          <w:szCs w:val="24"/>
          <w:highlight w:val="none"/>
        </w:rPr>
      </w:pPr>
    </w:p>
    <w:p w14:paraId="0F1A5C77">
      <w:pPr>
        <w:pStyle w:val="172"/>
        <w:spacing w:line="560" w:lineRule="exact"/>
        <w:rPr>
          <w:rFonts w:hint="eastAsia" w:ascii="宋体" w:hAnsi="宋体" w:eastAsia="宋体" w:cs="宋体"/>
          <w:b w:val="0"/>
          <w:bCs w:val="0"/>
          <w:color w:val="000000"/>
          <w:sz w:val="24"/>
          <w:szCs w:val="24"/>
          <w:highlight w:val="none"/>
        </w:rPr>
      </w:pPr>
    </w:p>
    <w:p w14:paraId="2CE1DA48">
      <w:pPr>
        <w:spacing w:line="560" w:lineRule="exact"/>
        <w:rPr>
          <w:rFonts w:hint="eastAsia" w:ascii="宋体" w:hAnsi="宋体" w:eastAsia="宋体" w:cs="宋体"/>
          <w:b w:val="0"/>
          <w:bCs w:val="0"/>
          <w:color w:val="000000"/>
          <w:sz w:val="24"/>
          <w:szCs w:val="24"/>
          <w:highlight w:val="none"/>
        </w:rPr>
      </w:pPr>
    </w:p>
    <w:p w14:paraId="6CDECDEB">
      <w:pPr>
        <w:spacing w:line="560" w:lineRule="exact"/>
        <w:rPr>
          <w:rFonts w:hint="eastAsia" w:ascii="宋体" w:hAnsi="宋体" w:eastAsia="宋体" w:cs="宋体"/>
          <w:b w:val="0"/>
          <w:bCs w:val="0"/>
          <w:color w:val="000000"/>
          <w:sz w:val="24"/>
          <w:szCs w:val="24"/>
          <w:highlight w:val="none"/>
        </w:rPr>
        <w:sectPr>
          <w:headerReference r:id="rId11" w:type="first"/>
          <w:footerReference r:id="rId13" w:type="first"/>
          <w:headerReference r:id="rId10" w:type="default"/>
          <w:footerReference r:id="rId12" w:type="default"/>
          <w:pgSz w:w="11906" w:h="16838"/>
          <w:pgMar w:top="1418" w:right="1418" w:bottom="1418" w:left="1418" w:header="851" w:footer="567" w:gutter="0"/>
          <w:pgNumType w:fmt="decimal" w:start="1"/>
          <w:cols w:space="720" w:num="1"/>
          <w:formProt w:val="0"/>
          <w:docGrid w:linePitch="312" w:charSpace="0"/>
        </w:sectPr>
      </w:pPr>
      <w:r>
        <w:rPr>
          <w:highlight w:val="none"/>
        </w:rPr>
        <w:br w:type="page"/>
      </w:r>
    </w:p>
    <w:p w14:paraId="57AFC59F">
      <w:pPr>
        <w:jc w:val="center"/>
        <w:rPr>
          <w:rFonts w:hint="default" w:ascii="Cambria" w:hAnsi="Cambria" w:eastAsia="宋体" w:cs="Times New Roman"/>
          <w:b/>
          <w:bCs/>
          <w:sz w:val="36"/>
          <w:szCs w:val="36"/>
        </w:rPr>
      </w:pPr>
      <w:r>
        <w:rPr>
          <w:rFonts w:hint="default" w:ascii="Cambria" w:hAnsi="Cambria" w:eastAsia="宋体" w:cs="Times New Roman"/>
          <w:b/>
          <w:bCs/>
          <w:sz w:val="36"/>
          <w:szCs w:val="36"/>
        </w:rPr>
        <w:t>第四部分 专用条款</w:t>
      </w:r>
    </w:p>
    <w:p w14:paraId="2172F947">
      <w:pPr>
        <w:jc w:val="center"/>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1 </w:t>
      </w:r>
      <w:r>
        <w:rPr>
          <w:rFonts w:hint="eastAsia" w:ascii="宋体" w:hAnsi="宋体" w:cs="宋体"/>
          <w:b w:val="0"/>
          <w:bCs w:val="0"/>
          <w:color w:val="000000"/>
          <w:sz w:val="24"/>
          <w:szCs w:val="24"/>
          <w:highlight w:val="none"/>
        </w:rPr>
        <w:t>定义与解释</w:t>
      </w:r>
    </w:p>
    <w:p w14:paraId="2748E131">
      <w:pPr>
        <w:pStyle w:val="187"/>
        <w:pageBreakBefore w:val="0"/>
        <w:kinsoku/>
        <w:overflowPunct/>
        <w:bidi w:val="0"/>
        <w:spacing w:line="560" w:lineRule="exact"/>
        <w:ind w:left="0" w:leftChars="0" w:right="0" w:rightChars="0" w:firstLine="0" w:firstLineChars="0"/>
        <w:textAlignment w:val="auto"/>
        <w:rPr>
          <w:rFonts w:hint="eastAsia" w:ascii="宋体" w:hAnsi="宋体" w:eastAsia="宋体" w:cs="宋体"/>
          <w:b w:val="0"/>
          <w:bCs w:val="0"/>
          <w:color w:val="000000"/>
          <w:kern w:val="0"/>
          <w:sz w:val="24"/>
          <w:szCs w:val="24"/>
          <w:highlight w:val="none"/>
        </w:rPr>
      </w:pPr>
      <w:r>
        <w:rPr>
          <w:rFonts w:hint="eastAsia" w:ascii="宋体" w:hAnsi="宋体" w:eastAsia="宋体" w:cs="宋体"/>
          <w:b w:val="0"/>
          <w:bCs w:val="0"/>
          <w:color w:val="000000"/>
          <w:kern w:val="0"/>
          <w:sz w:val="24"/>
          <w:szCs w:val="24"/>
          <w:highlight w:val="none"/>
        </w:rPr>
        <w:t xml:space="preserve">   1.1</w:t>
      </w:r>
      <w:r>
        <w:rPr>
          <w:rFonts w:hint="eastAsia" w:ascii="宋体" w:hAnsi="宋体" w:cs="宋体"/>
          <w:b w:val="0"/>
          <w:bCs w:val="0"/>
          <w:color w:val="000000"/>
          <w:kern w:val="0"/>
          <w:sz w:val="24"/>
          <w:szCs w:val="24"/>
          <w:highlight w:val="none"/>
        </w:rPr>
        <w:t>定义</w:t>
      </w:r>
    </w:p>
    <w:p w14:paraId="36B75620">
      <w:pPr>
        <w:pStyle w:val="188"/>
        <w:pageBreakBefore w:val="0"/>
        <w:kinsoku/>
        <w:overflowPunct/>
        <w:bidi w:val="0"/>
        <w:spacing w:line="560" w:lineRule="exact"/>
        <w:ind w:left="0" w:leftChars="0" w:right="0" w:rightChars="0" w:firstLineChars="200"/>
        <w:jc w:val="left"/>
        <w:textAlignment w:val="auto"/>
        <w:rPr>
          <w:rFonts w:hint="eastAsia" w:ascii="宋体" w:hAnsi="宋体" w:eastAsia="宋体" w:cs="宋体"/>
          <w:b w:val="0"/>
          <w:bCs w:val="0"/>
          <w:color w:val="000000"/>
          <w:kern w:val="2"/>
          <w:sz w:val="24"/>
          <w:szCs w:val="24"/>
          <w:highlight w:val="none"/>
          <w:u w:val="single"/>
        </w:rPr>
      </w:pPr>
      <w:r>
        <w:rPr>
          <w:rFonts w:hint="eastAsia" w:ascii="宋体" w:hAnsi="宋体" w:cs="宋体"/>
          <w:b w:val="0"/>
          <w:bCs w:val="0"/>
          <w:color w:val="000000"/>
          <w:kern w:val="2"/>
          <w:sz w:val="24"/>
          <w:szCs w:val="24"/>
          <w:highlight w:val="none"/>
          <w:u w:val="none"/>
        </w:rPr>
        <w:t>增加定义</w:t>
      </w:r>
      <w:r>
        <w:rPr>
          <w:rFonts w:hint="eastAsia" w:ascii="宋体" w:hAnsi="宋体" w:cs="宋体"/>
          <w:b w:val="0"/>
          <w:bCs w:val="0"/>
          <w:color w:val="000000"/>
          <w:kern w:val="2"/>
          <w:sz w:val="24"/>
          <w:szCs w:val="24"/>
          <w:highlight w:val="none"/>
          <w:u w:val="single"/>
        </w:rPr>
        <w:t xml:space="preserve"> </w:t>
      </w:r>
      <w:r>
        <w:rPr>
          <w:rFonts w:hint="eastAsia" w:ascii="宋体" w:hAnsi="宋体" w:eastAsia="宋体" w:cs="宋体"/>
          <w:b w:val="0"/>
          <w:bCs w:val="0"/>
          <w:color w:val="000000"/>
          <w:kern w:val="2"/>
          <w:sz w:val="24"/>
          <w:szCs w:val="24"/>
          <w:highlight w:val="none"/>
          <w:u w:val="single"/>
        </w:rPr>
        <w:t>1.1.25</w:t>
      </w:r>
      <w:r>
        <w:rPr>
          <w:rFonts w:hint="eastAsia" w:ascii="宋体" w:hAnsi="宋体" w:cs="宋体"/>
          <w:b w:val="0"/>
          <w:bCs w:val="0"/>
          <w:color w:val="000000"/>
          <w:kern w:val="2"/>
          <w:sz w:val="24"/>
          <w:szCs w:val="24"/>
          <w:highlight w:val="none"/>
          <w:u w:val="single"/>
        </w:rPr>
        <w:t>专用条款填写“</w:t>
      </w:r>
      <w:r>
        <w:rPr>
          <w:rFonts w:hint="eastAsia" w:ascii="宋体" w:hAnsi="宋体" w:eastAsia="宋体" w:cs="宋体"/>
          <w:b w:val="0"/>
          <w:bCs w:val="0"/>
          <w:color w:val="000000"/>
          <w:kern w:val="2"/>
          <w:sz w:val="24"/>
          <w:szCs w:val="24"/>
          <w:highlight w:val="none"/>
          <w:u w:val="single"/>
        </w:rPr>
        <w:t>/”</w:t>
      </w:r>
      <w:r>
        <w:rPr>
          <w:rFonts w:hint="eastAsia" w:ascii="宋体" w:hAnsi="宋体" w:cs="宋体"/>
          <w:b w:val="0"/>
          <w:bCs w:val="0"/>
          <w:color w:val="000000"/>
          <w:kern w:val="2"/>
          <w:sz w:val="24"/>
          <w:szCs w:val="24"/>
          <w:highlight w:val="none"/>
          <w:u w:val="single"/>
        </w:rPr>
        <w:t>是指，合同当事人在专用条款中明确，其相对应的通用条款不适用于本合同项目，其他填写“</w:t>
      </w:r>
      <w:r>
        <w:rPr>
          <w:rFonts w:hint="eastAsia" w:ascii="宋体" w:hAnsi="宋体" w:eastAsia="宋体" w:cs="宋体"/>
          <w:b w:val="0"/>
          <w:bCs w:val="0"/>
          <w:color w:val="000000"/>
          <w:kern w:val="2"/>
          <w:sz w:val="24"/>
          <w:szCs w:val="24"/>
          <w:highlight w:val="none"/>
          <w:u w:val="single"/>
        </w:rPr>
        <w:t>/”</w:t>
      </w:r>
      <w:r>
        <w:rPr>
          <w:rFonts w:hint="eastAsia" w:ascii="宋体" w:hAnsi="宋体" w:cs="宋体"/>
          <w:b w:val="0"/>
          <w:bCs w:val="0"/>
          <w:color w:val="000000"/>
          <w:kern w:val="2"/>
          <w:sz w:val="24"/>
          <w:szCs w:val="24"/>
          <w:highlight w:val="none"/>
          <w:u w:val="single"/>
        </w:rPr>
        <w:t>的合同条款，是指该条款中“</w:t>
      </w:r>
      <w:r>
        <w:rPr>
          <w:rFonts w:hint="eastAsia" w:ascii="宋体" w:hAnsi="宋体" w:eastAsia="宋体" w:cs="宋体"/>
          <w:b w:val="0"/>
          <w:bCs w:val="0"/>
          <w:color w:val="000000"/>
          <w:kern w:val="2"/>
          <w:sz w:val="24"/>
          <w:szCs w:val="24"/>
          <w:highlight w:val="none"/>
          <w:u w:val="single"/>
        </w:rPr>
        <w:t>/”</w:t>
      </w:r>
      <w:r>
        <w:rPr>
          <w:rFonts w:hint="eastAsia" w:ascii="宋体" w:hAnsi="宋体" w:cs="宋体"/>
          <w:b w:val="0"/>
          <w:bCs w:val="0"/>
          <w:color w:val="000000"/>
          <w:kern w:val="2"/>
          <w:sz w:val="24"/>
          <w:szCs w:val="24"/>
          <w:highlight w:val="none"/>
          <w:u w:val="single"/>
        </w:rPr>
        <w:t>部分的内容不适用于本合同项目。</w:t>
      </w:r>
    </w:p>
    <w:p w14:paraId="2F963567">
      <w:pPr>
        <w:pStyle w:val="188"/>
        <w:pageBreakBefore w:val="0"/>
        <w:kinsoku/>
        <w:overflowPunct/>
        <w:bidi w:val="0"/>
        <w:spacing w:line="560" w:lineRule="exact"/>
        <w:ind w:left="0" w:leftChars="0" w:right="0" w:rightChars="0" w:firstLineChars="200"/>
        <w:jc w:val="left"/>
        <w:textAlignment w:val="auto"/>
        <w:rPr>
          <w:rFonts w:hint="eastAsia" w:ascii="宋体" w:hAnsi="宋体" w:eastAsia="宋体" w:cs="宋体"/>
          <w:b w:val="0"/>
          <w:bCs w:val="0"/>
          <w:color w:val="000000"/>
          <w:kern w:val="0"/>
          <w:sz w:val="24"/>
          <w:szCs w:val="24"/>
          <w:highlight w:val="none"/>
        </w:rPr>
      </w:pPr>
      <w:r>
        <w:rPr>
          <w:rFonts w:hint="eastAsia" w:ascii="宋体" w:hAnsi="宋体" w:eastAsia="宋体" w:cs="宋体"/>
          <w:b w:val="0"/>
          <w:bCs w:val="0"/>
          <w:color w:val="000000"/>
          <w:kern w:val="2"/>
          <w:sz w:val="24"/>
          <w:szCs w:val="24"/>
          <w:highlight w:val="none"/>
          <w:u w:val="single"/>
        </w:rPr>
        <w:t>1.1.26</w:t>
      </w:r>
      <w:r>
        <w:rPr>
          <w:rFonts w:hint="eastAsia" w:ascii="宋体" w:hAnsi="宋体" w:cs="宋体"/>
          <w:b w:val="0"/>
          <w:bCs w:val="0"/>
          <w:color w:val="000000"/>
          <w:kern w:val="2"/>
          <w:sz w:val="24"/>
          <w:szCs w:val="24"/>
          <w:highlight w:val="none"/>
          <w:u w:val="single"/>
        </w:rPr>
        <w:t>合同条款中“</w:t>
      </w:r>
      <w:r>
        <w:rPr>
          <w:rFonts w:hint="eastAsia" w:ascii="Wingdings 2" w:hAnsi="Wingdings 2" w:eastAsia="Wingdings 2" w:cs="Wingdings 2"/>
          <w:b w:val="0"/>
          <w:bCs w:val="0"/>
          <w:color w:val="000000"/>
          <w:kern w:val="2"/>
          <w:sz w:val="24"/>
          <w:szCs w:val="24"/>
          <w:highlight w:val="none"/>
          <w:u w:val="single"/>
        </w:rPr>
        <w:sym w:font="Wingdings 2" w:char="0052"/>
      </w:r>
      <w:r>
        <w:rPr>
          <w:rFonts w:hint="eastAsia" w:ascii="宋体" w:hAnsi="宋体" w:eastAsia="宋体" w:cs="宋体"/>
          <w:b w:val="0"/>
          <w:bCs w:val="0"/>
          <w:color w:val="000000"/>
          <w:kern w:val="2"/>
          <w:sz w:val="24"/>
          <w:szCs w:val="24"/>
          <w:highlight w:val="none"/>
          <w:u w:val="single"/>
        </w:rPr>
        <w:t>”</w:t>
      </w:r>
      <w:r>
        <w:rPr>
          <w:rFonts w:hint="eastAsia" w:ascii="宋体" w:hAnsi="宋体" w:cs="宋体"/>
          <w:b w:val="0"/>
          <w:bCs w:val="0"/>
          <w:color w:val="000000"/>
          <w:kern w:val="2"/>
          <w:sz w:val="24"/>
          <w:szCs w:val="24"/>
          <w:highlight w:val="none"/>
          <w:u w:val="single"/>
        </w:rPr>
        <w:t>“</w:t>
      </w:r>
      <w:r>
        <w:rPr>
          <w:rStyle w:val="152"/>
          <w:rFonts w:ascii="Wingdings 2" w:hAnsi="Wingdings 2" w:cs="Times New Roman"/>
          <w:b w:val="0"/>
          <w:bCs w:val="0"/>
          <w:color w:val="000000"/>
          <w:szCs w:val="21"/>
          <w:highlight w:val="none"/>
          <w:u w:val="single"/>
        </w:rPr>
        <w:sym w:font="Wingdings 2" w:char="00A2"/>
      </w:r>
      <w:r>
        <w:rPr>
          <w:rStyle w:val="152"/>
          <w:rFonts w:hint="eastAsia" w:ascii="宋体" w:hAnsi="宋体" w:cs="Times New Roman"/>
          <w:b w:val="0"/>
          <w:bCs w:val="0"/>
          <w:color w:val="000000"/>
          <w:szCs w:val="21"/>
          <w:highlight w:val="none"/>
          <w:u w:val="single"/>
        </w:rPr>
        <w:t xml:space="preserve"> </w:t>
      </w:r>
      <w:r>
        <w:rPr>
          <w:rFonts w:hint="eastAsia" w:ascii="宋体" w:hAnsi="宋体" w:cs="宋体"/>
          <w:b w:val="0"/>
          <w:bCs w:val="0"/>
          <w:color w:val="000000"/>
          <w:kern w:val="2"/>
          <w:sz w:val="24"/>
          <w:szCs w:val="24"/>
          <w:highlight w:val="none"/>
          <w:u w:val="single"/>
        </w:rPr>
        <w:t>”，属于本合同项目适用条款；</w:t>
      </w:r>
      <w:r>
        <w:rPr>
          <w:rFonts w:hint="eastAsia" w:ascii="Wingdings 2" w:hAnsi="Wingdings 2" w:eastAsia="Wingdings 2" w:cs="Wingdings 2"/>
          <w:b w:val="0"/>
          <w:bCs w:val="0"/>
          <w:color w:val="000000"/>
          <w:kern w:val="2"/>
          <w:sz w:val="24"/>
          <w:szCs w:val="24"/>
          <w:highlight w:val="none"/>
          <w:u w:val="single"/>
        </w:rPr>
        <w:sym w:font="Wingdings 2" w:char="00A3"/>
      </w:r>
      <w:r>
        <w:rPr>
          <w:rFonts w:hint="eastAsia" w:ascii="宋体" w:hAnsi="宋体" w:cs="宋体"/>
          <w:b w:val="0"/>
          <w:bCs w:val="0"/>
          <w:color w:val="000000"/>
          <w:kern w:val="2"/>
          <w:sz w:val="24"/>
          <w:szCs w:val="24"/>
          <w:highlight w:val="none"/>
          <w:u w:val="single"/>
        </w:rPr>
        <w:t>则不属于本合同项目适用条款。</w:t>
      </w:r>
      <w:r>
        <w:rPr>
          <w:rFonts w:hint="eastAsia" w:ascii="宋体" w:hAnsi="宋体" w:eastAsia="宋体" w:cs="宋体"/>
          <w:b w:val="0"/>
          <w:bCs w:val="0"/>
          <w:color w:val="000000"/>
          <w:kern w:val="2"/>
          <w:sz w:val="24"/>
          <w:szCs w:val="24"/>
          <w:highlight w:val="none"/>
          <w:u w:val="single"/>
        </w:rPr>
        <w:t>本合同全部选择项均应于签约时勾选完毕，未勾选的视为不适用。</w:t>
      </w:r>
    </w:p>
    <w:p w14:paraId="7B3CD50E">
      <w:pPr>
        <w:pageBreakBefore w:val="0"/>
        <w:kinsoku/>
        <w:overflowPunct/>
        <w:bidi w:val="0"/>
        <w:spacing w:line="560" w:lineRule="exact"/>
        <w:textAlignment w:val="auto"/>
        <w:rPr>
          <w:rFonts w:hint="eastAsia" w:ascii="宋体" w:hAnsi="宋体" w:eastAsia="宋体" w:cs="宋体"/>
          <w:b w:val="0"/>
          <w:bCs w:val="0"/>
          <w:color w:val="000000"/>
          <w:kern w:val="0"/>
          <w:sz w:val="24"/>
          <w:szCs w:val="24"/>
          <w:highlight w:val="none"/>
        </w:rPr>
      </w:pPr>
    </w:p>
    <w:p w14:paraId="7EF47680">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1.2  </w:t>
      </w:r>
      <w:r>
        <w:rPr>
          <w:rFonts w:hint="eastAsia" w:ascii="宋体" w:hAnsi="宋体" w:cs="宋体"/>
          <w:b w:val="0"/>
          <w:bCs w:val="0"/>
          <w:color w:val="000000"/>
          <w:kern w:val="2"/>
          <w:sz w:val="24"/>
          <w:szCs w:val="24"/>
          <w:highlight w:val="none"/>
        </w:rPr>
        <w:t>解释</w:t>
      </w:r>
    </w:p>
    <w:p w14:paraId="6C905643">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1.2.2 </w:t>
      </w:r>
      <w:r>
        <w:rPr>
          <w:rFonts w:hint="eastAsia" w:ascii="宋体" w:hAnsi="宋体" w:cs="宋体"/>
          <w:b w:val="0"/>
          <w:bCs w:val="0"/>
          <w:color w:val="000000"/>
          <w:sz w:val="24"/>
          <w:szCs w:val="24"/>
          <w:highlight w:val="none"/>
        </w:rPr>
        <w:t>约定本合同文件的解释顺序为：见第一部分协议书。</w:t>
      </w:r>
    </w:p>
    <w:p w14:paraId="780FAC45">
      <w:pPr>
        <w:jc w:val="center"/>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2 </w:t>
      </w:r>
      <w:r>
        <w:rPr>
          <w:rFonts w:hint="eastAsia" w:ascii="宋体" w:hAnsi="宋体" w:cs="宋体"/>
          <w:b w:val="0"/>
          <w:bCs w:val="0"/>
          <w:color w:val="000000"/>
          <w:sz w:val="24"/>
          <w:szCs w:val="24"/>
          <w:highlight w:val="none"/>
        </w:rPr>
        <w:t>监理人义务</w:t>
      </w:r>
    </w:p>
    <w:p w14:paraId="503463F6">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2.1 </w:t>
      </w:r>
      <w:r>
        <w:rPr>
          <w:rFonts w:hint="eastAsia" w:ascii="宋体" w:hAnsi="宋体" w:cs="宋体"/>
          <w:b w:val="0"/>
          <w:bCs w:val="0"/>
          <w:color w:val="000000"/>
          <w:kern w:val="2"/>
          <w:sz w:val="24"/>
          <w:szCs w:val="24"/>
          <w:highlight w:val="none"/>
        </w:rPr>
        <w:t>监理的范围和内容</w:t>
      </w:r>
    </w:p>
    <w:p w14:paraId="6AD14AD8">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2.1.1 </w:t>
      </w:r>
      <w:r>
        <w:rPr>
          <w:rFonts w:hint="eastAsia" w:ascii="宋体" w:hAnsi="宋体" w:cs="宋体"/>
          <w:b w:val="0"/>
          <w:bCs w:val="0"/>
          <w:color w:val="000000"/>
          <w:sz w:val="24"/>
          <w:szCs w:val="24"/>
          <w:highlight w:val="none"/>
        </w:rPr>
        <w:t>监理范围包括：</w:t>
      </w:r>
    </w:p>
    <w:p w14:paraId="3CC6D464">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本工程监理的范围不仅限于：</w:t>
      </w:r>
    </w:p>
    <w:p w14:paraId="0AF04286">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eastAsia="宋体" w:cs="宋体"/>
          <w:b w:val="0"/>
          <w:bCs w:val="0"/>
          <w:color w:val="000000"/>
          <w:sz w:val="24"/>
          <w:szCs w:val="24"/>
          <w:highlight w:val="none"/>
          <w:u w:val="single"/>
        </w:rPr>
        <w:t>1.</w:t>
      </w:r>
      <w:r>
        <w:rPr>
          <w:rFonts w:hint="eastAsia" w:ascii="宋体" w:hAnsi="宋体" w:cs="宋体"/>
          <w:b w:val="0"/>
          <w:bCs w:val="0"/>
          <w:color w:val="000000"/>
          <w:sz w:val="24"/>
          <w:szCs w:val="24"/>
          <w:highlight w:val="none"/>
          <w:u w:val="single"/>
        </w:rPr>
        <w:t>负责施工准备阶段的监理工作：熟悉设计图纸及有关施工验收规范、规定、标准；组织进行图纸会审，并应在此基础上审核由施工单位编制的施工方案或技术措施；审核和检查施工单位相关资质证书、上岗证等；</w:t>
      </w:r>
    </w:p>
    <w:p w14:paraId="4B7BA78A">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cs="宋体"/>
          <w:b w:val="0"/>
          <w:bCs w:val="0"/>
          <w:color w:val="000000"/>
          <w:sz w:val="24"/>
          <w:szCs w:val="24"/>
          <w:highlight w:val="none"/>
          <w:u w:val="single"/>
          <w:lang w:val="en-US" w:eastAsia="zh-CN"/>
        </w:rPr>
        <w:t>2</w:t>
      </w:r>
      <w:r>
        <w:rPr>
          <w:rFonts w:hint="eastAsia" w:ascii="宋体" w:hAnsi="宋体" w:eastAsia="宋体" w:cs="宋体"/>
          <w:b w:val="0"/>
          <w:bCs w:val="0"/>
          <w:color w:val="000000"/>
          <w:sz w:val="24"/>
          <w:szCs w:val="24"/>
          <w:highlight w:val="none"/>
          <w:u w:val="single"/>
        </w:rPr>
        <w:t>.</w:t>
      </w:r>
      <w:r>
        <w:rPr>
          <w:rFonts w:hint="eastAsia" w:ascii="宋体" w:hAnsi="宋体" w:cs="宋体"/>
          <w:b w:val="0"/>
          <w:bCs w:val="0"/>
          <w:color w:val="000000"/>
          <w:sz w:val="24"/>
          <w:szCs w:val="24"/>
          <w:highlight w:val="none"/>
          <w:u w:val="single"/>
        </w:rPr>
        <w:t>负责施工阶段的进度监理：审查施工单位关于项目作业计划，其工期应符合施工方案的要求，并应制定进度检查和调整措施，确保按期完工；</w:t>
      </w:r>
    </w:p>
    <w:p w14:paraId="0D92F35E">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cs="宋体"/>
          <w:b w:val="0"/>
          <w:bCs w:val="0"/>
          <w:color w:val="000000"/>
          <w:sz w:val="24"/>
          <w:szCs w:val="24"/>
          <w:highlight w:val="none"/>
          <w:u w:val="single"/>
          <w:lang w:val="en-US" w:eastAsia="zh-CN"/>
        </w:rPr>
        <w:t>3</w:t>
      </w:r>
      <w:r>
        <w:rPr>
          <w:rFonts w:hint="eastAsia" w:ascii="宋体" w:hAnsi="宋体" w:eastAsia="宋体" w:cs="宋体"/>
          <w:b w:val="0"/>
          <w:bCs w:val="0"/>
          <w:color w:val="000000"/>
          <w:sz w:val="24"/>
          <w:szCs w:val="24"/>
          <w:highlight w:val="none"/>
          <w:u w:val="single"/>
        </w:rPr>
        <w:t>.</w:t>
      </w:r>
      <w:r>
        <w:rPr>
          <w:rFonts w:hint="eastAsia" w:ascii="宋体" w:hAnsi="宋体" w:cs="宋体"/>
          <w:b w:val="0"/>
          <w:bCs w:val="0"/>
          <w:color w:val="000000"/>
          <w:sz w:val="24"/>
          <w:szCs w:val="24"/>
          <w:highlight w:val="none"/>
          <w:u w:val="single"/>
        </w:rPr>
        <w:t xml:space="preserve">负责施工阶段的质量、检查及验收监理：对主要材料的报审表及其质量证明资料进行审核，并按有关规定对防水材料等按规定应复检的材料进行现场见证取样送检，保证施工质量；根据设计图纸、施工规范进行施工监理，建立各道工序的检查制度，并有完整的检查记录；每道工序完成，应经监理人检查验收（如蓄水试验等），合格后方可进行下道工序的施工（尤其隐蔽工程等）； </w:t>
      </w:r>
    </w:p>
    <w:p w14:paraId="4A0C89D8">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cs="宋体"/>
          <w:b w:val="0"/>
          <w:bCs w:val="0"/>
          <w:color w:val="000000"/>
          <w:sz w:val="24"/>
          <w:szCs w:val="24"/>
          <w:highlight w:val="none"/>
          <w:u w:val="single"/>
          <w:lang w:val="en-US" w:eastAsia="zh-CN"/>
        </w:rPr>
        <w:t>4</w:t>
      </w:r>
      <w:r>
        <w:rPr>
          <w:rFonts w:hint="eastAsia" w:ascii="宋体" w:hAnsi="宋体" w:eastAsia="宋体" w:cs="宋体"/>
          <w:b w:val="0"/>
          <w:bCs w:val="0"/>
          <w:color w:val="000000"/>
          <w:sz w:val="24"/>
          <w:szCs w:val="24"/>
          <w:highlight w:val="none"/>
          <w:u w:val="single"/>
        </w:rPr>
        <w:t>.</w:t>
      </w:r>
      <w:r>
        <w:rPr>
          <w:rFonts w:hint="eastAsia" w:ascii="宋体" w:hAnsi="宋体" w:cs="宋体"/>
          <w:b w:val="0"/>
          <w:bCs w:val="0"/>
          <w:color w:val="000000"/>
          <w:sz w:val="24"/>
          <w:szCs w:val="24"/>
          <w:highlight w:val="none"/>
          <w:u w:val="single"/>
        </w:rPr>
        <w:t>负责项目安全生产及保质期的监理工作等。</w:t>
      </w:r>
    </w:p>
    <w:p w14:paraId="47132280">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2.2</w:t>
      </w:r>
      <w:r>
        <w:rPr>
          <w:rFonts w:hint="eastAsia" w:ascii="宋体" w:hAnsi="宋体" w:cs="宋体"/>
          <w:b w:val="0"/>
          <w:bCs w:val="0"/>
          <w:color w:val="000000"/>
          <w:kern w:val="2"/>
          <w:sz w:val="24"/>
          <w:szCs w:val="24"/>
          <w:highlight w:val="none"/>
        </w:rPr>
        <w:t>监理依据</w:t>
      </w:r>
    </w:p>
    <w:p w14:paraId="44F27825">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2.2.1</w:t>
      </w:r>
      <w:r>
        <w:rPr>
          <w:rFonts w:hint="eastAsia" w:ascii="宋体" w:hAnsi="宋体" w:cs="宋体"/>
          <w:b w:val="0"/>
          <w:bCs w:val="0"/>
          <w:color w:val="000000"/>
          <w:sz w:val="24"/>
          <w:szCs w:val="24"/>
          <w:highlight w:val="none"/>
        </w:rPr>
        <w:t>监理依据包括：</w:t>
      </w:r>
    </w:p>
    <w:p w14:paraId="195E81F6">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eastAsia="宋体" w:cs="宋体"/>
          <w:b w:val="0"/>
          <w:bCs w:val="0"/>
          <w:color w:val="000000"/>
          <w:sz w:val="24"/>
          <w:szCs w:val="24"/>
          <w:highlight w:val="none"/>
          <w:u w:val="single"/>
        </w:rPr>
        <w:t>⑴</w:t>
      </w:r>
      <w:r>
        <w:rPr>
          <w:rFonts w:hint="eastAsia" w:ascii="宋体" w:hAnsi="宋体" w:cs="宋体"/>
          <w:b w:val="0"/>
          <w:bCs w:val="0"/>
          <w:color w:val="000000"/>
          <w:sz w:val="24"/>
          <w:szCs w:val="24"/>
          <w:highlight w:val="none"/>
          <w:u w:val="single"/>
        </w:rPr>
        <w:t>《建设工程监理规范》（</w:t>
      </w:r>
      <w:r>
        <w:rPr>
          <w:rFonts w:hint="eastAsia" w:ascii="宋体" w:hAnsi="宋体" w:eastAsia="宋体" w:cs="宋体"/>
          <w:b w:val="0"/>
          <w:bCs w:val="0"/>
          <w:color w:val="000000"/>
          <w:sz w:val="24"/>
          <w:szCs w:val="24"/>
          <w:highlight w:val="none"/>
          <w:u w:val="single"/>
        </w:rPr>
        <w:t>GB50319-2013</w:t>
      </w:r>
      <w:r>
        <w:rPr>
          <w:rFonts w:hint="eastAsia" w:ascii="宋体" w:hAnsi="宋体" w:cs="宋体"/>
          <w:b w:val="0"/>
          <w:bCs w:val="0"/>
          <w:color w:val="000000"/>
          <w:sz w:val="24"/>
          <w:szCs w:val="24"/>
          <w:highlight w:val="none"/>
          <w:u w:val="single"/>
        </w:rPr>
        <w:t>）《深圳市施工监理规程》《深圳经济特区建设工程监理条例》；</w:t>
      </w:r>
    </w:p>
    <w:p w14:paraId="728E8F80">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eastAsia="宋体" w:cs="宋体"/>
          <w:b w:val="0"/>
          <w:bCs w:val="0"/>
          <w:color w:val="000000"/>
          <w:sz w:val="24"/>
          <w:szCs w:val="24"/>
          <w:highlight w:val="none"/>
          <w:u w:val="single"/>
        </w:rPr>
        <w:t>⑵</w:t>
      </w:r>
      <w:r>
        <w:rPr>
          <w:rFonts w:hint="eastAsia" w:ascii="宋体" w:hAnsi="宋体" w:cs="宋体"/>
          <w:b w:val="0"/>
          <w:bCs w:val="0"/>
          <w:color w:val="000000"/>
          <w:sz w:val="24"/>
          <w:szCs w:val="24"/>
          <w:highlight w:val="none"/>
          <w:u w:val="single"/>
        </w:rPr>
        <w:t>国家和地方现行的建设工程质量评定标准、设计及施工验收规范；</w:t>
      </w:r>
    </w:p>
    <w:p w14:paraId="06EA2B19">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eastAsia="宋体" w:cs="宋体"/>
          <w:b w:val="0"/>
          <w:bCs w:val="0"/>
          <w:color w:val="000000"/>
          <w:sz w:val="24"/>
          <w:szCs w:val="24"/>
          <w:highlight w:val="none"/>
          <w:u w:val="single"/>
        </w:rPr>
        <w:t>⑶</w:t>
      </w:r>
      <w:r>
        <w:rPr>
          <w:rFonts w:hint="eastAsia" w:ascii="宋体" w:hAnsi="宋体" w:cs="宋体"/>
          <w:b w:val="0"/>
          <w:bCs w:val="0"/>
          <w:color w:val="000000"/>
          <w:sz w:val="24"/>
          <w:szCs w:val="24"/>
          <w:highlight w:val="none"/>
          <w:u w:val="single"/>
        </w:rPr>
        <w:t>经批准的施工图纸及说明，以及经图纸会审确定的修改设计通知书；</w:t>
      </w:r>
    </w:p>
    <w:p w14:paraId="73B95B41">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eastAsia="宋体" w:cs="宋体"/>
          <w:b w:val="0"/>
          <w:bCs w:val="0"/>
          <w:color w:val="000000"/>
          <w:sz w:val="24"/>
          <w:szCs w:val="24"/>
          <w:highlight w:val="none"/>
          <w:u w:val="single"/>
        </w:rPr>
        <w:t>⑷</w:t>
      </w:r>
      <w:r>
        <w:rPr>
          <w:rFonts w:hint="eastAsia" w:ascii="宋体" w:hAnsi="宋体" w:cs="宋体"/>
          <w:b w:val="0"/>
          <w:bCs w:val="0"/>
          <w:color w:val="000000"/>
          <w:sz w:val="24"/>
          <w:szCs w:val="24"/>
          <w:highlight w:val="none"/>
          <w:u w:val="single"/>
        </w:rPr>
        <w:t>本工程的设计、施工、安装招投标文件及合同；</w:t>
      </w:r>
    </w:p>
    <w:p w14:paraId="02DE897F">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eastAsia="宋体" w:cs="宋体"/>
          <w:b w:val="0"/>
          <w:bCs w:val="0"/>
          <w:color w:val="000000"/>
          <w:sz w:val="24"/>
          <w:szCs w:val="24"/>
          <w:highlight w:val="none"/>
          <w:u w:val="single"/>
        </w:rPr>
        <w:t>⑸</w:t>
      </w:r>
      <w:r>
        <w:rPr>
          <w:rFonts w:hint="eastAsia" w:ascii="宋体" w:hAnsi="宋体" w:cs="宋体"/>
          <w:b w:val="0"/>
          <w:bCs w:val="0"/>
          <w:color w:val="000000"/>
          <w:sz w:val="24"/>
          <w:szCs w:val="24"/>
          <w:highlight w:val="none"/>
          <w:u w:val="single"/>
        </w:rPr>
        <w:t>委托人发出的有关本工程的指令；</w:t>
      </w:r>
    </w:p>
    <w:p w14:paraId="483FA997">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eastAsia="宋体" w:cs="宋体"/>
          <w:b w:val="0"/>
          <w:bCs w:val="0"/>
          <w:color w:val="000000"/>
          <w:sz w:val="24"/>
          <w:szCs w:val="24"/>
          <w:highlight w:val="none"/>
          <w:u w:val="single"/>
        </w:rPr>
        <w:t>⑹</w:t>
      </w:r>
      <w:r>
        <w:rPr>
          <w:rFonts w:hint="eastAsia" w:ascii="宋体" w:hAnsi="宋体" w:cs="宋体"/>
          <w:b w:val="0"/>
          <w:bCs w:val="0"/>
          <w:color w:val="000000"/>
          <w:sz w:val="24"/>
          <w:szCs w:val="24"/>
          <w:highlight w:val="none"/>
          <w:u w:val="single"/>
        </w:rPr>
        <w:t>委托人制定的有关本工程的规定</w:t>
      </w:r>
      <w:r>
        <w:rPr>
          <w:highlight w:val="none"/>
        </w:rPr>
        <w:fldChar w:fldCharType="begin"/>
      </w:r>
      <w:r>
        <w:rPr>
          <w:rFonts w:hint="eastAsia" w:ascii="宋体" w:hAnsi="宋体" w:eastAsia="宋体" w:cs="宋体"/>
          <w:b w:val="0"/>
          <w:bCs w:val="0"/>
          <w:color w:val="000000"/>
          <w:sz w:val="24"/>
          <w:szCs w:val="24"/>
          <w:highlight w:val="none"/>
          <w:u w:val="single"/>
        </w:rPr>
        <w:instrText xml:space="preserve"> AUTOTEXT  input564 \* MERGEFORMAT </w:instrText>
      </w:r>
      <w:r>
        <w:rPr>
          <w:rFonts w:hint="eastAsia" w:ascii="宋体" w:hAnsi="宋体" w:eastAsia="宋体" w:cs="宋体"/>
          <w:b w:val="0"/>
          <w:bCs w:val="0"/>
          <w:color w:val="000000"/>
          <w:sz w:val="24"/>
          <w:szCs w:val="24"/>
          <w:highlight w:val="none"/>
          <w:u w:val="single"/>
        </w:rPr>
        <w:fldChar w:fldCharType="separate"/>
      </w:r>
      <w:r>
        <w:rPr>
          <w:rFonts w:hint="eastAsia" w:ascii="宋体" w:hAnsi="宋体" w:eastAsia="宋体" w:cs="宋体"/>
          <w:b w:val="0"/>
          <w:bCs w:val="0"/>
          <w:color w:val="000000"/>
          <w:sz w:val="24"/>
          <w:szCs w:val="24"/>
          <w:highlight w:val="none"/>
          <w:u w:val="single"/>
        </w:rPr>
        <w:fldChar w:fldCharType="end"/>
      </w:r>
      <w:r>
        <w:rPr>
          <w:rFonts w:hint="eastAsia" w:ascii="宋体" w:hAnsi="宋体" w:cs="宋体"/>
          <w:b w:val="0"/>
          <w:bCs w:val="0"/>
          <w:color w:val="000000"/>
          <w:sz w:val="24"/>
          <w:szCs w:val="24"/>
          <w:highlight w:val="none"/>
          <w:u w:val="single"/>
        </w:rPr>
        <w:t>。</w:t>
      </w:r>
    </w:p>
    <w:p w14:paraId="1B0ED399">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2.2.2</w:t>
      </w:r>
      <w:r>
        <w:rPr>
          <w:rFonts w:hint="eastAsia" w:ascii="宋体" w:hAnsi="宋体" w:cs="宋体"/>
          <w:b w:val="0"/>
          <w:bCs w:val="0"/>
          <w:color w:val="000000"/>
          <w:sz w:val="24"/>
          <w:szCs w:val="24"/>
          <w:highlight w:val="none"/>
        </w:rPr>
        <w:t>相关服务依据包括：</w:t>
      </w:r>
      <w:r>
        <w:rPr>
          <w:rFonts w:hint="eastAsia" w:ascii="宋体" w:hAnsi="宋体" w:eastAsia="宋体" w:cs="宋体"/>
          <w:b w:val="0"/>
          <w:bCs w:val="0"/>
          <w:color w:val="000000"/>
          <w:sz w:val="24"/>
          <w:szCs w:val="24"/>
          <w:highlight w:val="none"/>
          <w:u w:val="single"/>
        </w:rPr>
        <w:t>/</w:t>
      </w:r>
      <w:r>
        <w:rPr>
          <w:highlight w:val="none"/>
        </w:rPr>
        <w:fldChar w:fldCharType="begin"/>
      </w:r>
      <w:r>
        <w:rPr>
          <w:rFonts w:hint="eastAsia" w:ascii="宋体" w:hAnsi="宋体" w:eastAsia="宋体" w:cs="宋体"/>
          <w:b w:val="0"/>
          <w:bCs w:val="0"/>
          <w:color w:val="000000"/>
          <w:sz w:val="24"/>
          <w:szCs w:val="24"/>
          <w:highlight w:val="none"/>
        </w:rPr>
        <w:instrText xml:space="preserve"> AUTOTEXT  input565 \* MERGEFORMAT </w:instrText>
      </w:r>
      <w:r>
        <w:rPr>
          <w:rFonts w:hint="eastAsia" w:ascii="宋体" w:hAnsi="宋体" w:eastAsia="宋体" w:cs="宋体"/>
          <w:b w:val="0"/>
          <w:bCs w:val="0"/>
          <w:color w:val="000000"/>
          <w:sz w:val="24"/>
          <w:szCs w:val="24"/>
          <w:highlight w:val="none"/>
        </w:rPr>
        <w:fldChar w:fldCharType="separate"/>
      </w:r>
      <w:r>
        <w:rPr>
          <w:rFonts w:hint="eastAsia" w:ascii="宋体" w:hAnsi="宋体" w:eastAsia="宋体" w:cs="宋体"/>
          <w:b w:val="0"/>
          <w:bCs w:val="0"/>
          <w:color w:val="000000"/>
          <w:sz w:val="24"/>
          <w:szCs w:val="24"/>
          <w:highlight w:val="none"/>
        </w:rPr>
        <w:fldChar w:fldCharType="end"/>
      </w:r>
      <w:r>
        <w:rPr>
          <w:rFonts w:hint="eastAsia" w:ascii="宋体" w:hAnsi="宋体" w:cs="宋体"/>
          <w:b w:val="0"/>
          <w:bCs w:val="0"/>
          <w:color w:val="000000"/>
          <w:sz w:val="24"/>
          <w:szCs w:val="24"/>
          <w:highlight w:val="none"/>
        </w:rPr>
        <w:t>。</w:t>
      </w:r>
    </w:p>
    <w:p w14:paraId="170670A9">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2.3</w:t>
      </w:r>
      <w:r>
        <w:rPr>
          <w:rFonts w:hint="eastAsia" w:ascii="宋体" w:hAnsi="宋体" w:cs="宋体"/>
          <w:b w:val="0"/>
          <w:bCs w:val="0"/>
          <w:color w:val="000000"/>
          <w:kern w:val="2"/>
          <w:sz w:val="24"/>
          <w:szCs w:val="24"/>
          <w:highlight w:val="none"/>
        </w:rPr>
        <w:t>项目机构和人员</w:t>
      </w:r>
    </w:p>
    <w:p w14:paraId="213D3F02">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eastAsia="宋体" w:cs="宋体"/>
          <w:b w:val="0"/>
          <w:bCs w:val="0"/>
          <w:color w:val="000000"/>
          <w:sz w:val="24"/>
          <w:szCs w:val="24"/>
          <w:highlight w:val="none"/>
          <w:u w:val="none"/>
        </w:rPr>
        <w:t>2.3.4</w:t>
      </w:r>
      <w:r>
        <w:rPr>
          <w:rFonts w:hint="eastAsia" w:ascii="宋体" w:hAnsi="宋体" w:cs="宋体"/>
          <w:b w:val="0"/>
          <w:bCs w:val="0"/>
          <w:color w:val="000000"/>
          <w:sz w:val="24"/>
          <w:szCs w:val="24"/>
          <w:highlight w:val="none"/>
          <w:u w:val="none"/>
        </w:rPr>
        <w:t>更换监理服务人员的其他情形：</w:t>
      </w:r>
      <w:r>
        <w:rPr>
          <w:rFonts w:hint="eastAsia" w:ascii="宋体" w:hAnsi="宋体" w:cs="宋体"/>
          <w:b w:val="0"/>
          <w:bCs w:val="0"/>
          <w:color w:val="000000"/>
          <w:sz w:val="24"/>
          <w:szCs w:val="24"/>
          <w:highlight w:val="none"/>
          <w:u w:val="single"/>
        </w:rPr>
        <w:t>除通用条款规定的情形外，监理人员有以下情形的，委托人可提出更换监理服务人员，监理人应在三个工作日内更换相应监理服务人员：⑴</w:t>
      </w:r>
      <w:r>
        <w:rPr>
          <w:rFonts w:hint="eastAsia" w:ascii="宋体" w:hAnsi="宋体" w:eastAsia="宋体" w:cs="宋体"/>
          <w:b w:val="0"/>
          <w:bCs w:val="0"/>
          <w:color w:val="000000"/>
          <w:sz w:val="24"/>
          <w:szCs w:val="24"/>
          <w:highlight w:val="none"/>
          <w:u w:val="single"/>
        </w:rPr>
        <w:t>.</w:t>
      </w:r>
      <w:r>
        <w:rPr>
          <w:rFonts w:hint="eastAsia" w:ascii="宋体" w:hAnsi="宋体" w:cs="宋体"/>
          <w:b w:val="0"/>
          <w:bCs w:val="0"/>
          <w:color w:val="000000"/>
          <w:sz w:val="24"/>
          <w:szCs w:val="24"/>
          <w:highlight w:val="none"/>
          <w:u w:val="single"/>
        </w:rPr>
        <w:t>长期不到位；⑵</w:t>
      </w:r>
      <w:r>
        <w:rPr>
          <w:rFonts w:hint="eastAsia" w:ascii="宋体" w:hAnsi="宋体" w:eastAsia="宋体" w:cs="宋体"/>
          <w:b w:val="0"/>
          <w:bCs w:val="0"/>
          <w:color w:val="000000"/>
          <w:sz w:val="24"/>
          <w:szCs w:val="24"/>
          <w:highlight w:val="none"/>
          <w:u w:val="single"/>
        </w:rPr>
        <w:t>.</w:t>
      </w:r>
      <w:r>
        <w:rPr>
          <w:rFonts w:hint="eastAsia" w:ascii="宋体" w:hAnsi="宋体" w:cs="宋体"/>
          <w:b w:val="0"/>
          <w:bCs w:val="0"/>
          <w:color w:val="000000"/>
          <w:sz w:val="24"/>
          <w:szCs w:val="24"/>
          <w:highlight w:val="none"/>
          <w:u w:val="single"/>
        </w:rPr>
        <w:t>责任心不强，不能实际履行职责的；⑶</w:t>
      </w:r>
      <w:r>
        <w:rPr>
          <w:rFonts w:hint="eastAsia" w:ascii="宋体" w:hAnsi="宋体" w:eastAsia="宋体" w:cs="宋体"/>
          <w:b w:val="0"/>
          <w:bCs w:val="0"/>
          <w:color w:val="000000"/>
          <w:sz w:val="24"/>
          <w:szCs w:val="24"/>
          <w:highlight w:val="none"/>
          <w:u w:val="single"/>
        </w:rPr>
        <w:t>.</w:t>
      </w:r>
      <w:r>
        <w:rPr>
          <w:rFonts w:hint="eastAsia" w:ascii="宋体" w:hAnsi="宋体" w:cs="宋体"/>
          <w:b w:val="0"/>
          <w:bCs w:val="0"/>
          <w:color w:val="000000"/>
          <w:sz w:val="24"/>
          <w:szCs w:val="24"/>
          <w:highlight w:val="none"/>
          <w:u w:val="single"/>
        </w:rPr>
        <w:t>现场有重大安全、质量事故的；⑷</w:t>
      </w:r>
      <w:r>
        <w:rPr>
          <w:rFonts w:hint="eastAsia" w:ascii="宋体" w:hAnsi="宋体" w:eastAsia="宋体" w:cs="宋体"/>
          <w:b w:val="0"/>
          <w:bCs w:val="0"/>
          <w:color w:val="000000"/>
          <w:sz w:val="24"/>
          <w:szCs w:val="24"/>
          <w:highlight w:val="none"/>
          <w:u w:val="single"/>
        </w:rPr>
        <w:t>.</w:t>
      </w:r>
      <w:r>
        <w:rPr>
          <w:rFonts w:hint="eastAsia" w:ascii="宋体" w:hAnsi="宋体" w:cs="宋体"/>
          <w:b w:val="0"/>
          <w:bCs w:val="0"/>
          <w:color w:val="000000"/>
          <w:sz w:val="24"/>
          <w:szCs w:val="24"/>
          <w:highlight w:val="none"/>
          <w:u w:val="single"/>
        </w:rPr>
        <w:t>建设主管部门记不良行为记录的；⑸</w:t>
      </w:r>
      <w:r>
        <w:rPr>
          <w:rFonts w:hint="eastAsia" w:ascii="宋体" w:hAnsi="宋体" w:eastAsia="宋体" w:cs="宋体"/>
          <w:b w:val="0"/>
          <w:bCs w:val="0"/>
          <w:color w:val="000000"/>
          <w:sz w:val="24"/>
          <w:szCs w:val="24"/>
          <w:highlight w:val="none"/>
          <w:u w:val="single"/>
        </w:rPr>
        <w:t>.</w:t>
      </w:r>
      <w:r>
        <w:rPr>
          <w:rFonts w:hint="eastAsia" w:ascii="宋体" w:hAnsi="宋体" w:cs="宋体"/>
          <w:b w:val="0"/>
          <w:bCs w:val="0"/>
          <w:color w:val="000000"/>
          <w:sz w:val="24"/>
          <w:szCs w:val="24"/>
          <w:highlight w:val="none"/>
          <w:u w:val="single"/>
        </w:rPr>
        <w:t>不能常驻现场的，不参加监理例会的。</w:t>
      </w:r>
    </w:p>
    <w:p w14:paraId="6D418BA5">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cs="宋体"/>
          <w:b w:val="0"/>
          <w:bCs w:val="0"/>
          <w:color w:val="000000"/>
          <w:sz w:val="24"/>
          <w:szCs w:val="24"/>
          <w:highlight w:val="none"/>
          <w:u w:val="single"/>
        </w:rPr>
        <w:t>工程实施过程中，当总监理工程师及专业监理工程师需要调整时，监理人应书面通知委托人和承包人并征得委托人的同意。当委托人要求更换监理人员时，监理人必须在</w:t>
      </w:r>
      <w:r>
        <w:rPr>
          <w:rFonts w:hint="eastAsia" w:ascii="宋体" w:hAnsi="宋体" w:eastAsia="宋体" w:cs="宋体"/>
          <w:b w:val="0"/>
          <w:bCs w:val="0"/>
          <w:color w:val="000000"/>
          <w:sz w:val="24"/>
          <w:szCs w:val="24"/>
          <w:highlight w:val="none"/>
          <w:u w:val="single"/>
        </w:rPr>
        <w:t>3</w:t>
      </w:r>
      <w:r>
        <w:rPr>
          <w:rFonts w:hint="eastAsia" w:ascii="宋体" w:hAnsi="宋体" w:cs="宋体"/>
          <w:b w:val="0"/>
          <w:bCs w:val="0"/>
          <w:color w:val="000000"/>
          <w:sz w:val="24"/>
          <w:szCs w:val="24"/>
          <w:highlight w:val="none"/>
          <w:u w:val="single"/>
        </w:rPr>
        <w:t>日内提供替换监理人员的有关资料，经委托人书面认可后</w:t>
      </w:r>
      <w:r>
        <w:rPr>
          <w:rFonts w:hint="eastAsia" w:ascii="宋体" w:hAnsi="宋体" w:eastAsia="宋体" w:cs="宋体"/>
          <w:b w:val="0"/>
          <w:bCs w:val="0"/>
          <w:color w:val="000000"/>
          <w:sz w:val="24"/>
          <w:szCs w:val="24"/>
          <w:highlight w:val="none"/>
          <w:u w:val="single"/>
        </w:rPr>
        <w:t>3</w:t>
      </w:r>
      <w:r>
        <w:rPr>
          <w:rFonts w:hint="eastAsia" w:ascii="宋体" w:hAnsi="宋体" w:cs="宋体"/>
          <w:b w:val="0"/>
          <w:bCs w:val="0"/>
          <w:color w:val="000000"/>
          <w:sz w:val="24"/>
          <w:szCs w:val="24"/>
          <w:highlight w:val="none"/>
          <w:u w:val="single"/>
        </w:rPr>
        <w:t>日内派驻现场。若委托人发现监理人的机构人员不完全或不按监理合同履行监理义务或职责，委托人有权要求监理人更换监理人员并向建设主管部门报告，并将其不良行为予以公告，直至终止合同，且监理人应当向委托人承担违约责任，免收部分或全部监理酬金，支付违约金并承担赔偿责任，由此产生的其他后果由监理人承担相应法律责任</w:t>
      </w:r>
      <w:r>
        <w:rPr>
          <w:highlight w:val="none"/>
        </w:rPr>
        <w:fldChar w:fldCharType="begin"/>
      </w:r>
      <w:r>
        <w:rPr>
          <w:rFonts w:hint="eastAsia" w:ascii="宋体" w:hAnsi="宋体" w:cs="宋体"/>
          <w:b w:val="0"/>
          <w:bCs w:val="0"/>
          <w:color w:val="000000"/>
          <w:sz w:val="24"/>
          <w:szCs w:val="24"/>
          <w:highlight w:val="none"/>
          <w:u w:val="single"/>
        </w:rPr>
        <w:instrText xml:space="preserve"> AUTOTEXT  input566 \* MERGEFORMAT </w:instrText>
      </w:r>
      <w:r>
        <w:rPr>
          <w:rFonts w:hint="eastAsia" w:ascii="宋体" w:hAnsi="宋体" w:cs="宋体"/>
          <w:b w:val="0"/>
          <w:bCs w:val="0"/>
          <w:color w:val="000000"/>
          <w:sz w:val="24"/>
          <w:szCs w:val="24"/>
          <w:highlight w:val="none"/>
          <w:u w:val="single"/>
        </w:rPr>
        <w:fldChar w:fldCharType="separate"/>
      </w:r>
      <w:r>
        <w:rPr>
          <w:rFonts w:hint="eastAsia" w:ascii="宋体" w:hAnsi="宋体" w:cs="宋体"/>
          <w:b w:val="0"/>
          <w:bCs w:val="0"/>
          <w:color w:val="000000"/>
          <w:sz w:val="24"/>
          <w:szCs w:val="24"/>
          <w:highlight w:val="none"/>
          <w:u w:val="single"/>
        </w:rPr>
        <w:fldChar w:fldCharType="end"/>
      </w:r>
      <w:r>
        <w:rPr>
          <w:rFonts w:hint="eastAsia" w:ascii="宋体" w:hAnsi="宋体" w:cs="宋体"/>
          <w:b w:val="0"/>
          <w:bCs w:val="0"/>
          <w:color w:val="000000"/>
          <w:sz w:val="24"/>
          <w:szCs w:val="24"/>
          <w:highlight w:val="none"/>
          <w:u w:val="single"/>
        </w:rPr>
        <w:t>。</w:t>
      </w:r>
    </w:p>
    <w:p w14:paraId="4BACD5A6">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eastAsia="宋体" w:cs="宋体"/>
          <w:b w:val="0"/>
          <w:bCs w:val="0"/>
          <w:color w:val="000000"/>
          <w:sz w:val="24"/>
          <w:szCs w:val="24"/>
          <w:highlight w:val="none"/>
          <w:u w:val="single"/>
        </w:rPr>
        <w:t>2.4</w:t>
      </w:r>
      <w:r>
        <w:rPr>
          <w:rFonts w:hint="eastAsia" w:ascii="宋体" w:hAnsi="宋体" w:cs="宋体"/>
          <w:b w:val="0"/>
          <w:bCs w:val="0"/>
          <w:color w:val="000000"/>
          <w:sz w:val="24"/>
          <w:szCs w:val="24"/>
          <w:highlight w:val="none"/>
          <w:u w:val="single"/>
        </w:rPr>
        <w:t>履行职责</w:t>
      </w:r>
    </w:p>
    <w:p w14:paraId="5A0DC548">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eastAsia="宋体" w:cs="宋体"/>
          <w:b w:val="0"/>
          <w:bCs w:val="0"/>
          <w:color w:val="000000"/>
          <w:sz w:val="24"/>
          <w:szCs w:val="24"/>
          <w:highlight w:val="none"/>
          <w:u w:val="none"/>
        </w:rPr>
        <w:t>2.4.3</w:t>
      </w:r>
      <w:r>
        <w:rPr>
          <w:rFonts w:hint="eastAsia" w:ascii="宋体" w:hAnsi="宋体" w:cs="宋体"/>
          <w:b w:val="0"/>
          <w:bCs w:val="0"/>
          <w:color w:val="000000"/>
          <w:sz w:val="24"/>
          <w:szCs w:val="24"/>
          <w:highlight w:val="none"/>
          <w:u w:val="none"/>
        </w:rPr>
        <w:t>对监理人的授权范围：</w:t>
      </w:r>
      <w:r>
        <w:rPr>
          <w:rFonts w:hint="eastAsia" w:ascii="宋体" w:hAnsi="宋体" w:cs="宋体"/>
          <w:b w:val="0"/>
          <w:bCs w:val="0"/>
          <w:color w:val="000000"/>
          <w:sz w:val="24"/>
          <w:szCs w:val="24"/>
          <w:highlight w:val="none"/>
          <w:u w:val="single"/>
        </w:rPr>
        <w:t>委托人不授权监理人独立处理委托人与承包人所签订的合同的变更事宜，有关工程延期和（或）工程变更的任何事项，监理人需书面请示委托人并取得委托人书面批准后，方可向承包人发布变更通知</w:t>
      </w:r>
      <w:r>
        <w:rPr>
          <w:highlight w:val="none"/>
        </w:rPr>
        <w:fldChar w:fldCharType="begin"/>
      </w:r>
      <w:r>
        <w:rPr>
          <w:rFonts w:hint="eastAsia" w:ascii="宋体" w:hAnsi="宋体" w:eastAsia="宋体" w:cs="宋体"/>
          <w:b w:val="0"/>
          <w:bCs w:val="0"/>
          <w:color w:val="000000"/>
          <w:sz w:val="24"/>
          <w:szCs w:val="24"/>
          <w:highlight w:val="none"/>
          <w:u w:val="single"/>
        </w:rPr>
        <w:instrText xml:space="preserve"> AUTOTEXT  input567 \* MERGEFORMAT </w:instrText>
      </w:r>
      <w:r>
        <w:rPr>
          <w:rFonts w:hint="eastAsia" w:ascii="宋体" w:hAnsi="宋体" w:eastAsia="宋体" w:cs="宋体"/>
          <w:b w:val="0"/>
          <w:bCs w:val="0"/>
          <w:color w:val="000000"/>
          <w:sz w:val="24"/>
          <w:szCs w:val="24"/>
          <w:highlight w:val="none"/>
          <w:u w:val="single"/>
        </w:rPr>
        <w:fldChar w:fldCharType="separate"/>
      </w:r>
      <w:r>
        <w:rPr>
          <w:rFonts w:hint="eastAsia" w:ascii="宋体" w:hAnsi="宋体" w:eastAsia="宋体" w:cs="宋体"/>
          <w:b w:val="0"/>
          <w:bCs w:val="0"/>
          <w:color w:val="000000"/>
          <w:sz w:val="24"/>
          <w:szCs w:val="24"/>
          <w:highlight w:val="none"/>
          <w:u w:val="single"/>
        </w:rPr>
        <w:fldChar w:fldCharType="end"/>
      </w:r>
      <w:r>
        <w:rPr>
          <w:rFonts w:hint="eastAsia" w:ascii="宋体" w:hAnsi="宋体" w:cs="宋体"/>
          <w:b w:val="0"/>
          <w:bCs w:val="0"/>
          <w:color w:val="000000"/>
          <w:sz w:val="24"/>
          <w:szCs w:val="24"/>
          <w:highlight w:val="none"/>
          <w:u w:val="single"/>
        </w:rPr>
        <w:t>。</w:t>
      </w:r>
    </w:p>
    <w:p w14:paraId="39A36132">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none"/>
        </w:rPr>
      </w:pPr>
      <w:r>
        <w:rPr>
          <w:rFonts w:hint="eastAsia" w:ascii="宋体" w:hAnsi="宋体" w:cs="宋体"/>
          <w:b w:val="0"/>
          <w:bCs w:val="0"/>
          <w:color w:val="000000"/>
          <w:sz w:val="24"/>
          <w:szCs w:val="24"/>
          <w:highlight w:val="none"/>
          <w:u w:val="none"/>
        </w:rPr>
        <w:t>在涉及工程延期</w:t>
      </w:r>
      <w:r>
        <w:rPr>
          <w:rFonts w:hint="eastAsia" w:ascii="宋体" w:hAnsi="宋体" w:eastAsia="宋体" w:cs="宋体"/>
          <w:b w:val="0"/>
          <w:bCs w:val="0"/>
          <w:color w:val="000000"/>
          <w:sz w:val="24"/>
          <w:szCs w:val="24"/>
          <w:highlight w:val="none"/>
          <w:u w:val="single"/>
        </w:rPr>
        <w:t>/</w:t>
      </w:r>
      <w:r>
        <w:rPr>
          <w:highlight w:val="none"/>
        </w:rPr>
        <w:fldChar w:fldCharType="begin"/>
      </w:r>
      <w:r>
        <w:rPr>
          <w:rFonts w:hint="eastAsia" w:ascii="宋体" w:hAnsi="宋体" w:cs="宋体"/>
          <w:b w:val="0"/>
          <w:bCs w:val="0"/>
          <w:color w:val="000000"/>
          <w:sz w:val="24"/>
          <w:szCs w:val="24"/>
          <w:highlight w:val="none"/>
          <w:u w:val="none"/>
        </w:rPr>
        <w:instrText xml:space="preserve"> AUTOTEXT  input568 \* MERGEFORMAT </w:instrText>
      </w:r>
      <w:r>
        <w:rPr>
          <w:rFonts w:hint="eastAsia" w:ascii="宋体" w:hAnsi="宋体" w:cs="宋体"/>
          <w:b w:val="0"/>
          <w:bCs w:val="0"/>
          <w:color w:val="000000"/>
          <w:sz w:val="24"/>
          <w:szCs w:val="24"/>
          <w:highlight w:val="none"/>
          <w:u w:val="none"/>
        </w:rPr>
        <w:fldChar w:fldCharType="separate"/>
      </w:r>
      <w:r>
        <w:rPr>
          <w:rFonts w:hint="eastAsia" w:ascii="宋体" w:hAnsi="宋体" w:cs="宋体"/>
          <w:b w:val="0"/>
          <w:bCs w:val="0"/>
          <w:color w:val="000000"/>
          <w:sz w:val="24"/>
          <w:szCs w:val="24"/>
          <w:highlight w:val="none"/>
          <w:u w:val="none"/>
        </w:rPr>
        <w:fldChar w:fldCharType="end"/>
      </w:r>
      <w:r>
        <w:rPr>
          <w:rFonts w:hint="eastAsia" w:ascii="宋体" w:hAnsi="宋体" w:cs="宋体"/>
          <w:b w:val="0"/>
          <w:bCs w:val="0"/>
          <w:color w:val="000000"/>
          <w:sz w:val="24"/>
          <w:szCs w:val="24"/>
          <w:highlight w:val="none"/>
          <w:u w:val="none"/>
        </w:rPr>
        <w:t>天内和（或）金额</w:t>
      </w:r>
      <w:r>
        <w:rPr>
          <w:rFonts w:hint="eastAsia" w:ascii="宋体" w:hAnsi="宋体" w:eastAsia="宋体" w:cs="宋体"/>
          <w:b w:val="0"/>
          <w:bCs w:val="0"/>
          <w:color w:val="000000"/>
          <w:sz w:val="24"/>
          <w:szCs w:val="24"/>
          <w:highlight w:val="none"/>
          <w:u w:val="single"/>
        </w:rPr>
        <w:t>/</w:t>
      </w:r>
      <w:r>
        <w:rPr>
          <w:highlight w:val="none"/>
        </w:rPr>
        <w:fldChar w:fldCharType="begin"/>
      </w:r>
      <w:r>
        <w:rPr>
          <w:rFonts w:hint="eastAsia" w:ascii="宋体" w:hAnsi="宋体" w:cs="宋体"/>
          <w:b w:val="0"/>
          <w:bCs w:val="0"/>
          <w:color w:val="000000"/>
          <w:sz w:val="24"/>
          <w:szCs w:val="24"/>
          <w:highlight w:val="none"/>
          <w:u w:val="none"/>
        </w:rPr>
        <w:instrText xml:space="preserve"> AUTOTEXT  input569 \* MERGEFORMAT </w:instrText>
      </w:r>
      <w:r>
        <w:rPr>
          <w:rFonts w:hint="eastAsia" w:ascii="宋体" w:hAnsi="宋体" w:cs="宋体"/>
          <w:b w:val="0"/>
          <w:bCs w:val="0"/>
          <w:color w:val="000000"/>
          <w:sz w:val="24"/>
          <w:szCs w:val="24"/>
          <w:highlight w:val="none"/>
          <w:u w:val="none"/>
        </w:rPr>
        <w:fldChar w:fldCharType="separate"/>
      </w:r>
      <w:r>
        <w:rPr>
          <w:rFonts w:hint="eastAsia" w:ascii="宋体" w:hAnsi="宋体" w:cs="宋体"/>
          <w:b w:val="0"/>
          <w:bCs w:val="0"/>
          <w:color w:val="000000"/>
          <w:sz w:val="24"/>
          <w:szCs w:val="24"/>
          <w:highlight w:val="none"/>
          <w:u w:val="none"/>
        </w:rPr>
        <w:fldChar w:fldCharType="end"/>
      </w:r>
      <w:r>
        <w:rPr>
          <w:rFonts w:hint="eastAsia" w:ascii="宋体" w:hAnsi="宋体" w:cs="宋体"/>
          <w:b w:val="0"/>
          <w:bCs w:val="0"/>
          <w:color w:val="000000"/>
          <w:sz w:val="24"/>
          <w:szCs w:val="24"/>
          <w:highlight w:val="none"/>
          <w:u w:val="none"/>
        </w:rPr>
        <w:t>万元内的变更，监理人不需请示委托人即可向承包人发布变更通知。</w:t>
      </w:r>
    </w:p>
    <w:p w14:paraId="58A4D38D">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eastAsia="宋体" w:cs="宋体"/>
          <w:b w:val="0"/>
          <w:bCs w:val="0"/>
          <w:color w:val="000000"/>
          <w:sz w:val="24"/>
          <w:szCs w:val="24"/>
          <w:highlight w:val="none"/>
          <w:u w:val="none"/>
        </w:rPr>
        <w:t>2.4.4</w:t>
      </w:r>
      <w:r>
        <w:rPr>
          <w:rFonts w:hint="eastAsia" w:ascii="宋体" w:hAnsi="宋体" w:cs="宋体"/>
          <w:b w:val="0"/>
          <w:bCs w:val="0"/>
          <w:color w:val="000000"/>
          <w:sz w:val="24"/>
          <w:szCs w:val="24"/>
          <w:highlight w:val="none"/>
          <w:u w:val="none"/>
        </w:rPr>
        <w:t>监理人有权要求承包人调换其人员的限制条件：</w:t>
      </w:r>
      <w:r>
        <w:rPr>
          <w:rFonts w:hint="eastAsia" w:ascii="宋体" w:hAnsi="宋体" w:cs="宋体"/>
          <w:b w:val="0"/>
          <w:bCs w:val="0"/>
          <w:color w:val="000000"/>
          <w:sz w:val="24"/>
          <w:szCs w:val="24"/>
          <w:highlight w:val="none"/>
          <w:u w:val="single"/>
        </w:rPr>
        <w:t>监理人须事先取得委托人的书面同意后，方可指令承包人调换其人员</w:t>
      </w:r>
      <w:r>
        <w:rPr>
          <w:highlight w:val="none"/>
        </w:rPr>
        <w:fldChar w:fldCharType="begin"/>
      </w:r>
      <w:r>
        <w:rPr>
          <w:rFonts w:hint="eastAsia" w:ascii="宋体" w:hAnsi="宋体" w:eastAsia="宋体" w:cs="宋体"/>
          <w:b w:val="0"/>
          <w:bCs w:val="0"/>
          <w:color w:val="000000"/>
          <w:sz w:val="24"/>
          <w:szCs w:val="24"/>
          <w:highlight w:val="none"/>
          <w:u w:val="single"/>
        </w:rPr>
        <w:instrText xml:space="preserve"> AUTOTEXT  input570 \* MERGEFORMAT </w:instrText>
      </w:r>
      <w:r>
        <w:rPr>
          <w:rFonts w:hint="eastAsia" w:ascii="宋体" w:hAnsi="宋体" w:eastAsia="宋体" w:cs="宋体"/>
          <w:b w:val="0"/>
          <w:bCs w:val="0"/>
          <w:color w:val="000000"/>
          <w:sz w:val="24"/>
          <w:szCs w:val="24"/>
          <w:highlight w:val="none"/>
          <w:u w:val="single"/>
        </w:rPr>
        <w:fldChar w:fldCharType="separate"/>
      </w:r>
      <w:r>
        <w:rPr>
          <w:rFonts w:hint="eastAsia" w:ascii="宋体" w:hAnsi="宋体" w:eastAsia="宋体" w:cs="宋体"/>
          <w:b w:val="0"/>
          <w:bCs w:val="0"/>
          <w:color w:val="000000"/>
          <w:sz w:val="24"/>
          <w:szCs w:val="24"/>
          <w:highlight w:val="none"/>
          <w:u w:val="single"/>
        </w:rPr>
        <w:fldChar w:fldCharType="end"/>
      </w:r>
      <w:r>
        <w:rPr>
          <w:rFonts w:hint="eastAsia" w:ascii="宋体" w:hAnsi="宋体" w:cs="宋体"/>
          <w:b w:val="0"/>
          <w:bCs w:val="0"/>
          <w:color w:val="000000"/>
          <w:sz w:val="24"/>
          <w:szCs w:val="24"/>
          <w:highlight w:val="none"/>
          <w:u w:val="single"/>
        </w:rPr>
        <w:t>。</w:t>
      </w:r>
    </w:p>
    <w:p w14:paraId="512496CB">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2.5</w:t>
      </w:r>
      <w:r>
        <w:rPr>
          <w:rFonts w:hint="eastAsia" w:ascii="宋体" w:hAnsi="宋体" w:cs="宋体"/>
          <w:b w:val="0"/>
          <w:bCs w:val="0"/>
          <w:color w:val="000000"/>
          <w:kern w:val="2"/>
          <w:sz w:val="24"/>
          <w:szCs w:val="24"/>
          <w:highlight w:val="none"/>
        </w:rPr>
        <w:t>提交报告</w:t>
      </w:r>
    </w:p>
    <w:p w14:paraId="7F28C126">
      <w:pPr>
        <w:snapToGrid w:val="0"/>
        <w:spacing w:line="560" w:lineRule="exact"/>
        <w:ind w:left="0" w:leftChars="0" w:right="0" w:rightChars="0" w:firstLineChars="200"/>
        <w:jc w:val="left"/>
        <w:rPr>
          <w:rFonts w:hint="eastAsia" w:ascii="宋体" w:hAnsi="宋体" w:eastAsia="宋体" w:cs="宋体"/>
          <w:b w:val="0"/>
          <w:bCs w:val="0"/>
          <w:color w:val="000000"/>
          <w:sz w:val="24"/>
          <w:szCs w:val="24"/>
          <w:highlight w:val="none"/>
          <w:u w:val="none"/>
        </w:rPr>
      </w:pPr>
      <w:r>
        <w:rPr>
          <w:rFonts w:hint="eastAsia" w:ascii="宋体" w:hAnsi="宋体" w:cs="宋体"/>
          <w:b w:val="0"/>
          <w:bCs w:val="0"/>
          <w:color w:val="000000"/>
          <w:sz w:val="24"/>
          <w:szCs w:val="24"/>
          <w:highlight w:val="none"/>
          <w:u w:val="none"/>
        </w:rPr>
        <w:t>监理人应提交报告的种类（包括监理规划、监理月报及约定的专项报告）、时间和份数：</w:t>
      </w:r>
    </w:p>
    <w:p w14:paraId="1EA80B34">
      <w:pPr>
        <w:snapToGrid w:val="0"/>
        <w:spacing w:line="560" w:lineRule="exact"/>
        <w:ind w:left="0" w:leftChars="0" w:right="0" w:rightChars="0" w:firstLineChars="200"/>
        <w:jc w:val="left"/>
        <w:rPr>
          <w:rFonts w:ascii="宋体" w:hAnsi="宋体" w:cs="宋体"/>
          <w:b w:val="0"/>
          <w:bCs w:val="0"/>
          <w:color w:val="000000"/>
          <w:kern w:val="0"/>
          <w:szCs w:val="21"/>
          <w:highlight w:val="none"/>
          <w:u w:val="single"/>
        </w:rPr>
      </w:pPr>
      <w:r>
        <w:rPr>
          <w:rFonts w:hint="eastAsia" w:ascii="宋体" w:hAnsi="宋体" w:eastAsia="宋体" w:cs="宋体"/>
          <w:b w:val="0"/>
          <w:bCs w:val="0"/>
          <w:color w:val="000000"/>
          <w:sz w:val="24"/>
          <w:szCs w:val="24"/>
          <w:highlight w:val="none"/>
          <w:u w:val="single"/>
        </w:rPr>
        <w:t xml:space="preserve">⑴ </w:t>
      </w:r>
      <w:r>
        <w:rPr>
          <w:rFonts w:hint="eastAsia" w:ascii="宋体" w:hAnsi="宋体" w:cs="宋体"/>
          <w:b w:val="0"/>
          <w:bCs w:val="0"/>
          <w:color w:val="000000"/>
          <w:sz w:val="24"/>
          <w:szCs w:val="24"/>
          <w:highlight w:val="none"/>
          <w:u w:val="single"/>
        </w:rPr>
        <w:t>监理规划（细则），在合同生效后第一次工地会议</w:t>
      </w:r>
      <w:r>
        <w:rPr>
          <w:rFonts w:hint="eastAsia" w:ascii="宋体" w:hAnsi="宋体" w:eastAsia="宋体" w:cs="宋体"/>
          <w:b w:val="0"/>
          <w:bCs w:val="0"/>
          <w:color w:val="000000"/>
          <w:sz w:val="24"/>
          <w:szCs w:val="24"/>
          <w:highlight w:val="none"/>
          <w:u w:val="single"/>
        </w:rPr>
        <w:t>7</w:t>
      </w:r>
      <w:r>
        <w:rPr>
          <w:rFonts w:hint="eastAsia" w:ascii="宋体" w:hAnsi="宋体" w:cs="宋体"/>
          <w:b w:val="0"/>
          <w:bCs w:val="0"/>
          <w:color w:val="000000"/>
          <w:sz w:val="24"/>
          <w:szCs w:val="24"/>
          <w:highlight w:val="none"/>
          <w:u w:val="single"/>
        </w:rPr>
        <w:t>天前报委托人，份数为</w:t>
      </w:r>
      <w:r>
        <w:rPr>
          <w:rFonts w:hint="eastAsia" w:ascii="宋体" w:hAnsi="宋体" w:eastAsia="宋体" w:cs="宋体"/>
          <w:b w:val="0"/>
          <w:bCs w:val="0"/>
          <w:color w:val="000000"/>
          <w:sz w:val="24"/>
          <w:szCs w:val="24"/>
          <w:highlight w:val="none"/>
          <w:u w:val="single"/>
        </w:rPr>
        <w:t>2</w:t>
      </w:r>
      <w:r>
        <w:rPr>
          <w:rFonts w:hint="eastAsia" w:ascii="宋体" w:hAnsi="宋体" w:cs="宋体"/>
          <w:b w:val="0"/>
          <w:bCs w:val="0"/>
          <w:color w:val="000000"/>
          <w:sz w:val="24"/>
          <w:szCs w:val="24"/>
          <w:highlight w:val="none"/>
          <w:u w:val="single"/>
        </w:rPr>
        <w:t>份；⑵ 监理周报，在每周五上午报送委托人，份数为</w:t>
      </w:r>
      <w:r>
        <w:rPr>
          <w:rFonts w:hint="eastAsia" w:ascii="宋体" w:hAnsi="宋体" w:eastAsia="宋体" w:cs="宋体"/>
          <w:b w:val="0"/>
          <w:bCs w:val="0"/>
          <w:color w:val="000000"/>
          <w:sz w:val="24"/>
          <w:szCs w:val="24"/>
          <w:highlight w:val="none"/>
          <w:u w:val="single"/>
        </w:rPr>
        <w:t>2</w:t>
      </w:r>
      <w:r>
        <w:rPr>
          <w:rFonts w:hint="eastAsia" w:ascii="宋体" w:hAnsi="宋体" w:cs="宋体"/>
          <w:b w:val="0"/>
          <w:bCs w:val="0"/>
          <w:color w:val="000000"/>
          <w:sz w:val="24"/>
          <w:szCs w:val="24"/>
          <w:highlight w:val="none"/>
          <w:u w:val="single"/>
        </w:rPr>
        <w:t>份；⑶ 专项报告，按相关要求报送；⑷每周工程例会记录或相关专题会议记录，在会议结束后</w:t>
      </w:r>
      <w:r>
        <w:rPr>
          <w:rFonts w:hint="eastAsia" w:ascii="宋体" w:hAnsi="宋体" w:eastAsia="宋体" w:cs="宋体"/>
          <w:b w:val="0"/>
          <w:bCs w:val="0"/>
          <w:color w:val="000000"/>
          <w:sz w:val="24"/>
          <w:szCs w:val="24"/>
          <w:highlight w:val="none"/>
          <w:u w:val="single"/>
        </w:rPr>
        <w:t>2</w:t>
      </w:r>
      <w:r>
        <w:rPr>
          <w:rFonts w:hint="eastAsia" w:ascii="宋体" w:hAnsi="宋体" w:cs="宋体"/>
          <w:b w:val="0"/>
          <w:bCs w:val="0"/>
          <w:color w:val="000000"/>
          <w:sz w:val="24"/>
          <w:szCs w:val="24"/>
          <w:highlight w:val="none"/>
          <w:u w:val="single"/>
        </w:rPr>
        <w:t>个日历天内整理完毕并发至参会单位。</w:t>
      </w:r>
      <w:r>
        <w:rPr>
          <w:highlight w:val="none"/>
        </w:rPr>
        <w:fldChar w:fldCharType="begin"/>
      </w:r>
      <w:r>
        <w:rPr>
          <w:rFonts w:ascii="宋体" w:hAnsi="宋体" w:cs="宋体"/>
          <w:b w:val="0"/>
          <w:bCs w:val="0"/>
          <w:color w:val="000000"/>
          <w:kern w:val="0"/>
          <w:szCs w:val="21"/>
          <w:highlight w:val="none"/>
          <w:u w:val="single"/>
        </w:rPr>
        <w:instrText xml:space="preserve"> AUTOTEXT  input571 \* MERGEFORMAT </w:instrText>
      </w:r>
      <w:r>
        <w:rPr>
          <w:rFonts w:ascii="宋体" w:hAnsi="宋体" w:cs="宋体"/>
          <w:b w:val="0"/>
          <w:bCs w:val="0"/>
          <w:color w:val="000000"/>
          <w:kern w:val="0"/>
          <w:szCs w:val="21"/>
          <w:highlight w:val="none"/>
          <w:u w:val="single"/>
        </w:rPr>
        <w:fldChar w:fldCharType="separate"/>
      </w:r>
      <w:r>
        <w:rPr>
          <w:rFonts w:ascii="宋体" w:hAnsi="宋体" w:cs="宋体"/>
          <w:b w:val="0"/>
          <w:bCs w:val="0"/>
          <w:color w:val="000000"/>
          <w:kern w:val="0"/>
          <w:szCs w:val="21"/>
          <w:highlight w:val="none"/>
          <w:u w:val="single"/>
        </w:rPr>
        <w:fldChar w:fldCharType="end"/>
      </w:r>
    </w:p>
    <w:p w14:paraId="3888DE21">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2.7 </w:t>
      </w:r>
      <w:r>
        <w:rPr>
          <w:rFonts w:hint="eastAsia" w:ascii="宋体" w:hAnsi="宋体" w:cs="宋体"/>
          <w:b w:val="0"/>
          <w:bCs w:val="0"/>
          <w:color w:val="000000"/>
          <w:kern w:val="2"/>
          <w:sz w:val="24"/>
          <w:szCs w:val="24"/>
          <w:highlight w:val="none"/>
        </w:rPr>
        <w:t>使用委托人的财产</w:t>
      </w:r>
    </w:p>
    <w:p w14:paraId="2B93691F">
      <w:pPr>
        <w:pageBreakBefore w:val="0"/>
        <w:kinsoku/>
        <w:overflowPunct/>
        <w:bidi w:val="0"/>
        <w:snapToGrid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cs="宋体"/>
          <w:b w:val="0"/>
          <w:bCs w:val="0"/>
          <w:color w:val="000000"/>
          <w:sz w:val="24"/>
          <w:szCs w:val="24"/>
          <w:highlight w:val="none"/>
        </w:rPr>
        <w:t>委托人无偿提供的房屋、设备的所有权属于：</w:t>
      </w:r>
      <w:r>
        <w:rPr>
          <w:rFonts w:hint="eastAsia" w:ascii="宋体" w:hAnsi="宋体" w:cs="宋体"/>
          <w:b w:val="0"/>
          <w:bCs w:val="0"/>
          <w:color w:val="000000"/>
          <w:kern w:val="2"/>
          <w:sz w:val="24"/>
          <w:szCs w:val="24"/>
          <w:highlight w:val="none"/>
          <w:u w:val="single"/>
        </w:rPr>
        <w:t>委托人</w:t>
      </w:r>
      <w:r>
        <w:rPr>
          <w:rFonts w:hint="eastAsia" w:ascii="宋体" w:hAnsi="宋体" w:cs="宋体"/>
          <w:b w:val="0"/>
          <w:bCs w:val="0"/>
          <w:color w:val="000000"/>
          <w:sz w:val="24"/>
          <w:szCs w:val="24"/>
          <w:highlight w:val="none"/>
        </w:rPr>
        <w:t>。监理人应在本合同终止后</w:t>
      </w:r>
      <w:r>
        <w:rPr>
          <w:rFonts w:hint="eastAsia" w:ascii="宋体" w:hAnsi="宋体" w:eastAsia="宋体" w:cs="宋体"/>
          <w:b w:val="0"/>
          <w:bCs w:val="0"/>
          <w:color w:val="000000"/>
          <w:kern w:val="2"/>
          <w:sz w:val="24"/>
          <w:szCs w:val="24"/>
          <w:highlight w:val="none"/>
          <w:u w:val="single"/>
        </w:rPr>
        <w:t xml:space="preserve">90 </w:t>
      </w:r>
      <w:r>
        <w:rPr>
          <w:rFonts w:hint="eastAsia" w:ascii="宋体" w:hAnsi="宋体" w:cs="宋体"/>
          <w:b w:val="0"/>
          <w:bCs w:val="0"/>
          <w:color w:val="000000"/>
          <w:sz w:val="24"/>
          <w:szCs w:val="24"/>
          <w:highlight w:val="none"/>
        </w:rPr>
        <w:t>天内移交委托人无偿提供的房屋、设备。</w:t>
      </w:r>
    </w:p>
    <w:p w14:paraId="31FBE4F1">
      <w:pPr>
        <w:jc w:val="center"/>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3 </w:t>
      </w:r>
      <w:r>
        <w:rPr>
          <w:rFonts w:hint="eastAsia" w:ascii="宋体" w:hAnsi="宋体" w:cs="宋体"/>
          <w:b w:val="0"/>
          <w:bCs w:val="0"/>
          <w:color w:val="000000"/>
          <w:sz w:val="24"/>
          <w:szCs w:val="24"/>
          <w:highlight w:val="none"/>
        </w:rPr>
        <w:t>委托人义务</w:t>
      </w:r>
    </w:p>
    <w:p w14:paraId="3D70AE10">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3.6 </w:t>
      </w:r>
      <w:r>
        <w:rPr>
          <w:rFonts w:hint="eastAsia" w:ascii="宋体" w:hAnsi="宋体" w:cs="宋体"/>
          <w:b w:val="0"/>
          <w:bCs w:val="0"/>
          <w:color w:val="000000"/>
          <w:kern w:val="2"/>
          <w:sz w:val="24"/>
          <w:szCs w:val="24"/>
          <w:highlight w:val="none"/>
        </w:rPr>
        <w:t>答复</w:t>
      </w:r>
    </w:p>
    <w:p w14:paraId="4DAB448F">
      <w:pPr>
        <w:pageBreakBefore w:val="0"/>
        <w:kinsoku/>
        <w:overflowPunct/>
        <w:bidi w:val="0"/>
        <w:snapToGrid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委托人同意在10个工作日内，对监理人书面提交并要求做出决定的事宜给予书面答复。委托人逾期未答复的，不适用通用条款第3.6条"逾期未答复的，视为委托人认可"的约定，监理人应再次书面提请委托人答复；涉及工程变更、费用增加、工期调整、质量安全责任认定等重大事项，非经委托人书面同意，监理人不得实施或向承包人发布相应指令。</w:t>
      </w:r>
    </w:p>
    <w:p w14:paraId="6329B475">
      <w:pPr>
        <w:jc w:val="center"/>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4 </w:t>
      </w:r>
      <w:r>
        <w:rPr>
          <w:rFonts w:hint="eastAsia" w:ascii="宋体" w:hAnsi="宋体" w:cs="宋体"/>
          <w:b w:val="0"/>
          <w:bCs w:val="0"/>
          <w:color w:val="000000"/>
          <w:sz w:val="24"/>
          <w:szCs w:val="24"/>
          <w:highlight w:val="none"/>
        </w:rPr>
        <w:t>违约责任</w:t>
      </w:r>
    </w:p>
    <w:p w14:paraId="53073245">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4.1 </w:t>
      </w:r>
      <w:r>
        <w:rPr>
          <w:rFonts w:hint="eastAsia" w:ascii="宋体" w:hAnsi="宋体" w:cs="宋体"/>
          <w:b w:val="0"/>
          <w:bCs w:val="0"/>
          <w:color w:val="000000"/>
          <w:kern w:val="2"/>
          <w:sz w:val="24"/>
          <w:szCs w:val="24"/>
          <w:highlight w:val="none"/>
        </w:rPr>
        <w:t>监理人的违约责任</w:t>
      </w:r>
    </w:p>
    <w:p w14:paraId="2C4F14EC">
      <w:pPr>
        <w:pageBreakBefore w:val="0"/>
        <w:kinsoku/>
        <w:overflowPunct/>
        <w:bidi w:val="0"/>
        <w:snapToGrid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4.1.1</w:t>
      </w:r>
      <w:r>
        <w:rPr>
          <w:rFonts w:hint="eastAsia" w:ascii="宋体" w:hAnsi="宋体" w:cs="宋体"/>
          <w:b w:val="0"/>
          <w:bCs w:val="0"/>
          <w:color w:val="000000"/>
          <w:sz w:val="24"/>
          <w:szCs w:val="24"/>
          <w:highlight w:val="none"/>
        </w:rPr>
        <w:t>监理人赔偿金额按下列方法确定：</w:t>
      </w:r>
    </w:p>
    <w:p w14:paraId="7470B328">
      <w:pPr>
        <w:pageBreakBefore w:val="0"/>
        <w:kinsoku/>
        <w:overflowPunct/>
        <w:bidi w:val="0"/>
        <w:snapToGrid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cs="宋体"/>
          <w:b w:val="0"/>
          <w:bCs w:val="0"/>
          <w:color w:val="000000"/>
          <w:sz w:val="24"/>
          <w:szCs w:val="24"/>
          <w:highlight w:val="none"/>
          <w:u w:val="single"/>
        </w:rPr>
        <w:t>赔偿金＝直接经济损失</w:t>
      </w:r>
      <w:r>
        <w:rPr>
          <w:rFonts w:hint="eastAsia" w:ascii="宋体" w:hAnsi="宋体" w:eastAsia="宋体" w:cs="宋体"/>
          <w:b w:val="0"/>
          <w:bCs w:val="0"/>
          <w:color w:val="000000"/>
          <w:sz w:val="24"/>
          <w:szCs w:val="24"/>
          <w:highlight w:val="none"/>
          <w:u w:val="single"/>
        </w:rPr>
        <w:t>×</w:t>
      </w:r>
      <w:r>
        <w:rPr>
          <w:rFonts w:hint="eastAsia" w:ascii="宋体" w:hAnsi="宋体" w:cs="宋体"/>
          <w:b w:val="0"/>
          <w:bCs w:val="0"/>
          <w:color w:val="000000"/>
          <w:sz w:val="24"/>
          <w:szCs w:val="24"/>
          <w:highlight w:val="none"/>
          <w:u w:val="single"/>
        </w:rPr>
        <w:t>正常工作酬金</w:t>
      </w:r>
      <w:r>
        <w:rPr>
          <w:rFonts w:hint="eastAsia" w:ascii="宋体" w:hAnsi="宋体" w:eastAsia="宋体" w:cs="宋体"/>
          <w:b w:val="0"/>
          <w:bCs w:val="0"/>
          <w:color w:val="000000"/>
          <w:sz w:val="24"/>
          <w:szCs w:val="24"/>
          <w:highlight w:val="none"/>
          <w:u w:val="single"/>
        </w:rPr>
        <w:t>÷</w:t>
      </w:r>
      <w:r>
        <w:rPr>
          <w:rFonts w:hint="eastAsia" w:ascii="宋体" w:hAnsi="宋体" w:cs="宋体"/>
          <w:b w:val="0"/>
          <w:bCs w:val="0"/>
          <w:color w:val="000000"/>
          <w:sz w:val="24"/>
          <w:szCs w:val="24"/>
          <w:highlight w:val="none"/>
          <w:u w:val="single"/>
        </w:rPr>
        <w:t>工程概算投资额（或建筑安装工程费）因监理人故意或者重大过失（包括但不限于与承包人串通、弄虚作假、伪造或者冒名签认、越权签发指令、明知存在重大质量安全隐患而不报告）造成委托人损失的，不适用上述计算方法，监理人应就委托人的实际损失全额赔偿。</w:t>
      </w:r>
    </w:p>
    <w:p w14:paraId="12264F07">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4.2 </w:t>
      </w:r>
      <w:r>
        <w:rPr>
          <w:rFonts w:hint="eastAsia" w:ascii="宋体" w:hAnsi="宋体" w:cs="宋体"/>
          <w:b w:val="0"/>
          <w:bCs w:val="0"/>
          <w:color w:val="000000"/>
          <w:kern w:val="2"/>
          <w:sz w:val="24"/>
          <w:szCs w:val="24"/>
          <w:highlight w:val="none"/>
        </w:rPr>
        <w:t>委托人的违约责任</w:t>
      </w:r>
    </w:p>
    <w:p w14:paraId="5BFA9C61">
      <w:pPr>
        <w:pStyle w:val="187"/>
        <w:spacing w:before="20" w:after="20" w:line="560" w:lineRule="exact"/>
        <w:ind w:left="0" w:leftChars="0" w:right="0" w:rightChars="0"/>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u w:val="none"/>
        </w:rPr>
        <w:t xml:space="preserve">4.2.2 </w:t>
      </w:r>
      <w:r>
        <w:rPr>
          <w:rFonts w:hint="eastAsia" w:ascii="宋体" w:hAnsi="宋体" w:cs="宋体"/>
          <w:b w:val="0"/>
          <w:bCs w:val="0"/>
          <w:color w:val="000000"/>
          <w:kern w:val="2"/>
          <w:sz w:val="24"/>
          <w:szCs w:val="24"/>
          <w:highlight w:val="none"/>
          <w:u w:val="none"/>
        </w:rPr>
        <w:t>委托人向监理人的索赔不成立时，应赔偿监理人由此引起的费用：</w:t>
      </w:r>
      <w:r>
        <w:rPr>
          <w:rFonts w:hint="eastAsia" w:ascii="宋体" w:hAnsi="宋体" w:eastAsia="宋体" w:cs="宋体"/>
          <w:b w:val="0"/>
          <w:bCs w:val="0"/>
          <w:color w:val="000000"/>
          <w:kern w:val="2"/>
          <w:sz w:val="24"/>
          <w:szCs w:val="24"/>
          <w:highlight w:val="none"/>
          <w:u w:val="single"/>
        </w:rPr>
        <w:t>/</w:t>
      </w:r>
      <w:r>
        <w:rPr>
          <w:rFonts w:hint="eastAsia" w:ascii="宋体" w:hAnsi="宋体" w:eastAsia="宋体" w:cs="宋体"/>
          <w:b w:val="0"/>
          <w:bCs w:val="0"/>
          <w:color w:val="000000"/>
          <w:kern w:val="2"/>
          <w:sz w:val="24"/>
          <w:szCs w:val="24"/>
          <w:highlight w:val="none"/>
          <w:u w:val="single"/>
        </w:rPr>
        <w:tab/>
      </w:r>
      <w:r>
        <w:rPr>
          <w:rFonts w:hint="eastAsia" w:ascii="宋体" w:hAnsi="宋体" w:cs="宋体"/>
          <w:b w:val="0"/>
          <w:bCs w:val="0"/>
          <w:color w:val="000000"/>
          <w:kern w:val="2"/>
          <w:sz w:val="24"/>
          <w:szCs w:val="24"/>
          <w:highlight w:val="none"/>
          <w:u w:val="none"/>
        </w:rPr>
        <w:t>。</w:t>
      </w:r>
    </w:p>
    <w:p w14:paraId="4B878E89">
      <w:pPr>
        <w:pageBreakBefore w:val="0"/>
        <w:kinsoku/>
        <w:overflowPunct/>
        <w:bidi w:val="0"/>
        <w:snapToGrid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4.2.3 </w:t>
      </w:r>
      <w:r>
        <w:rPr>
          <w:rFonts w:hint="eastAsia" w:ascii="宋体" w:hAnsi="宋体" w:cs="宋体"/>
          <w:b w:val="0"/>
          <w:bCs w:val="0"/>
          <w:color w:val="000000"/>
          <w:sz w:val="24"/>
          <w:szCs w:val="24"/>
          <w:highlight w:val="none"/>
        </w:rPr>
        <w:t>委托人逾期付款利息按下列方法确定：</w:t>
      </w:r>
    </w:p>
    <w:p w14:paraId="0643E70D">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u w:val="single"/>
        </w:rPr>
      </w:pPr>
      <w:r>
        <w:rPr>
          <w:rFonts w:hint="eastAsia" w:ascii="宋体" w:hAnsi="宋体" w:eastAsia="宋体" w:cs="宋体"/>
          <w:b w:val="0"/>
          <w:bCs w:val="0"/>
          <w:color w:val="000000"/>
          <w:kern w:val="2"/>
          <w:sz w:val="24"/>
          <w:szCs w:val="24"/>
          <w:highlight w:val="none"/>
          <w:u w:val="single"/>
        </w:rPr>
        <w:t>/</w:t>
      </w:r>
    </w:p>
    <w:p w14:paraId="513EBC90">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4.3 </w:t>
      </w:r>
      <w:r>
        <w:rPr>
          <w:rFonts w:hint="eastAsia" w:ascii="宋体" w:hAnsi="宋体" w:cs="宋体"/>
          <w:b w:val="0"/>
          <w:bCs w:val="0"/>
          <w:color w:val="000000"/>
          <w:sz w:val="24"/>
          <w:szCs w:val="24"/>
          <w:highlight w:val="none"/>
        </w:rPr>
        <w:t xml:space="preserve">其他 </w:t>
      </w:r>
    </w:p>
    <w:p w14:paraId="070F755D">
      <w:pPr>
        <w:pageBreakBefore w:val="0"/>
        <w:kinsoku/>
        <w:overflowPunct/>
        <w:bidi w:val="0"/>
        <w:snapToGrid w:val="0"/>
        <w:spacing w:line="560" w:lineRule="exact"/>
        <w:ind w:left="0" w:leftChars="0" w:right="0" w:rightChars="0" w:firstLineChars="200"/>
        <w:textAlignment w:val="auto"/>
        <w:rPr>
          <w:rFonts w:hint="eastAsia"/>
          <w:b w:val="0"/>
          <w:bCs w:val="0"/>
          <w:color w:val="000000"/>
          <w:highlight w:val="none"/>
        </w:rPr>
      </w:pPr>
      <w:r>
        <w:rPr>
          <w:rFonts w:hint="eastAsia" w:ascii="宋体" w:hAnsi="宋体" w:eastAsia="宋体" w:cs="宋体"/>
          <w:b w:val="0"/>
          <w:bCs w:val="0"/>
          <w:color w:val="000000"/>
          <w:sz w:val="24"/>
          <w:szCs w:val="24"/>
          <w:highlight w:val="none"/>
        </w:rPr>
        <w:t>4.3.3</w:t>
      </w:r>
      <w:r>
        <w:rPr>
          <w:rFonts w:hint="eastAsia" w:ascii="宋体" w:hAnsi="宋体" w:cs="宋体"/>
          <w:b w:val="0"/>
          <w:bCs w:val="0"/>
          <w:color w:val="000000"/>
          <w:sz w:val="24"/>
          <w:szCs w:val="24"/>
          <w:highlight w:val="none"/>
        </w:rPr>
        <w:t>监理审核后的施工阶段（包括预算、变更等）、结算阶段的造价成果文件，经政府审计部门、造价部门或甲方审核后，核减率超过</w:t>
      </w:r>
      <w:r>
        <w:rPr>
          <w:rFonts w:hint="eastAsia" w:ascii="宋体" w:hAnsi="宋体" w:eastAsia="宋体" w:cs="宋体"/>
          <w:b w:val="0"/>
          <w:bCs w:val="0"/>
          <w:color w:val="000000"/>
          <w:sz w:val="24"/>
          <w:szCs w:val="24"/>
          <w:highlight w:val="none"/>
        </w:rPr>
        <w:t>±5%</w:t>
      </w:r>
      <w:r>
        <w:rPr>
          <w:rFonts w:hint="eastAsia" w:ascii="宋体" w:hAnsi="宋体" w:cs="宋体"/>
          <w:b w:val="0"/>
          <w:bCs w:val="0"/>
          <w:color w:val="000000"/>
          <w:sz w:val="24"/>
          <w:szCs w:val="24"/>
          <w:highlight w:val="none"/>
        </w:rPr>
        <w:t>的，将扣除监理服务费用：</w:t>
      </w:r>
      <w:r>
        <w:rPr>
          <w:rFonts w:hint="eastAsia" w:ascii="宋体" w:hAnsi="宋体" w:cs="宋体"/>
          <w:b w:val="0"/>
          <w:bCs w:val="0"/>
          <w:color w:val="000000"/>
          <w:sz w:val="24"/>
          <w:szCs w:val="24"/>
          <w:highlight w:val="none"/>
          <w:u w:val="single"/>
        </w:rPr>
        <w:t>每次支付超过部分金额的</w:t>
      </w:r>
      <w:r>
        <w:rPr>
          <w:rFonts w:hint="eastAsia" w:ascii="宋体" w:hAnsi="宋体" w:eastAsia="宋体" w:cs="宋体"/>
          <w:b w:val="0"/>
          <w:bCs w:val="0"/>
          <w:color w:val="000000"/>
          <w:sz w:val="24"/>
          <w:szCs w:val="24"/>
          <w:highlight w:val="none"/>
          <w:u w:val="single"/>
        </w:rPr>
        <w:t>5%</w:t>
      </w:r>
      <w:r>
        <w:rPr>
          <w:rFonts w:hint="eastAsia" w:ascii="宋体" w:hAnsi="宋体" w:cs="宋体"/>
          <w:b w:val="0"/>
          <w:bCs w:val="0"/>
          <w:color w:val="000000"/>
          <w:sz w:val="24"/>
          <w:szCs w:val="24"/>
          <w:highlight w:val="none"/>
          <w:u w:val="single"/>
        </w:rPr>
        <w:t>作为违约金。</w:t>
      </w:r>
    </w:p>
    <w:p w14:paraId="7D9FB242">
      <w:pPr>
        <w:jc w:val="center"/>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5</w:t>
      </w:r>
      <w:r>
        <w:rPr>
          <w:rFonts w:hint="eastAsia" w:ascii="宋体" w:hAnsi="宋体" w:cs="宋体"/>
          <w:b w:val="0"/>
          <w:bCs w:val="0"/>
          <w:color w:val="000000"/>
          <w:sz w:val="24"/>
          <w:szCs w:val="24"/>
          <w:highlight w:val="none"/>
        </w:rPr>
        <w:t>监理服务酬金的计取与支付</w:t>
      </w:r>
    </w:p>
    <w:p w14:paraId="212BFD69">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5.1 </w:t>
      </w:r>
      <w:r>
        <w:rPr>
          <w:rFonts w:hint="eastAsia" w:ascii="宋体" w:hAnsi="宋体" w:cs="宋体"/>
          <w:b w:val="0"/>
          <w:bCs w:val="0"/>
          <w:color w:val="000000"/>
          <w:kern w:val="2"/>
          <w:sz w:val="24"/>
          <w:szCs w:val="24"/>
          <w:highlight w:val="none"/>
        </w:rPr>
        <w:t>酬金计取</w:t>
      </w:r>
    </w:p>
    <w:p w14:paraId="22598291">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cs="宋体"/>
          <w:b w:val="0"/>
          <w:bCs w:val="0"/>
          <w:color w:val="000000"/>
          <w:sz w:val="24"/>
          <w:szCs w:val="24"/>
          <w:highlight w:val="none"/>
          <w:u w:val="single"/>
        </w:rPr>
        <w:t>根据《国家发改委关于进一步放开建设项目专业服务价格的通知》（发改价格〔</w:t>
      </w:r>
      <w:r>
        <w:rPr>
          <w:rFonts w:hint="eastAsia" w:ascii="宋体" w:hAnsi="宋体" w:eastAsia="宋体" w:cs="宋体"/>
          <w:b w:val="0"/>
          <w:bCs w:val="0"/>
          <w:color w:val="000000"/>
          <w:sz w:val="24"/>
          <w:szCs w:val="24"/>
          <w:highlight w:val="none"/>
          <w:u w:val="single"/>
        </w:rPr>
        <w:t>2015</w:t>
      </w:r>
      <w:r>
        <w:rPr>
          <w:rFonts w:hint="eastAsia" w:ascii="宋体" w:hAnsi="宋体" w:cs="宋体"/>
          <w:b w:val="0"/>
          <w:bCs w:val="0"/>
          <w:color w:val="000000"/>
          <w:sz w:val="24"/>
          <w:szCs w:val="24"/>
          <w:highlight w:val="none"/>
          <w:u w:val="single"/>
        </w:rPr>
        <w:t>〕</w:t>
      </w:r>
      <w:r>
        <w:rPr>
          <w:rFonts w:hint="eastAsia" w:ascii="宋体" w:hAnsi="宋体" w:eastAsia="宋体" w:cs="宋体"/>
          <w:b w:val="0"/>
          <w:bCs w:val="0"/>
          <w:color w:val="000000"/>
          <w:sz w:val="24"/>
          <w:szCs w:val="24"/>
          <w:highlight w:val="none"/>
          <w:u w:val="single"/>
        </w:rPr>
        <w:t>299</w:t>
      </w:r>
      <w:r>
        <w:rPr>
          <w:rFonts w:hint="eastAsia" w:ascii="宋体" w:hAnsi="宋体" w:cs="宋体"/>
          <w:b w:val="0"/>
          <w:bCs w:val="0"/>
          <w:color w:val="000000"/>
          <w:sz w:val="24"/>
          <w:szCs w:val="24"/>
          <w:highlight w:val="none"/>
          <w:u w:val="single"/>
        </w:rPr>
        <w:t>号），工程监理取费采用市场定价原则。</w:t>
      </w:r>
      <w:r>
        <w:rPr>
          <w:rFonts w:hint="eastAsia" w:ascii="宋体" w:hAnsi="宋体" w:cs="宋体"/>
          <w:b w:val="0"/>
          <w:bCs w:val="0"/>
          <w:color w:val="000000"/>
          <w:sz w:val="24"/>
          <w:szCs w:val="24"/>
          <w:highlight w:val="none"/>
        </w:rPr>
        <w:t>本项目</w:t>
      </w:r>
      <w:r>
        <w:rPr>
          <w:rFonts w:hint="eastAsia" w:ascii="宋体" w:hAnsi="宋体" w:cs="宋体"/>
          <w:b w:val="0"/>
          <w:bCs w:val="0"/>
          <w:color w:val="000000"/>
          <w:sz w:val="24"/>
          <w:szCs w:val="24"/>
          <w:highlight w:val="none"/>
          <w:u w:val="single"/>
        </w:rPr>
        <w:t>参照国家发展改革委、建设部联合发布的《工程监理与相关服务收费管理规定》（发改价格</w:t>
      </w:r>
      <w:r>
        <w:rPr>
          <w:rFonts w:hint="eastAsia" w:ascii="宋体" w:hAnsi="宋体" w:eastAsia="宋体" w:cs="宋体"/>
          <w:b w:val="0"/>
          <w:bCs w:val="0"/>
          <w:color w:val="000000"/>
          <w:sz w:val="24"/>
          <w:szCs w:val="24"/>
          <w:highlight w:val="none"/>
          <w:u w:val="single"/>
        </w:rPr>
        <w:t>[2007]670</w:t>
      </w:r>
      <w:r>
        <w:rPr>
          <w:rFonts w:hint="eastAsia" w:ascii="宋体" w:hAnsi="宋体" w:cs="宋体"/>
          <w:b w:val="0"/>
          <w:bCs w:val="0"/>
          <w:color w:val="000000"/>
          <w:sz w:val="24"/>
          <w:szCs w:val="24"/>
          <w:highlight w:val="none"/>
          <w:u w:val="single"/>
        </w:rPr>
        <w:t>号）文件。</w:t>
      </w:r>
    </w:p>
    <w:p w14:paraId="56B53CEF">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本合同监理服务（含保修阶段）酬金暂定</w:t>
      </w:r>
      <w:r>
        <w:rPr>
          <w:rFonts w:hint="eastAsia" w:ascii="宋体" w:hAnsi="宋体" w:eastAsia="宋体" w:cs="宋体"/>
          <w:b w:val="0"/>
          <w:bCs w:val="0"/>
          <w:color w:val="000000"/>
          <w:sz w:val="24"/>
          <w:szCs w:val="24"/>
          <w:highlight w:val="none"/>
        </w:rPr>
        <w:t>________</w:t>
      </w:r>
      <w:r>
        <w:rPr>
          <w:rFonts w:hint="eastAsia" w:ascii="宋体" w:hAnsi="宋体" w:cs="宋体"/>
          <w:b w:val="0"/>
          <w:bCs w:val="0"/>
          <w:color w:val="000000"/>
          <w:sz w:val="24"/>
          <w:szCs w:val="24"/>
          <w:highlight w:val="none"/>
        </w:rPr>
        <w:t>万元，该费用以估算建筑安装工程费</w:t>
      </w:r>
      <w:r>
        <w:rPr>
          <w:rFonts w:hint="eastAsia" w:ascii="宋体" w:hAnsi="宋体" w:eastAsia="宋体" w:cs="宋体"/>
          <w:b w:val="0"/>
          <w:bCs w:val="0"/>
          <w:color w:val="000000"/>
          <w:sz w:val="24"/>
          <w:szCs w:val="24"/>
          <w:highlight w:val="none"/>
        </w:rPr>
        <w:t>_600__</w:t>
      </w:r>
      <w:r>
        <w:rPr>
          <w:rFonts w:hint="eastAsia" w:ascii="宋体" w:hAnsi="宋体" w:cs="宋体"/>
          <w:b w:val="0"/>
          <w:bCs w:val="0"/>
          <w:color w:val="000000"/>
          <w:sz w:val="24"/>
          <w:szCs w:val="24"/>
          <w:highlight w:val="none"/>
        </w:rPr>
        <w:t>万元为基准计取。</w:t>
      </w:r>
    </w:p>
    <w:p w14:paraId="3188B83B">
      <w:pPr>
        <w:pageBreakBefore w:val="0"/>
        <w:kinsoku/>
        <w:overflowPunct/>
        <w:bidi w:val="0"/>
        <w:spacing w:line="560" w:lineRule="exact"/>
        <w:ind w:left="0" w:leftChars="0" w:right="0" w:rightChars="0" w:firstLineChars="200"/>
        <w:textAlignment w:val="auto"/>
        <w:rPr>
          <w:rFonts w:ascii="宋体" w:hAnsi="宋体" w:eastAsia="宋体" w:cs="宋体"/>
          <w:b w:val="0"/>
          <w:bCs w:val="0"/>
          <w:color w:val="000000"/>
          <w:sz w:val="24"/>
          <w:szCs w:val="24"/>
          <w:highlight w:val="none"/>
        </w:rPr>
      </w:pPr>
      <w:r>
        <w:rPr>
          <w:rFonts w:ascii="宋体" w:hAnsi="宋体" w:cs="宋体"/>
          <w:b w:val="0"/>
          <w:bCs w:val="0"/>
          <w:color w:val="000000"/>
          <w:sz w:val="24"/>
          <w:szCs w:val="24"/>
          <w:highlight w:val="none"/>
        </w:rPr>
        <w:t>计算过程如下：</w:t>
      </w:r>
    </w:p>
    <w:p w14:paraId="4E44EB4C">
      <w:pPr>
        <w:pageBreakBefore w:val="0"/>
        <w:kinsoku/>
        <w:overflowPunct/>
        <w:bidi w:val="0"/>
        <w:spacing w:line="560" w:lineRule="exact"/>
        <w:ind w:left="0" w:leftChars="0" w:right="0" w:rightChars="0" w:firstLineChars="200"/>
        <w:textAlignment w:val="auto"/>
        <w:rPr>
          <w:rFonts w:ascii="宋体" w:hAnsi="宋体" w:eastAsia="宋体" w:cs="宋体"/>
          <w:b w:val="0"/>
          <w:bCs w:val="0"/>
          <w:color w:val="000000"/>
          <w:sz w:val="24"/>
          <w:szCs w:val="24"/>
          <w:highlight w:val="none"/>
        </w:rPr>
      </w:pPr>
      <w:r>
        <w:rPr>
          <w:rFonts w:ascii="宋体" w:hAnsi="宋体" w:cs="宋体"/>
          <w:b w:val="0"/>
          <w:bCs w:val="0"/>
          <w:color w:val="000000"/>
          <w:sz w:val="24"/>
          <w:szCs w:val="24"/>
          <w:highlight w:val="none"/>
        </w:rPr>
        <w:t>监理服务酬金暂定</w:t>
      </w:r>
      <w:r>
        <w:rPr>
          <w:rFonts w:ascii="宋体" w:hAnsi="宋体" w:eastAsia="宋体" w:cs="宋体"/>
          <w:b w:val="0"/>
          <w:bCs w:val="0"/>
          <w:color w:val="000000"/>
          <w:sz w:val="24"/>
          <w:szCs w:val="24"/>
          <w:highlight w:val="none"/>
        </w:rPr>
        <w:t>(</w:t>
      </w:r>
      <w:r>
        <w:rPr>
          <w:rFonts w:ascii="宋体" w:hAnsi="宋体" w:cs="宋体"/>
          <w:b w:val="0"/>
          <w:bCs w:val="0"/>
          <w:color w:val="000000"/>
          <w:sz w:val="24"/>
          <w:szCs w:val="24"/>
          <w:highlight w:val="none"/>
        </w:rPr>
        <w:t>含保修阶段）：</w:t>
      </w:r>
      <w:r>
        <w:rPr>
          <w:rFonts w:hint="eastAsia" w:ascii="宋体" w:hAnsi="宋体" w:eastAsia="宋体" w:cs="宋体"/>
          <w:b w:val="0"/>
          <w:bCs w:val="0"/>
          <w:color w:val="000000"/>
          <w:sz w:val="24"/>
          <w:szCs w:val="24"/>
          <w:highlight w:val="none"/>
        </w:rPr>
        <w:t xml:space="preserve">________________          </w:t>
      </w:r>
    </w:p>
    <w:p w14:paraId="20C43819">
      <w:pPr>
        <w:pageBreakBefore w:val="0"/>
        <w:kinsoku/>
        <w:overflowPunct/>
        <w:bidi w:val="0"/>
        <w:spacing w:line="560" w:lineRule="exact"/>
        <w:ind w:left="0" w:leftChars="0" w:right="0" w:rightChars="0" w:firstLineChars="200"/>
        <w:textAlignment w:val="auto"/>
        <w:rPr>
          <w:rFonts w:ascii="宋体" w:hAnsi="宋体" w:eastAsia="宋体" w:cs="宋体"/>
          <w:b w:val="0"/>
          <w:bCs w:val="0"/>
          <w:color w:val="000000"/>
          <w:sz w:val="24"/>
          <w:szCs w:val="24"/>
          <w:highlight w:val="none"/>
        </w:rPr>
      </w:pPr>
      <w:r>
        <w:rPr>
          <w:rFonts w:ascii="宋体" w:hAnsi="宋体" w:cs="宋体"/>
          <w:b w:val="0"/>
          <w:bCs w:val="0"/>
          <w:color w:val="000000"/>
          <w:sz w:val="24"/>
          <w:szCs w:val="24"/>
          <w:highlight w:val="none"/>
        </w:rPr>
        <w:t>本项目专业调整系数为</w:t>
      </w:r>
      <w:r>
        <w:rPr>
          <w:rFonts w:hint="eastAsia" w:ascii="宋体" w:hAnsi="宋体" w:eastAsia="宋体" w:cs="宋体"/>
          <w:b w:val="0"/>
          <w:bCs w:val="0"/>
          <w:color w:val="000000"/>
          <w:sz w:val="24"/>
          <w:szCs w:val="24"/>
          <w:highlight w:val="none"/>
        </w:rPr>
        <w:t>__________</w:t>
      </w:r>
      <w:r>
        <w:rPr>
          <w:rFonts w:ascii="宋体" w:hAnsi="宋体" w:cs="宋体"/>
          <w:b w:val="0"/>
          <w:bCs w:val="0"/>
          <w:color w:val="000000"/>
          <w:sz w:val="24"/>
          <w:szCs w:val="24"/>
          <w:highlight w:val="none"/>
        </w:rPr>
        <w:t>，工程复杂程度调整系数为</w:t>
      </w:r>
      <w:r>
        <w:rPr>
          <w:rFonts w:hint="eastAsia" w:ascii="宋体" w:hAnsi="宋体" w:eastAsia="宋体" w:cs="宋体"/>
          <w:b w:val="0"/>
          <w:bCs w:val="0"/>
          <w:color w:val="000000"/>
          <w:sz w:val="24"/>
          <w:szCs w:val="24"/>
          <w:highlight w:val="none"/>
        </w:rPr>
        <w:t>__________</w:t>
      </w:r>
      <w:r>
        <w:rPr>
          <w:rFonts w:ascii="宋体" w:hAnsi="宋体" w:cs="宋体"/>
          <w:b w:val="0"/>
          <w:bCs w:val="0"/>
          <w:color w:val="000000"/>
          <w:sz w:val="24"/>
          <w:szCs w:val="24"/>
          <w:highlight w:val="none"/>
        </w:rPr>
        <w:t>，高程调整系数为</w:t>
      </w:r>
      <w:r>
        <w:rPr>
          <w:rFonts w:hint="eastAsia" w:ascii="宋体" w:hAnsi="宋体" w:eastAsia="宋体" w:cs="宋体"/>
          <w:b w:val="0"/>
          <w:bCs w:val="0"/>
          <w:color w:val="000000"/>
          <w:sz w:val="24"/>
          <w:szCs w:val="24"/>
          <w:highlight w:val="none"/>
        </w:rPr>
        <w:t>__________</w:t>
      </w:r>
      <w:r>
        <w:rPr>
          <w:rFonts w:ascii="宋体" w:hAnsi="宋体" w:cs="宋体"/>
          <w:b w:val="0"/>
          <w:bCs w:val="0"/>
          <w:color w:val="000000"/>
          <w:sz w:val="24"/>
          <w:szCs w:val="24"/>
          <w:highlight w:val="none"/>
        </w:rPr>
        <w:t>。</w:t>
      </w:r>
    </w:p>
    <w:p w14:paraId="1539405A">
      <w:pPr>
        <w:pageBreakBefore w:val="0"/>
        <w:kinsoku/>
        <w:overflowPunct/>
        <w:bidi w:val="0"/>
        <w:spacing w:line="560" w:lineRule="exact"/>
        <w:ind w:left="0" w:leftChars="0" w:right="0" w:rightChars="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________________________________ </w:t>
      </w:r>
    </w:p>
    <w:p w14:paraId="40E0B4C6">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施工阶段监理费：</w:t>
      </w:r>
      <w:r>
        <w:rPr>
          <w:rFonts w:hint="eastAsia" w:ascii="宋体" w:hAnsi="宋体" w:eastAsia="宋体" w:cs="宋体"/>
          <w:b w:val="0"/>
          <w:bCs w:val="0"/>
          <w:color w:val="000000"/>
          <w:sz w:val="24"/>
          <w:szCs w:val="24"/>
          <w:highlight w:val="none"/>
        </w:rPr>
        <w:t>________________________________</w:t>
      </w:r>
      <w:r>
        <w:rPr>
          <w:rFonts w:hint="eastAsia" w:ascii="宋体" w:hAnsi="宋体" w:cs="宋体"/>
          <w:b w:val="0"/>
          <w:bCs w:val="0"/>
          <w:color w:val="000000"/>
          <w:sz w:val="24"/>
          <w:szCs w:val="24"/>
          <w:highlight w:val="none"/>
        </w:rPr>
        <w:t>，</w:t>
      </w:r>
    </w:p>
    <w:p w14:paraId="0D7E3A83">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保修阶段监理费：</w:t>
      </w:r>
      <w:r>
        <w:rPr>
          <w:rFonts w:hint="eastAsia" w:ascii="宋体" w:hAnsi="宋体" w:eastAsia="宋体" w:cs="宋体"/>
          <w:b w:val="0"/>
          <w:bCs w:val="0"/>
          <w:color w:val="000000"/>
          <w:sz w:val="24"/>
          <w:szCs w:val="24"/>
          <w:highlight w:val="none"/>
        </w:rPr>
        <w:t>________________________________</w:t>
      </w:r>
      <w:r>
        <w:rPr>
          <w:rFonts w:hint="eastAsia" w:ascii="宋体" w:hAnsi="宋体" w:cs="宋体"/>
          <w:b w:val="0"/>
          <w:bCs w:val="0"/>
          <w:color w:val="000000"/>
          <w:sz w:val="24"/>
          <w:szCs w:val="24"/>
          <w:highlight w:val="none"/>
        </w:rPr>
        <w:t>，</w:t>
      </w:r>
    </w:p>
    <w:p w14:paraId="3DF62CFF">
      <w:pPr>
        <w:pageBreakBefore w:val="0"/>
        <w:kinsoku/>
        <w:overflowPunct/>
        <w:bidi w:val="0"/>
        <w:spacing w:line="560" w:lineRule="exact"/>
        <w:ind w:left="0" w:leftChars="0" w:right="0" w:rightChars="0" w:firstLineChars="200"/>
        <w:textAlignment w:val="auto"/>
        <w:rPr>
          <w:rFonts w:ascii="宋体" w:hAnsi="宋体" w:cs="宋体"/>
          <w:b w:val="0"/>
          <w:bCs w:val="0"/>
          <w:color w:val="000000"/>
          <w:sz w:val="21"/>
          <w:szCs w:val="21"/>
          <w:highlight w:val="none"/>
        </w:rPr>
      </w:pPr>
      <w:r>
        <w:rPr>
          <w:rFonts w:ascii="宋体" w:hAnsi="宋体" w:eastAsia="宋体" w:cs="宋体"/>
          <w:b w:val="0"/>
          <w:bCs w:val="0"/>
          <w:color w:val="000000"/>
          <w:sz w:val="24"/>
          <w:szCs w:val="24"/>
          <w:highlight w:val="none"/>
        </w:rPr>
        <w:t>最终的工程监理服务酬金按[2007]670号文固定取费的合同计费方式，以</w:t>
      </w:r>
      <w:r>
        <w:rPr>
          <w:rFonts w:hint="eastAsia" w:ascii="宋体" w:hAnsi="宋体" w:eastAsia="宋体" w:cs="宋体"/>
          <w:b w:val="0"/>
          <w:bCs w:val="0"/>
          <w:color w:val="000000"/>
          <w:sz w:val="24"/>
          <w:szCs w:val="24"/>
          <w:highlight w:val="none"/>
        </w:rPr>
        <w:t>经确认的施工图预算价（不含设计费、工程保险费、土方弃置受纳费）</w:t>
      </w:r>
      <w:r>
        <w:rPr>
          <w:rFonts w:ascii="宋体" w:hAnsi="宋体" w:eastAsia="宋体" w:cs="宋体"/>
          <w:b w:val="0"/>
          <w:bCs w:val="0"/>
          <w:color w:val="000000"/>
          <w:sz w:val="24"/>
          <w:szCs w:val="24"/>
          <w:highlight w:val="none"/>
        </w:rPr>
        <w:t>为</w:t>
      </w:r>
      <w:r>
        <w:rPr>
          <w:rFonts w:hint="eastAsia" w:ascii="宋体" w:hAnsi="宋体" w:cs="宋体"/>
          <w:b w:val="0"/>
          <w:bCs w:val="0"/>
          <w:color w:val="000000"/>
          <w:sz w:val="24"/>
          <w:szCs w:val="24"/>
          <w:highlight w:val="none"/>
        </w:rPr>
        <w:t>结算</w:t>
      </w:r>
      <w:r>
        <w:rPr>
          <w:rFonts w:ascii="宋体" w:hAnsi="宋体" w:cs="宋体"/>
          <w:b w:val="0"/>
          <w:bCs w:val="0"/>
          <w:color w:val="000000"/>
          <w:sz w:val="24"/>
          <w:szCs w:val="24"/>
          <w:highlight w:val="none"/>
        </w:rPr>
        <w:t>基准下浮</w:t>
      </w:r>
      <w:r>
        <w:rPr>
          <w:rFonts w:hint="eastAsia" w:ascii="宋体" w:hAnsi="宋体" w:eastAsia="宋体" w:cs="宋体"/>
          <w:b w:val="0"/>
          <w:bCs w:val="0"/>
          <w:color w:val="000000"/>
          <w:sz w:val="24"/>
          <w:szCs w:val="24"/>
          <w:highlight w:val="none"/>
        </w:rPr>
        <w:t>__________%</w:t>
      </w:r>
      <w:r>
        <w:rPr>
          <w:rFonts w:ascii="宋体" w:hAnsi="宋体" w:cs="宋体"/>
          <w:b w:val="0"/>
          <w:bCs w:val="0"/>
          <w:color w:val="000000"/>
          <w:sz w:val="24"/>
          <w:szCs w:val="24"/>
          <w:highlight w:val="none"/>
        </w:rPr>
        <w:t>计取。</w:t>
      </w:r>
    </w:p>
    <w:p w14:paraId="65D2E6C0">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5.2 </w:t>
      </w:r>
      <w:r>
        <w:rPr>
          <w:rFonts w:hint="eastAsia" w:ascii="宋体" w:hAnsi="宋体" w:cs="宋体"/>
          <w:b w:val="0"/>
          <w:bCs w:val="0"/>
          <w:color w:val="000000"/>
          <w:kern w:val="2"/>
          <w:sz w:val="24"/>
          <w:szCs w:val="24"/>
          <w:highlight w:val="none"/>
        </w:rPr>
        <w:t>酬金支付</w:t>
      </w:r>
    </w:p>
    <w:p w14:paraId="768A0E37">
      <w:pPr>
        <w:pStyle w:val="170"/>
        <w:pageBreakBefore w:val="0"/>
        <w:kinsoku/>
        <w:overflowPunct/>
        <w:bidi w:val="0"/>
        <w:spacing w:line="560" w:lineRule="exact"/>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施工阶段监理费支付方式如下：</w:t>
      </w:r>
    </w:p>
    <w:p w14:paraId="6174FF41">
      <w:pPr>
        <w:pageBreakBefore w:val="0"/>
        <w:kinsoku/>
        <w:overflowPunct/>
        <w:bidi w:val="0"/>
        <w:spacing w:line="560" w:lineRule="exact"/>
        <w:ind w:left="0" w:leftChars="0" w:right="0" w:rightChars="0" w:firstLineChars="200"/>
        <w:textAlignment w:val="auto"/>
        <w:rPr>
          <w:rFonts w:ascii="宋体" w:hAnsi="宋体" w:eastAsia="宋体" w:cs="宋体"/>
          <w:b w:val="0"/>
          <w:bCs w:val="0"/>
          <w:color w:val="000000"/>
          <w:sz w:val="24"/>
          <w:szCs w:val="24"/>
          <w:highlight w:val="none"/>
          <w:u w:val="single"/>
        </w:rPr>
      </w:pPr>
      <w:r>
        <w:rPr>
          <w:rFonts w:hint="eastAsia" w:ascii="宋体" w:hAnsi="宋体" w:eastAsia="宋体" w:cs="宋体"/>
          <w:b w:val="0"/>
          <w:bCs w:val="0"/>
          <w:color w:val="000000"/>
          <w:sz w:val="24"/>
          <w:szCs w:val="24"/>
          <w:highlight w:val="none"/>
          <w:u w:val="single"/>
        </w:rPr>
        <w:t>项目开工1个月后，支付施工阶段监理合同费的20%;完成全部施工内容并通过竣工验收后，并将所有工程过程资料(包含但不限于工程设计变更资料及其审批表等)归档完毕，支付至施工阶段监理合同费的60%，待监理合同结算完成后，支付至施工阶段监理合同费的100%;保修阶段监理合同费在工程保修期满(2年)后一次性支付。监理人应于每次申请付款时向委托人提交与付款金额一致的合规增值税专用发票及经委托人确认的工作量证明文件;监理人未提交或者所提交发票不符合规定的，委托人有权暂缓支付且不构成逾期付款，付款期限自监理人补正之日起重新起算</w:t>
      </w:r>
      <w:r>
        <w:rPr>
          <w:rFonts w:ascii="宋体" w:hAnsi="宋体" w:eastAsia="宋体" w:cs="宋体"/>
          <w:b w:val="0"/>
          <w:bCs w:val="0"/>
          <w:color w:val="000000"/>
          <w:sz w:val="24"/>
          <w:szCs w:val="24"/>
          <w:highlight w:val="none"/>
          <w:u w:val="single"/>
        </w:rPr>
        <w:t>。</w:t>
      </w:r>
    </w:p>
    <w:p w14:paraId="11AB511E">
      <w:pPr>
        <w:pStyle w:val="170"/>
        <w:pageBreakBefore w:val="0"/>
        <w:kinsoku/>
        <w:overflowPunct/>
        <w:bidi w:val="0"/>
        <w:spacing w:line="560" w:lineRule="exact"/>
        <w:ind w:right="0" w:rightChars="0" w:firstLine="0" w:firstLineChars="0"/>
        <w:jc w:val="center"/>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6 </w:t>
      </w:r>
      <w:r>
        <w:rPr>
          <w:rFonts w:hint="eastAsia" w:ascii="宋体" w:hAnsi="宋体" w:cs="宋体"/>
          <w:b w:val="0"/>
          <w:bCs w:val="0"/>
          <w:color w:val="000000"/>
          <w:sz w:val="24"/>
          <w:szCs w:val="24"/>
          <w:highlight w:val="none"/>
        </w:rPr>
        <w:t>合同生效、变更、暂停、解除与终止</w:t>
      </w:r>
    </w:p>
    <w:p w14:paraId="70A4FA11">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6.1 </w:t>
      </w:r>
      <w:r>
        <w:rPr>
          <w:rFonts w:hint="eastAsia" w:ascii="宋体" w:hAnsi="宋体" w:cs="宋体"/>
          <w:b w:val="0"/>
          <w:bCs w:val="0"/>
          <w:color w:val="000000"/>
          <w:kern w:val="2"/>
          <w:sz w:val="24"/>
          <w:szCs w:val="24"/>
          <w:highlight w:val="none"/>
        </w:rPr>
        <w:t>生效</w:t>
      </w:r>
    </w:p>
    <w:p w14:paraId="236E290A">
      <w:pPr>
        <w:pageBreakBefore w:val="0"/>
        <w:kinsoku/>
        <w:overflowPunct/>
        <w:bidi w:val="0"/>
        <w:snapToGrid w:val="0"/>
        <w:spacing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cs="宋体"/>
          <w:b w:val="0"/>
          <w:bCs w:val="0"/>
          <w:color w:val="000000"/>
          <w:sz w:val="24"/>
          <w:szCs w:val="24"/>
          <w:highlight w:val="none"/>
        </w:rPr>
        <w:t>本合同生效条件</w:t>
      </w:r>
      <w:r>
        <w:rPr>
          <w:rFonts w:hint="eastAsia" w:ascii="宋体" w:hAnsi="宋体" w:cs="宋体"/>
          <w:b w:val="0"/>
          <w:bCs w:val="0"/>
          <w:color w:val="000000"/>
          <w:kern w:val="2"/>
          <w:sz w:val="24"/>
          <w:szCs w:val="24"/>
          <w:highlight w:val="none"/>
        </w:rPr>
        <w:t>：双方签字盖章。</w:t>
      </w:r>
    </w:p>
    <w:p w14:paraId="2453A43A">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6.2</w:t>
      </w:r>
      <w:r>
        <w:rPr>
          <w:rFonts w:hint="eastAsia" w:ascii="宋体" w:hAnsi="宋体" w:cs="宋体"/>
          <w:b w:val="0"/>
          <w:bCs w:val="0"/>
          <w:color w:val="000000"/>
          <w:kern w:val="2"/>
          <w:sz w:val="24"/>
          <w:szCs w:val="24"/>
          <w:highlight w:val="none"/>
        </w:rPr>
        <w:t>变更</w:t>
      </w:r>
    </w:p>
    <w:p w14:paraId="5FE1AE90">
      <w:pPr>
        <w:pStyle w:val="170"/>
        <w:pageBreakBefore w:val="0"/>
        <w:kinsoku/>
        <w:overflowPunct/>
        <w:bidi w:val="0"/>
        <w:spacing w:line="560" w:lineRule="exact"/>
        <w:ind w:right="0" w:rightChars="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6.2.2</w:t>
      </w:r>
      <w:r>
        <w:rPr>
          <w:rFonts w:hint="eastAsia" w:ascii="宋体" w:hAnsi="宋体" w:cs="宋体"/>
          <w:b w:val="0"/>
          <w:bCs w:val="0"/>
          <w:color w:val="000000"/>
          <w:sz w:val="24"/>
          <w:szCs w:val="24"/>
          <w:highlight w:val="none"/>
        </w:rPr>
        <w:t>酬金调整</w:t>
      </w:r>
      <w:r>
        <w:rPr>
          <w:rFonts w:hint="eastAsia" w:ascii="宋体" w:hAnsi="宋体" w:eastAsia="宋体" w:cs="宋体"/>
          <w:b w:val="0"/>
          <w:bCs w:val="0"/>
          <w:color w:val="000000"/>
          <w:sz w:val="24"/>
          <w:szCs w:val="24"/>
          <w:highlight w:val="none"/>
          <w:u w:val="single"/>
        </w:rPr>
        <w:t>/</w:t>
      </w:r>
      <w:r>
        <w:rPr>
          <w:rFonts w:hint="eastAsia" w:ascii="宋体" w:hAnsi="宋体" w:cs="宋体"/>
          <w:b w:val="0"/>
          <w:bCs w:val="0"/>
          <w:color w:val="000000"/>
          <w:sz w:val="24"/>
          <w:szCs w:val="24"/>
          <w:highlight w:val="none"/>
        </w:rPr>
        <w:t>。</w:t>
      </w:r>
    </w:p>
    <w:p w14:paraId="0A149B24">
      <w:pPr>
        <w:pStyle w:val="170"/>
        <w:pageBreakBefore w:val="0"/>
        <w:kinsoku/>
        <w:overflowPunct/>
        <w:bidi w:val="0"/>
        <w:snapToGrid w:val="0"/>
        <w:spacing w:line="560" w:lineRule="exact"/>
        <w:ind w:right="0" w:rightChars="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sz w:val="24"/>
          <w:szCs w:val="24"/>
          <w:highlight w:val="none"/>
        </w:rPr>
        <w:t>6.2.3</w:t>
      </w:r>
      <w:r>
        <w:rPr>
          <w:rFonts w:hint="eastAsia" w:ascii="宋体" w:hAnsi="宋体" w:cs="宋体"/>
          <w:b w:val="0"/>
          <w:bCs w:val="0"/>
          <w:color w:val="000000"/>
          <w:sz w:val="24"/>
          <w:szCs w:val="24"/>
          <w:highlight w:val="none"/>
        </w:rPr>
        <w:t>正常工作酬金应作相应调整</w:t>
      </w:r>
      <w:r>
        <w:rPr>
          <w:rFonts w:hint="eastAsia" w:ascii="宋体" w:hAnsi="宋体" w:eastAsia="宋体" w:cs="宋体"/>
          <w:b w:val="0"/>
          <w:bCs w:val="0"/>
          <w:color w:val="000000"/>
          <w:sz w:val="24"/>
          <w:szCs w:val="24"/>
          <w:highlight w:val="none"/>
          <w:u w:val="single"/>
        </w:rPr>
        <w:t>/</w:t>
      </w:r>
      <w:r>
        <w:rPr>
          <w:rFonts w:hint="eastAsia" w:ascii="宋体" w:hAnsi="宋体" w:cs="宋体"/>
          <w:b w:val="0"/>
          <w:bCs w:val="0"/>
          <w:color w:val="000000"/>
          <w:sz w:val="24"/>
          <w:szCs w:val="24"/>
          <w:highlight w:val="none"/>
          <w:u w:val="none"/>
        </w:rPr>
        <w:t>。</w:t>
      </w:r>
    </w:p>
    <w:p w14:paraId="731B6270">
      <w:pPr>
        <w:jc w:val="center"/>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7 </w:t>
      </w:r>
      <w:r>
        <w:rPr>
          <w:rFonts w:hint="eastAsia" w:ascii="宋体" w:hAnsi="宋体" w:cs="宋体"/>
          <w:b w:val="0"/>
          <w:bCs w:val="0"/>
          <w:color w:val="000000"/>
          <w:sz w:val="24"/>
          <w:szCs w:val="24"/>
          <w:highlight w:val="none"/>
        </w:rPr>
        <w:t>争议解决</w:t>
      </w:r>
    </w:p>
    <w:p w14:paraId="43AEA3EA">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7.2 </w:t>
      </w:r>
      <w:r>
        <w:rPr>
          <w:rFonts w:hint="eastAsia" w:ascii="宋体" w:hAnsi="宋体" w:cs="宋体"/>
          <w:b w:val="0"/>
          <w:bCs w:val="0"/>
          <w:color w:val="000000"/>
          <w:kern w:val="2"/>
          <w:sz w:val="24"/>
          <w:szCs w:val="24"/>
          <w:highlight w:val="none"/>
        </w:rPr>
        <w:t>调解</w:t>
      </w:r>
    </w:p>
    <w:p w14:paraId="70DE8D59">
      <w:pPr>
        <w:pageBreakBefore w:val="0"/>
        <w:kinsoku/>
        <w:overflowPunct/>
        <w:bidi w:val="0"/>
        <w:snapToGrid w:val="0"/>
        <w:spacing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cs="宋体"/>
          <w:b w:val="0"/>
          <w:bCs w:val="0"/>
          <w:color w:val="000000"/>
          <w:sz w:val="24"/>
          <w:szCs w:val="24"/>
          <w:highlight w:val="none"/>
        </w:rPr>
        <w:t>本合同争议进行调解时，可提交</w:t>
      </w:r>
      <w:r>
        <w:rPr>
          <w:rFonts w:hint="eastAsia" w:ascii="宋体" w:hAnsi="宋体" w:cs="宋体"/>
          <w:b w:val="0"/>
          <w:bCs w:val="0"/>
          <w:color w:val="000000"/>
          <w:kern w:val="2"/>
          <w:sz w:val="24"/>
          <w:szCs w:val="24"/>
          <w:highlight w:val="none"/>
          <w:u w:val="single"/>
        </w:rPr>
        <w:t>深圳市龙岗区住房和建设局</w:t>
      </w:r>
      <w:r>
        <w:rPr>
          <w:rFonts w:hint="eastAsia" w:ascii="宋体" w:hAnsi="宋体" w:cs="宋体"/>
          <w:b w:val="0"/>
          <w:bCs w:val="0"/>
          <w:color w:val="000000"/>
          <w:kern w:val="2"/>
          <w:sz w:val="24"/>
          <w:szCs w:val="24"/>
          <w:highlight w:val="none"/>
        </w:rPr>
        <w:t>（调解人）进行调解。</w:t>
      </w:r>
    </w:p>
    <w:p w14:paraId="35693F67">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kern w:val="2"/>
          <w:sz w:val="24"/>
          <w:szCs w:val="24"/>
          <w:highlight w:val="none"/>
        </w:rPr>
        <w:t xml:space="preserve">7.3 </w:t>
      </w:r>
      <w:r>
        <w:rPr>
          <w:rFonts w:hint="eastAsia" w:ascii="宋体" w:hAnsi="宋体" w:cs="宋体"/>
          <w:b w:val="0"/>
          <w:bCs w:val="0"/>
          <w:color w:val="000000"/>
          <w:kern w:val="2"/>
          <w:sz w:val="24"/>
          <w:szCs w:val="24"/>
          <w:highlight w:val="none"/>
        </w:rPr>
        <w:t>仲裁或诉讼</w:t>
      </w:r>
      <w:r>
        <w:rPr>
          <w:rFonts w:hint="eastAsia" w:ascii="宋体" w:hAnsi="宋体" w:cs="宋体"/>
          <w:b w:val="0"/>
          <w:bCs w:val="0"/>
          <w:color w:val="000000"/>
          <w:sz w:val="24"/>
          <w:szCs w:val="24"/>
          <w:highlight w:val="none"/>
        </w:rPr>
        <w:t xml:space="preserve">   </w:t>
      </w:r>
    </w:p>
    <w:p w14:paraId="7120A1CF">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 </w:t>
      </w:r>
      <w:r>
        <w:rPr>
          <w:rFonts w:hint="eastAsia" w:ascii="宋体" w:hAnsi="宋体" w:cs="宋体"/>
          <w:b w:val="0"/>
          <w:bCs w:val="0"/>
          <w:color w:val="000000"/>
          <w:sz w:val="24"/>
          <w:szCs w:val="24"/>
          <w:highlight w:val="none"/>
        </w:rPr>
        <w:t>双方当事人同意向</w:t>
      </w:r>
      <w:r>
        <w:rPr>
          <w:rFonts w:hint="eastAsia" w:ascii="宋体" w:hAnsi="宋体" w:cs="宋体"/>
          <w:b w:val="0"/>
          <w:bCs w:val="0"/>
          <w:color w:val="000000"/>
          <w:sz w:val="24"/>
          <w:szCs w:val="24"/>
          <w:highlight w:val="none"/>
          <w:u w:val="single"/>
        </w:rPr>
        <w:t>委托人住所地</w:t>
      </w:r>
      <w:r>
        <w:rPr>
          <w:rFonts w:hint="eastAsia" w:ascii="宋体" w:hAnsi="宋体" w:cs="宋体"/>
          <w:b w:val="0"/>
          <w:bCs w:val="0"/>
          <w:color w:val="000000"/>
          <w:sz w:val="24"/>
          <w:szCs w:val="24"/>
          <w:highlight w:val="none"/>
          <w:u w:val="none"/>
        </w:rPr>
        <w:t>人</w:t>
      </w:r>
      <w:r>
        <w:rPr>
          <w:rFonts w:hint="eastAsia" w:ascii="宋体" w:hAnsi="宋体" w:cs="宋体"/>
          <w:b w:val="0"/>
          <w:bCs w:val="0"/>
          <w:color w:val="000000"/>
          <w:sz w:val="24"/>
          <w:szCs w:val="24"/>
          <w:highlight w:val="none"/>
        </w:rPr>
        <w:t>民法院提起诉讼。</w:t>
      </w:r>
    </w:p>
    <w:p w14:paraId="134E73C4">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0"/>
          <w:sz w:val="24"/>
          <w:szCs w:val="24"/>
          <w:highlight w:val="none"/>
        </w:rPr>
        <w:t>8</w:t>
      </w:r>
      <w:r>
        <w:rPr>
          <w:rFonts w:hint="eastAsia" w:ascii="宋体" w:hAnsi="宋体" w:cs="宋体"/>
          <w:b w:val="0"/>
          <w:bCs w:val="0"/>
          <w:color w:val="000000"/>
          <w:kern w:val="0"/>
          <w:sz w:val="24"/>
          <w:szCs w:val="24"/>
          <w:highlight w:val="none"/>
        </w:rPr>
        <w:t>其 他</w:t>
      </w:r>
    </w:p>
    <w:p w14:paraId="371C9EBB">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8.2</w:t>
      </w:r>
      <w:r>
        <w:rPr>
          <w:rFonts w:hint="eastAsia" w:ascii="宋体" w:hAnsi="宋体" w:cs="宋体"/>
          <w:b w:val="0"/>
          <w:bCs w:val="0"/>
          <w:color w:val="000000"/>
          <w:kern w:val="2"/>
          <w:sz w:val="24"/>
          <w:szCs w:val="24"/>
          <w:highlight w:val="none"/>
        </w:rPr>
        <w:t>检测费用</w:t>
      </w:r>
    </w:p>
    <w:p w14:paraId="3B8A1AD0">
      <w:pPr>
        <w:snapToGrid w:val="0"/>
        <w:spacing w:line="560" w:lineRule="exact"/>
        <w:ind w:left="0" w:leftChars="0" w:right="0" w:rightChars="0" w:firstLineChars="200"/>
        <w:jc w:val="left"/>
        <w:rPr>
          <w:rFonts w:hint="eastAsia" w:ascii="宋体" w:hAnsi="宋体" w:eastAsia="宋体" w:cs="宋体"/>
          <w:b w:val="0"/>
          <w:bCs w:val="0"/>
          <w:color w:val="000000"/>
          <w:sz w:val="24"/>
          <w:szCs w:val="24"/>
          <w:highlight w:val="none"/>
          <w:u w:val="single"/>
        </w:rPr>
      </w:pPr>
      <w:r>
        <w:rPr>
          <w:rFonts w:hint="eastAsia" w:ascii="宋体" w:hAnsi="宋体" w:cs="宋体"/>
          <w:b w:val="0"/>
          <w:bCs w:val="0"/>
          <w:color w:val="000000"/>
          <w:sz w:val="24"/>
          <w:szCs w:val="24"/>
          <w:highlight w:val="none"/>
          <w:u w:val="single"/>
        </w:rPr>
        <w:t>委托人应在检测工作完成后</w:t>
      </w:r>
      <w:r>
        <w:rPr>
          <w:rFonts w:hint="eastAsia" w:ascii="宋体" w:hAnsi="宋体" w:eastAsia="宋体" w:cs="宋体"/>
          <w:b w:val="0"/>
          <w:bCs w:val="0"/>
          <w:color w:val="000000"/>
          <w:sz w:val="24"/>
          <w:szCs w:val="24"/>
          <w:highlight w:val="none"/>
          <w:u w:val="single"/>
        </w:rPr>
        <w:t>28</w:t>
      </w:r>
      <w:r>
        <w:rPr>
          <w:highlight w:val="none"/>
        </w:rPr>
        <w:fldChar w:fldCharType="begin"/>
      </w:r>
      <w:r>
        <w:rPr>
          <w:rFonts w:hint="eastAsia" w:ascii="宋体" w:hAnsi="宋体" w:cs="宋体"/>
          <w:b w:val="0"/>
          <w:bCs w:val="0"/>
          <w:color w:val="000000"/>
          <w:sz w:val="24"/>
          <w:szCs w:val="24"/>
          <w:highlight w:val="none"/>
          <w:u w:val="single"/>
        </w:rPr>
        <w:instrText xml:space="preserve"> AUTOTEXT  input601 \* MERGEFORMAT </w:instrText>
      </w:r>
      <w:r>
        <w:rPr>
          <w:rFonts w:hint="eastAsia" w:ascii="宋体" w:hAnsi="宋体" w:cs="宋体"/>
          <w:b w:val="0"/>
          <w:bCs w:val="0"/>
          <w:color w:val="000000"/>
          <w:sz w:val="24"/>
          <w:szCs w:val="24"/>
          <w:highlight w:val="none"/>
          <w:u w:val="single"/>
        </w:rPr>
        <w:fldChar w:fldCharType="separate"/>
      </w:r>
      <w:r>
        <w:rPr>
          <w:rFonts w:hint="eastAsia" w:ascii="宋体" w:hAnsi="宋体" w:cs="宋体"/>
          <w:b w:val="0"/>
          <w:bCs w:val="0"/>
          <w:color w:val="000000"/>
          <w:sz w:val="24"/>
          <w:szCs w:val="24"/>
          <w:highlight w:val="none"/>
          <w:u w:val="single"/>
        </w:rPr>
        <w:fldChar w:fldCharType="end"/>
      </w:r>
      <w:r>
        <w:rPr>
          <w:rFonts w:hint="eastAsia" w:ascii="宋体" w:hAnsi="宋体" w:cs="宋体"/>
          <w:b w:val="0"/>
          <w:bCs w:val="0"/>
          <w:color w:val="000000"/>
          <w:sz w:val="24"/>
          <w:szCs w:val="24"/>
          <w:highlight w:val="none"/>
          <w:u w:val="single"/>
        </w:rPr>
        <w:t>天内支付检测费用。本工程施工阶段材料见证取样送检、平行检验等日常质量控制所发生的费用，由施工承包人承担或者已包含在签约酬金内，委托人不另行支付；仅委托人另行书面指令监理人委托第三方检测机构开展的专项检测，由委托人按实支付。</w:t>
      </w:r>
    </w:p>
    <w:p w14:paraId="3C0A529E">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8.3</w:t>
      </w:r>
      <w:r>
        <w:rPr>
          <w:rFonts w:hint="eastAsia" w:ascii="宋体" w:hAnsi="宋体" w:cs="宋体"/>
          <w:b w:val="0"/>
          <w:bCs w:val="0"/>
          <w:color w:val="000000"/>
          <w:kern w:val="2"/>
          <w:sz w:val="24"/>
          <w:szCs w:val="24"/>
          <w:highlight w:val="none"/>
        </w:rPr>
        <w:t>咨询费用</w:t>
      </w:r>
    </w:p>
    <w:p w14:paraId="1CA6671C">
      <w:pPr>
        <w:snapToGrid w:val="0"/>
        <w:spacing w:line="560" w:lineRule="exact"/>
        <w:ind w:left="0" w:leftChars="0" w:right="0" w:rightChars="0" w:firstLineChars="200"/>
        <w:jc w:val="left"/>
        <w:rPr>
          <w:rFonts w:hint="eastAsia" w:ascii="宋体" w:hAnsi="宋体" w:eastAsia="宋体" w:cs="宋体"/>
          <w:b w:val="0"/>
          <w:bCs w:val="0"/>
          <w:color w:val="000000"/>
          <w:sz w:val="24"/>
          <w:szCs w:val="24"/>
          <w:highlight w:val="none"/>
          <w:u w:val="single"/>
        </w:rPr>
      </w:pPr>
      <w:r>
        <w:rPr>
          <w:rFonts w:hint="eastAsia" w:ascii="宋体" w:hAnsi="宋体" w:cs="宋体"/>
          <w:b w:val="0"/>
          <w:bCs w:val="0"/>
          <w:color w:val="000000"/>
          <w:sz w:val="24"/>
          <w:szCs w:val="24"/>
          <w:highlight w:val="none"/>
          <w:u w:val="single"/>
        </w:rPr>
        <w:t>委托人应在咨询工作完成后</w:t>
      </w:r>
      <w:r>
        <w:rPr>
          <w:rFonts w:hint="eastAsia" w:ascii="宋体" w:hAnsi="宋体" w:eastAsia="宋体" w:cs="宋体"/>
          <w:b w:val="0"/>
          <w:bCs w:val="0"/>
          <w:color w:val="000000"/>
          <w:sz w:val="24"/>
          <w:szCs w:val="24"/>
          <w:highlight w:val="none"/>
          <w:u w:val="single"/>
        </w:rPr>
        <w:t>28</w:t>
      </w:r>
      <w:r>
        <w:rPr>
          <w:highlight w:val="none"/>
        </w:rPr>
        <w:fldChar w:fldCharType="begin"/>
      </w:r>
      <w:r>
        <w:rPr>
          <w:rFonts w:hint="eastAsia" w:ascii="宋体" w:hAnsi="宋体" w:cs="宋体"/>
          <w:b w:val="0"/>
          <w:bCs w:val="0"/>
          <w:color w:val="000000"/>
          <w:sz w:val="24"/>
          <w:szCs w:val="24"/>
          <w:highlight w:val="none"/>
          <w:u w:val="single"/>
        </w:rPr>
        <w:instrText xml:space="preserve"> AUTOTEXT  input602 \* MERGEFORMAT </w:instrText>
      </w:r>
      <w:r>
        <w:rPr>
          <w:rFonts w:hint="eastAsia" w:ascii="宋体" w:hAnsi="宋体" w:cs="宋体"/>
          <w:b w:val="0"/>
          <w:bCs w:val="0"/>
          <w:color w:val="000000"/>
          <w:sz w:val="24"/>
          <w:szCs w:val="24"/>
          <w:highlight w:val="none"/>
          <w:u w:val="single"/>
        </w:rPr>
        <w:fldChar w:fldCharType="separate"/>
      </w:r>
      <w:r>
        <w:rPr>
          <w:rFonts w:hint="eastAsia" w:ascii="宋体" w:hAnsi="宋体" w:cs="宋体"/>
          <w:b w:val="0"/>
          <w:bCs w:val="0"/>
          <w:color w:val="000000"/>
          <w:sz w:val="24"/>
          <w:szCs w:val="24"/>
          <w:highlight w:val="none"/>
          <w:u w:val="single"/>
        </w:rPr>
        <w:fldChar w:fldCharType="end"/>
      </w:r>
      <w:r>
        <w:rPr>
          <w:rFonts w:hint="eastAsia" w:ascii="宋体" w:hAnsi="宋体" w:cs="宋体"/>
          <w:b w:val="0"/>
          <w:bCs w:val="0"/>
          <w:color w:val="000000"/>
          <w:sz w:val="24"/>
          <w:szCs w:val="24"/>
          <w:highlight w:val="none"/>
          <w:u w:val="single"/>
        </w:rPr>
        <w:t>天内支付咨询费用。</w:t>
      </w:r>
    </w:p>
    <w:p w14:paraId="04684AD6">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8.4</w:t>
      </w:r>
      <w:r>
        <w:rPr>
          <w:rFonts w:hint="eastAsia" w:ascii="宋体" w:hAnsi="宋体" w:cs="宋体"/>
          <w:b w:val="0"/>
          <w:bCs w:val="0"/>
          <w:color w:val="000000"/>
          <w:kern w:val="2"/>
          <w:sz w:val="24"/>
          <w:szCs w:val="24"/>
          <w:highlight w:val="none"/>
        </w:rPr>
        <w:t>奖励</w:t>
      </w:r>
    </w:p>
    <w:p w14:paraId="15CC3699">
      <w:pPr>
        <w:snapToGrid w:val="0"/>
        <w:spacing w:line="560" w:lineRule="exact"/>
        <w:ind w:left="0" w:leftChars="0" w:right="0" w:rightChars="0" w:firstLineChars="200"/>
        <w:jc w:val="left"/>
        <w:rPr>
          <w:rFonts w:hint="eastAsia" w:ascii="宋体" w:hAnsi="宋体" w:eastAsia="宋体" w:cs="宋体"/>
          <w:b w:val="0"/>
          <w:bCs w:val="0"/>
          <w:color w:val="000000"/>
          <w:sz w:val="24"/>
          <w:szCs w:val="24"/>
          <w:highlight w:val="none"/>
          <w:u w:val="single"/>
        </w:rPr>
      </w:pPr>
      <w:r>
        <w:rPr>
          <w:rFonts w:hint="eastAsia" w:ascii="宋体" w:hAnsi="宋体" w:cs="宋体"/>
          <w:b w:val="0"/>
          <w:bCs w:val="0"/>
          <w:color w:val="000000"/>
          <w:sz w:val="24"/>
          <w:szCs w:val="24"/>
          <w:highlight w:val="none"/>
          <w:u w:val="single"/>
        </w:rPr>
        <w:t>合理化建议的奖励金额按下列方法确定为：</w:t>
      </w:r>
    </w:p>
    <w:p w14:paraId="6E179EE1">
      <w:pPr>
        <w:snapToGrid w:val="0"/>
        <w:spacing w:line="560" w:lineRule="exact"/>
        <w:ind w:left="0" w:leftChars="0" w:right="0" w:rightChars="0" w:firstLineChars="200"/>
        <w:jc w:val="left"/>
        <w:rPr>
          <w:rFonts w:hint="eastAsia" w:ascii="宋体" w:hAnsi="宋体" w:eastAsia="宋体" w:cs="宋体"/>
          <w:b w:val="0"/>
          <w:bCs w:val="0"/>
          <w:color w:val="000000"/>
          <w:sz w:val="24"/>
          <w:szCs w:val="24"/>
          <w:highlight w:val="none"/>
          <w:u w:val="single"/>
        </w:rPr>
      </w:pPr>
      <w:r>
        <w:rPr>
          <w:rFonts w:hint="eastAsia" w:ascii="宋体" w:hAnsi="宋体" w:eastAsia="宋体" w:cs="宋体"/>
          <w:b w:val="0"/>
          <w:bCs w:val="0"/>
          <w:color w:val="000000"/>
          <w:sz w:val="24"/>
          <w:szCs w:val="24"/>
          <w:highlight w:val="none"/>
          <w:u w:val="single"/>
        </w:rPr>
        <w:t xml:space="preserve">  /     </w:t>
      </w:r>
    </w:p>
    <w:p w14:paraId="34F776C3">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8.6</w:t>
      </w:r>
      <w:r>
        <w:rPr>
          <w:rFonts w:hint="eastAsia" w:ascii="宋体" w:hAnsi="宋体" w:cs="宋体"/>
          <w:b w:val="0"/>
          <w:bCs w:val="0"/>
          <w:color w:val="000000"/>
          <w:kern w:val="2"/>
          <w:sz w:val="24"/>
          <w:szCs w:val="24"/>
          <w:highlight w:val="none"/>
        </w:rPr>
        <w:t>保密</w:t>
      </w:r>
    </w:p>
    <w:p w14:paraId="20B39EF4">
      <w:pPr>
        <w:snapToGrid w:val="0"/>
        <w:spacing w:line="560" w:lineRule="exact"/>
        <w:ind w:left="0" w:leftChars="0" w:right="0" w:rightChars="0" w:firstLineChars="200"/>
        <w:jc w:val="left"/>
        <w:rPr>
          <w:rFonts w:hint="eastAsia" w:ascii="宋体" w:hAnsi="宋体" w:eastAsia="宋体" w:cs="宋体"/>
          <w:b w:val="0"/>
          <w:bCs w:val="0"/>
          <w:color w:val="000000"/>
          <w:sz w:val="24"/>
          <w:szCs w:val="24"/>
          <w:highlight w:val="none"/>
          <w:u w:val="single"/>
        </w:rPr>
      </w:pPr>
      <w:r>
        <w:rPr>
          <w:rFonts w:hint="eastAsia" w:ascii="宋体" w:hAnsi="宋体" w:cs="宋体"/>
          <w:b w:val="0"/>
          <w:bCs w:val="0"/>
          <w:color w:val="000000"/>
          <w:sz w:val="24"/>
          <w:szCs w:val="24"/>
          <w:highlight w:val="none"/>
          <w:u w:val="single"/>
        </w:rPr>
        <w:t>委托人申明的保密事项和期限：在本合同期内及合同终止后，监理人应对涉及本工程监理项目的任何信息、合同、资料、数据、或获取、知悉对方的商业秘密进行保密，未经委托人同意，监理人不得将涉及本工程的有关监理与服务的资料转让或透露给第三人，但法律法规和司法机构或其他有权机构书面要求披露除外；保密期限为本工程设计使用年限，本款在合同终止后仍然有效</w:t>
      </w:r>
      <w:r>
        <w:rPr>
          <w:highlight w:val="none"/>
        </w:rPr>
        <w:fldChar w:fldCharType="begin"/>
      </w:r>
      <w:r>
        <w:rPr>
          <w:rFonts w:hint="eastAsia" w:ascii="宋体" w:hAnsi="宋体" w:cs="宋体"/>
          <w:b w:val="0"/>
          <w:bCs w:val="0"/>
          <w:color w:val="000000"/>
          <w:sz w:val="24"/>
          <w:szCs w:val="24"/>
          <w:highlight w:val="none"/>
          <w:u w:val="single"/>
        </w:rPr>
        <w:instrText xml:space="preserve"> AUTOTEXT  input174 \* MERGEFORMAT </w:instrText>
      </w:r>
      <w:r>
        <w:rPr>
          <w:rFonts w:hint="eastAsia" w:ascii="宋体" w:hAnsi="宋体" w:cs="宋体"/>
          <w:b w:val="0"/>
          <w:bCs w:val="0"/>
          <w:color w:val="000000"/>
          <w:sz w:val="24"/>
          <w:szCs w:val="24"/>
          <w:highlight w:val="none"/>
          <w:u w:val="single"/>
        </w:rPr>
        <w:fldChar w:fldCharType="separate"/>
      </w:r>
      <w:r>
        <w:rPr>
          <w:rFonts w:hint="eastAsia" w:ascii="宋体" w:hAnsi="宋体" w:cs="宋体"/>
          <w:b w:val="0"/>
          <w:bCs w:val="0"/>
          <w:color w:val="000000"/>
          <w:sz w:val="24"/>
          <w:szCs w:val="24"/>
          <w:highlight w:val="none"/>
          <w:u w:val="single"/>
        </w:rPr>
        <w:fldChar w:fldCharType="end"/>
      </w:r>
      <w:r>
        <w:rPr>
          <w:rFonts w:hint="eastAsia" w:ascii="宋体" w:hAnsi="宋体" w:cs="宋体"/>
          <w:b w:val="0"/>
          <w:bCs w:val="0"/>
          <w:color w:val="000000"/>
          <w:sz w:val="24"/>
          <w:szCs w:val="24"/>
          <w:highlight w:val="none"/>
          <w:u w:val="single"/>
        </w:rPr>
        <w:t>。</w:t>
      </w:r>
    </w:p>
    <w:p w14:paraId="4411577D">
      <w:pPr>
        <w:snapToGrid w:val="0"/>
        <w:spacing w:line="560" w:lineRule="exact"/>
        <w:ind w:left="0" w:leftChars="0" w:right="0" w:rightChars="0" w:firstLineChars="200"/>
        <w:jc w:val="left"/>
        <w:rPr>
          <w:rFonts w:hint="eastAsia" w:ascii="宋体" w:hAnsi="宋体" w:eastAsia="宋体" w:cs="宋体"/>
          <w:b w:val="0"/>
          <w:bCs w:val="0"/>
          <w:color w:val="000000"/>
          <w:sz w:val="24"/>
          <w:szCs w:val="24"/>
          <w:highlight w:val="none"/>
          <w:u w:val="single"/>
        </w:rPr>
      </w:pPr>
      <w:r>
        <w:rPr>
          <w:rFonts w:hint="eastAsia" w:ascii="宋体" w:hAnsi="宋体" w:cs="宋体"/>
          <w:b w:val="0"/>
          <w:bCs w:val="0"/>
          <w:color w:val="000000"/>
          <w:sz w:val="24"/>
          <w:szCs w:val="24"/>
          <w:highlight w:val="none"/>
          <w:u w:val="single"/>
        </w:rPr>
        <w:t>监理人申明的保密事项和期限：</w:t>
      </w:r>
      <w:r>
        <w:rPr>
          <w:rFonts w:hint="eastAsia" w:ascii="宋体" w:hAnsi="宋体" w:eastAsia="宋体" w:cs="宋体"/>
          <w:b w:val="0"/>
          <w:bCs w:val="0"/>
          <w:color w:val="000000"/>
          <w:sz w:val="24"/>
          <w:szCs w:val="24"/>
          <w:highlight w:val="none"/>
          <w:u w:val="single"/>
        </w:rPr>
        <w:t>/</w:t>
      </w:r>
      <w:r>
        <w:rPr>
          <w:highlight w:val="none"/>
        </w:rPr>
        <w:fldChar w:fldCharType="begin"/>
      </w:r>
      <w:r>
        <w:rPr>
          <w:rFonts w:hint="eastAsia" w:ascii="宋体" w:hAnsi="宋体" w:cs="宋体"/>
          <w:b w:val="0"/>
          <w:bCs w:val="0"/>
          <w:color w:val="000000"/>
          <w:sz w:val="24"/>
          <w:szCs w:val="24"/>
          <w:highlight w:val="none"/>
          <w:u w:val="single"/>
        </w:rPr>
        <w:instrText xml:space="preserve"> AUTOTEXT  input175 \* MERGEFORMAT </w:instrText>
      </w:r>
      <w:r>
        <w:rPr>
          <w:rFonts w:hint="eastAsia" w:ascii="宋体" w:hAnsi="宋体" w:cs="宋体"/>
          <w:b w:val="0"/>
          <w:bCs w:val="0"/>
          <w:color w:val="000000"/>
          <w:sz w:val="24"/>
          <w:szCs w:val="24"/>
          <w:highlight w:val="none"/>
          <w:u w:val="single"/>
        </w:rPr>
        <w:fldChar w:fldCharType="separate"/>
      </w:r>
      <w:r>
        <w:rPr>
          <w:rFonts w:hint="eastAsia" w:ascii="宋体" w:hAnsi="宋体" w:cs="宋体"/>
          <w:b w:val="0"/>
          <w:bCs w:val="0"/>
          <w:color w:val="000000"/>
          <w:sz w:val="24"/>
          <w:szCs w:val="24"/>
          <w:highlight w:val="none"/>
          <w:u w:val="single"/>
        </w:rPr>
        <w:fldChar w:fldCharType="end"/>
      </w:r>
      <w:r>
        <w:rPr>
          <w:rFonts w:hint="eastAsia" w:ascii="宋体" w:hAnsi="宋体" w:cs="宋体"/>
          <w:b w:val="0"/>
          <w:bCs w:val="0"/>
          <w:color w:val="000000"/>
          <w:sz w:val="24"/>
          <w:szCs w:val="24"/>
          <w:highlight w:val="none"/>
          <w:u w:val="single"/>
        </w:rPr>
        <w:t>。</w:t>
      </w:r>
    </w:p>
    <w:p w14:paraId="17782411">
      <w:pPr>
        <w:snapToGrid w:val="0"/>
        <w:spacing w:line="560" w:lineRule="exact"/>
        <w:ind w:left="0" w:leftChars="0" w:right="0" w:rightChars="0" w:firstLineChars="200"/>
        <w:jc w:val="left"/>
        <w:rPr>
          <w:rFonts w:hint="eastAsia" w:ascii="宋体" w:hAnsi="宋体" w:eastAsia="宋体" w:cs="宋体"/>
          <w:b w:val="0"/>
          <w:bCs w:val="0"/>
          <w:color w:val="000000"/>
          <w:sz w:val="24"/>
          <w:szCs w:val="24"/>
          <w:highlight w:val="none"/>
          <w:u w:val="single"/>
        </w:rPr>
      </w:pPr>
      <w:r>
        <w:rPr>
          <w:rFonts w:hint="eastAsia" w:ascii="宋体" w:hAnsi="宋体" w:cs="宋体"/>
          <w:b w:val="0"/>
          <w:bCs w:val="0"/>
          <w:color w:val="000000"/>
          <w:sz w:val="24"/>
          <w:szCs w:val="24"/>
          <w:highlight w:val="none"/>
          <w:u w:val="single"/>
        </w:rPr>
        <w:t>第三方申明的保密事项和期限：</w:t>
      </w:r>
      <w:r>
        <w:rPr>
          <w:rFonts w:hint="eastAsia" w:ascii="宋体" w:hAnsi="宋体" w:eastAsia="宋体" w:cs="宋体"/>
          <w:b w:val="0"/>
          <w:bCs w:val="0"/>
          <w:color w:val="000000"/>
          <w:sz w:val="24"/>
          <w:szCs w:val="24"/>
          <w:highlight w:val="none"/>
          <w:u w:val="single"/>
        </w:rPr>
        <w:t>/</w:t>
      </w:r>
      <w:r>
        <w:rPr>
          <w:highlight w:val="none"/>
        </w:rPr>
        <w:fldChar w:fldCharType="begin"/>
      </w:r>
      <w:r>
        <w:rPr>
          <w:rFonts w:hint="eastAsia" w:ascii="宋体" w:hAnsi="宋体" w:cs="宋体"/>
          <w:b w:val="0"/>
          <w:bCs w:val="0"/>
          <w:color w:val="000000"/>
          <w:sz w:val="24"/>
          <w:szCs w:val="24"/>
          <w:highlight w:val="none"/>
          <w:u w:val="single"/>
        </w:rPr>
        <w:instrText xml:space="preserve"> AUTOTEXT  input176 \* MERGEFORMAT </w:instrText>
      </w:r>
      <w:r>
        <w:rPr>
          <w:rFonts w:hint="eastAsia" w:ascii="宋体" w:hAnsi="宋体" w:cs="宋体"/>
          <w:b w:val="0"/>
          <w:bCs w:val="0"/>
          <w:color w:val="000000"/>
          <w:sz w:val="24"/>
          <w:szCs w:val="24"/>
          <w:highlight w:val="none"/>
          <w:u w:val="single"/>
        </w:rPr>
        <w:fldChar w:fldCharType="separate"/>
      </w:r>
      <w:r>
        <w:rPr>
          <w:rFonts w:hint="eastAsia" w:ascii="宋体" w:hAnsi="宋体" w:cs="宋体"/>
          <w:b w:val="0"/>
          <w:bCs w:val="0"/>
          <w:color w:val="000000"/>
          <w:sz w:val="24"/>
          <w:szCs w:val="24"/>
          <w:highlight w:val="none"/>
          <w:u w:val="single"/>
        </w:rPr>
        <w:fldChar w:fldCharType="end"/>
      </w:r>
      <w:r>
        <w:rPr>
          <w:rFonts w:hint="eastAsia" w:ascii="宋体" w:hAnsi="宋体" w:cs="宋体"/>
          <w:b w:val="0"/>
          <w:bCs w:val="0"/>
          <w:color w:val="000000"/>
          <w:sz w:val="24"/>
          <w:szCs w:val="24"/>
          <w:highlight w:val="none"/>
          <w:u w:val="single"/>
        </w:rPr>
        <w:t>。</w:t>
      </w:r>
    </w:p>
    <w:p w14:paraId="57CC4730">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8.8</w:t>
      </w:r>
      <w:r>
        <w:rPr>
          <w:rFonts w:hint="eastAsia" w:ascii="宋体" w:hAnsi="宋体" w:cs="宋体"/>
          <w:b w:val="0"/>
          <w:bCs w:val="0"/>
          <w:color w:val="000000"/>
          <w:kern w:val="2"/>
          <w:sz w:val="24"/>
          <w:szCs w:val="24"/>
          <w:highlight w:val="none"/>
        </w:rPr>
        <w:t>著作权</w:t>
      </w:r>
    </w:p>
    <w:p w14:paraId="7C5B1433">
      <w:pPr>
        <w:snapToGrid w:val="0"/>
        <w:spacing w:line="560" w:lineRule="exact"/>
        <w:ind w:left="0" w:leftChars="0" w:right="0" w:rightChars="0" w:firstLineChars="200"/>
        <w:jc w:val="left"/>
        <w:rPr>
          <w:rFonts w:hint="eastAsia" w:ascii="宋体" w:hAnsi="宋体" w:eastAsia="宋体" w:cs="宋体"/>
          <w:b w:val="0"/>
          <w:bCs w:val="0"/>
          <w:color w:val="000000"/>
          <w:sz w:val="24"/>
          <w:szCs w:val="24"/>
          <w:highlight w:val="none"/>
          <w:u w:val="single"/>
        </w:rPr>
      </w:pPr>
      <w:r>
        <w:rPr>
          <w:rFonts w:hint="eastAsia" w:ascii="宋体" w:hAnsi="宋体" w:cs="宋体"/>
          <w:b w:val="0"/>
          <w:bCs w:val="0"/>
          <w:color w:val="000000"/>
          <w:sz w:val="24"/>
          <w:szCs w:val="24"/>
          <w:highlight w:val="none"/>
          <w:u w:val="single"/>
        </w:rPr>
        <w:t>监理人在本合同履行期间及本合同终止后两年内出版涉及本工程的有关监理的资料的限制条件：</w:t>
      </w:r>
    </w:p>
    <w:p w14:paraId="0C068F59">
      <w:pPr>
        <w:snapToGrid w:val="0"/>
        <w:spacing w:line="560" w:lineRule="exact"/>
        <w:ind w:left="0" w:leftChars="0" w:right="0" w:rightChars="0" w:firstLineChars="200"/>
        <w:jc w:val="left"/>
        <w:rPr>
          <w:rFonts w:hint="eastAsia" w:ascii="宋体" w:hAnsi="宋体" w:eastAsia="宋体" w:cs="宋体"/>
          <w:b w:val="0"/>
          <w:bCs w:val="0"/>
          <w:color w:val="000000"/>
          <w:sz w:val="24"/>
          <w:szCs w:val="24"/>
          <w:highlight w:val="none"/>
          <w:u w:val="single"/>
        </w:rPr>
      </w:pPr>
      <w:r>
        <w:rPr>
          <w:rFonts w:hint="eastAsia" w:ascii="宋体" w:hAnsi="宋体" w:cs="宋体"/>
          <w:b w:val="0"/>
          <w:bCs w:val="0"/>
          <w:color w:val="000000"/>
          <w:sz w:val="24"/>
          <w:szCs w:val="24"/>
          <w:highlight w:val="none"/>
          <w:u w:val="single"/>
        </w:rPr>
        <w:t>监理人在监理合同履行期间及监理合同终止后两年内不得出版涉及本工程的有关监理与相关服务的资料；监理合同终止之日起届满两年后，监理人应事先征得委托人的书面同意后，方可出版涉及本工程的有关监理与相关服务的资料。监理人交付的监理规划、监理实施细则、监理周报与月报、会议纪要、检查与验收记录、工程质量评估报告等全部成果文件及过程资料（含照片、影像等电子资料），委托人有权为本工程的建设、验收、备案、审计、结算、运营维护、档案管理及争议解决等目的，无偿、无期限、无地域限制地使用、复制、修改，并向有关主管部门、审计机构及司法机关提交，无需另行支付任何费用；监理人不得以其享有著作权为由予以限制。</w:t>
      </w:r>
    </w:p>
    <w:p w14:paraId="3E70E978">
      <w:pPr>
        <w:pageBreakBefore w:val="0"/>
        <w:kinsoku/>
        <w:overflowPunct/>
        <w:bidi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u w:val="single"/>
        </w:rPr>
      </w:pPr>
    </w:p>
    <w:p w14:paraId="5BAEB873">
      <w:pPr>
        <w:pageBreakBefore w:val="0"/>
        <w:kinsoku/>
        <w:overflowPunct/>
        <w:bidi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u w:val="single"/>
        </w:rPr>
      </w:pPr>
    </w:p>
    <w:p w14:paraId="5E633AD3">
      <w:pPr>
        <w:pStyle w:val="172"/>
        <w:spacing w:line="560" w:lineRule="exact"/>
        <w:rPr>
          <w:rFonts w:hint="eastAsia" w:ascii="宋体" w:hAnsi="宋体" w:eastAsia="宋体" w:cs="宋体"/>
          <w:b w:val="0"/>
          <w:bCs w:val="0"/>
          <w:color w:val="000000"/>
          <w:sz w:val="24"/>
          <w:szCs w:val="24"/>
          <w:highlight w:val="none"/>
          <w:u w:val="single"/>
        </w:rPr>
      </w:pPr>
    </w:p>
    <w:p w14:paraId="79C2D0DB">
      <w:pPr>
        <w:pStyle w:val="172"/>
        <w:spacing w:line="560" w:lineRule="exact"/>
        <w:rPr>
          <w:rFonts w:hint="eastAsia" w:ascii="宋体" w:hAnsi="宋体" w:eastAsia="宋体" w:cs="宋体"/>
          <w:b w:val="0"/>
          <w:bCs w:val="0"/>
          <w:color w:val="000000"/>
          <w:sz w:val="24"/>
          <w:szCs w:val="24"/>
          <w:highlight w:val="none"/>
          <w:u w:val="single"/>
        </w:rPr>
      </w:pPr>
    </w:p>
    <w:p w14:paraId="09DE6276">
      <w:pPr>
        <w:pStyle w:val="172"/>
        <w:spacing w:line="560" w:lineRule="exact"/>
        <w:ind w:left="0" w:leftChars="0" w:right="0" w:rightChars="0" w:firstLine="0" w:firstLineChars="0"/>
        <w:rPr>
          <w:rFonts w:hint="eastAsia" w:ascii="宋体" w:hAnsi="宋体" w:eastAsia="宋体" w:cs="宋体"/>
          <w:b w:val="0"/>
          <w:bCs w:val="0"/>
          <w:color w:val="000000"/>
          <w:sz w:val="24"/>
          <w:szCs w:val="24"/>
          <w:highlight w:val="none"/>
          <w:u w:val="single"/>
        </w:rPr>
      </w:pPr>
    </w:p>
    <w:p w14:paraId="48EF577E">
      <w:pPr>
        <w:pStyle w:val="172"/>
        <w:spacing w:line="560" w:lineRule="exact"/>
        <w:rPr>
          <w:rFonts w:hint="eastAsia" w:ascii="宋体" w:hAnsi="宋体" w:eastAsia="宋体" w:cs="宋体"/>
          <w:b w:val="0"/>
          <w:bCs w:val="0"/>
          <w:color w:val="000000"/>
          <w:sz w:val="24"/>
          <w:szCs w:val="24"/>
          <w:highlight w:val="none"/>
          <w:u w:val="single"/>
        </w:rPr>
        <w:sectPr>
          <w:headerReference r:id="rId15" w:type="first"/>
          <w:footerReference r:id="rId17" w:type="first"/>
          <w:headerReference r:id="rId14" w:type="default"/>
          <w:footerReference r:id="rId16" w:type="default"/>
          <w:pgSz w:w="11906" w:h="16838"/>
          <w:pgMar w:top="1418" w:right="1418" w:bottom="1418" w:left="1418" w:header="851" w:footer="567" w:gutter="0"/>
          <w:pgNumType w:fmt="decimal" w:start="1"/>
          <w:cols w:space="720" w:num="1"/>
          <w:formProt w:val="0"/>
          <w:docGrid w:linePitch="312" w:charSpace="0"/>
        </w:sectPr>
      </w:pPr>
      <w:r>
        <w:rPr>
          <w:highlight w:val="none"/>
        </w:rPr>
        <w:br w:type="page"/>
      </w:r>
    </w:p>
    <w:p w14:paraId="561D706D">
      <w:pPr>
        <w:keepNext w:val="0"/>
        <w:keepLines w:val="0"/>
        <w:pageBreakBefore w:val="0"/>
        <w:widowControl/>
        <w:numPr>
          <w:ilvl w:val="0"/>
          <w:numId w:val="0"/>
        </w:numPr>
        <w:kinsoku/>
        <w:overflowPunct/>
        <w:autoSpaceDE/>
        <w:bidi w:val="0"/>
        <w:snapToGrid w:val="0"/>
        <w:spacing w:line="560" w:lineRule="exact"/>
        <w:jc w:val="center"/>
        <w:textAlignment w:val="auto"/>
        <w:outlineLvl w:val="1"/>
        <w:rPr>
          <w:rFonts w:hint="eastAsia" w:ascii="宋体" w:hAnsi="宋体" w:eastAsia="宋体" w:cs="宋体"/>
          <w:b/>
          <w:bCs/>
          <w:color w:val="000000"/>
          <w:kern w:val="0"/>
          <w:sz w:val="36"/>
          <w:highlight w:val="none"/>
        </w:rPr>
      </w:pPr>
      <w:r>
        <w:rPr>
          <w:rFonts w:hint="eastAsia" w:ascii="宋体" w:hAnsi="宋体" w:cs="宋体"/>
          <w:b/>
          <w:bCs/>
          <w:color w:val="000000"/>
          <w:kern w:val="0"/>
          <w:sz w:val="36"/>
          <w:highlight w:val="none"/>
        </w:rPr>
        <w:t>第五部分 补充条款</w:t>
      </w:r>
    </w:p>
    <w:p w14:paraId="6B3EF51D">
      <w:pPr>
        <w:pStyle w:val="179"/>
        <w:keepNext w:val="0"/>
        <w:keepLines w:val="0"/>
        <w:pageBreakBefore w:val="0"/>
        <w:widowControl w:val="0"/>
        <w:kinsoku/>
        <w:overflowPunct/>
        <w:autoSpaceDE/>
        <w:bidi w:val="0"/>
        <w:spacing w:line="560" w:lineRule="exact"/>
        <w:ind w:right="0" w:firstLine="420"/>
        <w:jc w:val="both"/>
        <w:textAlignment w:val="auto"/>
        <w:rPr>
          <w:rStyle w:val="152"/>
          <w:rFonts w:ascii="宋体" w:hAnsi="宋体"/>
          <w:b w:val="0"/>
          <w:bCs w:val="0"/>
          <w:color w:val="000000"/>
          <w:szCs w:val="21"/>
          <w:highlight w:val="none"/>
        </w:rPr>
      </w:pPr>
      <w:r>
        <w:rPr>
          <w:rStyle w:val="152"/>
          <w:rFonts w:hint="eastAsia" w:ascii="宋体" w:hAnsi="宋体" w:cs="宋体"/>
          <w:b w:val="0"/>
          <w:bCs w:val="0"/>
          <w:color w:val="000000"/>
          <w:szCs w:val="21"/>
          <w:highlight w:val="none"/>
        </w:rPr>
        <w:t>一、监理人协助委托人开展的具体工作内容还包括以下内容</w:t>
      </w:r>
    </w:p>
    <w:p w14:paraId="1E055149">
      <w:pPr>
        <w:pStyle w:val="166"/>
        <w:keepNext w:val="0"/>
        <w:keepLines w:val="0"/>
        <w:pageBreakBefore w:val="0"/>
        <w:widowControl w:val="0"/>
        <w:kinsoku/>
        <w:overflowPunct/>
        <w:autoSpaceDE/>
        <w:bidi w:val="0"/>
        <w:snapToGrid/>
        <w:spacing w:line="560" w:lineRule="exact"/>
        <w:ind w:left="0" w:leftChars="0" w:right="0" w:rightChars="0" w:firstLineChars="200"/>
        <w:textAlignment w:val="auto"/>
        <w:rPr>
          <w:rStyle w:val="152"/>
          <w:rFonts w:ascii="宋体" w:hAnsi="宋体" w:cs="宋体"/>
          <w:b w:val="0"/>
          <w:bCs w:val="0"/>
          <w:color w:val="000000"/>
          <w:szCs w:val="21"/>
          <w:highlight w:val="none"/>
        </w:rPr>
      </w:pPr>
      <w:r>
        <w:rPr>
          <w:rStyle w:val="152"/>
          <w:rFonts w:ascii="Wingdings 2" w:hAnsi="Wingdings 2" w:cs="Times New Roman"/>
          <w:b w:val="0"/>
          <w:bCs w:val="0"/>
          <w:color w:val="000000"/>
          <w:szCs w:val="21"/>
          <w:highlight w:val="none"/>
        </w:rPr>
        <w:sym w:font="Wingdings 2" w:char="00A2"/>
      </w:r>
      <w:r>
        <w:rPr>
          <w:rStyle w:val="152"/>
          <w:rFonts w:hint="eastAsia" w:ascii="宋体" w:hAnsi="宋体" w:cs="Times New Roman"/>
          <w:b w:val="0"/>
          <w:bCs w:val="0"/>
          <w:color w:val="000000"/>
          <w:szCs w:val="21"/>
          <w:highlight w:val="none"/>
        </w:rPr>
        <w:t xml:space="preserve"> 施工准备阶段</w:t>
      </w:r>
    </w:p>
    <w:p w14:paraId="467912D9">
      <w:pPr>
        <w:keepNext w:val="0"/>
        <w:keepLines w:val="0"/>
        <w:pageBreakBefore w:val="0"/>
        <w:widowControl w:val="0"/>
        <w:numPr>
          <w:ilvl w:val="0"/>
          <w:numId w:val="3"/>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监理人在开工前必须按照监理工作程序，编制本工程的监理规划及监理实施细则、专业监理细则（包括安全监理细则），并报委托人同意后实施；在分部分项工程开工前，制定监理实施细则，并报委托人同意后实施。监理实施细则应明确规定各分部分项工程质量、安全、进度、投资、接口监控的内容、程序、方法、标准。</w:t>
      </w:r>
    </w:p>
    <w:p w14:paraId="2C002FCE">
      <w:pPr>
        <w:keepNext w:val="0"/>
        <w:keepLines w:val="0"/>
        <w:pageBreakBefore w:val="0"/>
        <w:widowControl w:val="0"/>
        <w:numPr>
          <w:ilvl w:val="0"/>
          <w:numId w:val="3"/>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监理人在开工前应召开监理工作交底会，向委托人、承包人讲解监理工作程序和监控的内容、程序、方法、标准、监理人员分工及职责等。</w:t>
      </w:r>
    </w:p>
    <w:p w14:paraId="5A0225BE">
      <w:pPr>
        <w:keepNext w:val="0"/>
        <w:keepLines w:val="0"/>
        <w:pageBreakBefore w:val="0"/>
        <w:widowControl w:val="0"/>
        <w:numPr>
          <w:ilvl w:val="0"/>
          <w:numId w:val="3"/>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接受、处理或审批承包人提交的报告、计划、施工方法、施工方案、各项工作程序（含安全、质量、环境保护、文明施工等程序）。</w:t>
      </w:r>
    </w:p>
    <w:p w14:paraId="5685B96E">
      <w:pPr>
        <w:keepNext w:val="0"/>
        <w:keepLines w:val="0"/>
        <w:pageBreakBefore w:val="0"/>
        <w:widowControl w:val="0"/>
        <w:numPr>
          <w:ilvl w:val="0"/>
          <w:numId w:val="3"/>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组织施工单位进场，参加委托人主持召开的第一次工地会议，起草第一次工地会议纪要，组织与会各方代表会签。</w:t>
      </w:r>
    </w:p>
    <w:p w14:paraId="62C9D9AE">
      <w:pPr>
        <w:keepNext w:val="0"/>
        <w:keepLines w:val="0"/>
        <w:pageBreakBefore w:val="0"/>
        <w:widowControl w:val="0"/>
        <w:numPr>
          <w:ilvl w:val="0"/>
          <w:numId w:val="3"/>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组织召开开工预备会议。</w:t>
      </w:r>
    </w:p>
    <w:p w14:paraId="05C3B84C">
      <w:pPr>
        <w:keepNext w:val="0"/>
        <w:keepLines w:val="0"/>
        <w:pageBreakBefore w:val="0"/>
        <w:widowControl w:val="0"/>
        <w:numPr>
          <w:ilvl w:val="0"/>
          <w:numId w:val="3"/>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核查承包人项目组织的主要人员，以保证承包人在投标文件中承诺的或施工合同规定的项目组织中的主要成员在工程实施中得以落实。</w:t>
      </w:r>
    </w:p>
    <w:p w14:paraId="7FFE7937">
      <w:pPr>
        <w:keepNext w:val="0"/>
        <w:keepLines w:val="0"/>
        <w:pageBreakBefore w:val="0"/>
        <w:widowControl w:val="0"/>
        <w:numPr>
          <w:ilvl w:val="0"/>
          <w:numId w:val="3"/>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核查承包人的主要施工技术人员的从业资格、持证上岗等情况。</w:t>
      </w:r>
    </w:p>
    <w:p w14:paraId="49FE92D6">
      <w:pPr>
        <w:keepNext w:val="0"/>
        <w:keepLines w:val="0"/>
        <w:pageBreakBefore w:val="0"/>
        <w:widowControl w:val="0"/>
        <w:numPr>
          <w:ilvl w:val="0"/>
          <w:numId w:val="3"/>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检查承包人有关保险办理情况。</w:t>
      </w:r>
    </w:p>
    <w:p w14:paraId="7312F2EA">
      <w:pPr>
        <w:keepNext w:val="0"/>
        <w:keepLines w:val="0"/>
        <w:pageBreakBefore w:val="0"/>
        <w:widowControl w:val="0"/>
        <w:numPr>
          <w:ilvl w:val="0"/>
          <w:numId w:val="3"/>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检查承包人机械设备安全情况。</w:t>
      </w:r>
    </w:p>
    <w:p w14:paraId="7C976F12">
      <w:pPr>
        <w:keepNext w:val="0"/>
        <w:keepLines w:val="0"/>
        <w:pageBreakBefore w:val="0"/>
        <w:widowControl w:val="0"/>
        <w:numPr>
          <w:ilvl w:val="0"/>
          <w:numId w:val="3"/>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协助委托人编制项目管理程序、管理制度和阶段性工作策划。</w:t>
      </w:r>
    </w:p>
    <w:p w14:paraId="28289AA7">
      <w:pPr>
        <w:keepNext w:val="0"/>
        <w:keepLines w:val="0"/>
        <w:pageBreakBefore w:val="0"/>
        <w:widowControl w:val="0"/>
        <w:numPr>
          <w:ilvl w:val="0"/>
          <w:numId w:val="3"/>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协助委托人编制工程施工、工程检测监测、设备采购等招标文件，协助办理相关招标手续。</w:t>
      </w:r>
    </w:p>
    <w:p w14:paraId="0FE1F8ED">
      <w:pPr>
        <w:numPr>
          <w:ilvl w:val="0"/>
          <w:numId w:val="3"/>
        </w:numPr>
        <w:tabs>
          <w:tab w:val="left" w:pos="312"/>
          <w:tab w:val="clear" w:pos="420"/>
        </w:tabs>
        <w:spacing w:line="560" w:lineRule="exact"/>
        <w:ind w:left="0" w:leftChars="0" w:right="0" w:rightChars="0" w:firstLineChars="200"/>
        <w:rPr>
          <w:b w:val="0"/>
          <w:bCs w:val="0"/>
          <w:color w:val="000000"/>
          <w:highlight w:val="none"/>
          <w:u w:val="single"/>
        </w:rPr>
      </w:pPr>
      <w:r>
        <w:rPr>
          <w:rFonts w:hint="eastAsia" w:ascii="宋体" w:hAnsi="宋体" w:cs="宋体"/>
          <w:b w:val="0"/>
          <w:bCs w:val="0"/>
          <w:color w:val="000000"/>
          <w:szCs w:val="21"/>
          <w:highlight w:val="none"/>
          <w:u w:val="single"/>
        </w:rPr>
        <w:t>协助委托人办理相关报建手续，协助委托人办理工程施工有关的报建、报批手续，协助委托人办理施工、工程监测检测招标文件和合同报审、备案工作。</w:t>
      </w:r>
    </w:p>
    <w:p w14:paraId="4F915CC7">
      <w:pPr>
        <w:pStyle w:val="166"/>
        <w:keepNext w:val="0"/>
        <w:keepLines w:val="0"/>
        <w:pageBreakBefore w:val="0"/>
        <w:widowControl w:val="0"/>
        <w:kinsoku/>
        <w:overflowPunct/>
        <w:autoSpaceDE/>
        <w:bidi w:val="0"/>
        <w:snapToGrid/>
        <w:spacing w:line="560" w:lineRule="exact"/>
        <w:ind w:left="0" w:leftChars="0" w:right="0" w:rightChars="0" w:firstLineChars="200"/>
        <w:textAlignment w:val="auto"/>
        <w:rPr>
          <w:rStyle w:val="152"/>
          <w:rFonts w:ascii="宋体" w:hAnsi="宋体" w:cs="宋体"/>
          <w:b w:val="0"/>
          <w:bCs w:val="0"/>
          <w:color w:val="000000"/>
          <w:szCs w:val="21"/>
          <w:highlight w:val="none"/>
        </w:rPr>
      </w:pPr>
      <w:r>
        <w:rPr>
          <w:rStyle w:val="152"/>
          <w:rFonts w:ascii="Wingdings 2" w:hAnsi="Wingdings 2" w:cs="Times New Roman"/>
          <w:b w:val="0"/>
          <w:bCs w:val="0"/>
          <w:color w:val="000000"/>
          <w:szCs w:val="21"/>
          <w:highlight w:val="none"/>
        </w:rPr>
        <w:sym w:font="Wingdings 2" w:char="00A2"/>
      </w:r>
      <w:r>
        <w:rPr>
          <w:rStyle w:val="152"/>
          <w:rFonts w:hint="eastAsia" w:ascii="宋体" w:hAnsi="宋体" w:cs="Times New Roman"/>
          <w:b w:val="0"/>
          <w:bCs w:val="0"/>
          <w:color w:val="000000"/>
          <w:szCs w:val="21"/>
          <w:highlight w:val="none"/>
        </w:rPr>
        <w:t xml:space="preserve"> 施工阶段</w:t>
      </w:r>
    </w:p>
    <w:p w14:paraId="5CCFFAD0">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签发开工、停工、复工令。</w:t>
      </w:r>
    </w:p>
    <w:p w14:paraId="47AF0499">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审核承包人提出的施工组织设计、施工技术方案、施工进度计划、施工质量保证体系和施工安全保证体系。</w:t>
      </w:r>
    </w:p>
    <w:p w14:paraId="607C3DB9">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组织施工图纸会审和施工图技术交底。</w:t>
      </w:r>
    </w:p>
    <w:p w14:paraId="68130AAA">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参与审核承包人负责的施工图设计。</w:t>
      </w:r>
    </w:p>
    <w:p w14:paraId="43BCEF8E">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收到施工图后，监理人应提前理解设计意图，检查、会审图纸，提出专业意见，使图纸最大限度避免出现差、错、碰、漏等问题。</w:t>
      </w:r>
    </w:p>
    <w:p w14:paraId="16726E34">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督促、检查承包人严格执行工程承包合同和国家工程技术规范、标准，协调各方的关系。</w:t>
      </w:r>
    </w:p>
    <w:p w14:paraId="660E1B65">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严格审核、监控承包人或委托人提供的材料、构配件和设备的数量及质量，管理甲供、甲控材料设备或乙购关键材料设备。</w:t>
      </w:r>
    </w:p>
    <w:p w14:paraId="1966F84F">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严格监控工序质量、安全；对工程质量和投资进行跟踪控制。</w:t>
      </w:r>
    </w:p>
    <w:p w14:paraId="3AA69262">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对承包人的测量成果进行复测检验。</w:t>
      </w:r>
    </w:p>
    <w:p w14:paraId="59F634F8">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审查承包人的进度计划，跟踪进度计划，控制工程进度。</w:t>
      </w:r>
    </w:p>
    <w:p w14:paraId="209A3F6C">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组织工程会议，协调工程有关各方关系。</w:t>
      </w:r>
    </w:p>
    <w:p w14:paraId="3E56B634">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协助委托人进行设备采购，组织设备的调试安装、验收等监理工作。</w:t>
      </w:r>
    </w:p>
    <w:p w14:paraId="1C159B12">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进行工程计量及工程款支付。</w:t>
      </w:r>
    </w:p>
    <w:p w14:paraId="5E04F807">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根据设计意图，对所采用的工法、工艺等提出标准，从监理角度建议选用合适的技术规范。</w:t>
      </w:r>
    </w:p>
    <w:p w14:paraId="04ED0476">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组织分部分项工程和隐蔽工程的检查、验收，签发工程付款凭证。</w:t>
      </w:r>
    </w:p>
    <w:p w14:paraId="2A3C6420">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审查承包人提交的竣工申请报告，组织竣工初步验收。</w:t>
      </w:r>
    </w:p>
    <w:p w14:paraId="18B6BA7B">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参加委托人组织的正式竣工验收。</w:t>
      </w:r>
    </w:p>
    <w:p w14:paraId="0506DD4E">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按委托人的工程管理规定要求及赋予的权限，管理工程变更、工程索赔，调解合同争议。协助委托人制定工程变更管理办法，处理施工过程中发生的工程变更；协助委托人审核并签署价差调整（如果施工承包人合同另有规定）；协助委托人协调解决工程索赔事件，为处理索赔事件收集、整理有关施工和监理证据；</w:t>
      </w:r>
    </w:p>
    <w:p w14:paraId="22400CCB">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负责工程量清单更新、工程变更等的全面造价审查（包括但不限于工程量及造价审查）。协助委托人按合同约定的工程计量规则和支付条款审核工程量清单和工程款支付申请表；建立验工计价及计量支付</w:t>
      </w:r>
      <w:r>
        <w:rPr>
          <w:rStyle w:val="152"/>
          <w:rFonts w:hint="eastAsia" w:ascii="宋体" w:hAnsi="宋体" w:cs="宋体"/>
          <w:b w:val="0"/>
          <w:bCs w:val="0"/>
          <w:color w:val="000000"/>
          <w:szCs w:val="21"/>
          <w:highlight w:val="none"/>
          <w:u w:val="single"/>
          <w:lang w:eastAsia="zh-CN"/>
        </w:rPr>
        <w:t>台账</w:t>
      </w:r>
      <w:r>
        <w:rPr>
          <w:rStyle w:val="152"/>
          <w:rFonts w:hint="eastAsia" w:ascii="宋体" w:hAnsi="宋体" w:cs="宋体"/>
          <w:b w:val="0"/>
          <w:bCs w:val="0"/>
          <w:color w:val="000000"/>
          <w:szCs w:val="21"/>
          <w:highlight w:val="none"/>
          <w:u w:val="single"/>
        </w:rPr>
        <w:t>，按月向委托人提供报表。</w:t>
      </w:r>
    </w:p>
    <w:p w14:paraId="4B4FAE8F">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督促承包人整理合同文件和技术档案资料。</w:t>
      </w:r>
    </w:p>
    <w:p w14:paraId="02388166">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主持工程事故的调查。</w:t>
      </w:r>
    </w:p>
    <w:p w14:paraId="74D19E4B">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审查工程结算。</w:t>
      </w:r>
    </w:p>
    <w:p w14:paraId="2BADDFB3">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督促承包人依法办理劳动用工、社会保险手续，监督和制止施工单位的转包、违法分包及挂靠行为。发现施工单位有转包、违法分包及挂靠行为的，应立即向委托人、建设行政主管部门报告。</w:t>
      </w:r>
    </w:p>
    <w:p w14:paraId="115D60A5">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整理监理文档，向委托人移交监理资料、档案，提交监理工作报告。</w:t>
      </w:r>
    </w:p>
    <w:p w14:paraId="3E3FDED7">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在每月25日分别以月报形式，向委托人书面汇报上月工程的质量、安全、进度、投资、安全文明施工、信息管理、合同管理情况，农民工、劳务工的工资发放情况、工作协调及存在问题，并附情况分析及拟采取的对策；其中质量、安全、进度、安全文明施工应作为月报的重要内容。</w:t>
      </w:r>
    </w:p>
    <w:p w14:paraId="3C0950BD">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负责对承包人的测量、监测的监理及审查。</w:t>
      </w:r>
    </w:p>
    <w:p w14:paraId="0D7277CE">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监理对接口问题负有协调、管理的职责。</w:t>
      </w:r>
    </w:p>
    <w:p w14:paraId="4574270C">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做好以下对承包人的管理工作：</w:t>
      </w:r>
    </w:p>
    <w:p w14:paraId="35E496EC">
      <w:pPr>
        <w:pStyle w:val="166"/>
        <w:keepNext w:val="0"/>
        <w:keepLines w:val="0"/>
        <w:pageBreakBefore w:val="0"/>
        <w:widowControl w:val="0"/>
        <w:numPr>
          <w:ilvl w:val="0"/>
          <w:numId w:val="5"/>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抽查承包人管理人员和技术人员的调配是否与投标文件相符；</w:t>
      </w:r>
    </w:p>
    <w:p w14:paraId="083045B5">
      <w:pPr>
        <w:pStyle w:val="166"/>
        <w:keepNext w:val="0"/>
        <w:keepLines w:val="0"/>
        <w:pageBreakBefore w:val="0"/>
        <w:widowControl w:val="0"/>
        <w:numPr>
          <w:ilvl w:val="0"/>
          <w:numId w:val="5"/>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制定考核奖惩办法（包括优质样板工程评选办法、工程质量管理奖励办法等），组织对各承包人及供货商等进行考核；</w:t>
      </w:r>
    </w:p>
    <w:p w14:paraId="04C7D2D0">
      <w:pPr>
        <w:pStyle w:val="166"/>
        <w:keepNext w:val="0"/>
        <w:keepLines w:val="0"/>
        <w:pageBreakBefore w:val="0"/>
        <w:widowControl w:val="0"/>
        <w:numPr>
          <w:ilvl w:val="0"/>
          <w:numId w:val="5"/>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制定工程中间交接工作程序，组织工程中间验收工作；</w:t>
      </w:r>
    </w:p>
    <w:p w14:paraId="7D645CA3">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协助委托人做好以下工作：</w:t>
      </w:r>
    </w:p>
    <w:p w14:paraId="10331A40">
      <w:pPr>
        <w:pStyle w:val="166"/>
        <w:keepNext w:val="0"/>
        <w:keepLines w:val="0"/>
        <w:pageBreakBefore w:val="0"/>
        <w:widowControl w:val="0"/>
        <w:numPr>
          <w:ilvl w:val="0"/>
          <w:numId w:val="6"/>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协助委托人根据合同设定的各项工程建设目标，编制投资、进度、质量、安全和文明施工等各项目标分解计划；</w:t>
      </w:r>
    </w:p>
    <w:p w14:paraId="4B7DA708">
      <w:pPr>
        <w:pStyle w:val="166"/>
        <w:keepNext w:val="0"/>
        <w:keepLines w:val="0"/>
        <w:pageBreakBefore w:val="0"/>
        <w:widowControl w:val="0"/>
        <w:numPr>
          <w:ilvl w:val="0"/>
          <w:numId w:val="6"/>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协助委托人制订本工程各项工作的详细实施计划，包括工程进度计划、资金需求计划、招标计划及甲供材料设备供应计划；定期跟踪计划执行情况，并提出执行过程存在问题和纠偏措施，组织承包人加以落实；</w:t>
      </w:r>
    </w:p>
    <w:p w14:paraId="262F680F">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协助委托人做好第三方监测检测单位管理工作：</w:t>
      </w:r>
    </w:p>
    <w:p w14:paraId="76150687">
      <w:pPr>
        <w:pStyle w:val="166"/>
        <w:keepNext w:val="0"/>
        <w:keepLines w:val="0"/>
        <w:pageBreakBefore w:val="0"/>
        <w:widowControl w:val="0"/>
        <w:numPr>
          <w:ilvl w:val="0"/>
          <w:numId w:val="7"/>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协助委托人编制第三方监测检测招标文件；</w:t>
      </w:r>
    </w:p>
    <w:p w14:paraId="1FB3759A">
      <w:pPr>
        <w:pStyle w:val="166"/>
        <w:keepNext w:val="0"/>
        <w:keepLines w:val="0"/>
        <w:pageBreakBefore w:val="0"/>
        <w:widowControl w:val="0"/>
        <w:numPr>
          <w:ilvl w:val="0"/>
          <w:numId w:val="7"/>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协助委托人进行第三方监测检测单位的招标各项工作；</w:t>
      </w:r>
    </w:p>
    <w:p w14:paraId="15B7EBB8">
      <w:pPr>
        <w:pStyle w:val="166"/>
        <w:keepNext w:val="0"/>
        <w:keepLines w:val="0"/>
        <w:pageBreakBefore w:val="0"/>
        <w:widowControl w:val="0"/>
        <w:numPr>
          <w:ilvl w:val="0"/>
          <w:numId w:val="7"/>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第三方监测检测单位管理工作，定期检查其管理人员和技术人员的调配是否与投标文件相符，并提交书面审核意见；按照招标文件的规定核对第三方监测检测单位人员的资质，督促其整改不满足资质要求的人员情况；</w:t>
      </w:r>
    </w:p>
    <w:p w14:paraId="76A67232">
      <w:pPr>
        <w:pStyle w:val="166"/>
        <w:keepNext w:val="0"/>
        <w:keepLines w:val="0"/>
        <w:pageBreakBefore w:val="0"/>
        <w:widowControl w:val="0"/>
        <w:numPr>
          <w:ilvl w:val="0"/>
          <w:numId w:val="7"/>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协助委托人组织审查第三方监测检测单位的项目质量管理体系、质量计划和质量保证措施，并监督实施过程，并提交书面审核意见；</w:t>
      </w:r>
    </w:p>
    <w:p w14:paraId="117075F4">
      <w:pPr>
        <w:pStyle w:val="166"/>
        <w:keepNext w:val="0"/>
        <w:keepLines w:val="0"/>
        <w:pageBreakBefore w:val="0"/>
        <w:widowControl w:val="0"/>
        <w:numPr>
          <w:ilvl w:val="0"/>
          <w:numId w:val="7"/>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协助委托人检查第三方监测检测单位所使用的测量仪器等的标定证书；</w:t>
      </w:r>
    </w:p>
    <w:p w14:paraId="4E66F6D3">
      <w:pPr>
        <w:pStyle w:val="166"/>
        <w:keepNext w:val="0"/>
        <w:keepLines w:val="0"/>
        <w:pageBreakBefore w:val="0"/>
        <w:widowControl w:val="0"/>
        <w:numPr>
          <w:ilvl w:val="0"/>
          <w:numId w:val="7"/>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协助委托人审批第三方监测检测单位报送的各类资料、报告。</w:t>
      </w:r>
    </w:p>
    <w:p w14:paraId="51697E1F">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协助委托人做好以下验收移交和竣工验收管理工作：</w:t>
      </w:r>
    </w:p>
    <w:p w14:paraId="044354E7">
      <w:pPr>
        <w:pStyle w:val="166"/>
        <w:keepNext w:val="0"/>
        <w:keepLines w:val="0"/>
        <w:pageBreakBefore w:val="0"/>
        <w:widowControl w:val="0"/>
        <w:numPr>
          <w:ilvl w:val="0"/>
          <w:numId w:val="8"/>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协助委托人制定验收、移交（包括中间验收移交）计划和竣工验收计划；</w:t>
      </w:r>
    </w:p>
    <w:p w14:paraId="1B75D9D9">
      <w:pPr>
        <w:pStyle w:val="166"/>
        <w:keepNext w:val="0"/>
        <w:keepLines w:val="0"/>
        <w:pageBreakBefore w:val="0"/>
        <w:widowControl w:val="0"/>
        <w:numPr>
          <w:ilvl w:val="0"/>
          <w:numId w:val="8"/>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协助委托人组织验收和移交工作（包括中间验收和移交工作），并汇总验收、移交资料；</w:t>
      </w:r>
    </w:p>
    <w:p w14:paraId="0705E361">
      <w:pPr>
        <w:pStyle w:val="166"/>
        <w:keepNext w:val="0"/>
        <w:keepLines w:val="0"/>
        <w:pageBreakBefore w:val="0"/>
        <w:widowControl w:val="0"/>
        <w:numPr>
          <w:ilvl w:val="0"/>
          <w:numId w:val="8"/>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协助委托人在缺陷责任期内按质监机构要求负责管理承包人进行整改或重新组织验收；</w:t>
      </w:r>
    </w:p>
    <w:p w14:paraId="3E00F538">
      <w:pPr>
        <w:pStyle w:val="166"/>
        <w:keepNext w:val="0"/>
        <w:keepLines w:val="0"/>
        <w:pageBreakBefore w:val="0"/>
        <w:widowControl w:val="0"/>
        <w:numPr>
          <w:ilvl w:val="0"/>
          <w:numId w:val="8"/>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协助委托人在工程竣工验收以及各专项验收全部合格之日起15日内，向工程主管部门提交竣工验收备案表、竣工验收报告、政府各部门出具的验收文件材料等，办理备案手续；</w:t>
      </w:r>
    </w:p>
    <w:p w14:paraId="7961971A">
      <w:pPr>
        <w:pStyle w:val="166"/>
        <w:keepNext w:val="0"/>
        <w:keepLines w:val="0"/>
        <w:pageBreakBefore w:val="0"/>
        <w:widowControl w:val="0"/>
        <w:numPr>
          <w:ilvl w:val="0"/>
          <w:numId w:val="8"/>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协助委托人汇总各承包单位编制的竣工结算资料，编制竣工决算资料；</w:t>
      </w:r>
    </w:p>
    <w:p w14:paraId="3EDC9BD3">
      <w:pPr>
        <w:pStyle w:val="166"/>
        <w:keepNext w:val="0"/>
        <w:keepLines w:val="0"/>
        <w:pageBreakBefore w:val="0"/>
        <w:widowControl w:val="0"/>
        <w:numPr>
          <w:ilvl w:val="0"/>
          <w:numId w:val="8"/>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工程竣工验收合格后，协助委托人在3个月内向城建档案管理部门移交一套完整的工程竣工档案；</w:t>
      </w:r>
    </w:p>
    <w:p w14:paraId="0139FEDB">
      <w:pPr>
        <w:pStyle w:val="166"/>
        <w:keepNext w:val="0"/>
        <w:keepLines w:val="0"/>
        <w:pageBreakBefore w:val="0"/>
        <w:widowControl w:val="0"/>
        <w:numPr>
          <w:ilvl w:val="0"/>
          <w:numId w:val="8"/>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协助委托人汇总整理工程有关的资料，办理向运营方的移交工作。</w:t>
      </w:r>
    </w:p>
    <w:p w14:paraId="4E32B5E4">
      <w:pPr>
        <w:pStyle w:val="166"/>
        <w:keepNext w:val="0"/>
        <w:keepLines w:val="0"/>
        <w:pageBreakBefore w:val="0"/>
        <w:widowControl w:val="0"/>
        <w:kinsoku/>
        <w:overflowPunct/>
        <w:autoSpaceDE/>
        <w:bidi w:val="0"/>
        <w:spacing w:line="560" w:lineRule="exact"/>
        <w:ind w:left="0" w:leftChars="0" w:right="0" w:rightChars="0" w:firstLineChars="200"/>
        <w:textAlignment w:val="auto"/>
        <w:rPr>
          <w:rStyle w:val="152"/>
          <w:rFonts w:hint="eastAsia" w:ascii="宋体" w:hAnsi="宋体" w:cs="Times New Roman"/>
          <w:b w:val="0"/>
          <w:bCs w:val="0"/>
          <w:color w:val="000000"/>
          <w:szCs w:val="21"/>
          <w:highlight w:val="none"/>
        </w:rPr>
      </w:pPr>
      <w:r>
        <w:rPr>
          <w:rStyle w:val="152"/>
          <w:rFonts w:ascii="Wingdings 2" w:hAnsi="Wingdings 2" w:cs="Times New Roman"/>
          <w:b w:val="0"/>
          <w:bCs w:val="0"/>
          <w:color w:val="000000"/>
          <w:szCs w:val="21"/>
          <w:highlight w:val="none"/>
        </w:rPr>
        <w:sym w:font="Wingdings 2" w:char="00A2"/>
      </w:r>
      <w:r>
        <w:rPr>
          <w:rStyle w:val="152"/>
          <w:rFonts w:hint="eastAsia" w:ascii="宋体" w:hAnsi="宋体" w:cs="Times New Roman"/>
          <w:b w:val="0"/>
          <w:bCs w:val="0"/>
          <w:color w:val="000000"/>
          <w:szCs w:val="21"/>
          <w:highlight w:val="none"/>
        </w:rPr>
        <w:t xml:space="preserve"> 保修阶段</w:t>
      </w:r>
    </w:p>
    <w:p w14:paraId="1B5378F0">
      <w:pPr>
        <w:keepNext w:val="0"/>
        <w:keepLines w:val="0"/>
        <w:pageBreakBefore w:val="0"/>
        <w:widowControl w:val="0"/>
        <w:numPr>
          <w:ilvl w:val="0"/>
          <w:numId w:val="9"/>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配合委托人及使用单位，进行移交前承接查验工作。对承接查验中提出的需整改事项，督促相关单位尽快完善。</w:t>
      </w:r>
    </w:p>
    <w:p w14:paraId="00DD781D">
      <w:pPr>
        <w:keepNext w:val="0"/>
        <w:keepLines w:val="0"/>
        <w:pageBreakBefore w:val="0"/>
        <w:widowControl w:val="0"/>
        <w:numPr>
          <w:ilvl w:val="0"/>
          <w:numId w:val="9"/>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参与工程交付，签发工程移交证书。</w:t>
      </w:r>
    </w:p>
    <w:p w14:paraId="27B94EEE">
      <w:pPr>
        <w:keepNext w:val="0"/>
        <w:keepLines w:val="0"/>
        <w:pageBreakBefore w:val="0"/>
        <w:widowControl w:val="0"/>
        <w:numPr>
          <w:ilvl w:val="0"/>
          <w:numId w:val="9"/>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负责检查工程状况，参与鉴定质量责任，督促承包人回访、监督保修直至达到规定的质量标准。</w:t>
      </w:r>
    </w:p>
    <w:p w14:paraId="3DF8235A">
      <w:pPr>
        <w:keepNext w:val="0"/>
        <w:keepLines w:val="0"/>
        <w:pageBreakBefore w:val="0"/>
        <w:widowControl w:val="0"/>
        <w:numPr>
          <w:ilvl w:val="0"/>
          <w:numId w:val="9"/>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负责质量缺陷维修工程项目监理。</w:t>
      </w:r>
    </w:p>
    <w:p w14:paraId="0F4A0558">
      <w:pPr>
        <w:pStyle w:val="166"/>
        <w:keepNext w:val="0"/>
        <w:keepLines w:val="0"/>
        <w:pageBreakBefore w:val="0"/>
        <w:widowControl w:val="0"/>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none"/>
        </w:rPr>
      </w:pPr>
      <w:r>
        <w:rPr>
          <w:rStyle w:val="152"/>
          <w:rFonts w:ascii="Wingdings 2" w:hAnsi="Wingdings 2" w:cs="Times New Roman"/>
          <w:b w:val="0"/>
          <w:bCs w:val="0"/>
          <w:color w:val="000000"/>
          <w:szCs w:val="21"/>
          <w:highlight w:val="none"/>
          <w:u w:val="none"/>
        </w:rPr>
        <w:sym w:font="Wingdings 2" w:char="00A2"/>
      </w:r>
      <w:r>
        <w:rPr>
          <w:rStyle w:val="152"/>
          <w:rFonts w:hint="eastAsia" w:ascii="宋体" w:hAnsi="宋体" w:cs="Times New Roman"/>
          <w:b w:val="0"/>
          <w:bCs w:val="0"/>
          <w:color w:val="000000"/>
          <w:szCs w:val="21"/>
          <w:highlight w:val="none"/>
          <w:u w:val="none"/>
        </w:rPr>
        <w:t xml:space="preserve"> </w:t>
      </w:r>
      <w:r>
        <w:rPr>
          <w:rFonts w:hint="eastAsia" w:ascii="宋体" w:hAnsi="宋体" w:cs="宋体"/>
          <w:b w:val="0"/>
          <w:bCs w:val="0"/>
          <w:color w:val="000000"/>
          <w:szCs w:val="21"/>
          <w:highlight w:val="none"/>
          <w:u w:val="none"/>
        </w:rPr>
        <w:t>施工安全及文明施工监理的主要内容</w:t>
      </w:r>
    </w:p>
    <w:p w14:paraId="7F879823">
      <w:pPr>
        <w:keepNext w:val="0"/>
        <w:keepLines w:val="0"/>
        <w:pageBreakBefore w:val="0"/>
        <w:widowControl w:val="0"/>
        <w:numPr>
          <w:ilvl w:val="0"/>
          <w:numId w:val="10"/>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监理人应贯彻执行</w:t>
      </w:r>
      <w:r>
        <w:rPr>
          <w:rFonts w:hint="eastAsia" w:ascii="宋体" w:hAnsi="宋体" w:cs="宋体"/>
          <w:b w:val="0"/>
          <w:bCs w:val="0"/>
          <w:color w:val="000000"/>
          <w:szCs w:val="21"/>
          <w:highlight w:val="none"/>
          <w:u w:val="single"/>
          <w:lang w:eastAsia="zh-CN"/>
        </w:rPr>
        <w:t>《中华人民共和国安全生产法》法</w:t>
      </w:r>
      <w:r>
        <w:rPr>
          <w:rFonts w:hint="eastAsia" w:ascii="宋体" w:hAnsi="宋体" w:cs="宋体"/>
          <w:b w:val="0"/>
          <w:bCs w:val="0"/>
          <w:color w:val="000000"/>
          <w:szCs w:val="21"/>
          <w:highlight w:val="none"/>
          <w:u w:val="single"/>
        </w:rPr>
        <w:t>律、法规、规章和标准，按照深圳市监理管理条例和委托人安全管理的有关规定，把施工安全及文明施工监督纳入监理范围，与工程质量、工期和投资控制同步实施。监理规划和监理实施细则中应专门列入施工安全级文明施工监理的内容，制定安全监理方案，建立、健全和完善安全管理制度；</w:t>
      </w:r>
    </w:p>
    <w:p w14:paraId="4B576A2E">
      <w:pPr>
        <w:keepNext w:val="0"/>
        <w:keepLines w:val="0"/>
        <w:pageBreakBefore w:val="0"/>
        <w:widowControl w:val="0"/>
        <w:numPr>
          <w:ilvl w:val="0"/>
          <w:numId w:val="10"/>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监理人将对承包人的文明施工、安全检查工作及事故预防工作作为监理的日常工作，掌握标段安全生产状况，对重要的薄弱环节、重大危险点、危险源，进行安全监理旁站；</w:t>
      </w:r>
    </w:p>
    <w:p w14:paraId="01C0C479">
      <w:pPr>
        <w:keepNext w:val="0"/>
        <w:keepLines w:val="0"/>
        <w:pageBreakBefore w:val="0"/>
        <w:widowControl w:val="0"/>
        <w:numPr>
          <w:ilvl w:val="0"/>
          <w:numId w:val="10"/>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监理人必须按照有关的施工安全法规、规范及标准的要求对承包人的施工组织设计的安全技术措施进行审查；</w:t>
      </w:r>
    </w:p>
    <w:p w14:paraId="01748574">
      <w:pPr>
        <w:keepNext w:val="0"/>
        <w:keepLines w:val="0"/>
        <w:pageBreakBefore w:val="0"/>
        <w:widowControl w:val="0"/>
        <w:numPr>
          <w:ilvl w:val="0"/>
          <w:numId w:val="10"/>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监理人员应对施工过程进行有目的巡查，督促承包人建立与完善安全生产、文明施工管理制度及安全技术操作规程，落实安全技术措施；</w:t>
      </w:r>
    </w:p>
    <w:p w14:paraId="51E4A56B">
      <w:pPr>
        <w:keepNext w:val="0"/>
        <w:keepLines w:val="0"/>
        <w:pageBreakBefore w:val="0"/>
        <w:widowControl w:val="0"/>
        <w:numPr>
          <w:ilvl w:val="0"/>
          <w:numId w:val="10"/>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监理人应针对施工中的不安全因素与安全工作中的薄弱环节进行研究，书面提出要求并督促承包人改进；</w:t>
      </w:r>
    </w:p>
    <w:p w14:paraId="4BBD7897">
      <w:pPr>
        <w:keepNext w:val="0"/>
        <w:keepLines w:val="0"/>
        <w:pageBreakBefore w:val="0"/>
        <w:widowControl w:val="0"/>
        <w:numPr>
          <w:ilvl w:val="0"/>
          <w:numId w:val="10"/>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监理人应对涉及施工安全的支撑体系、大型垂直运输设备等重要临时设施的施工方案进行审查，确保其符合有关法规、规范及标准的要求，不符合要求的，应向承包人提出改进意见并督促落实；</w:t>
      </w:r>
    </w:p>
    <w:p w14:paraId="236354DC">
      <w:pPr>
        <w:keepNext w:val="0"/>
        <w:keepLines w:val="0"/>
        <w:pageBreakBefore w:val="0"/>
        <w:widowControl w:val="0"/>
        <w:numPr>
          <w:ilvl w:val="0"/>
          <w:numId w:val="10"/>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监理人应审查特殊机械和特殊工种的操作人员的资格证、上岗证及年检合格证；</w:t>
      </w:r>
    </w:p>
    <w:p w14:paraId="4B75209F">
      <w:pPr>
        <w:keepNext w:val="0"/>
        <w:keepLines w:val="0"/>
        <w:pageBreakBefore w:val="0"/>
        <w:widowControl w:val="0"/>
        <w:numPr>
          <w:ilvl w:val="0"/>
          <w:numId w:val="10"/>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监理人应组织定期和不定期的安全检查，配合龙岗区建设工程质量安全监督站对标段的监督检查，对检查发现的隐患应立即发出监理通知，按监理通知和深圳市施工安全监督站发出的整改通知书的要求，督促、跟踪承包人“定人、定时、定措施”落实整改。对未按要求整改的承包人，即再发出第二次监理通知。对两次发出整改通知而拒不整改的承包人，监理以书面形式向委托人安全管理职能部门报告，并配合委托人采取必要的措施，落实整改；</w:t>
      </w:r>
    </w:p>
    <w:p w14:paraId="6EF5A3E6">
      <w:pPr>
        <w:keepNext w:val="0"/>
        <w:keepLines w:val="0"/>
        <w:pageBreakBefore w:val="0"/>
        <w:widowControl w:val="0"/>
        <w:numPr>
          <w:ilvl w:val="0"/>
          <w:numId w:val="10"/>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合同执行期间，监理人必须接受委托人安全管理职能部门的监督，按统一的表格形式（如以标段为单位），逐月向委托人安全管理等职能部门递交书面安全监理工作报告，如实反映标段本月的安全生产状况和下月安全监理的工作重点；</w:t>
      </w:r>
    </w:p>
    <w:p w14:paraId="4C417FE9">
      <w:pPr>
        <w:keepNext w:val="0"/>
        <w:keepLines w:val="0"/>
        <w:pageBreakBefore w:val="0"/>
        <w:widowControl w:val="0"/>
        <w:numPr>
          <w:ilvl w:val="0"/>
          <w:numId w:val="10"/>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一旦发生安全事故，监理人必须作出快速反映，在一小时以内向委托人安全管理职能部门报告，并督促承包人进行事故的及时上报和配合调查、处理与统计工作。</w:t>
      </w:r>
    </w:p>
    <w:p w14:paraId="4E74A816">
      <w:pPr>
        <w:keepNext w:val="0"/>
        <w:keepLines w:val="0"/>
        <w:pageBreakBefore w:val="0"/>
        <w:widowControl w:val="0"/>
        <w:numPr>
          <w:ilvl w:val="0"/>
          <w:numId w:val="10"/>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协助委托人做好以下施工安全管理工作：</w:t>
      </w:r>
    </w:p>
    <w:p w14:paraId="5F774731">
      <w:pPr>
        <w:keepNext w:val="0"/>
        <w:keepLines w:val="0"/>
        <w:pageBreakBefore w:val="0"/>
        <w:widowControl w:val="0"/>
        <w:numPr>
          <w:ilvl w:val="0"/>
          <w:numId w:val="11"/>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协助委托人编制施工安全管理程序及施工安全控制计划，制订安全控制保证措施；</w:t>
      </w:r>
    </w:p>
    <w:p w14:paraId="098665CE">
      <w:pPr>
        <w:keepNext w:val="0"/>
        <w:keepLines w:val="0"/>
        <w:pageBreakBefore w:val="0"/>
        <w:widowControl w:val="0"/>
        <w:numPr>
          <w:ilvl w:val="0"/>
          <w:numId w:val="11"/>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协助委托人制定施工安全目标，编制安全、文明施工管理办法；</w:t>
      </w:r>
    </w:p>
    <w:p w14:paraId="282D74F2">
      <w:pPr>
        <w:keepNext w:val="0"/>
        <w:keepLines w:val="0"/>
        <w:pageBreakBefore w:val="0"/>
        <w:widowControl w:val="0"/>
        <w:numPr>
          <w:ilvl w:val="0"/>
          <w:numId w:val="11"/>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抽查承包人的安全教育（三级教育）情况，抽验承包人特种工人上岗证，检查承包人的安全保证体系运行情况；</w:t>
      </w:r>
    </w:p>
    <w:p w14:paraId="3C239466">
      <w:pPr>
        <w:keepNext w:val="0"/>
        <w:keepLines w:val="0"/>
        <w:pageBreakBefore w:val="0"/>
        <w:widowControl w:val="0"/>
        <w:numPr>
          <w:ilvl w:val="0"/>
          <w:numId w:val="11"/>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对施工现场进行安全巡视，参加每月定期安全检查，协助委托人建立安全工作</w:t>
      </w:r>
      <w:r>
        <w:rPr>
          <w:rFonts w:hint="eastAsia" w:ascii="宋体" w:hAnsi="宋体" w:cs="宋体"/>
          <w:b w:val="0"/>
          <w:bCs w:val="0"/>
          <w:color w:val="000000"/>
          <w:szCs w:val="21"/>
          <w:highlight w:val="none"/>
          <w:u w:val="single"/>
          <w:lang w:eastAsia="zh-CN"/>
        </w:rPr>
        <w:t>台账</w:t>
      </w:r>
      <w:r>
        <w:rPr>
          <w:rFonts w:hint="eastAsia" w:ascii="宋体" w:hAnsi="宋体" w:cs="宋体"/>
          <w:b w:val="0"/>
          <w:bCs w:val="0"/>
          <w:color w:val="000000"/>
          <w:szCs w:val="21"/>
          <w:highlight w:val="none"/>
          <w:u w:val="single"/>
        </w:rPr>
        <w:t>，分析安全状况并提出安全预控意见。</w:t>
      </w:r>
    </w:p>
    <w:p w14:paraId="72D37AAA">
      <w:pPr>
        <w:keepNext w:val="0"/>
        <w:keepLines w:val="0"/>
        <w:pageBreakBefore w:val="0"/>
        <w:widowControl w:val="0"/>
        <w:numPr>
          <w:ilvl w:val="0"/>
          <w:numId w:val="11"/>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参加事故现场调查和安全事故分析会议，协助委托人处理安全事故，起草事故调查分析报告；</w:t>
      </w:r>
    </w:p>
    <w:p w14:paraId="323D2639">
      <w:pPr>
        <w:keepNext w:val="0"/>
        <w:keepLines w:val="0"/>
        <w:pageBreakBefore w:val="0"/>
        <w:widowControl w:val="0"/>
        <w:numPr>
          <w:ilvl w:val="0"/>
          <w:numId w:val="11"/>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每月提交安全、文明检查报告，协助委托人总结每季度的情况是否达到施工安全目标；</w:t>
      </w:r>
    </w:p>
    <w:p w14:paraId="4FC2119B">
      <w:pPr>
        <w:keepNext w:val="0"/>
        <w:keepLines w:val="0"/>
        <w:pageBreakBefore w:val="0"/>
        <w:widowControl w:val="0"/>
        <w:numPr>
          <w:ilvl w:val="0"/>
          <w:numId w:val="11"/>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每季度提交安全文明检查评比报告。</w:t>
      </w:r>
    </w:p>
    <w:p w14:paraId="10839420">
      <w:pPr>
        <w:keepNext w:val="0"/>
        <w:keepLines w:val="0"/>
        <w:pageBreakBefore w:val="0"/>
        <w:widowControl w:val="0"/>
        <w:numPr>
          <w:ilvl w:val="0"/>
          <w:numId w:val="10"/>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协助委托人组织质量安全文明施工检查考核：</w:t>
      </w:r>
    </w:p>
    <w:p w14:paraId="636704B1">
      <w:pPr>
        <w:keepNext w:val="0"/>
        <w:keepLines w:val="0"/>
        <w:pageBreakBefore w:val="0"/>
        <w:widowControl w:val="0"/>
        <w:numPr>
          <w:ilvl w:val="0"/>
          <w:numId w:val="12"/>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协助委托人组织施工监理组、施工单位做好质量安全文明施工检查和合同履约考核；</w:t>
      </w:r>
    </w:p>
    <w:p w14:paraId="4B651825">
      <w:pPr>
        <w:keepNext w:val="0"/>
        <w:keepLines w:val="0"/>
        <w:pageBreakBefore w:val="0"/>
        <w:widowControl w:val="0"/>
        <w:numPr>
          <w:ilvl w:val="0"/>
          <w:numId w:val="12"/>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制定巡视和检查制度，制定质量检查评比办法，每季度组织一次质量大检查，奖优罚劣；</w:t>
      </w:r>
    </w:p>
    <w:p w14:paraId="2B20EA0F">
      <w:pPr>
        <w:keepNext w:val="0"/>
        <w:keepLines w:val="0"/>
        <w:pageBreakBefore w:val="0"/>
        <w:widowControl w:val="0"/>
        <w:numPr>
          <w:ilvl w:val="0"/>
          <w:numId w:val="12"/>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根据工程需要组织审核进场工程材料、构配件、机械设备的质量证明资料，对进场实物按照有关工程质量安全管理的规定按比例抽检或见证取样、送样检验工作；</w:t>
      </w:r>
    </w:p>
    <w:p w14:paraId="77A9F12D">
      <w:pPr>
        <w:keepNext w:val="0"/>
        <w:keepLines w:val="0"/>
        <w:pageBreakBefore w:val="0"/>
        <w:widowControl w:val="0"/>
        <w:numPr>
          <w:ilvl w:val="0"/>
          <w:numId w:val="12"/>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当施工存在重大质量安全隐患，可能造成质量安全事故或已经造成质量安全事故时，立刻下达工程停工令，责令承包人停工整改并跟踪整改；</w:t>
      </w:r>
    </w:p>
    <w:p w14:paraId="4421A269">
      <w:pPr>
        <w:keepNext w:val="0"/>
        <w:keepLines w:val="0"/>
        <w:pageBreakBefore w:val="0"/>
        <w:widowControl w:val="0"/>
        <w:numPr>
          <w:ilvl w:val="0"/>
          <w:numId w:val="12"/>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及时提交有关质量事故的书面报告，划分质量事故责任，整理质量事故处理记录等资料，并负责归档；</w:t>
      </w:r>
    </w:p>
    <w:p w14:paraId="4AC3D9F0">
      <w:pPr>
        <w:keepNext w:val="0"/>
        <w:keepLines w:val="0"/>
        <w:pageBreakBefore w:val="0"/>
        <w:widowControl w:val="0"/>
        <w:numPr>
          <w:ilvl w:val="0"/>
          <w:numId w:val="12"/>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编制并提交工程质量安全报告，汇报工程的质量安全情况。</w:t>
      </w:r>
    </w:p>
    <w:p w14:paraId="79EC9CF6">
      <w:pPr>
        <w:keepNext w:val="0"/>
        <w:keepLines w:val="0"/>
        <w:pageBreakBefore w:val="0"/>
        <w:widowControl w:val="0"/>
        <w:numPr>
          <w:ilvl w:val="0"/>
          <w:numId w:val="12"/>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合同管理和文档信息管理：协助委托人项目组做好合同管理工作，负责起草委托人主持的工程管理会议纪要，负责委托人项目与项目合同单位之间的文档信息收发、存档和处理工作。</w:t>
      </w:r>
    </w:p>
    <w:p w14:paraId="593D1B7B">
      <w:pPr>
        <w:keepNext w:val="0"/>
        <w:keepLines w:val="0"/>
        <w:pageBreakBefore w:val="0"/>
        <w:widowControl w:val="0"/>
        <w:numPr>
          <w:ilvl w:val="0"/>
          <w:numId w:val="10"/>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协助委托人做好环境管理工作：</w:t>
      </w:r>
    </w:p>
    <w:p w14:paraId="5F687A77">
      <w:pPr>
        <w:keepNext w:val="0"/>
        <w:keepLines w:val="0"/>
        <w:pageBreakBefore w:val="0"/>
        <w:widowControl w:val="0"/>
        <w:numPr>
          <w:ilvl w:val="0"/>
          <w:numId w:val="13"/>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编制项目环境保护管理计划；</w:t>
      </w:r>
    </w:p>
    <w:p w14:paraId="44285647">
      <w:pPr>
        <w:keepNext w:val="0"/>
        <w:keepLines w:val="0"/>
        <w:pageBreakBefore w:val="0"/>
        <w:widowControl w:val="0"/>
        <w:numPr>
          <w:ilvl w:val="0"/>
          <w:numId w:val="13"/>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协助委托人办理环境监测的委托工作；</w:t>
      </w:r>
    </w:p>
    <w:p w14:paraId="57BF161D">
      <w:pPr>
        <w:keepNext w:val="0"/>
        <w:keepLines w:val="0"/>
        <w:pageBreakBefore w:val="0"/>
        <w:widowControl w:val="0"/>
        <w:numPr>
          <w:ilvl w:val="0"/>
          <w:numId w:val="13"/>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根据委托人委托的专业环境监测单位提交的环境保护监测报告，制定环境保护对策和措施，并跟进有关整改工作的执行情况。</w:t>
      </w:r>
    </w:p>
    <w:p w14:paraId="6926AA51">
      <w:pPr>
        <w:pStyle w:val="166"/>
        <w:keepNext w:val="0"/>
        <w:keepLines w:val="0"/>
        <w:pageBreakBefore w:val="0"/>
        <w:widowControl w:val="0"/>
        <w:kinsoku/>
        <w:overflowPunct/>
        <w:autoSpaceDE/>
        <w:bidi w:val="0"/>
        <w:spacing w:line="560" w:lineRule="exact"/>
        <w:ind w:left="0" w:leftChars="0" w:right="0" w:rightChars="0" w:firstLineChars="200"/>
        <w:textAlignment w:val="auto"/>
        <w:rPr>
          <w:rFonts w:hint="eastAsia" w:ascii="宋体" w:hAnsi="宋体" w:eastAsia="宋体" w:cs="宋体"/>
          <w:b w:val="0"/>
          <w:bCs w:val="0"/>
          <w:color w:val="000000"/>
          <w:szCs w:val="21"/>
          <w:highlight w:val="none"/>
        </w:rPr>
      </w:pPr>
      <w:r>
        <w:rPr>
          <w:rStyle w:val="152"/>
          <w:rFonts w:ascii="Wingdings 2" w:hAnsi="Wingdings 2" w:cs="Times New Roman"/>
          <w:b w:val="0"/>
          <w:bCs w:val="0"/>
          <w:color w:val="000000"/>
          <w:szCs w:val="21"/>
          <w:highlight w:val="none"/>
        </w:rPr>
        <w:sym w:font="Wingdings 2" w:char="00A2"/>
      </w:r>
      <w:r>
        <w:rPr>
          <w:rStyle w:val="152"/>
          <w:rFonts w:hint="eastAsia" w:ascii="宋体" w:hAnsi="宋体" w:cs="Times New Roman"/>
          <w:b w:val="0"/>
          <w:bCs w:val="0"/>
          <w:color w:val="000000"/>
          <w:szCs w:val="21"/>
          <w:highlight w:val="none"/>
        </w:rPr>
        <w:t xml:space="preserve"> </w:t>
      </w:r>
      <w:r>
        <w:rPr>
          <w:rFonts w:hint="eastAsia" w:ascii="宋体" w:hAnsi="宋体" w:cs="宋体"/>
          <w:b w:val="0"/>
          <w:bCs w:val="0"/>
          <w:color w:val="000000"/>
          <w:szCs w:val="21"/>
          <w:highlight w:val="none"/>
        </w:rPr>
        <w:t>以上未尽之处，按照中华人民共和国国家标准</w:t>
      </w:r>
      <w:r>
        <w:rPr>
          <w:rFonts w:hint="eastAsia" w:ascii="宋体" w:hAnsi="宋体" w:cs="宋体"/>
          <w:b w:val="0"/>
          <w:bCs w:val="0"/>
          <w:color w:val="000000"/>
          <w:szCs w:val="21"/>
          <w:highlight w:val="none"/>
          <w:u w:val="single"/>
        </w:rPr>
        <w:t>《建设工程监理规范（GB50319-2013）》第5条、第6.1、第6.2、6.3、6.4条执行</w:t>
      </w:r>
      <w:r>
        <w:rPr>
          <w:rFonts w:hint="eastAsia" w:ascii="宋体" w:hAnsi="宋体" w:cs="宋体"/>
          <w:b w:val="0"/>
          <w:bCs w:val="0"/>
          <w:color w:val="000000"/>
          <w:szCs w:val="21"/>
          <w:highlight w:val="none"/>
        </w:rPr>
        <w:t>。</w:t>
      </w:r>
    </w:p>
    <w:p w14:paraId="0F12B537">
      <w:pPr>
        <w:pStyle w:val="179"/>
        <w:keepNext w:val="0"/>
        <w:keepLines w:val="0"/>
        <w:pageBreakBefore w:val="0"/>
        <w:widowControl w:val="0"/>
        <w:kinsoku/>
        <w:overflowPunct/>
        <w:autoSpaceDE/>
        <w:bidi w:val="0"/>
        <w:snapToGrid/>
        <w:spacing w:line="560" w:lineRule="exact"/>
        <w:ind w:left="0" w:leftChars="0" w:right="0" w:rightChars="0" w:firstLineChars="200"/>
        <w:jc w:val="both"/>
        <w:textAlignment w:val="auto"/>
        <w:rPr>
          <w:rStyle w:val="152"/>
          <w:rFonts w:ascii="宋体" w:hAnsi="宋体"/>
          <w:b w:val="0"/>
          <w:bCs w:val="0"/>
          <w:color w:val="000000"/>
          <w:szCs w:val="21"/>
          <w:highlight w:val="none"/>
        </w:rPr>
      </w:pPr>
      <w:r>
        <w:rPr>
          <w:rStyle w:val="152"/>
          <w:rFonts w:hint="eastAsia" w:ascii="宋体" w:hAnsi="宋体" w:cs="宋体"/>
          <w:b w:val="0"/>
          <w:bCs w:val="0"/>
          <w:color w:val="000000"/>
          <w:szCs w:val="21"/>
          <w:highlight w:val="none"/>
        </w:rPr>
        <w:t>二、对现场监理班子机构的要求</w:t>
      </w:r>
    </w:p>
    <w:p w14:paraId="08B5F696">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Style w:val="152"/>
          <w:rFonts w:hint="eastAsia" w:ascii="宋体" w:hAnsi="宋体" w:cs="宋体"/>
          <w:b w:val="0"/>
          <w:bCs w:val="0"/>
          <w:color w:val="000000"/>
          <w:szCs w:val="21"/>
          <w:highlight w:val="none"/>
          <w:u w:val="single"/>
        </w:rPr>
      </w:pPr>
      <w:r>
        <w:rPr>
          <w:rStyle w:val="152"/>
          <w:rFonts w:ascii="宋体" w:hAnsi="宋体" w:cs="宋体"/>
          <w:b w:val="0"/>
          <w:bCs w:val="0"/>
          <w:color w:val="000000"/>
          <w:szCs w:val="21"/>
          <w:highlight w:val="none"/>
        </w:rPr>
        <w:t>2.1</w:t>
      </w:r>
      <w:r>
        <w:rPr>
          <w:rStyle w:val="152"/>
          <w:rFonts w:hint="eastAsia" w:ascii="宋体" w:hAnsi="宋体" w:cs="宋体"/>
          <w:b w:val="0"/>
          <w:bCs w:val="0"/>
          <w:color w:val="000000"/>
          <w:szCs w:val="21"/>
          <w:highlight w:val="none"/>
          <w:u w:val="single"/>
        </w:rPr>
        <w:t>本工程实行项目总监负责制，项目总监对监理工作全权负责，对委托人负责。监理班子机构设置、人员安排、职责范围等，须符合《监理机构人员最低配置要求》。未经委托人批准不得撤换。</w:t>
      </w:r>
    </w:p>
    <w:p w14:paraId="596EB56A">
      <w:pPr>
        <w:pStyle w:val="25"/>
        <w:spacing w:before="156" w:after="120" w:line="560" w:lineRule="exact"/>
        <w:jc w:val="center"/>
        <w:rPr>
          <w:highlight w:val="none"/>
        </w:rPr>
      </w:pPr>
      <w:r>
        <w:rPr>
          <w:rFonts w:hint="eastAsia"/>
          <w:b w:val="0"/>
          <w:bCs w:val="0"/>
          <w:color w:val="000000"/>
          <w:sz w:val="24"/>
          <w:highlight w:val="none"/>
        </w:rPr>
        <w:t>监理机构人员最低配置要求</w:t>
      </w:r>
    </w:p>
    <w:tbl>
      <w:tblPr>
        <w:tblStyle w:val="55"/>
        <w:tblW w:w="8519" w:type="dxa"/>
        <w:jc w:val="center"/>
        <w:tblLayout w:type="fixed"/>
        <w:tblCellMar>
          <w:top w:w="0" w:type="dxa"/>
          <w:left w:w="108" w:type="dxa"/>
          <w:bottom w:w="0" w:type="dxa"/>
          <w:right w:w="108" w:type="dxa"/>
        </w:tblCellMar>
      </w:tblPr>
      <w:tblGrid>
        <w:gridCol w:w="885"/>
        <w:gridCol w:w="506"/>
        <w:gridCol w:w="2207"/>
        <w:gridCol w:w="4921"/>
      </w:tblGrid>
      <w:tr w14:paraId="51F80ED6">
        <w:tblPrEx>
          <w:tblCellMar>
            <w:top w:w="0" w:type="dxa"/>
            <w:left w:w="108" w:type="dxa"/>
            <w:bottom w:w="0" w:type="dxa"/>
            <w:right w:w="108" w:type="dxa"/>
          </w:tblCellMar>
        </w:tblPrEx>
        <w:trPr>
          <w:cantSplit/>
          <w:trHeight w:val="849" w:hRule="atLeast"/>
          <w:jc w:val="center"/>
        </w:trPr>
        <w:tc>
          <w:tcPr>
            <w:tcW w:w="885" w:type="dxa"/>
            <w:tcBorders>
              <w:top w:val="single" w:color="000000" w:sz="6" w:space="0"/>
              <w:left w:val="single" w:color="000000" w:sz="12" w:space="0"/>
              <w:bottom w:val="single" w:color="000000" w:sz="6" w:space="0"/>
              <w:right w:val="single" w:color="000000" w:sz="6" w:space="0"/>
            </w:tcBorders>
            <w:vAlign w:val="center"/>
          </w:tcPr>
          <w:p w14:paraId="2EFDDA31">
            <w:pPr>
              <w:pStyle w:val="26"/>
              <w:snapToGrid w:val="0"/>
              <w:spacing w:before="109" w:after="109" w:line="560" w:lineRule="exact"/>
              <w:ind w:left="0" w:leftChars="0" w:right="0" w:rightChars="0"/>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项目总监</w:t>
            </w:r>
          </w:p>
        </w:tc>
        <w:tc>
          <w:tcPr>
            <w:tcW w:w="506" w:type="dxa"/>
            <w:tcBorders>
              <w:top w:val="single" w:color="000000" w:sz="6" w:space="0"/>
              <w:left w:val="single" w:color="000000" w:sz="6" w:space="0"/>
              <w:bottom w:val="single" w:color="000000" w:sz="6" w:space="0"/>
              <w:right w:val="single" w:color="000000" w:sz="6" w:space="0"/>
            </w:tcBorders>
            <w:vAlign w:val="center"/>
          </w:tcPr>
          <w:p w14:paraId="15548393">
            <w:pPr>
              <w:pStyle w:val="26"/>
              <w:snapToGrid w:val="0"/>
              <w:spacing w:before="109" w:after="109" w:line="560" w:lineRule="exact"/>
              <w:ind w:left="0" w:leftChars="0" w:right="0" w:rightChars="0"/>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1人</w:t>
            </w:r>
          </w:p>
        </w:tc>
        <w:tc>
          <w:tcPr>
            <w:tcW w:w="2207" w:type="dxa"/>
            <w:tcBorders>
              <w:top w:val="single" w:color="000000" w:sz="6" w:space="0"/>
              <w:left w:val="single" w:color="000000" w:sz="6" w:space="0"/>
              <w:bottom w:val="single" w:color="000000" w:sz="6" w:space="0"/>
              <w:right w:val="single" w:color="000000" w:sz="6" w:space="0"/>
            </w:tcBorders>
            <w:vAlign w:val="center"/>
          </w:tcPr>
          <w:p w14:paraId="7F739917">
            <w:pPr>
              <w:pStyle w:val="26"/>
              <w:snapToGrid w:val="0"/>
              <w:spacing w:before="109" w:after="109" w:line="560" w:lineRule="exact"/>
              <w:ind w:left="0" w:leftChars="0" w:right="0" w:rightChars="0"/>
              <w:rPr>
                <w:rFonts w:hint="eastAsia" w:ascii="宋体" w:hAnsi="宋体" w:eastAsia="宋体" w:cs="宋体"/>
                <w:b w:val="0"/>
                <w:bCs w:val="0"/>
                <w:color w:val="000000"/>
                <w:sz w:val="21"/>
                <w:szCs w:val="21"/>
                <w:highlight w:val="none"/>
              </w:rPr>
            </w:pPr>
            <w:r>
              <w:rPr>
                <w:rFonts w:hint="eastAsia" w:ascii="宋体" w:hAnsi="宋体" w:cs="宋体"/>
                <w:b w:val="0"/>
                <w:bCs w:val="0"/>
                <w:color w:val="000000"/>
                <w:sz w:val="21"/>
                <w:szCs w:val="21"/>
                <w:highlight w:val="none"/>
              </w:rPr>
              <w:t>房屋建筑工程，土建专业</w:t>
            </w:r>
          </w:p>
        </w:tc>
        <w:tc>
          <w:tcPr>
            <w:tcW w:w="4921" w:type="dxa"/>
            <w:tcBorders>
              <w:top w:val="single" w:color="000000" w:sz="6" w:space="0"/>
              <w:left w:val="single" w:color="000000" w:sz="6" w:space="0"/>
              <w:bottom w:val="single" w:color="000000" w:sz="6" w:space="0"/>
              <w:right w:val="single" w:color="000000" w:sz="12" w:space="0"/>
            </w:tcBorders>
            <w:vAlign w:val="center"/>
          </w:tcPr>
          <w:p w14:paraId="6D9D26AC">
            <w:pPr>
              <w:pStyle w:val="26"/>
              <w:snapToGrid w:val="0"/>
              <w:spacing w:before="109" w:after="109" w:line="560" w:lineRule="exact"/>
              <w:ind w:left="0" w:leftChars="0" w:right="0" w:rightChars="0"/>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在本单位注册的国家注册监理工程师，高级工程师职称，12年以上工作经验，至少5年以上从事工程监理经验，担任过至少1个以上2亿元以上的房屋建筑工程项目总监的经历。</w:t>
            </w:r>
          </w:p>
        </w:tc>
      </w:tr>
      <w:tr w14:paraId="6050D8C4">
        <w:trPr>
          <w:cantSplit/>
          <w:trHeight w:val="90" w:hRule="atLeast"/>
          <w:jc w:val="center"/>
        </w:trPr>
        <w:tc>
          <w:tcPr>
            <w:tcW w:w="885" w:type="dxa"/>
            <w:tcBorders>
              <w:top w:val="single" w:color="000000" w:sz="6" w:space="0"/>
              <w:left w:val="single" w:color="000000" w:sz="12" w:space="0"/>
              <w:bottom w:val="single" w:color="000000" w:sz="6" w:space="0"/>
              <w:right w:val="single" w:color="000000" w:sz="6" w:space="0"/>
            </w:tcBorders>
            <w:vAlign w:val="center"/>
          </w:tcPr>
          <w:p w14:paraId="18AF655A">
            <w:pPr>
              <w:keepNext w:val="0"/>
              <w:keepLines w:val="0"/>
              <w:widowControl/>
              <w:suppressLineNumbers w:val="0"/>
              <w:spacing w:line="560" w:lineRule="exact"/>
              <w:jc w:val="left"/>
              <w:rPr>
                <w:rFonts w:ascii="宋体" w:hAnsi="宋体" w:eastAsia="宋体" w:cs="宋体"/>
                <w:b w:val="0"/>
                <w:bCs w:val="0"/>
                <w:color w:val="000000"/>
                <w:sz w:val="21"/>
                <w:szCs w:val="21"/>
                <w:highlight w:val="none"/>
              </w:rPr>
            </w:pPr>
            <w:r>
              <w:rPr>
                <w:rFonts w:hint="eastAsia" w:ascii="宋体" w:hAnsi="宋体" w:cs="宋体"/>
                <w:b w:val="0"/>
                <w:bCs w:val="0"/>
                <w:color w:val="000000"/>
                <w:sz w:val="21"/>
                <w:szCs w:val="21"/>
                <w:highlight w:val="none"/>
              </w:rPr>
              <w:t>专业监理工程师</w:t>
            </w:r>
          </w:p>
        </w:tc>
        <w:tc>
          <w:tcPr>
            <w:tcW w:w="506" w:type="dxa"/>
            <w:tcBorders>
              <w:top w:val="single" w:color="000000" w:sz="6" w:space="0"/>
              <w:left w:val="single" w:color="000000" w:sz="6" w:space="0"/>
              <w:bottom w:val="single" w:color="000000" w:sz="6" w:space="0"/>
              <w:right w:val="single" w:color="000000" w:sz="6" w:space="0"/>
            </w:tcBorders>
            <w:vAlign w:val="center"/>
          </w:tcPr>
          <w:p w14:paraId="028ADC89">
            <w:pPr>
              <w:pStyle w:val="26"/>
              <w:snapToGrid w:val="0"/>
              <w:spacing w:before="109" w:after="109" w:line="560" w:lineRule="exact"/>
              <w:ind w:left="0" w:leftChars="0" w:right="0" w:rightChars="0"/>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1人</w:t>
            </w:r>
          </w:p>
        </w:tc>
        <w:tc>
          <w:tcPr>
            <w:tcW w:w="2207" w:type="dxa"/>
            <w:tcBorders>
              <w:top w:val="single" w:color="000000" w:sz="6" w:space="0"/>
              <w:left w:val="single" w:color="000000" w:sz="6" w:space="0"/>
              <w:bottom w:val="single" w:color="000000" w:sz="6" w:space="0"/>
              <w:right w:val="single" w:color="000000" w:sz="6" w:space="0"/>
            </w:tcBorders>
            <w:vAlign w:val="center"/>
          </w:tcPr>
          <w:p w14:paraId="0307C4CB">
            <w:pPr>
              <w:keepNext w:val="0"/>
              <w:keepLines w:val="0"/>
              <w:widowControl/>
              <w:suppressLineNumbers w:val="0"/>
              <w:spacing w:line="560" w:lineRule="exact"/>
              <w:jc w:val="left"/>
              <w:rPr>
                <w:highlight w:val="none"/>
              </w:rPr>
            </w:pPr>
            <w:r>
              <w:rPr>
                <w:rFonts w:ascii="宋体" w:hAnsi="宋体" w:cs="宋体"/>
                <w:kern w:val="0"/>
                <w:sz w:val="24"/>
                <w:szCs w:val="24"/>
                <w:highlight w:val="none"/>
                <w:lang w:bidi="ar"/>
              </w:rPr>
              <w:t>给排水、电气、暖通</w:t>
            </w:r>
            <w:r>
              <w:rPr>
                <w:rFonts w:hint="eastAsia" w:ascii="宋体" w:hAnsi="宋体" w:cs="宋体"/>
                <w:kern w:val="0"/>
                <w:sz w:val="24"/>
                <w:szCs w:val="24"/>
                <w:highlight w:val="none"/>
                <w:lang w:bidi="ar"/>
              </w:rPr>
              <w:t>专业</w:t>
            </w:r>
          </w:p>
          <w:p w14:paraId="3FFB00AB">
            <w:pPr>
              <w:pStyle w:val="26"/>
              <w:snapToGrid w:val="0"/>
              <w:spacing w:before="109" w:after="109" w:line="560" w:lineRule="exact"/>
              <w:ind w:left="0" w:leftChars="0" w:right="0" w:rightChars="0"/>
              <w:rPr>
                <w:rFonts w:hint="eastAsia" w:ascii="宋体" w:hAnsi="宋体" w:eastAsia="宋体" w:cs="宋体"/>
                <w:b w:val="0"/>
                <w:bCs w:val="0"/>
                <w:color w:val="000000"/>
                <w:sz w:val="21"/>
                <w:szCs w:val="21"/>
                <w:highlight w:val="none"/>
              </w:rPr>
            </w:pPr>
          </w:p>
        </w:tc>
        <w:tc>
          <w:tcPr>
            <w:tcW w:w="4921" w:type="dxa"/>
            <w:tcBorders>
              <w:top w:val="single" w:color="000000" w:sz="6" w:space="0"/>
              <w:left w:val="single" w:color="000000" w:sz="6" w:space="0"/>
              <w:bottom w:val="single" w:color="000000" w:sz="6" w:space="0"/>
              <w:right w:val="single" w:color="000000" w:sz="12" w:space="0"/>
            </w:tcBorders>
            <w:vAlign w:val="center"/>
          </w:tcPr>
          <w:p w14:paraId="6497236B">
            <w:pPr>
              <w:pStyle w:val="26"/>
              <w:snapToGrid w:val="0"/>
              <w:spacing w:before="109" w:after="109" w:line="560" w:lineRule="exact"/>
              <w:ind w:left="0" w:leftChars="0" w:right="0" w:rightChars="0"/>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与本单位有固定合同关系，工程师职称证，5年以上监理工作经验，根据工程进展情况配置、上岗，并须常驻现场。</w:t>
            </w:r>
          </w:p>
        </w:tc>
      </w:tr>
      <w:tr w14:paraId="41606506">
        <w:tblPrEx>
          <w:tblCellMar>
            <w:top w:w="0" w:type="dxa"/>
            <w:left w:w="108" w:type="dxa"/>
            <w:bottom w:w="0" w:type="dxa"/>
            <w:right w:w="108" w:type="dxa"/>
          </w:tblCellMar>
        </w:tblPrEx>
        <w:trPr>
          <w:cantSplit/>
          <w:trHeight w:val="472" w:hRule="atLeast"/>
          <w:jc w:val="center"/>
        </w:trPr>
        <w:tc>
          <w:tcPr>
            <w:tcW w:w="885" w:type="dxa"/>
            <w:tcBorders>
              <w:top w:val="single" w:color="000000" w:sz="6" w:space="0"/>
              <w:left w:val="single" w:color="000000" w:sz="12" w:space="0"/>
              <w:bottom w:val="single" w:color="000000" w:sz="6" w:space="0"/>
              <w:right w:val="single" w:color="000000" w:sz="6" w:space="0"/>
            </w:tcBorders>
            <w:vAlign w:val="center"/>
          </w:tcPr>
          <w:p w14:paraId="2BB349F9">
            <w:pPr>
              <w:keepNext w:val="0"/>
              <w:keepLines w:val="0"/>
              <w:widowControl/>
              <w:suppressLineNumbers w:val="0"/>
              <w:spacing w:line="560" w:lineRule="exact"/>
              <w:jc w:val="left"/>
              <w:rPr>
                <w:highlight w:val="none"/>
              </w:rPr>
            </w:pPr>
            <w:r>
              <w:rPr>
                <w:rFonts w:hint="eastAsia" w:ascii="宋体" w:hAnsi="宋体" w:cs="宋体"/>
                <w:b w:val="0"/>
                <w:bCs w:val="0"/>
                <w:color w:val="000000"/>
                <w:sz w:val="21"/>
                <w:szCs w:val="21"/>
                <w:highlight w:val="none"/>
              </w:rPr>
              <w:t>监理员（</w:t>
            </w:r>
            <w:r>
              <w:rPr>
                <w:rFonts w:ascii="宋体" w:hAnsi="宋体" w:cs="宋体"/>
                <w:kern w:val="0"/>
                <w:sz w:val="24"/>
                <w:szCs w:val="24"/>
                <w:highlight w:val="none"/>
                <w:lang w:bidi="ar"/>
              </w:rPr>
              <w:t>专职安全专业监理工程师</w:t>
            </w:r>
          </w:p>
          <w:p w14:paraId="4CA8038B">
            <w:pPr>
              <w:keepNext w:val="0"/>
              <w:keepLines w:val="0"/>
              <w:widowControl/>
              <w:suppressLineNumbers w:val="0"/>
              <w:spacing w:line="560" w:lineRule="exact"/>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w:t>
            </w:r>
          </w:p>
        </w:tc>
        <w:tc>
          <w:tcPr>
            <w:tcW w:w="506" w:type="dxa"/>
            <w:tcBorders>
              <w:top w:val="single" w:color="000000" w:sz="6" w:space="0"/>
              <w:left w:val="single" w:color="000000" w:sz="6" w:space="0"/>
              <w:bottom w:val="single" w:color="000000" w:sz="6" w:space="0"/>
              <w:right w:val="single" w:color="000000" w:sz="6" w:space="0"/>
            </w:tcBorders>
            <w:vAlign w:val="center"/>
          </w:tcPr>
          <w:p w14:paraId="7380723A">
            <w:pPr>
              <w:pStyle w:val="26"/>
              <w:snapToGrid w:val="0"/>
              <w:spacing w:before="109" w:after="109" w:line="560" w:lineRule="exact"/>
              <w:ind w:left="0" w:leftChars="0" w:right="0" w:rightChars="0"/>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至少1人</w:t>
            </w:r>
          </w:p>
        </w:tc>
        <w:tc>
          <w:tcPr>
            <w:tcW w:w="2207" w:type="dxa"/>
            <w:tcBorders>
              <w:top w:val="single" w:color="000000" w:sz="6" w:space="0"/>
              <w:left w:val="single" w:color="000000" w:sz="6" w:space="0"/>
              <w:bottom w:val="single" w:color="000000" w:sz="6" w:space="0"/>
              <w:right w:val="single" w:color="000000" w:sz="6" w:space="0"/>
            </w:tcBorders>
            <w:vAlign w:val="center"/>
          </w:tcPr>
          <w:p w14:paraId="7DA98BB3">
            <w:pPr>
              <w:pStyle w:val="26"/>
              <w:snapToGrid w:val="0"/>
              <w:spacing w:before="109" w:after="109" w:line="560" w:lineRule="exact"/>
              <w:ind w:left="0" w:leftChars="0" w:right="0" w:rightChars="0"/>
              <w:rPr>
                <w:rFonts w:hint="eastAsia" w:ascii="宋体" w:hAnsi="宋体" w:eastAsia="宋体" w:cs="宋体"/>
                <w:b w:val="0"/>
                <w:bCs w:val="0"/>
                <w:color w:val="000000"/>
                <w:sz w:val="21"/>
                <w:szCs w:val="21"/>
                <w:highlight w:val="none"/>
              </w:rPr>
            </w:pPr>
            <w:r>
              <w:rPr>
                <w:rFonts w:hint="eastAsia" w:ascii="宋体" w:hAnsi="宋体" w:cs="宋体"/>
                <w:b w:val="0"/>
                <w:bCs w:val="0"/>
                <w:color w:val="000000"/>
                <w:sz w:val="21"/>
                <w:szCs w:val="21"/>
                <w:highlight w:val="none"/>
              </w:rPr>
              <w:t>土建专业</w:t>
            </w:r>
          </w:p>
        </w:tc>
        <w:tc>
          <w:tcPr>
            <w:tcW w:w="4921" w:type="dxa"/>
            <w:tcBorders>
              <w:top w:val="single" w:color="000000" w:sz="6" w:space="0"/>
              <w:left w:val="single" w:color="000000" w:sz="6" w:space="0"/>
              <w:bottom w:val="single" w:color="000000" w:sz="6" w:space="0"/>
              <w:right w:val="single" w:color="000000" w:sz="12" w:space="0"/>
            </w:tcBorders>
            <w:vAlign w:val="center"/>
          </w:tcPr>
          <w:p w14:paraId="5A9EFE2A">
            <w:pPr>
              <w:pStyle w:val="40"/>
              <w:tabs>
                <w:tab w:val="right" w:leader="hyphen" w:pos="9345"/>
              </w:tabs>
              <w:snapToGrid w:val="0"/>
              <w:spacing w:before="109" w:after="109" w:line="560" w:lineRule="exact"/>
              <w:ind w:left="0" w:leftChars="0" w:right="0" w:rightChars="0" w:firstLine="0" w:firstLineChars="0"/>
              <w:jc w:val="both"/>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人员数量能够满足现场工作需要，具有深圳市档案局颁发的档案员上岗资格证</w:t>
            </w:r>
          </w:p>
        </w:tc>
      </w:tr>
    </w:tbl>
    <w:p w14:paraId="3E442D18">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Style w:val="152"/>
          <w:rFonts w:hint="eastAsia" w:ascii="宋体" w:hAnsi="宋体" w:eastAsia="宋体"/>
          <w:b w:val="0"/>
          <w:bCs w:val="0"/>
          <w:color w:val="000000"/>
          <w:szCs w:val="21"/>
          <w:highlight w:val="none"/>
          <w:u w:val="single"/>
        </w:rPr>
      </w:pPr>
      <w:r>
        <w:rPr>
          <w:rStyle w:val="152"/>
          <w:rFonts w:ascii="宋体" w:hAnsi="宋体" w:cs="宋体"/>
          <w:b w:val="0"/>
          <w:bCs w:val="0"/>
          <w:color w:val="000000"/>
          <w:szCs w:val="21"/>
          <w:highlight w:val="none"/>
          <w:u w:val="single"/>
        </w:rPr>
        <w:t>2.2</w:t>
      </w:r>
      <w:r>
        <w:rPr>
          <w:rStyle w:val="152"/>
          <w:rFonts w:hint="eastAsia" w:ascii="宋体" w:hAnsi="宋体" w:cs="宋体"/>
          <w:b w:val="0"/>
          <w:bCs w:val="0"/>
          <w:color w:val="000000"/>
          <w:szCs w:val="21"/>
          <w:highlight w:val="none"/>
          <w:u w:val="single"/>
        </w:rPr>
        <w:t>为保证在合同期内完成承担的监理任务，要求项目总监应常驻现场。项目总监不应缺席各种工程会议及由委托人或其它主管部门组织的各项工程检查</w:t>
      </w:r>
      <w:r>
        <w:rPr>
          <w:rStyle w:val="152"/>
          <w:rFonts w:hint="eastAsia" w:ascii="宋体" w:hAnsi="宋体" w:cs="仿宋_GB2312"/>
          <w:b w:val="0"/>
          <w:bCs w:val="0"/>
          <w:color w:val="000000"/>
          <w:szCs w:val="21"/>
          <w:highlight w:val="none"/>
          <w:u w:val="single"/>
        </w:rPr>
        <w:t>。若未经委托人同意，无故缺席工程会议或须亲自处理的事务的，视为监理人违约，处违约金2000元/人▪次，违约金累计计算。</w:t>
      </w:r>
    </w:p>
    <w:p w14:paraId="4385C8E7">
      <w:pPr>
        <w:pStyle w:val="179"/>
        <w:keepNext w:val="0"/>
        <w:keepLines w:val="0"/>
        <w:pageBreakBefore w:val="0"/>
        <w:widowControl w:val="0"/>
        <w:kinsoku/>
        <w:overflowPunct/>
        <w:autoSpaceDE/>
        <w:bidi w:val="0"/>
        <w:spacing w:line="560" w:lineRule="exact"/>
        <w:ind w:left="0" w:leftChars="0" w:right="0" w:rightChars="0" w:firstLineChars="193"/>
        <w:jc w:val="both"/>
        <w:textAlignment w:val="auto"/>
        <w:rPr>
          <w:rStyle w:val="152"/>
          <w:rFonts w:hint="eastAsia" w:ascii="宋体" w:hAnsi="宋体" w:cs="仿宋_GB2312"/>
          <w:b w:val="0"/>
          <w:bCs w:val="0"/>
          <w:color w:val="000000"/>
          <w:szCs w:val="21"/>
          <w:highlight w:val="none"/>
          <w:u w:val="single"/>
        </w:rPr>
      </w:pPr>
      <w:r>
        <w:rPr>
          <w:rStyle w:val="152"/>
          <w:rFonts w:ascii="宋体" w:hAnsi="宋体" w:cs="宋体"/>
          <w:b w:val="0"/>
          <w:bCs w:val="0"/>
          <w:color w:val="000000"/>
          <w:szCs w:val="21"/>
          <w:highlight w:val="none"/>
          <w:u w:val="single"/>
        </w:rPr>
        <w:t>2.3</w:t>
      </w:r>
      <w:r>
        <w:rPr>
          <w:rStyle w:val="152"/>
          <w:rFonts w:hint="eastAsia" w:ascii="宋体" w:hAnsi="宋体" w:cs="宋体"/>
          <w:b w:val="0"/>
          <w:bCs w:val="0"/>
          <w:color w:val="000000"/>
          <w:szCs w:val="21"/>
          <w:highlight w:val="none"/>
          <w:u w:val="single"/>
        </w:rPr>
        <w:t>根据工程实际进展情况，监理班子成员应按“进场时间”按时到位，并满足监理工作需求。监理人员“进场”数量必须满足《广东省建设厅转发建设部关于印发〈房屋建筑工程施工旁站监理管理办法（试行）〉的通知》（粤建管</w:t>
      </w:r>
      <w:r>
        <w:rPr>
          <w:rStyle w:val="152"/>
          <w:rFonts w:ascii="宋体" w:hAnsi="宋体" w:cs="宋体"/>
          <w:b w:val="0"/>
          <w:bCs w:val="0"/>
          <w:color w:val="000000"/>
          <w:szCs w:val="21"/>
          <w:highlight w:val="none"/>
          <w:u w:val="single"/>
        </w:rPr>
        <w:t>[2002]97</w:t>
      </w:r>
      <w:r>
        <w:rPr>
          <w:rStyle w:val="152"/>
          <w:rFonts w:hint="eastAsia" w:ascii="宋体" w:hAnsi="宋体" w:cs="宋体"/>
          <w:b w:val="0"/>
          <w:bCs w:val="0"/>
          <w:color w:val="000000"/>
          <w:szCs w:val="21"/>
          <w:highlight w:val="none"/>
          <w:u w:val="single"/>
        </w:rPr>
        <w:t>号）中附件《工程项目监理最少人数配置参照表》规定及深圳市现行有关规定的要求，且不得少于本补充条款第2.1条监理机构人员最低配置要求确定的人数。</w:t>
      </w:r>
    </w:p>
    <w:p w14:paraId="5C313CC6">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Style w:val="152"/>
          <w:rFonts w:hint="eastAsia" w:ascii="宋体" w:hAnsi="宋体" w:cs="Times New Roman"/>
          <w:b w:val="0"/>
          <w:bCs w:val="0"/>
          <w:color w:val="000000"/>
          <w:szCs w:val="21"/>
          <w:highlight w:val="none"/>
          <w:u w:val="single"/>
        </w:rPr>
      </w:pPr>
      <w:r>
        <w:rPr>
          <w:rStyle w:val="152"/>
          <w:rFonts w:hint="eastAsia" w:ascii="宋体" w:hAnsi="宋体" w:cs="Times New Roman"/>
          <w:b w:val="0"/>
          <w:bCs w:val="0"/>
          <w:color w:val="000000"/>
          <w:szCs w:val="21"/>
          <w:highlight w:val="none"/>
          <w:u w:val="single"/>
        </w:rPr>
        <w:t>2.4监理人应在监理服务期内，为项目监理人员和</w:t>
      </w:r>
      <w:r>
        <w:rPr>
          <w:rStyle w:val="152"/>
          <w:rFonts w:hint="eastAsia" w:ascii="宋体" w:hAnsi="宋体"/>
          <w:color w:val="000000"/>
          <w:szCs w:val="21"/>
          <w:highlight w:val="none"/>
          <w:u w:val="single"/>
        </w:rPr>
        <w:t>派驻协助委托人工作的人员</w:t>
      </w:r>
      <w:r>
        <w:rPr>
          <w:rStyle w:val="152"/>
          <w:rFonts w:hint="eastAsia" w:ascii="宋体" w:hAnsi="宋体" w:cs="Times New Roman"/>
          <w:b w:val="0"/>
          <w:bCs w:val="0"/>
          <w:color w:val="000000"/>
          <w:szCs w:val="21"/>
          <w:highlight w:val="none"/>
          <w:u w:val="single"/>
        </w:rPr>
        <w:t>购买意外伤害险、社会保险和自备财产的有关保险，保险时间应随服务时间的延长而顺延，并在出险后自行办理索赔。如果监理人不办理上述保险，由此引起的风险及后果自行负责</w:t>
      </w:r>
      <w:r>
        <w:rPr>
          <w:rStyle w:val="152"/>
          <w:rFonts w:hint="eastAsia" w:ascii="宋体" w:hAnsi="宋体" w:cs="Times New Roman"/>
          <w:b w:val="0"/>
          <w:bCs w:val="0"/>
          <w:color w:val="000000"/>
          <w:szCs w:val="21"/>
          <w:highlight w:val="none"/>
          <w:u w:val="single"/>
          <w:lang w:eastAsia="zh-CN"/>
        </w:rPr>
        <w:t>，</w:t>
      </w:r>
      <w:r>
        <w:rPr>
          <w:rStyle w:val="152"/>
          <w:rFonts w:hint="eastAsia" w:ascii="宋体" w:hAnsi="宋体" w:cs="Times New Roman"/>
          <w:b w:val="0"/>
          <w:bCs w:val="0"/>
          <w:color w:val="000000"/>
          <w:szCs w:val="21"/>
          <w:highlight w:val="none"/>
          <w:u w:val="single"/>
          <w:lang w:val="en-US" w:eastAsia="zh-CN"/>
        </w:rPr>
        <w:t>并赔偿委托人因此遭受的损失</w:t>
      </w:r>
      <w:r>
        <w:rPr>
          <w:rStyle w:val="152"/>
          <w:rFonts w:hint="eastAsia" w:ascii="宋体" w:hAnsi="宋体" w:cs="Times New Roman"/>
          <w:b w:val="0"/>
          <w:bCs w:val="0"/>
          <w:color w:val="000000"/>
          <w:szCs w:val="21"/>
          <w:highlight w:val="none"/>
          <w:u w:val="single"/>
        </w:rPr>
        <w:t>。同时，监理人应该尽一切合理的努力，按委托人可接受的条件对监理人的责任、第三方的责任以及委托人为监理服务提供的财产等进行保险。上述有关费用由监理人承担。</w:t>
      </w:r>
    </w:p>
    <w:p w14:paraId="65349919">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Fonts w:hint="eastAsia" w:ascii="Times New Roman" w:hAnsi="Times New Roman" w:eastAsia="宋体" w:cs="Times New Roman"/>
          <w:b w:val="0"/>
          <w:bCs w:val="0"/>
          <w:color w:val="000000"/>
          <w:kern w:val="2"/>
          <w:sz w:val="21"/>
          <w:szCs w:val="24"/>
          <w:highlight w:val="none"/>
          <w:u w:val="single"/>
        </w:rPr>
      </w:pPr>
      <w:r>
        <w:rPr>
          <w:rFonts w:hint="eastAsia" w:eastAsia="宋体" w:cs="Times New Roman"/>
          <w:b w:val="0"/>
          <w:bCs w:val="0"/>
          <w:color w:val="000000"/>
          <w:kern w:val="2"/>
          <w:sz w:val="21"/>
          <w:szCs w:val="24"/>
          <w:highlight w:val="none"/>
          <w:u w:val="single"/>
        </w:rPr>
        <w:t>2.5</w:t>
      </w:r>
      <w:r>
        <w:rPr>
          <w:rFonts w:hint="eastAsia" w:cs="Times New Roman"/>
          <w:b w:val="0"/>
          <w:bCs w:val="0"/>
          <w:color w:val="000000"/>
          <w:kern w:val="2"/>
          <w:sz w:val="21"/>
          <w:szCs w:val="24"/>
          <w:highlight w:val="none"/>
          <w:u w:val="single"/>
        </w:rPr>
        <w:t>监理人</w:t>
      </w:r>
      <w:r>
        <w:rPr>
          <w:rFonts w:hint="eastAsia" w:ascii="Times New Roman" w:hAnsi="Times New Roman" w:cs="Times New Roman"/>
          <w:b w:val="0"/>
          <w:bCs w:val="0"/>
          <w:color w:val="000000"/>
          <w:kern w:val="2"/>
          <w:sz w:val="21"/>
          <w:szCs w:val="24"/>
          <w:highlight w:val="none"/>
          <w:u w:val="single"/>
        </w:rPr>
        <w:t>自领取中标通知书之日起一个月内须派驻</w:t>
      </w:r>
      <w:r>
        <w:rPr>
          <w:rFonts w:hint="eastAsia" w:cs="Times New Roman"/>
          <w:b w:val="0"/>
          <w:bCs w:val="0"/>
          <w:color w:val="000000"/>
          <w:kern w:val="2"/>
          <w:sz w:val="21"/>
          <w:szCs w:val="24"/>
          <w:highlight w:val="none"/>
          <w:u w:val="single"/>
        </w:rPr>
        <w:t>2</w:t>
      </w:r>
      <w:r>
        <w:rPr>
          <w:rFonts w:hint="eastAsia" w:ascii="Times New Roman" w:hAnsi="Times New Roman" w:cs="Times New Roman"/>
          <w:b w:val="0"/>
          <w:bCs w:val="0"/>
          <w:color w:val="000000"/>
          <w:kern w:val="2"/>
          <w:sz w:val="21"/>
          <w:szCs w:val="24"/>
          <w:highlight w:val="none"/>
          <w:u w:val="single"/>
        </w:rPr>
        <w:t>名人员协助委托人开展工作，具体工作内容由委托人安排，且不限于本项目，直到本项目竣工验收结束。派驻的</w:t>
      </w:r>
      <w:r>
        <w:rPr>
          <w:rFonts w:hint="eastAsia" w:cs="Times New Roman"/>
          <w:b w:val="0"/>
          <w:bCs w:val="0"/>
          <w:color w:val="000000"/>
          <w:kern w:val="2"/>
          <w:sz w:val="21"/>
          <w:szCs w:val="24"/>
          <w:highlight w:val="none"/>
          <w:u w:val="single"/>
        </w:rPr>
        <w:t>监理人</w:t>
      </w:r>
      <w:r>
        <w:rPr>
          <w:rFonts w:hint="eastAsia" w:ascii="Times New Roman" w:hAnsi="Times New Roman" w:cs="Times New Roman"/>
          <w:b w:val="0"/>
          <w:bCs w:val="0"/>
          <w:color w:val="000000"/>
          <w:kern w:val="2"/>
          <w:sz w:val="21"/>
          <w:szCs w:val="24"/>
          <w:highlight w:val="none"/>
          <w:u w:val="single"/>
        </w:rPr>
        <w:t>员应符合以下条件：</w:t>
      </w:r>
      <w:r>
        <w:rPr>
          <w:rFonts w:hint="eastAsia" w:ascii="Wingdings 2" w:hAnsi="Wingdings 2" w:eastAsia="Wingdings 2" w:cs="Wingdings 2"/>
          <w:b w:val="0"/>
          <w:bCs w:val="0"/>
          <w:color w:val="000000"/>
          <w:kern w:val="2"/>
          <w:sz w:val="21"/>
          <w:szCs w:val="24"/>
          <w:highlight w:val="none"/>
          <w:u w:val="single"/>
        </w:rPr>
        <w:sym w:font="Wingdings 2" w:char="0052"/>
      </w:r>
      <w:r>
        <w:rPr>
          <w:rFonts w:hint="eastAsia" w:ascii="Times New Roman" w:hAnsi="Times New Roman" w:cs="Times New Roman"/>
          <w:b w:val="0"/>
          <w:bCs w:val="0"/>
          <w:color w:val="000000"/>
          <w:kern w:val="2"/>
          <w:sz w:val="21"/>
          <w:szCs w:val="24"/>
          <w:highlight w:val="none"/>
          <w:u w:val="single"/>
        </w:rPr>
        <w:t>三年及以上施工现场管理经验，</w:t>
      </w:r>
      <w:r>
        <w:rPr>
          <w:rFonts w:hint="eastAsia" w:ascii="Wingdings 2" w:hAnsi="Wingdings 2" w:eastAsia="Wingdings 2" w:cs="Wingdings 2"/>
          <w:b w:val="0"/>
          <w:bCs w:val="0"/>
          <w:color w:val="000000"/>
          <w:kern w:val="2"/>
          <w:sz w:val="21"/>
          <w:szCs w:val="24"/>
          <w:highlight w:val="none"/>
          <w:u w:val="single"/>
        </w:rPr>
        <w:sym w:font="Wingdings 2" w:char="0052"/>
      </w:r>
      <w:r>
        <w:rPr>
          <w:rFonts w:hint="eastAsia" w:ascii="Times New Roman" w:hAnsi="Times New Roman" w:cs="Times New Roman"/>
          <w:b w:val="0"/>
          <w:bCs w:val="0"/>
          <w:color w:val="000000"/>
          <w:kern w:val="2"/>
          <w:sz w:val="21"/>
          <w:szCs w:val="24"/>
          <w:highlight w:val="none"/>
          <w:u w:val="single"/>
        </w:rPr>
        <w:t>专业大专及以上学历，□工程前期工作经验，</w:t>
      </w:r>
      <w:r>
        <w:rPr>
          <w:rFonts w:hint="eastAsia" w:ascii="Wingdings 2" w:hAnsi="Wingdings 2" w:eastAsia="Wingdings 2" w:cs="Wingdings 2"/>
          <w:b w:val="0"/>
          <w:bCs w:val="0"/>
          <w:color w:val="000000"/>
          <w:kern w:val="2"/>
          <w:sz w:val="21"/>
          <w:szCs w:val="24"/>
          <w:highlight w:val="none"/>
          <w:u w:val="single"/>
        </w:rPr>
        <w:sym w:font="Wingdings 2" w:char="00A3"/>
      </w:r>
      <w:r>
        <w:rPr>
          <w:rFonts w:hint="eastAsia" w:ascii="Times New Roman" w:hAnsi="Times New Roman" w:cs="Times New Roman"/>
          <w:b w:val="0"/>
          <w:bCs w:val="0"/>
          <w:color w:val="000000"/>
          <w:kern w:val="2"/>
          <w:sz w:val="21"/>
          <w:szCs w:val="24"/>
          <w:highlight w:val="none"/>
          <w:u w:val="single"/>
        </w:rPr>
        <w:t>招标或预算工作经验，□其他 。派驻人员应经委托人审核同意方可入驻，委托人发现其无法胜任工作的，有权要求</w:t>
      </w:r>
      <w:r>
        <w:rPr>
          <w:rFonts w:hint="eastAsia" w:cs="Times New Roman"/>
          <w:b w:val="0"/>
          <w:bCs w:val="0"/>
          <w:color w:val="000000"/>
          <w:kern w:val="2"/>
          <w:sz w:val="21"/>
          <w:szCs w:val="24"/>
          <w:highlight w:val="none"/>
          <w:u w:val="single"/>
        </w:rPr>
        <w:t>监理人</w:t>
      </w:r>
      <w:r>
        <w:rPr>
          <w:rFonts w:hint="eastAsia" w:ascii="Times New Roman" w:hAnsi="Times New Roman" w:cs="Times New Roman"/>
          <w:b w:val="0"/>
          <w:bCs w:val="0"/>
          <w:color w:val="000000"/>
          <w:kern w:val="2"/>
          <w:sz w:val="21"/>
          <w:szCs w:val="24"/>
          <w:highlight w:val="none"/>
          <w:u w:val="single"/>
        </w:rPr>
        <w:t>更换。</w:t>
      </w:r>
      <w:r>
        <w:rPr>
          <w:rFonts w:hint="eastAsia" w:cs="Times New Roman"/>
          <w:b w:val="0"/>
          <w:bCs w:val="0"/>
          <w:color w:val="000000"/>
          <w:kern w:val="2"/>
          <w:sz w:val="21"/>
          <w:szCs w:val="24"/>
          <w:highlight w:val="none"/>
          <w:u w:val="single"/>
        </w:rPr>
        <w:t>监理人</w:t>
      </w:r>
      <w:r>
        <w:rPr>
          <w:rFonts w:hint="eastAsia" w:ascii="Times New Roman" w:hAnsi="Times New Roman" w:cs="Times New Roman"/>
          <w:b w:val="0"/>
          <w:bCs w:val="0"/>
          <w:color w:val="000000"/>
          <w:kern w:val="2"/>
          <w:sz w:val="21"/>
          <w:szCs w:val="24"/>
          <w:highlight w:val="none"/>
          <w:u w:val="single"/>
        </w:rPr>
        <w:t>应与派驻人员存在劳动法律关系，包括劳动合同关系、工资保险关系，应为派驻人员核发工资、购买五险一金等；委托人与派驻人员只存在工作协助关系，不存在劳动法律关系，但派驻人员应严格遵守委托人管理规定。派驻人员所有经费包含在监理合同价款内，不再另行支付。</w:t>
      </w:r>
      <w:r>
        <w:rPr>
          <w:rFonts w:hint="eastAsia" w:eastAsia="宋体" w:cs="Times New Roman"/>
          <w:b w:val="0"/>
          <w:bCs w:val="0"/>
          <w:color w:val="000000"/>
          <w:kern w:val="2"/>
          <w:sz w:val="21"/>
          <w:szCs w:val="24"/>
          <w:highlight w:val="none"/>
          <w:u w:val="single"/>
        </w:rPr>
        <w:t>因派驻人员与监理人之间的劳动争议、工伤事故或者其他用工事由导致委托人被主张任何责任的，监理人应负责处理并赔偿委托人由此产生的全部损失（包括但不限于赔偿金、律师费、诉讼费、保全费）。</w:t>
      </w:r>
    </w:p>
    <w:p w14:paraId="31930046">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Fonts w:hint="eastAsia" w:ascii="Times New Roman" w:hAnsi="Times New Roman" w:eastAsia="宋体" w:cs="Times New Roman"/>
          <w:b w:val="0"/>
          <w:bCs w:val="0"/>
          <w:color w:val="000000"/>
          <w:kern w:val="2"/>
          <w:sz w:val="21"/>
          <w:szCs w:val="24"/>
          <w:highlight w:val="none"/>
          <w:u w:val="single"/>
        </w:rPr>
      </w:pPr>
      <w:r>
        <w:rPr>
          <w:rFonts w:hint="eastAsia" w:eastAsia="宋体" w:cs="Times New Roman"/>
          <w:b w:val="0"/>
          <w:bCs w:val="0"/>
          <w:color w:val="000000"/>
          <w:kern w:val="2"/>
          <w:sz w:val="21"/>
          <w:szCs w:val="24"/>
          <w:highlight w:val="none"/>
          <w:u w:val="single"/>
        </w:rPr>
        <w:t>2.6 监理人应具备与本工程相适应的工程监理资质，并在本合同履行期内持续保持有效。监理人的资质被降级、暂扣、吊销，或者被列入失信被执行人、严重违法失信名单，或者发生其他可能影响其继续履行本合同情形的，应于3日内书面告知委托人；委托人有权据此解除本合同，并要求监理人赔偿由此造成的损失。</w:t>
      </w:r>
    </w:p>
    <w:p w14:paraId="4C8207DA">
      <w:pPr>
        <w:pStyle w:val="179"/>
        <w:keepNext w:val="0"/>
        <w:keepLines w:val="0"/>
        <w:pageBreakBefore w:val="0"/>
        <w:widowControl w:val="0"/>
        <w:kinsoku/>
        <w:overflowPunct/>
        <w:autoSpaceDE/>
        <w:bidi w:val="0"/>
        <w:spacing w:line="560" w:lineRule="exact"/>
        <w:jc w:val="both"/>
        <w:textAlignment w:val="auto"/>
        <w:rPr>
          <w:rStyle w:val="152"/>
          <w:rFonts w:ascii="宋体" w:hAnsi="宋体"/>
          <w:b w:val="0"/>
          <w:bCs w:val="0"/>
          <w:color w:val="000000"/>
          <w:szCs w:val="21"/>
          <w:highlight w:val="none"/>
        </w:rPr>
      </w:pPr>
      <w:r>
        <w:rPr>
          <w:rStyle w:val="152"/>
          <w:rFonts w:hint="eastAsia" w:ascii="宋体" w:hAnsi="宋体" w:cs="宋体"/>
          <w:b w:val="0"/>
          <w:bCs w:val="0"/>
          <w:color w:val="000000"/>
          <w:szCs w:val="21"/>
          <w:highlight w:val="none"/>
        </w:rPr>
        <w:t>三、监理班子人员的违约责任约定</w:t>
      </w:r>
    </w:p>
    <w:p w14:paraId="786C2905">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Style w:val="152"/>
          <w:rFonts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3.1监理人配备的项目总监、专业监理工程在上岗前应通过委托人组织的面试考核，考核不合格的，监理人应根据委托人要求予以更换，直至委托人满意为止。</w:t>
      </w:r>
    </w:p>
    <w:p w14:paraId="2E8EA4EB">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Style w:val="152"/>
          <w:rFonts w:hint="eastAsia" w:ascii="宋体" w:hAnsi="宋体" w:cs="宋体"/>
          <w:b w:val="0"/>
          <w:bCs w:val="0"/>
          <w:color w:val="000000"/>
          <w:szCs w:val="21"/>
          <w:highlight w:val="none"/>
          <w:u w:val="single"/>
        </w:rPr>
      </w:pPr>
      <w:r>
        <w:rPr>
          <w:rStyle w:val="152"/>
          <w:rFonts w:ascii="宋体" w:hAnsi="宋体" w:cs="宋体"/>
          <w:b w:val="0"/>
          <w:bCs w:val="0"/>
          <w:color w:val="000000"/>
          <w:szCs w:val="21"/>
          <w:highlight w:val="none"/>
          <w:u w:val="single"/>
        </w:rPr>
        <w:t>3.</w:t>
      </w:r>
      <w:r>
        <w:rPr>
          <w:rStyle w:val="152"/>
          <w:rFonts w:hint="eastAsia" w:ascii="宋体" w:hAnsi="宋体" w:cs="宋体"/>
          <w:b w:val="0"/>
          <w:bCs w:val="0"/>
          <w:color w:val="000000"/>
          <w:szCs w:val="21"/>
          <w:highlight w:val="none"/>
          <w:u w:val="single"/>
        </w:rPr>
        <w:t>2</w:t>
      </w:r>
      <w:r>
        <w:rPr>
          <w:rFonts w:hint="eastAsia" w:ascii="宋体" w:hAnsi="宋体" w:eastAsia="宋体" w:cs="宋体"/>
          <w:b w:val="0"/>
          <w:bCs w:val="0"/>
          <w:color w:val="000000"/>
          <w:kern w:val="2"/>
          <w:sz w:val="24"/>
          <w:szCs w:val="24"/>
          <w:highlight w:val="none"/>
          <w:u w:val="single"/>
        </w:rPr>
        <w:t xml:space="preserve"> </w:t>
      </w:r>
      <w:r>
        <w:rPr>
          <w:rStyle w:val="152"/>
          <w:rFonts w:hint="eastAsia" w:ascii="宋体" w:hAnsi="宋体" w:cs="宋体"/>
          <w:b w:val="0"/>
          <w:bCs w:val="0"/>
          <w:color w:val="000000"/>
          <w:szCs w:val="21"/>
          <w:highlight w:val="none"/>
          <w:u w:val="single"/>
        </w:rPr>
        <w:t>若监理人派驻的项目总监因兼任其它工程项目的项目总监，导致委托人不能及时办理施工许可证的，视为监理人违约，监理人应按每人每次按合同签约酬金的10%支付违约金。其他原因更换项目总监，导致项目总监与合同约定的不一致，除该项目总监突然身故、或非监理人原因犯罪被羁押或判刑的外，均视监理人违约，每发生一次，监理人应按下列标准支付违约金：施工监理暂定总酬金的5</w:t>
      </w:r>
      <w:r>
        <w:rPr>
          <w:rStyle w:val="152"/>
          <w:rFonts w:ascii="宋体" w:hAnsi="宋体" w:cs="宋体"/>
          <w:b w:val="0"/>
          <w:bCs w:val="0"/>
          <w:color w:val="000000"/>
          <w:szCs w:val="21"/>
          <w:highlight w:val="none"/>
          <w:u w:val="single"/>
        </w:rPr>
        <w:t>%</w:t>
      </w:r>
      <w:r>
        <w:rPr>
          <w:rStyle w:val="152"/>
          <w:rFonts w:hint="eastAsia" w:ascii="宋体" w:hAnsi="宋体" w:cs="宋体"/>
          <w:b w:val="0"/>
          <w:bCs w:val="0"/>
          <w:color w:val="000000"/>
          <w:szCs w:val="21"/>
          <w:highlight w:val="none"/>
          <w:u w:val="single"/>
        </w:rPr>
        <w:t>。</w:t>
      </w:r>
    </w:p>
    <w:p w14:paraId="705FACC4">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Style w:val="152"/>
          <w:rFonts w:ascii="宋体" w:hAnsi="宋体"/>
          <w:b w:val="0"/>
          <w:bCs w:val="0"/>
          <w:color w:val="000000"/>
          <w:szCs w:val="21"/>
          <w:highlight w:val="none"/>
          <w:u w:val="single"/>
        </w:rPr>
      </w:pPr>
      <w:r>
        <w:rPr>
          <w:rStyle w:val="152"/>
          <w:rFonts w:hint="eastAsia" w:ascii="宋体" w:hAnsi="宋体" w:cs="宋体"/>
          <w:b w:val="0"/>
          <w:bCs w:val="0"/>
          <w:color w:val="000000"/>
          <w:szCs w:val="21"/>
          <w:highlight w:val="none"/>
          <w:u w:val="single"/>
        </w:rPr>
        <w:t>3.3委托人有权要求监理人更换项目总监，监理人必须在委托人发出要求更换的书面通知</w:t>
      </w:r>
      <w:r>
        <w:rPr>
          <w:rStyle w:val="152"/>
          <w:rFonts w:ascii="宋体" w:hAnsi="宋体" w:cs="宋体"/>
          <w:b w:val="0"/>
          <w:bCs w:val="0"/>
          <w:color w:val="000000"/>
          <w:szCs w:val="21"/>
          <w:highlight w:val="none"/>
          <w:u w:val="single"/>
        </w:rPr>
        <w:t>10</w:t>
      </w:r>
      <w:r>
        <w:rPr>
          <w:rStyle w:val="152"/>
          <w:rFonts w:hint="eastAsia" w:ascii="宋体" w:hAnsi="宋体" w:cs="宋体"/>
          <w:b w:val="0"/>
          <w:bCs w:val="0"/>
          <w:color w:val="000000"/>
          <w:szCs w:val="21"/>
          <w:highlight w:val="none"/>
          <w:u w:val="single"/>
        </w:rPr>
        <w:t>日内，无条件更换或满足</w:t>
      </w:r>
      <w:r>
        <w:rPr>
          <w:rStyle w:val="152"/>
          <w:rFonts w:hint="eastAsia" w:ascii="宋体" w:hAnsi="宋体" w:cs="宋体"/>
          <w:b w:val="0"/>
          <w:bCs w:val="0"/>
          <w:i w:val="0"/>
          <w:color w:val="000000"/>
          <w:szCs w:val="21"/>
          <w:highlight w:val="none"/>
          <w:u w:val="single"/>
        </w:rPr>
        <w:t>□招标文件要求□投标文件承诺的■委托人要求的</w:t>
      </w:r>
      <w:r>
        <w:rPr>
          <w:rStyle w:val="152"/>
          <w:rFonts w:hint="eastAsia" w:ascii="宋体" w:hAnsi="宋体" w:cs="宋体"/>
          <w:b w:val="0"/>
          <w:bCs w:val="0"/>
          <w:color w:val="000000"/>
          <w:szCs w:val="21"/>
          <w:highlight w:val="none"/>
          <w:u w:val="single"/>
        </w:rPr>
        <w:t>项目总监。如监理人拒不更换的，视监理人严重违约，监理人除需按</w:t>
      </w:r>
      <w:r>
        <w:rPr>
          <w:rStyle w:val="152"/>
          <w:rFonts w:ascii="宋体" w:hAnsi="宋体" w:cs="宋体"/>
          <w:b w:val="0"/>
          <w:bCs w:val="0"/>
          <w:color w:val="000000"/>
          <w:szCs w:val="21"/>
          <w:highlight w:val="none"/>
          <w:u w:val="single"/>
        </w:rPr>
        <w:t>3.</w:t>
      </w:r>
      <w:r>
        <w:rPr>
          <w:rStyle w:val="152"/>
          <w:rFonts w:hint="eastAsia" w:ascii="宋体" w:hAnsi="宋体" w:cs="宋体"/>
          <w:b w:val="0"/>
          <w:bCs w:val="0"/>
          <w:color w:val="000000"/>
          <w:szCs w:val="21"/>
          <w:highlight w:val="none"/>
          <w:u w:val="single"/>
        </w:rPr>
        <w:t>2条标准支付违约金外，还应下列标准支付违约金：</w:t>
      </w:r>
      <w:r>
        <w:rPr>
          <w:rStyle w:val="152"/>
          <w:rFonts w:ascii="宋体" w:hAnsi="宋体" w:cs="宋体"/>
          <w:b w:val="0"/>
          <w:bCs w:val="0"/>
          <w:color w:val="000000"/>
          <w:szCs w:val="21"/>
          <w:highlight w:val="none"/>
          <w:u w:val="single"/>
        </w:rPr>
        <w:t>30000.00</w:t>
      </w:r>
      <w:r>
        <w:rPr>
          <w:rStyle w:val="152"/>
          <w:rFonts w:hint="eastAsia" w:ascii="宋体" w:hAnsi="宋体" w:cs="宋体"/>
          <w:b w:val="0"/>
          <w:bCs w:val="0"/>
          <w:color w:val="000000"/>
          <w:szCs w:val="21"/>
          <w:highlight w:val="none"/>
          <w:u w:val="single"/>
        </w:rPr>
        <w:t>元</w:t>
      </w:r>
      <w:r>
        <w:rPr>
          <w:rStyle w:val="152"/>
          <w:rFonts w:ascii="宋体" w:hAnsi="宋体" w:cs="宋体"/>
          <w:b w:val="0"/>
          <w:bCs w:val="0"/>
          <w:color w:val="000000"/>
          <w:szCs w:val="21"/>
          <w:highlight w:val="none"/>
          <w:u w:val="single"/>
        </w:rPr>
        <w:t>/</w:t>
      </w:r>
      <w:r>
        <w:rPr>
          <w:rStyle w:val="152"/>
          <w:rFonts w:hint="eastAsia" w:ascii="宋体" w:hAnsi="宋体" w:cs="宋体"/>
          <w:b w:val="0"/>
          <w:bCs w:val="0"/>
          <w:color w:val="000000"/>
          <w:szCs w:val="21"/>
          <w:highlight w:val="none"/>
          <w:u w:val="single"/>
        </w:rPr>
        <w:t>次，违约金累计计算。</w:t>
      </w:r>
    </w:p>
    <w:p w14:paraId="60A4DA7A">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Style w:val="152"/>
          <w:rFonts w:ascii="宋体" w:hAnsi="宋体" w:eastAsia="宋体" w:cs="仿宋_GB2312"/>
          <w:b w:val="0"/>
          <w:bCs w:val="0"/>
          <w:color w:val="000000"/>
          <w:szCs w:val="21"/>
          <w:highlight w:val="none"/>
          <w:u w:val="single"/>
        </w:rPr>
      </w:pPr>
      <w:r>
        <w:rPr>
          <w:rStyle w:val="152"/>
          <w:rFonts w:ascii="宋体" w:hAnsi="宋体" w:cs="宋体"/>
          <w:b w:val="0"/>
          <w:bCs w:val="0"/>
          <w:color w:val="000000"/>
          <w:szCs w:val="21"/>
          <w:highlight w:val="none"/>
          <w:u w:val="single"/>
        </w:rPr>
        <w:t>3.</w:t>
      </w:r>
      <w:r>
        <w:rPr>
          <w:rStyle w:val="152"/>
          <w:rFonts w:hint="eastAsia" w:ascii="宋体" w:hAnsi="宋体" w:cs="宋体"/>
          <w:b w:val="0"/>
          <w:bCs w:val="0"/>
          <w:color w:val="000000"/>
          <w:szCs w:val="21"/>
          <w:highlight w:val="none"/>
          <w:u w:val="single"/>
        </w:rPr>
        <w:t>4监理人员“进场”数量未满足本补充条款第</w:t>
      </w:r>
      <w:r>
        <w:rPr>
          <w:rStyle w:val="152"/>
          <w:rFonts w:ascii="宋体" w:hAnsi="宋体" w:cs="宋体"/>
          <w:b w:val="0"/>
          <w:bCs w:val="0"/>
          <w:color w:val="000000"/>
          <w:szCs w:val="21"/>
          <w:highlight w:val="none"/>
          <w:u w:val="single"/>
        </w:rPr>
        <w:t>2.3</w:t>
      </w:r>
      <w:r>
        <w:rPr>
          <w:rStyle w:val="152"/>
          <w:rFonts w:hint="eastAsia" w:ascii="宋体" w:hAnsi="宋体" w:cs="宋体"/>
          <w:b w:val="0"/>
          <w:bCs w:val="0"/>
          <w:color w:val="000000"/>
          <w:szCs w:val="21"/>
          <w:highlight w:val="none"/>
          <w:u w:val="single"/>
        </w:rPr>
        <w:t>条规定的，视为监理人违约，委托人除将扣除未到位人员相应的监理酬金，还有权按未到人员</w:t>
      </w:r>
      <w:r>
        <w:rPr>
          <w:rStyle w:val="152"/>
          <w:rFonts w:ascii="宋体" w:hAnsi="宋体" w:cs="宋体"/>
          <w:b w:val="0"/>
          <w:bCs w:val="0"/>
          <w:color w:val="000000"/>
          <w:szCs w:val="21"/>
          <w:highlight w:val="none"/>
          <w:u w:val="single"/>
        </w:rPr>
        <w:t>200</w:t>
      </w:r>
      <w:r>
        <w:rPr>
          <w:rStyle w:val="152"/>
          <w:rFonts w:hint="eastAsia" w:ascii="宋体" w:hAnsi="宋体" w:cs="宋体"/>
          <w:b w:val="0"/>
          <w:bCs w:val="0"/>
          <w:color w:val="000000"/>
          <w:szCs w:val="21"/>
          <w:highlight w:val="none"/>
          <w:u w:val="single"/>
        </w:rPr>
        <w:t>元</w:t>
      </w:r>
      <w:r>
        <w:rPr>
          <w:rStyle w:val="152"/>
          <w:rFonts w:ascii="宋体" w:hAnsi="宋体" w:cs="宋体"/>
          <w:b w:val="0"/>
          <w:bCs w:val="0"/>
          <w:color w:val="000000"/>
          <w:szCs w:val="21"/>
          <w:highlight w:val="none"/>
          <w:u w:val="single"/>
        </w:rPr>
        <w:t>/</w:t>
      </w:r>
      <w:r>
        <w:rPr>
          <w:rStyle w:val="152"/>
          <w:rFonts w:hint="eastAsia" w:ascii="宋体" w:hAnsi="宋体" w:cs="宋体"/>
          <w:b w:val="0"/>
          <w:bCs w:val="0"/>
          <w:color w:val="000000"/>
          <w:szCs w:val="21"/>
          <w:highlight w:val="none"/>
          <w:u w:val="single"/>
        </w:rPr>
        <w:t>人·天的标准收取监理人违约金，未到位每人每天的监理酬金按如下计算：各阶段监理酬金÷应投入的监理人员数量÷本阶段监理期限，其中应投入的监理人员数量按补充条款2.1条确定。</w:t>
      </w:r>
    </w:p>
    <w:p w14:paraId="25190B2D">
      <w:pPr>
        <w:pStyle w:val="189"/>
        <w:keepNext w:val="0"/>
        <w:keepLines w:val="0"/>
        <w:pageBreakBefore w:val="0"/>
        <w:widowControl w:val="0"/>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3.5当政府主管部门、委托人等认为项目监理人员配置不能满足施工实际需要时，监理人应按委托人要求增加监理人员数量或调整监理专业以满足需要，由此引起的费用增加已包含在本工程监理合同价中，不另行支付。</w:t>
      </w:r>
    </w:p>
    <w:p w14:paraId="0670341F">
      <w:pPr>
        <w:pStyle w:val="189"/>
        <w:keepNext w:val="0"/>
        <w:keepLines w:val="0"/>
        <w:pageBreakBefore w:val="0"/>
        <w:widowControl/>
        <w:kinsoku/>
        <w:overflowPunct/>
        <w:autoSpaceDE/>
        <w:bidi w:val="0"/>
        <w:spacing w:line="560" w:lineRule="exact"/>
        <w:ind w:left="0" w:leftChars="0" w:right="0" w:rightChars="0" w:firstLineChars="200"/>
        <w:textAlignment w:val="auto"/>
        <w:rPr>
          <w:rStyle w:val="152"/>
          <w:rFonts w:hint="eastAsia" w:ascii="宋体" w:hAnsi="宋体" w:eastAsia="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3.6根据经批准的监理规划中项目监理机构人员进场计划，如果监理人员不在岗，一般监理人员按500元/天·人、总监理工程师按1200元/天·人、专业监理工程师按800元/天·人支付违约金；如果监理人对承诺的人员数及安排擅自作了变化，则就变动总人数按照不在岗的办法计取违约金（事后征得委托人书面追认同意的情况除外）。如果不在岗的监理人员一天超过两人或不在岗的记录超过10人次，视为重大违约，委托人有权发出整改通知。若委托人第二次以书面形式发出整改通知后7天内未收到监理人书面形式的合理解释，有权提前解除合同。</w:t>
      </w:r>
    </w:p>
    <w:p w14:paraId="7A30EB1E">
      <w:pPr>
        <w:pStyle w:val="179"/>
        <w:keepNext w:val="0"/>
        <w:keepLines w:val="0"/>
        <w:pageBreakBefore w:val="0"/>
        <w:widowControl w:val="0"/>
        <w:kinsoku/>
        <w:overflowPunct/>
        <w:autoSpaceDE/>
        <w:bidi w:val="0"/>
        <w:spacing w:line="560" w:lineRule="exact"/>
        <w:jc w:val="both"/>
        <w:textAlignment w:val="auto"/>
        <w:rPr>
          <w:rStyle w:val="152"/>
          <w:rFonts w:ascii="宋体" w:hAnsi="宋体"/>
          <w:b w:val="0"/>
          <w:bCs w:val="0"/>
          <w:color w:val="000000"/>
          <w:szCs w:val="21"/>
          <w:highlight w:val="none"/>
        </w:rPr>
      </w:pPr>
      <w:r>
        <w:rPr>
          <w:rStyle w:val="152"/>
          <w:rFonts w:hint="eastAsia" w:ascii="宋体" w:hAnsi="宋体" w:cs="宋体"/>
          <w:b w:val="0"/>
          <w:bCs w:val="0"/>
          <w:color w:val="000000"/>
          <w:szCs w:val="21"/>
          <w:highlight w:val="none"/>
        </w:rPr>
        <w:t>四、工程管理的要求</w:t>
      </w:r>
    </w:p>
    <w:p w14:paraId="750339F3">
      <w:pPr>
        <w:pStyle w:val="179"/>
        <w:keepNext w:val="0"/>
        <w:keepLines w:val="0"/>
        <w:pageBreakBefore w:val="0"/>
        <w:widowControl w:val="0"/>
        <w:kinsoku/>
        <w:overflowPunct/>
        <w:autoSpaceDE/>
        <w:bidi w:val="0"/>
        <w:spacing w:line="560" w:lineRule="exact"/>
        <w:ind w:right="0" w:firstLine="422"/>
        <w:jc w:val="both"/>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4.1监理人应按委托人的工程变更管理办法履行相关职责，处理变更事项，并对实施的变更量进行确认。收到变更提议单后3日内，应从其真实性、必要性、可行性（经济上）方面对变更提议提出意见，资料备齐后报委托人审批。如未按时限处理工程变更事宜，委托人有权对现场监理人员给予警告记过处分，情节严重的，监理人应按拖延天数支付1000元/天的违约金。</w:t>
      </w:r>
    </w:p>
    <w:p w14:paraId="1364146C">
      <w:pPr>
        <w:pStyle w:val="179"/>
        <w:keepNext w:val="0"/>
        <w:keepLines w:val="0"/>
        <w:pageBreakBefore w:val="0"/>
        <w:widowControl w:val="0"/>
        <w:kinsoku/>
        <w:overflowPunct/>
        <w:autoSpaceDE/>
        <w:bidi w:val="0"/>
        <w:spacing w:line="560" w:lineRule="exact"/>
        <w:ind w:right="0" w:firstLine="422"/>
        <w:jc w:val="both"/>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且监理人对审核施工单位上报的工程变更造价金额负责，如因监理人原因，造成申报变更造价与委托人委托的造价咨询公司审核造价偏差在</w:t>
      </w:r>
      <w:r>
        <w:rPr>
          <w:rStyle w:val="152"/>
          <w:b w:val="0"/>
          <w:bCs w:val="0"/>
          <w:color w:val="000000"/>
          <w:szCs w:val="21"/>
          <w:highlight w:val="none"/>
          <w:u w:val="single"/>
        </w:rPr>
        <w:t>±</w:t>
      </w:r>
      <w:r>
        <w:rPr>
          <w:rStyle w:val="152"/>
          <w:rFonts w:hint="eastAsia" w:ascii="宋体" w:hAnsi="宋体" w:cs="宋体"/>
          <w:b w:val="0"/>
          <w:bCs w:val="0"/>
          <w:color w:val="000000"/>
          <w:szCs w:val="21"/>
          <w:highlight w:val="none"/>
          <w:u w:val="single"/>
        </w:rPr>
        <w:t>5%以上的，视为监理人违约，在</w:t>
      </w:r>
      <w:r>
        <w:rPr>
          <w:rStyle w:val="152"/>
          <w:b w:val="0"/>
          <w:bCs w:val="0"/>
          <w:color w:val="000000"/>
          <w:szCs w:val="21"/>
          <w:highlight w:val="none"/>
          <w:u w:val="single"/>
        </w:rPr>
        <w:t>±</w:t>
      </w:r>
      <w:r>
        <w:rPr>
          <w:rStyle w:val="152"/>
          <w:rFonts w:hint="eastAsia" w:ascii="宋体" w:hAnsi="宋体" w:cs="宋体"/>
          <w:b w:val="0"/>
          <w:bCs w:val="0"/>
          <w:color w:val="000000"/>
          <w:szCs w:val="21"/>
          <w:highlight w:val="none"/>
          <w:u w:val="single"/>
        </w:rPr>
        <w:t>5%-</w:t>
      </w:r>
      <w:r>
        <w:rPr>
          <w:rStyle w:val="152"/>
          <w:b w:val="0"/>
          <w:bCs w:val="0"/>
          <w:color w:val="000000"/>
          <w:szCs w:val="21"/>
          <w:highlight w:val="none"/>
          <w:u w:val="single"/>
        </w:rPr>
        <w:t>±</w:t>
      </w:r>
      <w:r>
        <w:rPr>
          <w:rStyle w:val="152"/>
          <w:rFonts w:hint="eastAsia" w:ascii="宋体" w:hAnsi="宋体" w:cs="宋体"/>
          <w:b w:val="0"/>
          <w:bCs w:val="0"/>
          <w:color w:val="000000"/>
          <w:szCs w:val="21"/>
          <w:highlight w:val="none"/>
          <w:u w:val="single"/>
        </w:rPr>
        <w:t>10%（含10%）的，处以3000元/次的违约金；审核造价偏差在</w:t>
      </w:r>
      <w:r>
        <w:rPr>
          <w:rStyle w:val="152"/>
          <w:b w:val="0"/>
          <w:bCs w:val="0"/>
          <w:color w:val="000000"/>
          <w:szCs w:val="21"/>
          <w:highlight w:val="none"/>
          <w:u w:val="single"/>
        </w:rPr>
        <w:t>±</w:t>
      </w:r>
      <w:r>
        <w:rPr>
          <w:rStyle w:val="152"/>
          <w:rFonts w:hint="eastAsia" w:ascii="宋体" w:hAnsi="宋体" w:cs="宋体"/>
          <w:b w:val="0"/>
          <w:bCs w:val="0"/>
          <w:color w:val="000000"/>
          <w:szCs w:val="21"/>
          <w:highlight w:val="none"/>
          <w:u w:val="single"/>
        </w:rPr>
        <w:t>10%-</w:t>
      </w:r>
      <w:r>
        <w:rPr>
          <w:rStyle w:val="152"/>
          <w:b w:val="0"/>
          <w:bCs w:val="0"/>
          <w:color w:val="000000"/>
          <w:szCs w:val="21"/>
          <w:highlight w:val="none"/>
          <w:u w:val="single"/>
        </w:rPr>
        <w:t>±</w:t>
      </w:r>
      <w:r>
        <w:rPr>
          <w:rStyle w:val="152"/>
          <w:rFonts w:hint="eastAsia" w:ascii="宋体" w:hAnsi="宋体" w:cs="宋体"/>
          <w:b w:val="0"/>
          <w:bCs w:val="0"/>
          <w:color w:val="000000"/>
          <w:szCs w:val="21"/>
          <w:highlight w:val="none"/>
          <w:u w:val="single"/>
        </w:rPr>
        <w:t>20%（含20%）的，处以10000元/次的违约金，并给予监理人不良行为记录或履约评价不合格；审核造价偏差超过</w:t>
      </w:r>
      <w:r>
        <w:rPr>
          <w:rStyle w:val="152"/>
          <w:b w:val="0"/>
          <w:bCs w:val="0"/>
          <w:color w:val="000000"/>
          <w:szCs w:val="21"/>
          <w:highlight w:val="none"/>
          <w:u w:val="single"/>
        </w:rPr>
        <w:t>±</w:t>
      </w:r>
      <w:r>
        <w:rPr>
          <w:rStyle w:val="152"/>
          <w:rFonts w:hint="eastAsia" w:ascii="宋体" w:hAnsi="宋体" w:cs="宋体"/>
          <w:b w:val="0"/>
          <w:bCs w:val="0"/>
          <w:color w:val="000000"/>
          <w:szCs w:val="21"/>
          <w:highlight w:val="none"/>
          <w:u w:val="single"/>
        </w:rPr>
        <w:t>20%的，视为监理人严重违约，处以50000元/次的违约金，并给予监理人履约评价不合格，造成经济损失的，由监理人赔偿。</w:t>
      </w:r>
    </w:p>
    <w:p w14:paraId="7C915538">
      <w:pPr>
        <w:pStyle w:val="179"/>
        <w:keepNext w:val="0"/>
        <w:keepLines w:val="0"/>
        <w:pageBreakBefore w:val="0"/>
        <w:widowControl w:val="0"/>
        <w:kinsoku/>
        <w:overflowPunct/>
        <w:autoSpaceDE/>
        <w:bidi w:val="0"/>
        <w:spacing w:line="560" w:lineRule="exact"/>
        <w:ind w:right="0" w:firstLine="422"/>
        <w:jc w:val="both"/>
        <w:textAlignment w:val="auto"/>
        <w:rPr>
          <w:rStyle w:val="152"/>
          <w:rFonts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4.2监理定期每周和每月分别以周报、月报形式，向委托人书面汇报工程的质量、安全、进度、投资、安全文明施工、信息管理、合同管理情况，农民工、劳务工的工资发放情况、工作协调及存在问题，并附情况总结分析及预测，找出进度偏差，分析原因并提出拟采取的对策及需委托人协调或答复的问题，其中质量、安全、进度、安全文明施工应作为周报及月报的重要内容；如遇特殊情况或重大事项，监理人需随时向委托人报告。如未按规定时限和要求上报（发包人同意延期的除外），发包人给予书面警告，警告后仍不按要求上报的，视为违约，按1000元/天的违约金处罚。</w:t>
      </w:r>
    </w:p>
    <w:p w14:paraId="14FCB412">
      <w:pPr>
        <w:pStyle w:val="179"/>
        <w:keepNext w:val="0"/>
        <w:keepLines w:val="0"/>
        <w:pageBreakBefore w:val="0"/>
        <w:widowControl w:val="0"/>
        <w:kinsoku/>
        <w:overflowPunct/>
        <w:autoSpaceDE/>
        <w:bidi w:val="0"/>
        <w:spacing w:line="560" w:lineRule="exact"/>
        <w:ind w:right="0" w:firstLine="422"/>
        <w:jc w:val="both"/>
        <w:textAlignment w:val="auto"/>
        <w:rPr>
          <w:rStyle w:val="152"/>
          <w:rFonts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4.3工程竣工阶段，监理人须对施工单位所报的竣工图纸、结算进行严格审核，并负责与承包单位进行结算核对工作，提出书面审核和核对意见。监理人应保证竣工图纸的正确性，应保证竣工结（决）算的准确性。</w:t>
      </w:r>
    </w:p>
    <w:p w14:paraId="52729A8E">
      <w:pPr>
        <w:pStyle w:val="179"/>
        <w:keepNext w:val="0"/>
        <w:keepLines w:val="0"/>
        <w:pageBreakBefore w:val="0"/>
        <w:widowControl w:val="0"/>
        <w:kinsoku/>
        <w:overflowPunct/>
        <w:autoSpaceDE/>
        <w:bidi w:val="0"/>
        <w:spacing w:line="560" w:lineRule="exact"/>
        <w:ind w:right="0" w:firstLine="422"/>
        <w:jc w:val="both"/>
        <w:textAlignment w:val="auto"/>
        <w:rPr>
          <w:rStyle w:val="152"/>
          <w:rFonts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4.4监理人须按委托人要求时限审核和报送施工单位申报的竣工结算资料和竣工存档资料，其中资料含所有照片、视频等工作痕迹电子资料。</w:t>
      </w:r>
    </w:p>
    <w:p w14:paraId="6FDD23C0">
      <w:pPr>
        <w:pStyle w:val="179"/>
        <w:keepNext w:val="0"/>
        <w:keepLines w:val="0"/>
        <w:pageBreakBefore w:val="0"/>
        <w:widowControl w:val="0"/>
        <w:kinsoku/>
        <w:overflowPunct/>
        <w:autoSpaceDE/>
        <w:bidi w:val="0"/>
        <w:spacing w:line="560" w:lineRule="exact"/>
        <w:ind w:right="0" w:firstLine="422"/>
        <w:jc w:val="both"/>
        <w:textAlignment w:val="auto"/>
        <w:rPr>
          <w:rStyle w:val="152"/>
          <w:rFonts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4.5监理人应督促各施工单位按照深圳市档案馆的档案管理要求及时整理各项资料，并及时整理完成城建档案馆要求提交的监理资料，同时协助委托人整理相关的资料，并取得档案验收许可文件。</w:t>
      </w:r>
    </w:p>
    <w:p w14:paraId="300C99ED">
      <w:pPr>
        <w:pStyle w:val="179"/>
        <w:keepNext w:val="0"/>
        <w:keepLines w:val="0"/>
        <w:pageBreakBefore w:val="0"/>
        <w:widowControl w:val="0"/>
        <w:kinsoku/>
        <w:overflowPunct/>
        <w:autoSpaceDE/>
        <w:bidi w:val="0"/>
        <w:spacing w:line="560" w:lineRule="exact"/>
        <w:ind w:right="0" w:firstLine="422"/>
        <w:jc w:val="both"/>
        <w:textAlignment w:val="auto"/>
        <w:rPr>
          <w:rStyle w:val="152"/>
          <w:rFonts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4.6对于委托人和第三方提交的有关工程的指令、通知和各种报表，需要监理人填报、转达、审核或确认的，监理人应在2天内填写、转达、审核和确认。超过约定的期限未填报、转达、审核和确认，由此造成的不良后果的，由监理人承担相应的责任。</w:t>
      </w:r>
    </w:p>
    <w:p w14:paraId="0CCF9704">
      <w:pPr>
        <w:pStyle w:val="179"/>
        <w:keepNext w:val="0"/>
        <w:keepLines w:val="0"/>
        <w:pageBreakBefore w:val="0"/>
        <w:widowControl w:val="0"/>
        <w:kinsoku/>
        <w:overflowPunct/>
        <w:autoSpaceDE/>
        <w:bidi w:val="0"/>
        <w:spacing w:line="560" w:lineRule="exact"/>
        <w:ind w:right="0" w:firstLine="422"/>
        <w:jc w:val="both"/>
        <w:textAlignment w:val="auto"/>
        <w:rPr>
          <w:rStyle w:val="152"/>
          <w:rFonts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4.7监理人员工作时间需根据施工现场实际作业时间随时调整，并不定时进行现场巡视。</w:t>
      </w:r>
    </w:p>
    <w:p w14:paraId="0C0A0A54">
      <w:pPr>
        <w:pStyle w:val="179"/>
        <w:keepNext w:val="0"/>
        <w:keepLines w:val="0"/>
        <w:pageBreakBefore w:val="0"/>
        <w:widowControl w:val="0"/>
        <w:kinsoku/>
        <w:overflowPunct/>
        <w:autoSpaceDE/>
        <w:bidi w:val="0"/>
        <w:spacing w:line="560" w:lineRule="exact"/>
        <w:ind w:right="0" w:firstLine="422"/>
        <w:jc w:val="both"/>
        <w:textAlignment w:val="auto"/>
        <w:rPr>
          <w:rStyle w:val="152"/>
          <w:rFonts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4.8监理人应监管工人工资“分账制”管理工作情况，建立日常监理台账。</w:t>
      </w:r>
    </w:p>
    <w:p w14:paraId="43DDE346">
      <w:pPr>
        <w:pStyle w:val="179"/>
        <w:keepNext w:val="0"/>
        <w:keepLines w:val="0"/>
        <w:pageBreakBefore w:val="0"/>
        <w:widowControl w:val="0"/>
        <w:kinsoku/>
        <w:overflowPunct/>
        <w:autoSpaceDE/>
        <w:bidi w:val="0"/>
        <w:spacing w:line="560" w:lineRule="exact"/>
        <w:ind w:right="0" w:firstLine="422"/>
        <w:jc w:val="both"/>
        <w:textAlignment w:val="auto"/>
        <w:rPr>
          <w:rStyle w:val="152"/>
          <w:rFonts w:ascii="宋体" w:hAnsi="宋体"/>
          <w:b w:val="0"/>
          <w:bCs w:val="0"/>
          <w:color w:val="000000"/>
          <w:szCs w:val="21"/>
          <w:highlight w:val="none"/>
        </w:rPr>
      </w:pPr>
      <w:r>
        <w:rPr>
          <w:rStyle w:val="152"/>
          <w:rFonts w:hint="eastAsia" w:ascii="宋体" w:hAnsi="宋体" w:cs="宋体"/>
          <w:b w:val="0"/>
          <w:bCs w:val="0"/>
          <w:color w:val="000000"/>
          <w:szCs w:val="21"/>
          <w:highlight w:val="none"/>
        </w:rPr>
        <w:t>五、监理人其它的违约责任约定</w:t>
      </w:r>
    </w:p>
    <w:p w14:paraId="49AAE3DA">
      <w:pPr>
        <w:pStyle w:val="179"/>
        <w:keepNext w:val="0"/>
        <w:keepLines w:val="0"/>
        <w:pageBreakBefore w:val="0"/>
        <w:widowControl w:val="0"/>
        <w:kinsoku/>
        <w:overflowPunct/>
        <w:autoSpaceDE/>
        <w:bidi w:val="0"/>
        <w:spacing w:line="560" w:lineRule="exact"/>
        <w:ind w:right="0" w:firstLine="420"/>
        <w:jc w:val="both"/>
        <w:textAlignment w:val="auto"/>
        <w:rPr>
          <w:rStyle w:val="152"/>
          <w:rFonts w:ascii="宋体" w:hAnsi="宋体"/>
          <w:b w:val="0"/>
          <w:bCs w:val="0"/>
          <w:color w:val="000000"/>
          <w:kern w:val="0"/>
          <w:szCs w:val="21"/>
          <w:highlight w:val="none"/>
          <w:u w:val="single"/>
        </w:rPr>
      </w:pPr>
      <w:r>
        <w:rPr>
          <w:rStyle w:val="152"/>
          <w:rFonts w:ascii="宋体" w:hAnsi="宋体" w:cs="宋体"/>
          <w:b w:val="0"/>
          <w:bCs w:val="0"/>
          <w:color w:val="000000"/>
          <w:szCs w:val="21"/>
          <w:highlight w:val="none"/>
          <w:u w:val="single"/>
        </w:rPr>
        <w:t>5.1</w:t>
      </w:r>
      <w:r>
        <w:rPr>
          <w:rStyle w:val="152"/>
          <w:rFonts w:hint="eastAsia" w:ascii="宋体" w:hAnsi="宋体" w:cs="宋体"/>
          <w:b w:val="0"/>
          <w:bCs w:val="0"/>
          <w:color w:val="000000"/>
          <w:szCs w:val="21"/>
          <w:highlight w:val="none"/>
          <w:u w:val="single"/>
        </w:rPr>
        <w:t>若委托人检查发现监理人员服务不到位，未按现行《建设工程监理规范》（</w:t>
      </w:r>
      <w:r>
        <w:rPr>
          <w:rStyle w:val="152"/>
          <w:rFonts w:ascii="宋体" w:hAnsi="宋体" w:cs="宋体"/>
          <w:b w:val="0"/>
          <w:bCs w:val="0"/>
          <w:color w:val="000000"/>
          <w:szCs w:val="21"/>
          <w:highlight w:val="none"/>
          <w:u w:val="single"/>
        </w:rPr>
        <w:t>GB50319-2013</w:t>
      </w:r>
      <w:r>
        <w:rPr>
          <w:rStyle w:val="152"/>
          <w:rFonts w:hint="eastAsia" w:ascii="宋体" w:hAnsi="宋体" w:cs="宋体"/>
          <w:b w:val="0"/>
          <w:bCs w:val="0"/>
          <w:color w:val="000000"/>
          <w:szCs w:val="21"/>
          <w:highlight w:val="none"/>
          <w:u w:val="single"/>
        </w:rPr>
        <w:t>）实施过程控制，在书面警告后监理人仍没按要求落实的，监理人应按下列标准支付违约金：</w:t>
      </w:r>
      <w:r>
        <w:rPr>
          <w:rStyle w:val="152"/>
          <w:rFonts w:ascii="宋体" w:hAnsi="宋体" w:cs="宋体"/>
          <w:b w:val="0"/>
          <w:bCs w:val="0"/>
          <w:color w:val="000000"/>
          <w:kern w:val="0"/>
          <w:szCs w:val="21"/>
          <w:highlight w:val="none"/>
          <w:u w:val="single"/>
        </w:rPr>
        <w:t>2000</w:t>
      </w:r>
      <w:r>
        <w:rPr>
          <w:rStyle w:val="152"/>
          <w:rFonts w:hint="eastAsia" w:ascii="宋体" w:hAnsi="宋体" w:cs="宋体"/>
          <w:b w:val="0"/>
          <w:bCs w:val="0"/>
          <w:color w:val="000000"/>
          <w:kern w:val="0"/>
          <w:szCs w:val="21"/>
          <w:highlight w:val="none"/>
          <w:u w:val="single"/>
        </w:rPr>
        <w:t>元</w:t>
      </w:r>
      <w:r>
        <w:rPr>
          <w:rStyle w:val="152"/>
          <w:rFonts w:ascii="宋体" w:hAnsi="宋体" w:cs="宋体"/>
          <w:b w:val="0"/>
          <w:bCs w:val="0"/>
          <w:color w:val="000000"/>
          <w:kern w:val="0"/>
          <w:szCs w:val="21"/>
          <w:highlight w:val="none"/>
          <w:u w:val="single"/>
        </w:rPr>
        <w:t>/</w:t>
      </w:r>
      <w:r>
        <w:rPr>
          <w:rStyle w:val="152"/>
          <w:rFonts w:hint="eastAsia" w:ascii="宋体" w:hAnsi="宋体" w:cs="宋体"/>
          <w:b w:val="0"/>
          <w:bCs w:val="0"/>
          <w:color w:val="000000"/>
          <w:kern w:val="0"/>
          <w:szCs w:val="21"/>
          <w:highlight w:val="none"/>
          <w:u w:val="single"/>
        </w:rPr>
        <w:t>次。违约金累计计算。</w:t>
      </w:r>
    </w:p>
    <w:p w14:paraId="46C91CB1">
      <w:pPr>
        <w:pStyle w:val="179"/>
        <w:keepNext w:val="0"/>
        <w:keepLines w:val="0"/>
        <w:pageBreakBefore w:val="0"/>
        <w:widowControl w:val="0"/>
        <w:kinsoku/>
        <w:overflowPunct/>
        <w:autoSpaceDE/>
        <w:bidi w:val="0"/>
        <w:spacing w:line="560" w:lineRule="exact"/>
        <w:ind w:right="0" w:firstLine="420"/>
        <w:jc w:val="both"/>
        <w:textAlignment w:val="auto"/>
        <w:rPr>
          <w:rStyle w:val="152"/>
          <w:rFonts w:ascii="宋体" w:hAnsi="宋体"/>
          <w:b w:val="0"/>
          <w:bCs w:val="0"/>
          <w:color w:val="000000"/>
          <w:kern w:val="0"/>
          <w:szCs w:val="21"/>
          <w:highlight w:val="none"/>
          <w:u w:val="single"/>
        </w:rPr>
      </w:pPr>
      <w:r>
        <w:rPr>
          <w:rStyle w:val="152"/>
          <w:rFonts w:ascii="宋体" w:hAnsi="宋体" w:cs="宋体"/>
          <w:b w:val="0"/>
          <w:bCs w:val="0"/>
          <w:color w:val="000000"/>
          <w:kern w:val="0"/>
          <w:szCs w:val="21"/>
          <w:highlight w:val="none"/>
          <w:u w:val="single"/>
        </w:rPr>
        <w:t>5.2</w:t>
      </w:r>
      <w:r>
        <w:rPr>
          <w:rStyle w:val="152"/>
          <w:rFonts w:hint="eastAsia" w:ascii="宋体" w:hAnsi="宋体" w:cs="宋体"/>
          <w:b w:val="0"/>
          <w:bCs w:val="0"/>
          <w:color w:val="000000"/>
          <w:kern w:val="0"/>
          <w:szCs w:val="21"/>
          <w:highlight w:val="none"/>
          <w:u w:val="single"/>
        </w:rPr>
        <w:t>若发现监理人对工程变更实施量情况把关不严，未监督承包人按变更图纸和要求实施，或减量变更未监督承包人按减量进行申报的，</w:t>
      </w:r>
      <w:r>
        <w:rPr>
          <w:rStyle w:val="152"/>
          <w:rFonts w:hint="eastAsia" w:ascii="宋体" w:hAnsi="宋体" w:cs="宋体"/>
          <w:b w:val="0"/>
          <w:bCs w:val="0"/>
          <w:color w:val="000000"/>
          <w:szCs w:val="21"/>
          <w:highlight w:val="none"/>
          <w:u w:val="single"/>
        </w:rPr>
        <w:t>监理人应按下列标准支付违约金：</w:t>
      </w:r>
      <w:r>
        <w:rPr>
          <w:rStyle w:val="152"/>
          <w:rFonts w:ascii="宋体" w:hAnsi="宋体" w:cs="宋体"/>
          <w:b w:val="0"/>
          <w:bCs w:val="0"/>
          <w:color w:val="000000"/>
          <w:kern w:val="0"/>
          <w:szCs w:val="21"/>
          <w:highlight w:val="none"/>
          <w:u w:val="single"/>
        </w:rPr>
        <w:t>2000</w:t>
      </w:r>
      <w:r>
        <w:rPr>
          <w:rStyle w:val="152"/>
          <w:rFonts w:hint="eastAsia" w:ascii="宋体" w:hAnsi="宋体" w:cs="宋体"/>
          <w:b w:val="0"/>
          <w:bCs w:val="0"/>
          <w:color w:val="000000"/>
          <w:kern w:val="0"/>
          <w:szCs w:val="21"/>
          <w:highlight w:val="none"/>
          <w:u w:val="single"/>
        </w:rPr>
        <w:t>元</w:t>
      </w:r>
      <w:r>
        <w:rPr>
          <w:rStyle w:val="152"/>
          <w:rFonts w:ascii="宋体" w:hAnsi="宋体" w:cs="宋体"/>
          <w:b w:val="0"/>
          <w:bCs w:val="0"/>
          <w:color w:val="000000"/>
          <w:kern w:val="0"/>
          <w:szCs w:val="21"/>
          <w:highlight w:val="none"/>
          <w:u w:val="single"/>
        </w:rPr>
        <w:t>/</w:t>
      </w:r>
      <w:r>
        <w:rPr>
          <w:rStyle w:val="152"/>
          <w:rFonts w:hint="eastAsia" w:ascii="宋体" w:hAnsi="宋体" w:cs="宋体"/>
          <w:b w:val="0"/>
          <w:bCs w:val="0"/>
          <w:color w:val="000000"/>
          <w:kern w:val="0"/>
          <w:szCs w:val="21"/>
          <w:highlight w:val="none"/>
          <w:u w:val="single"/>
        </w:rPr>
        <w:t>单。违约金累计计算。</w:t>
      </w:r>
    </w:p>
    <w:p w14:paraId="6EB19D19">
      <w:pPr>
        <w:pStyle w:val="179"/>
        <w:keepNext w:val="0"/>
        <w:keepLines w:val="0"/>
        <w:pageBreakBefore w:val="0"/>
        <w:widowControl w:val="0"/>
        <w:kinsoku/>
        <w:overflowPunct/>
        <w:autoSpaceDE/>
        <w:bidi w:val="0"/>
        <w:spacing w:line="560" w:lineRule="exact"/>
        <w:ind w:right="0" w:firstLine="420"/>
        <w:jc w:val="both"/>
        <w:textAlignment w:val="auto"/>
        <w:rPr>
          <w:rStyle w:val="152"/>
          <w:rFonts w:ascii="宋体" w:hAnsi="宋体"/>
          <w:b w:val="0"/>
          <w:bCs w:val="0"/>
          <w:color w:val="000000"/>
          <w:szCs w:val="21"/>
          <w:highlight w:val="none"/>
          <w:u w:val="single"/>
        </w:rPr>
      </w:pPr>
      <w:r>
        <w:rPr>
          <w:rStyle w:val="152"/>
          <w:rFonts w:ascii="宋体" w:hAnsi="宋体" w:cs="宋体"/>
          <w:b w:val="0"/>
          <w:bCs w:val="0"/>
          <w:color w:val="000000"/>
          <w:kern w:val="0"/>
          <w:szCs w:val="21"/>
          <w:highlight w:val="none"/>
          <w:u w:val="single"/>
        </w:rPr>
        <w:t>5.3</w:t>
      </w:r>
      <w:r>
        <w:rPr>
          <w:rStyle w:val="152"/>
          <w:rFonts w:hint="eastAsia" w:ascii="宋体" w:hAnsi="宋体" w:cs="宋体"/>
          <w:b w:val="0"/>
          <w:bCs w:val="0"/>
          <w:color w:val="000000"/>
          <w:kern w:val="0"/>
          <w:szCs w:val="21"/>
          <w:highlight w:val="none"/>
          <w:u w:val="single"/>
        </w:rPr>
        <w:t>施工现场若发生重伤</w:t>
      </w:r>
      <w:r>
        <w:rPr>
          <w:rStyle w:val="152"/>
          <w:rFonts w:ascii="宋体" w:hAnsi="宋体" w:cs="宋体"/>
          <w:b w:val="0"/>
          <w:bCs w:val="0"/>
          <w:color w:val="000000"/>
          <w:kern w:val="0"/>
          <w:szCs w:val="21"/>
          <w:highlight w:val="none"/>
          <w:u w:val="single"/>
        </w:rPr>
        <w:t>1</w:t>
      </w:r>
      <w:r>
        <w:rPr>
          <w:rStyle w:val="152"/>
          <w:rFonts w:hint="eastAsia" w:ascii="宋体" w:hAnsi="宋体" w:cs="宋体"/>
          <w:b w:val="0"/>
          <w:bCs w:val="0"/>
          <w:color w:val="000000"/>
          <w:kern w:val="0"/>
          <w:szCs w:val="21"/>
          <w:highlight w:val="none"/>
          <w:u w:val="single"/>
        </w:rPr>
        <w:t>人以上、</w:t>
      </w:r>
      <w:r>
        <w:rPr>
          <w:rStyle w:val="152"/>
          <w:rFonts w:ascii="宋体" w:hAnsi="宋体" w:cs="宋体"/>
          <w:b w:val="0"/>
          <w:bCs w:val="0"/>
          <w:color w:val="000000"/>
          <w:kern w:val="0"/>
          <w:szCs w:val="21"/>
          <w:highlight w:val="none"/>
          <w:u w:val="single"/>
        </w:rPr>
        <w:t>3</w:t>
      </w:r>
      <w:r>
        <w:rPr>
          <w:rStyle w:val="152"/>
          <w:rFonts w:hint="eastAsia" w:ascii="宋体" w:hAnsi="宋体" w:cs="宋体"/>
          <w:b w:val="0"/>
          <w:bCs w:val="0"/>
          <w:color w:val="000000"/>
          <w:kern w:val="0"/>
          <w:szCs w:val="21"/>
          <w:highlight w:val="none"/>
          <w:u w:val="single"/>
        </w:rPr>
        <w:t>人以下的安全或质量事故，每发生一次，</w:t>
      </w:r>
      <w:r>
        <w:rPr>
          <w:rStyle w:val="152"/>
          <w:rFonts w:hint="eastAsia" w:ascii="宋体" w:hAnsi="宋体" w:cs="宋体"/>
          <w:b w:val="0"/>
          <w:bCs w:val="0"/>
          <w:color w:val="000000"/>
          <w:szCs w:val="21"/>
          <w:highlight w:val="none"/>
          <w:u w:val="single"/>
        </w:rPr>
        <w:t>监理人应按下列标准支付违约金：施工监理暂定总酬金的</w:t>
      </w:r>
      <w:r>
        <w:rPr>
          <w:rStyle w:val="152"/>
          <w:rFonts w:ascii="宋体" w:hAnsi="宋体" w:cs="宋体"/>
          <w:b w:val="0"/>
          <w:bCs w:val="0"/>
          <w:color w:val="000000"/>
          <w:szCs w:val="21"/>
          <w:highlight w:val="none"/>
          <w:u w:val="single"/>
        </w:rPr>
        <w:t>3%</w:t>
      </w:r>
      <w:r>
        <w:rPr>
          <w:rStyle w:val="152"/>
          <w:rFonts w:hint="eastAsia" w:ascii="宋体" w:hAnsi="宋体" w:cs="宋体"/>
          <w:b w:val="0"/>
          <w:bCs w:val="0"/>
          <w:color w:val="000000"/>
          <w:szCs w:val="21"/>
          <w:highlight w:val="none"/>
          <w:u w:val="single"/>
        </w:rPr>
        <w:t>。但该次安全或质量事故监理人无明确过失以上责任的除外（以相关建设主管部门文件认定结果为准。）</w:t>
      </w:r>
    </w:p>
    <w:p w14:paraId="2B520805">
      <w:pPr>
        <w:pStyle w:val="179"/>
        <w:keepNext w:val="0"/>
        <w:keepLines w:val="0"/>
        <w:pageBreakBefore w:val="0"/>
        <w:widowControl w:val="0"/>
        <w:kinsoku/>
        <w:overflowPunct/>
        <w:autoSpaceDE/>
        <w:bidi w:val="0"/>
        <w:spacing w:line="560" w:lineRule="exact"/>
        <w:ind w:right="0" w:firstLine="420"/>
        <w:jc w:val="both"/>
        <w:textAlignment w:val="auto"/>
        <w:rPr>
          <w:rStyle w:val="152"/>
          <w:rFonts w:ascii="宋体" w:hAnsi="宋体"/>
          <w:b w:val="0"/>
          <w:bCs w:val="0"/>
          <w:color w:val="000000"/>
          <w:szCs w:val="21"/>
          <w:highlight w:val="none"/>
          <w:u w:val="single"/>
        </w:rPr>
      </w:pPr>
      <w:r>
        <w:rPr>
          <w:rStyle w:val="152"/>
          <w:rFonts w:hint="eastAsia" w:ascii="宋体" w:hAnsi="宋体" w:cs="宋体"/>
          <w:b w:val="0"/>
          <w:bCs w:val="0"/>
          <w:color w:val="000000"/>
          <w:szCs w:val="21"/>
          <w:highlight w:val="none"/>
          <w:u w:val="single"/>
        </w:rPr>
        <w:t>若发生重伤</w:t>
      </w:r>
      <w:r>
        <w:rPr>
          <w:rStyle w:val="152"/>
          <w:rFonts w:ascii="宋体" w:hAnsi="宋体" w:cs="宋体"/>
          <w:b w:val="0"/>
          <w:bCs w:val="0"/>
          <w:color w:val="000000"/>
          <w:szCs w:val="21"/>
          <w:highlight w:val="none"/>
          <w:u w:val="single"/>
        </w:rPr>
        <w:t>3</w:t>
      </w:r>
      <w:r>
        <w:rPr>
          <w:rStyle w:val="152"/>
          <w:rFonts w:hint="eastAsia" w:ascii="宋体" w:hAnsi="宋体" w:cs="宋体"/>
          <w:b w:val="0"/>
          <w:bCs w:val="0"/>
          <w:color w:val="000000"/>
          <w:szCs w:val="21"/>
          <w:highlight w:val="none"/>
          <w:u w:val="single"/>
        </w:rPr>
        <w:t>人及以上的</w:t>
      </w:r>
      <w:r>
        <w:rPr>
          <w:rStyle w:val="152"/>
          <w:rFonts w:hint="eastAsia" w:ascii="宋体" w:hAnsi="宋体" w:cs="宋体"/>
          <w:b w:val="0"/>
          <w:bCs w:val="0"/>
          <w:color w:val="000000"/>
          <w:kern w:val="0"/>
          <w:szCs w:val="21"/>
          <w:highlight w:val="none"/>
          <w:u w:val="single"/>
        </w:rPr>
        <w:t>安全或质量事故，每发生一次，</w:t>
      </w:r>
      <w:r>
        <w:rPr>
          <w:rStyle w:val="152"/>
          <w:rFonts w:hint="eastAsia" w:ascii="宋体" w:hAnsi="宋体" w:cs="宋体"/>
          <w:b w:val="0"/>
          <w:bCs w:val="0"/>
          <w:color w:val="000000"/>
          <w:szCs w:val="21"/>
          <w:highlight w:val="none"/>
          <w:u w:val="single"/>
        </w:rPr>
        <w:t>监理人应按下列标准支付违约金：施工监理暂定总酬金的</w:t>
      </w:r>
      <w:r>
        <w:rPr>
          <w:rStyle w:val="152"/>
          <w:rFonts w:ascii="宋体" w:hAnsi="宋体" w:cs="宋体"/>
          <w:b w:val="0"/>
          <w:bCs w:val="0"/>
          <w:color w:val="000000"/>
          <w:szCs w:val="21"/>
          <w:highlight w:val="none"/>
          <w:u w:val="single"/>
        </w:rPr>
        <w:t>5%</w:t>
      </w:r>
      <w:r>
        <w:rPr>
          <w:rStyle w:val="152"/>
          <w:rFonts w:hint="eastAsia" w:ascii="宋体" w:hAnsi="宋体" w:cs="宋体"/>
          <w:b w:val="0"/>
          <w:bCs w:val="0"/>
          <w:color w:val="000000"/>
          <w:szCs w:val="21"/>
          <w:highlight w:val="none"/>
          <w:u w:val="single"/>
        </w:rPr>
        <w:t>，同时将拒绝监理人参与委托人招标项目的投标。但该次安全或质量事故监理人无明确过失以上责任的除外（以相关建设主管部门文件认定结果为准。）</w:t>
      </w:r>
    </w:p>
    <w:p w14:paraId="684D1776">
      <w:pPr>
        <w:pStyle w:val="179"/>
        <w:keepNext w:val="0"/>
        <w:keepLines w:val="0"/>
        <w:pageBreakBefore w:val="0"/>
        <w:widowControl w:val="0"/>
        <w:kinsoku/>
        <w:overflowPunct/>
        <w:autoSpaceDE/>
        <w:bidi w:val="0"/>
        <w:spacing w:line="560" w:lineRule="exact"/>
        <w:ind w:right="0" w:firstLine="420"/>
        <w:jc w:val="both"/>
        <w:textAlignment w:val="auto"/>
        <w:rPr>
          <w:rStyle w:val="152"/>
          <w:rFonts w:ascii="宋体" w:hAnsi="宋体"/>
          <w:b w:val="0"/>
          <w:bCs w:val="0"/>
          <w:color w:val="000000"/>
          <w:szCs w:val="21"/>
          <w:highlight w:val="none"/>
          <w:u w:val="single"/>
        </w:rPr>
      </w:pPr>
      <w:r>
        <w:rPr>
          <w:rStyle w:val="152"/>
          <w:rFonts w:hint="eastAsia" w:ascii="宋体" w:hAnsi="宋体" w:cs="宋体"/>
          <w:b w:val="0"/>
          <w:bCs w:val="0"/>
          <w:color w:val="000000"/>
          <w:szCs w:val="21"/>
          <w:highlight w:val="none"/>
          <w:u w:val="single"/>
        </w:rPr>
        <w:t>若发生造成死亡的安全或质量事故，每死亡</w:t>
      </w:r>
      <w:r>
        <w:rPr>
          <w:rStyle w:val="152"/>
          <w:rFonts w:ascii="宋体" w:hAnsi="宋体" w:cs="宋体"/>
          <w:b w:val="0"/>
          <w:bCs w:val="0"/>
          <w:color w:val="000000"/>
          <w:szCs w:val="21"/>
          <w:highlight w:val="none"/>
          <w:u w:val="single"/>
        </w:rPr>
        <w:t>1</w:t>
      </w:r>
      <w:r>
        <w:rPr>
          <w:rStyle w:val="152"/>
          <w:rFonts w:hint="eastAsia" w:ascii="宋体" w:hAnsi="宋体" w:cs="宋体"/>
          <w:b w:val="0"/>
          <w:bCs w:val="0"/>
          <w:color w:val="000000"/>
          <w:szCs w:val="21"/>
          <w:highlight w:val="none"/>
          <w:u w:val="single"/>
        </w:rPr>
        <w:t>人，监理人应按下列标准支付违约金：施工监理暂定总酬金的</w:t>
      </w:r>
      <w:r>
        <w:rPr>
          <w:rStyle w:val="152"/>
          <w:rFonts w:ascii="宋体" w:hAnsi="宋体" w:cs="宋体"/>
          <w:b w:val="0"/>
          <w:bCs w:val="0"/>
          <w:color w:val="000000"/>
          <w:szCs w:val="21"/>
          <w:highlight w:val="none"/>
          <w:u w:val="single"/>
        </w:rPr>
        <w:t>5%</w:t>
      </w:r>
      <w:r>
        <w:rPr>
          <w:rStyle w:val="152"/>
          <w:rFonts w:hint="eastAsia" w:ascii="宋体" w:hAnsi="宋体" w:cs="宋体"/>
          <w:b w:val="0"/>
          <w:bCs w:val="0"/>
          <w:color w:val="000000"/>
          <w:szCs w:val="21"/>
          <w:highlight w:val="none"/>
          <w:u w:val="single"/>
        </w:rPr>
        <w:t>，同时将拒绝监理人参与委托人招标项目的投标。但该次安全或质量事故监理人无明确过失以上责任的除外（以相关建设主管部门文件认定结果为准。）</w:t>
      </w:r>
    </w:p>
    <w:p w14:paraId="7CD8EE30">
      <w:pPr>
        <w:pStyle w:val="179"/>
        <w:keepNext w:val="0"/>
        <w:keepLines w:val="0"/>
        <w:pageBreakBefore w:val="0"/>
        <w:widowControl w:val="0"/>
        <w:kinsoku/>
        <w:overflowPunct/>
        <w:autoSpaceDE/>
        <w:bidi w:val="0"/>
        <w:spacing w:line="560" w:lineRule="exact"/>
        <w:ind w:right="0" w:firstLine="420"/>
        <w:jc w:val="both"/>
        <w:textAlignment w:val="auto"/>
        <w:rPr>
          <w:rStyle w:val="152"/>
          <w:rFonts w:ascii="宋体" w:hAnsi="宋体"/>
          <w:b w:val="0"/>
          <w:bCs w:val="0"/>
          <w:color w:val="000000"/>
          <w:szCs w:val="21"/>
          <w:highlight w:val="none"/>
          <w:u w:val="single"/>
        </w:rPr>
      </w:pPr>
      <w:r>
        <w:rPr>
          <w:rStyle w:val="152"/>
          <w:rFonts w:ascii="宋体" w:hAnsi="宋体" w:cs="宋体"/>
          <w:b w:val="0"/>
          <w:bCs w:val="0"/>
          <w:color w:val="000000"/>
          <w:szCs w:val="21"/>
          <w:highlight w:val="none"/>
          <w:u w:val="single"/>
        </w:rPr>
        <w:t>5.4</w:t>
      </w:r>
      <w:r>
        <w:rPr>
          <w:rStyle w:val="152"/>
          <w:rFonts w:hint="eastAsia" w:ascii="宋体" w:hAnsi="宋体" w:cs="宋体"/>
          <w:b w:val="0"/>
          <w:bCs w:val="0"/>
          <w:color w:val="000000"/>
          <w:szCs w:val="21"/>
          <w:highlight w:val="none"/>
          <w:u w:val="single"/>
        </w:rPr>
        <w:t>监理工程师应加强对施工现场巡视、检查，及时发现质量和安全隐患，督促施工单位整改。对发现的质量和安全隐患，监理工程师须在</w:t>
      </w:r>
      <w:r>
        <w:rPr>
          <w:rStyle w:val="152"/>
          <w:rFonts w:ascii="宋体" w:hAnsi="宋体" w:cs="宋体"/>
          <w:b w:val="0"/>
          <w:bCs w:val="0"/>
          <w:color w:val="000000"/>
          <w:szCs w:val="21"/>
          <w:highlight w:val="none"/>
          <w:u w:val="single"/>
        </w:rPr>
        <w:t>24</w:t>
      </w:r>
      <w:r>
        <w:rPr>
          <w:rStyle w:val="152"/>
          <w:rFonts w:hint="eastAsia" w:ascii="宋体" w:hAnsi="宋体" w:cs="宋体"/>
          <w:b w:val="0"/>
          <w:bCs w:val="0"/>
          <w:color w:val="000000"/>
          <w:szCs w:val="21"/>
          <w:highlight w:val="none"/>
          <w:u w:val="single"/>
        </w:rPr>
        <w:t>小时内向委托人进行书面报告。如委托人或建设行政主管部门发现现场工程质量问题或存在施工安全隐患而监理工程师没有书面记录并书面督促施工单位整改的，或未在规定时间内向委托人书面报告的，委托人可给予监理人书面警告，若监理人拒不整改或不按要求整改的，委托人有权按</w:t>
      </w:r>
      <w:r>
        <w:rPr>
          <w:rStyle w:val="152"/>
          <w:rFonts w:ascii="宋体" w:hAnsi="宋体" w:cs="宋体"/>
          <w:b w:val="0"/>
          <w:bCs w:val="0"/>
          <w:color w:val="000000"/>
          <w:szCs w:val="21"/>
          <w:highlight w:val="none"/>
          <w:u w:val="single"/>
        </w:rPr>
        <w:t>1000</w:t>
      </w:r>
      <w:r>
        <w:rPr>
          <w:rStyle w:val="152"/>
          <w:rFonts w:hint="eastAsia" w:ascii="宋体" w:hAnsi="宋体" w:cs="宋体"/>
          <w:b w:val="0"/>
          <w:bCs w:val="0"/>
          <w:color w:val="000000"/>
          <w:szCs w:val="21"/>
          <w:highlight w:val="none"/>
          <w:u w:val="single"/>
        </w:rPr>
        <w:t>元／次对其进行处罚，支付罚金后监理人应仍有义务负责督促施工单位及时纠正、处理、消除有关质量问题和安全隐患直至整改合格为止。</w:t>
      </w:r>
    </w:p>
    <w:p w14:paraId="089D0A81">
      <w:pPr>
        <w:pStyle w:val="179"/>
        <w:keepNext w:val="0"/>
        <w:keepLines w:val="0"/>
        <w:pageBreakBefore w:val="0"/>
        <w:widowControl w:val="0"/>
        <w:kinsoku/>
        <w:overflowPunct/>
        <w:autoSpaceDE/>
        <w:bidi w:val="0"/>
        <w:spacing w:line="560" w:lineRule="exact"/>
        <w:ind w:right="0" w:firstLine="420"/>
        <w:jc w:val="both"/>
        <w:textAlignment w:val="auto"/>
        <w:rPr>
          <w:rStyle w:val="152"/>
          <w:rFonts w:ascii="宋体" w:hAnsi="宋体"/>
          <w:b w:val="0"/>
          <w:bCs w:val="0"/>
          <w:color w:val="000000"/>
          <w:szCs w:val="21"/>
          <w:highlight w:val="none"/>
          <w:u w:val="single"/>
        </w:rPr>
      </w:pPr>
      <w:r>
        <w:rPr>
          <w:rStyle w:val="152"/>
          <w:rFonts w:ascii="宋体" w:hAnsi="宋体" w:cs="宋体"/>
          <w:b w:val="0"/>
          <w:bCs w:val="0"/>
          <w:color w:val="000000"/>
          <w:szCs w:val="21"/>
          <w:highlight w:val="none"/>
          <w:u w:val="single"/>
        </w:rPr>
        <w:t>5.5</w:t>
      </w:r>
      <w:r>
        <w:rPr>
          <w:rStyle w:val="152"/>
          <w:rFonts w:hint="eastAsia" w:ascii="宋体" w:hAnsi="宋体" w:cs="Times New Roman"/>
          <w:b w:val="0"/>
          <w:bCs w:val="0"/>
          <w:color w:val="000000"/>
          <w:szCs w:val="21"/>
          <w:highlight w:val="none"/>
          <w:u w:val="single"/>
        </w:rPr>
        <w:t>监理人应严把检查验收关并认真作好各项检查、验收记录，若监理人与施工单位串通，弄虚作假、降低工程质量或将不合格的建设工程、建筑材料、建筑构配件和设备按照合格签字的，对监理人处额度为涉案材料设备价款10%的违约金，但不超过本合同签约酬金总价的30%，且委托人有权要求监理人更换监理人员并向建设主管部门报告，并将其不良行为予以公告，直至终止合同，且监理人应当向委托人承担违约责任，免收部分或全部监理酬金，支付违约金并承担赔偿责任，由此产生的其他后果由监理人承担相应法律责任</w:t>
      </w:r>
      <w:r>
        <w:rPr>
          <w:rStyle w:val="152"/>
          <w:rFonts w:hint="eastAsia" w:ascii="宋体" w:hAnsi="宋体" w:cs="宋体"/>
          <w:b w:val="0"/>
          <w:bCs w:val="0"/>
          <w:color w:val="000000"/>
          <w:szCs w:val="21"/>
          <w:highlight w:val="none"/>
          <w:u w:val="single"/>
        </w:rPr>
        <w:t>。</w:t>
      </w:r>
    </w:p>
    <w:p w14:paraId="39FD9650">
      <w:pPr>
        <w:pStyle w:val="179"/>
        <w:keepNext w:val="0"/>
        <w:keepLines w:val="0"/>
        <w:pageBreakBefore w:val="0"/>
        <w:widowControl w:val="0"/>
        <w:kinsoku/>
        <w:overflowPunct/>
        <w:autoSpaceDE/>
        <w:bidi w:val="0"/>
        <w:spacing w:line="560" w:lineRule="exact"/>
        <w:ind w:right="0" w:firstLine="420"/>
        <w:jc w:val="both"/>
        <w:textAlignment w:val="auto"/>
        <w:rPr>
          <w:rStyle w:val="152"/>
          <w:rFonts w:ascii="宋体" w:hAnsi="宋体"/>
          <w:b w:val="0"/>
          <w:bCs w:val="0"/>
          <w:color w:val="000000"/>
          <w:szCs w:val="21"/>
          <w:highlight w:val="none"/>
          <w:u w:val="single"/>
        </w:rPr>
      </w:pPr>
      <w:r>
        <w:rPr>
          <w:rStyle w:val="152"/>
          <w:rFonts w:ascii="宋体" w:hAnsi="宋体" w:cs="宋体"/>
          <w:b w:val="0"/>
          <w:bCs w:val="0"/>
          <w:color w:val="000000"/>
          <w:szCs w:val="21"/>
          <w:highlight w:val="none"/>
          <w:u w:val="single"/>
        </w:rPr>
        <w:t>5.6</w:t>
      </w:r>
      <w:r>
        <w:rPr>
          <w:rStyle w:val="152"/>
          <w:rFonts w:hint="eastAsia" w:ascii="宋体" w:hAnsi="宋体" w:cs="宋体"/>
          <w:b w:val="0"/>
          <w:bCs w:val="0"/>
          <w:color w:val="000000"/>
          <w:szCs w:val="21"/>
          <w:highlight w:val="none"/>
          <w:u w:val="single"/>
        </w:rPr>
        <w:t>监理人因下列原因：</w:t>
      </w:r>
    </w:p>
    <w:p w14:paraId="0A812C4D">
      <w:pPr>
        <w:pStyle w:val="179"/>
        <w:keepNext w:val="0"/>
        <w:keepLines w:val="0"/>
        <w:pageBreakBefore w:val="0"/>
        <w:widowControl w:val="0"/>
        <w:kinsoku/>
        <w:overflowPunct/>
        <w:autoSpaceDE/>
        <w:bidi w:val="0"/>
        <w:spacing w:line="560" w:lineRule="exact"/>
        <w:ind w:right="0" w:firstLine="420"/>
        <w:jc w:val="both"/>
        <w:textAlignment w:val="auto"/>
        <w:rPr>
          <w:rStyle w:val="152"/>
          <w:rFonts w:ascii="宋体" w:hAnsi="宋体"/>
          <w:b w:val="0"/>
          <w:bCs w:val="0"/>
          <w:color w:val="000000"/>
          <w:szCs w:val="21"/>
          <w:highlight w:val="none"/>
          <w:u w:val="single"/>
        </w:rPr>
      </w:pPr>
      <w:r>
        <w:rPr>
          <w:rStyle w:val="152"/>
          <w:rFonts w:hint="eastAsia" w:ascii="宋体" w:hAnsi="宋体" w:cs="宋体"/>
          <w:b w:val="0"/>
          <w:bCs w:val="0"/>
          <w:color w:val="000000"/>
          <w:szCs w:val="21"/>
          <w:highlight w:val="none"/>
          <w:u w:val="single"/>
        </w:rPr>
        <w:t>⑴</w:t>
      </w:r>
      <w:r>
        <w:rPr>
          <w:rStyle w:val="152"/>
          <w:rFonts w:ascii="宋体" w:hAnsi="宋体" w:cs="宋体"/>
          <w:b w:val="0"/>
          <w:bCs w:val="0"/>
          <w:color w:val="000000"/>
          <w:szCs w:val="21"/>
          <w:highlight w:val="none"/>
          <w:u w:val="single"/>
        </w:rPr>
        <w:t xml:space="preserve">. </w:t>
      </w:r>
      <w:r>
        <w:rPr>
          <w:rStyle w:val="152"/>
          <w:rFonts w:hint="eastAsia" w:ascii="宋体" w:hAnsi="宋体" w:cs="宋体"/>
          <w:b w:val="0"/>
          <w:bCs w:val="0"/>
          <w:color w:val="000000"/>
          <w:szCs w:val="21"/>
          <w:highlight w:val="none"/>
          <w:u w:val="single"/>
        </w:rPr>
        <w:t>在施工过程中，监理工程师发出错误指令；</w:t>
      </w:r>
    </w:p>
    <w:p w14:paraId="567FB6B7">
      <w:pPr>
        <w:pStyle w:val="179"/>
        <w:keepNext w:val="0"/>
        <w:keepLines w:val="0"/>
        <w:pageBreakBefore w:val="0"/>
        <w:widowControl w:val="0"/>
        <w:kinsoku/>
        <w:overflowPunct/>
        <w:autoSpaceDE/>
        <w:bidi w:val="0"/>
        <w:spacing w:line="560" w:lineRule="exact"/>
        <w:ind w:right="0" w:firstLine="420"/>
        <w:jc w:val="both"/>
        <w:textAlignment w:val="auto"/>
        <w:rPr>
          <w:rStyle w:val="152"/>
          <w:rFonts w:ascii="宋体" w:hAnsi="宋体"/>
          <w:b w:val="0"/>
          <w:bCs w:val="0"/>
          <w:color w:val="000000"/>
          <w:szCs w:val="21"/>
          <w:highlight w:val="none"/>
          <w:u w:val="single"/>
        </w:rPr>
      </w:pPr>
      <w:r>
        <w:rPr>
          <w:rStyle w:val="152"/>
          <w:rFonts w:hint="eastAsia" w:ascii="宋体" w:hAnsi="宋体" w:cs="宋体"/>
          <w:b w:val="0"/>
          <w:bCs w:val="0"/>
          <w:color w:val="000000"/>
          <w:szCs w:val="21"/>
          <w:highlight w:val="none"/>
          <w:u w:val="single"/>
        </w:rPr>
        <w:t>⑵</w:t>
      </w:r>
      <w:r>
        <w:rPr>
          <w:rStyle w:val="152"/>
          <w:rFonts w:ascii="宋体" w:hAnsi="宋体" w:cs="宋体"/>
          <w:b w:val="0"/>
          <w:bCs w:val="0"/>
          <w:color w:val="000000"/>
          <w:szCs w:val="21"/>
          <w:highlight w:val="none"/>
          <w:u w:val="single"/>
        </w:rPr>
        <w:t xml:space="preserve">. </w:t>
      </w:r>
      <w:r>
        <w:rPr>
          <w:rStyle w:val="152"/>
          <w:rFonts w:hint="eastAsia" w:ascii="宋体" w:hAnsi="宋体" w:cs="宋体"/>
          <w:b w:val="0"/>
          <w:bCs w:val="0"/>
          <w:color w:val="000000"/>
          <w:szCs w:val="21"/>
          <w:highlight w:val="none"/>
          <w:u w:val="single"/>
        </w:rPr>
        <w:t>监理工程师越权审批设计变更；</w:t>
      </w:r>
    </w:p>
    <w:p w14:paraId="169C21AC">
      <w:pPr>
        <w:pStyle w:val="179"/>
        <w:keepNext w:val="0"/>
        <w:keepLines w:val="0"/>
        <w:pageBreakBefore w:val="0"/>
        <w:widowControl w:val="0"/>
        <w:kinsoku/>
        <w:overflowPunct/>
        <w:autoSpaceDE/>
        <w:bidi w:val="0"/>
        <w:spacing w:line="560" w:lineRule="exact"/>
        <w:ind w:right="0" w:firstLine="420"/>
        <w:jc w:val="both"/>
        <w:textAlignment w:val="auto"/>
        <w:rPr>
          <w:rStyle w:val="152"/>
          <w:rFonts w:ascii="宋体" w:hAnsi="宋体"/>
          <w:b w:val="0"/>
          <w:bCs w:val="0"/>
          <w:color w:val="000000"/>
          <w:szCs w:val="21"/>
          <w:highlight w:val="none"/>
          <w:u w:val="single"/>
        </w:rPr>
      </w:pPr>
      <w:r>
        <w:rPr>
          <w:rStyle w:val="152"/>
          <w:rFonts w:hint="eastAsia" w:ascii="宋体" w:hAnsi="宋体" w:cs="宋体"/>
          <w:b w:val="0"/>
          <w:bCs w:val="0"/>
          <w:color w:val="000000"/>
          <w:szCs w:val="21"/>
          <w:highlight w:val="none"/>
          <w:u w:val="single"/>
        </w:rPr>
        <w:t>⑶</w:t>
      </w:r>
      <w:r>
        <w:rPr>
          <w:rStyle w:val="152"/>
          <w:rFonts w:ascii="宋体" w:hAnsi="宋体" w:cs="宋体"/>
          <w:b w:val="0"/>
          <w:bCs w:val="0"/>
          <w:color w:val="000000"/>
          <w:szCs w:val="21"/>
          <w:highlight w:val="none"/>
          <w:u w:val="single"/>
        </w:rPr>
        <w:t xml:space="preserve">. </w:t>
      </w:r>
      <w:r>
        <w:rPr>
          <w:rStyle w:val="152"/>
          <w:rFonts w:hint="eastAsia" w:ascii="宋体" w:hAnsi="宋体" w:cs="宋体"/>
          <w:b w:val="0"/>
          <w:bCs w:val="0"/>
          <w:color w:val="000000"/>
          <w:szCs w:val="21"/>
          <w:highlight w:val="none"/>
          <w:u w:val="single"/>
        </w:rPr>
        <w:t>其它因监理工程师自身失误造成的原因。</w:t>
      </w:r>
    </w:p>
    <w:p w14:paraId="46B93BEA">
      <w:pPr>
        <w:pStyle w:val="179"/>
        <w:keepNext w:val="0"/>
        <w:keepLines w:val="0"/>
        <w:pageBreakBefore w:val="0"/>
        <w:widowControl w:val="0"/>
        <w:kinsoku/>
        <w:overflowPunct/>
        <w:autoSpaceDE/>
        <w:bidi w:val="0"/>
        <w:spacing w:line="560" w:lineRule="exact"/>
        <w:ind w:right="0" w:firstLine="420"/>
        <w:jc w:val="both"/>
        <w:textAlignment w:val="auto"/>
        <w:rPr>
          <w:rStyle w:val="152"/>
          <w:rFonts w:ascii="宋体" w:hAnsi="宋体"/>
          <w:b w:val="0"/>
          <w:bCs w:val="0"/>
          <w:color w:val="000000"/>
          <w:szCs w:val="21"/>
          <w:highlight w:val="none"/>
          <w:u w:val="single"/>
        </w:rPr>
      </w:pPr>
      <w:r>
        <w:rPr>
          <w:rStyle w:val="152"/>
          <w:rFonts w:hint="eastAsia" w:ascii="宋体" w:hAnsi="宋体" w:cs="宋体"/>
          <w:b w:val="0"/>
          <w:bCs w:val="0"/>
          <w:color w:val="000000"/>
          <w:szCs w:val="21"/>
          <w:highlight w:val="none"/>
          <w:u w:val="single"/>
        </w:rPr>
        <w:t>使本工程在投资、工期、质量等方面给委托人造成损失的，委托人将要求监理人进行赔偿，累计赔偿总额不应超过监理报酬总额（除去税金）；但因监理人故意或者重大过失造成委托人损失的，赔偿责任不受本款限额限制。具体约定为：</w:t>
      </w:r>
    </w:p>
    <w:p w14:paraId="64C5D069">
      <w:pPr>
        <w:pStyle w:val="179"/>
        <w:keepNext w:val="0"/>
        <w:keepLines w:val="0"/>
        <w:pageBreakBefore w:val="0"/>
        <w:widowControl w:val="0"/>
        <w:kinsoku/>
        <w:overflowPunct/>
        <w:autoSpaceDE/>
        <w:bidi w:val="0"/>
        <w:spacing w:line="560" w:lineRule="exact"/>
        <w:ind w:right="0" w:firstLine="420"/>
        <w:jc w:val="both"/>
        <w:textAlignment w:val="auto"/>
        <w:rPr>
          <w:rStyle w:val="152"/>
          <w:rFonts w:hint="eastAsia" w:ascii="宋体" w:hAnsi="宋体" w:cs="宋体"/>
          <w:b w:val="0"/>
          <w:bCs w:val="0"/>
          <w:color w:val="000000"/>
          <w:szCs w:val="21"/>
          <w:highlight w:val="none"/>
          <w:u w:val="single"/>
        </w:rPr>
      </w:pPr>
      <w:r>
        <w:rPr>
          <w:rStyle w:val="152"/>
          <w:rFonts w:ascii="宋体" w:hAnsi="宋体" w:cs="宋体"/>
          <w:b w:val="0"/>
          <w:bCs w:val="0"/>
          <w:color w:val="000000"/>
          <w:szCs w:val="21"/>
          <w:highlight w:val="none"/>
          <w:u w:val="single"/>
        </w:rPr>
        <w:t>5.6.</w:t>
      </w:r>
      <w:r>
        <w:rPr>
          <w:rStyle w:val="152"/>
          <w:rFonts w:hint="eastAsia" w:ascii="宋体" w:hAnsi="宋体" w:cs="宋体"/>
          <w:b w:val="0"/>
          <w:bCs w:val="0"/>
          <w:color w:val="000000"/>
          <w:szCs w:val="21"/>
          <w:highlight w:val="none"/>
          <w:u w:val="single"/>
        </w:rPr>
        <w:t>1</w:t>
      </w:r>
      <w:r>
        <w:rPr>
          <w:rStyle w:val="152"/>
          <w:rFonts w:ascii="宋体" w:hAnsi="宋体" w:cs="宋体"/>
          <w:b w:val="0"/>
          <w:bCs w:val="0"/>
          <w:color w:val="000000"/>
          <w:szCs w:val="21"/>
          <w:highlight w:val="none"/>
          <w:u w:val="single"/>
        </w:rPr>
        <w:t xml:space="preserve"> </w:t>
      </w:r>
      <w:r>
        <w:rPr>
          <w:rStyle w:val="152"/>
          <w:rFonts w:hint="eastAsia" w:ascii="宋体" w:hAnsi="宋体" w:cs="宋体"/>
          <w:b w:val="0"/>
          <w:bCs w:val="0"/>
          <w:color w:val="000000"/>
          <w:szCs w:val="21"/>
          <w:highlight w:val="none"/>
          <w:u w:val="single"/>
        </w:rPr>
        <w:t>因监理人责任造成质量事故，需要返工的，监理人应承担相应违约责任，监理人应赔偿委托人的实际损失；情节严重的（超过合同价</w:t>
      </w:r>
      <w:r>
        <w:rPr>
          <w:rStyle w:val="152"/>
          <w:rFonts w:ascii="宋体" w:hAnsi="宋体" w:cs="宋体"/>
          <w:b w:val="0"/>
          <w:bCs w:val="0"/>
          <w:color w:val="000000"/>
          <w:szCs w:val="21"/>
          <w:highlight w:val="none"/>
          <w:u w:val="single"/>
        </w:rPr>
        <w:t>10</w:t>
      </w:r>
      <w:r>
        <w:rPr>
          <w:rStyle w:val="152"/>
          <w:rFonts w:hint="eastAsia" w:ascii="宋体" w:hAnsi="宋体" w:cs="宋体"/>
          <w:b w:val="0"/>
          <w:bCs w:val="0"/>
          <w:color w:val="000000"/>
          <w:szCs w:val="21"/>
          <w:highlight w:val="none"/>
          <w:u w:val="single"/>
        </w:rPr>
        <w:t>％），委托人有权单方面解除合同。</w:t>
      </w:r>
    </w:p>
    <w:p w14:paraId="32DA436F">
      <w:pPr>
        <w:pStyle w:val="179"/>
        <w:keepNext w:val="0"/>
        <w:keepLines w:val="0"/>
        <w:pageBreakBefore w:val="0"/>
        <w:widowControl w:val="0"/>
        <w:kinsoku/>
        <w:overflowPunct/>
        <w:autoSpaceDE/>
        <w:bidi w:val="0"/>
        <w:spacing w:line="560" w:lineRule="exact"/>
        <w:ind w:right="0" w:firstLine="420"/>
        <w:jc w:val="both"/>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5.7 监理人应对结算计量的准确性负责，监理人审核的结算价审核误差率不得大于</w:t>
      </w:r>
      <w:r>
        <w:rPr>
          <w:rStyle w:val="152"/>
          <w:rFonts w:hint="eastAsia" w:ascii="宋体" w:hAnsi="宋体" w:eastAsia="宋体" w:cs="Times New Roman"/>
          <w:b w:val="0"/>
          <w:bCs w:val="0"/>
          <w:color w:val="000000"/>
          <w:spacing w:val="0"/>
          <w:sz w:val="21"/>
          <w:szCs w:val="21"/>
          <w:highlight w:val="none"/>
          <w:u w:val="single"/>
        </w:rPr>
        <w:t>±</w:t>
      </w:r>
      <w:r>
        <w:rPr>
          <w:rStyle w:val="152"/>
          <w:rFonts w:hint="eastAsia" w:ascii="宋体" w:hAnsi="宋体" w:cs="宋体"/>
          <w:b w:val="0"/>
          <w:bCs w:val="0"/>
          <w:color w:val="000000"/>
          <w:szCs w:val="21"/>
          <w:highlight w:val="none"/>
          <w:u w:val="single"/>
        </w:rPr>
        <w:t>5%（相对委托人审定结果），否则对监理人处违约金，额度为误差部分工程价款的30%且不超过本合同签约酬金的30%。本条与专用条款第4.3.3条、本补充条款第4.1条第二款针对同一次造价审核偏差事实的，委托人择一适用，不重复计取违约金。</w:t>
      </w:r>
    </w:p>
    <w:p w14:paraId="7F49DF44">
      <w:pPr>
        <w:pStyle w:val="179"/>
        <w:keepNext w:val="0"/>
        <w:keepLines w:val="0"/>
        <w:pageBreakBefore w:val="0"/>
        <w:widowControl w:val="0"/>
        <w:kinsoku/>
        <w:overflowPunct/>
        <w:autoSpaceDE/>
        <w:bidi w:val="0"/>
        <w:spacing w:line="560" w:lineRule="exact"/>
        <w:ind w:right="0" w:firstLine="420"/>
        <w:jc w:val="both"/>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5.8在保修服务阶段，因保修服务不到位等原因造成使用单位投诉且监理人需承担相关责任时，对监理人处违约金2000元/次。</w:t>
      </w:r>
    </w:p>
    <w:p w14:paraId="363266A4">
      <w:pPr>
        <w:pStyle w:val="179"/>
        <w:keepNext w:val="0"/>
        <w:keepLines w:val="0"/>
        <w:pageBreakBefore w:val="0"/>
        <w:widowControl w:val="0"/>
        <w:kinsoku/>
        <w:overflowPunct/>
        <w:autoSpaceDE/>
        <w:bidi w:val="0"/>
        <w:spacing w:line="560" w:lineRule="exact"/>
        <w:jc w:val="both"/>
        <w:textAlignment w:val="auto"/>
        <w:rPr>
          <w:rStyle w:val="152"/>
          <w:rFonts w:ascii="宋体" w:hAnsi="宋体"/>
          <w:b w:val="0"/>
          <w:bCs w:val="0"/>
          <w:color w:val="000000"/>
          <w:szCs w:val="21"/>
          <w:highlight w:val="none"/>
        </w:rPr>
      </w:pPr>
      <w:r>
        <w:rPr>
          <w:rStyle w:val="152"/>
          <w:rFonts w:hint="eastAsia" w:ascii="宋体" w:hAnsi="宋体" w:cs="宋体"/>
          <w:b w:val="0"/>
          <w:bCs w:val="0"/>
          <w:color w:val="000000"/>
          <w:szCs w:val="21"/>
          <w:highlight w:val="none"/>
        </w:rPr>
        <w:t>六、对监理人就餐的要求</w:t>
      </w:r>
    </w:p>
    <w:p w14:paraId="1FDFF724">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Style w:val="152"/>
          <w:rFonts w:ascii="宋体" w:hAnsi="宋体"/>
          <w:b w:val="0"/>
          <w:bCs w:val="0"/>
          <w:color w:val="000000"/>
          <w:szCs w:val="21"/>
          <w:highlight w:val="none"/>
          <w:u w:val="single"/>
        </w:rPr>
      </w:pPr>
      <w:r>
        <w:rPr>
          <w:rStyle w:val="152"/>
          <w:rFonts w:ascii="宋体" w:hAnsi="宋体" w:cs="宋体"/>
          <w:b w:val="0"/>
          <w:bCs w:val="0"/>
          <w:color w:val="000000"/>
          <w:szCs w:val="21"/>
          <w:highlight w:val="none"/>
          <w:u w:val="single"/>
        </w:rPr>
        <w:t>6.1</w:t>
      </w:r>
      <w:r>
        <w:rPr>
          <w:rStyle w:val="152"/>
          <w:rFonts w:hint="eastAsia" w:ascii="宋体" w:hAnsi="宋体" w:cs="宋体"/>
          <w:b w:val="0"/>
          <w:bCs w:val="0"/>
          <w:color w:val="000000"/>
          <w:szCs w:val="21"/>
          <w:highlight w:val="none"/>
          <w:u w:val="single"/>
        </w:rPr>
        <w:t>监理人须自行解决现场班子人员就餐问题，监理人不得到施工单位进行搭伙就餐。</w:t>
      </w:r>
    </w:p>
    <w:p w14:paraId="74D6EC37">
      <w:pPr>
        <w:pStyle w:val="179"/>
        <w:keepNext w:val="0"/>
        <w:keepLines w:val="0"/>
        <w:pageBreakBefore w:val="0"/>
        <w:widowControl w:val="0"/>
        <w:kinsoku/>
        <w:overflowPunct/>
        <w:autoSpaceDE/>
        <w:bidi w:val="0"/>
        <w:spacing w:line="560" w:lineRule="exact"/>
        <w:jc w:val="both"/>
        <w:textAlignment w:val="auto"/>
        <w:rPr>
          <w:rStyle w:val="152"/>
          <w:rFonts w:ascii="宋体" w:hAnsi="宋体"/>
          <w:b w:val="0"/>
          <w:bCs w:val="0"/>
          <w:color w:val="000000"/>
          <w:szCs w:val="21"/>
          <w:highlight w:val="none"/>
        </w:rPr>
      </w:pPr>
      <w:r>
        <w:rPr>
          <w:rStyle w:val="152"/>
          <w:rFonts w:hint="eastAsia" w:ascii="宋体" w:hAnsi="宋体" w:cs="宋体"/>
          <w:b w:val="0"/>
          <w:bCs w:val="0"/>
          <w:color w:val="000000"/>
          <w:szCs w:val="21"/>
          <w:highlight w:val="none"/>
        </w:rPr>
        <w:t>七、合同履约评价</w:t>
      </w:r>
    </w:p>
    <w:p w14:paraId="6EF76475">
      <w:pPr>
        <w:pStyle w:val="179"/>
        <w:keepNext w:val="0"/>
        <w:keepLines w:val="0"/>
        <w:pageBreakBefore w:val="0"/>
        <w:widowControl w:val="0"/>
        <w:kinsoku/>
        <w:overflowPunct/>
        <w:autoSpaceDE/>
        <w:bidi w:val="0"/>
        <w:spacing w:line="560" w:lineRule="exact"/>
        <w:ind w:left="0" w:leftChars="0" w:right="0" w:rightChars="0" w:firstLineChars="196"/>
        <w:jc w:val="both"/>
        <w:textAlignment w:val="auto"/>
        <w:rPr>
          <w:rStyle w:val="152"/>
          <w:rFonts w:hint="eastAsia" w:ascii="宋体" w:hAnsi="宋体" w:cs="宋体"/>
          <w:b w:val="0"/>
          <w:bCs w:val="0"/>
          <w:color w:val="000000"/>
          <w:szCs w:val="21"/>
          <w:highlight w:val="none"/>
          <w:u w:val="single"/>
        </w:rPr>
      </w:pPr>
      <w:r>
        <w:rPr>
          <w:rStyle w:val="152"/>
          <w:rFonts w:ascii="宋体" w:hAnsi="宋体" w:cs="宋体"/>
          <w:b w:val="0"/>
          <w:bCs w:val="0"/>
          <w:color w:val="000000"/>
          <w:szCs w:val="21"/>
          <w:highlight w:val="none"/>
          <w:u w:val="single"/>
        </w:rPr>
        <w:t>7.1</w:t>
      </w:r>
      <w:r>
        <w:rPr>
          <w:rStyle w:val="152"/>
          <w:rFonts w:hint="eastAsia" w:ascii="宋体" w:hAnsi="宋体" w:cs="宋体"/>
          <w:b w:val="0"/>
          <w:bCs w:val="0"/>
          <w:color w:val="000000"/>
          <w:szCs w:val="21"/>
          <w:highlight w:val="none"/>
          <w:u w:val="single"/>
        </w:rPr>
        <w:t>委托人按集团公司现行履约评价管理办法对监理人进行履约评价，若监理人季度评价平均分为60分以下（不含），视为监理人违约，委托人有权扣除监理服务费结算金额的5%，且委托人有权拒绝本监理人再参与委托人招标项目的投标。</w:t>
      </w:r>
    </w:p>
    <w:p w14:paraId="49DD9D54">
      <w:pPr>
        <w:pStyle w:val="179"/>
        <w:keepNext w:val="0"/>
        <w:keepLines w:val="0"/>
        <w:pageBreakBefore w:val="0"/>
        <w:widowControl w:val="0"/>
        <w:kinsoku/>
        <w:overflowPunct/>
        <w:autoSpaceDE/>
        <w:bidi w:val="0"/>
        <w:spacing w:line="560" w:lineRule="exact"/>
        <w:jc w:val="both"/>
        <w:textAlignment w:val="auto"/>
        <w:rPr>
          <w:rStyle w:val="152"/>
          <w:rFonts w:ascii="宋体" w:hAnsi="宋体"/>
          <w:b w:val="0"/>
          <w:bCs w:val="0"/>
          <w:color w:val="000000"/>
          <w:szCs w:val="21"/>
          <w:highlight w:val="none"/>
        </w:rPr>
      </w:pPr>
      <w:r>
        <w:rPr>
          <w:rStyle w:val="152"/>
          <w:rFonts w:hint="eastAsia" w:ascii="宋体" w:hAnsi="宋体" w:cs="宋体"/>
          <w:b w:val="0"/>
          <w:bCs w:val="0"/>
          <w:color w:val="000000"/>
          <w:szCs w:val="21"/>
          <w:highlight w:val="none"/>
        </w:rPr>
        <w:t>八、其它</w:t>
      </w:r>
    </w:p>
    <w:p w14:paraId="75557481">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Style w:val="152"/>
          <w:rFonts w:ascii="宋体" w:hAnsi="宋体"/>
          <w:b w:val="0"/>
          <w:bCs w:val="0"/>
          <w:color w:val="000000"/>
          <w:szCs w:val="21"/>
          <w:highlight w:val="none"/>
          <w:u w:val="single"/>
        </w:rPr>
      </w:pPr>
      <w:r>
        <w:rPr>
          <w:rStyle w:val="152"/>
          <w:rFonts w:ascii="宋体" w:hAnsi="宋体" w:cs="宋体"/>
          <w:b w:val="0"/>
          <w:bCs w:val="0"/>
          <w:color w:val="000000"/>
          <w:szCs w:val="21"/>
          <w:highlight w:val="none"/>
          <w:u w:val="single"/>
        </w:rPr>
        <w:t>8.1</w:t>
      </w:r>
      <w:r>
        <w:rPr>
          <w:rStyle w:val="152"/>
          <w:rFonts w:hint="eastAsia" w:ascii="宋体" w:hAnsi="宋体" w:cs="宋体"/>
          <w:b w:val="0"/>
          <w:bCs w:val="0"/>
          <w:color w:val="000000"/>
          <w:szCs w:val="21"/>
          <w:highlight w:val="none"/>
          <w:u w:val="single"/>
        </w:rPr>
        <w:t>监理酬金额包括了为实施和完成本工程全部监理工作所需的监理成本、税金和利润等全部费用。如果出现监理期限逾期、监理工作受阻或延误而暂停或终止执行监理业务，以及通货膨胀、货币贬值、利率调整、税率变动等任何经济环境的改变和国家、省、市法规允许调整监理酬金计取费率的变化，监理人均不得要求追加监理酬金额。</w:t>
      </w:r>
    </w:p>
    <w:p w14:paraId="5406AA3C">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Style w:val="152"/>
          <w:rFonts w:ascii="宋体" w:hAnsi="宋体"/>
          <w:b w:val="0"/>
          <w:bCs w:val="0"/>
          <w:color w:val="000000"/>
          <w:szCs w:val="21"/>
          <w:highlight w:val="none"/>
          <w:u w:val="single"/>
        </w:rPr>
      </w:pPr>
      <w:r>
        <w:rPr>
          <w:rStyle w:val="152"/>
          <w:rFonts w:ascii="宋体" w:hAnsi="宋体" w:cs="宋体"/>
          <w:b w:val="0"/>
          <w:bCs w:val="0"/>
          <w:color w:val="000000"/>
          <w:szCs w:val="21"/>
          <w:highlight w:val="none"/>
          <w:u w:val="single"/>
        </w:rPr>
        <w:t>8.2</w:t>
      </w:r>
      <w:r>
        <w:rPr>
          <w:rStyle w:val="152"/>
          <w:rFonts w:hint="eastAsia" w:ascii="宋体" w:hAnsi="宋体" w:cs="宋体"/>
          <w:b w:val="0"/>
          <w:bCs w:val="0"/>
          <w:color w:val="000000"/>
          <w:szCs w:val="21"/>
          <w:highlight w:val="none"/>
          <w:u w:val="single"/>
        </w:rPr>
        <w:t>监理人应向委托人偿付的违约金均由委托人在应付监理酬金进度款中即时扣除，不足部分委托人将进行追偿。</w:t>
      </w:r>
    </w:p>
    <w:p w14:paraId="0ADBE310">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Style w:val="152"/>
          <w:rFonts w:ascii="宋体" w:hAnsi="宋体"/>
          <w:b w:val="0"/>
          <w:bCs w:val="0"/>
          <w:color w:val="000000"/>
          <w:szCs w:val="21"/>
          <w:highlight w:val="none"/>
          <w:u w:val="single"/>
        </w:rPr>
      </w:pPr>
      <w:r>
        <w:rPr>
          <w:rStyle w:val="152"/>
          <w:rFonts w:ascii="宋体" w:hAnsi="宋体" w:cs="宋体"/>
          <w:b w:val="0"/>
          <w:bCs w:val="0"/>
          <w:color w:val="000000"/>
          <w:szCs w:val="21"/>
          <w:highlight w:val="none"/>
          <w:u w:val="single"/>
        </w:rPr>
        <w:t>8.2.</w:t>
      </w:r>
      <w:r>
        <w:rPr>
          <w:rStyle w:val="152"/>
          <w:rFonts w:hint="eastAsia" w:ascii="宋体" w:hAnsi="宋体" w:cs="宋体"/>
          <w:b w:val="0"/>
          <w:bCs w:val="0"/>
          <w:color w:val="000000"/>
          <w:szCs w:val="21"/>
          <w:highlight w:val="none"/>
          <w:u w:val="single"/>
          <w:lang w:val="en-US" w:eastAsia="zh-CN"/>
        </w:rPr>
        <w:t>1</w:t>
      </w:r>
      <w:r>
        <w:rPr>
          <w:rStyle w:val="152"/>
          <w:rFonts w:ascii="宋体" w:hAnsi="宋体" w:cs="宋体"/>
          <w:b w:val="0"/>
          <w:bCs w:val="0"/>
          <w:color w:val="000000"/>
          <w:szCs w:val="21"/>
          <w:highlight w:val="none"/>
          <w:u w:val="single"/>
        </w:rPr>
        <w:t xml:space="preserve"> 未经委托人事先书面同意，监理人不得将本合同项下监理与相关服务的全部或者部分转委托、分包给第三人，亦不得以联合体、挂靠、借用资质或者其他方式由第三人实际履行。监理人违反本款约定的，委托人有权解除本合同，监理人应按签约酬金总额的20%向委托人支付违约金，并赔偿委托人由此遭受的全部损失。</w:t>
      </w:r>
    </w:p>
    <w:p w14:paraId="7AB3E135">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Style w:val="152"/>
          <w:rFonts w:ascii="宋体" w:hAnsi="宋体"/>
          <w:b w:val="0"/>
          <w:bCs w:val="0"/>
          <w:color w:val="000000"/>
          <w:szCs w:val="21"/>
          <w:highlight w:val="none"/>
          <w:u w:val="single"/>
        </w:rPr>
      </w:pPr>
      <w:r>
        <w:rPr>
          <w:rStyle w:val="152"/>
          <w:rFonts w:ascii="宋体" w:hAnsi="宋体" w:cs="宋体"/>
          <w:b w:val="0"/>
          <w:bCs w:val="0"/>
          <w:color w:val="000000"/>
          <w:szCs w:val="21"/>
          <w:highlight w:val="none"/>
          <w:u w:val="single"/>
        </w:rPr>
        <w:t>8.2.</w:t>
      </w:r>
      <w:r>
        <w:rPr>
          <w:rStyle w:val="152"/>
          <w:rFonts w:hint="eastAsia" w:ascii="宋体" w:hAnsi="宋体" w:cs="宋体"/>
          <w:b w:val="0"/>
          <w:bCs w:val="0"/>
          <w:color w:val="000000"/>
          <w:szCs w:val="21"/>
          <w:highlight w:val="none"/>
          <w:u w:val="single"/>
          <w:lang w:val="en-US" w:eastAsia="zh-CN"/>
        </w:rPr>
        <w:t>2</w:t>
      </w:r>
      <w:r>
        <w:rPr>
          <w:rStyle w:val="152"/>
          <w:rFonts w:ascii="宋体" w:hAnsi="宋体" w:cs="宋体"/>
          <w:b w:val="0"/>
          <w:bCs w:val="0"/>
          <w:color w:val="000000"/>
          <w:szCs w:val="21"/>
          <w:highlight w:val="none"/>
          <w:u w:val="single"/>
        </w:rPr>
        <w:t xml:space="preserve"> 本合同解除或者终止的，监理人应自解除或者终止之日起10日内，向委托人无偿移交全部监理成果文件、过程资料、往来函件及电子档案，并办理书面移交手续。监理人逾期未移交的，应按每日1000元向委托人支付违约金，委托人并有权暂停支付剩余酬金直至移交完毕。</w:t>
      </w:r>
    </w:p>
    <w:p w14:paraId="6B6BEB7E">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Style w:val="152"/>
          <w:rFonts w:ascii="宋体" w:hAnsi="宋体" w:eastAsia="宋体"/>
          <w:b w:val="0"/>
          <w:bCs w:val="0"/>
          <w:color w:val="000000"/>
          <w:szCs w:val="21"/>
          <w:highlight w:val="none"/>
          <w:u w:val="single"/>
        </w:rPr>
      </w:pPr>
      <w:r>
        <w:rPr>
          <w:rStyle w:val="152"/>
          <w:rFonts w:ascii="宋体" w:hAnsi="宋体" w:cs="宋体"/>
          <w:b w:val="0"/>
          <w:bCs w:val="0"/>
          <w:color w:val="000000"/>
          <w:szCs w:val="21"/>
          <w:highlight w:val="none"/>
          <w:u w:val="single"/>
        </w:rPr>
        <w:t>8.3</w:t>
      </w:r>
      <w:r>
        <w:rPr>
          <w:rStyle w:val="152"/>
          <w:rFonts w:hint="eastAsia" w:ascii="宋体" w:hAnsi="宋体" w:cs="宋体"/>
          <w:b w:val="0"/>
          <w:bCs w:val="0"/>
          <w:color w:val="000000"/>
          <w:szCs w:val="21"/>
          <w:highlight w:val="none"/>
          <w:u w:val="single"/>
        </w:rPr>
        <w:t>监理人派出的现场监理班子人员应廉洁自律，不索取、收受委托合同约定以外的礼金和其他财物，不与施工单位等有利益关系的单位或个人进行任何不正当的接触，不利用职务之便谋取其他不正当的利益。如发现监理人员有不廉洁的行为，每查实一次，委托人按</w:t>
      </w:r>
      <w:r>
        <w:rPr>
          <w:rStyle w:val="152"/>
          <w:rFonts w:ascii="宋体" w:hAnsi="宋体" w:cs="宋体"/>
          <w:b w:val="0"/>
          <w:bCs w:val="0"/>
          <w:color w:val="000000"/>
          <w:szCs w:val="21"/>
          <w:highlight w:val="none"/>
          <w:u w:val="single"/>
        </w:rPr>
        <w:t>1000</w:t>
      </w:r>
      <w:r>
        <w:rPr>
          <w:rStyle w:val="152"/>
          <w:rFonts w:hint="eastAsia" w:ascii="宋体" w:hAnsi="宋体" w:cs="宋体"/>
          <w:b w:val="0"/>
          <w:bCs w:val="0"/>
          <w:color w:val="000000"/>
          <w:szCs w:val="21"/>
          <w:highlight w:val="none"/>
          <w:u w:val="single"/>
        </w:rPr>
        <w:t>元／人次进行处罚，并向建设行政主管部门通报，最高罚款不超过总监理费的</w:t>
      </w:r>
      <w:r>
        <w:rPr>
          <w:rStyle w:val="152"/>
          <w:rFonts w:ascii="宋体" w:hAnsi="宋体" w:cs="宋体"/>
          <w:b w:val="0"/>
          <w:bCs w:val="0"/>
          <w:color w:val="000000"/>
          <w:szCs w:val="21"/>
          <w:highlight w:val="none"/>
          <w:u w:val="single"/>
        </w:rPr>
        <w:t>10%</w:t>
      </w:r>
      <w:r>
        <w:rPr>
          <w:rStyle w:val="152"/>
          <w:rFonts w:hint="eastAsia" w:ascii="宋体" w:hAnsi="宋体" w:cs="宋体"/>
          <w:b w:val="0"/>
          <w:bCs w:val="0"/>
          <w:color w:val="000000"/>
          <w:szCs w:val="21"/>
          <w:highlight w:val="none"/>
          <w:u w:val="single"/>
        </w:rPr>
        <w:t>。涉嫌违法犯罪将移交司法机关处理。</w:t>
      </w:r>
    </w:p>
    <w:p w14:paraId="27E2A8F6">
      <w:pPr>
        <w:pStyle w:val="179"/>
        <w:numPr>
          <w:ilvl w:val="0"/>
          <w:numId w:val="0"/>
        </w:numPr>
        <w:snapToGrid w:val="0"/>
        <w:spacing w:line="560" w:lineRule="exact"/>
        <w:ind w:left="0" w:leftChars="0" w:right="0" w:rightChars="0" w:firstLineChars="200"/>
        <w:jc w:val="both"/>
        <w:outlineLvl w:val="2"/>
        <w:rPr>
          <w:rStyle w:val="152"/>
          <w:rFonts w:ascii="宋体" w:hAnsi="宋体" w:cs="宋体"/>
          <w:b w:val="0"/>
          <w:bCs w:val="0"/>
          <w:color w:val="000000"/>
          <w:szCs w:val="21"/>
          <w:highlight w:val="none"/>
          <w:u w:val="single"/>
        </w:rPr>
      </w:pPr>
      <w:r>
        <w:rPr>
          <w:rStyle w:val="152"/>
          <w:rFonts w:ascii="宋体" w:hAnsi="宋体" w:cs="宋体"/>
          <w:b w:val="0"/>
          <w:bCs w:val="0"/>
          <w:color w:val="000000"/>
          <w:szCs w:val="21"/>
          <w:highlight w:val="none"/>
          <w:u w:val="single"/>
        </w:rPr>
        <w:t>8.4若因政府</w:t>
      </w:r>
      <w:r>
        <w:rPr>
          <w:rStyle w:val="152"/>
          <w:rFonts w:hint="eastAsia" w:ascii="宋体" w:hAnsi="宋体" w:cs="宋体"/>
          <w:b w:val="0"/>
          <w:bCs w:val="0"/>
          <w:color w:val="000000"/>
          <w:szCs w:val="21"/>
          <w:highlight w:val="none"/>
          <w:u w:val="single"/>
        </w:rPr>
        <w:t>或项目调整</w:t>
      </w:r>
      <w:r>
        <w:rPr>
          <w:rStyle w:val="152"/>
          <w:rFonts w:ascii="宋体" w:hAnsi="宋体" w:cs="宋体"/>
          <w:b w:val="0"/>
          <w:bCs w:val="0"/>
          <w:color w:val="000000"/>
          <w:szCs w:val="21"/>
          <w:highlight w:val="none"/>
          <w:u w:val="single"/>
        </w:rPr>
        <w:t>原因，导致实际实施的监理范围、监理内容与原合同约定发生了较大变化（主要指缩减规模、建设标准等），委托人、</w:t>
      </w:r>
      <w:r>
        <w:rPr>
          <w:rStyle w:val="152"/>
          <w:rFonts w:hint="eastAsia" w:ascii="宋体" w:hAnsi="宋体" w:cs="宋体"/>
          <w:b w:val="0"/>
          <w:bCs w:val="0"/>
          <w:color w:val="000000"/>
          <w:szCs w:val="21"/>
          <w:highlight w:val="none"/>
          <w:u w:val="single"/>
        </w:rPr>
        <w:t>监理人</w:t>
      </w:r>
      <w:r>
        <w:rPr>
          <w:rStyle w:val="152"/>
          <w:rFonts w:ascii="宋体" w:hAnsi="宋体" w:cs="宋体"/>
          <w:b w:val="0"/>
          <w:bCs w:val="0"/>
          <w:color w:val="000000"/>
          <w:szCs w:val="21"/>
          <w:highlight w:val="none"/>
          <w:u w:val="single"/>
        </w:rPr>
        <w:t>遵循实事求是、诚实信用原则，签订相关补充协议，重新约定监理酬金额的结算原则；若因政府决定</w:t>
      </w:r>
      <w:r>
        <w:rPr>
          <w:rStyle w:val="152"/>
          <w:rFonts w:hint="eastAsia" w:ascii="宋体" w:hAnsi="宋体" w:cs="宋体"/>
          <w:b w:val="0"/>
          <w:bCs w:val="0"/>
          <w:color w:val="000000"/>
          <w:szCs w:val="21"/>
          <w:highlight w:val="none"/>
          <w:u w:val="single"/>
        </w:rPr>
        <w:t>或项目调整原因</w:t>
      </w:r>
      <w:r>
        <w:rPr>
          <w:rStyle w:val="152"/>
          <w:rFonts w:ascii="宋体" w:hAnsi="宋体" w:cs="宋体"/>
          <w:b w:val="0"/>
          <w:bCs w:val="0"/>
          <w:color w:val="000000"/>
          <w:szCs w:val="21"/>
          <w:highlight w:val="none"/>
          <w:u w:val="single"/>
        </w:rPr>
        <w:t>终止</w:t>
      </w:r>
      <w:r>
        <w:rPr>
          <w:rStyle w:val="152"/>
          <w:rFonts w:hint="eastAsia" w:ascii="宋体" w:hAnsi="宋体" w:cs="宋体"/>
          <w:b w:val="0"/>
          <w:bCs w:val="0"/>
          <w:color w:val="000000"/>
          <w:szCs w:val="21"/>
          <w:highlight w:val="none"/>
          <w:u w:val="single"/>
        </w:rPr>
        <w:t>或解除</w:t>
      </w:r>
      <w:r>
        <w:rPr>
          <w:rStyle w:val="152"/>
          <w:rFonts w:ascii="宋体" w:hAnsi="宋体" w:cs="宋体"/>
          <w:b w:val="0"/>
          <w:bCs w:val="0"/>
          <w:color w:val="000000"/>
          <w:szCs w:val="21"/>
          <w:highlight w:val="none"/>
          <w:u w:val="single"/>
        </w:rPr>
        <w:t>本合同工程，而本合同尚未实施的，本合同自动</w:t>
      </w:r>
      <w:r>
        <w:rPr>
          <w:rStyle w:val="152"/>
          <w:rFonts w:hint="eastAsia" w:ascii="宋体" w:hAnsi="宋体" w:cs="宋体"/>
          <w:b w:val="0"/>
          <w:bCs w:val="0"/>
          <w:color w:val="000000"/>
          <w:szCs w:val="21"/>
          <w:highlight w:val="none"/>
          <w:u w:val="single"/>
        </w:rPr>
        <w:t>终止或</w:t>
      </w:r>
      <w:r>
        <w:rPr>
          <w:rStyle w:val="152"/>
          <w:rFonts w:ascii="宋体" w:hAnsi="宋体" w:cs="宋体"/>
          <w:b w:val="0"/>
          <w:bCs w:val="0"/>
          <w:color w:val="000000"/>
          <w:szCs w:val="21"/>
          <w:highlight w:val="none"/>
          <w:u w:val="single"/>
        </w:rPr>
        <w:t>解除，合同签订双方均无须承担任何违约责任。本合同已开始实施的，按专用条款第</w:t>
      </w:r>
      <w:r>
        <w:rPr>
          <w:rStyle w:val="152"/>
          <w:rFonts w:ascii="宋体" w:hAnsi="宋体" w:eastAsia="宋体" w:cs="宋体"/>
          <w:b w:val="0"/>
          <w:bCs w:val="0"/>
          <w:color w:val="000000"/>
          <w:kern w:val="2"/>
          <w:sz w:val="21"/>
          <w:szCs w:val="21"/>
          <w:highlight w:val="none"/>
          <w:u w:val="single"/>
        </w:rPr>
        <w:t>5</w:t>
      </w:r>
      <w:r>
        <w:rPr>
          <w:rStyle w:val="152"/>
          <w:rFonts w:ascii="宋体" w:hAnsi="宋体" w:cs="宋体"/>
          <w:b w:val="0"/>
          <w:bCs w:val="0"/>
          <w:color w:val="000000"/>
          <w:szCs w:val="21"/>
          <w:highlight w:val="none"/>
          <w:u w:val="single"/>
        </w:rPr>
        <w:t>条</w:t>
      </w:r>
      <w:r>
        <w:rPr>
          <w:rStyle w:val="152"/>
          <w:rFonts w:ascii="宋体" w:hAnsi="宋体" w:cs="宋体"/>
          <w:b w:val="0"/>
          <w:bCs w:val="0"/>
          <w:color w:val="000000"/>
          <w:kern w:val="2"/>
          <w:sz w:val="21"/>
          <w:szCs w:val="21"/>
          <w:highlight w:val="none"/>
          <w:u w:val="single"/>
        </w:rPr>
        <w:t>酬金的计取与支付结算</w:t>
      </w:r>
      <w:r>
        <w:rPr>
          <w:rStyle w:val="152"/>
          <w:rFonts w:hint="eastAsia" w:ascii="宋体" w:hAnsi="宋体" w:cs="宋体"/>
          <w:b w:val="0"/>
          <w:bCs w:val="0"/>
          <w:color w:val="000000"/>
          <w:kern w:val="2"/>
          <w:sz w:val="21"/>
          <w:szCs w:val="21"/>
          <w:highlight w:val="none"/>
          <w:u w:val="single"/>
        </w:rPr>
        <w:t>监理人</w:t>
      </w:r>
      <w:r>
        <w:rPr>
          <w:rStyle w:val="152"/>
          <w:rFonts w:ascii="宋体" w:hAnsi="宋体" w:cs="宋体"/>
          <w:b w:val="0"/>
          <w:bCs w:val="0"/>
          <w:color w:val="000000"/>
          <w:kern w:val="2"/>
          <w:sz w:val="21"/>
          <w:szCs w:val="21"/>
          <w:highlight w:val="none"/>
          <w:u w:val="single"/>
        </w:rPr>
        <w:t>已完成</w:t>
      </w:r>
      <w:r>
        <w:rPr>
          <w:rStyle w:val="152"/>
          <w:rFonts w:hint="eastAsia" w:ascii="宋体" w:hAnsi="宋体" w:cs="宋体"/>
          <w:b w:val="0"/>
          <w:bCs w:val="0"/>
          <w:color w:val="000000"/>
          <w:kern w:val="2"/>
          <w:sz w:val="21"/>
          <w:szCs w:val="21"/>
          <w:highlight w:val="none"/>
          <w:u w:val="single"/>
        </w:rPr>
        <w:t>且经委托人确认</w:t>
      </w:r>
      <w:r>
        <w:rPr>
          <w:rStyle w:val="152"/>
          <w:rFonts w:ascii="宋体" w:hAnsi="宋体" w:cs="宋体"/>
          <w:b w:val="0"/>
          <w:bCs w:val="0"/>
          <w:color w:val="000000"/>
          <w:kern w:val="2"/>
          <w:sz w:val="21"/>
          <w:szCs w:val="21"/>
          <w:highlight w:val="none"/>
          <w:u w:val="single"/>
        </w:rPr>
        <w:t>的工作量</w:t>
      </w:r>
      <w:r>
        <w:rPr>
          <w:rStyle w:val="152"/>
          <w:rFonts w:ascii="宋体" w:hAnsi="宋体" w:cs="宋体"/>
          <w:b w:val="0"/>
          <w:bCs w:val="0"/>
          <w:color w:val="000000"/>
          <w:szCs w:val="21"/>
          <w:highlight w:val="none"/>
          <w:u w:val="single"/>
        </w:rPr>
        <w:t>，且委托人不再</w:t>
      </w:r>
      <w:r>
        <w:rPr>
          <w:rStyle w:val="152"/>
          <w:rFonts w:hint="eastAsia" w:ascii="宋体" w:hAnsi="宋体" w:cs="宋体"/>
          <w:b w:val="0"/>
          <w:bCs w:val="0"/>
          <w:color w:val="000000"/>
          <w:szCs w:val="21"/>
          <w:highlight w:val="none"/>
          <w:u w:val="single"/>
        </w:rPr>
        <w:t>承担</w:t>
      </w:r>
      <w:r>
        <w:rPr>
          <w:rStyle w:val="152"/>
          <w:rFonts w:ascii="宋体" w:hAnsi="宋体" w:cs="宋体"/>
          <w:b w:val="0"/>
          <w:bCs w:val="0"/>
          <w:color w:val="000000"/>
          <w:szCs w:val="21"/>
          <w:highlight w:val="none"/>
          <w:u w:val="single"/>
        </w:rPr>
        <w:t>支付任何违约金、赔偿金、补偿金</w:t>
      </w:r>
      <w:r>
        <w:rPr>
          <w:rStyle w:val="152"/>
          <w:rFonts w:hint="eastAsia" w:ascii="宋体" w:hAnsi="宋体" w:cs="宋体"/>
          <w:b w:val="0"/>
          <w:bCs w:val="0"/>
          <w:color w:val="000000"/>
          <w:szCs w:val="21"/>
          <w:highlight w:val="none"/>
          <w:u w:val="single"/>
        </w:rPr>
        <w:t>等经济责任</w:t>
      </w:r>
      <w:r>
        <w:rPr>
          <w:rStyle w:val="152"/>
          <w:rFonts w:ascii="宋体" w:hAnsi="宋体" w:cs="宋体"/>
          <w:b w:val="0"/>
          <w:bCs w:val="0"/>
          <w:color w:val="000000"/>
          <w:szCs w:val="21"/>
          <w:highlight w:val="none"/>
          <w:u w:val="single"/>
        </w:rPr>
        <w:t>。</w:t>
      </w:r>
    </w:p>
    <w:p w14:paraId="4E3C5464">
      <w:pPr>
        <w:pStyle w:val="179"/>
        <w:keepNext w:val="0"/>
        <w:keepLines w:val="0"/>
        <w:pageBreakBefore w:val="0"/>
        <w:widowControl w:val="0"/>
        <w:kinsoku/>
        <w:overflowPunct/>
        <w:autoSpaceDE/>
        <w:bidi w:val="0"/>
        <w:spacing w:line="560" w:lineRule="exact"/>
        <w:ind w:left="0" w:leftChars="0" w:right="0" w:rightChars="0" w:firstLine="0" w:firstLineChars="0"/>
        <w:jc w:val="both"/>
        <w:textAlignment w:val="auto"/>
        <w:rPr>
          <w:rStyle w:val="152"/>
          <w:rFonts w:ascii="宋体" w:hAnsi="宋体"/>
          <w:b w:val="0"/>
          <w:bCs w:val="0"/>
          <w:color w:val="000000"/>
          <w:szCs w:val="21"/>
          <w:highlight w:val="none"/>
          <w:u w:val="single"/>
        </w:rPr>
      </w:pPr>
      <w:r>
        <w:rPr>
          <w:rStyle w:val="152"/>
          <w:rFonts w:hint="eastAsia" w:ascii="宋体" w:hAnsi="宋体" w:cs="宋体"/>
          <w:b w:val="0"/>
          <w:bCs w:val="0"/>
          <w:color w:val="000000"/>
          <w:szCs w:val="21"/>
          <w:highlight w:val="none"/>
          <w:u w:val="single"/>
        </w:rPr>
        <w:t xml:space="preserve">    </w:t>
      </w:r>
      <w:r>
        <w:rPr>
          <w:rStyle w:val="152"/>
          <w:rFonts w:ascii="宋体" w:hAnsi="宋体" w:cs="宋体"/>
          <w:b w:val="0"/>
          <w:bCs w:val="0"/>
          <w:color w:val="000000"/>
          <w:szCs w:val="21"/>
          <w:highlight w:val="none"/>
          <w:u w:val="single"/>
        </w:rPr>
        <w:t>8.</w:t>
      </w:r>
      <w:r>
        <w:rPr>
          <w:rStyle w:val="152"/>
          <w:rFonts w:hint="eastAsia" w:ascii="宋体" w:hAnsi="宋体" w:cs="宋体"/>
          <w:b w:val="0"/>
          <w:bCs w:val="0"/>
          <w:color w:val="000000"/>
          <w:szCs w:val="21"/>
          <w:highlight w:val="none"/>
          <w:u w:val="single"/>
        </w:rPr>
        <w:t>5工程实施过程中，如发生施工承包人违约，监理人应积极配合委托人开展索赔工作，按照工程承包合同的约定，及时向委托人提供向承包人索赔的有效依据，并在工程承包合同约定的时限内提前提示委托人及时向承包人发出相关的答复或要求承包人进一步补充索赔理由和证据等文件。</w:t>
      </w:r>
    </w:p>
    <w:p w14:paraId="1C1A83B6">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Style w:val="152"/>
          <w:rFonts w:ascii="宋体" w:hAnsi="宋体" w:cs="宋体"/>
          <w:b w:val="0"/>
          <w:bCs w:val="0"/>
          <w:color w:val="000000"/>
          <w:szCs w:val="21"/>
          <w:highlight w:val="none"/>
          <w:u w:val="single"/>
        </w:rPr>
      </w:pPr>
      <w:r>
        <w:rPr>
          <w:rStyle w:val="152"/>
          <w:rFonts w:ascii="宋体" w:hAnsi="宋体" w:cs="宋体"/>
          <w:b w:val="0"/>
          <w:bCs w:val="0"/>
          <w:color w:val="000000"/>
          <w:szCs w:val="21"/>
          <w:highlight w:val="none"/>
          <w:u w:val="single"/>
        </w:rPr>
        <w:t>8.</w:t>
      </w:r>
      <w:r>
        <w:rPr>
          <w:rStyle w:val="152"/>
          <w:rFonts w:hint="eastAsia" w:ascii="宋体" w:hAnsi="宋体" w:cs="宋体"/>
          <w:b w:val="0"/>
          <w:bCs w:val="0"/>
          <w:color w:val="000000"/>
          <w:szCs w:val="21"/>
          <w:highlight w:val="none"/>
          <w:u w:val="single"/>
        </w:rPr>
        <w:t>6监理人违约需向委托人支付违约金时，委托人有权从应支付监理人的监理费中直接抵扣。</w:t>
      </w:r>
    </w:p>
    <w:p w14:paraId="53BAB093">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Style w:val="152"/>
          <w:rFonts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8.7根据本项目可能会产生技术方案评审和方案论证（除由施工单位承担外）、外出考</w:t>
      </w:r>
      <w:r>
        <w:rPr>
          <w:rStyle w:val="152"/>
          <w:rFonts w:ascii="宋体" w:hAnsi="宋体" w:cs="宋体"/>
          <w:b w:val="0"/>
          <w:bCs w:val="0"/>
          <w:color w:val="000000"/>
          <w:szCs w:val="21"/>
          <w:highlight w:val="none"/>
          <w:u w:val="single"/>
        </w:rPr>
        <w:t>察需要等，</w:t>
      </w:r>
      <w:r>
        <w:rPr>
          <w:rStyle w:val="152"/>
          <w:rFonts w:hint="eastAsia" w:ascii="宋体" w:hAnsi="宋体" w:cs="宋体"/>
          <w:b w:val="0"/>
          <w:bCs w:val="0"/>
          <w:color w:val="000000"/>
          <w:szCs w:val="21"/>
          <w:highlight w:val="none"/>
          <w:u w:val="single"/>
        </w:rPr>
        <w:t>监理人</w:t>
      </w:r>
      <w:r>
        <w:rPr>
          <w:rStyle w:val="152"/>
          <w:rFonts w:ascii="宋体" w:hAnsi="宋体" w:cs="宋体"/>
          <w:b w:val="0"/>
          <w:bCs w:val="0"/>
          <w:color w:val="000000"/>
          <w:szCs w:val="21"/>
          <w:highlight w:val="none"/>
          <w:u w:val="single"/>
        </w:rPr>
        <w:t>应组织相关各方进行论证或考察工作，所产生费用包含在合同总价中。</w:t>
      </w:r>
    </w:p>
    <w:p w14:paraId="64538F2B">
      <w:pPr>
        <w:pStyle w:val="179"/>
        <w:snapToGrid/>
        <w:spacing w:line="560" w:lineRule="exact"/>
        <w:ind w:left="0" w:leftChars="0" w:right="0" w:rightChars="0" w:firstLineChars="200"/>
        <w:jc w:val="both"/>
        <w:rPr>
          <w:rStyle w:val="152"/>
          <w:rFonts w:ascii="宋体" w:hAnsi="宋体" w:cs="宋体"/>
          <w:b w:val="0"/>
          <w:bCs w:val="0"/>
          <w:color w:val="000000"/>
          <w:sz w:val="21"/>
          <w:szCs w:val="21"/>
          <w:highlight w:val="none"/>
          <w:u w:val="single"/>
        </w:rPr>
      </w:pPr>
      <w:r>
        <w:rPr>
          <w:rStyle w:val="152"/>
          <w:rFonts w:ascii="宋体" w:hAnsi="宋体" w:cs="宋体"/>
          <w:b w:val="0"/>
          <w:bCs w:val="0"/>
          <w:color w:val="000000"/>
          <w:szCs w:val="21"/>
          <w:highlight w:val="none"/>
          <w:u w:val="single"/>
        </w:rPr>
        <w:t>8.8</w:t>
      </w:r>
      <w:r>
        <w:rPr>
          <w:rStyle w:val="152"/>
          <w:rFonts w:ascii="宋体" w:hAnsi="宋体" w:cs="宋体"/>
          <w:b w:val="0"/>
          <w:bCs w:val="0"/>
          <w:color w:val="000000"/>
          <w:sz w:val="21"/>
          <w:szCs w:val="21"/>
          <w:highlight w:val="none"/>
          <w:u w:val="single"/>
        </w:rPr>
        <w:t>项目总监理工程师必须在本项目竣工验收完成后，且项目所有档案资料（含施工单位资料）在城建档案馆及甲方归档，并取得城建档馆及甲方档案移交书后方能在住建系统内解锁。</w:t>
      </w:r>
    </w:p>
    <w:p w14:paraId="0D000F30">
      <w:pPr>
        <w:pStyle w:val="179"/>
        <w:keepNext w:val="0"/>
        <w:keepLines w:val="0"/>
        <w:pageBreakBefore w:val="0"/>
        <w:widowControl w:val="0"/>
        <w:kinsoku/>
        <w:overflowPunct/>
        <w:autoSpaceDE/>
        <w:bidi w:val="0"/>
        <w:spacing w:line="560" w:lineRule="exact"/>
        <w:ind w:left="0" w:leftChars="0" w:right="0" w:rightChars="0" w:firstLineChars="100"/>
        <w:jc w:val="both"/>
        <w:textAlignment w:val="auto"/>
        <w:rPr>
          <w:rFonts w:ascii="宋体" w:hAnsi="宋体" w:eastAsia="宋体" w:cs="宋体"/>
          <w:b w:val="0"/>
          <w:bCs w:val="0"/>
          <w:color w:val="000000"/>
          <w:szCs w:val="21"/>
          <w:highlight w:val="none"/>
        </w:rPr>
      </w:pPr>
      <w:r>
        <w:rPr>
          <w:rStyle w:val="152"/>
          <w:rFonts w:hint="eastAsia" w:ascii="宋体" w:hAnsi="宋体" w:cs="宋体"/>
          <w:b w:val="0"/>
          <w:bCs w:val="0"/>
          <w:color w:val="000000"/>
          <w:szCs w:val="21"/>
          <w:highlight w:val="none"/>
        </w:rPr>
        <w:t>九、考核办法</w:t>
      </w:r>
    </w:p>
    <w:p w14:paraId="53D53A41">
      <w:pPr>
        <w:keepNext w:val="0"/>
        <w:keepLines w:val="0"/>
        <w:pageBreakBefore w:val="0"/>
        <w:widowControl w:val="0"/>
        <w:kinsoku/>
        <w:overflowPunct/>
        <w:autoSpaceDE/>
        <w:bidi w:val="0"/>
        <w:snapToGrid/>
        <w:spacing w:line="560" w:lineRule="exact"/>
        <w:ind w:left="0" w:leftChars="0" w:right="0" w:rightChars="0" w:firstLineChars="200"/>
        <w:textAlignment w:val="auto"/>
        <w:rPr>
          <w:rFonts w:ascii="宋体" w:hAnsi="宋体" w:cs="宋体"/>
          <w:color w:val="000000"/>
          <w:szCs w:val="21"/>
          <w:highlight w:val="none"/>
        </w:rPr>
      </w:pPr>
      <w:r>
        <w:rPr>
          <w:rFonts w:hint="eastAsia" w:ascii="宋体" w:hAnsi="宋体" w:cs="宋体"/>
          <w:color w:val="000000"/>
          <w:szCs w:val="21"/>
          <w:highlight w:val="none"/>
        </w:rPr>
        <w:t>一、监理工作履约评价总则</w:t>
      </w:r>
    </w:p>
    <w:p w14:paraId="7828E0C9">
      <w:pPr>
        <w:keepNext w:val="0"/>
        <w:keepLines w:val="0"/>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cs="宋体"/>
          <w:color w:val="000000"/>
          <w:szCs w:val="21"/>
          <w:highlight w:val="none"/>
          <w:u w:val="single"/>
        </w:rPr>
      </w:pPr>
      <w:r>
        <w:rPr>
          <w:rFonts w:hint="eastAsia" w:ascii="宋体" w:hAnsi="宋体" w:cs="宋体"/>
          <w:color w:val="000000"/>
          <w:szCs w:val="21"/>
          <w:highlight w:val="none"/>
          <w:u w:val="single"/>
        </w:rPr>
        <w:t>1、本办法以监理的实际工作为根据，通过量化的方式对监理工作进行全面评价，以提高监理工作整体质量。</w:t>
      </w:r>
    </w:p>
    <w:p w14:paraId="0A978D37">
      <w:pPr>
        <w:keepNext w:val="0"/>
        <w:keepLines w:val="0"/>
        <w:pageBreakBefore w:val="0"/>
        <w:widowControl w:val="0"/>
        <w:kinsoku/>
        <w:overflowPunct/>
        <w:autoSpaceDE/>
        <w:bidi w:val="0"/>
        <w:snapToGrid/>
        <w:spacing w:line="560" w:lineRule="exact"/>
        <w:ind w:left="0" w:leftChars="0" w:right="0" w:rightChars="0" w:firstLineChars="200"/>
        <w:textAlignment w:val="auto"/>
        <w:rPr>
          <w:rFonts w:ascii="宋体" w:hAnsi="宋体" w:cs="宋体"/>
          <w:color w:val="000000"/>
          <w:szCs w:val="21"/>
          <w:highlight w:val="none"/>
          <w:u w:val="single"/>
        </w:rPr>
      </w:pPr>
      <w:r>
        <w:rPr>
          <w:rFonts w:hint="eastAsia" w:ascii="宋体" w:hAnsi="宋体" w:cs="宋体"/>
          <w:color w:val="000000"/>
          <w:szCs w:val="21"/>
          <w:highlight w:val="none"/>
          <w:u w:val="single"/>
        </w:rPr>
        <w:t>2、委托人</w:t>
      </w:r>
      <w:r>
        <w:rPr>
          <w:rFonts w:hint="eastAsia" w:ascii="宋体" w:hAnsi="宋体"/>
          <w:bCs/>
          <w:color w:val="000000"/>
          <w:szCs w:val="21"/>
          <w:highlight w:val="none"/>
          <w:u w:val="single"/>
        </w:rPr>
        <w:t>有权依据其印发的《深圳市龙岗区城投新基础设施建设管理有限公司工程建设项目合同履约考核实施细则》及本合同约定对评价内容进行修订、补充和完善</w:t>
      </w:r>
      <w:r>
        <w:rPr>
          <w:rFonts w:hint="eastAsia" w:ascii="宋体" w:hAnsi="宋体" w:cs="宋体"/>
          <w:color w:val="000000"/>
          <w:szCs w:val="21"/>
          <w:highlight w:val="none"/>
          <w:u w:val="single"/>
        </w:rPr>
        <w:t>，监理人应无条件接受修订后的评价内容。</w:t>
      </w:r>
    </w:p>
    <w:p w14:paraId="495A9A9A">
      <w:pPr>
        <w:keepNext w:val="0"/>
        <w:keepLines w:val="0"/>
        <w:pageBreakBefore w:val="0"/>
        <w:widowControl w:val="0"/>
        <w:kinsoku/>
        <w:overflowPunct/>
        <w:autoSpaceDE/>
        <w:bidi w:val="0"/>
        <w:snapToGrid/>
        <w:spacing w:line="560" w:lineRule="exact"/>
        <w:ind w:left="0" w:leftChars="0" w:right="0" w:rightChars="0" w:firstLineChars="200"/>
        <w:textAlignment w:val="auto"/>
        <w:rPr>
          <w:rFonts w:ascii="宋体" w:hAnsi="宋体" w:cs="宋体"/>
          <w:color w:val="000000"/>
          <w:szCs w:val="21"/>
          <w:highlight w:val="none"/>
        </w:rPr>
      </w:pPr>
      <w:r>
        <w:rPr>
          <w:rFonts w:hint="eastAsia" w:ascii="宋体" w:hAnsi="宋体" w:cs="宋体"/>
          <w:color w:val="000000"/>
          <w:szCs w:val="21"/>
          <w:highlight w:val="none"/>
        </w:rPr>
        <w:t>二、履约评价组织及方式</w:t>
      </w:r>
    </w:p>
    <w:p w14:paraId="4C63F8CE">
      <w:pPr>
        <w:keepNext w:val="0"/>
        <w:keepLines w:val="0"/>
        <w:pageBreakBefore w:val="0"/>
        <w:widowControl w:val="0"/>
        <w:kinsoku/>
        <w:overflowPunct/>
        <w:autoSpaceDE/>
        <w:bidi w:val="0"/>
        <w:snapToGrid/>
        <w:spacing w:line="560" w:lineRule="exact"/>
        <w:ind w:left="0" w:leftChars="0" w:right="0" w:rightChars="0" w:firstLineChars="200"/>
        <w:textAlignment w:val="auto"/>
        <w:rPr>
          <w:rFonts w:ascii="宋体" w:hAnsi="宋体" w:cs="宋体"/>
          <w:color w:val="000000"/>
          <w:szCs w:val="21"/>
          <w:highlight w:val="none"/>
        </w:rPr>
      </w:pPr>
      <w:r>
        <w:rPr>
          <w:rFonts w:hint="eastAsia" w:ascii="宋体" w:hAnsi="宋体" w:cs="宋体"/>
          <w:color w:val="000000"/>
          <w:szCs w:val="21"/>
          <w:highlight w:val="none"/>
        </w:rPr>
        <w:t>（一）履约评价组织</w:t>
      </w:r>
    </w:p>
    <w:p w14:paraId="753A7BA1">
      <w:pPr>
        <w:keepNext w:val="0"/>
        <w:keepLines w:val="0"/>
        <w:pageBreakBefore w:val="0"/>
        <w:widowControl w:val="0"/>
        <w:kinsoku/>
        <w:overflowPunct/>
        <w:autoSpaceDE/>
        <w:bidi w:val="0"/>
        <w:snapToGrid/>
        <w:spacing w:line="560" w:lineRule="exact"/>
        <w:ind w:left="0" w:leftChars="0" w:right="0" w:rightChars="0" w:firstLineChars="200"/>
        <w:textAlignment w:val="auto"/>
        <w:rPr>
          <w:rFonts w:ascii="宋体" w:hAnsi="宋体" w:cs="宋体"/>
          <w:color w:val="000000"/>
          <w:szCs w:val="21"/>
          <w:highlight w:val="none"/>
          <w:u w:val="single"/>
        </w:rPr>
      </w:pPr>
      <w:r>
        <w:rPr>
          <w:rFonts w:hint="eastAsia" w:ascii="宋体" w:hAnsi="宋体" w:cs="宋体"/>
          <w:color w:val="000000"/>
          <w:szCs w:val="21"/>
          <w:highlight w:val="none"/>
          <w:u w:val="single"/>
        </w:rPr>
        <w:t>履约评价工作由委托人牵头，监理人</w:t>
      </w:r>
      <w:r>
        <w:rPr>
          <w:rFonts w:hint="eastAsia" w:ascii="宋体" w:hAnsi="宋体"/>
          <w:bCs/>
          <w:color w:val="000000"/>
          <w:szCs w:val="21"/>
          <w:highlight w:val="none"/>
          <w:u w:val="single"/>
        </w:rPr>
        <w:t>无条件配合评价，并无条件接受评价结果以及委托人依据《深圳市龙岗区城投新基础设施建设管理有限公司工程建设项目合同履约考核实施细则》对结果进行的应用，</w:t>
      </w:r>
      <w:r>
        <w:rPr>
          <w:rFonts w:hint="eastAsia" w:ascii="宋体" w:hAnsi="宋体" w:cs="宋体"/>
          <w:color w:val="000000"/>
          <w:szCs w:val="21"/>
          <w:highlight w:val="none"/>
          <w:u w:val="single"/>
        </w:rPr>
        <w:t>监理人承诺不会因此提出任何延期、索赔的要求。</w:t>
      </w:r>
    </w:p>
    <w:p w14:paraId="41C5FBC4">
      <w:pPr>
        <w:spacing w:line="560" w:lineRule="exact"/>
        <w:ind w:left="0" w:leftChars="0" w:right="0" w:rightChars="0" w:firstLineChars="200"/>
        <w:rPr>
          <w:rFonts w:ascii="宋体" w:hAnsi="宋体" w:cs="宋体"/>
          <w:bCs w:val="0"/>
          <w:color w:val="000000"/>
          <w:szCs w:val="21"/>
          <w:highlight w:val="none"/>
          <w:u w:val="single"/>
        </w:rPr>
      </w:pPr>
      <w:r>
        <w:rPr>
          <w:rFonts w:hint="eastAsia" w:ascii="宋体" w:hAnsi="宋体" w:cs="宋体"/>
          <w:color w:val="000000"/>
          <w:szCs w:val="21"/>
          <w:highlight w:val="none"/>
          <w:u w:val="single"/>
        </w:rPr>
        <w:t>（二）</w:t>
      </w:r>
      <w:r>
        <w:rPr>
          <w:rFonts w:ascii="宋体" w:hAnsi="宋体" w:cs="宋体"/>
          <w:color w:val="000000"/>
          <w:szCs w:val="21"/>
          <w:highlight w:val="none"/>
          <w:u w:val="single"/>
        </w:rPr>
        <w:t>履约评价方式</w:t>
      </w:r>
    </w:p>
    <w:p w14:paraId="08EE2A59">
      <w:pPr>
        <w:keepNext w:val="0"/>
        <w:keepLines w:val="0"/>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Times New Roman"/>
          <w:bCs/>
          <w:color w:val="000000"/>
          <w:szCs w:val="21"/>
          <w:highlight w:val="none"/>
          <w:u w:val="single"/>
        </w:rPr>
      </w:pPr>
      <w:r>
        <w:rPr>
          <w:rFonts w:hint="eastAsia" w:ascii="宋体" w:hAnsi="宋体" w:eastAsia="宋体" w:cs="Times New Roman"/>
          <w:bCs/>
          <w:color w:val="000000"/>
          <w:szCs w:val="21"/>
          <w:highlight w:val="none"/>
          <w:u w:val="single"/>
        </w:rPr>
        <w:t>按照《深圳市龙岗区城投新基础设施建设管理有限公司工程建设项目合同履约考核实施细则》执行，采用一次性履约评价方式。</w:t>
      </w:r>
    </w:p>
    <w:p w14:paraId="2C21BB3B">
      <w:pPr>
        <w:pStyle w:val="149"/>
        <w:spacing w:line="560" w:lineRule="exact"/>
        <w:ind w:left="0" w:leftChars="0" w:right="0" w:rightChars="0" w:firstLineChars="200"/>
        <w:rPr>
          <w:rFonts w:ascii="宋体" w:hAnsi="宋体" w:eastAsia="宋体"/>
          <w:bCs/>
          <w:color w:val="000000"/>
          <w:szCs w:val="21"/>
          <w:highlight w:val="none"/>
          <w:u w:val="single"/>
        </w:rPr>
      </w:pPr>
      <w:r>
        <w:rPr>
          <w:rFonts w:hint="eastAsia" w:ascii="宋体" w:hAnsi="宋体"/>
          <w:bCs/>
          <w:color w:val="000000"/>
          <w:szCs w:val="21"/>
          <w:highlight w:val="none"/>
        </w:rPr>
        <w:t>三、评分细则</w:t>
      </w:r>
    </w:p>
    <w:p w14:paraId="0B5899BB">
      <w:pPr>
        <w:pStyle w:val="149"/>
        <w:spacing w:line="560" w:lineRule="exact"/>
        <w:ind w:left="0" w:leftChars="0" w:right="0" w:rightChars="0" w:firstLineChars="200"/>
        <w:rPr>
          <w:rFonts w:ascii="宋体" w:hAnsi="宋体" w:eastAsia="宋体"/>
          <w:bCs/>
          <w:color w:val="000000"/>
          <w:szCs w:val="21"/>
          <w:highlight w:val="none"/>
          <w:u w:val="single"/>
        </w:rPr>
      </w:pPr>
      <w:r>
        <w:rPr>
          <w:rFonts w:hint="eastAsia" w:ascii="宋体" w:hAnsi="宋体"/>
          <w:bCs/>
          <w:color w:val="000000"/>
          <w:szCs w:val="21"/>
          <w:highlight w:val="none"/>
          <w:u w:val="single"/>
        </w:rPr>
        <w:t>（1）委托人依据《深圳市龙岗区城投新基础设施建设管理有限公司工程建设项目合同履约考核实施细则》及本合同约定对监理人进行履约评价。</w:t>
      </w:r>
    </w:p>
    <w:p w14:paraId="4FB74578">
      <w:pPr>
        <w:pStyle w:val="149"/>
        <w:spacing w:line="560" w:lineRule="exact"/>
        <w:ind w:left="0" w:leftChars="0" w:right="0" w:rightChars="0" w:firstLineChars="200"/>
        <w:rPr>
          <w:rFonts w:ascii="宋体" w:hAnsi="宋体"/>
          <w:bCs/>
          <w:color w:val="000000"/>
          <w:szCs w:val="21"/>
          <w:highlight w:val="none"/>
          <w:u w:val="single"/>
        </w:rPr>
      </w:pPr>
      <w:r>
        <w:rPr>
          <w:rFonts w:hint="eastAsia" w:ascii="宋体" w:hAnsi="宋体"/>
          <w:bCs/>
          <w:color w:val="000000"/>
          <w:szCs w:val="21"/>
          <w:highlight w:val="none"/>
          <w:u w:val="single"/>
        </w:rPr>
        <w:t>（2）每个类别根据各评分项目规定的评分细则进行打分。</w:t>
      </w:r>
    </w:p>
    <w:p w14:paraId="3ED17D3F">
      <w:pPr>
        <w:pStyle w:val="149"/>
        <w:spacing w:line="560" w:lineRule="exact"/>
        <w:ind w:left="0" w:leftChars="0" w:right="0" w:rightChars="0" w:firstLineChars="200"/>
        <w:rPr>
          <w:rFonts w:hint="eastAsia" w:ascii="宋体" w:hAnsi="宋体"/>
          <w:bCs/>
          <w:color w:val="000000"/>
          <w:szCs w:val="21"/>
          <w:highlight w:val="none"/>
          <w:u w:val="single"/>
        </w:rPr>
      </w:pPr>
      <w:r>
        <w:rPr>
          <w:rFonts w:hint="eastAsia" w:ascii="宋体" w:hAnsi="宋体"/>
          <w:bCs/>
          <w:color w:val="000000"/>
          <w:szCs w:val="21"/>
          <w:highlight w:val="none"/>
          <w:u w:val="single"/>
        </w:rPr>
        <w:t>（3）每个评分项目的打分不得超过该项目的标准分，每个项目的扣分按评分项目直至扣到零分为止。</w:t>
      </w:r>
    </w:p>
    <w:p w14:paraId="7666F908">
      <w:pPr>
        <w:pStyle w:val="149"/>
        <w:spacing w:line="560" w:lineRule="exact"/>
        <w:ind w:left="0" w:leftChars="0" w:right="0" w:rightChars="0" w:firstLineChars="200"/>
        <w:rPr>
          <w:rFonts w:hint="eastAsia" w:ascii="宋体" w:hAnsi="宋体"/>
          <w:bCs/>
          <w:color w:val="000000"/>
          <w:szCs w:val="21"/>
          <w:highlight w:val="none"/>
        </w:rPr>
      </w:pPr>
      <w:r>
        <w:rPr>
          <w:rFonts w:hint="eastAsia" w:ascii="宋体" w:hAnsi="宋体"/>
          <w:bCs/>
          <w:color w:val="000000"/>
          <w:szCs w:val="21"/>
          <w:highlight w:val="none"/>
        </w:rPr>
        <w:t>6、评价结果</w:t>
      </w:r>
    </w:p>
    <w:p w14:paraId="02F14570">
      <w:pPr>
        <w:pStyle w:val="149"/>
        <w:spacing w:line="560" w:lineRule="exact"/>
        <w:ind w:left="0" w:leftChars="0" w:right="0" w:rightChars="0" w:firstLineChars="300"/>
        <w:rPr>
          <w:rFonts w:hint="eastAsia" w:ascii="OKWOAQ+ººÒÇÖÐËÎ¼ò;华文中宋" w:hAnsi="OKWOAQ+ººÒÇÖÐËÎ¼ò;华文中宋" w:cs="OKWOAQ+ººÒÇÖÐËÎ¼ò;华文中宋"/>
          <w:b/>
          <w:color w:val="000000"/>
          <w:sz w:val="32"/>
          <w:szCs w:val="32"/>
          <w:highlight w:val="none"/>
        </w:rPr>
      </w:pPr>
      <w:r>
        <w:rPr>
          <w:rFonts w:hint="eastAsia" w:ascii="宋体" w:hAnsi="宋体"/>
          <w:bCs/>
          <w:color w:val="000000"/>
          <w:szCs w:val="21"/>
          <w:highlight w:val="none"/>
          <w:u w:val="single"/>
        </w:rPr>
        <w:t>履约评价结果将按照委托人印发的《深圳市龙岗区城投新基础设施建设管理有限公司工程建设项目合同履约考核实施细则》进行运用。</w:t>
      </w:r>
    </w:p>
    <w:p w14:paraId="2D78A073">
      <w:pPr>
        <w:numPr>
          <w:ilvl w:val="0"/>
          <w:numId w:val="0"/>
        </w:numPr>
        <w:spacing w:line="560" w:lineRule="exact"/>
        <w:ind w:left="0" w:leftChars="0" w:right="0" w:rightChars="0" w:firstLineChars="600"/>
        <w:outlineLvl w:val="0"/>
        <w:rPr>
          <w:rFonts w:hint="eastAsia" w:ascii="宋体" w:hAnsi="宋体" w:cs="宋体"/>
          <w:b/>
          <w:color w:val="000000"/>
          <w:sz w:val="28"/>
          <w:szCs w:val="28"/>
          <w:highlight w:val="none"/>
        </w:rPr>
      </w:pPr>
    </w:p>
    <w:p w14:paraId="12646F87">
      <w:pPr>
        <w:pStyle w:val="2"/>
        <w:rPr>
          <w:rFonts w:hint="eastAsia" w:ascii="宋体" w:hAnsi="宋体" w:cs="宋体"/>
          <w:b/>
          <w:color w:val="000000"/>
          <w:sz w:val="28"/>
          <w:szCs w:val="28"/>
          <w:highlight w:val="none"/>
        </w:rPr>
      </w:pPr>
    </w:p>
    <w:p w14:paraId="1B4FB4DA">
      <w:pPr>
        <w:pStyle w:val="3"/>
        <w:rPr>
          <w:rFonts w:hint="eastAsia" w:ascii="宋体" w:hAnsi="宋体" w:cs="宋体"/>
          <w:b/>
          <w:color w:val="000000"/>
          <w:sz w:val="28"/>
          <w:szCs w:val="28"/>
          <w:highlight w:val="none"/>
        </w:rPr>
      </w:pPr>
    </w:p>
    <w:p w14:paraId="70E25522">
      <w:pPr>
        <w:rPr>
          <w:rFonts w:hint="eastAsia" w:ascii="宋体" w:hAnsi="宋体" w:cs="宋体"/>
          <w:b/>
          <w:color w:val="000000"/>
          <w:sz w:val="28"/>
          <w:szCs w:val="28"/>
          <w:highlight w:val="none"/>
        </w:rPr>
      </w:pPr>
    </w:p>
    <w:p w14:paraId="4A679D93">
      <w:pPr>
        <w:pStyle w:val="2"/>
        <w:rPr>
          <w:rFonts w:hint="eastAsia" w:ascii="宋体" w:hAnsi="宋体" w:cs="宋体"/>
          <w:b/>
          <w:color w:val="000000"/>
          <w:sz w:val="28"/>
          <w:szCs w:val="28"/>
          <w:highlight w:val="none"/>
        </w:rPr>
      </w:pPr>
    </w:p>
    <w:p w14:paraId="461FBB1D">
      <w:pPr>
        <w:pStyle w:val="3"/>
        <w:rPr>
          <w:rFonts w:hint="eastAsia"/>
        </w:rPr>
      </w:pPr>
    </w:p>
    <w:p w14:paraId="37EF863D">
      <w:pPr>
        <w:numPr>
          <w:ilvl w:val="0"/>
          <w:numId w:val="0"/>
        </w:numPr>
        <w:spacing w:line="560" w:lineRule="exact"/>
        <w:ind w:left="0" w:leftChars="0" w:right="0" w:rightChars="0" w:firstLineChars="600"/>
        <w:outlineLvl w:val="0"/>
        <w:rPr>
          <w:rFonts w:ascii="宋体" w:hAnsi="宋体" w:cs="宋体"/>
          <w:b/>
          <w:color w:val="000000"/>
          <w:sz w:val="28"/>
          <w:szCs w:val="28"/>
          <w:highlight w:val="none"/>
        </w:rPr>
      </w:pPr>
      <w:r>
        <w:rPr>
          <w:rFonts w:hint="eastAsia" w:ascii="宋体" w:hAnsi="宋体" w:cs="宋体"/>
          <w:b/>
          <w:color w:val="000000"/>
          <w:sz w:val="28"/>
          <w:szCs w:val="28"/>
          <w:highlight w:val="none"/>
        </w:rPr>
        <w:t>建设工程承包商（监理）履约评分表</w:t>
      </w:r>
    </w:p>
    <w:tbl>
      <w:tblPr>
        <w:tblStyle w:val="55"/>
        <w:tblpPr w:leftFromText="180" w:rightFromText="180" w:vertAnchor="text" w:horzAnchor="page" w:tblpX="1149" w:tblpY="306"/>
        <w:tblOverlap w:val="never"/>
        <w:tblW w:w="9435" w:type="dxa"/>
        <w:tblInd w:w="108" w:type="dxa"/>
        <w:tblLayout w:type="fixed"/>
        <w:tblCellMar>
          <w:top w:w="0" w:type="dxa"/>
          <w:left w:w="108" w:type="dxa"/>
          <w:bottom w:w="0" w:type="dxa"/>
          <w:right w:w="108" w:type="dxa"/>
        </w:tblCellMar>
      </w:tblPr>
      <w:tblGrid>
        <w:gridCol w:w="1773"/>
        <w:gridCol w:w="3346"/>
        <w:gridCol w:w="1260"/>
        <w:gridCol w:w="3056"/>
      </w:tblGrid>
      <w:tr w14:paraId="67BD236D">
        <w:tblPrEx>
          <w:tblCellMar>
            <w:top w:w="0" w:type="dxa"/>
            <w:left w:w="108" w:type="dxa"/>
            <w:bottom w:w="0" w:type="dxa"/>
            <w:right w:w="108" w:type="dxa"/>
          </w:tblCellMar>
        </w:tblPrEx>
        <w:trPr>
          <w:trHeight w:val="300" w:hRule="atLeast"/>
        </w:trPr>
        <w:tc>
          <w:tcPr>
            <w:tcW w:w="1773" w:type="dxa"/>
            <w:tcBorders>
              <w:top w:val="single" w:color="000000" w:sz="4" w:space="0"/>
              <w:left w:val="single" w:color="000000" w:sz="4" w:space="0"/>
              <w:bottom w:val="single" w:color="000000" w:sz="4" w:space="0"/>
              <w:right w:val="single" w:color="000000" w:sz="4" w:space="0"/>
            </w:tcBorders>
            <w:vAlign w:val="center"/>
          </w:tcPr>
          <w:p w14:paraId="3B5A9A50">
            <w:pPr>
              <w:spacing w:line="560" w:lineRule="exact"/>
              <w:rPr>
                <w:rFonts w:ascii="宋体" w:hAnsi="宋体" w:cs="宋体"/>
                <w:b/>
                <w:color w:val="000000"/>
                <w:sz w:val="18"/>
                <w:szCs w:val="18"/>
                <w:highlight w:val="none"/>
              </w:rPr>
            </w:pPr>
            <w:r>
              <w:rPr>
                <w:rFonts w:hint="eastAsia" w:ascii="宋体" w:hAnsi="宋体" w:cs="宋体"/>
                <w:color w:val="000000"/>
                <w:sz w:val="18"/>
                <w:szCs w:val="18"/>
                <w:highlight w:val="none"/>
              </w:rPr>
              <w:t>合同名称</w:t>
            </w:r>
          </w:p>
        </w:tc>
        <w:tc>
          <w:tcPr>
            <w:tcW w:w="3346" w:type="dxa"/>
            <w:tcBorders>
              <w:top w:val="single" w:color="000000" w:sz="4" w:space="0"/>
              <w:left w:val="single" w:color="000000" w:sz="4" w:space="0"/>
              <w:bottom w:val="single" w:color="000000" w:sz="4" w:space="0"/>
              <w:right w:val="single" w:color="000000" w:sz="4" w:space="0"/>
            </w:tcBorders>
            <w:vAlign w:val="center"/>
          </w:tcPr>
          <w:p w14:paraId="5918B9ED">
            <w:pPr>
              <w:snapToGrid w:val="0"/>
              <w:spacing w:line="560" w:lineRule="exact"/>
              <w:rPr>
                <w:rFonts w:ascii="宋体" w:hAnsi="宋体" w:cs="宋体"/>
                <w:b/>
                <w:color w:val="000000"/>
                <w:sz w:val="18"/>
                <w:szCs w:val="18"/>
                <w:highlight w:val="none"/>
              </w:rPr>
            </w:pPr>
          </w:p>
        </w:tc>
        <w:tc>
          <w:tcPr>
            <w:tcW w:w="1260" w:type="dxa"/>
            <w:tcBorders>
              <w:top w:val="single" w:color="000000" w:sz="4" w:space="0"/>
              <w:left w:val="single" w:color="000000" w:sz="4" w:space="0"/>
              <w:bottom w:val="single" w:color="000000" w:sz="4" w:space="0"/>
              <w:right w:val="single" w:color="000000" w:sz="4" w:space="0"/>
            </w:tcBorders>
            <w:vAlign w:val="center"/>
          </w:tcPr>
          <w:p w14:paraId="16CE70CA">
            <w:pPr>
              <w:spacing w:line="560" w:lineRule="exact"/>
              <w:rPr>
                <w:rFonts w:ascii="宋体" w:hAnsi="宋体" w:cs="宋体"/>
                <w:b/>
                <w:color w:val="000000"/>
                <w:sz w:val="18"/>
                <w:szCs w:val="18"/>
                <w:highlight w:val="none"/>
              </w:rPr>
            </w:pPr>
            <w:r>
              <w:rPr>
                <w:rFonts w:hint="eastAsia" w:ascii="宋体" w:hAnsi="宋体" w:cs="宋体"/>
                <w:color w:val="000000"/>
                <w:sz w:val="18"/>
                <w:szCs w:val="18"/>
                <w:highlight w:val="none"/>
              </w:rPr>
              <w:t>承 包 商</w:t>
            </w:r>
          </w:p>
        </w:tc>
        <w:tc>
          <w:tcPr>
            <w:tcW w:w="3056" w:type="dxa"/>
            <w:tcBorders>
              <w:top w:val="single" w:color="000000" w:sz="4" w:space="0"/>
              <w:left w:val="single" w:color="000000" w:sz="4" w:space="0"/>
              <w:bottom w:val="single" w:color="000000" w:sz="4" w:space="0"/>
              <w:right w:val="single" w:color="000000" w:sz="4" w:space="0"/>
            </w:tcBorders>
            <w:vAlign w:val="center"/>
          </w:tcPr>
          <w:p w14:paraId="69A97879">
            <w:pPr>
              <w:snapToGrid w:val="0"/>
              <w:spacing w:line="560" w:lineRule="exact"/>
              <w:rPr>
                <w:rFonts w:ascii="宋体" w:hAnsi="宋体" w:cs="宋体"/>
                <w:b/>
                <w:color w:val="000000"/>
                <w:sz w:val="18"/>
                <w:szCs w:val="18"/>
                <w:highlight w:val="none"/>
              </w:rPr>
            </w:pPr>
          </w:p>
        </w:tc>
      </w:tr>
      <w:tr w14:paraId="34FB2DF9">
        <w:tblPrEx>
          <w:tblCellMar>
            <w:top w:w="0" w:type="dxa"/>
            <w:left w:w="108" w:type="dxa"/>
            <w:bottom w:w="0" w:type="dxa"/>
            <w:right w:w="108" w:type="dxa"/>
          </w:tblCellMar>
        </w:tblPrEx>
        <w:trPr>
          <w:trHeight w:val="315" w:hRule="atLeast"/>
        </w:trPr>
        <w:tc>
          <w:tcPr>
            <w:tcW w:w="1773" w:type="dxa"/>
            <w:tcBorders>
              <w:top w:val="single" w:color="000000" w:sz="4" w:space="0"/>
              <w:left w:val="single" w:color="000000" w:sz="4" w:space="0"/>
              <w:bottom w:val="single" w:color="000000" w:sz="4" w:space="0"/>
              <w:right w:val="single" w:color="000000" w:sz="4" w:space="0"/>
            </w:tcBorders>
            <w:vAlign w:val="center"/>
          </w:tcPr>
          <w:p w14:paraId="3280F365">
            <w:pPr>
              <w:spacing w:line="560" w:lineRule="exact"/>
              <w:rPr>
                <w:rFonts w:ascii="宋体" w:hAnsi="宋体" w:cs="宋体"/>
                <w:b/>
                <w:color w:val="000000"/>
                <w:sz w:val="18"/>
                <w:szCs w:val="18"/>
                <w:highlight w:val="none"/>
              </w:rPr>
            </w:pPr>
            <w:r>
              <w:rPr>
                <w:rFonts w:hint="eastAsia" w:ascii="宋体" w:hAnsi="宋体" w:cs="宋体"/>
                <w:color w:val="000000"/>
                <w:sz w:val="18"/>
                <w:szCs w:val="18"/>
                <w:highlight w:val="none"/>
              </w:rPr>
              <w:t>合同编号</w:t>
            </w:r>
          </w:p>
        </w:tc>
        <w:tc>
          <w:tcPr>
            <w:tcW w:w="3346" w:type="dxa"/>
            <w:tcBorders>
              <w:top w:val="single" w:color="000000" w:sz="4" w:space="0"/>
              <w:left w:val="single" w:color="000000" w:sz="4" w:space="0"/>
              <w:bottom w:val="single" w:color="000000" w:sz="4" w:space="0"/>
              <w:right w:val="single" w:color="000000" w:sz="4" w:space="0"/>
            </w:tcBorders>
            <w:vAlign w:val="center"/>
          </w:tcPr>
          <w:p w14:paraId="01974526">
            <w:pPr>
              <w:snapToGrid w:val="0"/>
              <w:spacing w:line="560" w:lineRule="exact"/>
              <w:rPr>
                <w:rFonts w:ascii="宋体" w:hAnsi="宋体" w:cs="宋体"/>
                <w:b/>
                <w:color w:val="000000"/>
                <w:sz w:val="18"/>
                <w:szCs w:val="18"/>
                <w:highlight w:val="none"/>
              </w:rPr>
            </w:pPr>
          </w:p>
        </w:tc>
        <w:tc>
          <w:tcPr>
            <w:tcW w:w="1260" w:type="dxa"/>
            <w:tcBorders>
              <w:top w:val="single" w:color="000000" w:sz="4" w:space="0"/>
              <w:left w:val="single" w:color="000000" w:sz="4" w:space="0"/>
              <w:bottom w:val="single" w:color="000000" w:sz="4" w:space="0"/>
              <w:right w:val="single" w:color="000000" w:sz="4" w:space="0"/>
            </w:tcBorders>
            <w:vAlign w:val="center"/>
          </w:tcPr>
          <w:p w14:paraId="69756C0F">
            <w:pPr>
              <w:spacing w:line="560" w:lineRule="exact"/>
              <w:rPr>
                <w:rFonts w:ascii="宋体" w:hAnsi="宋体" w:cs="宋体"/>
                <w:b/>
                <w:color w:val="000000"/>
                <w:sz w:val="18"/>
                <w:szCs w:val="18"/>
                <w:highlight w:val="none"/>
              </w:rPr>
            </w:pPr>
            <w:r>
              <w:rPr>
                <w:rFonts w:hint="eastAsia" w:ascii="宋体" w:hAnsi="宋体" w:cs="宋体"/>
                <w:color w:val="000000"/>
                <w:sz w:val="18"/>
                <w:szCs w:val="18"/>
                <w:highlight w:val="none"/>
              </w:rPr>
              <w:t>组织单位</w:t>
            </w:r>
          </w:p>
        </w:tc>
        <w:tc>
          <w:tcPr>
            <w:tcW w:w="3056" w:type="dxa"/>
            <w:tcBorders>
              <w:top w:val="single" w:color="000000" w:sz="4" w:space="0"/>
              <w:left w:val="single" w:color="000000" w:sz="4" w:space="0"/>
              <w:bottom w:val="single" w:color="000000" w:sz="4" w:space="0"/>
              <w:right w:val="single" w:color="000000" w:sz="4" w:space="0"/>
            </w:tcBorders>
            <w:vAlign w:val="center"/>
          </w:tcPr>
          <w:p w14:paraId="5FE96D5B">
            <w:pPr>
              <w:snapToGrid w:val="0"/>
              <w:spacing w:line="560" w:lineRule="exact"/>
              <w:rPr>
                <w:rFonts w:ascii="宋体" w:hAnsi="宋体" w:cs="宋体"/>
                <w:b/>
                <w:color w:val="000000"/>
                <w:sz w:val="18"/>
                <w:szCs w:val="18"/>
                <w:highlight w:val="none"/>
              </w:rPr>
            </w:pPr>
          </w:p>
        </w:tc>
      </w:tr>
      <w:tr w14:paraId="751B174E">
        <w:tblPrEx>
          <w:tblCellMar>
            <w:top w:w="0" w:type="dxa"/>
            <w:left w:w="108" w:type="dxa"/>
            <w:bottom w:w="0" w:type="dxa"/>
            <w:right w:w="108" w:type="dxa"/>
          </w:tblCellMar>
        </w:tblPrEx>
        <w:trPr>
          <w:trHeight w:val="315" w:hRule="atLeast"/>
        </w:trPr>
        <w:tc>
          <w:tcPr>
            <w:tcW w:w="1773" w:type="dxa"/>
            <w:tcBorders>
              <w:top w:val="single" w:color="000000" w:sz="4" w:space="0"/>
              <w:left w:val="single" w:color="000000" w:sz="4" w:space="0"/>
              <w:bottom w:val="single" w:color="000000" w:sz="4" w:space="0"/>
              <w:right w:val="single" w:color="000000" w:sz="4" w:space="0"/>
            </w:tcBorders>
            <w:vAlign w:val="center"/>
          </w:tcPr>
          <w:p w14:paraId="331A6965">
            <w:pPr>
              <w:spacing w:line="560" w:lineRule="exact"/>
              <w:rPr>
                <w:rFonts w:ascii="宋体" w:hAnsi="宋体" w:cs="宋体"/>
                <w:b/>
                <w:color w:val="000000"/>
                <w:sz w:val="18"/>
                <w:szCs w:val="18"/>
                <w:highlight w:val="none"/>
              </w:rPr>
            </w:pPr>
            <w:r>
              <w:rPr>
                <w:rFonts w:hint="eastAsia" w:ascii="宋体" w:hAnsi="宋体" w:cs="宋体"/>
                <w:color w:val="000000"/>
                <w:sz w:val="18"/>
                <w:szCs w:val="18"/>
                <w:highlight w:val="none"/>
              </w:rPr>
              <w:t>评价类型</w:t>
            </w:r>
          </w:p>
        </w:tc>
        <w:tc>
          <w:tcPr>
            <w:tcW w:w="3346" w:type="dxa"/>
            <w:tcBorders>
              <w:top w:val="single" w:color="000000" w:sz="4" w:space="0"/>
              <w:left w:val="single" w:color="000000" w:sz="4" w:space="0"/>
              <w:bottom w:val="single" w:color="000000" w:sz="4" w:space="0"/>
              <w:right w:val="single" w:color="000000" w:sz="4" w:space="0"/>
            </w:tcBorders>
            <w:vAlign w:val="center"/>
          </w:tcPr>
          <w:p w14:paraId="3FB7CDAD">
            <w:pPr>
              <w:snapToGrid w:val="0"/>
              <w:spacing w:line="560" w:lineRule="exact"/>
              <w:rPr>
                <w:rFonts w:ascii="宋体" w:hAnsi="宋体" w:cs="宋体"/>
                <w:b/>
                <w:color w:val="000000"/>
                <w:sz w:val="18"/>
                <w:szCs w:val="18"/>
                <w:highlight w:val="none"/>
              </w:rPr>
            </w:pPr>
          </w:p>
        </w:tc>
        <w:tc>
          <w:tcPr>
            <w:tcW w:w="1260" w:type="dxa"/>
            <w:tcBorders>
              <w:top w:val="single" w:color="000000" w:sz="4" w:space="0"/>
              <w:left w:val="single" w:color="000000" w:sz="4" w:space="0"/>
              <w:bottom w:val="single" w:color="000000" w:sz="4" w:space="0"/>
              <w:right w:val="single" w:color="000000" w:sz="4" w:space="0"/>
            </w:tcBorders>
            <w:vAlign w:val="center"/>
          </w:tcPr>
          <w:p w14:paraId="225D8C2F">
            <w:pPr>
              <w:spacing w:line="560" w:lineRule="exact"/>
              <w:rPr>
                <w:rFonts w:ascii="宋体" w:hAnsi="宋体" w:cs="宋体"/>
                <w:b/>
                <w:color w:val="000000"/>
                <w:sz w:val="18"/>
                <w:szCs w:val="18"/>
                <w:highlight w:val="none"/>
              </w:rPr>
            </w:pPr>
            <w:r>
              <w:rPr>
                <w:rFonts w:hint="eastAsia" w:ascii="宋体" w:hAnsi="宋体" w:cs="宋体"/>
                <w:color w:val="000000"/>
                <w:sz w:val="18"/>
                <w:szCs w:val="18"/>
                <w:highlight w:val="none"/>
              </w:rPr>
              <w:t>评价时间</w:t>
            </w:r>
          </w:p>
        </w:tc>
        <w:tc>
          <w:tcPr>
            <w:tcW w:w="3056" w:type="dxa"/>
            <w:tcBorders>
              <w:top w:val="single" w:color="000000" w:sz="4" w:space="0"/>
              <w:left w:val="single" w:color="000000" w:sz="4" w:space="0"/>
              <w:bottom w:val="single" w:color="000000" w:sz="4" w:space="0"/>
              <w:right w:val="single" w:color="000000" w:sz="4" w:space="0"/>
            </w:tcBorders>
            <w:vAlign w:val="center"/>
          </w:tcPr>
          <w:p w14:paraId="2C56B58B">
            <w:pPr>
              <w:spacing w:line="560" w:lineRule="exact"/>
              <w:ind w:left="0" w:leftChars="0" w:right="0" w:rightChars="0" w:firstLineChars="600"/>
              <w:rPr>
                <w:rFonts w:ascii="宋体" w:hAnsi="宋体" w:cs="宋体"/>
                <w:b/>
                <w:color w:val="000000"/>
                <w:sz w:val="18"/>
                <w:szCs w:val="18"/>
                <w:highlight w:val="none"/>
              </w:rPr>
            </w:pPr>
            <w:r>
              <w:rPr>
                <w:rFonts w:hint="eastAsia" w:ascii="宋体" w:hAnsi="宋体" w:cs="宋体"/>
                <w:color w:val="000000"/>
                <w:sz w:val="18"/>
                <w:szCs w:val="18"/>
                <w:highlight w:val="none"/>
              </w:rPr>
              <w:t>年   月   日</w:t>
            </w:r>
          </w:p>
        </w:tc>
      </w:tr>
    </w:tbl>
    <w:tbl>
      <w:tblPr>
        <w:tblStyle w:val="55"/>
        <w:tblpPr w:leftFromText="180" w:rightFromText="180" w:vertAnchor="text" w:horzAnchor="page" w:tblpX="1145" w:tblpY="1619"/>
        <w:tblOverlap w:val="never"/>
        <w:tblW w:w="9483" w:type="dxa"/>
        <w:tblInd w:w="108" w:type="dxa"/>
        <w:tblLayout w:type="fixed"/>
        <w:tblCellMar>
          <w:top w:w="0" w:type="dxa"/>
          <w:left w:w="108" w:type="dxa"/>
          <w:bottom w:w="0" w:type="dxa"/>
          <w:right w:w="108" w:type="dxa"/>
        </w:tblCellMar>
      </w:tblPr>
      <w:tblGrid>
        <w:gridCol w:w="407"/>
        <w:gridCol w:w="1576"/>
        <w:gridCol w:w="810"/>
        <w:gridCol w:w="4966"/>
        <w:gridCol w:w="809"/>
        <w:gridCol w:w="915"/>
      </w:tblGrid>
      <w:tr w14:paraId="7BF8B05B">
        <w:tblPrEx>
          <w:tblCellMar>
            <w:top w:w="0" w:type="dxa"/>
            <w:left w:w="108" w:type="dxa"/>
            <w:bottom w:w="0" w:type="dxa"/>
            <w:right w:w="108" w:type="dxa"/>
          </w:tblCellMar>
        </w:tblPrEx>
        <w:trPr>
          <w:trHeight w:val="663" w:hRule="atLeast"/>
          <w:tblHeader/>
        </w:trPr>
        <w:tc>
          <w:tcPr>
            <w:tcW w:w="407" w:type="dxa"/>
            <w:tcBorders>
              <w:top w:val="single" w:color="000000" w:sz="4" w:space="0"/>
              <w:left w:val="single" w:color="000000" w:sz="4" w:space="0"/>
              <w:bottom w:val="single" w:color="000000" w:sz="4" w:space="0"/>
              <w:right w:val="single" w:color="000000" w:sz="4" w:space="0"/>
            </w:tcBorders>
            <w:vAlign w:val="center"/>
          </w:tcPr>
          <w:p w14:paraId="202A3C3B">
            <w:pPr>
              <w:spacing w:line="560" w:lineRule="exact"/>
              <w:jc w:val="center"/>
              <w:rPr>
                <w:rFonts w:ascii="宋体" w:hAnsi="宋体" w:eastAsia="宋体" w:cs="宋体"/>
                <w:b/>
                <w:color w:val="000000"/>
                <w:sz w:val="18"/>
                <w:szCs w:val="18"/>
                <w:highlight w:val="none"/>
              </w:rPr>
            </w:pPr>
            <w:r>
              <w:rPr>
                <w:rFonts w:hint="eastAsia" w:ascii="宋体" w:hAnsi="宋体" w:cs="宋体"/>
                <w:b/>
                <w:color w:val="000000"/>
                <w:sz w:val="18"/>
                <w:szCs w:val="18"/>
                <w:highlight w:val="none"/>
              </w:rPr>
              <w:t>序号</w:t>
            </w:r>
          </w:p>
        </w:tc>
        <w:tc>
          <w:tcPr>
            <w:tcW w:w="1576" w:type="dxa"/>
            <w:tcBorders>
              <w:top w:val="single" w:color="000000" w:sz="4" w:space="0"/>
              <w:left w:val="single" w:color="000000" w:sz="4" w:space="0"/>
              <w:bottom w:val="single" w:color="000000" w:sz="4" w:space="0"/>
              <w:right w:val="single" w:color="000000" w:sz="4" w:space="0"/>
            </w:tcBorders>
            <w:vAlign w:val="center"/>
          </w:tcPr>
          <w:p w14:paraId="4A2293EE">
            <w:pPr>
              <w:spacing w:line="560" w:lineRule="exact"/>
              <w:jc w:val="center"/>
              <w:rPr>
                <w:rFonts w:ascii="宋体" w:hAnsi="宋体" w:eastAsia="宋体" w:cs="宋体"/>
                <w:b/>
                <w:color w:val="000000"/>
                <w:sz w:val="18"/>
                <w:szCs w:val="18"/>
                <w:highlight w:val="none"/>
              </w:rPr>
            </w:pPr>
            <w:r>
              <w:rPr>
                <w:rFonts w:hint="eastAsia" w:ascii="宋体" w:hAnsi="宋体" w:cs="宋体"/>
                <w:b/>
                <w:color w:val="000000"/>
                <w:sz w:val="18"/>
                <w:szCs w:val="18"/>
                <w:highlight w:val="none"/>
              </w:rPr>
              <w:t>分项内容</w:t>
            </w:r>
          </w:p>
        </w:tc>
        <w:tc>
          <w:tcPr>
            <w:tcW w:w="810" w:type="dxa"/>
            <w:tcBorders>
              <w:top w:val="single" w:color="000000" w:sz="4" w:space="0"/>
              <w:left w:val="single" w:color="000000" w:sz="4" w:space="0"/>
              <w:bottom w:val="single" w:color="000000" w:sz="4" w:space="0"/>
              <w:right w:val="single" w:color="000000" w:sz="4" w:space="0"/>
            </w:tcBorders>
            <w:vAlign w:val="center"/>
          </w:tcPr>
          <w:p w14:paraId="4259C397">
            <w:pPr>
              <w:spacing w:line="560" w:lineRule="exact"/>
              <w:jc w:val="center"/>
              <w:rPr>
                <w:rFonts w:ascii="宋体" w:hAnsi="宋体" w:eastAsia="宋体" w:cs="宋体"/>
                <w:b/>
                <w:color w:val="000000"/>
                <w:sz w:val="18"/>
                <w:szCs w:val="18"/>
                <w:highlight w:val="none"/>
              </w:rPr>
            </w:pPr>
            <w:r>
              <w:rPr>
                <w:rFonts w:hint="eastAsia" w:ascii="宋体" w:hAnsi="宋体" w:cs="宋体"/>
                <w:b/>
                <w:color w:val="000000"/>
                <w:sz w:val="18"/>
                <w:szCs w:val="18"/>
                <w:highlight w:val="none"/>
              </w:rPr>
              <w:t>满分值</w:t>
            </w:r>
          </w:p>
        </w:tc>
        <w:tc>
          <w:tcPr>
            <w:tcW w:w="4966" w:type="dxa"/>
            <w:tcBorders>
              <w:top w:val="single" w:color="000000" w:sz="4" w:space="0"/>
              <w:left w:val="single" w:color="000000" w:sz="4" w:space="0"/>
              <w:bottom w:val="single" w:color="000000" w:sz="4" w:space="0"/>
              <w:right w:val="single" w:color="000000" w:sz="4" w:space="0"/>
            </w:tcBorders>
            <w:vAlign w:val="center"/>
          </w:tcPr>
          <w:p w14:paraId="07C8C598">
            <w:pPr>
              <w:spacing w:line="560" w:lineRule="exact"/>
              <w:jc w:val="center"/>
              <w:rPr>
                <w:rFonts w:ascii="宋体" w:hAnsi="宋体" w:eastAsia="宋体" w:cs="宋体"/>
                <w:b/>
                <w:color w:val="000000"/>
                <w:sz w:val="18"/>
                <w:szCs w:val="18"/>
                <w:highlight w:val="none"/>
              </w:rPr>
            </w:pPr>
            <w:r>
              <w:rPr>
                <w:rFonts w:hint="eastAsia" w:ascii="宋体" w:hAnsi="宋体" w:cs="宋体"/>
                <w:b/>
                <w:color w:val="000000"/>
                <w:sz w:val="18"/>
                <w:szCs w:val="18"/>
                <w:highlight w:val="none"/>
              </w:rPr>
              <w:t>评分指标及评分标准</w:t>
            </w:r>
          </w:p>
        </w:tc>
        <w:tc>
          <w:tcPr>
            <w:tcW w:w="809" w:type="dxa"/>
            <w:tcBorders>
              <w:top w:val="single" w:color="000000" w:sz="4" w:space="0"/>
              <w:left w:val="single" w:color="000000" w:sz="4" w:space="0"/>
              <w:bottom w:val="single" w:color="000000" w:sz="4" w:space="0"/>
              <w:right w:val="single" w:color="000000" w:sz="4" w:space="0"/>
            </w:tcBorders>
            <w:vAlign w:val="center"/>
          </w:tcPr>
          <w:p w14:paraId="172BD1A2">
            <w:pPr>
              <w:spacing w:line="560" w:lineRule="exact"/>
              <w:jc w:val="center"/>
              <w:rPr>
                <w:rFonts w:ascii="宋体" w:hAnsi="宋体" w:eastAsia="宋体" w:cs="宋体"/>
                <w:b/>
                <w:color w:val="000000"/>
                <w:sz w:val="18"/>
                <w:szCs w:val="18"/>
                <w:highlight w:val="none"/>
              </w:rPr>
            </w:pPr>
            <w:r>
              <w:rPr>
                <w:rFonts w:hint="eastAsia" w:ascii="宋体" w:hAnsi="宋体" w:cs="宋体"/>
                <w:b/>
                <w:color w:val="000000"/>
                <w:sz w:val="18"/>
                <w:szCs w:val="18"/>
                <w:highlight w:val="none"/>
              </w:rPr>
              <w:t>扣分</w:t>
            </w:r>
          </w:p>
        </w:tc>
        <w:tc>
          <w:tcPr>
            <w:tcW w:w="915" w:type="dxa"/>
            <w:tcBorders>
              <w:top w:val="single" w:color="000000" w:sz="4" w:space="0"/>
              <w:left w:val="single" w:color="000000" w:sz="4" w:space="0"/>
              <w:bottom w:val="single" w:color="000000" w:sz="4" w:space="0"/>
              <w:right w:val="single" w:color="000000" w:sz="4" w:space="0"/>
            </w:tcBorders>
            <w:vAlign w:val="center"/>
          </w:tcPr>
          <w:p w14:paraId="5BB41B6E">
            <w:pPr>
              <w:spacing w:line="560" w:lineRule="exact"/>
              <w:jc w:val="center"/>
              <w:rPr>
                <w:rFonts w:ascii="宋体" w:hAnsi="宋体" w:eastAsia="宋体" w:cs="宋体"/>
                <w:b/>
                <w:color w:val="000000"/>
                <w:sz w:val="18"/>
                <w:szCs w:val="18"/>
                <w:highlight w:val="none"/>
              </w:rPr>
            </w:pPr>
            <w:r>
              <w:rPr>
                <w:rFonts w:hint="eastAsia" w:ascii="宋体" w:hAnsi="宋体" w:cs="宋体"/>
                <w:b/>
                <w:color w:val="000000"/>
                <w:sz w:val="18"/>
                <w:szCs w:val="18"/>
                <w:highlight w:val="none"/>
              </w:rPr>
              <w:t>得分</w:t>
            </w:r>
          </w:p>
        </w:tc>
      </w:tr>
      <w:tr w14:paraId="4D0B0537">
        <w:tblPrEx>
          <w:tblCellMar>
            <w:top w:w="0" w:type="dxa"/>
            <w:left w:w="108" w:type="dxa"/>
            <w:bottom w:w="0" w:type="dxa"/>
            <w:right w:w="108" w:type="dxa"/>
          </w:tblCellMar>
        </w:tblPrEx>
        <w:trPr>
          <w:trHeight w:val="260" w:hRule="atLeast"/>
        </w:trPr>
        <w:tc>
          <w:tcPr>
            <w:tcW w:w="407" w:type="dxa"/>
            <w:vMerge w:val="restart"/>
            <w:tcBorders>
              <w:top w:val="single" w:color="000000" w:sz="4" w:space="0"/>
              <w:left w:val="single" w:color="000000" w:sz="4" w:space="0"/>
              <w:bottom w:val="single" w:color="000000" w:sz="4" w:space="0"/>
              <w:right w:val="single" w:color="000000" w:sz="4" w:space="0"/>
            </w:tcBorders>
            <w:vAlign w:val="center"/>
          </w:tcPr>
          <w:p w14:paraId="01B1BE24">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1</w:t>
            </w:r>
          </w:p>
        </w:tc>
        <w:tc>
          <w:tcPr>
            <w:tcW w:w="1576" w:type="dxa"/>
            <w:vMerge w:val="restart"/>
            <w:tcBorders>
              <w:top w:val="single" w:color="000000" w:sz="4" w:space="0"/>
              <w:left w:val="single" w:color="000000" w:sz="4" w:space="0"/>
              <w:bottom w:val="single" w:color="000000" w:sz="4" w:space="0"/>
              <w:right w:val="single" w:color="000000" w:sz="4" w:space="0"/>
            </w:tcBorders>
            <w:vAlign w:val="center"/>
          </w:tcPr>
          <w:p w14:paraId="50714191">
            <w:pPr>
              <w:spacing w:line="560" w:lineRule="exact"/>
              <w:jc w:val="center"/>
              <w:rPr>
                <w:rFonts w:ascii="宋体" w:hAnsi="宋体" w:eastAsia="宋体" w:cs="宋体"/>
                <w:color w:val="000000"/>
                <w:sz w:val="18"/>
                <w:szCs w:val="18"/>
                <w:highlight w:val="none"/>
              </w:rPr>
            </w:pPr>
            <w:r>
              <w:rPr>
                <w:rFonts w:hint="eastAsia" w:ascii="宋体" w:hAnsi="宋体" w:cs="宋体"/>
                <w:color w:val="000000"/>
                <w:sz w:val="18"/>
                <w:szCs w:val="18"/>
                <w:highlight w:val="none"/>
              </w:rPr>
              <w:t>组织机构和人员（</w:t>
            </w:r>
            <w:r>
              <w:rPr>
                <w:rFonts w:hint="eastAsia" w:ascii="宋体" w:hAnsi="宋体" w:eastAsia="宋体" w:cs="宋体"/>
                <w:color w:val="000000"/>
                <w:sz w:val="18"/>
                <w:szCs w:val="18"/>
                <w:highlight w:val="none"/>
              </w:rPr>
              <w:t>20</w:t>
            </w:r>
            <w:r>
              <w:rPr>
                <w:rFonts w:hint="eastAsia" w:ascii="宋体" w:hAnsi="宋体" w:cs="宋体"/>
                <w:color w:val="000000"/>
                <w:sz w:val="18"/>
                <w:szCs w:val="18"/>
                <w:highlight w:val="none"/>
              </w:rPr>
              <w:t>分）</w:t>
            </w:r>
          </w:p>
        </w:tc>
        <w:tc>
          <w:tcPr>
            <w:tcW w:w="810" w:type="dxa"/>
            <w:tcBorders>
              <w:top w:val="single" w:color="000000" w:sz="4" w:space="0"/>
              <w:left w:val="single" w:color="000000" w:sz="4" w:space="0"/>
              <w:bottom w:val="single" w:color="000000" w:sz="4" w:space="0"/>
              <w:right w:val="single" w:color="000000" w:sz="4" w:space="0"/>
            </w:tcBorders>
            <w:vAlign w:val="center"/>
          </w:tcPr>
          <w:p w14:paraId="0B325276">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3</w:t>
            </w:r>
          </w:p>
        </w:tc>
        <w:tc>
          <w:tcPr>
            <w:tcW w:w="4966" w:type="dxa"/>
            <w:tcBorders>
              <w:top w:val="single" w:color="000000" w:sz="4" w:space="0"/>
              <w:left w:val="single" w:color="000000" w:sz="4" w:space="0"/>
              <w:bottom w:val="single" w:color="000000" w:sz="4" w:space="0"/>
              <w:right w:val="single" w:color="000000" w:sz="4" w:space="0"/>
            </w:tcBorders>
            <w:vAlign w:val="center"/>
          </w:tcPr>
          <w:p w14:paraId="6879DAEE">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）管理机构健全（满足得</w:t>
            </w:r>
            <w:r>
              <w:rPr>
                <w:rFonts w:hint="eastAsia" w:ascii="宋体" w:hAnsi="宋体" w:eastAsia="宋体" w:cs="宋体"/>
                <w:color w:val="000000"/>
                <w:sz w:val="18"/>
                <w:szCs w:val="18"/>
                <w:highlight w:val="none"/>
              </w:rPr>
              <w:t>3</w:t>
            </w:r>
            <w:r>
              <w:rPr>
                <w:rFonts w:hint="eastAsia" w:ascii="宋体" w:hAnsi="宋体" w:cs="宋体"/>
                <w:color w:val="000000"/>
                <w:sz w:val="18"/>
                <w:szCs w:val="18"/>
                <w:highlight w:val="none"/>
              </w:rPr>
              <w:t>分，不满足</w:t>
            </w:r>
            <w:r>
              <w:rPr>
                <w:rFonts w:hint="eastAsia" w:ascii="宋体" w:hAnsi="宋体" w:eastAsia="宋体" w:cs="宋体"/>
                <w:color w:val="000000"/>
                <w:sz w:val="18"/>
                <w:szCs w:val="18"/>
                <w:highlight w:val="none"/>
              </w:rPr>
              <w:t>0</w:t>
            </w:r>
            <w:r>
              <w:rPr>
                <w:rFonts w:hint="eastAsia" w:ascii="宋体" w:hAnsi="宋体" w:cs="宋体"/>
                <w:color w:val="000000"/>
                <w:sz w:val="18"/>
                <w:szCs w:val="18"/>
                <w:highlight w:val="none"/>
              </w:rPr>
              <w:t>分）。</w:t>
            </w:r>
          </w:p>
        </w:tc>
        <w:tc>
          <w:tcPr>
            <w:tcW w:w="809" w:type="dxa"/>
            <w:tcBorders>
              <w:top w:val="single" w:color="000000" w:sz="4" w:space="0"/>
              <w:left w:val="single" w:color="000000" w:sz="4" w:space="0"/>
              <w:bottom w:val="single" w:color="000000" w:sz="4" w:space="0"/>
              <w:right w:val="single" w:color="000000" w:sz="4" w:space="0"/>
            </w:tcBorders>
            <w:vAlign w:val="center"/>
          </w:tcPr>
          <w:p w14:paraId="7E839404">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62DCA668">
            <w:pPr>
              <w:snapToGrid w:val="0"/>
              <w:spacing w:line="560" w:lineRule="exact"/>
              <w:rPr>
                <w:rFonts w:ascii="宋体" w:hAnsi="宋体" w:eastAsia="宋体" w:cs="宋体"/>
                <w:color w:val="000000"/>
                <w:sz w:val="18"/>
                <w:szCs w:val="18"/>
                <w:highlight w:val="none"/>
              </w:rPr>
            </w:pPr>
          </w:p>
        </w:tc>
      </w:tr>
      <w:tr w14:paraId="3D65BC6B">
        <w:tblPrEx>
          <w:tblCellMar>
            <w:top w:w="0" w:type="dxa"/>
            <w:left w:w="108" w:type="dxa"/>
            <w:bottom w:w="0" w:type="dxa"/>
            <w:right w:w="108" w:type="dxa"/>
          </w:tblCellMar>
        </w:tblPrEx>
        <w:trPr>
          <w:trHeight w:val="4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1B0C5A37">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7E9E311F">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0B16C98B">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4966" w:type="dxa"/>
            <w:tcBorders>
              <w:top w:val="single" w:color="000000" w:sz="4" w:space="0"/>
              <w:left w:val="single" w:color="000000" w:sz="4" w:space="0"/>
              <w:bottom w:val="single" w:color="000000" w:sz="4" w:space="0"/>
              <w:right w:val="single" w:color="000000" w:sz="4" w:space="0"/>
            </w:tcBorders>
            <w:vAlign w:val="center"/>
          </w:tcPr>
          <w:p w14:paraId="77C61579">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2</w:t>
            </w:r>
            <w:r>
              <w:rPr>
                <w:rFonts w:hint="eastAsia" w:ascii="宋体" w:hAnsi="宋体" w:cs="宋体"/>
                <w:color w:val="000000"/>
                <w:sz w:val="18"/>
                <w:szCs w:val="18"/>
                <w:highlight w:val="none"/>
              </w:rPr>
              <w:t>）人员分工明确（</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分），责任制度健全（</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分）。</w:t>
            </w:r>
          </w:p>
        </w:tc>
        <w:tc>
          <w:tcPr>
            <w:tcW w:w="809" w:type="dxa"/>
            <w:tcBorders>
              <w:top w:val="single" w:color="000000" w:sz="4" w:space="0"/>
              <w:left w:val="single" w:color="000000" w:sz="4" w:space="0"/>
              <w:bottom w:val="single" w:color="000000" w:sz="4" w:space="0"/>
              <w:right w:val="single" w:color="000000" w:sz="4" w:space="0"/>
            </w:tcBorders>
            <w:vAlign w:val="center"/>
          </w:tcPr>
          <w:p w14:paraId="70ED5612">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5D7ECD41">
            <w:pPr>
              <w:snapToGrid w:val="0"/>
              <w:spacing w:line="560" w:lineRule="exact"/>
              <w:rPr>
                <w:rFonts w:ascii="宋体" w:hAnsi="宋体" w:eastAsia="宋体" w:cs="宋体"/>
                <w:color w:val="000000"/>
                <w:sz w:val="18"/>
                <w:szCs w:val="18"/>
                <w:highlight w:val="none"/>
              </w:rPr>
            </w:pPr>
          </w:p>
        </w:tc>
      </w:tr>
      <w:tr w14:paraId="0DC5AC45">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76430B0D">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3E2D0977">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6B756670">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3</w:t>
            </w:r>
          </w:p>
        </w:tc>
        <w:tc>
          <w:tcPr>
            <w:tcW w:w="4966" w:type="dxa"/>
            <w:tcBorders>
              <w:top w:val="single" w:color="000000" w:sz="4" w:space="0"/>
              <w:left w:val="single" w:color="000000" w:sz="4" w:space="0"/>
              <w:bottom w:val="single" w:color="000000" w:sz="4" w:space="0"/>
              <w:right w:val="single" w:color="000000" w:sz="4" w:space="0"/>
            </w:tcBorders>
            <w:vAlign w:val="center"/>
          </w:tcPr>
          <w:p w14:paraId="56FEE4F8">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3</w:t>
            </w:r>
            <w:r>
              <w:rPr>
                <w:rFonts w:hint="eastAsia" w:ascii="宋体" w:hAnsi="宋体" w:cs="宋体"/>
                <w:color w:val="000000"/>
                <w:sz w:val="18"/>
                <w:szCs w:val="18"/>
                <w:highlight w:val="none"/>
              </w:rPr>
              <w:t>）人员配置满足现场管理的工作需要（满足得</w:t>
            </w:r>
            <w:r>
              <w:rPr>
                <w:rFonts w:hint="eastAsia" w:ascii="宋体" w:hAnsi="宋体" w:eastAsia="宋体" w:cs="宋体"/>
                <w:color w:val="000000"/>
                <w:sz w:val="18"/>
                <w:szCs w:val="18"/>
                <w:highlight w:val="none"/>
              </w:rPr>
              <w:t>3</w:t>
            </w:r>
            <w:r>
              <w:rPr>
                <w:rFonts w:hint="eastAsia" w:ascii="宋体" w:hAnsi="宋体" w:cs="宋体"/>
                <w:color w:val="000000"/>
                <w:sz w:val="18"/>
                <w:szCs w:val="18"/>
                <w:highlight w:val="none"/>
              </w:rPr>
              <w:t>分，不满足</w:t>
            </w:r>
            <w:r>
              <w:rPr>
                <w:rFonts w:hint="eastAsia" w:ascii="宋体" w:hAnsi="宋体" w:eastAsia="宋体" w:cs="宋体"/>
                <w:color w:val="000000"/>
                <w:sz w:val="18"/>
                <w:szCs w:val="18"/>
                <w:highlight w:val="none"/>
              </w:rPr>
              <w:t>0</w:t>
            </w:r>
            <w:r>
              <w:rPr>
                <w:rFonts w:hint="eastAsia" w:ascii="宋体" w:hAnsi="宋体" w:cs="宋体"/>
                <w:color w:val="000000"/>
                <w:sz w:val="18"/>
                <w:szCs w:val="18"/>
                <w:highlight w:val="none"/>
              </w:rPr>
              <w:t>分）。</w:t>
            </w:r>
          </w:p>
        </w:tc>
        <w:tc>
          <w:tcPr>
            <w:tcW w:w="809" w:type="dxa"/>
            <w:tcBorders>
              <w:top w:val="single" w:color="000000" w:sz="4" w:space="0"/>
              <w:left w:val="single" w:color="000000" w:sz="4" w:space="0"/>
              <w:bottom w:val="single" w:color="000000" w:sz="4" w:space="0"/>
              <w:right w:val="single" w:color="000000" w:sz="4" w:space="0"/>
            </w:tcBorders>
            <w:vAlign w:val="center"/>
          </w:tcPr>
          <w:p w14:paraId="5542C4EA">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4A78139B">
            <w:pPr>
              <w:snapToGrid w:val="0"/>
              <w:spacing w:line="560" w:lineRule="exact"/>
              <w:rPr>
                <w:rFonts w:ascii="宋体" w:hAnsi="宋体" w:eastAsia="宋体" w:cs="宋体"/>
                <w:color w:val="000000"/>
                <w:sz w:val="18"/>
                <w:szCs w:val="18"/>
                <w:highlight w:val="none"/>
              </w:rPr>
            </w:pPr>
          </w:p>
        </w:tc>
      </w:tr>
      <w:tr w14:paraId="70F3D906">
        <w:tblPrEx>
          <w:tblCellMar>
            <w:top w:w="0" w:type="dxa"/>
            <w:left w:w="108" w:type="dxa"/>
            <w:bottom w:w="0" w:type="dxa"/>
            <w:right w:w="108" w:type="dxa"/>
          </w:tblCellMar>
        </w:tblPrEx>
        <w:trPr>
          <w:trHeight w:val="569"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4126DCFE">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45E57132">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11F5C69A">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4</w:t>
            </w:r>
          </w:p>
        </w:tc>
        <w:tc>
          <w:tcPr>
            <w:tcW w:w="4966" w:type="dxa"/>
            <w:tcBorders>
              <w:top w:val="single" w:color="000000" w:sz="4" w:space="0"/>
              <w:left w:val="single" w:color="000000" w:sz="4" w:space="0"/>
              <w:bottom w:val="single" w:color="000000" w:sz="4" w:space="0"/>
              <w:right w:val="single" w:color="000000" w:sz="4" w:space="0"/>
            </w:tcBorders>
            <w:vAlign w:val="center"/>
          </w:tcPr>
          <w:p w14:paraId="38B7B9E4">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4</w:t>
            </w:r>
            <w:r>
              <w:rPr>
                <w:rFonts w:hint="eastAsia" w:ascii="宋体" w:hAnsi="宋体" w:cs="宋体"/>
                <w:color w:val="000000"/>
                <w:sz w:val="18"/>
                <w:szCs w:val="18"/>
                <w:highlight w:val="none"/>
              </w:rPr>
              <w:t>）人员配置满足计划统计的工作需要（满足得</w:t>
            </w:r>
            <w:r>
              <w:rPr>
                <w:rFonts w:hint="eastAsia" w:ascii="宋体" w:hAnsi="宋体" w:eastAsia="宋体" w:cs="宋体"/>
                <w:color w:val="000000"/>
                <w:sz w:val="18"/>
                <w:szCs w:val="18"/>
                <w:highlight w:val="none"/>
              </w:rPr>
              <w:t>4</w:t>
            </w:r>
            <w:r>
              <w:rPr>
                <w:rFonts w:hint="eastAsia" w:ascii="宋体" w:hAnsi="宋体" w:cs="宋体"/>
                <w:color w:val="000000"/>
                <w:sz w:val="18"/>
                <w:szCs w:val="18"/>
                <w:highlight w:val="none"/>
              </w:rPr>
              <w:t>分，不满足</w:t>
            </w:r>
            <w:r>
              <w:rPr>
                <w:rFonts w:hint="eastAsia" w:ascii="宋体" w:hAnsi="宋体" w:eastAsia="宋体" w:cs="宋体"/>
                <w:color w:val="000000"/>
                <w:sz w:val="18"/>
                <w:szCs w:val="18"/>
                <w:highlight w:val="none"/>
              </w:rPr>
              <w:t>0</w:t>
            </w:r>
            <w:r>
              <w:rPr>
                <w:rFonts w:hint="eastAsia" w:ascii="宋体" w:hAnsi="宋体" w:cs="宋体"/>
                <w:color w:val="000000"/>
                <w:sz w:val="18"/>
                <w:szCs w:val="18"/>
                <w:highlight w:val="none"/>
              </w:rPr>
              <w:t>分）。</w:t>
            </w:r>
          </w:p>
        </w:tc>
        <w:tc>
          <w:tcPr>
            <w:tcW w:w="809" w:type="dxa"/>
            <w:tcBorders>
              <w:top w:val="single" w:color="000000" w:sz="4" w:space="0"/>
              <w:left w:val="single" w:color="000000" w:sz="4" w:space="0"/>
              <w:bottom w:val="single" w:color="000000" w:sz="4" w:space="0"/>
              <w:right w:val="single" w:color="000000" w:sz="4" w:space="0"/>
            </w:tcBorders>
            <w:vAlign w:val="center"/>
          </w:tcPr>
          <w:p w14:paraId="1E13673E">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22CC1DAB">
            <w:pPr>
              <w:snapToGrid w:val="0"/>
              <w:spacing w:line="560" w:lineRule="exact"/>
              <w:rPr>
                <w:rFonts w:ascii="宋体" w:hAnsi="宋体" w:eastAsia="宋体" w:cs="宋体"/>
                <w:color w:val="000000"/>
                <w:sz w:val="18"/>
                <w:szCs w:val="18"/>
                <w:highlight w:val="none"/>
              </w:rPr>
            </w:pPr>
          </w:p>
        </w:tc>
      </w:tr>
      <w:tr w14:paraId="78CC8ABE">
        <w:tblPrEx>
          <w:tblCellMar>
            <w:top w:w="0" w:type="dxa"/>
            <w:left w:w="108" w:type="dxa"/>
            <w:bottom w:w="0" w:type="dxa"/>
            <w:right w:w="108" w:type="dxa"/>
          </w:tblCellMar>
        </w:tblPrEx>
        <w:trPr>
          <w:trHeight w:val="509"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2A2530D3">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00E0A1EA">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53105D76">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4</w:t>
            </w:r>
          </w:p>
        </w:tc>
        <w:tc>
          <w:tcPr>
            <w:tcW w:w="4966" w:type="dxa"/>
            <w:tcBorders>
              <w:top w:val="single" w:color="000000" w:sz="4" w:space="0"/>
              <w:left w:val="single" w:color="000000" w:sz="4" w:space="0"/>
              <w:bottom w:val="single" w:color="000000" w:sz="4" w:space="0"/>
              <w:right w:val="single" w:color="000000" w:sz="4" w:space="0"/>
            </w:tcBorders>
            <w:vAlign w:val="center"/>
          </w:tcPr>
          <w:p w14:paraId="11C03A3A">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5</w:t>
            </w:r>
            <w:r>
              <w:rPr>
                <w:rFonts w:hint="eastAsia" w:ascii="宋体" w:hAnsi="宋体" w:cs="宋体"/>
                <w:color w:val="000000"/>
                <w:sz w:val="18"/>
                <w:szCs w:val="18"/>
                <w:highlight w:val="none"/>
              </w:rPr>
              <w:t>）人员资质符合合同要求（不合要求的发现</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人扣</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分，最高扣</w:t>
            </w:r>
            <w:r>
              <w:rPr>
                <w:rFonts w:hint="eastAsia" w:ascii="宋体" w:hAnsi="宋体" w:eastAsia="宋体" w:cs="宋体"/>
                <w:color w:val="000000"/>
                <w:sz w:val="18"/>
                <w:szCs w:val="18"/>
                <w:highlight w:val="none"/>
              </w:rPr>
              <w:t>4</w:t>
            </w:r>
            <w:r>
              <w:rPr>
                <w:rFonts w:hint="eastAsia" w:ascii="宋体" w:hAnsi="宋体" w:cs="宋体"/>
                <w:color w:val="000000"/>
                <w:sz w:val="18"/>
                <w:szCs w:val="18"/>
                <w:highlight w:val="none"/>
              </w:rPr>
              <w:t>分）。</w:t>
            </w:r>
          </w:p>
        </w:tc>
        <w:tc>
          <w:tcPr>
            <w:tcW w:w="809" w:type="dxa"/>
            <w:tcBorders>
              <w:top w:val="single" w:color="000000" w:sz="4" w:space="0"/>
              <w:left w:val="single" w:color="000000" w:sz="4" w:space="0"/>
              <w:bottom w:val="single" w:color="000000" w:sz="4" w:space="0"/>
              <w:right w:val="single" w:color="000000" w:sz="4" w:space="0"/>
            </w:tcBorders>
            <w:vAlign w:val="center"/>
          </w:tcPr>
          <w:p w14:paraId="7C86CE80">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36D8D74D">
            <w:pPr>
              <w:snapToGrid w:val="0"/>
              <w:spacing w:line="560" w:lineRule="exact"/>
              <w:rPr>
                <w:rFonts w:ascii="宋体" w:hAnsi="宋体" w:eastAsia="宋体" w:cs="宋体"/>
                <w:color w:val="000000"/>
                <w:sz w:val="18"/>
                <w:szCs w:val="18"/>
                <w:highlight w:val="none"/>
              </w:rPr>
            </w:pPr>
          </w:p>
        </w:tc>
      </w:tr>
      <w:tr w14:paraId="7071ABDE">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1AB26D5C">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350A3E07">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36D185A3">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4</w:t>
            </w:r>
          </w:p>
        </w:tc>
        <w:tc>
          <w:tcPr>
            <w:tcW w:w="4966" w:type="dxa"/>
            <w:tcBorders>
              <w:top w:val="single" w:color="000000" w:sz="4" w:space="0"/>
              <w:left w:val="single" w:color="000000" w:sz="4" w:space="0"/>
              <w:bottom w:val="single" w:color="000000" w:sz="4" w:space="0"/>
              <w:right w:val="single" w:color="000000" w:sz="4" w:space="0"/>
            </w:tcBorders>
            <w:vAlign w:val="center"/>
          </w:tcPr>
          <w:p w14:paraId="28C1705C">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6</w:t>
            </w:r>
            <w:r>
              <w:rPr>
                <w:rFonts w:hint="eastAsia" w:ascii="宋体" w:hAnsi="宋体" w:cs="宋体"/>
                <w:color w:val="000000"/>
                <w:sz w:val="18"/>
                <w:szCs w:val="18"/>
                <w:highlight w:val="none"/>
              </w:rPr>
              <w:t>）出勤人员与业主批准的季度用人计划相符，人员出勤率达</w:t>
            </w:r>
            <w:r>
              <w:rPr>
                <w:rFonts w:hint="eastAsia" w:ascii="宋体" w:hAnsi="宋体" w:eastAsia="宋体" w:cs="宋体"/>
                <w:color w:val="000000"/>
                <w:sz w:val="18"/>
                <w:szCs w:val="18"/>
                <w:highlight w:val="none"/>
              </w:rPr>
              <w:t>100</w:t>
            </w:r>
            <w:r>
              <w:rPr>
                <w:rFonts w:hint="eastAsia" w:ascii="宋体" w:hAnsi="宋体" w:cs="宋体"/>
                <w:color w:val="000000"/>
                <w:sz w:val="18"/>
                <w:szCs w:val="18"/>
                <w:highlight w:val="none"/>
              </w:rPr>
              <w:t>％。（抽查缺</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人扣</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分，最高扣</w:t>
            </w:r>
            <w:r>
              <w:rPr>
                <w:rFonts w:hint="eastAsia" w:ascii="宋体" w:hAnsi="宋体" w:eastAsia="宋体" w:cs="宋体"/>
                <w:color w:val="000000"/>
                <w:sz w:val="18"/>
                <w:szCs w:val="18"/>
                <w:highlight w:val="none"/>
              </w:rPr>
              <w:t>4</w:t>
            </w:r>
            <w:r>
              <w:rPr>
                <w:rFonts w:hint="eastAsia" w:ascii="宋体" w:hAnsi="宋体" w:cs="宋体"/>
                <w:color w:val="000000"/>
                <w:sz w:val="18"/>
                <w:szCs w:val="18"/>
                <w:highlight w:val="none"/>
              </w:rPr>
              <w:t>分）</w:t>
            </w:r>
          </w:p>
        </w:tc>
        <w:tc>
          <w:tcPr>
            <w:tcW w:w="809" w:type="dxa"/>
            <w:tcBorders>
              <w:top w:val="single" w:color="000000" w:sz="4" w:space="0"/>
              <w:left w:val="single" w:color="000000" w:sz="4" w:space="0"/>
              <w:bottom w:val="single" w:color="000000" w:sz="4" w:space="0"/>
              <w:right w:val="single" w:color="000000" w:sz="4" w:space="0"/>
            </w:tcBorders>
            <w:vAlign w:val="center"/>
          </w:tcPr>
          <w:p w14:paraId="14BA21B3">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1C87F947">
            <w:pPr>
              <w:snapToGrid w:val="0"/>
              <w:spacing w:line="560" w:lineRule="exact"/>
              <w:rPr>
                <w:rFonts w:ascii="宋体" w:hAnsi="宋体" w:eastAsia="宋体" w:cs="宋体"/>
                <w:color w:val="000000"/>
                <w:sz w:val="18"/>
                <w:szCs w:val="18"/>
                <w:highlight w:val="none"/>
              </w:rPr>
            </w:pPr>
          </w:p>
        </w:tc>
      </w:tr>
      <w:tr w14:paraId="7835C854">
        <w:tblPrEx>
          <w:tblCellMar>
            <w:top w:w="0" w:type="dxa"/>
            <w:left w:w="108" w:type="dxa"/>
            <w:bottom w:w="0" w:type="dxa"/>
            <w:right w:w="108" w:type="dxa"/>
          </w:tblCellMar>
        </w:tblPrEx>
        <w:trPr>
          <w:trHeight w:val="510" w:hRule="atLeast"/>
        </w:trPr>
        <w:tc>
          <w:tcPr>
            <w:tcW w:w="407" w:type="dxa"/>
            <w:vMerge w:val="restart"/>
            <w:tcBorders>
              <w:top w:val="single" w:color="000000" w:sz="4" w:space="0"/>
              <w:left w:val="single" w:color="000000" w:sz="4" w:space="0"/>
              <w:bottom w:val="single" w:color="000000" w:sz="4" w:space="0"/>
              <w:right w:val="single" w:color="000000" w:sz="4" w:space="0"/>
            </w:tcBorders>
            <w:vAlign w:val="center"/>
          </w:tcPr>
          <w:p w14:paraId="44006A5A">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1576" w:type="dxa"/>
            <w:vMerge w:val="restart"/>
            <w:tcBorders>
              <w:top w:val="single" w:color="000000" w:sz="4" w:space="0"/>
              <w:left w:val="single" w:color="000000" w:sz="4" w:space="0"/>
              <w:bottom w:val="single" w:color="000000" w:sz="4" w:space="0"/>
              <w:right w:val="single" w:color="000000" w:sz="4" w:space="0"/>
            </w:tcBorders>
            <w:vAlign w:val="center"/>
          </w:tcPr>
          <w:p w14:paraId="5103F329">
            <w:pPr>
              <w:spacing w:line="560" w:lineRule="exact"/>
              <w:jc w:val="center"/>
              <w:rPr>
                <w:rFonts w:ascii="宋体" w:hAnsi="宋体" w:eastAsia="宋体" w:cs="宋体"/>
                <w:color w:val="000000"/>
                <w:sz w:val="18"/>
                <w:szCs w:val="18"/>
                <w:highlight w:val="none"/>
              </w:rPr>
            </w:pPr>
            <w:r>
              <w:rPr>
                <w:rFonts w:hint="eastAsia" w:ascii="宋体" w:hAnsi="宋体" w:cs="宋体"/>
                <w:color w:val="000000"/>
                <w:sz w:val="18"/>
                <w:szCs w:val="18"/>
                <w:highlight w:val="none"/>
              </w:rPr>
              <w:t>质量管理（</w:t>
            </w:r>
            <w:r>
              <w:rPr>
                <w:rFonts w:hint="eastAsia" w:ascii="宋体" w:hAnsi="宋体" w:eastAsia="宋体" w:cs="宋体"/>
                <w:color w:val="000000"/>
                <w:sz w:val="18"/>
                <w:szCs w:val="18"/>
                <w:highlight w:val="none"/>
              </w:rPr>
              <w:t>35</w:t>
            </w:r>
            <w:r>
              <w:rPr>
                <w:rFonts w:hint="eastAsia" w:ascii="宋体" w:hAnsi="宋体" w:cs="宋体"/>
                <w:color w:val="000000"/>
                <w:sz w:val="18"/>
                <w:szCs w:val="18"/>
                <w:highlight w:val="none"/>
              </w:rPr>
              <w:t>分）</w:t>
            </w:r>
          </w:p>
        </w:tc>
        <w:tc>
          <w:tcPr>
            <w:tcW w:w="810" w:type="dxa"/>
            <w:tcBorders>
              <w:top w:val="single" w:color="000000" w:sz="4" w:space="0"/>
              <w:left w:val="single" w:color="000000" w:sz="4" w:space="0"/>
              <w:bottom w:val="single" w:color="000000" w:sz="4" w:space="0"/>
              <w:right w:val="single" w:color="000000" w:sz="4" w:space="0"/>
            </w:tcBorders>
            <w:vAlign w:val="center"/>
          </w:tcPr>
          <w:p w14:paraId="59CC559D">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4966" w:type="dxa"/>
            <w:tcBorders>
              <w:top w:val="single" w:color="000000" w:sz="4" w:space="0"/>
              <w:left w:val="single" w:color="000000" w:sz="4" w:space="0"/>
              <w:bottom w:val="single" w:color="000000" w:sz="4" w:space="0"/>
              <w:right w:val="single" w:color="000000" w:sz="4" w:space="0"/>
            </w:tcBorders>
            <w:vAlign w:val="center"/>
          </w:tcPr>
          <w:p w14:paraId="531AE75F">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）监理规划和专业监理细则的制定和执行。</w:t>
            </w:r>
          </w:p>
        </w:tc>
        <w:tc>
          <w:tcPr>
            <w:tcW w:w="809" w:type="dxa"/>
            <w:tcBorders>
              <w:top w:val="single" w:color="000000" w:sz="4" w:space="0"/>
              <w:left w:val="single" w:color="000000" w:sz="4" w:space="0"/>
              <w:bottom w:val="single" w:color="000000" w:sz="4" w:space="0"/>
              <w:right w:val="single" w:color="000000" w:sz="4" w:space="0"/>
            </w:tcBorders>
            <w:vAlign w:val="center"/>
          </w:tcPr>
          <w:p w14:paraId="55931D59">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3BD210AC">
            <w:pPr>
              <w:snapToGrid w:val="0"/>
              <w:spacing w:line="560" w:lineRule="exact"/>
              <w:rPr>
                <w:rFonts w:ascii="宋体" w:hAnsi="宋体" w:eastAsia="宋体" w:cs="宋体"/>
                <w:color w:val="000000"/>
                <w:sz w:val="18"/>
                <w:szCs w:val="18"/>
                <w:highlight w:val="none"/>
              </w:rPr>
            </w:pPr>
          </w:p>
        </w:tc>
      </w:tr>
      <w:tr w14:paraId="7E02C156">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29B7A661">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1F7F7E8B">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610F840E">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4966" w:type="dxa"/>
            <w:tcBorders>
              <w:top w:val="single" w:color="000000" w:sz="4" w:space="0"/>
              <w:left w:val="single" w:color="000000" w:sz="4" w:space="0"/>
              <w:bottom w:val="single" w:color="000000" w:sz="4" w:space="0"/>
              <w:right w:val="single" w:color="000000" w:sz="4" w:space="0"/>
            </w:tcBorders>
            <w:vAlign w:val="center"/>
          </w:tcPr>
          <w:p w14:paraId="14F6C5E1">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2</w:t>
            </w:r>
            <w:r>
              <w:rPr>
                <w:rFonts w:hint="eastAsia" w:ascii="宋体" w:hAnsi="宋体" w:cs="宋体"/>
                <w:color w:val="000000"/>
                <w:sz w:val="18"/>
                <w:szCs w:val="18"/>
                <w:highlight w:val="none"/>
              </w:rPr>
              <w:t>）审批开工报告、施工组织设计和专项施工方案情况（少审批一项扣</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分，最多扣</w:t>
            </w:r>
            <w:r>
              <w:rPr>
                <w:rFonts w:hint="eastAsia" w:ascii="宋体" w:hAnsi="宋体" w:eastAsia="宋体" w:cs="宋体"/>
                <w:color w:val="000000"/>
                <w:sz w:val="18"/>
                <w:szCs w:val="18"/>
                <w:highlight w:val="none"/>
              </w:rPr>
              <w:t>5</w:t>
            </w:r>
            <w:r>
              <w:rPr>
                <w:rFonts w:hint="eastAsia" w:ascii="宋体" w:hAnsi="宋体" w:cs="宋体"/>
                <w:color w:val="000000"/>
                <w:sz w:val="18"/>
                <w:szCs w:val="18"/>
                <w:highlight w:val="none"/>
              </w:rPr>
              <w:t>分）。</w:t>
            </w:r>
          </w:p>
        </w:tc>
        <w:tc>
          <w:tcPr>
            <w:tcW w:w="809" w:type="dxa"/>
            <w:tcBorders>
              <w:top w:val="single" w:color="000000" w:sz="4" w:space="0"/>
              <w:left w:val="single" w:color="000000" w:sz="4" w:space="0"/>
              <w:bottom w:val="single" w:color="000000" w:sz="4" w:space="0"/>
              <w:right w:val="single" w:color="000000" w:sz="4" w:space="0"/>
            </w:tcBorders>
            <w:vAlign w:val="center"/>
          </w:tcPr>
          <w:p w14:paraId="66E5953B">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62FB70A9">
            <w:pPr>
              <w:snapToGrid w:val="0"/>
              <w:spacing w:line="560" w:lineRule="exact"/>
              <w:rPr>
                <w:rFonts w:ascii="宋体" w:hAnsi="宋体" w:eastAsia="宋体" w:cs="宋体"/>
                <w:color w:val="000000"/>
                <w:sz w:val="18"/>
                <w:szCs w:val="18"/>
                <w:highlight w:val="none"/>
              </w:rPr>
            </w:pPr>
          </w:p>
        </w:tc>
      </w:tr>
      <w:tr w14:paraId="12B7B2A4">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3D033B9D">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7F5ABA42">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3C90A0AF">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4</w:t>
            </w:r>
          </w:p>
        </w:tc>
        <w:tc>
          <w:tcPr>
            <w:tcW w:w="4966" w:type="dxa"/>
            <w:tcBorders>
              <w:top w:val="single" w:color="000000" w:sz="4" w:space="0"/>
              <w:left w:val="single" w:color="000000" w:sz="4" w:space="0"/>
              <w:bottom w:val="single" w:color="000000" w:sz="4" w:space="0"/>
              <w:right w:val="single" w:color="000000" w:sz="4" w:space="0"/>
            </w:tcBorders>
            <w:vAlign w:val="center"/>
          </w:tcPr>
          <w:p w14:paraId="323CF745">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3</w:t>
            </w:r>
            <w:r>
              <w:rPr>
                <w:rFonts w:hint="eastAsia" w:ascii="宋体" w:hAnsi="宋体" w:cs="宋体"/>
                <w:color w:val="000000"/>
                <w:sz w:val="18"/>
                <w:szCs w:val="18"/>
                <w:highlight w:val="none"/>
              </w:rPr>
              <w:t>）原材料、半成品、构配件以及安装设备的检查和确认，见证送检及独立抽检</w:t>
            </w:r>
            <w:r>
              <w:rPr>
                <w:rFonts w:hint="eastAsia" w:ascii="宋体" w:hAnsi="宋体" w:eastAsia="宋体" w:cs="宋体"/>
                <w:color w:val="000000"/>
                <w:sz w:val="18"/>
                <w:szCs w:val="18"/>
                <w:highlight w:val="none"/>
              </w:rPr>
              <w:t>.</w:t>
            </w:r>
          </w:p>
        </w:tc>
        <w:tc>
          <w:tcPr>
            <w:tcW w:w="809" w:type="dxa"/>
            <w:tcBorders>
              <w:top w:val="single" w:color="000000" w:sz="4" w:space="0"/>
              <w:left w:val="single" w:color="000000" w:sz="4" w:space="0"/>
              <w:bottom w:val="single" w:color="000000" w:sz="4" w:space="0"/>
              <w:right w:val="single" w:color="000000" w:sz="4" w:space="0"/>
            </w:tcBorders>
            <w:vAlign w:val="center"/>
          </w:tcPr>
          <w:p w14:paraId="354553DD">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376BCF9E">
            <w:pPr>
              <w:snapToGrid w:val="0"/>
              <w:spacing w:line="560" w:lineRule="exact"/>
              <w:rPr>
                <w:rFonts w:ascii="宋体" w:hAnsi="宋体" w:eastAsia="宋体" w:cs="宋体"/>
                <w:color w:val="000000"/>
                <w:sz w:val="18"/>
                <w:szCs w:val="18"/>
                <w:highlight w:val="none"/>
              </w:rPr>
            </w:pPr>
          </w:p>
        </w:tc>
      </w:tr>
      <w:tr w14:paraId="2BECA440">
        <w:tblPrEx>
          <w:tblCellMar>
            <w:top w:w="0" w:type="dxa"/>
            <w:left w:w="108" w:type="dxa"/>
            <w:bottom w:w="0" w:type="dxa"/>
            <w:right w:w="108" w:type="dxa"/>
          </w:tblCellMar>
        </w:tblPrEx>
        <w:trPr>
          <w:trHeight w:val="305"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7121DB00">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4CC5F6C4">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0548A4F9">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4966" w:type="dxa"/>
            <w:tcBorders>
              <w:top w:val="single" w:color="000000" w:sz="4" w:space="0"/>
              <w:left w:val="single" w:color="000000" w:sz="4" w:space="0"/>
              <w:bottom w:val="single" w:color="000000" w:sz="4" w:space="0"/>
              <w:right w:val="single" w:color="000000" w:sz="4" w:space="0"/>
            </w:tcBorders>
            <w:vAlign w:val="center"/>
          </w:tcPr>
          <w:p w14:paraId="72B5E2BB">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4</w:t>
            </w:r>
            <w:r>
              <w:rPr>
                <w:rFonts w:hint="eastAsia" w:ascii="宋体" w:hAnsi="宋体" w:cs="宋体"/>
                <w:color w:val="000000"/>
                <w:sz w:val="18"/>
                <w:szCs w:val="18"/>
                <w:highlight w:val="none"/>
              </w:rPr>
              <w:t>）复核施工测量。</w:t>
            </w:r>
          </w:p>
        </w:tc>
        <w:tc>
          <w:tcPr>
            <w:tcW w:w="809" w:type="dxa"/>
            <w:tcBorders>
              <w:top w:val="single" w:color="000000" w:sz="4" w:space="0"/>
              <w:left w:val="single" w:color="000000" w:sz="4" w:space="0"/>
              <w:bottom w:val="single" w:color="000000" w:sz="4" w:space="0"/>
              <w:right w:val="single" w:color="000000" w:sz="4" w:space="0"/>
            </w:tcBorders>
            <w:vAlign w:val="center"/>
          </w:tcPr>
          <w:p w14:paraId="25462FE4">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43224D80">
            <w:pPr>
              <w:snapToGrid w:val="0"/>
              <w:spacing w:line="560" w:lineRule="exact"/>
              <w:rPr>
                <w:rFonts w:ascii="宋体" w:hAnsi="宋体" w:eastAsia="宋体" w:cs="宋体"/>
                <w:color w:val="000000"/>
                <w:sz w:val="18"/>
                <w:szCs w:val="18"/>
                <w:highlight w:val="none"/>
              </w:rPr>
            </w:pPr>
          </w:p>
        </w:tc>
      </w:tr>
      <w:tr w14:paraId="367CA114">
        <w:tblPrEx>
          <w:tblCellMar>
            <w:top w:w="0" w:type="dxa"/>
            <w:left w:w="108" w:type="dxa"/>
            <w:bottom w:w="0" w:type="dxa"/>
            <w:right w:w="108" w:type="dxa"/>
          </w:tblCellMar>
        </w:tblPrEx>
        <w:trPr>
          <w:trHeight w:val="38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1F0E5767">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151F5F40">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6017D71A">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4</w:t>
            </w:r>
          </w:p>
        </w:tc>
        <w:tc>
          <w:tcPr>
            <w:tcW w:w="4966" w:type="dxa"/>
            <w:tcBorders>
              <w:top w:val="single" w:color="000000" w:sz="4" w:space="0"/>
              <w:left w:val="single" w:color="000000" w:sz="4" w:space="0"/>
              <w:bottom w:val="single" w:color="000000" w:sz="4" w:space="0"/>
              <w:right w:val="single" w:color="000000" w:sz="4" w:space="0"/>
            </w:tcBorders>
            <w:vAlign w:val="center"/>
          </w:tcPr>
          <w:p w14:paraId="372749E0">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5</w:t>
            </w:r>
            <w:r>
              <w:rPr>
                <w:rFonts w:hint="eastAsia" w:ascii="宋体" w:hAnsi="宋体" w:cs="宋体"/>
                <w:color w:val="000000"/>
                <w:sz w:val="18"/>
                <w:szCs w:val="18"/>
                <w:highlight w:val="none"/>
              </w:rPr>
              <w:t>）对施工方法、施工工艺的控制。</w:t>
            </w:r>
          </w:p>
        </w:tc>
        <w:tc>
          <w:tcPr>
            <w:tcW w:w="809" w:type="dxa"/>
            <w:tcBorders>
              <w:top w:val="single" w:color="000000" w:sz="4" w:space="0"/>
              <w:left w:val="single" w:color="000000" w:sz="4" w:space="0"/>
              <w:bottom w:val="single" w:color="000000" w:sz="4" w:space="0"/>
              <w:right w:val="single" w:color="000000" w:sz="4" w:space="0"/>
            </w:tcBorders>
            <w:vAlign w:val="center"/>
          </w:tcPr>
          <w:p w14:paraId="7FEC2071">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7A53949D">
            <w:pPr>
              <w:snapToGrid w:val="0"/>
              <w:spacing w:line="560" w:lineRule="exact"/>
              <w:rPr>
                <w:rFonts w:ascii="宋体" w:hAnsi="宋体" w:eastAsia="宋体" w:cs="宋体"/>
                <w:color w:val="000000"/>
                <w:sz w:val="18"/>
                <w:szCs w:val="18"/>
                <w:highlight w:val="none"/>
              </w:rPr>
            </w:pPr>
          </w:p>
        </w:tc>
      </w:tr>
      <w:tr w14:paraId="6F906074">
        <w:tblPrEx>
          <w:tblCellMar>
            <w:top w:w="0" w:type="dxa"/>
            <w:left w:w="108" w:type="dxa"/>
            <w:bottom w:w="0" w:type="dxa"/>
            <w:right w:w="108" w:type="dxa"/>
          </w:tblCellMar>
        </w:tblPrEx>
        <w:trPr>
          <w:trHeight w:val="4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235FBE71">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122CF057">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4CC0EF20">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4</w:t>
            </w:r>
          </w:p>
        </w:tc>
        <w:tc>
          <w:tcPr>
            <w:tcW w:w="4966" w:type="dxa"/>
            <w:tcBorders>
              <w:top w:val="single" w:color="000000" w:sz="4" w:space="0"/>
              <w:left w:val="single" w:color="000000" w:sz="4" w:space="0"/>
              <w:bottom w:val="single" w:color="000000" w:sz="4" w:space="0"/>
              <w:right w:val="single" w:color="000000" w:sz="4" w:space="0"/>
            </w:tcBorders>
            <w:vAlign w:val="center"/>
          </w:tcPr>
          <w:p w14:paraId="736D8BD2">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6</w:t>
            </w:r>
            <w:r>
              <w:rPr>
                <w:rFonts w:hint="eastAsia" w:ascii="宋体" w:hAnsi="宋体" w:cs="宋体"/>
                <w:color w:val="000000"/>
                <w:sz w:val="18"/>
                <w:szCs w:val="18"/>
                <w:highlight w:val="none"/>
              </w:rPr>
              <w:t>）对关键工序、特殊工序的控制。</w:t>
            </w:r>
          </w:p>
        </w:tc>
        <w:tc>
          <w:tcPr>
            <w:tcW w:w="809" w:type="dxa"/>
            <w:tcBorders>
              <w:top w:val="single" w:color="000000" w:sz="4" w:space="0"/>
              <w:left w:val="single" w:color="000000" w:sz="4" w:space="0"/>
              <w:bottom w:val="single" w:color="000000" w:sz="4" w:space="0"/>
              <w:right w:val="single" w:color="000000" w:sz="4" w:space="0"/>
            </w:tcBorders>
            <w:vAlign w:val="center"/>
          </w:tcPr>
          <w:p w14:paraId="0116117E">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70730C2A">
            <w:pPr>
              <w:snapToGrid w:val="0"/>
              <w:spacing w:line="560" w:lineRule="exact"/>
              <w:rPr>
                <w:rFonts w:ascii="宋体" w:hAnsi="宋体" w:eastAsia="宋体" w:cs="宋体"/>
                <w:color w:val="000000"/>
                <w:sz w:val="18"/>
                <w:szCs w:val="18"/>
                <w:highlight w:val="none"/>
              </w:rPr>
            </w:pPr>
          </w:p>
        </w:tc>
      </w:tr>
      <w:tr w14:paraId="62FC54A5">
        <w:tblPrEx>
          <w:tblCellMar>
            <w:top w:w="0" w:type="dxa"/>
            <w:left w:w="108" w:type="dxa"/>
            <w:bottom w:w="0" w:type="dxa"/>
            <w:right w:w="108" w:type="dxa"/>
          </w:tblCellMar>
        </w:tblPrEx>
        <w:trPr>
          <w:trHeight w:val="38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161F2347">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0275464A">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1CC44742">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5</w:t>
            </w:r>
          </w:p>
        </w:tc>
        <w:tc>
          <w:tcPr>
            <w:tcW w:w="4966" w:type="dxa"/>
            <w:tcBorders>
              <w:top w:val="single" w:color="000000" w:sz="4" w:space="0"/>
              <w:left w:val="single" w:color="000000" w:sz="4" w:space="0"/>
              <w:bottom w:val="single" w:color="000000" w:sz="4" w:space="0"/>
              <w:right w:val="single" w:color="000000" w:sz="4" w:space="0"/>
            </w:tcBorders>
            <w:vAlign w:val="center"/>
          </w:tcPr>
          <w:p w14:paraId="6532B7A7">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7</w:t>
            </w:r>
            <w:r>
              <w:rPr>
                <w:rFonts w:hint="eastAsia" w:ascii="宋体" w:hAnsi="宋体" w:cs="宋体"/>
                <w:color w:val="000000"/>
                <w:sz w:val="18"/>
                <w:szCs w:val="18"/>
                <w:highlight w:val="none"/>
              </w:rPr>
              <w:t>）隐蔽工程检查签证的及时性、完整性。</w:t>
            </w:r>
          </w:p>
        </w:tc>
        <w:tc>
          <w:tcPr>
            <w:tcW w:w="809" w:type="dxa"/>
            <w:tcBorders>
              <w:top w:val="single" w:color="000000" w:sz="4" w:space="0"/>
              <w:left w:val="single" w:color="000000" w:sz="4" w:space="0"/>
              <w:bottom w:val="single" w:color="000000" w:sz="4" w:space="0"/>
              <w:right w:val="single" w:color="000000" w:sz="4" w:space="0"/>
            </w:tcBorders>
            <w:vAlign w:val="center"/>
          </w:tcPr>
          <w:p w14:paraId="250104F1">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0770B933">
            <w:pPr>
              <w:snapToGrid w:val="0"/>
              <w:spacing w:line="560" w:lineRule="exact"/>
              <w:rPr>
                <w:rFonts w:ascii="宋体" w:hAnsi="宋体" w:eastAsia="宋体" w:cs="宋体"/>
                <w:color w:val="000000"/>
                <w:sz w:val="18"/>
                <w:szCs w:val="18"/>
                <w:highlight w:val="none"/>
              </w:rPr>
            </w:pPr>
          </w:p>
        </w:tc>
      </w:tr>
      <w:tr w14:paraId="511E15FB">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3D4A3132">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6EC34FEE">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160615F9">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4</w:t>
            </w:r>
          </w:p>
        </w:tc>
        <w:tc>
          <w:tcPr>
            <w:tcW w:w="4966" w:type="dxa"/>
            <w:tcBorders>
              <w:top w:val="single" w:color="000000" w:sz="4" w:space="0"/>
              <w:left w:val="single" w:color="000000" w:sz="4" w:space="0"/>
              <w:bottom w:val="single" w:color="000000" w:sz="4" w:space="0"/>
              <w:right w:val="single" w:color="000000" w:sz="4" w:space="0"/>
            </w:tcBorders>
            <w:vAlign w:val="center"/>
          </w:tcPr>
          <w:p w14:paraId="46B5FC79">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8</w:t>
            </w:r>
            <w:r>
              <w:rPr>
                <w:rFonts w:hint="eastAsia" w:ascii="宋体" w:hAnsi="宋体" w:cs="宋体"/>
                <w:color w:val="000000"/>
                <w:sz w:val="18"/>
                <w:szCs w:val="18"/>
                <w:highlight w:val="none"/>
              </w:rPr>
              <w:t>）审查混凝土设计配合比、实施配合比、现场浇灌的施工控制。</w:t>
            </w:r>
          </w:p>
        </w:tc>
        <w:tc>
          <w:tcPr>
            <w:tcW w:w="809" w:type="dxa"/>
            <w:tcBorders>
              <w:top w:val="single" w:color="000000" w:sz="4" w:space="0"/>
              <w:left w:val="single" w:color="000000" w:sz="4" w:space="0"/>
              <w:bottom w:val="single" w:color="000000" w:sz="4" w:space="0"/>
              <w:right w:val="single" w:color="000000" w:sz="4" w:space="0"/>
            </w:tcBorders>
            <w:vAlign w:val="center"/>
          </w:tcPr>
          <w:p w14:paraId="5F30DCD9">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5D5936E8">
            <w:pPr>
              <w:snapToGrid w:val="0"/>
              <w:spacing w:line="560" w:lineRule="exact"/>
              <w:rPr>
                <w:rFonts w:ascii="宋体" w:hAnsi="宋体" w:eastAsia="宋体" w:cs="宋体"/>
                <w:color w:val="000000"/>
                <w:sz w:val="18"/>
                <w:szCs w:val="18"/>
                <w:highlight w:val="none"/>
              </w:rPr>
            </w:pPr>
          </w:p>
        </w:tc>
      </w:tr>
      <w:tr w14:paraId="55FAD75A">
        <w:tblPrEx>
          <w:tblCellMar>
            <w:top w:w="0" w:type="dxa"/>
            <w:left w:w="108" w:type="dxa"/>
            <w:bottom w:w="0" w:type="dxa"/>
            <w:right w:w="108" w:type="dxa"/>
          </w:tblCellMar>
        </w:tblPrEx>
        <w:trPr>
          <w:trHeight w:val="4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606E71F0">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6A50F2CA">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52C9229E">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4</w:t>
            </w:r>
          </w:p>
        </w:tc>
        <w:tc>
          <w:tcPr>
            <w:tcW w:w="4966" w:type="dxa"/>
            <w:tcBorders>
              <w:top w:val="single" w:color="000000" w:sz="4" w:space="0"/>
              <w:left w:val="single" w:color="000000" w:sz="4" w:space="0"/>
              <w:bottom w:val="single" w:color="000000" w:sz="4" w:space="0"/>
              <w:right w:val="single" w:color="000000" w:sz="4" w:space="0"/>
            </w:tcBorders>
            <w:vAlign w:val="center"/>
          </w:tcPr>
          <w:p w14:paraId="336953F6">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9</w:t>
            </w:r>
            <w:r>
              <w:rPr>
                <w:rFonts w:hint="eastAsia" w:ascii="宋体" w:hAnsi="宋体" w:cs="宋体"/>
                <w:color w:val="000000"/>
                <w:sz w:val="18"/>
                <w:szCs w:val="18"/>
                <w:highlight w:val="none"/>
              </w:rPr>
              <w:t>）验收分项、分部、单位工程质量。</w:t>
            </w:r>
          </w:p>
        </w:tc>
        <w:tc>
          <w:tcPr>
            <w:tcW w:w="809" w:type="dxa"/>
            <w:tcBorders>
              <w:top w:val="single" w:color="000000" w:sz="4" w:space="0"/>
              <w:left w:val="single" w:color="000000" w:sz="4" w:space="0"/>
              <w:bottom w:val="single" w:color="000000" w:sz="4" w:space="0"/>
              <w:right w:val="single" w:color="000000" w:sz="4" w:space="0"/>
            </w:tcBorders>
            <w:vAlign w:val="center"/>
          </w:tcPr>
          <w:p w14:paraId="35400287">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47F61AA5">
            <w:pPr>
              <w:snapToGrid w:val="0"/>
              <w:spacing w:line="560" w:lineRule="exact"/>
              <w:rPr>
                <w:rFonts w:ascii="宋体" w:hAnsi="宋体" w:eastAsia="宋体" w:cs="宋体"/>
                <w:color w:val="000000"/>
                <w:sz w:val="18"/>
                <w:szCs w:val="18"/>
                <w:highlight w:val="none"/>
              </w:rPr>
            </w:pPr>
          </w:p>
        </w:tc>
      </w:tr>
      <w:tr w14:paraId="548689DA">
        <w:tblPrEx>
          <w:tblCellMar>
            <w:top w:w="0" w:type="dxa"/>
            <w:left w:w="108" w:type="dxa"/>
            <w:bottom w:w="0" w:type="dxa"/>
            <w:right w:w="108" w:type="dxa"/>
          </w:tblCellMar>
        </w:tblPrEx>
        <w:trPr>
          <w:trHeight w:val="38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525E19A7">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7884FCD3">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0B3326B7">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4966" w:type="dxa"/>
            <w:tcBorders>
              <w:top w:val="single" w:color="000000" w:sz="4" w:space="0"/>
              <w:left w:val="single" w:color="000000" w:sz="4" w:space="0"/>
              <w:bottom w:val="single" w:color="000000" w:sz="4" w:space="0"/>
              <w:right w:val="single" w:color="000000" w:sz="4" w:space="0"/>
            </w:tcBorders>
            <w:vAlign w:val="center"/>
          </w:tcPr>
          <w:p w14:paraId="61B5DE85">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10</w:t>
            </w:r>
            <w:r>
              <w:rPr>
                <w:rFonts w:hint="eastAsia" w:ascii="宋体" w:hAnsi="宋体" w:cs="宋体"/>
                <w:color w:val="000000"/>
                <w:sz w:val="18"/>
                <w:szCs w:val="18"/>
                <w:highlight w:val="none"/>
              </w:rPr>
              <w:t>）对承包商发出的整改通知单等文件的闭合情况。</w:t>
            </w:r>
          </w:p>
        </w:tc>
        <w:tc>
          <w:tcPr>
            <w:tcW w:w="809" w:type="dxa"/>
            <w:tcBorders>
              <w:top w:val="single" w:color="000000" w:sz="4" w:space="0"/>
              <w:left w:val="single" w:color="000000" w:sz="4" w:space="0"/>
              <w:bottom w:val="single" w:color="000000" w:sz="4" w:space="0"/>
              <w:right w:val="single" w:color="000000" w:sz="4" w:space="0"/>
            </w:tcBorders>
            <w:vAlign w:val="center"/>
          </w:tcPr>
          <w:p w14:paraId="6E7D2290">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6DD7C647">
            <w:pPr>
              <w:snapToGrid w:val="0"/>
              <w:spacing w:line="560" w:lineRule="exact"/>
              <w:rPr>
                <w:rFonts w:ascii="宋体" w:hAnsi="宋体" w:eastAsia="宋体" w:cs="宋体"/>
                <w:color w:val="000000"/>
                <w:sz w:val="18"/>
                <w:szCs w:val="18"/>
                <w:highlight w:val="none"/>
              </w:rPr>
            </w:pPr>
          </w:p>
        </w:tc>
      </w:tr>
      <w:tr w14:paraId="3BBBBD4E">
        <w:tblPrEx>
          <w:tblCellMar>
            <w:top w:w="0" w:type="dxa"/>
            <w:left w:w="108" w:type="dxa"/>
            <w:bottom w:w="0" w:type="dxa"/>
            <w:right w:w="108" w:type="dxa"/>
          </w:tblCellMar>
        </w:tblPrEx>
        <w:trPr>
          <w:trHeight w:val="47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084B44BF">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01712F81">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43A9A7EB">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4966" w:type="dxa"/>
            <w:tcBorders>
              <w:top w:val="single" w:color="000000" w:sz="4" w:space="0"/>
              <w:left w:val="single" w:color="000000" w:sz="4" w:space="0"/>
              <w:bottom w:val="single" w:color="000000" w:sz="4" w:space="0"/>
              <w:right w:val="single" w:color="000000" w:sz="4" w:space="0"/>
            </w:tcBorders>
            <w:vAlign w:val="center"/>
          </w:tcPr>
          <w:p w14:paraId="0C3CD1A3">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11</w:t>
            </w:r>
            <w:r>
              <w:rPr>
                <w:rFonts w:hint="eastAsia" w:ascii="宋体" w:hAnsi="宋体" w:cs="宋体"/>
                <w:color w:val="000000"/>
                <w:sz w:val="18"/>
                <w:szCs w:val="18"/>
                <w:highlight w:val="none"/>
              </w:rPr>
              <w:t>）监理日志的记录情况的及时性、完整性。</w:t>
            </w:r>
          </w:p>
        </w:tc>
        <w:tc>
          <w:tcPr>
            <w:tcW w:w="809" w:type="dxa"/>
            <w:tcBorders>
              <w:top w:val="single" w:color="000000" w:sz="4" w:space="0"/>
              <w:left w:val="single" w:color="000000" w:sz="4" w:space="0"/>
              <w:bottom w:val="single" w:color="000000" w:sz="4" w:space="0"/>
              <w:right w:val="single" w:color="000000" w:sz="4" w:space="0"/>
            </w:tcBorders>
            <w:vAlign w:val="center"/>
          </w:tcPr>
          <w:p w14:paraId="6EF10176">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7F864068">
            <w:pPr>
              <w:snapToGrid w:val="0"/>
              <w:spacing w:line="560" w:lineRule="exact"/>
              <w:rPr>
                <w:rFonts w:ascii="宋体" w:hAnsi="宋体" w:eastAsia="宋体" w:cs="宋体"/>
                <w:color w:val="000000"/>
                <w:sz w:val="18"/>
                <w:szCs w:val="18"/>
                <w:highlight w:val="none"/>
              </w:rPr>
            </w:pPr>
          </w:p>
        </w:tc>
      </w:tr>
      <w:tr w14:paraId="1D914068">
        <w:tblPrEx>
          <w:tblCellMar>
            <w:top w:w="0" w:type="dxa"/>
            <w:left w:w="108" w:type="dxa"/>
            <w:bottom w:w="0" w:type="dxa"/>
            <w:right w:w="108" w:type="dxa"/>
          </w:tblCellMar>
        </w:tblPrEx>
        <w:trPr>
          <w:trHeight w:val="510" w:hRule="atLeast"/>
        </w:trPr>
        <w:tc>
          <w:tcPr>
            <w:tcW w:w="407" w:type="dxa"/>
            <w:vMerge w:val="restart"/>
            <w:tcBorders>
              <w:top w:val="single" w:color="000000" w:sz="4" w:space="0"/>
              <w:left w:val="single" w:color="000000" w:sz="4" w:space="0"/>
              <w:bottom w:val="single" w:color="000000" w:sz="4" w:space="0"/>
              <w:right w:val="single" w:color="000000" w:sz="4" w:space="0"/>
            </w:tcBorders>
            <w:vAlign w:val="center"/>
          </w:tcPr>
          <w:p w14:paraId="5F110BFA">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3</w:t>
            </w:r>
          </w:p>
        </w:tc>
        <w:tc>
          <w:tcPr>
            <w:tcW w:w="1576" w:type="dxa"/>
            <w:vMerge w:val="restart"/>
            <w:tcBorders>
              <w:top w:val="single" w:color="000000" w:sz="4" w:space="0"/>
              <w:left w:val="single" w:color="000000" w:sz="4" w:space="0"/>
              <w:bottom w:val="single" w:color="000000" w:sz="4" w:space="0"/>
              <w:right w:val="single" w:color="000000" w:sz="4" w:space="0"/>
            </w:tcBorders>
            <w:vAlign w:val="center"/>
          </w:tcPr>
          <w:p w14:paraId="4478856C">
            <w:pPr>
              <w:spacing w:line="560" w:lineRule="exact"/>
              <w:jc w:val="center"/>
              <w:rPr>
                <w:rFonts w:ascii="宋体" w:hAnsi="宋体" w:eastAsia="宋体" w:cs="宋体"/>
                <w:color w:val="000000"/>
                <w:sz w:val="18"/>
                <w:szCs w:val="18"/>
                <w:highlight w:val="none"/>
              </w:rPr>
            </w:pPr>
            <w:r>
              <w:rPr>
                <w:rFonts w:hint="eastAsia" w:ascii="宋体" w:hAnsi="宋体" w:cs="宋体"/>
                <w:color w:val="000000"/>
                <w:sz w:val="18"/>
                <w:szCs w:val="18"/>
                <w:highlight w:val="none"/>
              </w:rPr>
              <w:t>安全文明施工管理（</w:t>
            </w:r>
            <w:r>
              <w:rPr>
                <w:rFonts w:hint="eastAsia" w:ascii="宋体" w:hAnsi="宋体" w:eastAsia="宋体" w:cs="宋体"/>
                <w:color w:val="000000"/>
                <w:sz w:val="18"/>
                <w:szCs w:val="18"/>
                <w:highlight w:val="none"/>
              </w:rPr>
              <w:t>20</w:t>
            </w:r>
            <w:r>
              <w:rPr>
                <w:rFonts w:hint="eastAsia" w:ascii="宋体" w:hAnsi="宋体" w:cs="宋体"/>
                <w:color w:val="000000"/>
                <w:sz w:val="18"/>
                <w:szCs w:val="18"/>
                <w:highlight w:val="none"/>
              </w:rPr>
              <w:t>分）</w:t>
            </w:r>
          </w:p>
        </w:tc>
        <w:tc>
          <w:tcPr>
            <w:tcW w:w="810" w:type="dxa"/>
            <w:tcBorders>
              <w:top w:val="single" w:color="000000" w:sz="4" w:space="0"/>
              <w:left w:val="single" w:color="000000" w:sz="4" w:space="0"/>
              <w:bottom w:val="single" w:color="000000" w:sz="4" w:space="0"/>
              <w:right w:val="single" w:color="000000" w:sz="4" w:space="0"/>
            </w:tcBorders>
            <w:vAlign w:val="center"/>
          </w:tcPr>
          <w:p w14:paraId="78DE945A">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4966" w:type="dxa"/>
            <w:tcBorders>
              <w:top w:val="single" w:color="000000" w:sz="4" w:space="0"/>
              <w:left w:val="single" w:color="000000" w:sz="4" w:space="0"/>
              <w:bottom w:val="single" w:color="000000" w:sz="4" w:space="0"/>
              <w:right w:val="single" w:color="000000" w:sz="4" w:space="0"/>
            </w:tcBorders>
            <w:vAlign w:val="center"/>
          </w:tcPr>
          <w:p w14:paraId="04E740F0">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）监理部设置专职安全工程师岗位，由符合资质要求的人员担任，人员数量满足安全管理需要。</w:t>
            </w:r>
          </w:p>
        </w:tc>
        <w:tc>
          <w:tcPr>
            <w:tcW w:w="809" w:type="dxa"/>
            <w:tcBorders>
              <w:top w:val="single" w:color="000000" w:sz="4" w:space="0"/>
              <w:left w:val="single" w:color="000000" w:sz="4" w:space="0"/>
              <w:bottom w:val="single" w:color="000000" w:sz="4" w:space="0"/>
              <w:right w:val="single" w:color="000000" w:sz="4" w:space="0"/>
            </w:tcBorders>
            <w:vAlign w:val="center"/>
          </w:tcPr>
          <w:p w14:paraId="0ADFC309">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47467A63">
            <w:pPr>
              <w:snapToGrid w:val="0"/>
              <w:spacing w:line="560" w:lineRule="exact"/>
              <w:rPr>
                <w:rFonts w:ascii="宋体" w:hAnsi="宋体" w:eastAsia="宋体" w:cs="宋体"/>
                <w:color w:val="000000"/>
                <w:sz w:val="18"/>
                <w:szCs w:val="18"/>
                <w:highlight w:val="none"/>
              </w:rPr>
            </w:pPr>
          </w:p>
        </w:tc>
      </w:tr>
      <w:tr w14:paraId="69B0DD8E">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2BB0EEEE">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2AFA61FF">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77381F40">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3</w:t>
            </w:r>
          </w:p>
        </w:tc>
        <w:tc>
          <w:tcPr>
            <w:tcW w:w="4966" w:type="dxa"/>
            <w:tcBorders>
              <w:top w:val="single" w:color="000000" w:sz="4" w:space="0"/>
              <w:left w:val="single" w:color="000000" w:sz="4" w:space="0"/>
              <w:bottom w:val="single" w:color="000000" w:sz="4" w:space="0"/>
              <w:right w:val="single" w:color="000000" w:sz="4" w:space="0"/>
            </w:tcBorders>
            <w:vAlign w:val="center"/>
          </w:tcPr>
          <w:p w14:paraId="5746F257">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2</w:t>
            </w:r>
            <w:r>
              <w:rPr>
                <w:rFonts w:hint="eastAsia" w:ascii="宋体" w:hAnsi="宋体" w:cs="宋体"/>
                <w:color w:val="000000"/>
                <w:sz w:val="18"/>
                <w:szCs w:val="18"/>
                <w:highlight w:val="none"/>
              </w:rPr>
              <w:t>）审查承包商的安全保证体系和承包商安全管理人员的资质和人员数量，组织制定各标段工程的安全应急预案。</w:t>
            </w:r>
          </w:p>
        </w:tc>
        <w:tc>
          <w:tcPr>
            <w:tcW w:w="809" w:type="dxa"/>
            <w:tcBorders>
              <w:top w:val="single" w:color="000000" w:sz="4" w:space="0"/>
              <w:left w:val="single" w:color="000000" w:sz="4" w:space="0"/>
              <w:bottom w:val="single" w:color="000000" w:sz="4" w:space="0"/>
              <w:right w:val="single" w:color="000000" w:sz="4" w:space="0"/>
            </w:tcBorders>
            <w:vAlign w:val="center"/>
          </w:tcPr>
          <w:p w14:paraId="31164BC7">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1AAE8EEE">
            <w:pPr>
              <w:snapToGrid w:val="0"/>
              <w:spacing w:line="560" w:lineRule="exact"/>
              <w:rPr>
                <w:rFonts w:ascii="宋体" w:hAnsi="宋体" w:eastAsia="宋体" w:cs="宋体"/>
                <w:color w:val="000000"/>
                <w:sz w:val="18"/>
                <w:szCs w:val="18"/>
                <w:highlight w:val="none"/>
              </w:rPr>
            </w:pPr>
          </w:p>
        </w:tc>
      </w:tr>
      <w:tr w14:paraId="2AE4A6C3">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67ED1789">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7FB78DFB">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6B00905B">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3</w:t>
            </w:r>
          </w:p>
        </w:tc>
        <w:tc>
          <w:tcPr>
            <w:tcW w:w="4966" w:type="dxa"/>
            <w:tcBorders>
              <w:top w:val="single" w:color="000000" w:sz="4" w:space="0"/>
              <w:left w:val="single" w:color="000000" w:sz="4" w:space="0"/>
              <w:bottom w:val="single" w:color="000000" w:sz="4" w:space="0"/>
              <w:right w:val="single" w:color="000000" w:sz="4" w:space="0"/>
            </w:tcBorders>
            <w:vAlign w:val="center"/>
          </w:tcPr>
          <w:p w14:paraId="377AE986">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3</w:t>
            </w:r>
            <w:r>
              <w:rPr>
                <w:rFonts w:hint="eastAsia" w:ascii="宋体" w:hAnsi="宋体" w:cs="宋体"/>
                <w:color w:val="000000"/>
                <w:sz w:val="18"/>
                <w:szCs w:val="18"/>
                <w:highlight w:val="none"/>
              </w:rPr>
              <w:t>）对施工监测、第三方监测体系进行日常管理和检查，按月小结，编入管理月报。</w:t>
            </w:r>
          </w:p>
        </w:tc>
        <w:tc>
          <w:tcPr>
            <w:tcW w:w="809" w:type="dxa"/>
            <w:tcBorders>
              <w:top w:val="single" w:color="000000" w:sz="4" w:space="0"/>
              <w:left w:val="single" w:color="000000" w:sz="4" w:space="0"/>
              <w:bottom w:val="single" w:color="000000" w:sz="4" w:space="0"/>
              <w:right w:val="single" w:color="000000" w:sz="4" w:space="0"/>
            </w:tcBorders>
            <w:vAlign w:val="center"/>
          </w:tcPr>
          <w:p w14:paraId="14E22BC4">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57990A23">
            <w:pPr>
              <w:snapToGrid w:val="0"/>
              <w:spacing w:line="560" w:lineRule="exact"/>
              <w:rPr>
                <w:rFonts w:ascii="宋体" w:hAnsi="宋体" w:eastAsia="宋体" w:cs="宋体"/>
                <w:color w:val="000000"/>
                <w:sz w:val="18"/>
                <w:szCs w:val="18"/>
                <w:highlight w:val="none"/>
              </w:rPr>
            </w:pPr>
          </w:p>
        </w:tc>
      </w:tr>
      <w:tr w14:paraId="56773949">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49F89CC9">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169FB35A">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41C49ABF">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4</w:t>
            </w:r>
          </w:p>
        </w:tc>
        <w:tc>
          <w:tcPr>
            <w:tcW w:w="4966" w:type="dxa"/>
            <w:tcBorders>
              <w:top w:val="single" w:color="000000" w:sz="4" w:space="0"/>
              <w:left w:val="single" w:color="000000" w:sz="4" w:space="0"/>
              <w:bottom w:val="single" w:color="000000" w:sz="4" w:space="0"/>
              <w:right w:val="single" w:color="000000" w:sz="4" w:space="0"/>
            </w:tcBorders>
            <w:vAlign w:val="center"/>
          </w:tcPr>
          <w:p w14:paraId="78006EAA">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4</w:t>
            </w:r>
            <w:r>
              <w:rPr>
                <w:rFonts w:hint="eastAsia" w:ascii="宋体" w:hAnsi="宋体" w:cs="宋体"/>
                <w:color w:val="000000"/>
                <w:sz w:val="18"/>
                <w:szCs w:val="18"/>
                <w:highlight w:val="none"/>
              </w:rPr>
              <w:t>）对承包商特种作业人员资质检查记录，以及对承包商的三级安全教育的检查记录等。</w:t>
            </w:r>
          </w:p>
        </w:tc>
        <w:tc>
          <w:tcPr>
            <w:tcW w:w="809" w:type="dxa"/>
            <w:tcBorders>
              <w:top w:val="single" w:color="000000" w:sz="4" w:space="0"/>
              <w:left w:val="single" w:color="000000" w:sz="4" w:space="0"/>
              <w:bottom w:val="single" w:color="000000" w:sz="4" w:space="0"/>
              <w:right w:val="single" w:color="000000" w:sz="4" w:space="0"/>
            </w:tcBorders>
            <w:vAlign w:val="center"/>
          </w:tcPr>
          <w:p w14:paraId="403F2228">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5EC03537">
            <w:pPr>
              <w:snapToGrid w:val="0"/>
              <w:spacing w:line="560" w:lineRule="exact"/>
              <w:rPr>
                <w:rFonts w:ascii="宋体" w:hAnsi="宋体" w:eastAsia="宋体" w:cs="宋体"/>
                <w:color w:val="000000"/>
                <w:sz w:val="18"/>
                <w:szCs w:val="18"/>
                <w:highlight w:val="none"/>
              </w:rPr>
            </w:pPr>
          </w:p>
        </w:tc>
      </w:tr>
      <w:tr w14:paraId="5F142A50">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2D84581A">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676B1ACE">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584FDF33">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4</w:t>
            </w:r>
          </w:p>
        </w:tc>
        <w:tc>
          <w:tcPr>
            <w:tcW w:w="4966" w:type="dxa"/>
            <w:tcBorders>
              <w:top w:val="single" w:color="000000" w:sz="4" w:space="0"/>
              <w:left w:val="single" w:color="000000" w:sz="4" w:space="0"/>
              <w:bottom w:val="single" w:color="000000" w:sz="4" w:space="0"/>
              <w:right w:val="single" w:color="000000" w:sz="4" w:space="0"/>
            </w:tcBorders>
            <w:vAlign w:val="center"/>
          </w:tcPr>
          <w:p w14:paraId="45200BD7">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5</w:t>
            </w:r>
            <w:r>
              <w:rPr>
                <w:rFonts w:hint="eastAsia" w:ascii="宋体" w:hAnsi="宋体" w:cs="宋体"/>
                <w:color w:val="000000"/>
                <w:sz w:val="18"/>
                <w:szCs w:val="18"/>
                <w:highlight w:val="none"/>
              </w:rPr>
              <w:t>）对监理单位、承包商的安全体系运转情况进行日常检查，针对检查出的问题及时发出书面整改意见。</w:t>
            </w:r>
          </w:p>
        </w:tc>
        <w:tc>
          <w:tcPr>
            <w:tcW w:w="809" w:type="dxa"/>
            <w:tcBorders>
              <w:top w:val="single" w:color="000000" w:sz="4" w:space="0"/>
              <w:left w:val="single" w:color="000000" w:sz="4" w:space="0"/>
              <w:bottom w:val="single" w:color="000000" w:sz="4" w:space="0"/>
              <w:right w:val="single" w:color="000000" w:sz="4" w:space="0"/>
            </w:tcBorders>
            <w:vAlign w:val="center"/>
          </w:tcPr>
          <w:p w14:paraId="738799B8">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21ACB129">
            <w:pPr>
              <w:snapToGrid w:val="0"/>
              <w:spacing w:line="560" w:lineRule="exact"/>
              <w:rPr>
                <w:rFonts w:ascii="宋体" w:hAnsi="宋体" w:eastAsia="宋体" w:cs="宋体"/>
                <w:color w:val="000000"/>
                <w:sz w:val="18"/>
                <w:szCs w:val="18"/>
                <w:highlight w:val="none"/>
              </w:rPr>
            </w:pPr>
          </w:p>
        </w:tc>
      </w:tr>
      <w:tr w14:paraId="42EB384E">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58DB6902">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777AF5B4">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262D3CE6">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4</w:t>
            </w:r>
          </w:p>
        </w:tc>
        <w:tc>
          <w:tcPr>
            <w:tcW w:w="4966" w:type="dxa"/>
            <w:tcBorders>
              <w:top w:val="single" w:color="000000" w:sz="4" w:space="0"/>
              <w:left w:val="single" w:color="000000" w:sz="4" w:space="0"/>
              <w:bottom w:val="single" w:color="000000" w:sz="4" w:space="0"/>
              <w:right w:val="single" w:color="000000" w:sz="4" w:space="0"/>
            </w:tcBorders>
            <w:vAlign w:val="center"/>
          </w:tcPr>
          <w:p w14:paraId="6D59C0FC">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6</w:t>
            </w:r>
            <w:r>
              <w:rPr>
                <w:rFonts w:hint="eastAsia" w:ascii="宋体" w:hAnsi="宋体" w:cs="宋体"/>
                <w:color w:val="000000"/>
                <w:sz w:val="18"/>
                <w:szCs w:val="18"/>
                <w:highlight w:val="none"/>
              </w:rPr>
              <w:t>）每月定期组织安全、文明施工检查，杜绝重大安全事故，及时处理安全隐患，正确分析工程重大危险源并审批重大危险源防范实施性专项方案，并及时向业主提交检查报告。</w:t>
            </w:r>
          </w:p>
        </w:tc>
        <w:tc>
          <w:tcPr>
            <w:tcW w:w="809" w:type="dxa"/>
            <w:tcBorders>
              <w:top w:val="single" w:color="000000" w:sz="4" w:space="0"/>
              <w:left w:val="single" w:color="000000" w:sz="4" w:space="0"/>
              <w:bottom w:val="single" w:color="000000" w:sz="4" w:space="0"/>
              <w:right w:val="single" w:color="000000" w:sz="4" w:space="0"/>
            </w:tcBorders>
            <w:vAlign w:val="center"/>
          </w:tcPr>
          <w:p w14:paraId="7755C708">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70820E14">
            <w:pPr>
              <w:snapToGrid w:val="0"/>
              <w:spacing w:line="560" w:lineRule="exact"/>
              <w:rPr>
                <w:rFonts w:ascii="宋体" w:hAnsi="宋体" w:eastAsia="宋体" w:cs="宋体"/>
                <w:color w:val="000000"/>
                <w:sz w:val="18"/>
                <w:szCs w:val="18"/>
                <w:highlight w:val="none"/>
              </w:rPr>
            </w:pPr>
          </w:p>
        </w:tc>
      </w:tr>
      <w:tr w14:paraId="2A873583">
        <w:tblPrEx>
          <w:tblCellMar>
            <w:top w:w="0" w:type="dxa"/>
            <w:left w:w="108" w:type="dxa"/>
            <w:bottom w:w="0" w:type="dxa"/>
            <w:right w:w="108" w:type="dxa"/>
          </w:tblCellMar>
        </w:tblPrEx>
        <w:trPr>
          <w:trHeight w:val="510" w:hRule="atLeast"/>
        </w:trPr>
        <w:tc>
          <w:tcPr>
            <w:tcW w:w="407" w:type="dxa"/>
            <w:vMerge w:val="restart"/>
            <w:tcBorders>
              <w:top w:val="single" w:color="000000" w:sz="4" w:space="0"/>
              <w:left w:val="single" w:color="000000" w:sz="4" w:space="0"/>
              <w:bottom w:val="single" w:color="000000" w:sz="4" w:space="0"/>
              <w:right w:val="single" w:color="000000" w:sz="4" w:space="0"/>
            </w:tcBorders>
            <w:vAlign w:val="center"/>
          </w:tcPr>
          <w:p w14:paraId="1712D016">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4</w:t>
            </w:r>
          </w:p>
        </w:tc>
        <w:tc>
          <w:tcPr>
            <w:tcW w:w="1576" w:type="dxa"/>
            <w:vMerge w:val="restart"/>
            <w:tcBorders>
              <w:top w:val="single" w:color="000000" w:sz="4" w:space="0"/>
              <w:left w:val="single" w:color="000000" w:sz="4" w:space="0"/>
              <w:bottom w:val="single" w:color="000000" w:sz="4" w:space="0"/>
              <w:right w:val="single" w:color="000000" w:sz="4" w:space="0"/>
            </w:tcBorders>
            <w:vAlign w:val="center"/>
          </w:tcPr>
          <w:p w14:paraId="140A51FC">
            <w:pPr>
              <w:spacing w:line="560" w:lineRule="exact"/>
              <w:jc w:val="center"/>
              <w:rPr>
                <w:rFonts w:ascii="宋体" w:hAnsi="宋体" w:eastAsia="宋体" w:cs="宋体"/>
                <w:color w:val="000000"/>
                <w:sz w:val="18"/>
                <w:szCs w:val="18"/>
                <w:highlight w:val="none"/>
              </w:rPr>
            </w:pPr>
            <w:r>
              <w:rPr>
                <w:rFonts w:hint="eastAsia" w:ascii="宋体" w:hAnsi="宋体" w:cs="宋体"/>
                <w:color w:val="000000"/>
                <w:sz w:val="18"/>
                <w:szCs w:val="18"/>
                <w:highlight w:val="none"/>
              </w:rPr>
              <w:t>计划进度和投资管理（</w:t>
            </w:r>
            <w:r>
              <w:rPr>
                <w:rFonts w:hint="eastAsia" w:ascii="宋体" w:hAnsi="宋体" w:eastAsia="宋体" w:cs="宋体"/>
                <w:color w:val="000000"/>
                <w:sz w:val="18"/>
                <w:szCs w:val="18"/>
                <w:highlight w:val="none"/>
              </w:rPr>
              <w:t>10</w:t>
            </w:r>
            <w:r>
              <w:rPr>
                <w:rFonts w:hint="eastAsia" w:ascii="宋体" w:hAnsi="宋体" w:cs="宋体"/>
                <w:color w:val="000000"/>
                <w:sz w:val="18"/>
                <w:szCs w:val="18"/>
                <w:highlight w:val="none"/>
              </w:rPr>
              <w:t>分）</w:t>
            </w:r>
          </w:p>
        </w:tc>
        <w:tc>
          <w:tcPr>
            <w:tcW w:w="810" w:type="dxa"/>
            <w:tcBorders>
              <w:top w:val="single" w:color="000000" w:sz="4" w:space="0"/>
              <w:left w:val="single" w:color="000000" w:sz="4" w:space="0"/>
              <w:bottom w:val="single" w:color="000000" w:sz="4" w:space="0"/>
              <w:right w:val="single" w:color="000000" w:sz="4" w:space="0"/>
            </w:tcBorders>
            <w:vAlign w:val="center"/>
          </w:tcPr>
          <w:p w14:paraId="45DBA748">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4966" w:type="dxa"/>
            <w:tcBorders>
              <w:top w:val="single" w:color="000000" w:sz="4" w:space="0"/>
              <w:left w:val="single" w:color="000000" w:sz="4" w:space="0"/>
              <w:bottom w:val="single" w:color="000000" w:sz="4" w:space="0"/>
              <w:right w:val="single" w:color="000000" w:sz="4" w:space="0"/>
            </w:tcBorders>
            <w:vAlign w:val="center"/>
          </w:tcPr>
          <w:p w14:paraId="69B8513C">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）组织制定年度节点工期计划（</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分），及时检查和动态调整（</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分）。</w:t>
            </w:r>
          </w:p>
        </w:tc>
        <w:tc>
          <w:tcPr>
            <w:tcW w:w="809" w:type="dxa"/>
            <w:tcBorders>
              <w:top w:val="single" w:color="000000" w:sz="4" w:space="0"/>
              <w:left w:val="single" w:color="000000" w:sz="4" w:space="0"/>
              <w:bottom w:val="single" w:color="000000" w:sz="4" w:space="0"/>
              <w:right w:val="single" w:color="000000" w:sz="4" w:space="0"/>
            </w:tcBorders>
            <w:vAlign w:val="center"/>
          </w:tcPr>
          <w:p w14:paraId="6D4F2991">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251D5226">
            <w:pPr>
              <w:snapToGrid w:val="0"/>
              <w:spacing w:line="560" w:lineRule="exact"/>
              <w:rPr>
                <w:rFonts w:ascii="宋体" w:hAnsi="宋体" w:eastAsia="宋体" w:cs="宋体"/>
                <w:color w:val="000000"/>
                <w:sz w:val="18"/>
                <w:szCs w:val="18"/>
                <w:highlight w:val="none"/>
              </w:rPr>
            </w:pPr>
          </w:p>
        </w:tc>
      </w:tr>
      <w:tr w14:paraId="498983A3">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4DE51C8D">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301726BC">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3E158CA7">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4966" w:type="dxa"/>
            <w:tcBorders>
              <w:top w:val="single" w:color="000000" w:sz="4" w:space="0"/>
              <w:left w:val="single" w:color="000000" w:sz="4" w:space="0"/>
              <w:bottom w:val="single" w:color="000000" w:sz="4" w:space="0"/>
              <w:right w:val="single" w:color="000000" w:sz="4" w:space="0"/>
            </w:tcBorders>
            <w:vAlign w:val="center"/>
          </w:tcPr>
          <w:p w14:paraId="7D7741BF">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2</w:t>
            </w:r>
            <w:r>
              <w:rPr>
                <w:rFonts w:hint="eastAsia" w:ascii="宋体" w:hAnsi="宋体" w:cs="宋体"/>
                <w:color w:val="000000"/>
                <w:sz w:val="18"/>
                <w:szCs w:val="18"/>
                <w:highlight w:val="none"/>
              </w:rPr>
              <w:t>）检查实际进度与计划进度的偏差（</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分），分析具体原因、提出解决进度滞后的办法（</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分）。</w:t>
            </w:r>
          </w:p>
        </w:tc>
        <w:tc>
          <w:tcPr>
            <w:tcW w:w="809" w:type="dxa"/>
            <w:tcBorders>
              <w:top w:val="single" w:color="000000" w:sz="4" w:space="0"/>
              <w:left w:val="single" w:color="000000" w:sz="4" w:space="0"/>
              <w:bottom w:val="single" w:color="000000" w:sz="4" w:space="0"/>
              <w:right w:val="single" w:color="000000" w:sz="4" w:space="0"/>
            </w:tcBorders>
            <w:vAlign w:val="center"/>
          </w:tcPr>
          <w:p w14:paraId="7D85996A">
            <w:pPr>
              <w:snapToGrid w:val="0"/>
              <w:spacing w:line="560" w:lineRule="exact"/>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28FEBA4A">
            <w:pPr>
              <w:snapToGrid w:val="0"/>
              <w:spacing w:line="560" w:lineRule="exact"/>
              <w:rPr>
                <w:rFonts w:ascii="宋体" w:hAnsi="宋体" w:eastAsia="宋体" w:cs="宋体"/>
                <w:color w:val="000000"/>
                <w:sz w:val="18"/>
                <w:szCs w:val="18"/>
                <w:highlight w:val="none"/>
              </w:rPr>
            </w:pPr>
          </w:p>
        </w:tc>
      </w:tr>
      <w:tr w14:paraId="159E81EB">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316009D3">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1A9D3AA2">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47175AED">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4966" w:type="dxa"/>
            <w:tcBorders>
              <w:top w:val="single" w:color="000000" w:sz="4" w:space="0"/>
              <w:left w:val="single" w:color="000000" w:sz="4" w:space="0"/>
              <w:bottom w:val="single" w:color="000000" w:sz="4" w:space="0"/>
              <w:right w:val="single" w:color="000000" w:sz="4" w:space="0"/>
            </w:tcBorders>
            <w:vAlign w:val="center"/>
          </w:tcPr>
          <w:p w14:paraId="6AC07B95">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3</w:t>
            </w:r>
            <w:r>
              <w:rPr>
                <w:rFonts w:hint="eastAsia" w:ascii="宋体" w:hAnsi="宋体" w:cs="宋体"/>
                <w:color w:val="000000"/>
                <w:sz w:val="18"/>
                <w:szCs w:val="18"/>
                <w:highlight w:val="none"/>
              </w:rPr>
              <w:t>）定期组织工程进度分析会（</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分），积极协调和解决影响工程进度的相关问题，工程进度符合计划工期（</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分）。</w:t>
            </w:r>
          </w:p>
        </w:tc>
        <w:tc>
          <w:tcPr>
            <w:tcW w:w="809" w:type="dxa"/>
            <w:tcBorders>
              <w:top w:val="single" w:color="000000" w:sz="4" w:space="0"/>
              <w:left w:val="single" w:color="000000" w:sz="4" w:space="0"/>
              <w:bottom w:val="single" w:color="000000" w:sz="4" w:space="0"/>
              <w:right w:val="single" w:color="000000" w:sz="4" w:space="0"/>
            </w:tcBorders>
            <w:vAlign w:val="center"/>
          </w:tcPr>
          <w:p w14:paraId="42C812F1">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03349BDC">
            <w:pPr>
              <w:snapToGrid w:val="0"/>
              <w:spacing w:line="560" w:lineRule="exact"/>
              <w:rPr>
                <w:rFonts w:ascii="宋体" w:hAnsi="宋体" w:eastAsia="宋体" w:cs="宋体"/>
                <w:color w:val="000000"/>
                <w:sz w:val="18"/>
                <w:szCs w:val="18"/>
                <w:highlight w:val="none"/>
              </w:rPr>
            </w:pPr>
          </w:p>
        </w:tc>
      </w:tr>
      <w:tr w14:paraId="2E4E1E5A">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5CAD34AB">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23865AB3">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20D7488B">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4966" w:type="dxa"/>
            <w:tcBorders>
              <w:top w:val="single" w:color="000000" w:sz="4" w:space="0"/>
              <w:left w:val="single" w:color="000000" w:sz="4" w:space="0"/>
              <w:bottom w:val="single" w:color="000000" w:sz="4" w:space="0"/>
              <w:right w:val="single" w:color="000000" w:sz="4" w:space="0"/>
            </w:tcBorders>
            <w:vAlign w:val="center"/>
          </w:tcPr>
          <w:p w14:paraId="3C066C29">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4</w:t>
            </w:r>
            <w:r>
              <w:rPr>
                <w:rFonts w:hint="eastAsia" w:ascii="宋体" w:hAnsi="宋体" w:cs="宋体"/>
                <w:color w:val="000000"/>
                <w:sz w:val="18"/>
                <w:szCs w:val="18"/>
                <w:highlight w:val="none"/>
              </w:rPr>
              <w:t>）及时正确的审核承包商的计量和支付报表。</w:t>
            </w:r>
          </w:p>
        </w:tc>
        <w:tc>
          <w:tcPr>
            <w:tcW w:w="809" w:type="dxa"/>
            <w:tcBorders>
              <w:top w:val="single" w:color="000000" w:sz="4" w:space="0"/>
              <w:left w:val="single" w:color="000000" w:sz="4" w:space="0"/>
              <w:bottom w:val="single" w:color="000000" w:sz="4" w:space="0"/>
              <w:right w:val="single" w:color="000000" w:sz="4" w:space="0"/>
            </w:tcBorders>
            <w:vAlign w:val="center"/>
          </w:tcPr>
          <w:p w14:paraId="0513BA4C">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7CC21BAF">
            <w:pPr>
              <w:snapToGrid w:val="0"/>
              <w:spacing w:line="560" w:lineRule="exact"/>
              <w:rPr>
                <w:rFonts w:ascii="宋体" w:hAnsi="宋体" w:eastAsia="宋体" w:cs="宋体"/>
                <w:color w:val="000000"/>
                <w:sz w:val="18"/>
                <w:szCs w:val="18"/>
                <w:highlight w:val="none"/>
              </w:rPr>
            </w:pPr>
          </w:p>
        </w:tc>
      </w:tr>
      <w:tr w14:paraId="22C3A508">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6D942609">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63AAF1D4">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563C7AEE">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4966" w:type="dxa"/>
            <w:tcBorders>
              <w:top w:val="single" w:color="000000" w:sz="4" w:space="0"/>
              <w:left w:val="single" w:color="000000" w:sz="4" w:space="0"/>
              <w:bottom w:val="single" w:color="000000" w:sz="4" w:space="0"/>
              <w:right w:val="single" w:color="000000" w:sz="4" w:space="0"/>
            </w:tcBorders>
            <w:vAlign w:val="center"/>
          </w:tcPr>
          <w:p w14:paraId="7339EAF1">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5</w:t>
            </w:r>
            <w:r>
              <w:rPr>
                <w:rFonts w:hint="eastAsia" w:ascii="宋体" w:hAnsi="宋体" w:cs="宋体"/>
                <w:color w:val="000000"/>
                <w:sz w:val="18"/>
                <w:szCs w:val="18"/>
                <w:highlight w:val="none"/>
              </w:rPr>
              <w:t>）公正合理地审核承包商提出的工程变更。</w:t>
            </w:r>
          </w:p>
        </w:tc>
        <w:tc>
          <w:tcPr>
            <w:tcW w:w="809" w:type="dxa"/>
            <w:tcBorders>
              <w:top w:val="single" w:color="000000" w:sz="4" w:space="0"/>
              <w:left w:val="single" w:color="000000" w:sz="4" w:space="0"/>
              <w:bottom w:val="single" w:color="000000" w:sz="4" w:space="0"/>
              <w:right w:val="single" w:color="000000" w:sz="4" w:space="0"/>
            </w:tcBorders>
            <w:vAlign w:val="center"/>
          </w:tcPr>
          <w:p w14:paraId="037A8B9A">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081D342F">
            <w:pPr>
              <w:snapToGrid w:val="0"/>
              <w:spacing w:line="560" w:lineRule="exact"/>
              <w:rPr>
                <w:rFonts w:ascii="宋体" w:hAnsi="宋体" w:eastAsia="宋体" w:cs="宋体"/>
                <w:color w:val="000000"/>
                <w:sz w:val="18"/>
                <w:szCs w:val="18"/>
                <w:highlight w:val="none"/>
              </w:rPr>
            </w:pPr>
          </w:p>
        </w:tc>
      </w:tr>
      <w:tr w14:paraId="333F0214">
        <w:tblPrEx>
          <w:tblCellMar>
            <w:top w:w="0" w:type="dxa"/>
            <w:left w:w="108" w:type="dxa"/>
            <w:bottom w:w="0" w:type="dxa"/>
            <w:right w:w="108" w:type="dxa"/>
          </w:tblCellMar>
        </w:tblPrEx>
        <w:trPr>
          <w:trHeight w:val="510" w:hRule="atLeast"/>
        </w:trPr>
        <w:tc>
          <w:tcPr>
            <w:tcW w:w="407" w:type="dxa"/>
            <w:vMerge w:val="restart"/>
            <w:tcBorders>
              <w:top w:val="single" w:color="000000" w:sz="4" w:space="0"/>
              <w:left w:val="single" w:color="000000" w:sz="4" w:space="0"/>
              <w:bottom w:val="single" w:color="000000" w:sz="4" w:space="0"/>
              <w:right w:val="single" w:color="000000" w:sz="4" w:space="0"/>
            </w:tcBorders>
            <w:vAlign w:val="center"/>
          </w:tcPr>
          <w:p w14:paraId="4BBB2D46">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5</w:t>
            </w:r>
          </w:p>
        </w:tc>
        <w:tc>
          <w:tcPr>
            <w:tcW w:w="1576" w:type="dxa"/>
            <w:vMerge w:val="restart"/>
            <w:tcBorders>
              <w:top w:val="single" w:color="000000" w:sz="4" w:space="0"/>
              <w:left w:val="single" w:color="000000" w:sz="4" w:space="0"/>
              <w:bottom w:val="single" w:color="000000" w:sz="4" w:space="0"/>
              <w:right w:val="single" w:color="000000" w:sz="4" w:space="0"/>
            </w:tcBorders>
            <w:vAlign w:val="center"/>
          </w:tcPr>
          <w:p w14:paraId="55F25895">
            <w:pPr>
              <w:spacing w:line="560" w:lineRule="exact"/>
              <w:jc w:val="center"/>
              <w:rPr>
                <w:rFonts w:ascii="宋体" w:hAnsi="宋体" w:eastAsia="宋体" w:cs="宋体"/>
                <w:color w:val="000000"/>
                <w:sz w:val="18"/>
                <w:szCs w:val="18"/>
                <w:highlight w:val="none"/>
              </w:rPr>
            </w:pPr>
            <w:r>
              <w:rPr>
                <w:rFonts w:hint="eastAsia" w:ascii="宋体" w:hAnsi="宋体" w:cs="宋体"/>
                <w:color w:val="000000"/>
                <w:sz w:val="18"/>
                <w:szCs w:val="18"/>
                <w:highlight w:val="none"/>
              </w:rPr>
              <w:t>接口协调</w:t>
            </w:r>
          </w:p>
          <w:p w14:paraId="2A71C775">
            <w:pPr>
              <w:spacing w:line="560" w:lineRule="exact"/>
              <w:jc w:val="center"/>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5</w:t>
            </w:r>
            <w:r>
              <w:rPr>
                <w:rFonts w:hint="eastAsia" w:ascii="宋体" w:hAnsi="宋体" w:cs="宋体"/>
                <w:color w:val="000000"/>
                <w:sz w:val="18"/>
                <w:szCs w:val="18"/>
                <w:highlight w:val="none"/>
              </w:rPr>
              <w:t>分）</w:t>
            </w:r>
          </w:p>
        </w:tc>
        <w:tc>
          <w:tcPr>
            <w:tcW w:w="810" w:type="dxa"/>
            <w:tcBorders>
              <w:top w:val="single" w:color="000000" w:sz="4" w:space="0"/>
              <w:left w:val="single" w:color="000000" w:sz="4" w:space="0"/>
              <w:bottom w:val="single" w:color="000000" w:sz="4" w:space="0"/>
              <w:right w:val="single" w:color="000000" w:sz="4" w:space="0"/>
            </w:tcBorders>
            <w:vAlign w:val="center"/>
          </w:tcPr>
          <w:p w14:paraId="5CCE99E3">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3</w:t>
            </w:r>
          </w:p>
        </w:tc>
        <w:tc>
          <w:tcPr>
            <w:tcW w:w="4966" w:type="dxa"/>
            <w:tcBorders>
              <w:top w:val="single" w:color="000000" w:sz="4" w:space="0"/>
              <w:left w:val="single" w:color="000000" w:sz="4" w:space="0"/>
              <w:bottom w:val="single" w:color="000000" w:sz="4" w:space="0"/>
              <w:right w:val="single" w:color="000000" w:sz="4" w:space="0"/>
            </w:tcBorders>
            <w:vAlign w:val="center"/>
          </w:tcPr>
          <w:p w14:paraId="6C9A8CAA">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）积极协调征地拆迁、交通疏解、绿化迁移和管线迁改的相应业主单位，组织前期工程单位按计划完成。</w:t>
            </w:r>
          </w:p>
        </w:tc>
        <w:tc>
          <w:tcPr>
            <w:tcW w:w="809" w:type="dxa"/>
            <w:tcBorders>
              <w:top w:val="single" w:color="000000" w:sz="4" w:space="0"/>
              <w:left w:val="single" w:color="000000" w:sz="4" w:space="0"/>
              <w:bottom w:val="single" w:color="000000" w:sz="4" w:space="0"/>
              <w:right w:val="single" w:color="000000" w:sz="4" w:space="0"/>
            </w:tcBorders>
            <w:vAlign w:val="center"/>
          </w:tcPr>
          <w:p w14:paraId="39596578">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2A4CA374">
            <w:pPr>
              <w:snapToGrid w:val="0"/>
              <w:spacing w:line="560" w:lineRule="exact"/>
              <w:rPr>
                <w:rFonts w:ascii="宋体" w:hAnsi="宋体" w:eastAsia="宋体" w:cs="宋体"/>
                <w:color w:val="000000"/>
                <w:sz w:val="18"/>
                <w:szCs w:val="18"/>
                <w:highlight w:val="none"/>
              </w:rPr>
            </w:pPr>
          </w:p>
        </w:tc>
      </w:tr>
      <w:tr w14:paraId="246BBAAF">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2A81718F">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4F98E2B6">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04E32ED9">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1</w:t>
            </w:r>
          </w:p>
        </w:tc>
        <w:tc>
          <w:tcPr>
            <w:tcW w:w="4966" w:type="dxa"/>
            <w:tcBorders>
              <w:top w:val="single" w:color="000000" w:sz="4" w:space="0"/>
              <w:left w:val="single" w:color="000000" w:sz="4" w:space="0"/>
              <w:bottom w:val="single" w:color="000000" w:sz="4" w:space="0"/>
              <w:right w:val="single" w:color="000000" w:sz="4" w:space="0"/>
            </w:tcBorders>
            <w:vAlign w:val="center"/>
          </w:tcPr>
          <w:p w14:paraId="4F2344F2">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2</w:t>
            </w:r>
            <w:r>
              <w:rPr>
                <w:rFonts w:hint="eastAsia" w:ascii="宋体" w:hAnsi="宋体" w:cs="宋体"/>
                <w:color w:val="000000"/>
                <w:sz w:val="18"/>
                <w:szCs w:val="18"/>
                <w:highlight w:val="none"/>
              </w:rPr>
              <w:t>）积极处理所监理的本标段和其它标段在接口上所存在的问题。</w:t>
            </w:r>
          </w:p>
        </w:tc>
        <w:tc>
          <w:tcPr>
            <w:tcW w:w="809" w:type="dxa"/>
            <w:tcBorders>
              <w:top w:val="single" w:color="000000" w:sz="4" w:space="0"/>
              <w:left w:val="single" w:color="000000" w:sz="4" w:space="0"/>
              <w:bottom w:val="single" w:color="000000" w:sz="4" w:space="0"/>
              <w:right w:val="single" w:color="000000" w:sz="4" w:space="0"/>
            </w:tcBorders>
            <w:vAlign w:val="center"/>
          </w:tcPr>
          <w:p w14:paraId="26056483">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5E40047D">
            <w:pPr>
              <w:snapToGrid w:val="0"/>
              <w:spacing w:line="560" w:lineRule="exact"/>
              <w:rPr>
                <w:rFonts w:ascii="宋体" w:hAnsi="宋体" w:eastAsia="宋体" w:cs="宋体"/>
                <w:color w:val="000000"/>
                <w:sz w:val="18"/>
                <w:szCs w:val="18"/>
                <w:highlight w:val="none"/>
              </w:rPr>
            </w:pPr>
          </w:p>
        </w:tc>
      </w:tr>
      <w:tr w14:paraId="0EF6C497">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52A3D445">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1D9B5388">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6810B967">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1</w:t>
            </w:r>
          </w:p>
        </w:tc>
        <w:tc>
          <w:tcPr>
            <w:tcW w:w="4966" w:type="dxa"/>
            <w:tcBorders>
              <w:top w:val="single" w:color="000000" w:sz="4" w:space="0"/>
              <w:left w:val="single" w:color="000000" w:sz="4" w:space="0"/>
              <w:bottom w:val="single" w:color="000000" w:sz="4" w:space="0"/>
              <w:right w:val="single" w:color="000000" w:sz="4" w:space="0"/>
            </w:tcBorders>
            <w:vAlign w:val="center"/>
          </w:tcPr>
          <w:p w14:paraId="6CD6A389">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3</w:t>
            </w:r>
            <w:r>
              <w:rPr>
                <w:rFonts w:hint="eastAsia" w:ascii="宋体" w:hAnsi="宋体" w:cs="宋体"/>
                <w:color w:val="000000"/>
                <w:sz w:val="18"/>
                <w:szCs w:val="18"/>
                <w:highlight w:val="none"/>
              </w:rPr>
              <w:t>）协助业主办理工程保险及赔偿事宜。</w:t>
            </w:r>
          </w:p>
        </w:tc>
        <w:tc>
          <w:tcPr>
            <w:tcW w:w="809" w:type="dxa"/>
            <w:tcBorders>
              <w:top w:val="single" w:color="000000" w:sz="4" w:space="0"/>
              <w:left w:val="single" w:color="000000" w:sz="4" w:space="0"/>
              <w:bottom w:val="single" w:color="000000" w:sz="4" w:space="0"/>
              <w:right w:val="single" w:color="000000" w:sz="4" w:space="0"/>
            </w:tcBorders>
            <w:vAlign w:val="center"/>
          </w:tcPr>
          <w:p w14:paraId="380854A5">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515C63D7">
            <w:pPr>
              <w:snapToGrid w:val="0"/>
              <w:spacing w:line="560" w:lineRule="exact"/>
              <w:rPr>
                <w:rFonts w:ascii="宋体" w:hAnsi="宋体" w:eastAsia="宋体" w:cs="宋体"/>
                <w:color w:val="000000"/>
                <w:sz w:val="18"/>
                <w:szCs w:val="18"/>
                <w:highlight w:val="none"/>
              </w:rPr>
            </w:pPr>
          </w:p>
        </w:tc>
      </w:tr>
      <w:tr w14:paraId="30B06A48">
        <w:tblPrEx>
          <w:tblCellMar>
            <w:top w:w="0" w:type="dxa"/>
            <w:left w:w="108" w:type="dxa"/>
            <w:bottom w:w="0" w:type="dxa"/>
            <w:right w:w="108" w:type="dxa"/>
          </w:tblCellMar>
        </w:tblPrEx>
        <w:trPr>
          <w:trHeight w:val="510" w:hRule="atLeast"/>
        </w:trPr>
        <w:tc>
          <w:tcPr>
            <w:tcW w:w="407" w:type="dxa"/>
            <w:vMerge w:val="restart"/>
            <w:tcBorders>
              <w:top w:val="single" w:color="000000" w:sz="4" w:space="0"/>
              <w:left w:val="single" w:color="000000" w:sz="4" w:space="0"/>
              <w:bottom w:val="single" w:color="000000" w:sz="4" w:space="0"/>
              <w:right w:val="single" w:color="000000" w:sz="4" w:space="0"/>
            </w:tcBorders>
            <w:vAlign w:val="center"/>
          </w:tcPr>
          <w:p w14:paraId="07E2EABB">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6</w:t>
            </w:r>
          </w:p>
        </w:tc>
        <w:tc>
          <w:tcPr>
            <w:tcW w:w="1576" w:type="dxa"/>
            <w:vMerge w:val="restart"/>
            <w:tcBorders>
              <w:top w:val="single" w:color="000000" w:sz="4" w:space="0"/>
              <w:left w:val="single" w:color="000000" w:sz="4" w:space="0"/>
              <w:bottom w:val="single" w:color="000000" w:sz="4" w:space="0"/>
              <w:right w:val="single" w:color="000000" w:sz="4" w:space="0"/>
            </w:tcBorders>
            <w:vAlign w:val="center"/>
          </w:tcPr>
          <w:p w14:paraId="7D1AD337">
            <w:pPr>
              <w:spacing w:line="560" w:lineRule="exact"/>
              <w:jc w:val="center"/>
              <w:rPr>
                <w:rFonts w:ascii="宋体" w:hAnsi="宋体" w:eastAsia="宋体" w:cs="宋体"/>
                <w:color w:val="000000"/>
                <w:sz w:val="18"/>
                <w:szCs w:val="18"/>
                <w:highlight w:val="none"/>
              </w:rPr>
            </w:pPr>
            <w:r>
              <w:rPr>
                <w:rFonts w:hint="eastAsia" w:ascii="宋体" w:hAnsi="宋体" w:cs="宋体"/>
                <w:color w:val="000000"/>
                <w:sz w:val="18"/>
                <w:szCs w:val="18"/>
                <w:highlight w:val="none"/>
              </w:rPr>
              <w:t>技术咨询（</w:t>
            </w:r>
            <w:r>
              <w:rPr>
                <w:rFonts w:hint="eastAsia" w:ascii="宋体" w:hAnsi="宋体" w:eastAsia="宋体" w:cs="宋体"/>
                <w:color w:val="000000"/>
                <w:sz w:val="18"/>
                <w:szCs w:val="18"/>
                <w:highlight w:val="none"/>
              </w:rPr>
              <w:t>4</w:t>
            </w:r>
            <w:r>
              <w:rPr>
                <w:rFonts w:hint="eastAsia" w:ascii="宋体" w:hAnsi="宋体" w:cs="宋体"/>
                <w:color w:val="000000"/>
                <w:sz w:val="18"/>
                <w:szCs w:val="18"/>
                <w:highlight w:val="none"/>
              </w:rPr>
              <w:t>分）</w:t>
            </w:r>
          </w:p>
        </w:tc>
        <w:tc>
          <w:tcPr>
            <w:tcW w:w="810" w:type="dxa"/>
            <w:tcBorders>
              <w:top w:val="single" w:color="000000" w:sz="4" w:space="0"/>
              <w:left w:val="single" w:color="000000" w:sz="4" w:space="0"/>
              <w:bottom w:val="single" w:color="000000" w:sz="4" w:space="0"/>
              <w:right w:val="single" w:color="000000" w:sz="4" w:space="0"/>
            </w:tcBorders>
            <w:vAlign w:val="center"/>
          </w:tcPr>
          <w:p w14:paraId="59426300">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4966" w:type="dxa"/>
            <w:tcBorders>
              <w:top w:val="single" w:color="000000" w:sz="4" w:space="0"/>
              <w:left w:val="single" w:color="000000" w:sz="4" w:space="0"/>
              <w:bottom w:val="single" w:color="000000" w:sz="4" w:space="0"/>
              <w:right w:val="single" w:color="000000" w:sz="4" w:space="0"/>
            </w:tcBorders>
            <w:vAlign w:val="center"/>
          </w:tcPr>
          <w:p w14:paraId="377C708A">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）针对重大施工技术难题，向业主提供专题技术咨询报告。</w:t>
            </w:r>
          </w:p>
        </w:tc>
        <w:tc>
          <w:tcPr>
            <w:tcW w:w="809" w:type="dxa"/>
            <w:tcBorders>
              <w:top w:val="single" w:color="000000" w:sz="4" w:space="0"/>
              <w:left w:val="single" w:color="000000" w:sz="4" w:space="0"/>
              <w:bottom w:val="single" w:color="000000" w:sz="4" w:space="0"/>
              <w:right w:val="single" w:color="000000" w:sz="4" w:space="0"/>
            </w:tcBorders>
            <w:vAlign w:val="center"/>
          </w:tcPr>
          <w:p w14:paraId="676E8197">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4F8252BA">
            <w:pPr>
              <w:snapToGrid w:val="0"/>
              <w:spacing w:line="560" w:lineRule="exact"/>
              <w:rPr>
                <w:rFonts w:ascii="宋体" w:hAnsi="宋体" w:eastAsia="宋体" w:cs="宋体"/>
                <w:color w:val="000000"/>
                <w:sz w:val="18"/>
                <w:szCs w:val="18"/>
                <w:highlight w:val="none"/>
              </w:rPr>
            </w:pPr>
          </w:p>
        </w:tc>
      </w:tr>
      <w:tr w14:paraId="6D4D3E01">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63F4DB45">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7A2C813E">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323AFB9D">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4966" w:type="dxa"/>
            <w:tcBorders>
              <w:top w:val="single" w:color="000000" w:sz="4" w:space="0"/>
              <w:left w:val="single" w:color="000000" w:sz="4" w:space="0"/>
              <w:bottom w:val="single" w:color="000000" w:sz="4" w:space="0"/>
              <w:right w:val="single" w:color="000000" w:sz="4" w:space="0"/>
            </w:tcBorders>
            <w:vAlign w:val="center"/>
          </w:tcPr>
          <w:p w14:paraId="6CD187BF">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2</w:t>
            </w:r>
            <w:r>
              <w:rPr>
                <w:rFonts w:hint="eastAsia" w:ascii="宋体" w:hAnsi="宋体" w:cs="宋体"/>
                <w:color w:val="000000"/>
                <w:sz w:val="18"/>
                <w:szCs w:val="18"/>
                <w:highlight w:val="none"/>
              </w:rPr>
              <w:t>）针对工程施工技术问题，安排专家举办专题技术讲座和论证会。</w:t>
            </w:r>
          </w:p>
        </w:tc>
        <w:tc>
          <w:tcPr>
            <w:tcW w:w="809" w:type="dxa"/>
            <w:tcBorders>
              <w:top w:val="single" w:color="000000" w:sz="4" w:space="0"/>
              <w:left w:val="single" w:color="000000" w:sz="4" w:space="0"/>
              <w:bottom w:val="single" w:color="000000" w:sz="4" w:space="0"/>
              <w:right w:val="single" w:color="000000" w:sz="4" w:space="0"/>
            </w:tcBorders>
            <w:vAlign w:val="center"/>
          </w:tcPr>
          <w:p w14:paraId="1E386B63">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7255235F">
            <w:pPr>
              <w:snapToGrid w:val="0"/>
              <w:spacing w:line="560" w:lineRule="exact"/>
              <w:rPr>
                <w:rFonts w:ascii="宋体" w:hAnsi="宋体" w:eastAsia="宋体" w:cs="宋体"/>
                <w:color w:val="000000"/>
                <w:sz w:val="18"/>
                <w:szCs w:val="18"/>
                <w:highlight w:val="none"/>
              </w:rPr>
            </w:pPr>
          </w:p>
        </w:tc>
      </w:tr>
      <w:tr w14:paraId="6BD634C9">
        <w:tblPrEx>
          <w:tblCellMar>
            <w:top w:w="0" w:type="dxa"/>
            <w:left w:w="108" w:type="dxa"/>
            <w:bottom w:w="0" w:type="dxa"/>
            <w:right w:w="108" w:type="dxa"/>
          </w:tblCellMar>
        </w:tblPrEx>
        <w:trPr>
          <w:trHeight w:val="510" w:hRule="atLeast"/>
        </w:trPr>
        <w:tc>
          <w:tcPr>
            <w:tcW w:w="407" w:type="dxa"/>
            <w:vMerge w:val="restart"/>
            <w:tcBorders>
              <w:top w:val="single" w:color="000000" w:sz="4" w:space="0"/>
              <w:left w:val="single" w:color="000000" w:sz="4" w:space="0"/>
              <w:bottom w:val="single" w:color="000000" w:sz="4" w:space="0"/>
              <w:right w:val="single" w:color="000000" w:sz="4" w:space="0"/>
            </w:tcBorders>
            <w:vAlign w:val="center"/>
          </w:tcPr>
          <w:p w14:paraId="32DDE54A">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7</w:t>
            </w:r>
          </w:p>
        </w:tc>
        <w:tc>
          <w:tcPr>
            <w:tcW w:w="1576" w:type="dxa"/>
            <w:vMerge w:val="restart"/>
            <w:tcBorders>
              <w:top w:val="single" w:color="000000" w:sz="4" w:space="0"/>
              <w:left w:val="single" w:color="000000" w:sz="4" w:space="0"/>
              <w:bottom w:val="single" w:color="000000" w:sz="4" w:space="0"/>
              <w:right w:val="single" w:color="000000" w:sz="4" w:space="0"/>
            </w:tcBorders>
            <w:vAlign w:val="center"/>
          </w:tcPr>
          <w:p w14:paraId="4C122A82">
            <w:pPr>
              <w:spacing w:line="560" w:lineRule="exact"/>
              <w:jc w:val="center"/>
              <w:rPr>
                <w:rFonts w:ascii="宋体" w:hAnsi="宋体" w:eastAsia="宋体" w:cs="宋体"/>
                <w:color w:val="000000"/>
                <w:sz w:val="18"/>
                <w:szCs w:val="18"/>
                <w:highlight w:val="none"/>
              </w:rPr>
            </w:pPr>
            <w:r>
              <w:rPr>
                <w:rFonts w:hint="eastAsia" w:ascii="宋体" w:hAnsi="宋体" w:cs="宋体"/>
                <w:color w:val="000000"/>
                <w:sz w:val="18"/>
                <w:szCs w:val="18"/>
                <w:highlight w:val="none"/>
              </w:rPr>
              <w:t>信息管理（</w:t>
            </w:r>
            <w:r>
              <w:rPr>
                <w:rFonts w:hint="eastAsia" w:ascii="宋体" w:hAnsi="宋体" w:eastAsia="宋体" w:cs="宋体"/>
                <w:color w:val="000000"/>
                <w:sz w:val="18"/>
                <w:szCs w:val="18"/>
                <w:highlight w:val="none"/>
              </w:rPr>
              <w:t>4</w:t>
            </w:r>
            <w:r>
              <w:rPr>
                <w:rFonts w:hint="eastAsia" w:ascii="宋体" w:hAnsi="宋体" w:cs="宋体"/>
                <w:color w:val="000000"/>
                <w:sz w:val="18"/>
                <w:szCs w:val="18"/>
                <w:highlight w:val="none"/>
              </w:rPr>
              <w:t>分）</w:t>
            </w:r>
          </w:p>
        </w:tc>
        <w:tc>
          <w:tcPr>
            <w:tcW w:w="810" w:type="dxa"/>
            <w:tcBorders>
              <w:top w:val="single" w:color="000000" w:sz="4" w:space="0"/>
              <w:left w:val="single" w:color="000000" w:sz="4" w:space="0"/>
              <w:bottom w:val="single" w:color="000000" w:sz="4" w:space="0"/>
              <w:right w:val="single" w:color="000000" w:sz="4" w:space="0"/>
            </w:tcBorders>
            <w:vAlign w:val="center"/>
          </w:tcPr>
          <w:p w14:paraId="16A20C60">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4966" w:type="dxa"/>
            <w:tcBorders>
              <w:top w:val="single" w:color="000000" w:sz="4" w:space="0"/>
              <w:left w:val="single" w:color="000000" w:sz="4" w:space="0"/>
              <w:bottom w:val="single" w:color="000000" w:sz="4" w:space="0"/>
              <w:right w:val="single" w:color="000000" w:sz="4" w:space="0"/>
            </w:tcBorders>
            <w:vAlign w:val="center"/>
          </w:tcPr>
          <w:p w14:paraId="6ED37BAA">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）及时编写工程进展情况，满足随时向上级作工程进展汇报的需要。</w:t>
            </w:r>
          </w:p>
        </w:tc>
        <w:tc>
          <w:tcPr>
            <w:tcW w:w="809" w:type="dxa"/>
            <w:tcBorders>
              <w:top w:val="single" w:color="000000" w:sz="4" w:space="0"/>
              <w:left w:val="single" w:color="000000" w:sz="4" w:space="0"/>
              <w:bottom w:val="single" w:color="000000" w:sz="4" w:space="0"/>
              <w:right w:val="single" w:color="000000" w:sz="4" w:space="0"/>
            </w:tcBorders>
            <w:vAlign w:val="center"/>
          </w:tcPr>
          <w:p w14:paraId="40D779F2">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343C5EAF">
            <w:pPr>
              <w:snapToGrid w:val="0"/>
              <w:spacing w:line="560" w:lineRule="exact"/>
              <w:rPr>
                <w:rFonts w:ascii="宋体" w:hAnsi="宋体" w:eastAsia="宋体" w:cs="宋体"/>
                <w:color w:val="000000"/>
                <w:sz w:val="18"/>
                <w:szCs w:val="18"/>
                <w:highlight w:val="none"/>
              </w:rPr>
            </w:pPr>
          </w:p>
        </w:tc>
      </w:tr>
      <w:tr w14:paraId="4780B9C4">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3554C6F4">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4E3D3760">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1BB47EC0">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1</w:t>
            </w:r>
          </w:p>
        </w:tc>
        <w:tc>
          <w:tcPr>
            <w:tcW w:w="4966" w:type="dxa"/>
            <w:tcBorders>
              <w:top w:val="single" w:color="000000" w:sz="4" w:space="0"/>
              <w:left w:val="single" w:color="000000" w:sz="4" w:space="0"/>
              <w:bottom w:val="single" w:color="000000" w:sz="4" w:space="0"/>
              <w:right w:val="single" w:color="000000" w:sz="4" w:space="0"/>
            </w:tcBorders>
            <w:vAlign w:val="center"/>
          </w:tcPr>
          <w:p w14:paraId="2A7A494E">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2</w:t>
            </w:r>
            <w:r>
              <w:rPr>
                <w:rFonts w:hint="eastAsia" w:ascii="宋体" w:hAnsi="宋体" w:cs="宋体"/>
                <w:color w:val="000000"/>
                <w:sz w:val="18"/>
                <w:szCs w:val="18"/>
                <w:highlight w:val="none"/>
              </w:rPr>
              <w:t>）对业主、设计、其它监理单位、施工单位的信息传递与反馈及时、准确、畅通。</w:t>
            </w:r>
          </w:p>
        </w:tc>
        <w:tc>
          <w:tcPr>
            <w:tcW w:w="809" w:type="dxa"/>
            <w:tcBorders>
              <w:top w:val="single" w:color="000000" w:sz="4" w:space="0"/>
              <w:left w:val="single" w:color="000000" w:sz="4" w:space="0"/>
              <w:bottom w:val="single" w:color="000000" w:sz="4" w:space="0"/>
              <w:right w:val="single" w:color="000000" w:sz="4" w:space="0"/>
            </w:tcBorders>
            <w:vAlign w:val="center"/>
          </w:tcPr>
          <w:p w14:paraId="08733118">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106BC29E">
            <w:pPr>
              <w:snapToGrid w:val="0"/>
              <w:spacing w:line="560" w:lineRule="exact"/>
              <w:rPr>
                <w:rFonts w:ascii="宋体" w:hAnsi="宋体" w:eastAsia="宋体" w:cs="宋体"/>
                <w:color w:val="000000"/>
                <w:sz w:val="18"/>
                <w:szCs w:val="18"/>
                <w:highlight w:val="none"/>
              </w:rPr>
            </w:pPr>
          </w:p>
        </w:tc>
      </w:tr>
      <w:tr w14:paraId="1A6D9AFE">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283ACCAD">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35BFF13E">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5B49FCF8">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1</w:t>
            </w:r>
          </w:p>
        </w:tc>
        <w:tc>
          <w:tcPr>
            <w:tcW w:w="4966" w:type="dxa"/>
            <w:tcBorders>
              <w:top w:val="single" w:color="000000" w:sz="4" w:space="0"/>
              <w:left w:val="single" w:color="000000" w:sz="4" w:space="0"/>
              <w:bottom w:val="single" w:color="000000" w:sz="4" w:space="0"/>
              <w:right w:val="single" w:color="000000" w:sz="4" w:space="0"/>
            </w:tcBorders>
            <w:vAlign w:val="center"/>
          </w:tcPr>
          <w:p w14:paraId="2398D7E7">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3</w:t>
            </w:r>
            <w:r>
              <w:rPr>
                <w:rFonts w:hint="eastAsia" w:ascii="宋体" w:hAnsi="宋体" w:cs="宋体"/>
                <w:color w:val="000000"/>
                <w:sz w:val="18"/>
                <w:szCs w:val="18"/>
                <w:highlight w:val="none"/>
              </w:rPr>
              <w:t>）文档及资料归档工作系统、完善，查找便捷。</w:t>
            </w:r>
          </w:p>
        </w:tc>
        <w:tc>
          <w:tcPr>
            <w:tcW w:w="809" w:type="dxa"/>
            <w:tcBorders>
              <w:top w:val="single" w:color="000000" w:sz="4" w:space="0"/>
              <w:left w:val="single" w:color="000000" w:sz="4" w:space="0"/>
              <w:bottom w:val="single" w:color="000000" w:sz="4" w:space="0"/>
              <w:right w:val="single" w:color="000000" w:sz="4" w:space="0"/>
            </w:tcBorders>
            <w:vAlign w:val="center"/>
          </w:tcPr>
          <w:p w14:paraId="488F36A0">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43C07C23">
            <w:pPr>
              <w:snapToGrid w:val="0"/>
              <w:spacing w:line="560" w:lineRule="exact"/>
              <w:rPr>
                <w:rFonts w:ascii="宋体" w:hAnsi="宋体" w:eastAsia="宋体" w:cs="宋体"/>
                <w:color w:val="000000"/>
                <w:sz w:val="18"/>
                <w:szCs w:val="18"/>
                <w:highlight w:val="none"/>
              </w:rPr>
            </w:pPr>
          </w:p>
        </w:tc>
      </w:tr>
      <w:tr w14:paraId="08AD57FA">
        <w:tblPrEx>
          <w:tblCellMar>
            <w:top w:w="0" w:type="dxa"/>
            <w:left w:w="108" w:type="dxa"/>
            <w:bottom w:w="0" w:type="dxa"/>
            <w:right w:w="108" w:type="dxa"/>
          </w:tblCellMar>
        </w:tblPrEx>
        <w:trPr>
          <w:trHeight w:val="510" w:hRule="atLeast"/>
        </w:trPr>
        <w:tc>
          <w:tcPr>
            <w:tcW w:w="407" w:type="dxa"/>
            <w:tcBorders>
              <w:top w:val="single" w:color="000000" w:sz="4" w:space="0"/>
              <w:left w:val="single" w:color="000000" w:sz="4" w:space="0"/>
              <w:bottom w:val="single" w:color="000000" w:sz="4" w:space="0"/>
              <w:right w:val="single" w:color="000000" w:sz="4" w:space="0"/>
            </w:tcBorders>
            <w:vAlign w:val="center"/>
          </w:tcPr>
          <w:p w14:paraId="6F7DF5B6">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8</w:t>
            </w:r>
          </w:p>
        </w:tc>
        <w:tc>
          <w:tcPr>
            <w:tcW w:w="1576" w:type="dxa"/>
            <w:tcBorders>
              <w:top w:val="single" w:color="000000" w:sz="4" w:space="0"/>
              <w:left w:val="single" w:color="000000" w:sz="4" w:space="0"/>
              <w:bottom w:val="single" w:color="000000" w:sz="4" w:space="0"/>
              <w:right w:val="single" w:color="000000" w:sz="4" w:space="0"/>
            </w:tcBorders>
            <w:vAlign w:val="center"/>
          </w:tcPr>
          <w:p w14:paraId="45EF3816">
            <w:pPr>
              <w:spacing w:line="560" w:lineRule="exact"/>
              <w:jc w:val="center"/>
              <w:rPr>
                <w:rFonts w:ascii="宋体" w:hAnsi="宋体" w:eastAsia="宋体" w:cs="宋体"/>
                <w:color w:val="000000"/>
                <w:sz w:val="18"/>
                <w:szCs w:val="18"/>
                <w:highlight w:val="none"/>
              </w:rPr>
            </w:pPr>
            <w:r>
              <w:rPr>
                <w:rFonts w:hint="eastAsia" w:ascii="宋体" w:hAnsi="宋体" w:cs="宋体"/>
                <w:color w:val="000000"/>
                <w:sz w:val="18"/>
                <w:szCs w:val="18"/>
                <w:highlight w:val="none"/>
              </w:rPr>
              <w:t>廉洁自律</w:t>
            </w:r>
          </w:p>
          <w:p w14:paraId="4AF0E621">
            <w:pPr>
              <w:spacing w:line="560" w:lineRule="exact"/>
              <w:jc w:val="center"/>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2</w:t>
            </w:r>
            <w:r>
              <w:rPr>
                <w:rFonts w:hint="eastAsia" w:ascii="宋体" w:hAnsi="宋体" w:cs="宋体"/>
                <w:color w:val="000000"/>
                <w:sz w:val="18"/>
                <w:szCs w:val="18"/>
                <w:highlight w:val="none"/>
              </w:rPr>
              <w:t>分）</w:t>
            </w:r>
          </w:p>
        </w:tc>
        <w:tc>
          <w:tcPr>
            <w:tcW w:w="810" w:type="dxa"/>
            <w:tcBorders>
              <w:top w:val="single" w:color="000000" w:sz="4" w:space="0"/>
              <w:left w:val="single" w:color="000000" w:sz="4" w:space="0"/>
              <w:bottom w:val="single" w:color="000000" w:sz="4" w:space="0"/>
              <w:right w:val="single" w:color="000000" w:sz="4" w:space="0"/>
            </w:tcBorders>
            <w:vAlign w:val="center"/>
          </w:tcPr>
          <w:p w14:paraId="2A8548F9">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4966" w:type="dxa"/>
            <w:tcBorders>
              <w:top w:val="single" w:color="000000" w:sz="4" w:space="0"/>
              <w:left w:val="single" w:color="000000" w:sz="4" w:space="0"/>
              <w:bottom w:val="single" w:color="000000" w:sz="4" w:space="0"/>
              <w:right w:val="single" w:color="000000" w:sz="4" w:space="0"/>
            </w:tcBorders>
            <w:vAlign w:val="center"/>
          </w:tcPr>
          <w:p w14:paraId="3B2A530F">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严格遵守与业主签定的《建设工程廉政责任合同》的相关规定</w:t>
            </w:r>
          </w:p>
        </w:tc>
        <w:tc>
          <w:tcPr>
            <w:tcW w:w="809" w:type="dxa"/>
            <w:tcBorders>
              <w:top w:val="single" w:color="000000" w:sz="4" w:space="0"/>
              <w:left w:val="single" w:color="000000" w:sz="4" w:space="0"/>
              <w:bottom w:val="single" w:color="000000" w:sz="4" w:space="0"/>
              <w:right w:val="single" w:color="000000" w:sz="4" w:space="0"/>
            </w:tcBorders>
            <w:vAlign w:val="center"/>
          </w:tcPr>
          <w:p w14:paraId="27B12167">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5AA76A66">
            <w:pPr>
              <w:snapToGrid w:val="0"/>
              <w:spacing w:line="560" w:lineRule="exact"/>
              <w:rPr>
                <w:rFonts w:ascii="宋体" w:hAnsi="宋体" w:eastAsia="宋体" w:cs="宋体"/>
                <w:color w:val="000000"/>
                <w:sz w:val="18"/>
                <w:szCs w:val="18"/>
                <w:highlight w:val="none"/>
              </w:rPr>
            </w:pPr>
          </w:p>
        </w:tc>
      </w:tr>
      <w:tr w14:paraId="5C14C2F2">
        <w:tblPrEx>
          <w:tblCellMar>
            <w:top w:w="0" w:type="dxa"/>
            <w:left w:w="108" w:type="dxa"/>
            <w:bottom w:w="0" w:type="dxa"/>
            <w:right w:w="108" w:type="dxa"/>
          </w:tblCellMar>
        </w:tblPrEx>
        <w:trPr>
          <w:trHeight w:val="510" w:hRule="atLeast"/>
        </w:trPr>
        <w:tc>
          <w:tcPr>
            <w:tcW w:w="1983" w:type="dxa"/>
            <w:gridSpan w:val="2"/>
            <w:tcBorders>
              <w:top w:val="single" w:color="000000" w:sz="4" w:space="0"/>
              <w:left w:val="single" w:color="000000" w:sz="4" w:space="0"/>
              <w:bottom w:val="single" w:color="000000" w:sz="4" w:space="0"/>
              <w:right w:val="single" w:color="000000" w:sz="4" w:space="0"/>
            </w:tcBorders>
            <w:vAlign w:val="center"/>
          </w:tcPr>
          <w:p w14:paraId="76B0E94E">
            <w:pPr>
              <w:spacing w:line="560" w:lineRule="exact"/>
              <w:jc w:val="center"/>
              <w:rPr>
                <w:rFonts w:ascii="宋体" w:hAnsi="宋体" w:eastAsia="宋体" w:cs="宋体"/>
                <w:color w:val="000000"/>
                <w:sz w:val="18"/>
                <w:szCs w:val="18"/>
                <w:highlight w:val="none"/>
              </w:rPr>
            </w:pPr>
            <w:r>
              <w:rPr>
                <w:rFonts w:hint="eastAsia" w:ascii="宋体" w:hAnsi="宋体" w:cs="宋体"/>
                <w:color w:val="000000"/>
                <w:sz w:val="18"/>
                <w:szCs w:val="18"/>
                <w:highlight w:val="none"/>
              </w:rPr>
              <w:t>合计分数</w:t>
            </w:r>
          </w:p>
        </w:tc>
        <w:tc>
          <w:tcPr>
            <w:tcW w:w="7500" w:type="dxa"/>
            <w:gridSpan w:val="4"/>
            <w:tcBorders>
              <w:top w:val="single" w:color="000000" w:sz="4" w:space="0"/>
              <w:left w:val="single" w:color="000000" w:sz="4" w:space="0"/>
              <w:bottom w:val="single" w:color="000000" w:sz="4" w:space="0"/>
              <w:right w:val="single" w:color="000000" w:sz="4" w:space="0"/>
            </w:tcBorders>
            <w:vAlign w:val="center"/>
          </w:tcPr>
          <w:p w14:paraId="7E954263">
            <w:pPr>
              <w:snapToGrid w:val="0"/>
              <w:spacing w:line="560" w:lineRule="exact"/>
              <w:rPr>
                <w:rFonts w:ascii="宋体" w:hAnsi="宋体" w:eastAsia="宋体" w:cs="宋体"/>
                <w:color w:val="000000"/>
                <w:sz w:val="18"/>
                <w:szCs w:val="18"/>
                <w:highlight w:val="none"/>
              </w:rPr>
            </w:pPr>
          </w:p>
        </w:tc>
      </w:tr>
      <w:tr w14:paraId="06CBE158">
        <w:tblPrEx>
          <w:tblCellMar>
            <w:top w:w="0" w:type="dxa"/>
            <w:left w:w="108" w:type="dxa"/>
            <w:bottom w:w="0" w:type="dxa"/>
            <w:right w:w="108" w:type="dxa"/>
          </w:tblCellMar>
        </w:tblPrEx>
        <w:trPr>
          <w:trHeight w:val="510" w:hRule="atLeast"/>
        </w:trPr>
        <w:tc>
          <w:tcPr>
            <w:tcW w:w="1983" w:type="dxa"/>
            <w:gridSpan w:val="2"/>
            <w:tcBorders>
              <w:top w:val="single" w:color="000000" w:sz="4" w:space="0"/>
              <w:left w:val="single" w:color="000000" w:sz="4" w:space="0"/>
              <w:bottom w:val="single" w:color="000000" w:sz="4" w:space="0"/>
              <w:right w:val="single" w:color="000000" w:sz="4" w:space="0"/>
            </w:tcBorders>
            <w:vAlign w:val="center"/>
          </w:tcPr>
          <w:p w14:paraId="50159DB0">
            <w:pPr>
              <w:spacing w:line="560" w:lineRule="exact"/>
              <w:jc w:val="center"/>
              <w:rPr>
                <w:rFonts w:ascii="宋体" w:hAnsi="宋体" w:eastAsia="宋体" w:cs="宋体"/>
                <w:color w:val="000000"/>
                <w:sz w:val="18"/>
                <w:szCs w:val="18"/>
                <w:highlight w:val="none"/>
              </w:rPr>
            </w:pPr>
            <w:r>
              <w:rPr>
                <w:rFonts w:hint="eastAsia" w:ascii="宋体" w:hAnsi="宋体" w:cs="宋体"/>
                <w:color w:val="000000"/>
                <w:sz w:val="18"/>
                <w:szCs w:val="18"/>
                <w:highlight w:val="none"/>
              </w:rPr>
              <w:t>加分项（</w:t>
            </w:r>
            <w:r>
              <w:rPr>
                <w:rFonts w:hint="eastAsia" w:ascii="宋体" w:hAnsi="宋体" w:eastAsia="宋体" w:cs="宋体"/>
                <w:color w:val="000000"/>
                <w:sz w:val="18"/>
                <w:szCs w:val="18"/>
                <w:highlight w:val="none"/>
              </w:rPr>
              <w:t>1-6</w:t>
            </w:r>
            <w:r>
              <w:rPr>
                <w:rFonts w:hint="eastAsia" w:ascii="宋体" w:hAnsi="宋体" w:cs="宋体"/>
                <w:color w:val="000000"/>
                <w:sz w:val="18"/>
                <w:szCs w:val="18"/>
                <w:highlight w:val="none"/>
              </w:rPr>
              <w:t>分）</w:t>
            </w:r>
          </w:p>
        </w:tc>
        <w:tc>
          <w:tcPr>
            <w:tcW w:w="7500" w:type="dxa"/>
            <w:gridSpan w:val="4"/>
            <w:tcBorders>
              <w:top w:val="single" w:color="000000" w:sz="4" w:space="0"/>
              <w:left w:val="single" w:color="000000" w:sz="4" w:space="0"/>
              <w:bottom w:val="single" w:color="000000" w:sz="4" w:space="0"/>
              <w:right w:val="single" w:color="000000" w:sz="4" w:space="0"/>
            </w:tcBorders>
            <w:vAlign w:val="center"/>
          </w:tcPr>
          <w:p w14:paraId="38936203">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备注清楚加分事由及所加分数</w:t>
            </w:r>
          </w:p>
        </w:tc>
      </w:tr>
      <w:tr w14:paraId="65BB68A7">
        <w:tblPrEx>
          <w:tblCellMar>
            <w:top w:w="0" w:type="dxa"/>
            <w:left w:w="108" w:type="dxa"/>
            <w:bottom w:w="0" w:type="dxa"/>
            <w:right w:w="108" w:type="dxa"/>
          </w:tblCellMar>
        </w:tblPrEx>
        <w:trPr>
          <w:trHeight w:val="449" w:hRule="atLeast"/>
        </w:trPr>
        <w:tc>
          <w:tcPr>
            <w:tcW w:w="1983" w:type="dxa"/>
            <w:gridSpan w:val="2"/>
            <w:tcBorders>
              <w:top w:val="single" w:color="000000" w:sz="4" w:space="0"/>
              <w:left w:val="single" w:color="000000" w:sz="4" w:space="0"/>
              <w:bottom w:val="single" w:color="000000" w:sz="4" w:space="0"/>
              <w:right w:val="single" w:color="000000" w:sz="4" w:space="0"/>
            </w:tcBorders>
            <w:vAlign w:val="center"/>
          </w:tcPr>
          <w:p w14:paraId="5467A08B">
            <w:pPr>
              <w:spacing w:line="560" w:lineRule="exact"/>
              <w:jc w:val="center"/>
              <w:rPr>
                <w:rFonts w:ascii="宋体" w:hAnsi="宋体" w:eastAsia="宋体" w:cs="宋体"/>
                <w:color w:val="000000"/>
                <w:sz w:val="18"/>
                <w:szCs w:val="18"/>
                <w:highlight w:val="none"/>
              </w:rPr>
            </w:pPr>
            <w:r>
              <w:rPr>
                <w:rFonts w:hint="eastAsia" w:ascii="宋体" w:hAnsi="宋体" w:cs="宋体"/>
                <w:color w:val="000000"/>
                <w:sz w:val="18"/>
                <w:szCs w:val="18"/>
                <w:highlight w:val="none"/>
              </w:rPr>
              <w:t>扣分</w:t>
            </w:r>
          </w:p>
        </w:tc>
        <w:tc>
          <w:tcPr>
            <w:tcW w:w="7500" w:type="dxa"/>
            <w:gridSpan w:val="4"/>
            <w:tcBorders>
              <w:top w:val="single" w:color="000000" w:sz="4" w:space="0"/>
              <w:left w:val="single" w:color="000000" w:sz="4" w:space="0"/>
              <w:bottom w:val="single" w:color="000000" w:sz="4" w:space="0"/>
              <w:right w:val="single" w:color="000000" w:sz="4" w:space="0"/>
            </w:tcBorders>
            <w:vAlign w:val="center"/>
          </w:tcPr>
          <w:p w14:paraId="34E971DA">
            <w:pPr>
              <w:pStyle w:val="149"/>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备注清楚扣分事由及所扣分数</w:t>
            </w:r>
          </w:p>
          <w:p w14:paraId="383FA9D7">
            <w:pPr>
              <w:spacing w:line="560" w:lineRule="exact"/>
              <w:rPr>
                <w:rFonts w:ascii="宋体" w:hAnsi="宋体" w:eastAsia="宋体" w:cs="宋体"/>
                <w:color w:val="000000"/>
                <w:sz w:val="18"/>
                <w:szCs w:val="18"/>
                <w:highlight w:val="none"/>
              </w:rPr>
            </w:pPr>
          </w:p>
        </w:tc>
      </w:tr>
      <w:tr w14:paraId="266994CA">
        <w:tblPrEx>
          <w:tblCellMar>
            <w:top w:w="0" w:type="dxa"/>
            <w:left w:w="108" w:type="dxa"/>
            <w:bottom w:w="0" w:type="dxa"/>
            <w:right w:w="108" w:type="dxa"/>
          </w:tblCellMar>
        </w:tblPrEx>
        <w:trPr>
          <w:trHeight w:val="479" w:hRule="atLeast"/>
        </w:trPr>
        <w:tc>
          <w:tcPr>
            <w:tcW w:w="1983" w:type="dxa"/>
            <w:gridSpan w:val="2"/>
            <w:tcBorders>
              <w:top w:val="single" w:color="000000" w:sz="4" w:space="0"/>
              <w:left w:val="single" w:color="000000" w:sz="4" w:space="0"/>
              <w:bottom w:val="single" w:color="000000" w:sz="4" w:space="0"/>
              <w:right w:val="single" w:color="000000" w:sz="4" w:space="0"/>
            </w:tcBorders>
            <w:vAlign w:val="center"/>
          </w:tcPr>
          <w:p w14:paraId="2753A977">
            <w:pPr>
              <w:spacing w:line="560" w:lineRule="exact"/>
              <w:jc w:val="center"/>
              <w:rPr>
                <w:rFonts w:ascii="宋体" w:hAnsi="宋体" w:eastAsia="宋体" w:cs="宋体"/>
                <w:color w:val="000000"/>
                <w:sz w:val="18"/>
                <w:szCs w:val="18"/>
                <w:highlight w:val="none"/>
              </w:rPr>
            </w:pPr>
            <w:r>
              <w:rPr>
                <w:rFonts w:hint="eastAsia" w:ascii="宋体" w:hAnsi="宋体" w:cs="宋体"/>
                <w:color w:val="000000"/>
                <w:sz w:val="18"/>
                <w:szCs w:val="18"/>
                <w:highlight w:val="none"/>
              </w:rPr>
              <w:t>最终得分</w:t>
            </w:r>
          </w:p>
        </w:tc>
        <w:tc>
          <w:tcPr>
            <w:tcW w:w="7500" w:type="dxa"/>
            <w:gridSpan w:val="4"/>
            <w:tcBorders>
              <w:top w:val="single" w:color="000000" w:sz="4" w:space="0"/>
              <w:left w:val="single" w:color="000000" w:sz="4" w:space="0"/>
              <w:bottom w:val="single" w:color="000000" w:sz="4" w:space="0"/>
              <w:right w:val="single" w:color="000000" w:sz="4" w:space="0"/>
            </w:tcBorders>
            <w:vAlign w:val="center"/>
          </w:tcPr>
          <w:p w14:paraId="5EBEF5A6">
            <w:pPr>
              <w:snapToGrid w:val="0"/>
              <w:spacing w:line="560" w:lineRule="exact"/>
              <w:rPr>
                <w:rFonts w:ascii="宋体" w:hAnsi="宋体" w:eastAsia="宋体" w:cs="宋体"/>
                <w:color w:val="000000"/>
                <w:sz w:val="18"/>
                <w:szCs w:val="18"/>
                <w:highlight w:val="none"/>
              </w:rPr>
            </w:pPr>
          </w:p>
        </w:tc>
      </w:tr>
      <w:tr w14:paraId="1C341A17">
        <w:tblPrEx>
          <w:tblCellMar>
            <w:top w:w="0" w:type="dxa"/>
            <w:left w:w="108" w:type="dxa"/>
            <w:bottom w:w="0" w:type="dxa"/>
            <w:right w:w="108" w:type="dxa"/>
          </w:tblCellMar>
        </w:tblPrEx>
        <w:trPr>
          <w:trHeight w:val="510" w:hRule="atLeast"/>
        </w:trPr>
        <w:tc>
          <w:tcPr>
            <w:tcW w:w="1983" w:type="dxa"/>
            <w:gridSpan w:val="2"/>
            <w:tcBorders>
              <w:top w:val="single" w:color="000000" w:sz="4" w:space="0"/>
              <w:left w:val="single" w:color="000000" w:sz="4" w:space="0"/>
              <w:bottom w:val="single" w:color="000000" w:sz="4" w:space="0"/>
              <w:right w:val="single" w:color="000000" w:sz="4" w:space="0"/>
            </w:tcBorders>
            <w:vAlign w:val="center"/>
          </w:tcPr>
          <w:p w14:paraId="2EB0659F">
            <w:pPr>
              <w:spacing w:line="560" w:lineRule="exact"/>
              <w:jc w:val="center"/>
              <w:rPr>
                <w:rFonts w:ascii="宋体" w:hAnsi="宋体" w:eastAsia="宋体" w:cs="宋体"/>
                <w:color w:val="000000"/>
                <w:sz w:val="18"/>
                <w:szCs w:val="18"/>
                <w:highlight w:val="none"/>
              </w:rPr>
            </w:pPr>
            <w:r>
              <w:rPr>
                <w:rFonts w:hint="eastAsia" w:ascii="宋体" w:hAnsi="宋体" w:cs="宋体"/>
                <w:color w:val="000000"/>
                <w:sz w:val="18"/>
                <w:szCs w:val="18"/>
                <w:highlight w:val="none"/>
              </w:rPr>
              <w:t>评价小组签字</w:t>
            </w:r>
          </w:p>
        </w:tc>
        <w:tc>
          <w:tcPr>
            <w:tcW w:w="7500" w:type="dxa"/>
            <w:gridSpan w:val="4"/>
            <w:tcBorders>
              <w:top w:val="single" w:color="000000" w:sz="4" w:space="0"/>
              <w:left w:val="single" w:color="000000" w:sz="4" w:space="0"/>
              <w:bottom w:val="single" w:color="000000" w:sz="4" w:space="0"/>
              <w:right w:val="single" w:color="000000" w:sz="4" w:space="0"/>
            </w:tcBorders>
            <w:vAlign w:val="center"/>
          </w:tcPr>
          <w:p w14:paraId="1DAEA707">
            <w:pPr>
              <w:snapToGrid w:val="0"/>
              <w:spacing w:line="560" w:lineRule="exact"/>
              <w:rPr>
                <w:rFonts w:ascii="宋体" w:hAnsi="宋体" w:eastAsia="宋体" w:cs="宋体"/>
                <w:color w:val="000000"/>
                <w:sz w:val="18"/>
                <w:szCs w:val="18"/>
                <w:highlight w:val="none"/>
              </w:rPr>
            </w:pPr>
          </w:p>
        </w:tc>
      </w:tr>
    </w:tbl>
    <w:p w14:paraId="3029DF9F">
      <w:pPr>
        <w:pStyle w:val="170"/>
        <w:keepNext w:val="0"/>
        <w:keepLines w:val="0"/>
        <w:pageBreakBefore w:val="0"/>
        <w:widowControl w:val="0"/>
        <w:numPr>
          <w:ilvl w:val="0"/>
          <w:numId w:val="0"/>
        </w:numPr>
        <w:kinsoku/>
        <w:overflowPunct/>
        <w:autoSpaceDE/>
        <w:bidi w:val="0"/>
        <w:snapToGrid/>
        <w:spacing w:line="560" w:lineRule="exact"/>
        <w:ind w:left="0" w:leftChars="0" w:right="0" w:rightChars="0" w:firstLineChars="200"/>
        <w:jc w:val="left"/>
        <w:textAlignment w:val="auto"/>
        <w:rPr>
          <w:rStyle w:val="152"/>
          <w:rFonts w:ascii="宋体" w:hAnsi="宋体" w:cs="宋体"/>
          <w:b w:val="0"/>
          <w:bCs w:val="0"/>
          <w:color w:val="000000"/>
          <w:szCs w:val="21"/>
          <w:highlight w:val="none"/>
        </w:rPr>
      </w:pPr>
    </w:p>
    <w:p w14:paraId="6CE85C7D">
      <w:pPr>
        <w:pStyle w:val="166"/>
        <w:autoSpaceDE w:val="0"/>
        <w:spacing w:line="560" w:lineRule="exact"/>
        <w:jc w:val="left"/>
        <w:rPr>
          <w:rFonts w:hint="eastAsia" w:ascii="宋体" w:hAnsi="宋体" w:cs="宋体"/>
          <w:b w:val="0"/>
          <w:bCs w:val="0"/>
          <w:color w:val="000000"/>
          <w:sz w:val="32"/>
          <w:szCs w:val="32"/>
          <w:highlight w:val="none"/>
        </w:rPr>
      </w:pPr>
      <w:r>
        <w:rPr>
          <w:rFonts w:hint="eastAsia" w:ascii="宋体" w:hAnsi="宋体" w:cs="宋体"/>
          <w:b w:val="0"/>
          <w:bCs w:val="0"/>
          <w:color w:val="000000"/>
          <w:sz w:val="32"/>
          <w:szCs w:val="32"/>
          <w:highlight w:val="none"/>
        </w:rPr>
        <w:t>附件1</w:t>
      </w:r>
    </w:p>
    <w:p w14:paraId="5D93833E">
      <w:pPr>
        <w:pStyle w:val="166"/>
        <w:autoSpaceDE w:val="0"/>
        <w:spacing w:line="560" w:lineRule="exact"/>
        <w:jc w:val="center"/>
        <w:rPr>
          <w:rFonts w:hint="eastAsia" w:ascii="黑体" w:hAnsi="黑体" w:eastAsia="黑体" w:cs="Arial"/>
          <w:b w:val="0"/>
          <w:bCs w:val="0"/>
          <w:color w:val="000000"/>
          <w:kern w:val="0"/>
          <w:sz w:val="36"/>
          <w:szCs w:val="36"/>
          <w:highlight w:val="none"/>
        </w:rPr>
      </w:pPr>
      <w:r>
        <w:rPr>
          <w:rFonts w:hint="eastAsia" w:ascii="黑体" w:hAnsi="黑体" w:eastAsia="黑体" w:cs="Arial"/>
          <w:b w:val="0"/>
          <w:bCs w:val="0"/>
          <w:color w:val="000000"/>
          <w:kern w:val="0"/>
          <w:sz w:val="36"/>
          <w:szCs w:val="36"/>
          <w:highlight w:val="none"/>
        </w:rPr>
        <w:t>建设工程廉政责任合同</w:t>
      </w:r>
    </w:p>
    <w:p w14:paraId="44617854">
      <w:pPr>
        <w:pStyle w:val="166"/>
        <w:autoSpaceDE w:val="0"/>
        <w:spacing w:line="560" w:lineRule="exact"/>
        <w:jc w:val="left"/>
        <w:rPr>
          <w:rFonts w:ascii="宋体" w:hAnsi="宋体" w:eastAsia="宋体" w:cs="Times New Roman"/>
          <w:b w:val="0"/>
          <w:bCs w:val="0"/>
          <w:color w:val="000000"/>
          <w:kern w:val="2"/>
          <w:sz w:val="21"/>
          <w:szCs w:val="21"/>
          <w:highlight w:val="none"/>
        </w:rPr>
      </w:pPr>
      <w:r>
        <w:rPr>
          <w:rFonts w:hint="eastAsia" w:ascii="宋体" w:hAnsi="宋体" w:eastAsia="宋体" w:cs="Times New Roman"/>
          <w:b w:val="0"/>
          <w:bCs w:val="0"/>
          <w:color w:val="000000"/>
          <w:kern w:val="2"/>
          <w:sz w:val="21"/>
          <w:szCs w:val="21"/>
          <w:highlight w:val="none"/>
        </w:rPr>
        <w:t xml:space="preserve"> </w:t>
      </w:r>
    </w:p>
    <w:p w14:paraId="3B1984CF">
      <w:pPr>
        <w:pStyle w:val="166"/>
        <w:autoSpaceDE w:val="0"/>
        <w:spacing w:line="560" w:lineRule="exact"/>
        <w:jc w:val="left"/>
        <w:rPr>
          <w:rFonts w:ascii="宋体" w:hAnsi="宋体" w:eastAsia="宋体" w:cs="Times New Roman"/>
          <w:b w:val="0"/>
          <w:bCs w:val="0"/>
          <w:color w:val="000000"/>
          <w:kern w:val="2"/>
          <w:sz w:val="21"/>
          <w:szCs w:val="21"/>
          <w:highlight w:val="none"/>
          <w:u w:val="none"/>
        </w:rPr>
      </w:pPr>
      <w:r>
        <w:rPr>
          <w:rFonts w:ascii="宋体" w:hAnsi="宋体" w:eastAsia="宋体" w:cs="Times New Roman"/>
          <w:b w:val="0"/>
          <w:bCs w:val="0"/>
          <w:color w:val="000000"/>
          <w:kern w:val="2"/>
          <w:sz w:val="21"/>
          <w:szCs w:val="21"/>
          <w:highlight w:val="none"/>
        </w:rPr>
        <w:t xml:space="preserve"> </w:t>
      </w:r>
      <w:r>
        <w:rPr>
          <w:rFonts w:hint="eastAsia" w:ascii="宋体" w:hAnsi="宋体" w:eastAsia="宋体" w:cs="Times New Roman"/>
          <w:b w:val="0"/>
          <w:bCs w:val="0"/>
          <w:color w:val="000000"/>
          <w:kern w:val="2"/>
          <w:sz w:val="21"/>
          <w:szCs w:val="21"/>
          <w:highlight w:val="none"/>
        </w:rPr>
        <w:t xml:space="preserve">   </w:t>
      </w:r>
      <w:r>
        <w:rPr>
          <w:rFonts w:hint="eastAsia" w:ascii="宋体" w:hAnsi="宋体" w:cs="Times New Roman"/>
          <w:b w:val="0"/>
          <w:bCs w:val="0"/>
          <w:color w:val="000000"/>
          <w:kern w:val="2"/>
          <w:sz w:val="21"/>
          <w:szCs w:val="21"/>
          <w:highlight w:val="none"/>
        </w:rPr>
        <w:t>委托人</w:t>
      </w:r>
      <w:r>
        <w:rPr>
          <w:rFonts w:ascii="宋体" w:hAnsi="宋体" w:cs="Times New Roman"/>
          <w:b w:val="0"/>
          <w:bCs w:val="0"/>
          <w:color w:val="000000"/>
          <w:kern w:val="2"/>
          <w:sz w:val="21"/>
          <w:szCs w:val="21"/>
          <w:highlight w:val="none"/>
        </w:rPr>
        <w:t>：</w:t>
      </w:r>
      <w:r>
        <w:rPr>
          <w:rFonts w:hint="eastAsia" w:ascii="宋体" w:hAnsi="宋体" w:cs="Times New Roman"/>
          <w:b w:val="0"/>
          <w:bCs w:val="0"/>
          <w:color w:val="000000"/>
          <w:kern w:val="2"/>
          <w:sz w:val="21"/>
          <w:szCs w:val="21"/>
          <w:highlight w:val="none"/>
          <w:u w:val="none"/>
        </w:rPr>
        <w:t>___________________________</w:t>
      </w:r>
    </w:p>
    <w:p w14:paraId="1A23BC2A">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hint="eastAsia" w:ascii="宋体" w:hAnsi="宋体" w:cs="Times New Roman"/>
          <w:b w:val="0"/>
          <w:bCs w:val="0"/>
          <w:color w:val="000000"/>
          <w:kern w:val="2"/>
          <w:sz w:val="21"/>
          <w:szCs w:val="21"/>
          <w:highlight w:val="none"/>
        </w:rPr>
        <w:t>监理人</w:t>
      </w:r>
      <w:r>
        <w:rPr>
          <w:rFonts w:ascii="宋体" w:hAnsi="宋体" w:cs="Times New Roman"/>
          <w:b w:val="0"/>
          <w:bCs w:val="0"/>
          <w:color w:val="000000"/>
          <w:kern w:val="2"/>
          <w:sz w:val="21"/>
          <w:szCs w:val="21"/>
          <w:highlight w:val="none"/>
        </w:rPr>
        <w:t>：</w:t>
      </w:r>
      <w:r>
        <w:rPr>
          <w:rFonts w:hint="eastAsia" w:ascii="宋体" w:hAnsi="宋体" w:cs="Times New Roman"/>
          <w:b w:val="0"/>
          <w:bCs w:val="0"/>
          <w:color w:val="000000"/>
          <w:kern w:val="2"/>
          <w:sz w:val="21"/>
          <w:szCs w:val="21"/>
          <w:highlight w:val="none"/>
          <w:u w:val="none"/>
        </w:rPr>
        <w:t>___________________________</w:t>
      </w:r>
    </w:p>
    <w:p w14:paraId="5F95093C">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为加强工程建设中的廉政建设，规范工程项目双方的各项活动，防止发生各种谋取不正当利益的违法违纪行为，确保建设项目工程质量达到国家有关规定，根据国家有关工程建设的法律法规和廉政建设规定，特订立本廉政合同。</w:t>
      </w:r>
    </w:p>
    <w:p w14:paraId="73BFAB4B">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第一条　双方的权利和义务</w:t>
      </w:r>
    </w:p>
    <w:p w14:paraId="55847439">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（一）严格遵守国家关于市场准入、勘测设计、施工监理、招标投标、工程施工、设备安装和市场经营活动等有关法律法规和相关政策，以及廉政建设的各项规定。</w:t>
      </w:r>
    </w:p>
    <w:p w14:paraId="77B45D7C">
      <w:pPr>
        <w:pStyle w:val="166"/>
        <w:autoSpaceDE w:val="0"/>
        <w:spacing w:line="560" w:lineRule="exact"/>
        <w:ind w:left="0" w:leftChars="0" w:right="0" w:rightChars="0" w:firstLineChars="200"/>
        <w:jc w:val="left"/>
        <w:rPr>
          <w:rFonts w:hint="eastAsia"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二）业务活动必须坚持公开、公平、公正、诚信、透明的原则（除法律法规认定的商业秘密和合同文件另有规定者外），双方人员不得为获取不正当的利益，就工程费用、材料供应、工程量变动、工程验收、工程质量等问题进行私下商谈或达成默契，不得损害国家和集体利益，违反工程建设管理规章制度。</w:t>
      </w:r>
      <w:r>
        <w:rPr>
          <w:rFonts w:hint="eastAsia" w:ascii="宋体" w:hAnsi="宋体" w:cs="Times New Roman"/>
          <w:b w:val="0"/>
          <w:bCs w:val="0"/>
          <w:color w:val="000000"/>
          <w:kern w:val="2"/>
          <w:sz w:val="21"/>
          <w:szCs w:val="21"/>
          <w:highlight w:val="none"/>
        </w:rPr>
        <w:t xml:space="preserve"> </w:t>
      </w:r>
    </w:p>
    <w:p w14:paraId="235B9484">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三）建立健全廉政制度，开展廉政教育，设立廉政告示牌，公布举报电话，监督违法违纪行为。发现对方在业务活动中有违反本合同行为的，有及时提醒对方纠正的权利和义务。情节严重的，有向有关部门举报、建议给予处理并要求告知处理结果的权利。</w:t>
      </w:r>
    </w:p>
    <w:p w14:paraId="48A32C7D">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第二条　</w:t>
      </w:r>
      <w:r>
        <w:rPr>
          <w:rFonts w:hint="eastAsia" w:ascii="宋体" w:hAnsi="宋体" w:cs="Times New Roman"/>
          <w:b w:val="0"/>
          <w:bCs w:val="0"/>
          <w:color w:val="000000"/>
          <w:kern w:val="2"/>
          <w:sz w:val="21"/>
          <w:szCs w:val="21"/>
          <w:highlight w:val="none"/>
        </w:rPr>
        <w:t>委托人</w:t>
      </w:r>
      <w:r>
        <w:rPr>
          <w:rFonts w:ascii="宋体" w:hAnsi="宋体" w:cs="Times New Roman"/>
          <w:b w:val="0"/>
          <w:bCs w:val="0"/>
          <w:color w:val="000000"/>
          <w:kern w:val="2"/>
          <w:sz w:val="21"/>
          <w:szCs w:val="21"/>
          <w:highlight w:val="none"/>
        </w:rPr>
        <w:t>的责任</w:t>
      </w:r>
    </w:p>
    <w:p w14:paraId="1E82E42C">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hint="eastAsia" w:ascii="宋体" w:hAnsi="宋体" w:cs="Times New Roman"/>
          <w:b w:val="0"/>
          <w:bCs w:val="0"/>
          <w:color w:val="000000"/>
          <w:kern w:val="2"/>
          <w:sz w:val="21"/>
          <w:szCs w:val="21"/>
          <w:highlight w:val="none"/>
        </w:rPr>
        <w:t>委托人</w:t>
      </w:r>
      <w:r>
        <w:rPr>
          <w:rFonts w:ascii="宋体" w:hAnsi="宋体" w:cs="Times New Roman"/>
          <w:b w:val="0"/>
          <w:bCs w:val="0"/>
          <w:color w:val="000000"/>
          <w:kern w:val="2"/>
          <w:sz w:val="21"/>
          <w:szCs w:val="21"/>
          <w:highlight w:val="none"/>
        </w:rPr>
        <w:t>的负责人和从事该工程项目的工作人员，在工程项目的事前、事中、事后应遵守以下规定：</w:t>
      </w:r>
    </w:p>
    <w:p w14:paraId="1187B77B">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（一）不得以任何理由向</w:t>
      </w:r>
      <w:r>
        <w:rPr>
          <w:rFonts w:hint="eastAsia" w:ascii="宋体" w:hAnsi="宋体" w:cs="Times New Roman"/>
          <w:b w:val="0"/>
          <w:bCs w:val="0"/>
          <w:color w:val="000000"/>
          <w:kern w:val="2"/>
          <w:sz w:val="21"/>
          <w:szCs w:val="21"/>
          <w:highlight w:val="none"/>
        </w:rPr>
        <w:t>监理人</w:t>
      </w:r>
      <w:r>
        <w:rPr>
          <w:rFonts w:ascii="宋体" w:hAnsi="宋体" w:cs="Times New Roman"/>
          <w:b w:val="0"/>
          <w:bCs w:val="0"/>
          <w:color w:val="000000"/>
          <w:kern w:val="2"/>
          <w:sz w:val="21"/>
          <w:szCs w:val="21"/>
          <w:highlight w:val="none"/>
        </w:rPr>
        <w:t>索要或接受现金、有价证券、通讯工具、交通工具、高档办公用品及其它物品。</w:t>
      </w:r>
    </w:p>
    <w:p w14:paraId="7662D8BC">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（二）不得在</w:t>
      </w:r>
      <w:r>
        <w:rPr>
          <w:rFonts w:hint="eastAsia" w:ascii="宋体" w:hAnsi="宋体" w:cs="Times New Roman"/>
          <w:b w:val="0"/>
          <w:bCs w:val="0"/>
          <w:color w:val="000000"/>
          <w:kern w:val="2"/>
          <w:sz w:val="21"/>
          <w:szCs w:val="21"/>
          <w:highlight w:val="none"/>
        </w:rPr>
        <w:t>监理人</w:t>
      </w:r>
      <w:r>
        <w:rPr>
          <w:rFonts w:ascii="宋体" w:hAnsi="宋体" w:cs="Times New Roman"/>
          <w:b w:val="0"/>
          <w:bCs w:val="0"/>
          <w:color w:val="000000"/>
          <w:kern w:val="2"/>
          <w:sz w:val="21"/>
          <w:szCs w:val="21"/>
          <w:highlight w:val="none"/>
        </w:rPr>
        <w:t>报销应由</w:t>
      </w:r>
      <w:r>
        <w:rPr>
          <w:rFonts w:hint="eastAsia" w:ascii="宋体" w:hAnsi="宋体" w:cs="Times New Roman"/>
          <w:b w:val="0"/>
          <w:bCs w:val="0"/>
          <w:color w:val="000000"/>
          <w:kern w:val="2"/>
          <w:sz w:val="21"/>
          <w:szCs w:val="21"/>
          <w:highlight w:val="none"/>
        </w:rPr>
        <w:t>委托人</w:t>
      </w:r>
      <w:r>
        <w:rPr>
          <w:rFonts w:ascii="宋体" w:hAnsi="宋体" w:cs="Times New Roman"/>
          <w:b w:val="0"/>
          <w:bCs w:val="0"/>
          <w:color w:val="000000"/>
          <w:kern w:val="2"/>
          <w:sz w:val="21"/>
          <w:szCs w:val="21"/>
          <w:highlight w:val="none"/>
        </w:rPr>
        <w:t>单位或个人支付的费用。</w:t>
      </w:r>
    </w:p>
    <w:p w14:paraId="63D1E565">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（三）不得参加</w:t>
      </w:r>
      <w:r>
        <w:rPr>
          <w:rFonts w:hint="eastAsia" w:ascii="宋体" w:hAnsi="宋体" w:cs="Times New Roman"/>
          <w:b w:val="0"/>
          <w:bCs w:val="0"/>
          <w:color w:val="000000"/>
          <w:kern w:val="2"/>
          <w:sz w:val="21"/>
          <w:szCs w:val="21"/>
          <w:highlight w:val="none"/>
        </w:rPr>
        <w:t>监理人</w:t>
      </w:r>
      <w:r>
        <w:rPr>
          <w:rFonts w:ascii="宋体" w:hAnsi="宋体" w:cs="Times New Roman"/>
          <w:b w:val="0"/>
          <w:bCs w:val="0"/>
          <w:color w:val="000000"/>
          <w:kern w:val="2"/>
          <w:sz w:val="21"/>
          <w:szCs w:val="21"/>
          <w:highlight w:val="none"/>
        </w:rPr>
        <w:t>安排的宴请及其他消费活动。</w:t>
      </w:r>
    </w:p>
    <w:p w14:paraId="5D716D0D">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（四）不得要求、暗示和接受</w:t>
      </w:r>
      <w:r>
        <w:rPr>
          <w:rFonts w:hint="eastAsia" w:ascii="宋体" w:hAnsi="宋体" w:cs="Times New Roman"/>
          <w:b w:val="0"/>
          <w:bCs w:val="0"/>
          <w:color w:val="000000"/>
          <w:kern w:val="2"/>
          <w:sz w:val="21"/>
          <w:szCs w:val="21"/>
          <w:highlight w:val="none"/>
        </w:rPr>
        <w:t>监理人</w:t>
      </w:r>
      <w:r>
        <w:rPr>
          <w:rFonts w:ascii="宋体" w:hAnsi="宋体" w:cs="Times New Roman"/>
          <w:b w:val="0"/>
          <w:bCs w:val="0"/>
          <w:color w:val="000000"/>
          <w:kern w:val="2"/>
          <w:sz w:val="21"/>
          <w:szCs w:val="21"/>
          <w:highlight w:val="none"/>
        </w:rPr>
        <w:t>为个人装修房屋及为配偶子女的工作安排以及本人或亲属旅游等提供方便。</w:t>
      </w:r>
    </w:p>
    <w:p w14:paraId="5E52C3E4">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（五）其配偶、子女不得从事与</w:t>
      </w:r>
      <w:r>
        <w:rPr>
          <w:rFonts w:hint="eastAsia" w:ascii="宋体" w:hAnsi="宋体" w:cs="Times New Roman"/>
          <w:b w:val="0"/>
          <w:bCs w:val="0"/>
          <w:color w:val="000000"/>
          <w:kern w:val="2"/>
          <w:sz w:val="21"/>
          <w:szCs w:val="21"/>
          <w:highlight w:val="none"/>
        </w:rPr>
        <w:t>监理人</w:t>
      </w:r>
      <w:r>
        <w:rPr>
          <w:rFonts w:ascii="宋体" w:hAnsi="宋体" w:cs="Times New Roman"/>
          <w:b w:val="0"/>
          <w:bCs w:val="0"/>
          <w:color w:val="000000"/>
          <w:kern w:val="2"/>
          <w:sz w:val="21"/>
          <w:szCs w:val="21"/>
          <w:highlight w:val="none"/>
        </w:rPr>
        <w:t>承包工程有关的设备材料供应、工程分包、劳务等经济活动。</w:t>
      </w:r>
    </w:p>
    <w:p w14:paraId="48FFFD56">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（六）不得以任何理由向</w:t>
      </w:r>
      <w:r>
        <w:rPr>
          <w:rFonts w:hint="eastAsia" w:ascii="宋体" w:hAnsi="宋体" w:cs="Times New Roman"/>
          <w:b w:val="0"/>
          <w:bCs w:val="0"/>
          <w:color w:val="000000"/>
          <w:kern w:val="2"/>
          <w:sz w:val="21"/>
          <w:szCs w:val="21"/>
          <w:highlight w:val="none"/>
        </w:rPr>
        <w:t>监理人</w:t>
      </w:r>
      <w:r>
        <w:rPr>
          <w:rFonts w:ascii="宋体" w:hAnsi="宋体" w:cs="Times New Roman"/>
          <w:b w:val="0"/>
          <w:bCs w:val="0"/>
          <w:color w:val="000000"/>
          <w:kern w:val="2"/>
          <w:sz w:val="21"/>
          <w:szCs w:val="21"/>
          <w:highlight w:val="none"/>
        </w:rPr>
        <w:t>推荐分包单位或要求</w:t>
      </w:r>
      <w:r>
        <w:rPr>
          <w:rFonts w:hint="eastAsia" w:ascii="宋体" w:hAnsi="宋体" w:cs="Times New Roman"/>
          <w:b w:val="0"/>
          <w:bCs w:val="0"/>
          <w:color w:val="000000"/>
          <w:kern w:val="2"/>
          <w:sz w:val="21"/>
          <w:szCs w:val="21"/>
          <w:highlight w:val="none"/>
        </w:rPr>
        <w:t>监理人</w:t>
      </w:r>
      <w:r>
        <w:rPr>
          <w:rFonts w:ascii="宋体" w:hAnsi="宋体" w:cs="Times New Roman"/>
          <w:b w:val="0"/>
          <w:bCs w:val="0"/>
          <w:color w:val="000000"/>
          <w:kern w:val="2"/>
          <w:sz w:val="21"/>
          <w:szCs w:val="21"/>
          <w:highlight w:val="none"/>
        </w:rPr>
        <w:t>购买项目合同规定以外的材料、设备和服务等。</w:t>
      </w:r>
    </w:p>
    <w:p w14:paraId="7082A084">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（七）不得串通</w:t>
      </w:r>
      <w:r>
        <w:rPr>
          <w:rFonts w:hint="eastAsia" w:ascii="宋体" w:hAnsi="宋体" w:cs="Times New Roman"/>
          <w:b w:val="0"/>
          <w:bCs w:val="0"/>
          <w:color w:val="000000"/>
          <w:kern w:val="2"/>
          <w:sz w:val="21"/>
          <w:szCs w:val="21"/>
          <w:highlight w:val="none"/>
        </w:rPr>
        <w:t>监理人</w:t>
      </w:r>
      <w:r>
        <w:rPr>
          <w:rFonts w:ascii="宋体" w:hAnsi="宋体" w:cs="Times New Roman"/>
          <w:b w:val="0"/>
          <w:bCs w:val="0"/>
          <w:color w:val="000000"/>
          <w:kern w:val="2"/>
          <w:sz w:val="21"/>
          <w:szCs w:val="21"/>
          <w:highlight w:val="none"/>
        </w:rPr>
        <w:t>人员在工程质量、工程经济技术签证等方面弄</w:t>
      </w:r>
      <w:r>
        <w:rPr>
          <w:rFonts w:hint="eastAsia" w:ascii="宋体" w:hAnsi="宋体" w:cs="Times New Roman"/>
          <w:b w:val="0"/>
          <w:bCs w:val="0"/>
          <w:color w:val="000000"/>
          <w:kern w:val="2"/>
          <w:sz w:val="21"/>
          <w:szCs w:val="21"/>
          <w:highlight w:val="none"/>
          <w:lang w:eastAsia="zh-CN"/>
        </w:rPr>
        <w:t>虚</w:t>
      </w:r>
      <w:r>
        <w:rPr>
          <w:rFonts w:ascii="宋体" w:hAnsi="宋体" w:cs="Times New Roman"/>
          <w:b w:val="0"/>
          <w:bCs w:val="0"/>
          <w:color w:val="000000"/>
          <w:kern w:val="2"/>
          <w:sz w:val="21"/>
          <w:szCs w:val="21"/>
          <w:highlight w:val="none"/>
        </w:rPr>
        <w:t>作假，牟取私利。</w:t>
      </w:r>
    </w:p>
    <w:p w14:paraId="7C34C1B3">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（八）不得肢解工程、指定工程分包单位。</w:t>
      </w:r>
    </w:p>
    <w:p w14:paraId="1B8B3FBB">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第三条　</w:t>
      </w:r>
      <w:r>
        <w:rPr>
          <w:rFonts w:hint="eastAsia" w:ascii="宋体" w:hAnsi="宋体" w:cs="Times New Roman"/>
          <w:b w:val="0"/>
          <w:bCs w:val="0"/>
          <w:color w:val="000000"/>
          <w:kern w:val="2"/>
          <w:sz w:val="21"/>
          <w:szCs w:val="21"/>
          <w:highlight w:val="none"/>
        </w:rPr>
        <w:t>监理人</w:t>
      </w:r>
      <w:r>
        <w:rPr>
          <w:rFonts w:ascii="宋体" w:hAnsi="宋体" w:cs="Times New Roman"/>
          <w:b w:val="0"/>
          <w:bCs w:val="0"/>
          <w:color w:val="000000"/>
          <w:kern w:val="2"/>
          <w:sz w:val="21"/>
          <w:szCs w:val="21"/>
          <w:highlight w:val="none"/>
        </w:rPr>
        <w:t>的责任</w:t>
      </w:r>
    </w:p>
    <w:p w14:paraId="6194E6CA">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hint="eastAsia" w:ascii="宋体" w:hAnsi="宋体" w:cs="Times New Roman"/>
          <w:b w:val="0"/>
          <w:bCs w:val="0"/>
          <w:color w:val="000000"/>
          <w:kern w:val="2"/>
          <w:sz w:val="21"/>
          <w:szCs w:val="21"/>
          <w:highlight w:val="none"/>
        </w:rPr>
        <w:t>监理人</w:t>
      </w:r>
      <w:r>
        <w:rPr>
          <w:rFonts w:ascii="宋体" w:hAnsi="宋体" w:cs="Times New Roman"/>
          <w:b w:val="0"/>
          <w:bCs w:val="0"/>
          <w:color w:val="000000"/>
          <w:kern w:val="2"/>
          <w:sz w:val="21"/>
          <w:szCs w:val="21"/>
          <w:highlight w:val="none"/>
        </w:rPr>
        <w:t>应与</w:t>
      </w:r>
      <w:r>
        <w:rPr>
          <w:rFonts w:hint="eastAsia" w:ascii="宋体" w:hAnsi="宋体" w:cs="Times New Roman"/>
          <w:b w:val="0"/>
          <w:bCs w:val="0"/>
          <w:color w:val="000000"/>
          <w:kern w:val="2"/>
          <w:sz w:val="21"/>
          <w:szCs w:val="21"/>
          <w:highlight w:val="none"/>
        </w:rPr>
        <w:t>委托人</w:t>
      </w:r>
      <w:r>
        <w:rPr>
          <w:rFonts w:ascii="宋体" w:hAnsi="宋体" w:cs="Times New Roman"/>
          <w:b w:val="0"/>
          <w:bCs w:val="0"/>
          <w:color w:val="000000"/>
          <w:kern w:val="2"/>
          <w:sz w:val="21"/>
          <w:szCs w:val="21"/>
          <w:highlight w:val="none"/>
        </w:rPr>
        <w:t>保持正常的业务交往，按照有关法律法规和程序开展业务活动，严格执行工程建设的有关方针、政策，尤其是有关强制性标准和规范，并遵守以下规定：</w:t>
      </w:r>
    </w:p>
    <w:p w14:paraId="557B3BA4">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（一）不得以任何理由向</w:t>
      </w:r>
      <w:r>
        <w:rPr>
          <w:rFonts w:hint="eastAsia" w:ascii="宋体" w:hAnsi="宋体" w:cs="Times New Roman"/>
          <w:b w:val="0"/>
          <w:bCs w:val="0"/>
          <w:color w:val="000000"/>
          <w:kern w:val="2"/>
          <w:sz w:val="21"/>
          <w:szCs w:val="21"/>
          <w:highlight w:val="none"/>
        </w:rPr>
        <w:t>委托人</w:t>
      </w:r>
      <w:r>
        <w:rPr>
          <w:rFonts w:ascii="宋体" w:hAnsi="宋体" w:cs="Times New Roman"/>
          <w:b w:val="0"/>
          <w:bCs w:val="0"/>
          <w:color w:val="000000"/>
          <w:kern w:val="2"/>
          <w:sz w:val="21"/>
          <w:szCs w:val="21"/>
          <w:highlight w:val="none"/>
        </w:rPr>
        <w:t>及其工作人员行贿或赠送现金、有价证券、贵重物品。</w:t>
      </w:r>
    </w:p>
    <w:p w14:paraId="3D2AFA26">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（二）不得以任何名义为</w:t>
      </w:r>
      <w:r>
        <w:rPr>
          <w:rFonts w:hint="eastAsia" w:ascii="宋体" w:hAnsi="宋体" w:cs="Times New Roman"/>
          <w:b w:val="0"/>
          <w:bCs w:val="0"/>
          <w:color w:val="000000"/>
          <w:kern w:val="2"/>
          <w:sz w:val="21"/>
          <w:szCs w:val="21"/>
          <w:highlight w:val="none"/>
        </w:rPr>
        <w:t>委托人</w:t>
      </w:r>
      <w:r>
        <w:rPr>
          <w:rFonts w:ascii="宋体" w:hAnsi="宋体" w:cs="Times New Roman"/>
          <w:b w:val="0"/>
          <w:bCs w:val="0"/>
          <w:color w:val="000000"/>
          <w:kern w:val="2"/>
          <w:sz w:val="21"/>
          <w:szCs w:val="21"/>
          <w:highlight w:val="none"/>
        </w:rPr>
        <w:t>及其工作人员报销应由对方支付的费用。</w:t>
      </w:r>
    </w:p>
    <w:p w14:paraId="70476829">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（三）不得以任何理由宴请</w:t>
      </w:r>
      <w:r>
        <w:rPr>
          <w:rFonts w:hint="eastAsia" w:ascii="宋体" w:hAnsi="宋体" w:cs="Times New Roman"/>
          <w:b w:val="0"/>
          <w:bCs w:val="0"/>
          <w:color w:val="000000"/>
          <w:kern w:val="2"/>
          <w:sz w:val="21"/>
          <w:szCs w:val="21"/>
          <w:highlight w:val="none"/>
        </w:rPr>
        <w:t>委托人</w:t>
      </w:r>
      <w:r>
        <w:rPr>
          <w:rFonts w:ascii="宋体" w:hAnsi="宋体" w:cs="Times New Roman"/>
          <w:b w:val="0"/>
          <w:bCs w:val="0"/>
          <w:color w:val="000000"/>
          <w:kern w:val="2"/>
          <w:sz w:val="21"/>
          <w:szCs w:val="21"/>
          <w:highlight w:val="none"/>
        </w:rPr>
        <w:t>工作人员或安排其他消费活动。</w:t>
      </w:r>
    </w:p>
    <w:p w14:paraId="34F0B38F">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（四）不为</w:t>
      </w:r>
      <w:r>
        <w:rPr>
          <w:rFonts w:hint="eastAsia" w:ascii="宋体" w:hAnsi="宋体" w:cs="Times New Roman"/>
          <w:b w:val="0"/>
          <w:bCs w:val="0"/>
          <w:color w:val="000000"/>
          <w:kern w:val="2"/>
          <w:sz w:val="21"/>
          <w:szCs w:val="21"/>
          <w:highlight w:val="none"/>
        </w:rPr>
        <w:t>委托人</w:t>
      </w:r>
      <w:r>
        <w:rPr>
          <w:rFonts w:ascii="宋体" w:hAnsi="宋体" w:cs="Times New Roman"/>
          <w:b w:val="0"/>
          <w:bCs w:val="0"/>
          <w:color w:val="000000"/>
          <w:kern w:val="2"/>
          <w:sz w:val="21"/>
          <w:szCs w:val="21"/>
          <w:highlight w:val="none"/>
        </w:rPr>
        <w:t>单位和工作人员购置或提供通讯工具、交通工具、高档办公用品和装修住房等。</w:t>
      </w:r>
    </w:p>
    <w:p w14:paraId="0A96D0E1">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（五）不得串通</w:t>
      </w:r>
      <w:r>
        <w:rPr>
          <w:rFonts w:hint="eastAsia" w:ascii="宋体" w:hAnsi="宋体" w:cs="Times New Roman"/>
          <w:b w:val="0"/>
          <w:bCs w:val="0"/>
          <w:color w:val="000000"/>
          <w:kern w:val="2"/>
          <w:sz w:val="21"/>
          <w:szCs w:val="21"/>
          <w:highlight w:val="none"/>
        </w:rPr>
        <w:t>委托人</w:t>
      </w:r>
      <w:r>
        <w:rPr>
          <w:rFonts w:ascii="宋体" w:hAnsi="宋体" w:cs="Times New Roman"/>
          <w:b w:val="0"/>
          <w:bCs w:val="0"/>
          <w:color w:val="000000"/>
          <w:kern w:val="2"/>
          <w:sz w:val="21"/>
          <w:szCs w:val="21"/>
          <w:highlight w:val="none"/>
        </w:rPr>
        <w:t>人员在工程质量、工程隐蔽、工程经济技术签证等方面</w:t>
      </w:r>
      <w:r>
        <w:rPr>
          <w:rFonts w:hint="eastAsia" w:ascii="宋体" w:hAnsi="宋体" w:cs="Times New Roman"/>
          <w:b w:val="0"/>
          <w:bCs w:val="0"/>
          <w:color w:val="000000"/>
          <w:kern w:val="2"/>
          <w:sz w:val="21"/>
          <w:szCs w:val="21"/>
          <w:highlight w:val="none"/>
          <w:lang w:eastAsia="zh-CN"/>
        </w:rPr>
        <w:t>弄虚作假</w:t>
      </w:r>
      <w:r>
        <w:rPr>
          <w:rFonts w:ascii="宋体" w:hAnsi="宋体" w:cs="Times New Roman"/>
          <w:b w:val="0"/>
          <w:bCs w:val="0"/>
          <w:color w:val="000000"/>
          <w:kern w:val="2"/>
          <w:sz w:val="21"/>
          <w:szCs w:val="21"/>
          <w:highlight w:val="none"/>
        </w:rPr>
        <w:t>，牟取私利。</w:t>
      </w:r>
    </w:p>
    <w:p w14:paraId="3DB561BA">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（六）不得</w:t>
      </w:r>
      <w:r>
        <w:rPr>
          <w:rFonts w:hint="eastAsia" w:ascii="宋体" w:hAnsi="宋体" w:cs="Times New Roman"/>
          <w:b w:val="0"/>
          <w:bCs w:val="0"/>
          <w:color w:val="000000"/>
          <w:kern w:val="2"/>
          <w:sz w:val="21"/>
          <w:szCs w:val="21"/>
          <w:highlight w:val="none"/>
        </w:rPr>
        <w:t>串通承包人将</w:t>
      </w:r>
      <w:r>
        <w:rPr>
          <w:rFonts w:ascii="宋体" w:hAnsi="宋体" w:cs="Times New Roman"/>
          <w:b w:val="0"/>
          <w:bCs w:val="0"/>
          <w:color w:val="000000"/>
          <w:kern w:val="2"/>
          <w:sz w:val="21"/>
          <w:szCs w:val="21"/>
          <w:highlight w:val="none"/>
        </w:rPr>
        <w:t>承包工程转包，挂靠承包。</w:t>
      </w:r>
    </w:p>
    <w:p w14:paraId="61C150E6">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（七）不得违反工程造价管理规定，编制工程预算、决算。</w:t>
      </w:r>
    </w:p>
    <w:p w14:paraId="74BAAFF0">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第四条　违约责任</w:t>
      </w:r>
    </w:p>
    <w:p w14:paraId="6AB2A1EA">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（一）</w:t>
      </w:r>
      <w:r>
        <w:rPr>
          <w:rFonts w:hint="eastAsia" w:ascii="宋体" w:hAnsi="宋体" w:cs="Times New Roman"/>
          <w:b w:val="0"/>
          <w:bCs w:val="0"/>
          <w:color w:val="000000"/>
          <w:kern w:val="2"/>
          <w:sz w:val="21"/>
          <w:szCs w:val="21"/>
          <w:highlight w:val="none"/>
        </w:rPr>
        <w:t>委托人</w:t>
      </w:r>
      <w:r>
        <w:rPr>
          <w:rFonts w:ascii="宋体" w:hAnsi="宋体" w:cs="Times New Roman"/>
          <w:b w:val="0"/>
          <w:bCs w:val="0"/>
          <w:color w:val="000000"/>
          <w:kern w:val="2"/>
          <w:sz w:val="21"/>
          <w:szCs w:val="21"/>
          <w:highlight w:val="none"/>
        </w:rPr>
        <w:t>工作人员有违反本合同第一、二条责任行为的，按照管理权限，依据有关规定予以处理；涉嫌犯罪的，移交司法机关追究刑事责任；给</w:t>
      </w:r>
      <w:r>
        <w:rPr>
          <w:rFonts w:hint="eastAsia" w:ascii="宋体" w:hAnsi="宋体" w:cs="Times New Roman"/>
          <w:b w:val="0"/>
          <w:bCs w:val="0"/>
          <w:color w:val="000000"/>
          <w:kern w:val="2"/>
          <w:sz w:val="21"/>
          <w:szCs w:val="21"/>
          <w:highlight w:val="none"/>
        </w:rPr>
        <w:t>监理人</w:t>
      </w:r>
      <w:r>
        <w:rPr>
          <w:rFonts w:ascii="宋体" w:hAnsi="宋体" w:cs="Times New Roman"/>
          <w:b w:val="0"/>
          <w:bCs w:val="0"/>
          <w:color w:val="000000"/>
          <w:kern w:val="2"/>
          <w:sz w:val="21"/>
          <w:szCs w:val="21"/>
          <w:highlight w:val="none"/>
        </w:rPr>
        <w:t>单位</w:t>
      </w:r>
      <w:bookmarkStart w:id="22" w:name="_GoBack"/>
      <w:bookmarkEnd w:id="22"/>
      <w:r>
        <w:rPr>
          <w:rFonts w:ascii="宋体" w:hAnsi="宋体" w:cs="Times New Roman"/>
          <w:b w:val="0"/>
          <w:bCs w:val="0"/>
          <w:color w:val="000000"/>
          <w:kern w:val="2"/>
          <w:sz w:val="21"/>
          <w:szCs w:val="21"/>
          <w:highlight w:val="none"/>
        </w:rPr>
        <w:t>造成经济损失的，应予赔偿。</w:t>
      </w:r>
    </w:p>
    <w:p w14:paraId="4FC44DB9">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（二）</w:t>
      </w:r>
      <w:r>
        <w:rPr>
          <w:rFonts w:hint="eastAsia" w:ascii="宋体" w:hAnsi="宋体" w:cs="Times New Roman"/>
          <w:b w:val="0"/>
          <w:bCs w:val="0"/>
          <w:color w:val="000000"/>
          <w:kern w:val="2"/>
          <w:sz w:val="21"/>
          <w:szCs w:val="21"/>
          <w:highlight w:val="none"/>
        </w:rPr>
        <w:t>监理人</w:t>
      </w:r>
      <w:r>
        <w:rPr>
          <w:rFonts w:ascii="宋体" w:hAnsi="宋体" w:cs="Times New Roman"/>
          <w:b w:val="0"/>
          <w:bCs w:val="0"/>
          <w:color w:val="000000"/>
          <w:kern w:val="2"/>
          <w:sz w:val="21"/>
          <w:szCs w:val="21"/>
          <w:highlight w:val="none"/>
        </w:rPr>
        <w:t>工作人员有违反本合同第一、三条责任行为的，按照管理权限，依据有关规定予以处理；涉嫌犯罪的，移交司法机关追究刑事责任；给</w:t>
      </w:r>
      <w:r>
        <w:rPr>
          <w:rFonts w:hint="eastAsia" w:ascii="宋体" w:hAnsi="宋体" w:cs="Times New Roman"/>
          <w:b w:val="0"/>
          <w:bCs w:val="0"/>
          <w:color w:val="000000"/>
          <w:kern w:val="2"/>
          <w:sz w:val="21"/>
          <w:szCs w:val="21"/>
          <w:highlight w:val="none"/>
        </w:rPr>
        <w:t>委托人</w:t>
      </w:r>
      <w:r>
        <w:rPr>
          <w:rFonts w:ascii="宋体" w:hAnsi="宋体" w:cs="Times New Roman"/>
          <w:b w:val="0"/>
          <w:bCs w:val="0"/>
          <w:color w:val="000000"/>
          <w:kern w:val="2"/>
          <w:sz w:val="21"/>
          <w:szCs w:val="21"/>
          <w:highlight w:val="none"/>
        </w:rPr>
        <w:t>单位造成经济损失的，应予赔偿。</w:t>
      </w:r>
    </w:p>
    <w:p w14:paraId="2D546A6C">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第五条　双方约定：在自觉履行合同的同时，由</w:t>
      </w:r>
      <w:r>
        <w:rPr>
          <w:rFonts w:hint="eastAsia" w:ascii="宋体" w:hAnsi="宋体" w:cs="Times New Roman"/>
          <w:b w:val="0"/>
          <w:bCs w:val="0"/>
          <w:color w:val="000000"/>
          <w:kern w:val="2"/>
          <w:sz w:val="21"/>
          <w:szCs w:val="21"/>
          <w:highlight w:val="none"/>
        </w:rPr>
        <w:t>委托人</w:t>
      </w:r>
      <w:r>
        <w:rPr>
          <w:rFonts w:ascii="宋体" w:hAnsi="宋体" w:cs="Times New Roman"/>
          <w:b w:val="0"/>
          <w:bCs w:val="0"/>
          <w:color w:val="000000"/>
          <w:kern w:val="2"/>
          <w:sz w:val="21"/>
          <w:szCs w:val="21"/>
          <w:highlight w:val="none"/>
        </w:rPr>
        <w:t>监督单位负责对本合同履行情况进行监督检查。</w:t>
      </w:r>
    </w:p>
    <w:p w14:paraId="7A087C17">
      <w:pPr>
        <w:pStyle w:val="166"/>
        <w:autoSpaceDE w:val="0"/>
        <w:spacing w:line="560" w:lineRule="exact"/>
        <w:jc w:val="left"/>
        <w:rPr>
          <w:rFonts w:ascii="宋体" w:hAnsi="宋体" w:eastAsia="宋体" w:cs="Times New Roman"/>
          <w:b w:val="0"/>
          <w:bCs w:val="0"/>
          <w:color w:val="000000"/>
          <w:kern w:val="2"/>
          <w:sz w:val="21"/>
          <w:szCs w:val="21"/>
          <w:highlight w:val="none"/>
        </w:rPr>
      </w:pPr>
    </w:p>
    <w:p w14:paraId="68B3CA7E">
      <w:pPr>
        <w:snapToGrid w:val="0"/>
        <w:spacing w:line="560" w:lineRule="exact"/>
        <w:ind w:left="0" w:leftChars="0" w:right="0" w:rightChars="0" w:firstLine="0" w:firstLineChars="0"/>
        <w:rPr>
          <w:rFonts w:ascii="宋体" w:hAnsi="宋体" w:cs="宋体"/>
          <w:b w:val="0"/>
          <w:bCs w:val="0"/>
          <w:color w:val="000000"/>
          <w:kern w:val="2"/>
          <w:sz w:val="21"/>
          <w:szCs w:val="21"/>
          <w:highlight w:val="none"/>
        </w:rPr>
      </w:pPr>
      <w:r>
        <w:rPr>
          <w:rFonts w:hint="eastAsia" w:ascii="宋体" w:hAnsi="宋体" w:cs="Times New Roman"/>
          <w:b w:val="0"/>
          <w:bCs w:val="0"/>
          <w:color w:val="000000"/>
          <w:kern w:val="2"/>
          <w:sz w:val="21"/>
          <w:szCs w:val="21"/>
          <w:highlight w:val="none"/>
        </w:rPr>
        <w:t>委托人</w:t>
      </w:r>
      <w:r>
        <w:rPr>
          <w:rFonts w:ascii="宋体" w:hAnsi="宋体" w:cs="Times New Roman"/>
          <w:b w:val="0"/>
          <w:bCs w:val="0"/>
          <w:color w:val="000000"/>
          <w:kern w:val="2"/>
          <w:sz w:val="21"/>
          <w:szCs w:val="21"/>
          <w:highlight w:val="none"/>
        </w:rPr>
        <w:t>单位（盖章）：</w:t>
      </w:r>
      <w:r>
        <w:rPr>
          <w:rFonts w:ascii="宋体" w:hAnsi="宋体" w:cs="宋体"/>
          <w:b w:val="0"/>
          <w:bCs w:val="0"/>
          <w:color w:val="000000"/>
          <w:kern w:val="2"/>
          <w:sz w:val="21"/>
          <w:szCs w:val="21"/>
          <w:highlight w:val="none"/>
        </w:rPr>
        <w:t xml:space="preserve"> </w:t>
      </w:r>
      <w:r>
        <w:rPr>
          <w:rFonts w:ascii="宋体" w:hAnsi="宋体" w:cs="Times New Roman"/>
          <w:b w:val="0"/>
          <w:bCs w:val="0"/>
          <w:color w:val="000000"/>
          <w:kern w:val="2"/>
          <w:sz w:val="21"/>
          <w:szCs w:val="21"/>
          <w:highlight w:val="none"/>
        </w:rPr>
        <w:t xml:space="preserve">　  </w:t>
      </w:r>
      <w:r>
        <w:rPr>
          <w:rFonts w:hint="eastAsia" w:ascii="宋体" w:hAnsi="宋体" w:cs="Times New Roman"/>
          <w:b w:val="0"/>
          <w:bCs w:val="0"/>
          <w:color w:val="000000"/>
          <w:kern w:val="2"/>
          <w:sz w:val="21"/>
          <w:szCs w:val="21"/>
          <w:highlight w:val="none"/>
        </w:rPr>
        <w:t xml:space="preserve">                       监理人</w:t>
      </w:r>
      <w:r>
        <w:rPr>
          <w:rFonts w:ascii="宋体" w:hAnsi="宋体" w:cs="Times New Roman"/>
          <w:b w:val="0"/>
          <w:bCs w:val="0"/>
          <w:color w:val="000000"/>
          <w:kern w:val="2"/>
          <w:sz w:val="21"/>
          <w:szCs w:val="21"/>
          <w:highlight w:val="none"/>
        </w:rPr>
        <w:t>单位（盖章）：</w:t>
      </w:r>
    </w:p>
    <w:p w14:paraId="632E949E">
      <w:pPr>
        <w:snapToGrid w:val="0"/>
        <w:spacing w:line="560" w:lineRule="exact"/>
        <w:ind w:left="0" w:leftChars="0" w:right="0" w:rightChars="0" w:firstLineChars="1300"/>
        <w:rPr>
          <w:rFonts w:ascii="宋体" w:hAnsi="宋体" w:cs="宋体"/>
          <w:b w:val="0"/>
          <w:bCs w:val="0"/>
          <w:color w:val="000000"/>
          <w:kern w:val="2"/>
          <w:sz w:val="21"/>
          <w:szCs w:val="21"/>
          <w:highlight w:val="none"/>
        </w:rPr>
      </w:pPr>
      <w:r>
        <w:rPr>
          <w:rFonts w:ascii="宋体" w:hAnsi="宋体" w:cs="宋体"/>
          <w:b w:val="0"/>
          <w:bCs w:val="0"/>
          <w:color w:val="000000"/>
          <w:kern w:val="2"/>
          <w:sz w:val="21"/>
          <w:szCs w:val="21"/>
          <w:highlight w:val="none"/>
        </w:rPr>
        <w:t xml:space="preserve">                         </w:t>
      </w:r>
    </w:p>
    <w:p w14:paraId="0C92268A">
      <w:pPr>
        <w:pStyle w:val="166"/>
        <w:autoSpaceDE w:val="0"/>
        <w:spacing w:line="560" w:lineRule="exact"/>
        <w:jc w:val="left"/>
        <w:rPr>
          <w:rFonts w:ascii="宋体" w:hAnsi="宋体" w:eastAsia="宋体" w:cs="Times New Roman"/>
          <w:b w:val="0"/>
          <w:bCs w:val="0"/>
          <w:color w:val="000000"/>
          <w:kern w:val="2"/>
          <w:sz w:val="21"/>
          <w:szCs w:val="21"/>
          <w:highlight w:val="none"/>
        </w:rPr>
      </w:pPr>
    </w:p>
    <w:p w14:paraId="61A11991">
      <w:pPr>
        <w:pStyle w:val="166"/>
        <w:autoSpaceDE w:val="0"/>
        <w:spacing w:line="560" w:lineRule="exact"/>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 xml:space="preserve">法定代表人：　　　　　　　　　              </w:t>
      </w:r>
      <w:r>
        <w:rPr>
          <w:rFonts w:hint="eastAsia" w:ascii="宋体" w:hAnsi="宋体" w:cs="Times New Roman"/>
          <w:b w:val="0"/>
          <w:bCs w:val="0"/>
          <w:color w:val="000000"/>
          <w:kern w:val="2"/>
          <w:sz w:val="21"/>
          <w:szCs w:val="21"/>
          <w:highlight w:val="none"/>
        </w:rPr>
        <w:t xml:space="preserve">     </w:t>
      </w:r>
      <w:r>
        <w:rPr>
          <w:rFonts w:ascii="宋体" w:hAnsi="宋体" w:cs="Times New Roman"/>
          <w:b w:val="0"/>
          <w:bCs w:val="0"/>
          <w:color w:val="000000"/>
          <w:kern w:val="2"/>
          <w:sz w:val="21"/>
          <w:szCs w:val="21"/>
          <w:highlight w:val="none"/>
        </w:rPr>
        <w:t>法定代表人：</w:t>
      </w:r>
    </w:p>
    <w:p w14:paraId="536D2956">
      <w:pPr>
        <w:pStyle w:val="166"/>
        <w:autoSpaceDE w:val="0"/>
        <w:spacing w:line="560" w:lineRule="exact"/>
        <w:jc w:val="left"/>
        <w:rPr>
          <w:rFonts w:ascii="宋体" w:hAnsi="宋体" w:eastAsia="宋体" w:cs="Times New Roman"/>
          <w:b w:val="0"/>
          <w:bCs w:val="0"/>
          <w:color w:val="000000"/>
          <w:kern w:val="2"/>
          <w:sz w:val="21"/>
          <w:szCs w:val="21"/>
          <w:highlight w:val="none"/>
        </w:rPr>
      </w:pPr>
    </w:p>
    <w:p w14:paraId="099BA642">
      <w:pPr>
        <w:pStyle w:val="166"/>
        <w:autoSpaceDE w:val="0"/>
        <w:spacing w:line="560" w:lineRule="exact"/>
        <w:jc w:val="left"/>
        <w:rPr>
          <w:rFonts w:ascii="宋体" w:hAnsi="宋体" w:eastAsia="宋体" w:cs="Times New Roman"/>
          <w:b w:val="0"/>
          <w:bCs w:val="0"/>
          <w:color w:val="000000"/>
          <w:kern w:val="2"/>
          <w:sz w:val="21"/>
          <w:szCs w:val="21"/>
          <w:highlight w:val="none"/>
        </w:rPr>
      </w:pPr>
      <w:r>
        <w:rPr>
          <w:rFonts w:hint="eastAsia" w:ascii="宋体" w:hAnsi="宋体" w:cs="Times New Roman"/>
          <w:b w:val="0"/>
          <w:bCs w:val="0"/>
          <w:color w:val="000000"/>
          <w:kern w:val="2"/>
          <w:sz w:val="21"/>
          <w:szCs w:val="21"/>
          <w:highlight w:val="none"/>
        </w:rPr>
        <w:t>或授权代理人：                               或授权代理人：</w:t>
      </w:r>
    </w:p>
    <w:p w14:paraId="061DB215">
      <w:pPr>
        <w:pStyle w:val="166"/>
        <w:autoSpaceDE w:val="0"/>
        <w:spacing w:line="560" w:lineRule="exact"/>
        <w:jc w:val="left"/>
        <w:rPr>
          <w:rFonts w:hint="eastAsia" w:ascii="宋体" w:hAnsi="宋体" w:eastAsia="宋体" w:cs="Times New Roman"/>
          <w:b w:val="0"/>
          <w:bCs w:val="0"/>
          <w:color w:val="000000"/>
          <w:kern w:val="2"/>
          <w:sz w:val="21"/>
          <w:szCs w:val="21"/>
          <w:highlight w:val="none"/>
        </w:rPr>
      </w:pPr>
      <w:r>
        <w:rPr>
          <w:rFonts w:hint="eastAsia" w:ascii="宋体" w:hAnsi="宋体" w:eastAsia="宋体" w:cs="Times New Roman"/>
          <w:b w:val="0"/>
          <w:bCs w:val="0"/>
          <w:color w:val="000000"/>
          <w:kern w:val="2"/>
          <w:sz w:val="21"/>
          <w:szCs w:val="21"/>
          <w:highlight w:val="none"/>
        </w:rPr>
        <w:t xml:space="preserve"> </w:t>
      </w:r>
    </w:p>
    <w:p w14:paraId="2EB73267">
      <w:pPr>
        <w:pStyle w:val="166"/>
        <w:autoSpaceDE w:val="0"/>
        <w:spacing w:line="560" w:lineRule="exact"/>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监督电话：</w:t>
      </w:r>
      <w:r>
        <w:rPr>
          <w:rFonts w:ascii="宋体" w:hAnsi="宋体" w:eastAsia="宋体" w:cs="Times New Roman"/>
          <w:b w:val="0"/>
          <w:bCs w:val="0"/>
          <w:color w:val="000000"/>
          <w:kern w:val="2"/>
          <w:sz w:val="21"/>
          <w:szCs w:val="21"/>
          <w:highlight w:val="none"/>
        </w:rPr>
        <w:t xml:space="preserve">0755-89890158                   </w:t>
      </w:r>
      <w:r>
        <w:rPr>
          <w:rFonts w:hint="eastAsia" w:ascii="宋体" w:hAnsi="宋体" w:eastAsia="宋体" w:cs="Times New Roman"/>
          <w:b w:val="0"/>
          <w:bCs w:val="0"/>
          <w:color w:val="000000"/>
          <w:kern w:val="2"/>
          <w:sz w:val="21"/>
          <w:szCs w:val="21"/>
          <w:highlight w:val="none"/>
        </w:rPr>
        <w:t xml:space="preserve">    </w:t>
      </w:r>
      <w:r>
        <w:rPr>
          <w:rFonts w:ascii="宋体" w:hAnsi="宋体" w:eastAsia="宋体" w:cs="Times New Roman"/>
          <w:b w:val="0"/>
          <w:bCs w:val="0"/>
          <w:color w:val="000000"/>
          <w:kern w:val="2"/>
          <w:sz w:val="21"/>
          <w:szCs w:val="21"/>
          <w:highlight w:val="none"/>
        </w:rPr>
        <w:t xml:space="preserve"> </w:t>
      </w:r>
      <w:r>
        <w:rPr>
          <w:rFonts w:hint="eastAsia" w:ascii="宋体" w:hAnsi="宋体" w:eastAsia="宋体" w:cs="Times New Roman"/>
          <w:b w:val="0"/>
          <w:bCs w:val="0"/>
          <w:color w:val="000000"/>
          <w:kern w:val="2"/>
          <w:sz w:val="21"/>
          <w:szCs w:val="21"/>
          <w:highlight w:val="none"/>
        </w:rPr>
        <w:t xml:space="preserve">  </w:t>
      </w:r>
      <w:r>
        <w:rPr>
          <w:rFonts w:ascii="宋体" w:hAnsi="宋体" w:cs="Times New Roman"/>
          <w:b w:val="0"/>
          <w:bCs w:val="0"/>
          <w:color w:val="000000"/>
          <w:kern w:val="2"/>
          <w:sz w:val="21"/>
          <w:szCs w:val="21"/>
          <w:highlight w:val="none"/>
        </w:rPr>
        <w:t>监督电话：</w:t>
      </w:r>
    </w:p>
    <w:p w14:paraId="57EE22BD">
      <w:pPr>
        <w:pStyle w:val="166"/>
        <w:autoSpaceDE w:val="0"/>
        <w:spacing w:line="560" w:lineRule="exact"/>
        <w:jc w:val="left"/>
        <w:rPr>
          <w:rFonts w:ascii="宋体" w:hAnsi="宋体" w:eastAsia="宋体" w:cs="Times New Roman"/>
          <w:b w:val="0"/>
          <w:bCs w:val="0"/>
          <w:color w:val="000000"/>
          <w:kern w:val="2"/>
          <w:sz w:val="21"/>
          <w:szCs w:val="21"/>
          <w:highlight w:val="none"/>
        </w:rPr>
      </w:pPr>
    </w:p>
    <w:p w14:paraId="6BC489AC">
      <w:pPr>
        <w:pStyle w:val="149"/>
        <w:autoSpaceDE w:val="0"/>
        <w:spacing w:line="560" w:lineRule="exact"/>
        <w:ind w:left="0" w:leftChars="0" w:right="0" w:rightChars="0" w:firstLineChars="3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年　　月　　日　　　　　                  　</w:t>
      </w:r>
      <w:r>
        <w:rPr>
          <w:rFonts w:hint="eastAsia" w:ascii="宋体" w:hAnsi="宋体" w:cs="Times New Roman"/>
          <w:b w:val="0"/>
          <w:bCs w:val="0"/>
          <w:color w:val="000000"/>
          <w:kern w:val="2"/>
          <w:sz w:val="21"/>
          <w:szCs w:val="21"/>
          <w:highlight w:val="none"/>
        </w:rPr>
        <w:t xml:space="preserve">      </w:t>
      </w:r>
      <w:r>
        <w:rPr>
          <w:rFonts w:ascii="宋体" w:hAnsi="宋体" w:cs="Times New Roman"/>
          <w:b w:val="0"/>
          <w:bCs w:val="0"/>
          <w:color w:val="000000"/>
          <w:kern w:val="2"/>
          <w:sz w:val="21"/>
          <w:szCs w:val="21"/>
          <w:highlight w:val="none"/>
        </w:rPr>
        <w:t>年　　月　　日</w:t>
      </w:r>
    </w:p>
    <w:p w14:paraId="63048753">
      <w:pPr>
        <w:pStyle w:val="166"/>
        <w:spacing w:line="560" w:lineRule="exact"/>
        <w:rPr>
          <w:rFonts w:ascii="宋体" w:hAnsi="宋体" w:eastAsia="宋体" w:cs="Times New Roman"/>
          <w:b w:val="0"/>
          <w:bCs w:val="0"/>
          <w:color w:val="000000"/>
          <w:kern w:val="2"/>
          <w:sz w:val="21"/>
          <w:szCs w:val="21"/>
          <w:highlight w:val="none"/>
        </w:rPr>
      </w:pPr>
    </w:p>
    <w:p w14:paraId="11076CF5">
      <w:pPr>
        <w:pStyle w:val="187"/>
        <w:spacing w:line="560" w:lineRule="exact"/>
        <w:rPr>
          <w:rFonts w:hint="eastAsia" w:ascii="宋体" w:hAnsi="宋体" w:eastAsia="宋体" w:cs="宋体"/>
          <w:b w:val="0"/>
          <w:bCs w:val="0"/>
          <w:color w:val="000000"/>
          <w:sz w:val="24"/>
          <w:szCs w:val="24"/>
          <w:highlight w:val="none"/>
        </w:rPr>
      </w:pPr>
    </w:p>
    <w:p w14:paraId="2C7001B5">
      <w:pPr>
        <w:pStyle w:val="187"/>
        <w:spacing w:line="560" w:lineRule="exact"/>
        <w:rPr>
          <w:rFonts w:hint="eastAsia" w:ascii="宋体" w:hAnsi="宋体" w:cs="宋体"/>
          <w:b w:val="0"/>
          <w:bCs w:val="0"/>
          <w:color w:val="000000"/>
          <w:sz w:val="24"/>
          <w:szCs w:val="24"/>
          <w:highlight w:val="none"/>
        </w:rPr>
      </w:pPr>
    </w:p>
    <w:p w14:paraId="4368C5D4">
      <w:pPr>
        <w:pStyle w:val="187"/>
        <w:spacing w:line="560" w:lineRule="exact"/>
        <w:rPr>
          <w:rFonts w:hint="eastAsia" w:ascii="宋体" w:hAnsi="宋体" w:cs="宋体"/>
          <w:b w:val="0"/>
          <w:bCs w:val="0"/>
          <w:color w:val="000000"/>
          <w:sz w:val="24"/>
          <w:szCs w:val="24"/>
          <w:highlight w:val="none"/>
        </w:rPr>
      </w:pPr>
    </w:p>
    <w:p w14:paraId="59418308">
      <w:pPr>
        <w:pStyle w:val="187"/>
        <w:spacing w:line="560" w:lineRule="exact"/>
        <w:rPr>
          <w:rFonts w:hint="eastAsia" w:ascii="宋体" w:hAnsi="宋体" w:cs="宋体"/>
          <w:b w:val="0"/>
          <w:bCs w:val="0"/>
          <w:color w:val="000000"/>
          <w:sz w:val="24"/>
          <w:szCs w:val="24"/>
          <w:highlight w:val="none"/>
        </w:rPr>
      </w:pPr>
    </w:p>
    <w:p w14:paraId="6C30AAF4">
      <w:pPr>
        <w:pStyle w:val="187"/>
        <w:spacing w:line="560" w:lineRule="exact"/>
        <w:rPr>
          <w:rFonts w:hint="eastAsia" w:ascii="宋体" w:hAnsi="宋体" w:cs="宋体"/>
          <w:b w:val="0"/>
          <w:bCs w:val="0"/>
          <w:color w:val="000000"/>
          <w:sz w:val="24"/>
          <w:szCs w:val="24"/>
          <w:highlight w:val="none"/>
        </w:rPr>
      </w:pPr>
    </w:p>
    <w:p w14:paraId="1F1DAC25">
      <w:pPr>
        <w:pStyle w:val="187"/>
        <w:spacing w:line="560" w:lineRule="exact"/>
        <w:rPr>
          <w:rFonts w:hint="eastAsia" w:ascii="宋体" w:hAnsi="宋体" w:cs="宋体"/>
          <w:b w:val="0"/>
          <w:bCs w:val="0"/>
          <w:color w:val="000000"/>
          <w:sz w:val="24"/>
          <w:szCs w:val="24"/>
          <w:highlight w:val="none"/>
        </w:rPr>
      </w:pPr>
    </w:p>
    <w:p w14:paraId="5054C76C">
      <w:pPr>
        <w:pStyle w:val="187"/>
        <w:spacing w:line="560" w:lineRule="exact"/>
        <w:rPr>
          <w:rFonts w:hint="eastAsia" w:ascii="宋体" w:hAnsi="宋体" w:cs="宋体"/>
          <w:b w:val="0"/>
          <w:bCs w:val="0"/>
          <w:color w:val="000000"/>
          <w:sz w:val="24"/>
          <w:szCs w:val="24"/>
          <w:highlight w:val="none"/>
        </w:rPr>
      </w:pPr>
    </w:p>
    <w:p w14:paraId="50701207">
      <w:pPr>
        <w:pStyle w:val="187"/>
        <w:spacing w:line="560" w:lineRule="exact"/>
        <w:rPr>
          <w:rFonts w:hint="eastAsia" w:ascii="宋体" w:hAnsi="宋体" w:cs="宋体"/>
          <w:b w:val="0"/>
          <w:bCs w:val="0"/>
          <w:color w:val="000000"/>
          <w:sz w:val="24"/>
          <w:szCs w:val="24"/>
          <w:highlight w:val="none"/>
        </w:rPr>
      </w:pPr>
    </w:p>
    <w:p w14:paraId="71670A41">
      <w:pPr>
        <w:pStyle w:val="187"/>
        <w:spacing w:line="560" w:lineRule="exact"/>
        <w:rPr>
          <w:rFonts w:hint="eastAsia" w:ascii="宋体" w:hAnsi="宋体" w:cs="宋体"/>
          <w:b w:val="0"/>
          <w:bCs w:val="0"/>
          <w:color w:val="000000"/>
          <w:sz w:val="24"/>
          <w:szCs w:val="24"/>
          <w:highlight w:val="none"/>
        </w:rPr>
      </w:pPr>
    </w:p>
    <w:p w14:paraId="75F7FCC4">
      <w:pPr>
        <w:pStyle w:val="187"/>
        <w:spacing w:line="560" w:lineRule="exact"/>
        <w:rPr>
          <w:rFonts w:hint="eastAsia" w:ascii="宋体" w:hAnsi="宋体" w:cs="宋体"/>
          <w:b w:val="0"/>
          <w:bCs w:val="0"/>
          <w:color w:val="000000"/>
          <w:sz w:val="24"/>
          <w:szCs w:val="24"/>
          <w:highlight w:val="none"/>
        </w:rPr>
      </w:pPr>
    </w:p>
    <w:p w14:paraId="1FDEA87A">
      <w:pPr>
        <w:pStyle w:val="166"/>
        <w:autoSpaceDE w:val="0"/>
        <w:spacing w:line="560" w:lineRule="exact"/>
        <w:jc w:val="left"/>
        <w:rPr>
          <w:rFonts w:ascii="宋体" w:hAnsi="宋体" w:cs="宋体"/>
          <w:b w:val="0"/>
          <w:bCs w:val="0"/>
          <w:color w:val="000000"/>
          <w:sz w:val="32"/>
          <w:szCs w:val="32"/>
          <w:highlight w:val="none"/>
        </w:rPr>
      </w:pPr>
      <w:r>
        <w:rPr>
          <w:rFonts w:hint="eastAsia" w:ascii="宋体" w:hAnsi="宋体" w:cs="宋体"/>
          <w:b w:val="0"/>
          <w:bCs w:val="0"/>
          <w:color w:val="000000"/>
          <w:sz w:val="32"/>
          <w:szCs w:val="32"/>
          <w:highlight w:val="none"/>
        </w:rPr>
        <w:t>附件2</w:t>
      </w:r>
    </w:p>
    <w:p w14:paraId="2EE5C715">
      <w:pPr>
        <w:pStyle w:val="187"/>
        <w:spacing w:line="560" w:lineRule="exact"/>
        <w:ind w:left="0" w:leftChars="0" w:right="0" w:rightChars="0" w:firstLine="0" w:firstLineChars="0"/>
        <w:rPr>
          <w:rFonts w:hint="eastAsia" w:ascii="宋体" w:hAnsi="宋体" w:cs="宋体"/>
          <w:b w:val="0"/>
          <w:bCs w:val="0"/>
          <w:color w:val="000000"/>
          <w:sz w:val="24"/>
          <w:szCs w:val="24"/>
          <w:highlight w:val="none"/>
        </w:rPr>
      </w:pPr>
    </w:p>
    <w:p w14:paraId="2944BFBA">
      <w:pPr>
        <w:pStyle w:val="166"/>
        <w:autoSpaceDE w:val="0"/>
        <w:spacing w:line="560" w:lineRule="exact"/>
        <w:jc w:val="center"/>
        <w:rPr>
          <w:rFonts w:hint="eastAsia" w:ascii="黑体" w:hAnsi="黑体" w:eastAsia="黑体" w:cs="Times New Roman"/>
          <w:b w:val="0"/>
          <w:bCs w:val="0"/>
          <w:color w:val="000000"/>
          <w:kern w:val="0"/>
          <w:sz w:val="36"/>
          <w:szCs w:val="36"/>
          <w:highlight w:val="none"/>
        </w:rPr>
      </w:pPr>
      <w:r>
        <w:rPr>
          <w:rFonts w:hint="eastAsia" w:ascii="黑体" w:hAnsi="黑体" w:eastAsia="黑体" w:cs="Times New Roman"/>
          <w:b w:val="0"/>
          <w:bCs w:val="0"/>
          <w:color w:val="000000"/>
          <w:kern w:val="0"/>
          <w:sz w:val="36"/>
          <w:szCs w:val="36"/>
          <w:highlight w:val="none"/>
        </w:rPr>
        <w:t>安全生产责任书</w:t>
      </w:r>
    </w:p>
    <w:p w14:paraId="2A19A050">
      <w:pPr>
        <w:pStyle w:val="187"/>
        <w:spacing w:line="560" w:lineRule="exact"/>
        <w:ind w:left="0" w:leftChars="0" w:right="0" w:rightChars="0" w:firstLine="0" w:firstLineChars="0"/>
        <w:rPr>
          <w:rFonts w:hint="eastAsia" w:ascii="宋体" w:hAnsi="宋体" w:eastAsia="黑体" w:cs="宋体"/>
          <w:b w:val="0"/>
          <w:bCs w:val="0"/>
          <w:color w:val="000000"/>
          <w:kern w:val="0"/>
          <w:sz w:val="24"/>
          <w:szCs w:val="24"/>
          <w:highlight w:val="none"/>
        </w:rPr>
      </w:pPr>
    </w:p>
    <w:p w14:paraId="0ECF163A">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为在__________________________________________建设过程中创造安全、高效的施工环境，切实搞好本项目的安全管理工作，本项目业主</w:t>
      </w:r>
      <w:r>
        <w:rPr>
          <w:rFonts w:hint="eastAsia" w:ascii="宋体" w:hAnsi="宋体" w:cs="宋体"/>
          <w:b w:val="0"/>
          <w:bCs w:val="0"/>
          <w:color w:val="000000"/>
          <w:sz w:val="21"/>
          <w:szCs w:val="21"/>
          <w:highlight w:val="none"/>
          <w:u w:val="none"/>
        </w:rPr>
        <w:t>深圳市龙岗区城投新基础设施建设管理有限公司</w:t>
      </w:r>
      <w:r>
        <w:rPr>
          <w:rFonts w:hint="eastAsia" w:ascii="宋体" w:hAnsi="宋体" w:cs="宋体"/>
          <w:b w:val="0"/>
          <w:bCs w:val="0"/>
          <w:color w:val="000000"/>
          <w:sz w:val="21"/>
          <w:szCs w:val="21"/>
          <w:highlight w:val="none"/>
        </w:rPr>
        <w:t>（以下简称“委托人”）与监理人__________________________________</w:t>
      </w:r>
      <w:r>
        <w:rPr>
          <w:rFonts w:hint="eastAsia" w:ascii="宋体" w:hAnsi="宋体" w:eastAsia="宋体" w:cs="Times New Roman"/>
          <w:b w:val="0"/>
          <w:bCs w:val="0"/>
          <w:color w:val="000000"/>
          <w:sz w:val="21"/>
          <w:szCs w:val="21"/>
          <w:highlight w:val="none"/>
          <w:u w:val="none"/>
        </w:rPr>
        <w:t xml:space="preserve"> </w:t>
      </w:r>
      <w:r>
        <w:rPr>
          <w:rFonts w:hint="eastAsia" w:ascii="宋体" w:hAnsi="宋体" w:cs="宋体"/>
          <w:b w:val="0"/>
          <w:bCs w:val="0"/>
          <w:color w:val="000000"/>
          <w:sz w:val="21"/>
          <w:szCs w:val="21"/>
          <w:highlight w:val="none"/>
        </w:rPr>
        <w:t>（以下简称“监理人”）特此签订安全生产合同：</w:t>
      </w:r>
    </w:p>
    <w:p w14:paraId="76E4623C">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一、委托人职责</w:t>
      </w:r>
    </w:p>
    <w:p w14:paraId="6B6D3BDD">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1．严格遵守国家有关安全生产的法律法规，认真执行工程施工承包合同中的有关安全要求，督促、检查监理人做好安全生产工作。</w:t>
      </w:r>
    </w:p>
    <w:p w14:paraId="4B0282B4">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2．重要的安全设施必须坚持与主体工程“三同时”原则中“同时设计，审批，同时验收，投入使用”两大原则。</w:t>
      </w:r>
    </w:p>
    <w:p w14:paraId="62CD8272">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3．传达中央及地方有关安全生产的精神，听取监理人安全生产工作汇报，参与各施工单位安全生产评比。</w:t>
      </w:r>
    </w:p>
    <w:p w14:paraId="33FAC053">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二、监理人职责</w:t>
      </w:r>
    </w:p>
    <w:p w14:paraId="7BFD5312">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施工安全及文明施工监理的主要内容</w:t>
      </w:r>
    </w:p>
    <w:p w14:paraId="28BCACE2">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1.监理人应贯彻执行</w:t>
      </w:r>
      <w:r>
        <w:rPr>
          <w:rFonts w:hint="eastAsia" w:ascii="宋体" w:hAnsi="宋体" w:cs="宋体"/>
          <w:b w:val="0"/>
          <w:bCs w:val="0"/>
          <w:color w:val="000000"/>
          <w:sz w:val="21"/>
          <w:szCs w:val="21"/>
          <w:highlight w:val="none"/>
          <w:lang w:eastAsia="zh-CN"/>
        </w:rPr>
        <w:t>《中华人民共和国安全生产法》法</w:t>
      </w:r>
      <w:r>
        <w:rPr>
          <w:rFonts w:hint="eastAsia" w:ascii="宋体" w:hAnsi="宋体" w:cs="宋体"/>
          <w:b w:val="0"/>
          <w:bCs w:val="0"/>
          <w:color w:val="000000"/>
          <w:sz w:val="21"/>
          <w:szCs w:val="21"/>
          <w:highlight w:val="none"/>
        </w:rPr>
        <w:t>律、法规、规章和标准，按照深圳市监理管理条例和业主安全管理的有关规定，把施工安全及文明施工监督纳入监理范围，与工程质量、工期和投资控制同步实施。监理规划和监理实施细则中应专门列入施工安全级文明施工监理的内容，制定安全监理方案，建立、健全和完善安全管理制度；</w:t>
      </w:r>
    </w:p>
    <w:p w14:paraId="17623EFB">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2.监理人将对承包商的文明施工、安全检查工作及事故预防工作作为监理的日常工作，掌握标段安全生产状况，对重要的薄弱环节、重大危险点、危险源，进行安全监理旁站；</w:t>
      </w:r>
    </w:p>
    <w:p w14:paraId="7A35D39F">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3.监理人必须按照有关的施工安全法规、规范及标准的要求对承包商的施工组织设计的安全技术措施进行审查；</w:t>
      </w:r>
    </w:p>
    <w:p w14:paraId="04AAB760">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4.监理人员应对施工过程进行有目的巡查，督促承包商建立与完善安全生产、文明施工管理制度及安全技术操作规程，落实安全技术措施；</w:t>
      </w:r>
    </w:p>
    <w:p w14:paraId="656C4FD6">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5.监理人应针对施工中的不安全因素与安全工作中的薄弱环节进行研究，书面提出要求并督促承包商改进；</w:t>
      </w:r>
    </w:p>
    <w:p w14:paraId="6C4C0710">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6.监理人应对涉及施工安全的支撑体系、大型垂直运输设备等重要临时设施的施工方案进行审查，确保其符合有关法规、规范及标准的要求，不符合要求的，应向承包商提出改进意见并督促落实；</w:t>
      </w:r>
    </w:p>
    <w:p w14:paraId="082429CF">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7.监理人应审查特殊机械和特殊工种的操作人员的资格证、上岗证及年检合格证；</w:t>
      </w:r>
    </w:p>
    <w:p w14:paraId="12B87CA3">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8.监理人应组织定期和不定期的安全检查，配合深圳市施工安全监督站对标段的监督检查，对检查发现的隐患应立即发出监理通知，按监理通知和深圳市施工安全监督站发出的整改通知书的要求，督促、跟踪承包商“定人、定时、定措施”落实整改。对未按要求整改的承包商，即再发出第二次监理通知。对两次发出整改通知而拒不整改的承包商，监理以书面形式向业主安全管理职能部门报告，并配合业主采取必要的措施，落实整改；</w:t>
      </w:r>
    </w:p>
    <w:p w14:paraId="2C2D0125">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9.合同执行期间，监理单位必须接受业主安全管理职能部门的监督，按统一的表格形式（如以标段为单位），逐月向业主安全管理等职能部门递交书面安全监理工作报告，如实反映标段本月的安全生产状况和下月安全监理的工作重点；</w:t>
      </w:r>
    </w:p>
    <w:p w14:paraId="169DC251">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10.一旦发生安全事故，监理单位必须作出快速反映，在一小时以内向业主安全管理职能部门报告，并督促承包商进行事故的及时上报和配合调查、处理与统计工作。</w:t>
      </w:r>
    </w:p>
    <w:p w14:paraId="6367A744">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11.协助业主做好以下施工安全管理工作：</w:t>
      </w:r>
    </w:p>
    <w:p w14:paraId="18045D93">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1)协助业主编制施工安全管理程序及施工安全控制计划，制订安全控制保证措施；</w:t>
      </w:r>
    </w:p>
    <w:p w14:paraId="1AB25EAA">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2)协助业主制定施工安全目标，编制安全、文明施工管理办法；</w:t>
      </w:r>
    </w:p>
    <w:p w14:paraId="79FFDC5C">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3)抽查承包商的安全教育（三级教育）情况，抽验承包商特种工人上岗证，检查承包商的安全保证体系运行情况；</w:t>
      </w:r>
    </w:p>
    <w:p w14:paraId="19E39B3C">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4)对施工现场进行安全巡视，参加每月定期安全检查，协助业主建立安全工作</w:t>
      </w:r>
      <w:r>
        <w:rPr>
          <w:rFonts w:hint="eastAsia" w:ascii="宋体" w:hAnsi="宋体" w:cs="宋体"/>
          <w:b w:val="0"/>
          <w:bCs w:val="0"/>
          <w:color w:val="000000"/>
          <w:sz w:val="21"/>
          <w:szCs w:val="21"/>
          <w:highlight w:val="none"/>
          <w:lang w:eastAsia="zh-CN"/>
        </w:rPr>
        <w:t>台账</w:t>
      </w:r>
      <w:r>
        <w:rPr>
          <w:rFonts w:hint="eastAsia" w:ascii="宋体" w:hAnsi="宋体" w:cs="宋体"/>
          <w:b w:val="0"/>
          <w:bCs w:val="0"/>
          <w:color w:val="000000"/>
          <w:sz w:val="21"/>
          <w:szCs w:val="21"/>
          <w:highlight w:val="none"/>
        </w:rPr>
        <w:t>，分析安全状况并提出安全预控意见。</w:t>
      </w:r>
    </w:p>
    <w:p w14:paraId="63D4191B">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5)参加事故现场调查和安全事故分析会议，协助业主处理安全事故，起草事故调查分析报告；</w:t>
      </w:r>
    </w:p>
    <w:p w14:paraId="63914D6E">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6)每月提交安全、文明检查报告，协助业主总结每季度的情况是否达到施工安全目标；</w:t>
      </w:r>
    </w:p>
    <w:p w14:paraId="10F09438">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7)每季度提交安全文明检查评比报告。</w:t>
      </w:r>
    </w:p>
    <w:p w14:paraId="340C5FF9">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12.协助业主组织质量安全文明施工检查考核：</w:t>
      </w:r>
    </w:p>
    <w:p w14:paraId="53186FF5">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1)协助业主组织施工监理组、施工单位做好质量安全文明施工检查和合同履约考核；</w:t>
      </w:r>
    </w:p>
    <w:p w14:paraId="2AE27E79">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2)制定巡视和检查制度，制定质量检查评比办法，每季度组织一次质量大检查，奖优罚劣；</w:t>
      </w:r>
    </w:p>
    <w:p w14:paraId="2B3959C7">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3) 根据工程需要组织审核进场工程材料（混凝土、防水材料、石材、钢材等）、构配件、机械设备的质量证明资料，对进场实物按照有关工程质量安全管理的规定按比例抽检或见证取样、送样检验工作；</w:t>
      </w:r>
    </w:p>
    <w:p w14:paraId="09713577">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4)当施工存在重大质量安全隐患，可能造成质量安全事故或已经造成质量安全事故时，立刻下达工程停工令，责令承包商停工整改并跟踪整改；</w:t>
      </w:r>
    </w:p>
    <w:p w14:paraId="3F024575">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5)及时提交有关质量事故的书面报告，划分质量事故责任，整理质量事故处理记录等资料，并负责归档；</w:t>
      </w:r>
    </w:p>
    <w:p w14:paraId="1C7BA57F">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6)编制并提交工程质量安全报告，汇报工程的质量安全情况。</w:t>
      </w:r>
    </w:p>
    <w:p w14:paraId="1CAEBD54">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 xml:space="preserve">三、违约责任  </w:t>
      </w:r>
    </w:p>
    <w:p w14:paraId="7D0F6DF8">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 xml:space="preserve">如因委托人或监理人违约造成安全事故，将依法追究责任。 </w:t>
      </w:r>
    </w:p>
    <w:p w14:paraId="6DA4E666">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p>
    <w:p w14:paraId="7B543FEE">
      <w:pPr>
        <w:pStyle w:val="166"/>
        <w:autoSpaceDE w:val="0"/>
        <w:spacing w:line="560" w:lineRule="exact"/>
        <w:ind w:left="0" w:leftChars="0" w:right="0" w:rightChars="0" w:firstLine="0" w:firstLineChars="0"/>
        <w:jc w:val="left"/>
        <w:rPr>
          <w:rFonts w:hint="eastAsia" w:ascii="宋体" w:hAnsi="宋体" w:cs="宋体"/>
          <w:b w:val="0"/>
          <w:bCs w:val="0"/>
          <w:color w:val="000000"/>
          <w:sz w:val="21"/>
          <w:szCs w:val="21"/>
          <w:highlight w:val="none"/>
        </w:rPr>
      </w:pPr>
    </w:p>
    <w:p w14:paraId="53814C34">
      <w:pPr>
        <w:snapToGrid w:val="0"/>
        <w:spacing w:line="560" w:lineRule="exact"/>
        <w:ind w:left="0" w:leftChars="0" w:right="0" w:rightChars="0" w:firstLine="0" w:firstLineChars="0"/>
        <w:rPr>
          <w:rFonts w:ascii="宋体" w:hAnsi="宋体" w:cs="宋体"/>
          <w:b w:val="0"/>
          <w:bCs w:val="0"/>
          <w:color w:val="000000"/>
          <w:kern w:val="2"/>
          <w:sz w:val="21"/>
          <w:szCs w:val="21"/>
          <w:highlight w:val="none"/>
        </w:rPr>
      </w:pPr>
      <w:r>
        <w:rPr>
          <w:rFonts w:hint="eastAsia" w:ascii="宋体" w:hAnsi="宋体" w:cs="Times New Roman"/>
          <w:b w:val="0"/>
          <w:bCs w:val="0"/>
          <w:color w:val="000000"/>
          <w:kern w:val="2"/>
          <w:sz w:val="21"/>
          <w:szCs w:val="21"/>
          <w:highlight w:val="none"/>
        </w:rPr>
        <w:t>委托人</w:t>
      </w:r>
      <w:r>
        <w:rPr>
          <w:rFonts w:ascii="宋体" w:hAnsi="宋体" w:cs="Times New Roman"/>
          <w:b w:val="0"/>
          <w:bCs w:val="0"/>
          <w:color w:val="000000"/>
          <w:kern w:val="2"/>
          <w:sz w:val="21"/>
          <w:szCs w:val="21"/>
          <w:highlight w:val="none"/>
        </w:rPr>
        <w:t xml:space="preserve">单位（盖章）：　  </w:t>
      </w:r>
      <w:r>
        <w:rPr>
          <w:rFonts w:hint="eastAsia" w:ascii="宋体" w:hAnsi="宋体" w:cs="Times New Roman"/>
          <w:b w:val="0"/>
          <w:bCs w:val="0"/>
          <w:color w:val="000000"/>
          <w:kern w:val="2"/>
          <w:sz w:val="21"/>
          <w:szCs w:val="21"/>
          <w:highlight w:val="none"/>
        </w:rPr>
        <w:t xml:space="preserve">                         监理人</w:t>
      </w:r>
      <w:r>
        <w:rPr>
          <w:rFonts w:ascii="宋体" w:hAnsi="宋体" w:cs="Times New Roman"/>
          <w:b w:val="0"/>
          <w:bCs w:val="0"/>
          <w:color w:val="000000"/>
          <w:kern w:val="2"/>
          <w:sz w:val="21"/>
          <w:szCs w:val="21"/>
          <w:highlight w:val="none"/>
        </w:rPr>
        <w:t>单位（盖章）：</w:t>
      </w:r>
      <w:r>
        <w:rPr>
          <w:rFonts w:hint="eastAsia" w:ascii="宋体" w:hAnsi="宋体" w:cs="Times New Roman"/>
          <w:b w:val="0"/>
          <w:bCs w:val="0"/>
          <w:color w:val="000000"/>
          <w:sz w:val="21"/>
          <w:szCs w:val="21"/>
          <w:highlight w:val="none"/>
          <w:u w:val="none"/>
        </w:rPr>
        <w:t xml:space="preserve"> </w:t>
      </w:r>
    </w:p>
    <w:p w14:paraId="2F106FF8">
      <w:pPr>
        <w:snapToGrid w:val="0"/>
        <w:spacing w:line="560" w:lineRule="exact"/>
        <w:ind w:left="0" w:leftChars="0" w:right="0" w:rightChars="0" w:firstLineChars="1100"/>
        <w:rPr>
          <w:rFonts w:ascii="宋体" w:hAnsi="宋体" w:cs="宋体"/>
          <w:b w:val="0"/>
          <w:bCs w:val="0"/>
          <w:color w:val="000000"/>
          <w:kern w:val="2"/>
          <w:sz w:val="21"/>
          <w:szCs w:val="21"/>
          <w:highlight w:val="none"/>
        </w:rPr>
      </w:pPr>
      <w:r>
        <w:rPr>
          <w:rFonts w:ascii="宋体" w:hAnsi="宋体" w:cs="宋体"/>
          <w:b w:val="0"/>
          <w:bCs w:val="0"/>
          <w:color w:val="000000"/>
          <w:kern w:val="2"/>
          <w:sz w:val="21"/>
          <w:szCs w:val="21"/>
          <w:highlight w:val="none"/>
          <w:u w:val="none"/>
        </w:rPr>
        <w:t xml:space="preserve"> </w:t>
      </w:r>
      <w:r>
        <w:rPr>
          <w:rFonts w:ascii="宋体" w:hAnsi="宋体" w:cs="宋体"/>
          <w:b w:val="0"/>
          <w:bCs w:val="0"/>
          <w:color w:val="000000"/>
          <w:kern w:val="2"/>
          <w:sz w:val="21"/>
          <w:szCs w:val="21"/>
          <w:highlight w:val="none"/>
        </w:rPr>
        <w:t xml:space="preserve">                      </w:t>
      </w:r>
    </w:p>
    <w:p w14:paraId="04E0B3BF">
      <w:pPr>
        <w:pStyle w:val="166"/>
        <w:autoSpaceDE w:val="0"/>
        <w:spacing w:line="560" w:lineRule="exact"/>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 xml:space="preserve">法定代表人：　　　　　　　　　              </w:t>
      </w:r>
      <w:r>
        <w:rPr>
          <w:rFonts w:hint="eastAsia" w:ascii="宋体" w:hAnsi="宋体" w:cs="Times New Roman"/>
          <w:b w:val="0"/>
          <w:bCs w:val="0"/>
          <w:color w:val="000000"/>
          <w:kern w:val="2"/>
          <w:sz w:val="21"/>
          <w:szCs w:val="21"/>
          <w:highlight w:val="none"/>
        </w:rPr>
        <w:t xml:space="preserve">     </w:t>
      </w:r>
      <w:r>
        <w:rPr>
          <w:rFonts w:ascii="宋体" w:hAnsi="宋体" w:cs="Times New Roman"/>
          <w:b w:val="0"/>
          <w:bCs w:val="0"/>
          <w:color w:val="000000"/>
          <w:kern w:val="2"/>
          <w:sz w:val="21"/>
          <w:szCs w:val="21"/>
          <w:highlight w:val="none"/>
        </w:rPr>
        <w:t>法定代表人：</w:t>
      </w:r>
    </w:p>
    <w:p w14:paraId="1068F769">
      <w:pPr>
        <w:pStyle w:val="166"/>
        <w:autoSpaceDE w:val="0"/>
        <w:spacing w:line="560" w:lineRule="exact"/>
        <w:jc w:val="left"/>
        <w:rPr>
          <w:rFonts w:ascii="宋体" w:hAnsi="宋体" w:eastAsia="宋体" w:cs="Times New Roman"/>
          <w:b w:val="0"/>
          <w:bCs w:val="0"/>
          <w:color w:val="000000"/>
          <w:kern w:val="2"/>
          <w:sz w:val="21"/>
          <w:szCs w:val="21"/>
          <w:highlight w:val="none"/>
        </w:rPr>
      </w:pPr>
    </w:p>
    <w:p w14:paraId="5C58B3BA">
      <w:pPr>
        <w:pStyle w:val="166"/>
        <w:autoSpaceDE w:val="0"/>
        <w:spacing w:line="560" w:lineRule="exact"/>
        <w:jc w:val="left"/>
        <w:rPr>
          <w:rFonts w:ascii="宋体" w:hAnsi="宋体" w:eastAsia="宋体" w:cs="Times New Roman"/>
          <w:b w:val="0"/>
          <w:bCs w:val="0"/>
          <w:color w:val="000000"/>
          <w:kern w:val="2"/>
          <w:sz w:val="21"/>
          <w:szCs w:val="21"/>
          <w:highlight w:val="none"/>
        </w:rPr>
      </w:pPr>
      <w:r>
        <w:rPr>
          <w:rFonts w:hint="eastAsia" w:ascii="宋体" w:hAnsi="宋体" w:cs="Times New Roman"/>
          <w:b w:val="0"/>
          <w:bCs w:val="0"/>
          <w:color w:val="000000"/>
          <w:kern w:val="2"/>
          <w:sz w:val="21"/>
          <w:szCs w:val="21"/>
          <w:highlight w:val="none"/>
        </w:rPr>
        <w:t>授权代理人：                                    授权代理人：</w:t>
      </w:r>
    </w:p>
    <w:p w14:paraId="3131E88E">
      <w:pPr>
        <w:pStyle w:val="166"/>
        <w:autoSpaceDE w:val="0"/>
        <w:spacing w:line="560" w:lineRule="exact"/>
        <w:jc w:val="left"/>
        <w:rPr>
          <w:rFonts w:hint="eastAsia" w:ascii="宋体" w:hAnsi="宋体" w:eastAsia="宋体" w:cs="Times New Roman"/>
          <w:b w:val="0"/>
          <w:bCs w:val="0"/>
          <w:color w:val="000000"/>
          <w:kern w:val="2"/>
          <w:sz w:val="21"/>
          <w:szCs w:val="21"/>
          <w:highlight w:val="none"/>
        </w:rPr>
      </w:pPr>
      <w:r>
        <w:rPr>
          <w:rFonts w:hint="eastAsia" w:ascii="宋体" w:hAnsi="宋体" w:eastAsia="宋体" w:cs="Times New Roman"/>
          <w:b w:val="0"/>
          <w:bCs w:val="0"/>
          <w:color w:val="000000"/>
          <w:kern w:val="2"/>
          <w:sz w:val="21"/>
          <w:szCs w:val="21"/>
          <w:highlight w:val="none"/>
        </w:rPr>
        <w:t xml:space="preserve"> </w:t>
      </w:r>
    </w:p>
    <w:p w14:paraId="708485A8">
      <w:pPr>
        <w:pStyle w:val="149"/>
        <w:spacing w:line="560" w:lineRule="exact"/>
        <w:ind w:left="0" w:leftChars="0" w:right="0" w:rightChars="0" w:firstLineChars="300"/>
        <w:rPr>
          <w:rFonts w:hint="eastAsia" w:ascii="宋体" w:hAnsi="宋体" w:cs="宋体"/>
          <w:b w:val="0"/>
          <w:bCs w:val="0"/>
          <w:color w:val="000000"/>
          <w:sz w:val="21"/>
          <w:szCs w:val="21"/>
          <w:highlight w:val="none"/>
        </w:rPr>
      </w:pPr>
      <w:r>
        <w:rPr>
          <w:rFonts w:ascii="宋体" w:hAnsi="宋体" w:cs="Times New Roman"/>
          <w:b w:val="0"/>
          <w:bCs w:val="0"/>
          <w:color w:val="000000"/>
          <w:kern w:val="2"/>
          <w:sz w:val="21"/>
          <w:szCs w:val="21"/>
          <w:highlight w:val="none"/>
        </w:rPr>
        <w:t>年　　</w:t>
      </w:r>
      <w:r>
        <w:rPr>
          <w:rFonts w:hint="eastAsia" w:ascii="宋体" w:hAnsi="宋体" w:cs="Times New Roman"/>
          <w:b w:val="0"/>
          <w:bCs w:val="0"/>
          <w:color w:val="000000"/>
          <w:kern w:val="2"/>
          <w:sz w:val="21"/>
          <w:szCs w:val="21"/>
          <w:highlight w:val="none"/>
        </w:rPr>
        <w:t xml:space="preserve"> </w:t>
      </w:r>
      <w:r>
        <w:rPr>
          <w:rFonts w:ascii="宋体" w:hAnsi="宋体" w:cs="Times New Roman"/>
          <w:b w:val="0"/>
          <w:bCs w:val="0"/>
          <w:color w:val="000000"/>
          <w:kern w:val="2"/>
          <w:sz w:val="21"/>
          <w:szCs w:val="21"/>
          <w:highlight w:val="none"/>
        </w:rPr>
        <w:t>月　　日　　　　　                  　</w:t>
      </w:r>
      <w:r>
        <w:rPr>
          <w:rFonts w:hint="eastAsia" w:ascii="宋体" w:hAnsi="宋体" w:cs="Times New Roman"/>
          <w:b w:val="0"/>
          <w:bCs w:val="0"/>
          <w:color w:val="000000"/>
          <w:kern w:val="2"/>
          <w:sz w:val="21"/>
          <w:szCs w:val="21"/>
          <w:highlight w:val="none"/>
        </w:rPr>
        <w:t xml:space="preserve">      </w:t>
      </w:r>
      <w:r>
        <w:rPr>
          <w:rFonts w:ascii="宋体" w:hAnsi="宋体" w:cs="Times New Roman"/>
          <w:b w:val="0"/>
          <w:bCs w:val="0"/>
          <w:color w:val="000000"/>
          <w:kern w:val="2"/>
          <w:sz w:val="21"/>
          <w:szCs w:val="21"/>
          <w:highlight w:val="none"/>
        </w:rPr>
        <w:t>年　　月　　日</w:t>
      </w:r>
    </w:p>
    <w:p w14:paraId="33AE3245">
      <w:pPr>
        <w:pStyle w:val="4"/>
        <w:numPr>
          <w:ilvl w:val="0"/>
          <w:numId w:val="0"/>
        </w:numPr>
        <w:tabs>
          <w:tab w:val="clear" w:pos="1080"/>
        </w:tabs>
        <w:spacing w:line="560" w:lineRule="exact"/>
        <w:ind w:left="0" w:firstLine="0"/>
        <w:jc w:val="both"/>
        <w:rPr>
          <w:rFonts w:hint="eastAsia" w:ascii="宋体" w:hAnsi="宋体" w:eastAsia="宋体" w:cs="宋体"/>
          <w:b/>
          <w:bCs/>
          <w:color w:val="000000"/>
          <w:kern w:val="2"/>
          <w:sz w:val="24"/>
          <w:szCs w:val="24"/>
          <w:highlight w:val="none"/>
        </w:rPr>
      </w:pPr>
      <w:r>
        <w:rPr>
          <w:rFonts w:hint="eastAsia" w:ascii="宋体" w:hAnsi="宋体" w:cs="宋体"/>
          <w:b/>
          <w:bCs/>
          <w:color w:val="000000"/>
          <w:sz w:val="24"/>
          <w:szCs w:val="24"/>
          <w:highlight w:val="none"/>
        </w:rPr>
        <w:t>附件</w:t>
      </w:r>
      <w:r>
        <w:rPr>
          <w:rFonts w:hint="eastAsia" w:ascii="宋体" w:hAnsi="宋体" w:eastAsia="宋体" w:cs="宋体"/>
          <w:b/>
          <w:bCs/>
          <w:color w:val="000000"/>
          <w:sz w:val="24"/>
          <w:szCs w:val="24"/>
          <w:highlight w:val="none"/>
        </w:rPr>
        <w:t>3</w:t>
      </w:r>
      <w:r>
        <w:rPr>
          <w:rFonts w:hint="eastAsia" w:ascii="宋体" w:hAnsi="宋体" w:eastAsia="宋体" w:cs="宋体"/>
          <w:b/>
          <w:bCs/>
          <w:color w:val="000000"/>
          <w:kern w:val="2"/>
          <w:sz w:val="24"/>
          <w:szCs w:val="24"/>
          <w:highlight w:val="none"/>
        </w:rPr>
        <w:t xml:space="preserve">              </w:t>
      </w:r>
    </w:p>
    <w:p w14:paraId="048493EA">
      <w:pPr>
        <w:pStyle w:val="2"/>
        <w:spacing w:line="560" w:lineRule="exact"/>
        <w:ind w:left="0" w:leftChars="0" w:right="0" w:rightChars="0" w:firstLineChars="500"/>
        <w:rPr>
          <w:rStyle w:val="153"/>
          <w:rFonts w:hint="eastAsia" w:ascii="宋体" w:hAnsi="宋体" w:eastAsia="宋体" w:cs="宋体"/>
          <w:sz w:val="24"/>
          <w:szCs w:val="24"/>
          <w:highlight w:val="none"/>
        </w:rPr>
      </w:pPr>
      <w:r>
        <w:rPr>
          <w:rStyle w:val="151"/>
          <w:rFonts w:hint="eastAsia" w:ascii="宋体" w:hAnsi="宋体" w:cs="宋体"/>
          <w:b/>
          <w:bCs/>
          <w:sz w:val="32"/>
          <w:szCs w:val="32"/>
          <w:highlight w:val="none"/>
        </w:rPr>
        <w:t>龙岗区进一步规范政商交往行为告知书</w:t>
      </w:r>
      <w:r>
        <w:rPr>
          <w:rFonts w:hint="eastAsia" w:eastAsia="宋体" w:cs="宋体"/>
          <w:b w:val="0"/>
          <w:i w:val="0"/>
          <w:color w:val="000000"/>
          <w:sz w:val="24"/>
          <w:szCs w:val="24"/>
          <w:highlight w:val="none"/>
        </w:rPr>
        <w:br w:type="textWrapping"/>
      </w:r>
      <w:r>
        <w:rPr>
          <w:rFonts w:hint="eastAsia" w:cs="宋体"/>
          <w:b w:val="0"/>
          <w:i w:val="0"/>
          <w:color w:val="000000"/>
          <w:sz w:val="24"/>
          <w:szCs w:val="24"/>
          <w:highlight w:val="none"/>
        </w:rPr>
        <w:t xml:space="preserve">    </w:t>
      </w:r>
      <w:r>
        <w:rPr>
          <w:rStyle w:val="153"/>
          <w:rFonts w:hint="eastAsia" w:ascii="宋体" w:hAnsi="宋体" w:cs="宋体"/>
          <w:sz w:val="24"/>
          <w:szCs w:val="24"/>
          <w:highlight w:val="none"/>
        </w:rPr>
        <w:t>为深入构建</w:t>
      </w:r>
      <w:r>
        <w:rPr>
          <w:rStyle w:val="153"/>
          <w:rFonts w:hint="eastAsia" w:eastAsia="仿宋_GB2312" w:cs="宋体"/>
          <w:sz w:val="24"/>
          <w:szCs w:val="24"/>
          <w:highlight w:val="none"/>
          <w:lang w:eastAsia="zh-CN"/>
        </w:rPr>
        <w:t>“亲”“清”新型政商关系</w:t>
      </w:r>
      <w:r>
        <w:rPr>
          <w:rStyle w:val="153"/>
          <w:rFonts w:hint="eastAsia" w:ascii="宋体" w:hAnsi="宋体" w:cs="宋体"/>
          <w:sz w:val="24"/>
          <w:szCs w:val="24"/>
          <w:highlight w:val="none"/>
        </w:rPr>
        <w:t>， 努力打造尊商、 亲商、 助商、安商良好营商环境，龙岗区委区政府制定了《龙岗区公职人员政商交往“十个不准” 》 ， 严明公职人员在政商交往中的纪律要求。请参与龙岗建设的广大企业及其从业人员， 严格监督我区公职人员落实“十个不准” ， 并在与我区公职人员交往中切实做到“十个不得” 。</w:t>
      </w:r>
      <w:r>
        <w:rPr>
          <w:rStyle w:val="153"/>
          <w:rFonts w:hint="eastAsia" w:eastAsia="宋体" w:cs="宋体"/>
          <w:sz w:val="24"/>
          <w:szCs w:val="24"/>
          <w:highlight w:val="none"/>
        </w:rPr>
        <w:br w:type="textWrapping"/>
      </w:r>
      <w:r>
        <w:rPr>
          <w:rStyle w:val="153"/>
          <w:rFonts w:hint="eastAsia" w:cs="宋体"/>
          <w:sz w:val="24"/>
          <w:szCs w:val="24"/>
          <w:highlight w:val="none"/>
        </w:rPr>
        <w:t xml:space="preserve">    </w:t>
      </w:r>
      <w:r>
        <w:rPr>
          <w:rStyle w:val="153"/>
          <w:rFonts w:hint="eastAsia" w:ascii="宋体" w:hAnsi="宋体" w:cs="宋体"/>
          <w:sz w:val="24"/>
          <w:szCs w:val="24"/>
          <w:highlight w:val="none"/>
        </w:rPr>
        <w:t>一、 不得向公职人员赠送礼品、 礼金、 消费卡等财物。</w:t>
      </w:r>
    </w:p>
    <w:p w14:paraId="7D687BE9">
      <w:pPr>
        <w:pStyle w:val="2"/>
        <w:numPr>
          <w:ilvl w:val="0"/>
          <w:numId w:val="14"/>
        </w:numPr>
        <w:spacing w:line="560" w:lineRule="exact"/>
        <w:ind w:left="0" w:leftChars="0" w:right="0" w:rightChars="0" w:firstLineChars="200"/>
        <w:rPr>
          <w:rStyle w:val="153"/>
          <w:rFonts w:hint="eastAsia" w:ascii="宋体" w:hAnsi="宋体" w:eastAsia="宋体" w:cs="宋体"/>
          <w:sz w:val="24"/>
          <w:szCs w:val="24"/>
          <w:highlight w:val="none"/>
        </w:rPr>
      </w:pPr>
      <w:r>
        <w:rPr>
          <w:rStyle w:val="153"/>
          <w:rFonts w:hint="eastAsia" w:ascii="宋体" w:hAnsi="宋体" w:cs="宋体"/>
          <w:sz w:val="24"/>
          <w:szCs w:val="24"/>
          <w:highlight w:val="none"/>
        </w:rPr>
        <w:t>不得违规向公职人员提供宴请、 旅游、 娱乐等安排。</w:t>
      </w:r>
    </w:p>
    <w:p w14:paraId="7A622E7D">
      <w:pPr>
        <w:pStyle w:val="2"/>
        <w:numPr>
          <w:ilvl w:val="0"/>
          <w:numId w:val="14"/>
        </w:numPr>
        <w:spacing w:line="560" w:lineRule="exact"/>
        <w:ind w:left="0" w:leftChars="0" w:right="0" w:rightChars="0" w:firstLineChars="200"/>
        <w:rPr>
          <w:rStyle w:val="153"/>
          <w:rFonts w:hint="eastAsia" w:ascii="宋体" w:hAnsi="宋体" w:eastAsia="宋体" w:cs="宋体"/>
          <w:sz w:val="24"/>
          <w:szCs w:val="24"/>
          <w:highlight w:val="none"/>
        </w:rPr>
      </w:pPr>
      <w:r>
        <w:rPr>
          <w:rStyle w:val="153"/>
          <w:rFonts w:hint="eastAsia" w:ascii="宋体" w:hAnsi="宋体" w:cs="宋体"/>
          <w:sz w:val="24"/>
          <w:szCs w:val="24"/>
          <w:highlight w:val="none"/>
        </w:rPr>
        <w:t>不得通过打麻将等形式向公职人员输送利益。</w:t>
      </w:r>
      <w:r>
        <w:rPr>
          <w:rStyle w:val="153"/>
          <w:rFonts w:hint="eastAsia" w:eastAsia="宋体" w:cs="宋体"/>
          <w:sz w:val="24"/>
          <w:szCs w:val="24"/>
          <w:highlight w:val="none"/>
        </w:rPr>
        <w:br w:type="textWrapping"/>
      </w:r>
      <w:r>
        <w:rPr>
          <w:rStyle w:val="153"/>
          <w:rFonts w:hint="eastAsia" w:cs="宋体"/>
          <w:sz w:val="24"/>
          <w:szCs w:val="24"/>
          <w:highlight w:val="none"/>
        </w:rPr>
        <w:t xml:space="preserve">    </w:t>
      </w:r>
      <w:r>
        <w:rPr>
          <w:rStyle w:val="153"/>
          <w:rFonts w:hint="eastAsia" w:ascii="宋体" w:hAnsi="宋体" w:cs="宋体"/>
          <w:sz w:val="24"/>
          <w:szCs w:val="24"/>
          <w:highlight w:val="none"/>
        </w:rPr>
        <w:t>四、 不得为公职人员报销应由其个人支付的费用。</w:t>
      </w:r>
      <w:r>
        <w:rPr>
          <w:rStyle w:val="153"/>
          <w:rFonts w:hint="eastAsia" w:eastAsia="宋体" w:cs="宋体"/>
          <w:sz w:val="24"/>
          <w:szCs w:val="24"/>
          <w:highlight w:val="none"/>
        </w:rPr>
        <w:br w:type="textWrapping"/>
      </w:r>
      <w:r>
        <w:rPr>
          <w:rStyle w:val="153"/>
          <w:rFonts w:hint="eastAsia" w:cs="宋体"/>
          <w:sz w:val="24"/>
          <w:szCs w:val="24"/>
          <w:highlight w:val="none"/>
        </w:rPr>
        <w:t xml:space="preserve">    </w:t>
      </w:r>
      <w:r>
        <w:rPr>
          <w:rStyle w:val="153"/>
          <w:rFonts w:hint="eastAsia" w:ascii="宋体" w:hAnsi="宋体" w:cs="宋体"/>
          <w:sz w:val="24"/>
          <w:szCs w:val="24"/>
          <w:highlight w:val="none"/>
        </w:rPr>
        <w:t>五、 不得违规向公职人员及其亲友借贷款。</w:t>
      </w:r>
      <w:r>
        <w:rPr>
          <w:rStyle w:val="153"/>
          <w:rFonts w:hint="eastAsia" w:eastAsia="宋体" w:cs="宋体"/>
          <w:sz w:val="24"/>
          <w:szCs w:val="24"/>
          <w:highlight w:val="none"/>
        </w:rPr>
        <w:br w:type="textWrapping"/>
      </w:r>
      <w:r>
        <w:rPr>
          <w:rStyle w:val="153"/>
          <w:rFonts w:hint="eastAsia" w:cs="宋体"/>
          <w:sz w:val="24"/>
          <w:szCs w:val="24"/>
          <w:highlight w:val="none"/>
        </w:rPr>
        <w:t xml:space="preserve">    </w:t>
      </w:r>
      <w:r>
        <w:rPr>
          <w:rStyle w:val="153"/>
          <w:rFonts w:hint="eastAsia" w:ascii="宋体" w:hAnsi="宋体" w:cs="宋体"/>
          <w:sz w:val="24"/>
          <w:szCs w:val="24"/>
          <w:highlight w:val="none"/>
        </w:rPr>
        <w:t>六、 不得违规将车辆、 住房等借给公职人员使用。</w:t>
      </w:r>
      <w:r>
        <w:rPr>
          <w:rStyle w:val="153"/>
          <w:rFonts w:hint="eastAsia" w:eastAsia="宋体" w:cs="宋体"/>
          <w:sz w:val="24"/>
          <w:szCs w:val="24"/>
          <w:highlight w:val="none"/>
        </w:rPr>
        <w:br w:type="textWrapping"/>
      </w:r>
      <w:r>
        <w:rPr>
          <w:rStyle w:val="153"/>
          <w:rFonts w:hint="eastAsia" w:cs="宋体"/>
          <w:sz w:val="24"/>
          <w:szCs w:val="24"/>
          <w:highlight w:val="none"/>
        </w:rPr>
        <w:t xml:space="preserve">    </w:t>
      </w:r>
      <w:r>
        <w:rPr>
          <w:rStyle w:val="153"/>
          <w:rFonts w:hint="eastAsia" w:ascii="宋体" w:hAnsi="宋体" w:cs="宋体"/>
          <w:sz w:val="24"/>
          <w:szCs w:val="24"/>
          <w:highlight w:val="none"/>
        </w:rPr>
        <w:t>七、 不得在招投标中与公职人员搞暗箱操作、 围标串标。</w:t>
      </w:r>
      <w:r>
        <w:rPr>
          <w:rStyle w:val="153"/>
          <w:rFonts w:hint="eastAsia" w:eastAsia="宋体" w:cs="宋体"/>
          <w:sz w:val="24"/>
          <w:szCs w:val="24"/>
          <w:highlight w:val="none"/>
        </w:rPr>
        <w:br w:type="textWrapping"/>
      </w:r>
      <w:r>
        <w:rPr>
          <w:rStyle w:val="153"/>
          <w:rFonts w:hint="eastAsia" w:cs="宋体"/>
          <w:sz w:val="24"/>
          <w:szCs w:val="24"/>
          <w:highlight w:val="none"/>
        </w:rPr>
        <w:t xml:space="preserve">    </w:t>
      </w:r>
      <w:r>
        <w:rPr>
          <w:rStyle w:val="153"/>
          <w:rFonts w:hint="eastAsia" w:ascii="宋体" w:hAnsi="宋体" w:cs="宋体"/>
          <w:sz w:val="24"/>
          <w:szCs w:val="24"/>
          <w:highlight w:val="none"/>
        </w:rPr>
        <w:t>八、 不得为利益相关人和公职人员牵线搭桥或者代为传递信息、 传递财物。</w:t>
      </w:r>
      <w:r>
        <w:rPr>
          <w:rStyle w:val="153"/>
          <w:rFonts w:hint="eastAsia" w:eastAsia="宋体" w:cs="宋体"/>
          <w:sz w:val="24"/>
          <w:szCs w:val="24"/>
          <w:highlight w:val="none"/>
        </w:rPr>
        <w:br w:type="textWrapping"/>
      </w:r>
      <w:r>
        <w:rPr>
          <w:rStyle w:val="153"/>
          <w:rFonts w:hint="eastAsia" w:cs="宋体"/>
          <w:sz w:val="24"/>
          <w:szCs w:val="24"/>
          <w:highlight w:val="none"/>
        </w:rPr>
        <w:t xml:space="preserve">    </w:t>
      </w:r>
      <w:r>
        <w:rPr>
          <w:rStyle w:val="153"/>
          <w:rFonts w:hint="eastAsia" w:ascii="宋体" w:hAnsi="宋体" w:cs="宋体"/>
          <w:sz w:val="24"/>
          <w:szCs w:val="24"/>
          <w:highlight w:val="none"/>
        </w:rPr>
        <w:t>九、 不得让公职人员在企业违规兼职取酬。</w:t>
      </w:r>
      <w:r>
        <w:rPr>
          <w:rStyle w:val="153"/>
          <w:rFonts w:hint="eastAsia" w:eastAsia="宋体" w:cs="宋体"/>
          <w:sz w:val="24"/>
          <w:szCs w:val="24"/>
          <w:highlight w:val="none"/>
        </w:rPr>
        <w:br w:type="textWrapping"/>
      </w:r>
      <w:r>
        <w:rPr>
          <w:rStyle w:val="153"/>
          <w:rFonts w:hint="eastAsia" w:cs="宋体"/>
          <w:sz w:val="24"/>
          <w:szCs w:val="24"/>
          <w:highlight w:val="none"/>
        </w:rPr>
        <w:t xml:space="preserve">    </w:t>
      </w:r>
      <w:r>
        <w:rPr>
          <w:rStyle w:val="153"/>
          <w:rFonts w:hint="eastAsia" w:ascii="宋体" w:hAnsi="宋体" w:cs="宋体"/>
          <w:sz w:val="24"/>
          <w:szCs w:val="24"/>
          <w:highlight w:val="none"/>
        </w:rPr>
        <w:t>十、 不得为公职人员亲友违规承揽业务提供便利。</w:t>
      </w:r>
    </w:p>
    <w:p w14:paraId="43120E52">
      <w:pPr>
        <w:pStyle w:val="2"/>
        <w:numPr>
          <w:ilvl w:val="0"/>
          <w:numId w:val="0"/>
        </w:numPr>
        <w:spacing w:line="560" w:lineRule="exact"/>
        <w:ind w:left="0" w:leftChars="0" w:right="0" w:rightChars="0" w:firstLineChars="200"/>
        <w:jc w:val="left"/>
        <w:rPr>
          <w:rStyle w:val="153"/>
          <w:rFonts w:hint="eastAsia" w:ascii="宋体" w:hAnsi="宋体" w:cs="宋体"/>
          <w:sz w:val="24"/>
          <w:szCs w:val="24"/>
          <w:highlight w:val="none"/>
        </w:rPr>
      </w:pPr>
      <w:r>
        <w:rPr>
          <w:rStyle w:val="153"/>
          <w:rFonts w:hint="eastAsia" w:ascii="宋体" w:hAnsi="宋体" w:cs="宋体"/>
          <w:sz w:val="24"/>
          <w:szCs w:val="24"/>
          <w:highlight w:val="none"/>
        </w:rPr>
        <w:t xml:space="preserve">上述“十个不得” ， 请您严格遵守。 同时， 在政商交往中，如有发现我区公职人员存在违反“十个不准” 的问题， 请及时通过网络举报平台或者 </w:t>
      </w:r>
      <w:r>
        <w:rPr>
          <w:rStyle w:val="153"/>
          <w:rFonts w:hint="eastAsia" w:eastAsia="宋体" w:cs="宋体"/>
          <w:sz w:val="24"/>
          <w:szCs w:val="24"/>
          <w:highlight w:val="none"/>
        </w:rPr>
        <w:t xml:space="preserve">12388 </w:t>
      </w:r>
      <w:r>
        <w:rPr>
          <w:rStyle w:val="153"/>
          <w:rFonts w:hint="eastAsia" w:ascii="宋体" w:hAnsi="宋体" w:cs="宋体"/>
          <w:sz w:val="24"/>
          <w:szCs w:val="24"/>
          <w:highlight w:val="none"/>
        </w:rPr>
        <w:t>举报电话等方式， 向纪检监察机关反映举报， 我们将一律严格保密、 一律优先处置、 一律严肃查处。</w:t>
      </w:r>
      <w:r>
        <w:rPr>
          <w:rStyle w:val="153"/>
          <w:rFonts w:hint="eastAsia" w:eastAsia="宋体" w:cs="宋体"/>
          <w:sz w:val="24"/>
          <w:szCs w:val="24"/>
          <w:highlight w:val="none"/>
        </w:rPr>
        <w:br w:type="textWrapping"/>
      </w:r>
      <w:r>
        <w:rPr>
          <w:rStyle w:val="153"/>
          <w:rFonts w:hint="eastAsia" w:cs="宋体"/>
          <w:sz w:val="24"/>
          <w:szCs w:val="24"/>
          <w:highlight w:val="none"/>
        </w:rPr>
        <w:t xml:space="preserve">    </w:t>
      </w:r>
    </w:p>
    <w:p w14:paraId="3FF3875D">
      <w:pPr>
        <w:pStyle w:val="2"/>
        <w:numPr>
          <w:ilvl w:val="0"/>
          <w:numId w:val="0"/>
        </w:numPr>
        <w:spacing w:line="560" w:lineRule="exact"/>
        <w:ind w:left="0" w:leftChars="0" w:right="0" w:rightChars="0" w:firstLineChars="200"/>
        <w:jc w:val="left"/>
        <w:rPr>
          <w:rStyle w:val="153"/>
          <w:rFonts w:hint="eastAsia" w:ascii="宋体" w:hAnsi="宋体" w:cs="宋体"/>
          <w:sz w:val="24"/>
          <w:szCs w:val="24"/>
          <w:highlight w:val="none"/>
        </w:rPr>
      </w:pPr>
      <w:r>
        <w:rPr>
          <w:rStyle w:val="153"/>
          <w:rFonts w:hint="eastAsia" w:ascii="宋体" w:hAnsi="宋体" w:cs="宋体"/>
          <w:sz w:val="24"/>
          <w:szCs w:val="24"/>
          <w:highlight w:val="none"/>
        </w:rPr>
        <w:t>本人已知晓上述告知内容， 并愿意遵照执行（签名） ：</w:t>
      </w:r>
      <w:r>
        <w:rPr>
          <w:rStyle w:val="153"/>
          <w:rFonts w:hint="eastAsia" w:eastAsia="宋体" w:cs="宋体"/>
          <w:sz w:val="24"/>
          <w:szCs w:val="24"/>
          <w:highlight w:val="none"/>
        </w:rPr>
        <w:br w:type="textWrapping"/>
      </w:r>
      <w:r>
        <w:rPr>
          <w:rStyle w:val="153"/>
          <w:rFonts w:hint="eastAsia" w:cs="宋体"/>
          <w:sz w:val="24"/>
          <w:szCs w:val="24"/>
          <w:highlight w:val="none"/>
        </w:rPr>
        <w:t xml:space="preserve">                                          </w:t>
      </w:r>
    </w:p>
    <w:p w14:paraId="52B8990D">
      <w:pPr>
        <w:pStyle w:val="2"/>
        <w:numPr>
          <w:ilvl w:val="0"/>
          <w:numId w:val="0"/>
        </w:numPr>
        <w:spacing w:line="560" w:lineRule="exact"/>
        <w:ind w:left="0" w:leftChars="0" w:right="0" w:rightChars="0" w:firstLineChars="2200"/>
        <w:jc w:val="left"/>
        <w:rPr>
          <w:rStyle w:val="153"/>
          <w:rFonts w:hint="eastAsia" w:ascii="宋体" w:hAnsi="宋体" w:eastAsia="宋体" w:cs="宋体"/>
          <w:sz w:val="24"/>
          <w:szCs w:val="24"/>
          <w:highlight w:val="none"/>
        </w:rPr>
      </w:pPr>
      <w:r>
        <w:rPr>
          <w:rStyle w:val="153"/>
          <w:rFonts w:hint="eastAsia" w:cs="宋体"/>
          <w:sz w:val="24"/>
          <w:szCs w:val="24"/>
          <w:highlight w:val="none"/>
        </w:rPr>
        <w:t xml:space="preserve">  </w:t>
      </w:r>
      <w:r>
        <w:rPr>
          <w:rStyle w:val="153"/>
          <w:rFonts w:hint="eastAsia" w:eastAsia="宋体" w:cs="宋体"/>
          <w:sz w:val="24"/>
          <w:szCs w:val="24"/>
          <w:highlight w:val="none"/>
        </w:rPr>
        <w:t xml:space="preserve">    </w:t>
      </w:r>
      <w:r>
        <w:rPr>
          <w:rStyle w:val="153"/>
          <w:rFonts w:hint="eastAsia" w:ascii="宋体" w:hAnsi="宋体" w:cs="宋体"/>
          <w:sz w:val="24"/>
          <w:szCs w:val="24"/>
          <w:highlight w:val="none"/>
        </w:rPr>
        <w:t xml:space="preserve">年 </w:t>
      </w:r>
      <w:r>
        <w:rPr>
          <w:rStyle w:val="153"/>
          <w:rFonts w:hint="eastAsia" w:cs="宋体"/>
          <w:sz w:val="24"/>
          <w:szCs w:val="24"/>
          <w:highlight w:val="none"/>
        </w:rPr>
        <w:t xml:space="preserve">   </w:t>
      </w:r>
      <w:r>
        <w:rPr>
          <w:rStyle w:val="153"/>
          <w:rFonts w:hint="eastAsia" w:ascii="宋体" w:hAnsi="宋体" w:cs="宋体"/>
          <w:sz w:val="24"/>
          <w:szCs w:val="24"/>
          <w:highlight w:val="none"/>
        </w:rPr>
        <w:t>月</w:t>
      </w:r>
      <w:r>
        <w:rPr>
          <w:rStyle w:val="153"/>
          <w:rFonts w:hint="eastAsia" w:cs="宋体"/>
          <w:sz w:val="24"/>
          <w:szCs w:val="24"/>
          <w:highlight w:val="none"/>
        </w:rPr>
        <w:t xml:space="preserve">  </w:t>
      </w:r>
      <w:r>
        <w:rPr>
          <w:rStyle w:val="153"/>
          <w:rFonts w:hint="eastAsia" w:ascii="宋体" w:hAnsi="宋体" w:cs="宋体"/>
          <w:sz w:val="24"/>
          <w:szCs w:val="24"/>
          <w:highlight w:val="none"/>
        </w:rPr>
        <w:t xml:space="preserve"> 日</w:t>
      </w:r>
    </w:p>
    <w:bookmarkEnd w:id="15"/>
    <w:bookmarkEnd w:id="16"/>
    <w:bookmarkEnd w:id="17"/>
    <w:p w14:paraId="3231E8B0">
      <w:pPr>
        <w:spacing w:line="560" w:lineRule="exact"/>
        <w:jc w:val="center"/>
        <w:outlineLvl w:val="2"/>
        <w:rPr>
          <w:rFonts w:hint="eastAsia" w:ascii="宋体" w:hAnsi="宋体"/>
          <w:b/>
          <w:snapToGrid w:val="0"/>
          <w:kern w:val="0"/>
          <w:sz w:val="32"/>
          <w:szCs w:val="32"/>
          <w:highlight w:val="none"/>
          <w:lang w:val="en-US" w:eastAsia="zh-CN"/>
        </w:rPr>
      </w:pPr>
      <w:bookmarkStart w:id="18" w:name="_Toc509669699"/>
    </w:p>
    <w:p w14:paraId="15C7E423">
      <w:pPr>
        <w:spacing w:line="560" w:lineRule="exact"/>
        <w:jc w:val="center"/>
        <w:outlineLvl w:val="2"/>
        <w:rPr>
          <w:rFonts w:hint="eastAsia" w:ascii="宋体" w:hAnsi="宋体"/>
          <w:b/>
          <w:snapToGrid w:val="0"/>
          <w:kern w:val="0"/>
          <w:sz w:val="32"/>
          <w:szCs w:val="32"/>
          <w:highlight w:val="none"/>
          <w:lang w:val="en-US" w:eastAsia="zh-CN"/>
        </w:rPr>
      </w:pPr>
    </w:p>
    <w:p w14:paraId="0F94FF1D">
      <w:pPr>
        <w:spacing w:line="560" w:lineRule="exact"/>
        <w:jc w:val="center"/>
        <w:outlineLvl w:val="2"/>
        <w:rPr>
          <w:rFonts w:hint="eastAsia" w:ascii="宋体" w:hAnsi="宋体"/>
          <w:b/>
          <w:snapToGrid w:val="0"/>
          <w:kern w:val="0"/>
          <w:sz w:val="32"/>
          <w:szCs w:val="32"/>
          <w:highlight w:val="none"/>
          <w:lang w:val="en-US" w:eastAsia="zh-CN"/>
        </w:rPr>
      </w:pPr>
    </w:p>
    <w:p w14:paraId="27AD7C80">
      <w:pPr>
        <w:spacing w:line="560" w:lineRule="exact"/>
        <w:jc w:val="center"/>
        <w:outlineLvl w:val="2"/>
        <w:rPr>
          <w:rFonts w:hint="eastAsia" w:ascii="宋体" w:hAnsi="宋体"/>
          <w:b/>
          <w:snapToGrid w:val="0"/>
          <w:kern w:val="0"/>
          <w:sz w:val="32"/>
          <w:szCs w:val="32"/>
          <w:highlight w:val="none"/>
          <w:lang w:val="en-US" w:eastAsia="zh-CN"/>
        </w:rPr>
      </w:pPr>
      <w:r>
        <w:rPr>
          <w:rFonts w:hint="eastAsia" w:ascii="宋体" w:hAnsi="宋体"/>
          <w:b/>
          <w:snapToGrid w:val="0"/>
          <w:kern w:val="0"/>
          <w:sz w:val="32"/>
          <w:szCs w:val="32"/>
          <w:highlight w:val="none"/>
          <w:lang w:val="en-US" w:eastAsia="zh-CN"/>
        </w:rPr>
        <w:t>第四章  投标文件格式</w:t>
      </w:r>
      <w:bookmarkEnd w:id="18"/>
    </w:p>
    <w:p w14:paraId="6E5389CE">
      <w:pPr>
        <w:spacing w:line="560" w:lineRule="exact"/>
        <w:rPr>
          <w:highlight w:val="none"/>
        </w:rPr>
      </w:pPr>
    </w:p>
    <w:p w14:paraId="088ABBA7">
      <w:pPr>
        <w:pStyle w:val="30"/>
        <w:spacing w:line="560" w:lineRule="exact"/>
        <w:ind w:firstLine="840"/>
        <w:rPr>
          <w:highlight w:val="none"/>
        </w:rPr>
      </w:pPr>
    </w:p>
    <w:p w14:paraId="73E6D4CC">
      <w:pPr>
        <w:spacing w:before="156" w:beforeLines="50" w:after="312" w:afterLines="100" w:line="560" w:lineRule="exact"/>
        <w:jc w:val="center"/>
        <w:rPr>
          <w:rFonts w:hint="eastAsia" w:ascii="宋体" w:hAnsi="宋体"/>
          <w:b/>
          <w:sz w:val="44"/>
          <w:szCs w:val="44"/>
          <w:highlight w:val="none"/>
          <w:lang w:eastAsia="zh-CN"/>
        </w:rPr>
      </w:pPr>
    </w:p>
    <w:p w14:paraId="1C9AFFEA">
      <w:pPr>
        <w:spacing w:before="156" w:beforeLines="50" w:after="312" w:afterLines="100" w:line="560" w:lineRule="exact"/>
        <w:jc w:val="center"/>
        <w:rPr>
          <w:rFonts w:hint="eastAsia" w:ascii="宋体" w:hAnsi="宋体"/>
          <w:b/>
          <w:sz w:val="44"/>
          <w:szCs w:val="44"/>
          <w:highlight w:val="none"/>
          <w:lang w:eastAsia="zh-CN"/>
        </w:rPr>
      </w:pPr>
    </w:p>
    <w:p w14:paraId="67A6D5CC">
      <w:pPr>
        <w:spacing w:before="156" w:beforeLines="50" w:after="312" w:afterLines="100" w:line="560" w:lineRule="exact"/>
        <w:jc w:val="center"/>
        <w:rPr>
          <w:rFonts w:ascii="宋体" w:hAnsi="宋体"/>
          <w:b/>
          <w:sz w:val="44"/>
          <w:szCs w:val="44"/>
          <w:highlight w:val="none"/>
        </w:rPr>
      </w:pPr>
      <w:r>
        <w:rPr>
          <w:rFonts w:hint="eastAsia" w:ascii="宋体" w:hAnsi="宋体"/>
          <w:b/>
          <w:sz w:val="44"/>
          <w:szCs w:val="44"/>
          <w:highlight w:val="none"/>
          <w:lang w:eastAsia="zh-CN"/>
        </w:rPr>
        <w:t>深圳建筑产业生态智谷总部基地一期二单元15、16层办公用房提升工程监理</w:t>
      </w:r>
      <w:r>
        <w:rPr>
          <w:rFonts w:hint="eastAsia" w:ascii="宋体" w:hAnsi="宋体"/>
          <w:b/>
          <w:sz w:val="44"/>
          <w:szCs w:val="44"/>
          <w:highlight w:val="none"/>
        </w:rPr>
        <w:t>投标文件</w:t>
      </w:r>
    </w:p>
    <w:p w14:paraId="3CE38937">
      <w:pPr>
        <w:spacing w:line="560" w:lineRule="exact"/>
        <w:jc w:val="center"/>
        <w:rPr>
          <w:rFonts w:ascii="宋体" w:hAnsi="宋体"/>
          <w:b/>
          <w:sz w:val="52"/>
          <w:szCs w:val="52"/>
          <w:highlight w:val="none"/>
        </w:rPr>
      </w:pPr>
    </w:p>
    <w:p w14:paraId="65448021">
      <w:pPr>
        <w:spacing w:line="560" w:lineRule="exact"/>
        <w:rPr>
          <w:rFonts w:ascii="宋体" w:hAnsi="宋体"/>
          <w:b/>
          <w:sz w:val="32"/>
          <w:szCs w:val="32"/>
          <w:highlight w:val="none"/>
        </w:rPr>
      </w:pPr>
    </w:p>
    <w:p w14:paraId="4E345F3A">
      <w:pPr>
        <w:spacing w:line="560" w:lineRule="exact"/>
        <w:rPr>
          <w:rFonts w:ascii="宋体" w:hAnsi="宋体"/>
          <w:b/>
          <w:sz w:val="32"/>
          <w:szCs w:val="32"/>
          <w:highlight w:val="none"/>
        </w:rPr>
      </w:pPr>
    </w:p>
    <w:p w14:paraId="162C2FCF">
      <w:pPr>
        <w:spacing w:line="560" w:lineRule="exact"/>
        <w:ind w:firstLine="840" w:firstLineChars="300"/>
        <w:rPr>
          <w:rFonts w:ascii="宋体" w:hAnsi="宋体"/>
          <w:sz w:val="28"/>
          <w:szCs w:val="28"/>
          <w:highlight w:val="none"/>
        </w:rPr>
      </w:pPr>
      <w:r>
        <w:rPr>
          <w:rFonts w:hint="eastAsia" w:ascii="宋体" w:hAnsi="宋体"/>
          <w:sz w:val="28"/>
          <w:szCs w:val="28"/>
          <w:highlight w:val="none"/>
        </w:rPr>
        <w:t>投   标   人：</w:t>
      </w:r>
      <w:r>
        <w:rPr>
          <w:rFonts w:hint="eastAsia" w:ascii="宋体" w:hAnsi="宋体"/>
          <w:sz w:val="28"/>
          <w:szCs w:val="28"/>
          <w:highlight w:val="none"/>
          <w:u w:val="single"/>
        </w:rPr>
        <w:t xml:space="preserve">                             </w:t>
      </w:r>
      <w:r>
        <w:rPr>
          <w:rFonts w:hint="eastAsia" w:ascii="宋体" w:hAnsi="宋体"/>
          <w:sz w:val="28"/>
          <w:szCs w:val="28"/>
          <w:highlight w:val="none"/>
        </w:rPr>
        <w:t>（全称）（盖章）</w:t>
      </w:r>
    </w:p>
    <w:p w14:paraId="640A50A1">
      <w:pPr>
        <w:spacing w:line="560" w:lineRule="exact"/>
        <w:ind w:firstLine="840" w:firstLineChars="300"/>
        <w:rPr>
          <w:rFonts w:ascii="宋体" w:hAnsi="宋体"/>
          <w:sz w:val="28"/>
          <w:szCs w:val="28"/>
          <w:highlight w:val="none"/>
        </w:rPr>
      </w:pPr>
    </w:p>
    <w:p w14:paraId="5767C918">
      <w:pPr>
        <w:spacing w:line="560" w:lineRule="exact"/>
        <w:ind w:firstLine="840" w:firstLineChars="300"/>
        <w:rPr>
          <w:rFonts w:ascii="宋体" w:hAnsi="宋体"/>
          <w:sz w:val="28"/>
          <w:szCs w:val="28"/>
          <w:highlight w:val="none"/>
        </w:rPr>
      </w:pPr>
      <w:r>
        <w:rPr>
          <w:rFonts w:hint="eastAsia" w:ascii="宋体" w:hAnsi="宋体"/>
          <w:sz w:val="28"/>
          <w:szCs w:val="28"/>
          <w:highlight w:val="none"/>
        </w:rPr>
        <w:t>法定代表人或授权代理人：</w:t>
      </w:r>
      <w:r>
        <w:rPr>
          <w:rFonts w:hint="eastAsia" w:ascii="宋体" w:hAnsi="宋体"/>
          <w:sz w:val="28"/>
          <w:szCs w:val="28"/>
          <w:highlight w:val="none"/>
          <w:u w:val="single"/>
        </w:rPr>
        <w:t xml:space="preserve">                       </w:t>
      </w:r>
      <w:r>
        <w:rPr>
          <w:rFonts w:hint="eastAsia" w:ascii="宋体" w:hAnsi="宋体"/>
          <w:sz w:val="28"/>
          <w:szCs w:val="28"/>
          <w:highlight w:val="none"/>
        </w:rPr>
        <w:t>（签字）</w:t>
      </w:r>
    </w:p>
    <w:p w14:paraId="65D54359">
      <w:pPr>
        <w:spacing w:line="560" w:lineRule="exact"/>
        <w:ind w:firstLine="840" w:firstLineChars="300"/>
        <w:rPr>
          <w:rFonts w:ascii="宋体" w:hAnsi="宋体"/>
          <w:sz w:val="28"/>
          <w:szCs w:val="28"/>
          <w:highlight w:val="none"/>
        </w:rPr>
      </w:pPr>
    </w:p>
    <w:p w14:paraId="237C5CC4">
      <w:pPr>
        <w:spacing w:line="560" w:lineRule="exact"/>
        <w:ind w:firstLine="840" w:firstLineChars="300"/>
        <w:rPr>
          <w:rFonts w:ascii="宋体" w:hAnsi="宋体"/>
          <w:sz w:val="28"/>
          <w:szCs w:val="28"/>
          <w:highlight w:val="none"/>
        </w:rPr>
      </w:pPr>
      <w:r>
        <w:rPr>
          <w:rFonts w:hint="eastAsia" w:ascii="宋体" w:hAnsi="宋体"/>
          <w:sz w:val="28"/>
          <w:szCs w:val="28"/>
          <w:highlight w:val="none"/>
        </w:rPr>
        <w:t>日        期：</w:t>
      </w:r>
      <w:r>
        <w:rPr>
          <w:rFonts w:hint="eastAsia" w:ascii="宋体" w:hAnsi="宋体"/>
          <w:sz w:val="28"/>
          <w:szCs w:val="28"/>
          <w:highlight w:val="none"/>
          <w:u w:val="single"/>
        </w:rPr>
        <w:t>　　　　</w:t>
      </w:r>
      <w:r>
        <w:rPr>
          <w:rFonts w:hint="eastAsia" w:ascii="宋体" w:hAnsi="宋体"/>
          <w:sz w:val="28"/>
          <w:szCs w:val="28"/>
          <w:highlight w:val="none"/>
        </w:rPr>
        <w:t>年</w:t>
      </w:r>
      <w:r>
        <w:rPr>
          <w:rFonts w:hint="eastAsia" w:ascii="宋体" w:hAnsi="宋体"/>
          <w:sz w:val="28"/>
          <w:szCs w:val="28"/>
          <w:highlight w:val="none"/>
          <w:u w:val="single"/>
        </w:rPr>
        <w:t xml:space="preserve">     </w:t>
      </w:r>
      <w:r>
        <w:rPr>
          <w:rFonts w:hint="eastAsia" w:ascii="宋体" w:hAnsi="宋体"/>
          <w:sz w:val="28"/>
          <w:szCs w:val="28"/>
          <w:highlight w:val="none"/>
        </w:rPr>
        <w:t>月</w:t>
      </w:r>
      <w:r>
        <w:rPr>
          <w:rFonts w:hint="eastAsia" w:ascii="宋体" w:hAnsi="宋体"/>
          <w:sz w:val="28"/>
          <w:szCs w:val="28"/>
          <w:highlight w:val="none"/>
          <w:u w:val="single"/>
        </w:rPr>
        <w:t xml:space="preserve">    </w:t>
      </w:r>
      <w:r>
        <w:rPr>
          <w:rFonts w:hint="eastAsia" w:ascii="宋体" w:hAnsi="宋体"/>
          <w:sz w:val="28"/>
          <w:szCs w:val="28"/>
          <w:highlight w:val="none"/>
        </w:rPr>
        <w:t>日</w:t>
      </w:r>
    </w:p>
    <w:p w14:paraId="2B9E772A">
      <w:pPr>
        <w:spacing w:line="560" w:lineRule="exact"/>
        <w:rPr>
          <w:rFonts w:ascii="宋体" w:hAnsi="宋体"/>
          <w:sz w:val="28"/>
          <w:szCs w:val="28"/>
          <w:highlight w:val="none"/>
        </w:rPr>
      </w:pPr>
      <w:r>
        <w:rPr>
          <w:rFonts w:hint="eastAsia" w:ascii="宋体" w:hAnsi="宋体"/>
          <w:sz w:val="28"/>
          <w:szCs w:val="28"/>
          <w:highlight w:val="none"/>
        </w:rPr>
        <w:br w:type="page"/>
      </w:r>
    </w:p>
    <w:p w14:paraId="30389F06">
      <w:pPr>
        <w:pStyle w:val="30"/>
        <w:spacing w:line="560" w:lineRule="exact"/>
        <w:ind w:firstLine="0" w:firstLineChars="0"/>
        <w:jc w:val="center"/>
        <w:rPr>
          <w:sz w:val="36"/>
          <w:szCs w:val="36"/>
          <w:highlight w:val="none"/>
        </w:rPr>
      </w:pPr>
      <w:bookmarkStart w:id="19" w:name="_Toc306716063"/>
      <w:bookmarkStart w:id="20" w:name="_Toc509669700"/>
      <w:bookmarkStart w:id="21" w:name="_Toc306716065"/>
      <w:r>
        <w:rPr>
          <w:rFonts w:hint="eastAsia"/>
          <w:sz w:val="36"/>
          <w:szCs w:val="36"/>
          <w:highlight w:val="none"/>
        </w:rPr>
        <w:t>投标承诺函</w:t>
      </w:r>
    </w:p>
    <w:p w14:paraId="5066908B">
      <w:pPr>
        <w:spacing w:line="520" w:lineRule="exact"/>
        <w:ind w:right="960"/>
        <w:rPr>
          <w:rFonts w:hint="eastAsia" w:hAnsi="宋体" w:eastAsia="宋体"/>
          <w:bCs/>
          <w:sz w:val="24"/>
          <w:szCs w:val="24"/>
          <w:highlight w:val="none"/>
          <w:u w:val="single"/>
          <w:lang w:eastAsia="zh-CN"/>
        </w:rPr>
      </w:pPr>
      <w:r>
        <w:rPr>
          <w:rFonts w:hint="eastAsia" w:hAnsi="宋体"/>
          <w:bCs/>
          <w:sz w:val="24"/>
          <w:szCs w:val="24"/>
          <w:highlight w:val="none"/>
        </w:rPr>
        <w:t>致招标人:</w:t>
      </w:r>
      <w:r>
        <w:rPr>
          <w:rFonts w:hint="eastAsia" w:hAnsi="宋体"/>
          <w:sz w:val="24"/>
          <w:szCs w:val="24"/>
          <w:highlight w:val="none"/>
          <w:u w:val="single"/>
        </w:rPr>
        <w:t xml:space="preserve"> </w:t>
      </w:r>
      <w:r>
        <w:rPr>
          <w:rFonts w:hint="eastAsia" w:hAnsi="宋体"/>
          <w:sz w:val="24"/>
          <w:szCs w:val="24"/>
          <w:highlight w:val="none"/>
          <w:u w:val="single"/>
          <w:lang w:eastAsia="zh-CN"/>
        </w:rPr>
        <w:t>深圳市龙岗区城投新基础设施建设管理有限公司</w:t>
      </w:r>
    </w:p>
    <w:p w14:paraId="1A8FE5FB">
      <w:pPr>
        <w:pStyle w:val="30"/>
        <w:spacing w:line="520" w:lineRule="exact"/>
        <w:ind w:left="0" w:leftChars="0" w:firstLine="480" w:firstLineChars="200"/>
        <w:rPr>
          <w:highlight w:val="none"/>
        </w:rPr>
      </w:pPr>
      <w:r>
        <w:rPr>
          <w:rFonts w:hint="eastAsia"/>
          <w:sz w:val="24"/>
          <w:szCs w:val="24"/>
          <w:highlight w:val="none"/>
        </w:rPr>
        <w:t>为了确保本工程相关工作顺利进行，我方将严格执行建设工程招标投标管理的法律法规，并完全接受</w:t>
      </w:r>
      <w:r>
        <w:rPr>
          <w:rFonts w:hint="eastAsia"/>
          <w:sz w:val="24"/>
          <w:szCs w:val="24"/>
          <w:highlight w:val="none"/>
          <w:u w:val="single"/>
        </w:rPr>
        <w:t xml:space="preserve"> </w:t>
      </w:r>
      <w:r>
        <w:rPr>
          <w:rFonts w:hint="eastAsia"/>
          <w:sz w:val="24"/>
          <w:szCs w:val="24"/>
          <w:highlight w:val="none"/>
          <w:u w:val="single"/>
          <w:lang w:eastAsia="zh-CN"/>
        </w:rPr>
        <w:t>深圳建筑产业生态智谷总部基地一期二单元15、16层办公用房提升工程监理</w:t>
      </w:r>
      <w:r>
        <w:rPr>
          <w:rFonts w:hint="eastAsia"/>
          <w:sz w:val="24"/>
          <w:szCs w:val="24"/>
          <w:highlight w:val="none"/>
          <w:u w:val="single"/>
          <w:lang w:val="en-US" w:eastAsia="zh-CN"/>
        </w:rPr>
        <w:t xml:space="preserve"> </w:t>
      </w:r>
      <w:r>
        <w:rPr>
          <w:rFonts w:hint="eastAsia" w:ascii="Calibri"/>
          <w:sz w:val="24"/>
          <w:szCs w:val="24"/>
          <w:highlight w:val="none"/>
        </w:rPr>
        <w:t>的</w:t>
      </w:r>
      <w:r>
        <w:rPr>
          <w:rFonts w:hint="eastAsia"/>
          <w:sz w:val="24"/>
          <w:szCs w:val="24"/>
          <w:highlight w:val="none"/>
        </w:rPr>
        <w:t>招标文件所有内容，为此作出如下承诺</w:t>
      </w:r>
      <w:r>
        <w:rPr>
          <w:rFonts w:hint="eastAsia"/>
          <w:highlight w:val="none"/>
        </w:rPr>
        <w:t>：</w:t>
      </w:r>
    </w:p>
    <w:p w14:paraId="357FAEE8">
      <w:pPr>
        <w:pStyle w:val="30"/>
        <w:spacing w:line="520" w:lineRule="exact"/>
        <w:ind w:firstLine="480" w:firstLineChars="200"/>
        <w:rPr>
          <w:sz w:val="24"/>
          <w:szCs w:val="24"/>
          <w:highlight w:val="none"/>
          <w:u w:val="single"/>
        </w:rPr>
      </w:pPr>
      <w:r>
        <w:rPr>
          <w:rFonts w:hint="eastAsia"/>
          <w:bCs/>
          <w:sz w:val="24"/>
          <w:szCs w:val="24"/>
          <w:highlight w:val="none"/>
          <w:u w:val="single"/>
        </w:rPr>
        <w:t>1、根</w:t>
      </w:r>
      <w:r>
        <w:rPr>
          <w:rFonts w:hint="eastAsia"/>
          <w:sz w:val="24"/>
          <w:szCs w:val="24"/>
          <w:highlight w:val="none"/>
          <w:u w:val="single"/>
        </w:rPr>
        <w:t xml:space="preserve">据企业自身情况，理性报价，不会以低于成本的报价竞标，报价金额      元。按招标文件要求承包本项目 </w:t>
      </w:r>
      <w:r>
        <w:rPr>
          <w:rFonts w:hint="eastAsia"/>
          <w:b w:val="0"/>
          <w:kern w:val="2"/>
          <w:sz w:val="24"/>
          <w:szCs w:val="24"/>
          <w:u w:val="single"/>
          <w:lang w:val="en-US" w:eastAsia="zh-CN" w:bidi="ar-SA"/>
        </w:rPr>
        <w:t>监理</w:t>
      </w:r>
      <w:r>
        <w:rPr>
          <w:rFonts w:hint="eastAsia"/>
          <w:sz w:val="24"/>
          <w:szCs w:val="24"/>
          <w:highlight w:val="none"/>
          <w:u w:val="single"/>
          <w:lang w:val="en-US" w:eastAsia="zh-CN"/>
        </w:rPr>
        <w:t xml:space="preserve"> 工作</w:t>
      </w:r>
      <w:r>
        <w:rPr>
          <w:rFonts w:hint="eastAsia" w:ascii="Calibri"/>
          <w:b/>
          <w:bCs/>
          <w:sz w:val="24"/>
          <w:szCs w:val="24"/>
          <w:highlight w:val="none"/>
          <w:u w:val="single"/>
        </w:rPr>
        <w:t xml:space="preserve"> </w:t>
      </w:r>
      <w:r>
        <w:rPr>
          <w:rFonts w:hint="eastAsia"/>
          <w:sz w:val="24"/>
          <w:szCs w:val="24"/>
          <w:highlight w:val="none"/>
          <w:u w:val="single"/>
        </w:rPr>
        <w:t>。否则，我方愿意承担任何风险。（投标人填写）</w:t>
      </w:r>
    </w:p>
    <w:p w14:paraId="6FF538F6">
      <w:pPr>
        <w:spacing w:line="520" w:lineRule="exact"/>
        <w:ind w:firstLine="480" w:firstLineChars="200"/>
        <w:rPr>
          <w:rFonts w:ascii="宋体" w:hAnsi="宋体"/>
          <w:sz w:val="24"/>
          <w:szCs w:val="24"/>
          <w:highlight w:val="none"/>
        </w:rPr>
      </w:pPr>
      <w:r>
        <w:rPr>
          <w:rFonts w:hint="eastAsia" w:ascii="宋体" w:hAnsi="宋体"/>
          <w:bCs/>
          <w:sz w:val="24"/>
          <w:szCs w:val="24"/>
          <w:highlight w:val="none"/>
        </w:rPr>
        <w:t>2、</w:t>
      </w:r>
      <w:r>
        <w:rPr>
          <w:rFonts w:hint="eastAsia" w:ascii="宋体" w:hAnsi="宋体"/>
          <w:sz w:val="24"/>
          <w:szCs w:val="24"/>
          <w:highlight w:val="none"/>
        </w:rPr>
        <w:t>我方同意所递交的投标文件在投标须知规定的投标有效期内有效，在此期间内我方的投标有可能中标，我方将受此约束。如果在投标有效期内撤回投标或放弃中标资格，给贵方造成的损失，贵方有权要求我方进行赔偿。</w:t>
      </w:r>
    </w:p>
    <w:p w14:paraId="6DF8362D">
      <w:pPr>
        <w:pStyle w:val="30"/>
        <w:spacing w:line="520" w:lineRule="exact"/>
        <w:ind w:firstLine="480" w:firstLineChars="200"/>
        <w:rPr>
          <w:bCs/>
          <w:sz w:val="24"/>
          <w:szCs w:val="24"/>
          <w:highlight w:val="none"/>
        </w:rPr>
      </w:pPr>
      <w:r>
        <w:rPr>
          <w:rFonts w:hint="eastAsia"/>
          <w:sz w:val="24"/>
          <w:szCs w:val="24"/>
          <w:highlight w:val="none"/>
        </w:rPr>
        <w:t>3、我方完全理解和接受招标文件的规定，并承诺一旦我方的投标出现该条列举的严重违规或涉嫌串通投标的情形而被评标委员会废标的，将自觉接受贵方暂停或者取消今后我方参加贵方其他任何项目投标资格的处理。</w:t>
      </w:r>
    </w:p>
    <w:p w14:paraId="434E522A">
      <w:pPr>
        <w:spacing w:line="520" w:lineRule="exact"/>
        <w:ind w:firstLine="480" w:firstLineChars="200"/>
        <w:rPr>
          <w:rFonts w:ascii="宋体" w:hAnsi="宋体" w:cs="Courier New"/>
          <w:bCs/>
          <w:sz w:val="24"/>
          <w:szCs w:val="24"/>
          <w:highlight w:val="none"/>
        </w:rPr>
      </w:pPr>
      <w:r>
        <w:rPr>
          <w:rFonts w:hint="eastAsia" w:ascii="宋体" w:hAnsi="宋体" w:cs="Courier New"/>
          <w:bCs/>
          <w:sz w:val="24"/>
          <w:szCs w:val="24"/>
          <w:highlight w:val="none"/>
        </w:rPr>
        <w:t>4、一旦我方中标，将保证在收到委托函后</w:t>
      </w:r>
      <w:r>
        <w:rPr>
          <w:rFonts w:hint="eastAsia" w:ascii="宋体" w:hAnsi="宋体"/>
          <w:bCs/>
          <w:sz w:val="24"/>
          <w:szCs w:val="24"/>
          <w:highlight w:val="none"/>
          <w:u w:val="single"/>
        </w:rPr>
        <w:t xml:space="preserve"> 30 </w:t>
      </w:r>
      <w:r>
        <w:rPr>
          <w:rFonts w:hint="eastAsia" w:ascii="宋体" w:hAnsi="宋体" w:cs="Courier New"/>
          <w:bCs/>
          <w:sz w:val="24"/>
          <w:szCs w:val="24"/>
          <w:highlight w:val="none"/>
        </w:rPr>
        <w:t>日内，与贵方按招标文件、委托函中的内容签订合同文件，否则，视为我方自愿放弃中标资格。</w:t>
      </w:r>
    </w:p>
    <w:p w14:paraId="79925902">
      <w:pPr>
        <w:spacing w:line="520" w:lineRule="exact"/>
        <w:ind w:firstLine="480" w:firstLineChars="200"/>
        <w:rPr>
          <w:rFonts w:ascii="宋体" w:hAnsi="宋体" w:cs="Courier New"/>
          <w:bCs/>
          <w:sz w:val="24"/>
          <w:szCs w:val="24"/>
          <w:highlight w:val="none"/>
        </w:rPr>
      </w:pPr>
      <w:r>
        <w:rPr>
          <w:rFonts w:hint="eastAsia" w:ascii="宋体" w:hAnsi="宋体"/>
          <w:sz w:val="24"/>
          <w:szCs w:val="24"/>
          <w:highlight w:val="none"/>
        </w:rPr>
        <w:t>5、除非另外达成协议并生效，贵方的委托函和本投标文件将成为约束双方的合同文件的组成部分。</w:t>
      </w:r>
    </w:p>
    <w:p w14:paraId="064EA2E0">
      <w:pPr>
        <w:adjustRightInd w:val="0"/>
        <w:snapToGrid w:val="0"/>
        <w:spacing w:line="520" w:lineRule="exact"/>
        <w:ind w:firstLine="480" w:firstLineChars="200"/>
        <w:rPr>
          <w:rFonts w:ascii="宋体" w:hAnsi="宋体"/>
          <w:bCs/>
          <w:sz w:val="24"/>
          <w:szCs w:val="24"/>
          <w:highlight w:val="none"/>
        </w:rPr>
      </w:pPr>
      <w:r>
        <w:rPr>
          <w:rFonts w:hint="eastAsia" w:ascii="宋体" w:hAnsi="宋体"/>
          <w:bCs/>
          <w:sz w:val="24"/>
          <w:szCs w:val="24"/>
          <w:highlight w:val="none"/>
        </w:rPr>
        <w:t>6、按规定完成本项目工作，质量达到合格标准的要求，质量目标为合格。</w:t>
      </w:r>
    </w:p>
    <w:p w14:paraId="6C17EDC8">
      <w:pPr>
        <w:pStyle w:val="30"/>
        <w:spacing w:line="520" w:lineRule="exact"/>
        <w:ind w:firstLine="480" w:firstLineChars="200"/>
        <w:rPr>
          <w:sz w:val="24"/>
          <w:szCs w:val="24"/>
          <w:highlight w:val="none"/>
        </w:rPr>
      </w:pPr>
      <w:r>
        <w:rPr>
          <w:rFonts w:hint="eastAsia"/>
          <w:sz w:val="24"/>
          <w:szCs w:val="24"/>
          <w:highlight w:val="none"/>
        </w:rPr>
        <w:t>7、如果违反本承诺书中任何条款，我方愿意接受：</w:t>
      </w:r>
    </w:p>
    <w:p w14:paraId="3416BD98">
      <w:pPr>
        <w:pStyle w:val="30"/>
        <w:spacing w:line="520" w:lineRule="exact"/>
        <w:ind w:firstLine="480" w:firstLineChars="200"/>
        <w:rPr>
          <w:sz w:val="24"/>
          <w:szCs w:val="24"/>
          <w:highlight w:val="none"/>
        </w:rPr>
      </w:pPr>
      <w:r>
        <w:rPr>
          <w:rFonts w:hint="eastAsia"/>
          <w:sz w:val="24"/>
          <w:szCs w:val="24"/>
          <w:highlight w:val="none"/>
        </w:rPr>
        <w:t>（1）视作我方单方面违约，并按照合同规定向贵方支付违约金或解除合同；</w:t>
      </w:r>
    </w:p>
    <w:p w14:paraId="6314FA8B">
      <w:pPr>
        <w:pStyle w:val="30"/>
        <w:spacing w:line="520" w:lineRule="exact"/>
        <w:ind w:firstLine="480" w:firstLineChars="200"/>
        <w:rPr>
          <w:sz w:val="24"/>
          <w:szCs w:val="24"/>
          <w:highlight w:val="none"/>
        </w:rPr>
      </w:pPr>
      <w:r>
        <w:rPr>
          <w:rFonts w:hint="eastAsia"/>
          <w:sz w:val="24"/>
          <w:szCs w:val="24"/>
          <w:highlight w:val="none"/>
        </w:rPr>
        <w:t>（2）履约评价评定为合格及以下；</w:t>
      </w:r>
    </w:p>
    <w:p w14:paraId="0FADE46A">
      <w:pPr>
        <w:pStyle w:val="30"/>
        <w:spacing w:line="520" w:lineRule="exact"/>
        <w:ind w:firstLine="480" w:firstLineChars="200"/>
        <w:rPr>
          <w:sz w:val="24"/>
          <w:szCs w:val="24"/>
          <w:highlight w:val="none"/>
        </w:rPr>
      </w:pPr>
      <w:r>
        <w:rPr>
          <w:rFonts w:hint="eastAsia"/>
          <w:sz w:val="24"/>
          <w:szCs w:val="24"/>
          <w:highlight w:val="none"/>
        </w:rPr>
        <w:t>（3）招标人今后可拒绝我方参与投标；</w:t>
      </w:r>
    </w:p>
    <w:p w14:paraId="0A59896F">
      <w:pPr>
        <w:pStyle w:val="30"/>
        <w:spacing w:line="520" w:lineRule="exact"/>
        <w:ind w:firstLine="480" w:firstLineChars="200"/>
        <w:rPr>
          <w:sz w:val="24"/>
          <w:szCs w:val="24"/>
          <w:highlight w:val="none"/>
        </w:rPr>
      </w:pPr>
      <w:r>
        <w:rPr>
          <w:rFonts w:hint="eastAsia"/>
          <w:sz w:val="24"/>
          <w:szCs w:val="24"/>
          <w:highlight w:val="none"/>
        </w:rPr>
        <w:t>（4）建设行政主管部门或相关主管部门的不良行为记录、行政处罚。</w:t>
      </w:r>
    </w:p>
    <w:p w14:paraId="27F994AA">
      <w:pPr>
        <w:spacing w:line="520" w:lineRule="exact"/>
        <w:rPr>
          <w:rFonts w:ascii="宋体" w:hAnsi="宋体"/>
          <w:sz w:val="24"/>
          <w:highlight w:val="none"/>
        </w:rPr>
      </w:pPr>
      <w:r>
        <w:rPr>
          <w:rFonts w:hint="eastAsia" w:ascii="宋体" w:hAnsi="宋体"/>
          <w:sz w:val="24"/>
          <w:highlight w:val="none"/>
        </w:rPr>
        <w:t>投标人（单位公章）：</w:t>
      </w:r>
    </w:p>
    <w:p w14:paraId="7AA6F0BC">
      <w:pPr>
        <w:spacing w:line="520" w:lineRule="exact"/>
        <w:rPr>
          <w:rFonts w:ascii="宋体" w:hAnsi="宋体"/>
          <w:sz w:val="24"/>
          <w:highlight w:val="none"/>
        </w:rPr>
      </w:pPr>
      <w:r>
        <w:rPr>
          <w:rFonts w:hint="eastAsia" w:ascii="宋体" w:hAnsi="宋体"/>
          <w:sz w:val="24"/>
          <w:highlight w:val="none"/>
        </w:rPr>
        <w:t>单位地址：</w:t>
      </w:r>
    </w:p>
    <w:p w14:paraId="760B3CDF">
      <w:pPr>
        <w:spacing w:line="520" w:lineRule="exact"/>
        <w:rPr>
          <w:rFonts w:hint="eastAsia" w:hAnsi="宋体"/>
          <w:bCs/>
          <w:sz w:val="24"/>
          <w:highlight w:val="none"/>
        </w:rPr>
        <w:sectPr>
          <w:headerReference r:id="rId18" w:type="default"/>
          <w:footerReference r:id="rId19" w:type="default"/>
          <w:pgSz w:w="11906" w:h="16838"/>
          <w:pgMar w:top="1276" w:right="1351" w:bottom="1135" w:left="1414" w:header="851" w:footer="992" w:gutter="0"/>
          <w:cols w:space="720" w:num="1"/>
          <w:docGrid w:type="lines" w:linePitch="312" w:charSpace="0"/>
        </w:sectPr>
      </w:pPr>
      <w:r>
        <w:rPr>
          <w:rFonts w:hint="eastAsia" w:ascii="宋体" w:hAnsi="宋体"/>
          <w:sz w:val="24"/>
          <w:highlight w:val="none"/>
        </w:rPr>
        <w:t xml:space="preserve">邮政编码：电话： 传真：                                  </w:t>
      </w:r>
      <w:r>
        <w:rPr>
          <w:rFonts w:hint="eastAsia" w:hAnsi="宋体"/>
          <w:bCs/>
          <w:sz w:val="24"/>
          <w:highlight w:val="none"/>
        </w:rPr>
        <w:t>年   月   日</w:t>
      </w:r>
    </w:p>
    <w:p w14:paraId="43587A63">
      <w:pPr>
        <w:keepNext/>
        <w:keepLines/>
        <w:widowControl w:val="0"/>
        <w:bidi w:val="0"/>
        <w:spacing w:beforeLines="0" w:beforeAutospacing="0" w:afterLines="0" w:afterAutospacing="0" w:line="560" w:lineRule="exact"/>
        <w:ind w:firstLine="0" w:firstLineChars="0"/>
        <w:outlineLvl w:val="1"/>
        <w:rPr>
          <w:rFonts w:hint="default" w:ascii="Arial" w:hAnsi="Arial" w:eastAsia="仿宋" w:cs="Times New Roman"/>
          <w:b/>
          <w:kern w:val="2"/>
          <w:sz w:val="30"/>
          <w:szCs w:val="24"/>
          <w:highlight w:val="none"/>
          <w:lang w:val="en-US" w:eastAsia="zh-CN" w:bidi="ar-SA"/>
        </w:rPr>
      </w:pPr>
      <w:r>
        <w:rPr>
          <w:rFonts w:hint="eastAsia" w:ascii="Arial" w:hAnsi="Arial" w:eastAsia="仿宋" w:cs="Times New Roman"/>
          <w:b/>
          <w:kern w:val="2"/>
          <w:sz w:val="30"/>
          <w:szCs w:val="24"/>
          <w:highlight w:val="none"/>
          <w:lang w:val="en-US" w:eastAsia="zh-CN" w:bidi="ar-SA"/>
        </w:rPr>
        <w:t>告知书</w:t>
      </w:r>
    </w:p>
    <w:p w14:paraId="3A8417F5">
      <w:pPr>
        <w:spacing w:line="560" w:lineRule="exact"/>
        <w:ind w:firstLine="0" w:firstLineChars="0"/>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龙岗区进一步规范政商交往行为告知书</w:t>
      </w:r>
    </w:p>
    <w:p w14:paraId="65E3CC6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为深入构建“亲”“清”新型政商关系，努力打造尊商、亲商、助商、安商良好营商环境，龙岗区委区政府制定了《龙岗区公职人员政商交往“十个不准”》，严明公职人员在政商交往中的纪律要求。请参与龙岗建设的广大企业及其从业人员，严格监督我区公职人员落实“十个不准”，并在与我区公职人员交往中切实做到“十个不得”。</w:t>
      </w:r>
    </w:p>
    <w:p w14:paraId="0B118730">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一、不得向公职人员赠送礼品、礼金、消费卡等财物。</w:t>
      </w:r>
    </w:p>
    <w:p w14:paraId="7D7AD3EE">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二、不得违规向公职人员提供宴请、旅游、娱乐等安排。</w:t>
      </w:r>
    </w:p>
    <w:p w14:paraId="0758900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三、不得通过打麻将等形式向公职人员输送利益。</w:t>
      </w:r>
    </w:p>
    <w:p w14:paraId="73482BE2">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四、不得为公职人员报销应由其个人支付的费用。</w:t>
      </w:r>
    </w:p>
    <w:p w14:paraId="7A41BCC9">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五、不得违规向公职人员及其亲友借贷款。</w:t>
      </w:r>
    </w:p>
    <w:p w14:paraId="2CD4931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六、不得违规将车辆、住房等借给公职人员使用。</w:t>
      </w:r>
    </w:p>
    <w:p w14:paraId="4AE8521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七、不得在招投标中与公职人员搞暗箱操作、围标串标。</w:t>
      </w:r>
    </w:p>
    <w:p w14:paraId="0CC4EF5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八、不得为利益相关人和公职人员牵线搭桥或者代为传递信息、传递财物。</w:t>
      </w:r>
    </w:p>
    <w:p w14:paraId="713BDE7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九、不得让公职人员在企业违规兼职取酬。</w:t>
      </w:r>
    </w:p>
    <w:p w14:paraId="7237980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十、不得为公职人员亲友违规承揽业务提供便利。</w:t>
      </w:r>
    </w:p>
    <w:p w14:paraId="43CDA79F">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上述“十个不得”，请您严格遵守。同时，在政商交往中，如有发现我区公职人员存在违反“十个不准”的问题，请及时通过网络举报平台或者12388举报电话等方式，向纪检监察机关反映举报，我们将一律严格保密、一律优先处置、一律严肃查处。</w:t>
      </w:r>
    </w:p>
    <w:p w14:paraId="68E6491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本人已知晓上述告知内容，并愿意遵照执行（</w:t>
      </w:r>
      <w:r>
        <w:rPr>
          <w:rFonts w:hint="eastAsia" w:ascii="Times New Roman" w:hAnsi="Times New Roman" w:eastAsia="仿宋"/>
          <w:sz w:val="28"/>
          <w:szCs w:val="24"/>
          <w:highlight w:val="none"/>
          <w:lang w:val="en-US" w:eastAsia="zh-CN"/>
        </w:rPr>
        <w:t>签字盖章</w:t>
      </w:r>
      <w:r>
        <w:rPr>
          <w:rFonts w:hint="eastAsia" w:ascii="Times New Roman" w:hAnsi="Times New Roman" w:eastAsia="仿宋"/>
          <w:sz w:val="28"/>
          <w:szCs w:val="24"/>
          <w:highlight w:val="none"/>
        </w:rPr>
        <w:t>）：</w:t>
      </w:r>
    </w:p>
    <w:p w14:paraId="3F8C1865">
      <w:pPr>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hint="eastAsia" w:ascii="宋体" w:hAnsi="宋体" w:eastAsia="宋体" w:cs="宋体"/>
          <w:sz w:val="21"/>
          <w:szCs w:val="21"/>
          <w:highlight w:val="none"/>
        </w:rPr>
      </w:pPr>
    </w:p>
    <w:p w14:paraId="352E0CA4">
      <w:pPr>
        <w:keepNext w:val="0"/>
        <w:keepLines w:val="0"/>
        <w:pageBreakBefore w:val="0"/>
        <w:widowControl w:val="0"/>
        <w:kinsoku/>
        <w:wordWrap/>
        <w:overflowPunct/>
        <w:topLinePunct w:val="0"/>
        <w:autoSpaceDE/>
        <w:autoSpaceDN/>
        <w:bidi w:val="0"/>
        <w:adjustRightInd/>
        <w:snapToGrid/>
        <w:spacing w:line="560" w:lineRule="exact"/>
        <w:ind w:firstLine="0" w:firstLineChars="0"/>
        <w:jc w:val="right"/>
        <w:textAlignment w:val="auto"/>
        <w:rPr>
          <w:rFonts w:hint="default" w:ascii="Times New Roman" w:hAnsi="Times New Roman" w:eastAsia="仿宋"/>
          <w:sz w:val="28"/>
          <w:szCs w:val="24"/>
          <w:highlight w:val="none"/>
          <w:lang w:val="en-US" w:eastAsia="zh-CN"/>
        </w:rPr>
      </w:pPr>
      <w:r>
        <w:rPr>
          <w:rFonts w:hint="eastAsia" w:ascii="Times New Roman" w:hAnsi="Times New Roman" w:eastAsia="仿宋"/>
          <w:sz w:val="28"/>
          <w:szCs w:val="24"/>
          <w:highlight w:val="none"/>
          <w:lang w:val="en-US" w:eastAsia="zh-CN"/>
        </w:rPr>
        <w:t>2026</w:t>
      </w:r>
      <w:r>
        <w:rPr>
          <w:rFonts w:hint="eastAsia" w:ascii="Times New Roman" w:hAnsi="Times New Roman" w:eastAsia="仿宋"/>
          <w:sz w:val="28"/>
          <w:szCs w:val="24"/>
          <w:highlight w:val="none"/>
        </w:rPr>
        <w:t>年  月  日</w:t>
      </w:r>
    </w:p>
    <w:p w14:paraId="76FEF9F6">
      <w:pPr>
        <w:pStyle w:val="53"/>
        <w:spacing w:line="560" w:lineRule="exact"/>
        <w:rPr>
          <w:rFonts w:hint="eastAsia"/>
          <w:highlight w:val="none"/>
        </w:rPr>
        <w:sectPr>
          <w:pgSz w:w="11906" w:h="16838"/>
          <w:pgMar w:top="1276" w:right="1351" w:bottom="1135" w:left="1414" w:header="851" w:footer="992" w:gutter="0"/>
          <w:cols w:space="720" w:num="1"/>
          <w:docGrid w:type="lines" w:linePitch="312" w:charSpace="0"/>
        </w:sectPr>
      </w:pPr>
    </w:p>
    <w:p w14:paraId="7086D8AF">
      <w:pPr>
        <w:pStyle w:val="53"/>
        <w:spacing w:line="560" w:lineRule="exact"/>
        <w:rPr>
          <w:rFonts w:hint="eastAsia" w:hAnsi="宋体"/>
          <w:bCs/>
          <w:sz w:val="24"/>
          <w:highlight w:val="none"/>
        </w:rPr>
      </w:pPr>
    </w:p>
    <w:p w14:paraId="7D414A70">
      <w:pPr>
        <w:pStyle w:val="53"/>
        <w:spacing w:line="560" w:lineRule="exact"/>
        <w:ind w:left="0" w:leftChars="0" w:firstLine="0" w:firstLineChars="0"/>
        <w:rPr>
          <w:rFonts w:hint="eastAsia" w:hAnsi="宋体"/>
          <w:bCs/>
          <w:sz w:val="24"/>
          <w:highlight w:val="none"/>
        </w:rPr>
      </w:pPr>
    </w:p>
    <w:p w14:paraId="502865F8">
      <w:pPr>
        <w:pStyle w:val="100"/>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eastAsia" w:ascii="Arial Unicode MS" w:hAnsi="Arial Unicode MS" w:eastAsia="Arial Unicode MS" w:cs="Arial Unicode MS"/>
          <w:sz w:val="44"/>
          <w:szCs w:val="44"/>
          <w:highlight w:val="none"/>
          <w:lang w:eastAsia="zh-CN"/>
        </w:rPr>
      </w:pPr>
      <w:r>
        <w:rPr>
          <w:rFonts w:hint="eastAsia" w:ascii="Arial Unicode MS" w:hAnsi="Arial Unicode MS" w:eastAsia="Arial Unicode MS" w:cs="Arial Unicode MS"/>
          <w:sz w:val="44"/>
          <w:szCs w:val="44"/>
          <w:highlight w:val="none"/>
          <w:lang w:val="en-US" w:eastAsia="zh-CN"/>
        </w:rPr>
        <w:t xml:space="preserve">报 </w:t>
      </w:r>
      <w:r>
        <w:rPr>
          <w:rFonts w:hint="eastAsia" w:ascii="Arial Unicode MS" w:hAnsi="Arial Unicode MS" w:eastAsia="Arial Unicode MS" w:cs="Arial Unicode MS"/>
          <w:sz w:val="44"/>
          <w:szCs w:val="44"/>
          <w:highlight w:val="none"/>
          <w:lang w:eastAsia="zh-CN"/>
        </w:rPr>
        <w:t>价</w:t>
      </w:r>
      <w:r>
        <w:rPr>
          <w:rFonts w:hint="eastAsia" w:ascii="Arial Unicode MS" w:hAnsi="Arial Unicode MS" w:eastAsia="Arial Unicode MS" w:cs="Arial Unicode MS"/>
          <w:sz w:val="44"/>
          <w:szCs w:val="44"/>
          <w:highlight w:val="none"/>
          <w:lang w:val="en-US" w:eastAsia="zh-CN"/>
        </w:rPr>
        <w:t xml:space="preserve"> </w:t>
      </w:r>
      <w:r>
        <w:rPr>
          <w:rFonts w:hint="eastAsia" w:ascii="Arial Unicode MS" w:hAnsi="Arial Unicode MS" w:eastAsia="Arial Unicode MS" w:cs="Arial Unicode MS"/>
          <w:sz w:val="44"/>
          <w:szCs w:val="44"/>
          <w:highlight w:val="none"/>
          <w:lang w:eastAsia="zh-CN"/>
        </w:rPr>
        <w:t>表</w:t>
      </w:r>
    </w:p>
    <w:p w14:paraId="3F98551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0"/>
          <w:szCs w:val="30"/>
          <w:highlight w:val="none"/>
          <w:lang w:eastAsia="zh-CN"/>
        </w:rPr>
      </w:pPr>
    </w:p>
    <w:p w14:paraId="36729CA0">
      <w:pPr>
        <w:spacing w:line="560" w:lineRule="exact"/>
        <w:ind w:firstLine="360" w:firstLineChars="100"/>
        <w:rPr>
          <w:rFonts w:hint="eastAsia" w:ascii="宋体" w:hAnsi="宋体"/>
          <w:sz w:val="24"/>
          <w:highlight w:val="none"/>
        </w:rPr>
      </w:pPr>
      <w:r>
        <w:rPr>
          <w:rFonts w:ascii="宋体" w:hAnsi="宋体" w:eastAsia="宋体" w:cs="宋体"/>
          <w:i w:val="0"/>
          <w:iCs w:val="0"/>
          <w:caps w:val="0"/>
          <w:color w:val="000000"/>
          <w:spacing w:val="0"/>
          <w:sz w:val="36"/>
          <w:szCs w:val="36"/>
          <w:highlight w:val="none"/>
          <w:shd w:val="clear" w:fill="FFFFFF"/>
        </w:rPr>
        <w:t>报价计算过程</w:t>
      </w:r>
    </w:p>
    <w:p w14:paraId="246F209F">
      <w:pPr>
        <w:spacing w:line="560" w:lineRule="exact"/>
        <w:ind w:firstLine="240" w:firstLineChars="100"/>
        <w:rPr>
          <w:rFonts w:hint="eastAsia" w:ascii="宋体" w:hAnsi="宋体"/>
          <w:sz w:val="24"/>
          <w:highlight w:val="none"/>
        </w:rPr>
      </w:pPr>
    </w:p>
    <w:bookmarkEnd w:id="19"/>
    <w:bookmarkEnd w:id="20"/>
    <w:bookmarkEnd w:id="21"/>
    <w:p w14:paraId="44FAD207">
      <w:pPr>
        <w:spacing w:line="560" w:lineRule="exact"/>
        <w:rPr>
          <w:sz w:val="44"/>
          <w:szCs w:val="44"/>
          <w:highlight w:val="none"/>
        </w:rPr>
      </w:pPr>
    </w:p>
    <w:sectPr>
      <w:pgSz w:w="11906" w:h="16838"/>
      <w:pgMar w:top="1276" w:right="1351" w:bottom="1135" w:left="141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altName w:val="文泉驿微米黑"/>
    <w:panose1 w:val="00000000000000000000"/>
    <w:charset w:val="00"/>
    <w:family w:val="auto"/>
    <w:pitch w:val="default"/>
    <w:sig w:usb0="00000000" w:usb1="00000000" w:usb2="00000000" w:usb3="00000000" w:csb0="00000000"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公文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文泉驿微米黑">
    <w:panose1 w:val="020B0606030804020204"/>
    <w:charset w:val="86"/>
    <w:family w:val="auto"/>
    <w:pitch w:val="default"/>
    <w:sig w:usb0="E10002EF" w:usb1="6BDFFCFB" w:usb2="00800036" w:usb3="00000000" w:csb0="603E019F" w:csb1="DFD7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华文细黑">
    <w:panose1 w:val="02010600040101010101"/>
    <w:charset w:val="86"/>
    <w:family w:val="auto"/>
    <w:pitch w:val="default"/>
    <w:sig w:usb0="00000287" w:usb1="080F0000" w:usb2="00000000" w:usb3="00000000" w:csb0="0004009F" w:csb1="DFD70000"/>
  </w:font>
  <w:font w:name="方正黑体简体">
    <w:altName w:val="方正公文黑体"/>
    <w:panose1 w:val="02000000000000000000"/>
    <w:charset w:val="86"/>
    <w:family w:val="swiss"/>
    <w:pitch w:val="default"/>
    <w:sig w:usb0="00000000" w:usb1="00000000" w:usb2="00000012" w:usb3="00000000" w:csb0="00040001" w:csb1="00000000"/>
  </w:font>
  <w:font w:name="方正公文黑体">
    <w:panose1 w:val="02000500000000000000"/>
    <w:charset w:val="86"/>
    <w:family w:val="auto"/>
    <w:pitch w:val="default"/>
    <w:sig w:usb0="A00002BF" w:usb1="38CF7CFA" w:usb2="00000016" w:usb3="00000000" w:csb0="00040001" w:csb1="00000000"/>
  </w:font>
  <w:font w:name="Arial Unicode MS">
    <w:altName w:val="DejaVu Sans"/>
    <w:panose1 w:val="020B0604020202020204"/>
    <w:charset w:val="86"/>
    <w:family w:val="swiss"/>
    <w:pitch w:val="default"/>
    <w:sig w:usb0="00000000" w:usb1="00000000" w:usb2="0000007F" w:usb3="00000000" w:csb0="203F01FF" w:csb1="DFFF0000"/>
  </w:font>
  <w:font w:name="金桥简粗宋">
    <w:altName w:val="Noto Serif CJK SC"/>
    <w:panose1 w:val="00000000000000000000"/>
    <w:charset w:val="86"/>
    <w:family w:val="modern"/>
    <w:pitch w:val="default"/>
    <w:sig w:usb0="00000000" w:usb1="00000000" w:usb2="00000010" w:usb3="00000000" w:csb0="00040000" w:csb1="00000000"/>
  </w:font>
  <w:font w:name="Noto Serif CJK SC">
    <w:panose1 w:val="02020400000000000000"/>
    <w:charset w:val="86"/>
    <w:family w:val="auto"/>
    <w:pitch w:val="default"/>
    <w:sig w:usb0="30000083" w:usb1="2BDF3C10" w:usb2="00000016" w:usb3="00000000" w:csb0="602E0107" w:csb1="00000000"/>
  </w:font>
  <w:font w:name="ˎ̥">
    <w:altName w:val="华文仿宋"/>
    <w:panose1 w:val="00000000000000000000"/>
    <w:charset w:val="00"/>
    <w:family w:val="roman"/>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FZXBSJW--GB1-0">
    <w:altName w:val="华文仿宋"/>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Wingdings 2">
    <w:panose1 w:val="05020102010507070707"/>
    <w:charset w:val="02"/>
    <w:family w:val="auto"/>
    <w:pitch w:val="default"/>
    <w:sig w:usb0="00000000" w:usb1="00000000" w:usb2="00000000" w:usb3="00000000" w:csb0="80000000" w:csb1="00000000"/>
  </w:font>
  <w:font w:name="OKWOAQ+ººÒÇÖÐËÎ¼ò;华文中宋">
    <w:altName w:val="Noto Serif CJK SC"/>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F1804">
    <w:pPr>
      <w:pStyle w:val="15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EDABC">
    <w:pPr>
      <w:pStyle w:val="36"/>
      <w:rPr>
        <w:sz w:val="18"/>
      </w:rPr>
    </w:pPr>
    <w:r>
      <mc:AlternateContent>
        <mc:Choice Requires="wps">
          <w:drawing>
            <wp:anchor distT="0" distB="0" distL="114935" distR="0" simplePos="0" relativeHeight="251659264" behindDoc="1" locked="0" layoutInCell="0" allowOverlap="1">
              <wp:simplePos x="0" y="0"/>
              <wp:positionH relativeFrom="margin">
                <wp:align>right</wp:align>
              </wp:positionH>
              <wp:positionV relativeFrom="paragraph">
                <wp:posOffset>635</wp:posOffset>
              </wp:positionV>
              <wp:extent cx="59055" cy="132715"/>
              <wp:effectExtent l="0" t="0" r="0" b="0"/>
              <wp:wrapNone/>
              <wp:docPr id="1" name="Frame3"/>
              <wp:cNvGraphicFramePr/>
              <a:graphic xmlns:a="http://schemas.openxmlformats.org/drawingml/2006/main">
                <a:graphicData uri="http://schemas.microsoft.com/office/word/2010/wordprocessingShape">
                  <wps:wsp>
                    <wps:cNvSpPr txBox="1"/>
                    <wps:spPr>
                      <a:xfrm>
                        <a:off x="0" y="0"/>
                        <a:ext cx="59055" cy="132715"/>
                      </a:xfrm>
                      <a:prstGeom prst="rect">
                        <a:avLst/>
                      </a:prstGeom>
                      <a:solidFill>
                        <a:srgbClr val="FFFFFF">
                          <a:alpha val="0"/>
                        </a:srgbClr>
                      </a:solidFill>
                    </wps:spPr>
                    <wps:txbx>
                      <w:txbxContent>
                        <w:p w14:paraId="46A3739D">
                          <w:pPr>
                            <w:snapToGrid w:val="0"/>
                            <w:rPr>
                              <w:rFonts w:hint="eastAsia"/>
                              <w:sz w:val="18"/>
                            </w:rPr>
                          </w:pPr>
                          <w:r>
                            <w:rPr>
                              <w:rFonts w:hint="eastAsia"/>
                              <w:sz w:val="18"/>
                            </w:rPr>
                            <w:fldChar w:fldCharType="begin"/>
                          </w:r>
                          <w:r>
                            <w:rPr>
                              <w:rFonts w:hint="eastAsia"/>
                              <w:sz w:val="18"/>
                            </w:rPr>
                            <w:instrText xml:space="preserve"> PAGE </w:instrText>
                          </w:r>
                          <w:r>
                            <w:rPr>
                              <w:rFonts w:hint="eastAsia"/>
                              <w:sz w:val="18"/>
                            </w:rPr>
                            <w:fldChar w:fldCharType="separate"/>
                          </w:r>
                          <w:r>
                            <w:rPr>
                              <w:rFonts w:hint="eastAsia"/>
                              <w:sz w:val="18"/>
                            </w:rPr>
                            <w:t>5</w:t>
                          </w:r>
                          <w:r>
                            <w:rPr>
                              <w:rFonts w:hint="eastAsia"/>
                              <w:sz w:val="18"/>
                            </w:rPr>
                            <w:fldChar w:fldCharType="end"/>
                          </w:r>
                        </w:p>
                      </w:txbxContent>
                    </wps:txbx>
                    <wps:bodyPr lIns="635" tIns="635" rIns="635" bIns="635" anchor="t">
                      <a:spAutoFit/>
                    </wps:bodyPr>
                  </wps:wsp>
                </a:graphicData>
              </a:graphic>
            </wp:anchor>
          </w:drawing>
        </mc:Choice>
        <mc:Fallback>
          <w:pict>
            <v:shape id="Frame3" o:spid="_x0000_s1026" o:spt="202" type="#_x0000_t202" style="position:absolute;left:0pt;margin-top:0.05pt;height:10.45pt;width:4.65pt;mso-position-horizontal:right;mso-position-horizontal-relative:margin;z-index:-251657216;mso-width-relative:page;mso-height-relative:page;" fillcolor="#FFFFFF" filled="t" stroked="f" coordsize="21600,21600" o:allowincell="f" o:gfxdata="UEsDBAoAAAAAAIdO4kAAAAAAAAAAAAAAAAAEAAAAZHJzL1BLAwQUAAAACACHTuJAEFGC8dIAAAAC&#10;AQAADwAAAGRycy9kb3ducmV2LnhtbE2PwW7CMBBE70j9B2sr9QZ2oFQQ4nCIxK1VVWilHpd4SaLG&#10;6yh2gPx9zQmOOzOaeZttr7YVZ+p941hDMlMgiEtnGq40fB920xUIH5ANto5Jw0getvnTJMPUuAt/&#10;0XkfKhFL2KeooQ6hS6X0ZU0W/cx1xNE7ud5iiGdfSdPjJZbbVs6VepMWG44LNXZU1FT+7QerAZUc&#10;f1fFx/uw+1ysl8vXscGfQuuX50RtQAS6hnsYbvgRHfLIdHQDGy9aDfGRcFNF9NYLEEcN80SBzDP5&#10;iJ7/A1BLAwQUAAAACACHTuJAHoW5IcsBAAC6AwAADgAAAGRycy9lMm9Eb2MueG1srVNNb9swDL0P&#10;2H8QdF/sJEi3GXGKbYGHAcNWoOsPkGU5FqAviErs/PtRkhsX3aWH+SBRFPXI90jv7yetyEV4kNbU&#10;dL0qKRGG206aU02f/jQfPlECgZmOKWtETa8C6P3h/bv96CqxsYNVnfAEQQxUo6vpEIKrigL4IDSD&#10;lXXC4GVvvWYBj/5UdJ6NiK5VsSnLu2K0vnPecgGA3mO+pDOifwug7XvJxdHysxYmZFQvFAtICQbp&#10;gB5StX0vePjd9yACUTVFpiGtmATtNq7FYc+qk2dukHwugb2lhFecNJMGk96gjiwwcvbyHygtubdg&#10;+7DiVheZSFIEWazLV9o8DsyJxAWlBncTHf4fLP91efBEdjgJlBimseGNx20blRkdVBjw6DAkTF/t&#10;FKNmP6AzEp56r+OOVAjeo67Xm65iCoSjc/e53O0o4Xiz3m4+rncRpFjeOg/hu7CaRKOmHruWxGSX&#10;nxBy6HNITAVWya6RSqWDP7XflCcXhh1u0pffKjew7E1dxnSQQ1PqFxhFpJnpRCtM7TRzbG13Rerq&#10;h0HF77ZIISymX8x2MZnhg8X5ygTAfTkH28hEIoJnRKwgHrClqZZ5/OLMvDynqOWXO/w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EFGC8dIAAAACAQAADwAAAAAAAAABACAAAAAiAAAAZHJzL2Rvd25y&#10;ZXYueG1sUEsBAhQAFAAAAAgAh07iQB6FuSHLAQAAugMAAA4AAAAAAAAAAQAgAAAAIQEAAGRycy9l&#10;Mm9Eb2MueG1sUEsFBgAAAAAGAAYAWQEAAF4FAAAAAA==&#10;">
              <v:fill on="t" opacity="0f" focussize="0,0"/>
              <v:stroke on="f"/>
              <v:imagedata o:title=""/>
              <o:lock v:ext="edit" aspectratio="f"/>
              <v:textbox inset="0.05pt,0.05pt,0.05pt,0.05pt" style="mso-fit-shape-to-text:t;">
                <w:txbxContent>
                  <w:p w14:paraId="46A3739D">
                    <w:pPr>
                      <w:snapToGrid w:val="0"/>
                      <w:rPr>
                        <w:rFonts w:hint="eastAsia"/>
                        <w:sz w:val="18"/>
                      </w:rPr>
                    </w:pPr>
                    <w:r>
                      <w:rPr>
                        <w:rFonts w:hint="eastAsia"/>
                        <w:sz w:val="18"/>
                      </w:rPr>
                      <w:fldChar w:fldCharType="begin"/>
                    </w:r>
                    <w:r>
                      <w:rPr>
                        <w:rFonts w:hint="eastAsia"/>
                        <w:sz w:val="18"/>
                      </w:rPr>
                      <w:instrText xml:space="preserve"> PAGE </w:instrText>
                    </w:r>
                    <w:r>
                      <w:rPr>
                        <w:rFonts w:hint="eastAsia"/>
                        <w:sz w:val="18"/>
                      </w:rPr>
                      <w:fldChar w:fldCharType="separate"/>
                    </w:r>
                    <w:r>
                      <w:rPr>
                        <w:rFonts w:hint="eastAsia"/>
                        <w:sz w:val="18"/>
                      </w:rPr>
                      <w:t>5</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F8112"/>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B3597">
    <w:pPr>
      <w:pStyle w:val="36"/>
      <w:rPr>
        <w:sz w:val="18"/>
      </w:rPr>
    </w:pPr>
    <w:r>
      <mc:AlternateContent>
        <mc:Choice Requires="wps">
          <w:drawing>
            <wp:anchor distT="0" distB="0" distL="114935" distR="0" simplePos="0" relativeHeight="251659264" behindDoc="1" locked="0" layoutInCell="0" allowOverlap="1">
              <wp:simplePos x="0" y="0"/>
              <wp:positionH relativeFrom="margin">
                <wp:align>right</wp:align>
              </wp:positionH>
              <wp:positionV relativeFrom="paragraph">
                <wp:posOffset>635</wp:posOffset>
              </wp:positionV>
              <wp:extent cx="116205" cy="132715"/>
              <wp:effectExtent l="0" t="0" r="0" b="0"/>
              <wp:wrapNone/>
              <wp:docPr id="2" name="Frame4"/>
              <wp:cNvGraphicFramePr/>
              <a:graphic xmlns:a="http://schemas.openxmlformats.org/drawingml/2006/main">
                <a:graphicData uri="http://schemas.microsoft.com/office/word/2010/wordprocessingShape">
                  <wps:wsp>
                    <wps:cNvSpPr txBox="1"/>
                    <wps:spPr>
                      <a:xfrm>
                        <a:off x="0" y="0"/>
                        <a:ext cx="116205" cy="132715"/>
                      </a:xfrm>
                      <a:prstGeom prst="rect">
                        <a:avLst/>
                      </a:prstGeom>
                      <a:solidFill>
                        <a:srgbClr val="FFFFFF">
                          <a:alpha val="0"/>
                        </a:srgbClr>
                      </a:solidFill>
                    </wps:spPr>
                    <wps:txbx>
                      <w:txbxContent>
                        <w:p w14:paraId="23871B38">
                          <w:pPr>
                            <w:snapToGrid w:val="0"/>
                            <w:rPr>
                              <w:rFonts w:hint="eastAsia"/>
                              <w:sz w:val="18"/>
                            </w:rPr>
                          </w:pPr>
                          <w:r>
                            <w:rPr>
                              <w:rFonts w:hint="eastAsia"/>
                              <w:sz w:val="18"/>
                            </w:rPr>
                            <w:fldChar w:fldCharType="begin"/>
                          </w:r>
                          <w:r>
                            <w:rPr>
                              <w:rFonts w:hint="eastAsia"/>
                              <w:sz w:val="18"/>
                            </w:rPr>
                            <w:instrText xml:space="preserve"> PAGE </w:instrText>
                          </w:r>
                          <w:r>
                            <w:rPr>
                              <w:rFonts w:hint="eastAsia"/>
                              <w:sz w:val="18"/>
                            </w:rPr>
                            <w:fldChar w:fldCharType="separate"/>
                          </w:r>
                          <w:r>
                            <w:rPr>
                              <w:rFonts w:hint="eastAsia"/>
                              <w:sz w:val="18"/>
                            </w:rPr>
                            <w:t>14</w:t>
                          </w:r>
                          <w:r>
                            <w:rPr>
                              <w:rFonts w:hint="eastAsia"/>
                              <w:sz w:val="18"/>
                            </w:rPr>
                            <w:fldChar w:fldCharType="end"/>
                          </w:r>
                        </w:p>
                      </w:txbxContent>
                    </wps:txbx>
                    <wps:bodyPr lIns="635" tIns="635" rIns="635" bIns="635" anchor="t">
                      <a:spAutoFit/>
                    </wps:bodyPr>
                  </wps:wsp>
                </a:graphicData>
              </a:graphic>
            </wp:anchor>
          </w:drawing>
        </mc:Choice>
        <mc:Fallback>
          <w:pict>
            <v:shape id="Frame4" o:spid="_x0000_s1026" o:spt="202" type="#_x0000_t202" style="position:absolute;left:0pt;margin-top:0.05pt;height:10.45pt;width:9.15pt;mso-position-horizontal:right;mso-position-horizontal-relative:margin;z-index:-251657216;mso-width-relative:page;mso-height-relative:page;" fillcolor="#FFFFFF" filled="t" stroked="f" coordsize="21600,21600" o:allowincell="f" o:gfxdata="UEsDBAoAAAAAAIdO4kAAAAAAAAAAAAAAAAAEAAAAZHJzL1BLAwQUAAAACACHTuJAZCwT0NIAAAAD&#10;AQAADwAAAGRycy9kb3ducmV2LnhtbE2PwU7DMBBE75X4B2srcWvttBSFEKeHSL2BEAUkjtt4SaLG&#10;6yh22ubvcU5w3JnRzNt8f7OduNDgW8cakrUCQVw503Kt4fPjsEpB+IBssHNMGibysC/uFjlmxl35&#10;nS7HUItYwj5DDU0IfSalrxqy6NeuJ47ejxsshngOtTQDXmO57eRGqUdpseW40GBPZUPV+ThaDajk&#10;9J2Wry/j4W37tNs9TC1+lVrfLxP1DCLQLfyFYcaP6FBEppMb2XjRaYiPhFkVs5duQZw0bBIFssjl&#10;f/biF1BLAwQUAAAACACHTuJAIkJJ1MsBAAC7AwAADgAAAGRycy9lMm9Eb2MueG1srVPbjtMwEH1H&#10;4h8sv9Ncli0oaroCqiAkBEgLH+A4TmPJN3ncJv17xna3WS0v+0Ae7PHM+MycM87uYdGKnIUHaU1L&#10;q01JiTDcDtIcW/rnd/fuIyUQmBmYska09CKAPuzfvtnNrhG1nawahCcIYqCZXUunEFxTFMAnoRls&#10;rBMGg6P1mgU8+mMxeDYjulZFXZbbYrZ+cN5yAYDeQw7SK6J/DaAdR8nFwfKTFiZkVC8UC0gJJumA&#10;7lO34yh4+DmOIAJRLUWmIa1YBO0+rsV+x5qjZ26S/NoCe00LLzhpJg0WvUEdWGDk5OU/UFpyb8GO&#10;YcOtLjKRpAiyqMoX2jxOzInEBaUGdxMd/h8s/3H+5YkcWlpTYpjGgXcet/dRmdlBgwmPDlPC8tku&#10;+F6e/IDOSHgZvY47UiEYR10vN13FEgiPl6ptXd5TwjFU3dUfqvuIUqyXnYfwVVhNotFSj2NLarLz&#10;dwg59Skl1gKr5NBJpdLBH/svypMzwxF36ct3lZtY9qYxYznIqan0M4wi8sx8ohWWfrmS7+1wQe7q&#10;m0HJt3dIIaymX81+NZnhk8UHlgmA+3QKtpOJRATPiNhBPOBMUy/X9xcfzfNzylr/uf1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CwT0NIAAAADAQAADwAAAAAAAAABACAAAAAiAAAAZHJzL2Rvd25y&#10;ZXYueG1sUEsBAhQAFAAAAAgAh07iQCJCSdTLAQAAuwMAAA4AAAAAAAAAAQAgAAAAIQEAAGRycy9l&#10;Mm9Eb2MueG1sUEsFBgAAAAAGAAYAWQEAAF4FAAAAAA==&#10;">
              <v:fill on="t" opacity="0f" focussize="0,0"/>
              <v:stroke on="f"/>
              <v:imagedata o:title=""/>
              <o:lock v:ext="edit" aspectratio="f"/>
              <v:textbox inset="0.05pt,0.05pt,0.05pt,0.05pt" style="mso-fit-shape-to-text:t;">
                <w:txbxContent>
                  <w:p w14:paraId="23871B38">
                    <w:pPr>
                      <w:snapToGrid w:val="0"/>
                      <w:rPr>
                        <w:rFonts w:hint="eastAsia"/>
                        <w:sz w:val="18"/>
                      </w:rPr>
                    </w:pPr>
                    <w:r>
                      <w:rPr>
                        <w:rFonts w:hint="eastAsia"/>
                        <w:sz w:val="18"/>
                      </w:rPr>
                      <w:fldChar w:fldCharType="begin"/>
                    </w:r>
                    <w:r>
                      <w:rPr>
                        <w:rFonts w:hint="eastAsia"/>
                        <w:sz w:val="18"/>
                      </w:rPr>
                      <w:instrText xml:space="preserve"> PAGE </w:instrText>
                    </w:r>
                    <w:r>
                      <w:rPr>
                        <w:rFonts w:hint="eastAsia"/>
                        <w:sz w:val="18"/>
                      </w:rPr>
                      <w:fldChar w:fldCharType="separate"/>
                    </w:r>
                    <w:r>
                      <w:rPr>
                        <w:rFonts w:hint="eastAsia"/>
                        <w:sz w:val="18"/>
                      </w:rPr>
                      <w:t>14</w:t>
                    </w:r>
                    <w:r>
                      <w:rPr>
                        <w:rFonts w:hint="eastAsia"/>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B360F"/>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E3667">
    <w:pPr>
      <w:pStyle w:val="36"/>
      <w:rPr>
        <w:sz w:val="18"/>
      </w:rPr>
    </w:pPr>
    <w:r>
      <mc:AlternateContent>
        <mc:Choice Requires="wps">
          <w:drawing>
            <wp:anchor distT="0" distB="0" distL="114935" distR="0" simplePos="0" relativeHeight="251659264" behindDoc="1" locked="0" layoutInCell="0" allowOverlap="1">
              <wp:simplePos x="0" y="0"/>
              <wp:positionH relativeFrom="margin">
                <wp:align>right</wp:align>
              </wp:positionH>
              <wp:positionV relativeFrom="paragraph">
                <wp:posOffset>635</wp:posOffset>
              </wp:positionV>
              <wp:extent cx="59055" cy="132715"/>
              <wp:effectExtent l="0" t="0" r="0" b="0"/>
              <wp:wrapNone/>
              <wp:docPr id="3" name="Frame5"/>
              <wp:cNvGraphicFramePr/>
              <a:graphic xmlns:a="http://schemas.openxmlformats.org/drawingml/2006/main">
                <a:graphicData uri="http://schemas.microsoft.com/office/word/2010/wordprocessingShape">
                  <wps:wsp>
                    <wps:cNvSpPr txBox="1"/>
                    <wps:spPr>
                      <a:xfrm>
                        <a:off x="0" y="0"/>
                        <a:ext cx="59055" cy="132715"/>
                      </a:xfrm>
                      <a:prstGeom prst="rect">
                        <a:avLst/>
                      </a:prstGeom>
                      <a:solidFill>
                        <a:srgbClr val="FFFFFF">
                          <a:alpha val="0"/>
                        </a:srgbClr>
                      </a:solidFill>
                    </wps:spPr>
                    <wps:txbx>
                      <w:txbxContent>
                        <w:p w14:paraId="556C7526">
                          <w:pPr>
                            <w:snapToGrid w:val="0"/>
                            <w:rPr>
                              <w:rFonts w:hint="eastAsia"/>
                              <w:sz w:val="18"/>
                            </w:rPr>
                          </w:pPr>
                          <w:r>
                            <w:rPr>
                              <w:rFonts w:hint="eastAsia"/>
                              <w:sz w:val="18"/>
                            </w:rPr>
                            <w:fldChar w:fldCharType="begin"/>
                          </w:r>
                          <w:r>
                            <w:rPr>
                              <w:rFonts w:hint="eastAsia"/>
                              <w:sz w:val="18"/>
                            </w:rPr>
                            <w:instrText xml:space="preserve"> PAGE </w:instrText>
                          </w:r>
                          <w:r>
                            <w:rPr>
                              <w:rFonts w:hint="eastAsia"/>
                              <w:sz w:val="18"/>
                            </w:rPr>
                            <w:fldChar w:fldCharType="separate"/>
                          </w:r>
                          <w:r>
                            <w:rPr>
                              <w:rFonts w:hint="eastAsia"/>
                              <w:sz w:val="18"/>
                            </w:rPr>
                            <w:t>7</w:t>
                          </w:r>
                          <w:r>
                            <w:rPr>
                              <w:rFonts w:hint="eastAsia"/>
                              <w:sz w:val="18"/>
                            </w:rPr>
                            <w:fldChar w:fldCharType="end"/>
                          </w:r>
                        </w:p>
                      </w:txbxContent>
                    </wps:txbx>
                    <wps:bodyPr lIns="635" tIns="635" rIns="635" bIns="635" anchor="t">
                      <a:spAutoFit/>
                    </wps:bodyPr>
                  </wps:wsp>
                </a:graphicData>
              </a:graphic>
            </wp:anchor>
          </w:drawing>
        </mc:Choice>
        <mc:Fallback>
          <w:pict>
            <v:shape id="Frame5" o:spid="_x0000_s1026" o:spt="202" type="#_x0000_t202" style="position:absolute;left:0pt;margin-top:0.05pt;height:10.45pt;width:4.65pt;mso-position-horizontal:right;mso-position-horizontal-relative:margin;z-index:-251657216;mso-width-relative:page;mso-height-relative:page;" fillcolor="#FFFFFF" filled="t" stroked="f" coordsize="21600,21600" o:allowincell="f" o:gfxdata="UEsDBAoAAAAAAIdO4kAAAAAAAAAAAAAAAAAEAAAAZHJzL1BLAwQUAAAACACHTuJAEFGC8dIAAAAC&#10;AQAADwAAAGRycy9kb3ducmV2LnhtbE2PwW7CMBBE70j9B2sr9QZ2oFQQ4nCIxK1VVWilHpd4SaLG&#10;6yh2gPx9zQmOOzOaeZttr7YVZ+p941hDMlMgiEtnGq40fB920xUIH5ANto5Jw0getvnTJMPUuAt/&#10;0XkfKhFL2KeooQ6hS6X0ZU0W/cx1xNE7ud5iiGdfSdPjJZbbVs6VepMWG44LNXZU1FT+7QerAZUc&#10;f1fFx/uw+1ysl8vXscGfQuuX50RtQAS6hnsYbvgRHfLIdHQDGy9aDfGRcFNF9NYLEEcN80SBzDP5&#10;iJ7/A1BLAwQUAAAACACHTuJAXRijz8wBAAC6AwAADgAAAGRycy9lMm9Eb2MueG1srVPBbtswDL0P&#10;2D8Iui92EqTbgjjFtsDDgGEb0O4DZFmOBUiiICqx8/ej5DQu2ksP80EiKeqJ75He3Y/WsLMKqMFV&#10;fLkoOVNOQqvdseJ/H+sPnzjDKFwrDDhV8YtCfr9//243+K1aQQ+mVYERiMPt4Cvex+i3RYGyV1bg&#10;ArxydNhBsCKSG45FG8RA6NYUq7K8KwYIrQ8gFSJFD9MhvyKGtwBC12mpDiBPVrk4oQZlRCRK2GuP&#10;fJ+r7Tol4++uQxWZqTgxjXmlR8hu0lrsd2J7DML3Wl5LEG8p4QUnK7SjR29QBxEFOwX9CspqGQCh&#10;iwsJtpiIZEWIxbJ8oc1DL7zKXEhq9DfR8f/Byl/nP4HptuJrzpyw1PA60LZJygwet5Tw4Ckljl9h&#10;pHl5iiMFE+GxCzbtRIXROel6uemqxsgkBTefy82GM0kny/Xq4zKDF/NdHzB+V2BZMioeqGtZTHH+&#10;iZHqoNSnlPQUgtFtrY3JTjg230xgZ0EdrvM33TW+F1M0d5kwcErNeM8wikRzopOsODbjlXsD7YWo&#10;mx+OFL9bE4U4m2E2m9kUTvZA8zURQP/lFKHWmUQCnxCpguRQS3Mt1/FLM/Pcz1nzL7f/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BBRgvHSAAAAAgEAAA8AAAAAAAAAAQAgAAAAIgAAAGRycy9kb3du&#10;cmV2LnhtbFBLAQIUABQAAAAIAIdO4kBdGKPPzAEAALoDAAAOAAAAAAAAAAEAIAAAACEBAABkcnMv&#10;ZTJvRG9jLnhtbFBLBQYAAAAABgAGAFkBAABfBQAAAAA=&#10;">
              <v:fill on="t" opacity="0f" focussize="0,0"/>
              <v:stroke on="f"/>
              <v:imagedata o:title=""/>
              <o:lock v:ext="edit" aspectratio="f"/>
              <v:textbox inset="0.05pt,0.05pt,0.05pt,0.05pt" style="mso-fit-shape-to-text:t;">
                <w:txbxContent>
                  <w:p w14:paraId="556C7526">
                    <w:pPr>
                      <w:snapToGrid w:val="0"/>
                      <w:rPr>
                        <w:rFonts w:hint="eastAsia"/>
                        <w:sz w:val="18"/>
                      </w:rPr>
                    </w:pPr>
                    <w:r>
                      <w:rPr>
                        <w:rFonts w:hint="eastAsia"/>
                        <w:sz w:val="18"/>
                      </w:rPr>
                      <w:fldChar w:fldCharType="begin"/>
                    </w:r>
                    <w:r>
                      <w:rPr>
                        <w:rFonts w:hint="eastAsia"/>
                        <w:sz w:val="18"/>
                      </w:rPr>
                      <w:instrText xml:space="preserve"> PAGE </w:instrText>
                    </w:r>
                    <w:r>
                      <w:rPr>
                        <w:rFonts w:hint="eastAsia"/>
                        <w:sz w:val="18"/>
                      </w:rPr>
                      <w:fldChar w:fldCharType="separate"/>
                    </w:r>
                    <w:r>
                      <w:rPr>
                        <w:rFonts w:hint="eastAsia"/>
                        <w:sz w:val="18"/>
                      </w:rPr>
                      <w:t>7</w:t>
                    </w:r>
                    <w:r>
                      <w:rPr>
                        <w:rFonts w:hint="eastAsia"/>
                        <w:sz w:val="18"/>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1C38A"/>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86AA6">
    <w:pPr>
      <w:pStyle w:val="36"/>
      <w:spacing w:beforeLines="0" w:afterLines="0"/>
      <w:jc w:val="center"/>
      <w:rPr>
        <w:rFonts w:hint="default"/>
        <w:sz w:val="18"/>
        <w:szCs w:val="24"/>
      </w:rPr>
    </w:pPr>
    <w:r>
      <w:rPr>
        <w:rFonts w:hint="default"/>
        <w:sz w:val="18"/>
        <w:szCs w:val="24"/>
      </w:rPr>
      <w:fldChar w:fldCharType="begin"/>
    </w:r>
    <w:r>
      <w:rPr>
        <w:rFonts w:hint="default"/>
        <w:sz w:val="18"/>
        <w:szCs w:val="24"/>
      </w:rPr>
      <w:instrText xml:space="preserve"> PAGE   \* MERGEFORMAT </w:instrText>
    </w:r>
    <w:r>
      <w:rPr>
        <w:rFonts w:hint="default"/>
        <w:sz w:val="18"/>
        <w:szCs w:val="24"/>
      </w:rPr>
      <w:fldChar w:fldCharType="separate"/>
    </w:r>
    <w:r>
      <w:rPr>
        <w:rFonts w:hint="default"/>
        <w:sz w:val="18"/>
        <w:szCs w:val="24"/>
        <w:lang w:val="zh-CN"/>
      </w:rPr>
      <w:t>11</w:t>
    </w:r>
    <w:r>
      <w:rPr>
        <w:rFonts w:hint="default"/>
        <w:sz w:val="18"/>
        <w:szCs w:val="24"/>
        <w:lang w:val="zh-CN"/>
      </w:rPr>
      <w:fldChar w:fldCharType="end"/>
    </w:r>
  </w:p>
  <w:p w14:paraId="266A1FE0">
    <w:pPr>
      <w:pStyle w:val="36"/>
      <w:spacing w:beforeLines="0" w:afterLines="0"/>
      <w:jc w:val="center"/>
      <w:rPr>
        <w:rFonts w:hint="default"/>
        <w:sz w:val="18"/>
        <w:szCs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267E8">
    <w:pPr>
      <w:pStyle w:val="3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A99B1">
    <w:pPr>
      <w:pStyle w:val="37"/>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5106">
    <w:pPr>
      <w:pStyle w:val="37"/>
      <w:pBdr>
        <w:bottom w:val="none" w:color="auto" w:sz="0" w:space="0"/>
      </w:pBdr>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1F8EE"/>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5A3D7">
    <w:pPr>
      <w:pStyle w:val="37"/>
      <w:pBdr>
        <w:bottom w:val="none" w:color="auto" w:sz="0" w:space="0"/>
      </w:pBdr>
      <w:jc w:val="both"/>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F70A2"/>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E9613">
    <w:pPr>
      <w:pStyle w:val="37"/>
      <w:pBdr>
        <w:bottom w:val="none" w:color="auto" w:sz="0" w:space="0"/>
      </w:pBdr>
      <w:jc w:val="both"/>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07240"/>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2CC9C">
    <w:pPr>
      <w:pStyle w:val="37"/>
      <w:pBdr>
        <w:bottom w:val="none" w:color="auto" w:sz="0" w:space="0"/>
      </w:pBdr>
      <w:spacing w:beforeLines="0" w:afterLines="0"/>
      <w:rPr>
        <w:rFonts w:hint="default"/>
        <w:sz w:val="18"/>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FEA614"/>
    <w:multiLevelType w:val="singleLevel"/>
    <w:tmpl w:val="BBFEA614"/>
    <w:lvl w:ilvl="0" w:tentative="0">
      <w:start w:val="1"/>
      <w:numFmt w:val="decimal"/>
      <w:suff w:val="nothing"/>
      <w:lvlText w:val="（%1）"/>
      <w:lvlJc w:val="left"/>
      <w:pPr>
        <w:tabs>
          <w:tab w:val="left" w:pos="0"/>
        </w:tabs>
        <w:ind w:left="0" w:firstLine="0"/>
      </w:pPr>
    </w:lvl>
  </w:abstractNum>
  <w:abstractNum w:abstractNumId="1">
    <w:nsid w:val="BFABF250"/>
    <w:multiLevelType w:val="singleLevel"/>
    <w:tmpl w:val="BFABF250"/>
    <w:lvl w:ilvl="0" w:tentative="0">
      <w:start w:val="1"/>
      <w:numFmt w:val="decimal"/>
      <w:lvlText w:val="%1."/>
      <w:lvlJc w:val="left"/>
      <w:pPr>
        <w:tabs>
          <w:tab w:val="left" w:pos="420"/>
        </w:tabs>
        <w:ind w:left="0" w:firstLine="0"/>
      </w:pPr>
    </w:lvl>
  </w:abstractNum>
  <w:abstractNum w:abstractNumId="2">
    <w:nsid w:val="D7FAEEE9"/>
    <w:multiLevelType w:val="singleLevel"/>
    <w:tmpl w:val="D7FAEEE9"/>
    <w:lvl w:ilvl="0" w:tentative="0">
      <w:start w:val="1"/>
      <w:numFmt w:val="decimal"/>
      <w:lvlText w:val="%1."/>
      <w:lvlJc w:val="left"/>
      <w:pPr>
        <w:tabs>
          <w:tab w:val="left" w:pos="420"/>
        </w:tabs>
        <w:ind w:left="0" w:firstLine="0"/>
      </w:pPr>
    </w:lvl>
  </w:abstractNum>
  <w:abstractNum w:abstractNumId="3">
    <w:nsid w:val="D7FFF1C8"/>
    <w:multiLevelType w:val="singleLevel"/>
    <w:tmpl w:val="D7FFF1C8"/>
    <w:lvl w:ilvl="0" w:tentative="0">
      <w:start w:val="1"/>
      <w:numFmt w:val="decimal"/>
      <w:lvlText w:val="%1."/>
      <w:lvlJc w:val="left"/>
      <w:pPr>
        <w:tabs>
          <w:tab w:val="left" w:pos="420"/>
        </w:tabs>
        <w:ind w:left="0" w:firstLine="0"/>
      </w:pPr>
    </w:lvl>
  </w:abstractNum>
  <w:abstractNum w:abstractNumId="4">
    <w:nsid w:val="EF7D8C7E"/>
    <w:multiLevelType w:val="singleLevel"/>
    <w:tmpl w:val="EF7D8C7E"/>
    <w:lvl w:ilvl="0" w:tentative="0">
      <w:start w:val="1"/>
      <w:numFmt w:val="decimal"/>
      <w:suff w:val="nothing"/>
      <w:lvlText w:val="（%1）"/>
      <w:lvlJc w:val="left"/>
      <w:pPr>
        <w:tabs>
          <w:tab w:val="left" w:pos="0"/>
        </w:tabs>
        <w:ind w:left="0" w:firstLine="0"/>
      </w:pPr>
    </w:lvl>
  </w:abstractNum>
  <w:abstractNum w:abstractNumId="5">
    <w:nsid w:val="F2F7A977"/>
    <w:multiLevelType w:val="singleLevel"/>
    <w:tmpl w:val="F2F7A977"/>
    <w:lvl w:ilvl="0" w:tentative="0">
      <w:start w:val="1"/>
      <w:numFmt w:val="decimal"/>
      <w:suff w:val="nothing"/>
      <w:lvlText w:val="（%1）"/>
      <w:lvlJc w:val="left"/>
      <w:pPr>
        <w:tabs>
          <w:tab w:val="left" w:pos="0"/>
        </w:tabs>
        <w:ind w:left="0" w:firstLine="0"/>
      </w:pPr>
    </w:lvl>
  </w:abstractNum>
  <w:abstractNum w:abstractNumId="6">
    <w:nsid w:val="F73A49EA"/>
    <w:multiLevelType w:val="singleLevel"/>
    <w:tmpl w:val="F73A49EA"/>
    <w:lvl w:ilvl="0" w:tentative="0">
      <w:start w:val="1"/>
      <w:numFmt w:val="decimal"/>
      <w:suff w:val="nothing"/>
      <w:lvlText w:val="（%1）"/>
      <w:lvlJc w:val="left"/>
      <w:pPr>
        <w:tabs>
          <w:tab w:val="left" w:pos="0"/>
        </w:tabs>
        <w:ind w:left="0" w:firstLine="0"/>
      </w:pPr>
    </w:lvl>
  </w:abstractNum>
  <w:abstractNum w:abstractNumId="7">
    <w:nsid w:val="FCF77248"/>
    <w:multiLevelType w:val="singleLevel"/>
    <w:tmpl w:val="FCF77248"/>
    <w:lvl w:ilvl="0" w:tentative="0">
      <w:start w:val="2"/>
      <w:numFmt w:val="chineseCountingThousand"/>
      <w:suff w:val="space"/>
      <w:lvlText w:val="%1、"/>
      <w:lvlJc w:val="left"/>
      <w:pPr>
        <w:tabs>
          <w:tab w:val="left" w:pos="0"/>
        </w:tabs>
        <w:ind w:left="0" w:firstLine="0"/>
      </w:pPr>
      <w:rPr>
        <w:rFonts w:hint="eastAsia"/>
      </w:rPr>
    </w:lvl>
  </w:abstractNum>
  <w:abstractNum w:abstractNumId="8">
    <w:nsid w:val="FF3E340C"/>
    <w:multiLevelType w:val="singleLevel"/>
    <w:tmpl w:val="FF3E340C"/>
    <w:lvl w:ilvl="0" w:tentative="0">
      <w:start w:val="1"/>
      <w:numFmt w:val="decimal"/>
      <w:suff w:val="nothing"/>
      <w:lvlText w:val="（%1）"/>
      <w:lvlJc w:val="left"/>
      <w:pPr>
        <w:tabs>
          <w:tab w:val="left" w:pos="0"/>
        </w:tabs>
        <w:ind w:left="0" w:firstLine="0"/>
      </w:pPr>
    </w:lvl>
  </w:abstractNum>
  <w:abstractNum w:abstractNumId="9">
    <w:nsid w:val="09F3727D"/>
    <w:multiLevelType w:val="multilevel"/>
    <w:tmpl w:val="09F3727D"/>
    <w:lvl w:ilvl="0" w:tentative="0">
      <w:start w:val="1"/>
      <w:numFmt w:val="decimal"/>
      <w:pStyle w:val="108"/>
      <w:lvlText w:val="%1.0"/>
      <w:lvlJc w:val="left"/>
      <w:pPr>
        <w:tabs>
          <w:tab w:val="left" w:pos="578"/>
        </w:tabs>
        <w:ind w:left="578" w:hanging="578"/>
      </w:pPr>
      <w:rPr>
        <w:rFonts w:hint="default" w:ascii="Arial" w:hAnsi="Arial"/>
        <w:b/>
        <w:i w:val="0"/>
        <w:color w:val="auto"/>
        <w:sz w:val="32"/>
      </w:rPr>
    </w:lvl>
    <w:lvl w:ilvl="1" w:tentative="0">
      <w:start w:val="1"/>
      <w:numFmt w:val="decimal"/>
      <w:pStyle w:val="111"/>
      <w:lvlText w:val="%1.%2"/>
      <w:lvlJc w:val="left"/>
      <w:pPr>
        <w:tabs>
          <w:tab w:val="left" w:pos="5963"/>
        </w:tabs>
        <w:ind w:left="5963" w:hanging="576"/>
      </w:pPr>
      <w:rPr>
        <w:rFonts w:hint="default" w:ascii="Arial" w:hAnsi="Arial"/>
        <w:b/>
        <w:i w:val="0"/>
        <w:sz w:val="28"/>
      </w:rPr>
    </w:lvl>
    <w:lvl w:ilvl="2" w:tentative="0">
      <w:start w:val="1"/>
      <w:numFmt w:val="decimal"/>
      <w:lvlText w:val="%1.%2.%3"/>
      <w:lvlJc w:val="left"/>
      <w:pPr>
        <w:tabs>
          <w:tab w:val="left" w:pos="720"/>
        </w:tabs>
        <w:ind w:left="720" w:hanging="720"/>
      </w:pPr>
      <w:rPr>
        <w:rFonts w:hint="default" w:ascii="Arial" w:hAnsi="Arial"/>
        <w:b/>
        <w:i w:val="0"/>
        <w:color w:val="auto"/>
        <w:sz w:val="24"/>
      </w:rPr>
    </w:lvl>
    <w:lvl w:ilvl="3" w:tentative="0">
      <w:start w:val="1"/>
      <w:numFmt w:val="decimal"/>
      <w:pStyle w:val="107"/>
      <w:lvlText w:val="%1.%2.%3.%4"/>
      <w:lvlJc w:val="left"/>
      <w:pPr>
        <w:tabs>
          <w:tab w:val="left" w:pos="864"/>
        </w:tabs>
        <w:ind w:left="864" w:hanging="864"/>
      </w:pPr>
      <w:rPr>
        <w:rFonts w:hint="default" w:ascii="Arial" w:hAnsi="Arial"/>
        <w:b/>
        <w:i w:val="0"/>
        <w:color w:val="auto"/>
        <w:sz w:val="20"/>
      </w:rPr>
    </w:lvl>
    <w:lvl w:ilvl="4" w:tentative="0">
      <w:start w:val="1"/>
      <w:numFmt w:val="decimal"/>
      <w:lvlText w:val="%1.%2.%3.%4.%5"/>
      <w:lvlJc w:val="left"/>
      <w:pPr>
        <w:tabs>
          <w:tab w:val="left" w:pos="1008"/>
        </w:tabs>
        <w:ind w:left="1008" w:hanging="1008"/>
      </w:pPr>
      <w:rPr>
        <w:rFonts w:hint="default"/>
      </w:rPr>
    </w:lvl>
    <w:lvl w:ilvl="5" w:tentative="0">
      <w:start w:val="1"/>
      <w:numFmt w:val="decimal"/>
      <w:lvlText w:val="%1.%2.%3.%4.%5.%6"/>
      <w:lvlJc w:val="left"/>
      <w:pPr>
        <w:tabs>
          <w:tab w:val="left" w:pos="1152"/>
        </w:tabs>
        <w:ind w:left="1152" w:hanging="1152"/>
      </w:pPr>
      <w:rPr>
        <w:rFonts w:hint="default"/>
      </w:rPr>
    </w:lvl>
    <w:lvl w:ilvl="6" w:tentative="0">
      <w:start w:val="1"/>
      <w:numFmt w:val="decimal"/>
      <w:lvlText w:val="%1.%2.%3.%4.%5.%6.%7"/>
      <w:lvlJc w:val="left"/>
      <w:pPr>
        <w:tabs>
          <w:tab w:val="left" w:pos="1296"/>
        </w:tabs>
        <w:ind w:left="1296" w:hanging="1296"/>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584"/>
        </w:tabs>
        <w:ind w:left="1584" w:hanging="1584"/>
      </w:pPr>
      <w:rPr>
        <w:rFonts w:hint="default"/>
      </w:rPr>
    </w:lvl>
  </w:abstractNum>
  <w:abstractNum w:abstractNumId="10">
    <w:nsid w:val="1A141E91"/>
    <w:multiLevelType w:val="multilevel"/>
    <w:tmpl w:val="1A141E91"/>
    <w:lvl w:ilvl="0" w:tentative="0">
      <w:start w:val="1"/>
      <w:numFmt w:val="upperRoman"/>
      <w:pStyle w:val="4"/>
      <w:lvlText w:val="第 %1 条"/>
      <w:lvlJc w:val="left"/>
      <w:pPr>
        <w:tabs>
          <w:tab w:val="left" w:pos="2640"/>
        </w:tabs>
        <w:ind w:left="1560" w:firstLine="0"/>
      </w:pPr>
    </w:lvl>
    <w:lvl w:ilvl="1" w:tentative="0">
      <w:start w:val="1"/>
      <w:numFmt w:val="decimalZero"/>
      <w:pStyle w:val="5"/>
      <w:isLgl/>
      <w:lvlText w:val="节 %1.%2"/>
      <w:lvlJc w:val="left"/>
      <w:pPr>
        <w:tabs>
          <w:tab w:val="left" w:pos="2280"/>
        </w:tabs>
        <w:ind w:left="1560" w:firstLine="0"/>
      </w:pPr>
    </w:lvl>
    <w:lvl w:ilvl="2" w:tentative="0">
      <w:start w:val="1"/>
      <w:numFmt w:val="lowerLetter"/>
      <w:pStyle w:val="6"/>
      <w:lvlText w:val="(%3)"/>
      <w:lvlJc w:val="left"/>
      <w:pPr>
        <w:tabs>
          <w:tab w:val="left" w:pos="2280"/>
        </w:tabs>
        <w:ind w:left="2280" w:hanging="432"/>
      </w:pPr>
    </w:lvl>
    <w:lvl w:ilvl="3" w:tentative="0">
      <w:start w:val="1"/>
      <w:numFmt w:val="lowerRoman"/>
      <w:pStyle w:val="7"/>
      <w:lvlText w:val="(%4)"/>
      <w:lvlJc w:val="right"/>
      <w:pPr>
        <w:tabs>
          <w:tab w:val="left" w:pos="2424"/>
        </w:tabs>
        <w:ind w:left="2424" w:hanging="144"/>
      </w:pPr>
    </w:lvl>
    <w:lvl w:ilvl="4" w:tentative="0">
      <w:start w:val="1"/>
      <w:numFmt w:val="decimal"/>
      <w:lvlText w:val="%5)"/>
      <w:lvlJc w:val="left"/>
      <w:pPr>
        <w:tabs>
          <w:tab w:val="left" w:pos="2568"/>
        </w:tabs>
        <w:ind w:left="2568" w:hanging="432"/>
      </w:pPr>
    </w:lvl>
    <w:lvl w:ilvl="5" w:tentative="0">
      <w:start w:val="1"/>
      <w:numFmt w:val="lowerLetter"/>
      <w:lvlText w:val="%6)"/>
      <w:lvlJc w:val="left"/>
      <w:pPr>
        <w:tabs>
          <w:tab w:val="left" w:pos="2712"/>
        </w:tabs>
        <w:ind w:left="2712" w:hanging="432"/>
      </w:pPr>
    </w:lvl>
    <w:lvl w:ilvl="6" w:tentative="0">
      <w:start w:val="1"/>
      <w:numFmt w:val="lowerRoman"/>
      <w:pStyle w:val="10"/>
      <w:lvlText w:val="%7)"/>
      <w:lvlJc w:val="right"/>
      <w:pPr>
        <w:tabs>
          <w:tab w:val="left" w:pos="2856"/>
        </w:tabs>
        <w:ind w:left="2856" w:hanging="288"/>
      </w:pPr>
    </w:lvl>
    <w:lvl w:ilvl="7" w:tentative="0">
      <w:start w:val="1"/>
      <w:numFmt w:val="lowerLetter"/>
      <w:lvlText w:val="%8."/>
      <w:lvlJc w:val="left"/>
      <w:pPr>
        <w:tabs>
          <w:tab w:val="left" w:pos="3000"/>
        </w:tabs>
        <w:ind w:left="3000" w:hanging="432"/>
      </w:pPr>
    </w:lvl>
    <w:lvl w:ilvl="8" w:tentative="0">
      <w:start w:val="1"/>
      <w:numFmt w:val="lowerRoman"/>
      <w:lvlText w:val="%9."/>
      <w:lvlJc w:val="right"/>
      <w:pPr>
        <w:tabs>
          <w:tab w:val="left" w:pos="3144"/>
        </w:tabs>
        <w:ind w:left="3144" w:hanging="144"/>
      </w:pPr>
    </w:lvl>
  </w:abstractNum>
  <w:abstractNum w:abstractNumId="11">
    <w:nsid w:val="1F3E1C6C"/>
    <w:multiLevelType w:val="singleLevel"/>
    <w:tmpl w:val="1F3E1C6C"/>
    <w:lvl w:ilvl="0" w:tentative="0">
      <w:start w:val="1"/>
      <w:numFmt w:val="decimal"/>
      <w:suff w:val="nothing"/>
      <w:lvlText w:val="（%1）"/>
      <w:lvlJc w:val="left"/>
      <w:pPr>
        <w:tabs>
          <w:tab w:val="left" w:pos="0"/>
        </w:tabs>
        <w:ind w:left="0" w:firstLine="0"/>
      </w:pPr>
    </w:lvl>
  </w:abstractNum>
  <w:abstractNum w:abstractNumId="12">
    <w:nsid w:val="5BDE1A3F"/>
    <w:multiLevelType w:val="singleLevel"/>
    <w:tmpl w:val="5BDE1A3F"/>
    <w:lvl w:ilvl="0" w:tentative="0">
      <w:start w:val="1"/>
      <w:numFmt w:val="decimal"/>
      <w:suff w:val="nothing"/>
      <w:lvlText w:val="（%1）"/>
      <w:lvlJc w:val="left"/>
      <w:pPr>
        <w:tabs>
          <w:tab w:val="left" w:pos="0"/>
        </w:tabs>
        <w:ind w:left="0" w:firstLine="0"/>
      </w:pPr>
    </w:lvl>
  </w:abstractNum>
  <w:abstractNum w:abstractNumId="13">
    <w:nsid w:val="77E9AC07"/>
    <w:multiLevelType w:val="singleLevel"/>
    <w:tmpl w:val="77E9AC07"/>
    <w:lvl w:ilvl="0" w:tentative="0">
      <w:start w:val="1"/>
      <w:numFmt w:val="decimal"/>
      <w:lvlText w:val="%1."/>
      <w:lvlJc w:val="left"/>
      <w:pPr>
        <w:tabs>
          <w:tab w:val="left" w:pos="420"/>
        </w:tabs>
        <w:ind w:left="0" w:firstLine="0"/>
      </w:pPr>
    </w:lvl>
  </w:abstractNum>
  <w:num w:numId="1">
    <w:abstractNumId w:val="10"/>
  </w:num>
  <w:num w:numId="2">
    <w:abstractNumId w:val="9"/>
  </w:num>
  <w:num w:numId="3">
    <w:abstractNumId w:val="1"/>
  </w:num>
  <w:num w:numId="4">
    <w:abstractNumId w:val="13"/>
  </w:num>
  <w:num w:numId="5">
    <w:abstractNumId w:val="8"/>
  </w:num>
  <w:num w:numId="6">
    <w:abstractNumId w:val="5"/>
  </w:num>
  <w:num w:numId="7">
    <w:abstractNumId w:val="12"/>
  </w:num>
  <w:num w:numId="8">
    <w:abstractNumId w:val="0"/>
  </w:num>
  <w:num w:numId="9">
    <w:abstractNumId w:val="2"/>
  </w:num>
  <w:num w:numId="10">
    <w:abstractNumId w:val="3"/>
  </w:num>
  <w:num w:numId="11">
    <w:abstractNumId w:val="4"/>
  </w:num>
  <w:num w:numId="12">
    <w:abstractNumId w:val="6"/>
  </w:num>
  <w:num w:numId="13">
    <w:abstractNumId w:val="1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I4Yjc5N2RjMzhmNTBlYjUzMTNjMTU1ZTliY2ExY2MifQ=="/>
  </w:docVars>
  <w:rsids>
    <w:rsidRoot w:val="00172A27"/>
    <w:rsid w:val="00002361"/>
    <w:rsid w:val="00003FDE"/>
    <w:rsid w:val="000058B3"/>
    <w:rsid w:val="00005F9C"/>
    <w:rsid w:val="000072D0"/>
    <w:rsid w:val="000075BA"/>
    <w:rsid w:val="00013307"/>
    <w:rsid w:val="00014608"/>
    <w:rsid w:val="00014DD6"/>
    <w:rsid w:val="00014E9B"/>
    <w:rsid w:val="00015C8C"/>
    <w:rsid w:val="00015F26"/>
    <w:rsid w:val="00016125"/>
    <w:rsid w:val="000170E2"/>
    <w:rsid w:val="0001798A"/>
    <w:rsid w:val="00020C18"/>
    <w:rsid w:val="00022CAD"/>
    <w:rsid w:val="00023839"/>
    <w:rsid w:val="00023AF1"/>
    <w:rsid w:val="00025081"/>
    <w:rsid w:val="00027ED8"/>
    <w:rsid w:val="000305AC"/>
    <w:rsid w:val="00031012"/>
    <w:rsid w:val="00031597"/>
    <w:rsid w:val="00031F28"/>
    <w:rsid w:val="000320D7"/>
    <w:rsid w:val="00032115"/>
    <w:rsid w:val="000337B4"/>
    <w:rsid w:val="00033E2F"/>
    <w:rsid w:val="00034568"/>
    <w:rsid w:val="000346FF"/>
    <w:rsid w:val="0003550E"/>
    <w:rsid w:val="0003678E"/>
    <w:rsid w:val="00036790"/>
    <w:rsid w:val="00036A0C"/>
    <w:rsid w:val="00036FD1"/>
    <w:rsid w:val="00040044"/>
    <w:rsid w:val="00040246"/>
    <w:rsid w:val="00040E54"/>
    <w:rsid w:val="0004235C"/>
    <w:rsid w:val="0004278F"/>
    <w:rsid w:val="00042E82"/>
    <w:rsid w:val="00044F96"/>
    <w:rsid w:val="00047623"/>
    <w:rsid w:val="00051414"/>
    <w:rsid w:val="00051415"/>
    <w:rsid w:val="000517A9"/>
    <w:rsid w:val="00051F31"/>
    <w:rsid w:val="00052E8F"/>
    <w:rsid w:val="00053553"/>
    <w:rsid w:val="0005391F"/>
    <w:rsid w:val="00054D3D"/>
    <w:rsid w:val="00055206"/>
    <w:rsid w:val="0005556A"/>
    <w:rsid w:val="000556C4"/>
    <w:rsid w:val="000563FC"/>
    <w:rsid w:val="00061187"/>
    <w:rsid w:val="00061EA4"/>
    <w:rsid w:val="00063817"/>
    <w:rsid w:val="00066D50"/>
    <w:rsid w:val="00070B9B"/>
    <w:rsid w:val="00071424"/>
    <w:rsid w:val="00072042"/>
    <w:rsid w:val="0007276F"/>
    <w:rsid w:val="00074B95"/>
    <w:rsid w:val="000751F4"/>
    <w:rsid w:val="000817C9"/>
    <w:rsid w:val="0008285B"/>
    <w:rsid w:val="00082A2A"/>
    <w:rsid w:val="000830D6"/>
    <w:rsid w:val="00083332"/>
    <w:rsid w:val="00084ADF"/>
    <w:rsid w:val="00085ACC"/>
    <w:rsid w:val="00086BEC"/>
    <w:rsid w:val="000939A2"/>
    <w:rsid w:val="00093FDD"/>
    <w:rsid w:val="000945B0"/>
    <w:rsid w:val="000955E4"/>
    <w:rsid w:val="00095E13"/>
    <w:rsid w:val="00097098"/>
    <w:rsid w:val="000978FB"/>
    <w:rsid w:val="00097EF2"/>
    <w:rsid w:val="000A1B8C"/>
    <w:rsid w:val="000A20B7"/>
    <w:rsid w:val="000A2245"/>
    <w:rsid w:val="000A31B3"/>
    <w:rsid w:val="000A5FCC"/>
    <w:rsid w:val="000B3351"/>
    <w:rsid w:val="000B3AC4"/>
    <w:rsid w:val="000B41E7"/>
    <w:rsid w:val="000B4EF5"/>
    <w:rsid w:val="000B5BB9"/>
    <w:rsid w:val="000B6118"/>
    <w:rsid w:val="000B6355"/>
    <w:rsid w:val="000B7D33"/>
    <w:rsid w:val="000C138C"/>
    <w:rsid w:val="000C1E4B"/>
    <w:rsid w:val="000C1ECB"/>
    <w:rsid w:val="000C20D4"/>
    <w:rsid w:val="000C2766"/>
    <w:rsid w:val="000C37C8"/>
    <w:rsid w:val="000C385A"/>
    <w:rsid w:val="000C3FC0"/>
    <w:rsid w:val="000C5269"/>
    <w:rsid w:val="000D25DD"/>
    <w:rsid w:val="000D3842"/>
    <w:rsid w:val="000D39B4"/>
    <w:rsid w:val="000D4809"/>
    <w:rsid w:val="000D4C95"/>
    <w:rsid w:val="000E0A7E"/>
    <w:rsid w:val="000E0E75"/>
    <w:rsid w:val="000E17AE"/>
    <w:rsid w:val="000E195C"/>
    <w:rsid w:val="000E1ABB"/>
    <w:rsid w:val="000E2E2F"/>
    <w:rsid w:val="000E3961"/>
    <w:rsid w:val="000E4734"/>
    <w:rsid w:val="000E5391"/>
    <w:rsid w:val="000E6E4F"/>
    <w:rsid w:val="000F0453"/>
    <w:rsid w:val="000F1C7C"/>
    <w:rsid w:val="000F281B"/>
    <w:rsid w:val="000F2E59"/>
    <w:rsid w:val="000F3587"/>
    <w:rsid w:val="000F4E4C"/>
    <w:rsid w:val="000F5434"/>
    <w:rsid w:val="000F6D65"/>
    <w:rsid w:val="00100CCD"/>
    <w:rsid w:val="001010C1"/>
    <w:rsid w:val="001018FD"/>
    <w:rsid w:val="001019BE"/>
    <w:rsid w:val="001023CD"/>
    <w:rsid w:val="00102696"/>
    <w:rsid w:val="00102B74"/>
    <w:rsid w:val="00105570"/>
    <w:rsid w:val="00106880"/>
    <w:rsid w:val="001078AF"/>
    <w:rsid w:val="00107D93"/>
    <w:rsid w:val="001105A4"/>
    <w:rsid w:val="0011178F"/>
    <w:rsid w:val="00111AFA"/>
    <w:rsid w:val="00112641"/>
    <w:rsid w:val="00112D11"/>
    <w:rsid w:val="00112E29"/>
    <w:rsid w:val="0011344F"/>
    <w:rsid w:val="0011454B"/>
    <w:rsid w:val="001159D7"/>
    <w:rsid w:val="00115AB9"/>
    <w:rsid w:val="00115EB6"/>
    <w:rsid w:val="00116E3C"/>
    <w:rsid w:val="0012052B"/>
    <w:rsid w:val="00120F22"/>
    <w:rsid w:val="00121FCF"/>
    <w:rsid w:val="0012295D"/>
    <w:rsid w:val="0012396B"/>
    <w:rsid w:val="00124ACD"/>
    <w:rsid w:val="001265E4"/>
    <w:rsid w:val="00127512"/>
    <w:rsid w:val="0012760A"/>
    <w:rsid w:val="00127F97"/>
    <w:rsid w:val="001301F5"/>
    <w:rsid w:val="00130795"/>
    <w:rsid w:val="00130953"/>
    <w:rsid w:val="00130E06"/>
    <w:rsid w:val="00131181"/>
    <w:rsid w:val="0013157C"/>
    <w:rsid w:val="0013160C"/>
    <w:rsid w:val="00131AC3"/>
    <w:rsid w:val="00131B05"/>
    <w:rsid w:val="00132585"/>
    <w:rsid w:val="00132ED2"/>
    <w:rsid w:val="001340D7"/>
    <w:rsid w:val="00134278"/>
    <w:rsid w:val="0013504C"/>
    <w:rsid w:val="0013531E"/>
    <w:rsid w:val="001353E8"/>
    <w:rsid w:val="001363AF"/>
    <w:rsid w:val="00136A64"/>
    <w:rsid w:val="00136B9D"/>
    <w:rsid w:val="00137822"/>
    <w:rsid w:val="00141157"/>
    <w:rsid w:val="00144B4C"/>
    <w:rsid w:val="00145C4C"/>
    <w:rsid w:val="001463F2"/>
    <w:rsid w:val="001505EC"/>
    <w:rsid w:val="00153C3C"/>
    <w:rsid w:val="001542E5"/>
    <w:rsid w:val="001577D1"/>
    <w:rsid w:val="00161AAA"/>
    <w:rsid w:val="00162B7C"/>
    <w:rsid w:val="001632CB"/>
    <w:rsid w:val="00163C4E"/>
    <w:rsid w:val="0016410A"/>
    <w:rsid w:val="001644F1"/>
    <w:rsid w:val="001654BE"/>
    <w:rsid w:val="00165E6C"/>
    <w:rsid w:val="00167AB0"/>
    <w:rsid w:val="00170F9C"/>
    <w:rsid w:val="001711DA"/>
    <w:rsid w:val="001720D5"/>
    <w:rsid w:val="001735B4"/>
    <w:rsid w:val="00175ED7"/>
    <w:rsid w:val="00177830"/>
    <w:rsid w:val="0018182D"/>
    <w:rsid w:val="00182889"/>
    <w:rsid w:val="0018428B"/>
    <w:rsid w:val="00184D4D"/>
    <w:rsid w:val="001850CF"/>
    <w:rsid w:val="00185677"/>
    <w:rsid w:val="00185FEB"/>
    <w:rsid w:val="00186BF0"/>
    <w:rsid w:val="00187E88"/>
    <w:rsid w:val="00191208"/>
    <w:rsid w:val="00191704"/>
    <w:rsid w:val="00192DB5"/>
    <w:rsid w:val="00194F16"/>
    <w:rsid w:val="00195173"/>
    <w:rsid w:val="00195F76"/>
    <w:rsid w:val="001A147A"/>
    <w:rsid w:val="001A29BB"/>
    <w:rsid w:val="001A53DC"/>
    <w:rsid w:val="001A732F"/>
    <w:rsid w:val="001B13EE"/>
    <w:rsid w:val="001B13F7"/>
    <w:rsid w:val="001B4C7E"/>
    <w:rsid w:val="001B6623"/>
    <w:rsid w:val="001C12EC"/>
    <w:rsid w:val="001C3153"/>
    <w:rsid w:val="001C4190"/>
    <w:rsid w:val="001C464A"/>
    <w:rsid w:val="001C47AD"/>
    <w:rsid w:val="001C4852"/>
    <w:rsid w:val="001C641E"/>
    <w:rsid w:val="001C65C5"/>
    <w:rsid w:val="001C6699"/>
    <w:rsid w:val="001C77B8"/>
    <w:rsid w:val="001D103A"/>
    <w:rsid w:val="001D2C8C"/>
    <w:rsid w:val="001D404C"/>
    <w:rsid w:val="001D427F"/>
    <w:rsid w:val="001D5DA7"/>
    <w:rsid w:val="001D650C"/>
    <w:rsid w:val="001E1AD9"/>
    <w:rsid w:val="001E1C2C"/>
    <w:rsid w:val="001E1EC0"/>
    <w:rsid w:val="001E239B"/>
    <w:rsid w:val="001E2608"/>
    <w:rsid w:val="001E280C"/>
    <w:rsid w:val="001E2C24"/>
    <w:rsid w:val="001E45AD"/>
    <w:rsid w:val="001E4EC5"/>
    <w:rsid w:val="001E5E2A"/>
    <w:rsid w:val="001E6740"/>
    <w:rsid w:val="001E6748"/>
    <w:rsid w:val="001E68DC"/>
    <w:rsid w:val="001F28C6"/>
    <w:rsid w:val="001F356C"/>
    <w:rsid w:val="001F4087"/>
    <w:rsid w:val="001F43BB"/>
    <w:rsid w:val="001F5BE2"/>
    <w:rsid w:val="001F6E25"/>
    <w:rsid w:val="001F7FF3"/>
    <w:rsid w:val="00200600"/>
    <w:rsid w:val="00200F9B"/>
    <w:rsid w:val="0020236E"/>
    <w:rsid w:val="0020330D"/>
    <w:rsid w:val="00203A29"/>
    <w:rsid w:val="00205002"/>
    <w:rsid w:val="00207DF0"/>
    <w:rsid w:val="0021033B"/>
    <w:rsid w:val="00210627"/>
    <w:rsid w:val="002116DB"/>
    <w:rsid w:val="00211C86"/>
    <w:rsid w:val="002120DC"/>
    <w:rsid w:val="002121B4"/>
    <w:rsid w:val="00212870"/>
    <w:rsid w:val="00213236"/>
    <w:rsid w:val="00213659"/>
    <w:rsid w:val="00213E78"/>
    <w:rsid w:val="00213E88"/>
    <w:rsid w:val="00216EB9"/>
    <w:rsid w:val="00216F5B"/>
    <w:rsid w:val="002215DA"/>
    <w:rsid w:val="00221867"/>
    <w:rsid w:val="0022255E"/>
    <w:rsid w:val="00222806"/>
    <w:rsid w:val="00222B33"/>
    <w:rsid w:val="00222EB9"/>
    <w:rsid w:val="002239A8"/>
    <w:rsid w:val="00225D73"/>
    <w:rsid w:val="00225E40"/>
    <w:rsid w:val="00226F4C"/>
    <w:rsid w:val="0022721E"/>
    <w:rsid w:val="002275F8"/>
    <w:rsid w:val="002306D7"/>
    <w:rsid w:val="00231CCD"/>
    <w:rsid w:val="002340BB"/>
    <w:rsid w:val="00234B73"/>
    <w:rsid w:val="00235937"/>
    <w:rsid w:val="0023626C"/>
    <w:rsid w:val="0023661B"/>
    <w:rsid w:val="002370E1"/>
    <w:rsid w:val="00237B15"/>
    <w:rsid w:val="002409E5"/>
    <w:rsid w:val="00240FD3"/>
    <w:rsid w:val="002412D1"/>
    <w:rsid w:val="00241ACA"/>
    <w:rsid w:val="00241DD4"/>
    <w:rsid w:val="00242031"/>
    <w:rsid w:val="00244B1A"/>
    <w:rsid w:val="00244D31"/>
    <w:rsid w:val="00244EAD"/>
    <w:rsid w:val="00246236"/>
    <w:rsid w:val="00246633"/>
    <w:rsid w:val="0024729C"/>
    <w:rsid w:val="0025236C"/>
    <w:rsid w:val="002523A9"/>
    <w:rsid w:val="00253162"/>
    <w:rsid w:val="0025467F"/>
    <w:rsid w:val="00254D4B"/>
    <w:rsid w:val="0025548D"/>
    <w:rsid w:val="002567DA"/>
    <w:rsid w:val="00257AF7"/>
    <w:rsid w:val="00257E9A"/>
    <w:rsid w:val="002600BB"/>
    <w:rsid w:val="00260655"/>
    <w:rsid w:val="0026258C"/>
    <w:rsid w:val="002636ED"/>
    <w:rsid w:val="00263DA2"/>
    <w:rsid w:val="00264417"/>
    <w:rsid w:val="00264448"/>
    <w:rsid w:val="00264823"/>
    <w:rsid w:val="002661D6"/>
    <w:rsid w:val="00270F6D"/>
    <w:rsid w:val="00273CB4"/>
    <w:rsid w:val="00274A5E"/>
    <w:rsid w:val="00275BDD"/>
    <w:rsid w:val="00276B61"/>
    <w:rsid w:val="002772D3"/>
    <w:rsid w:val="00277848"/>
    <w:rsid w:val="00280347"/>
    <w:rsid w:val="00280D35"/>
    <w:rsid w:val="00281E83"/>
    <w:rsid w:val="00282089"/>
    <w:rsid w:val="00282385"/>
    <w:rsid w:val="00282551"/>
    <w:rsid w:val="002828A5"/>
    <w:rsid w:val="002834E3"/>
    <w:rsid w:val="0028454F"/>
    <w:rsid w:val="00284709"/>
    <w:rsid w:val="002848F6"/>
    <w:rsid w:val="00284BAE"/>
    <w:rsid w:val="00284E33"/>
    <w:rsid w:val="00285D85"/>
    <w:rsid w:val="00286A50"/>
    <w:rsid w:val="00286E14"/>
    <w:rsid w:val="00286E58"/>
    <w:rsid w:val="002871D4"/>
    <w:rsid w:val="00290797"/>
    <w:rsid w:val="00290EA4"/>
    <w:rsid w:val="00290FBB"/>
    <w:rsid w:val="0029149E"/>
    <w:rsid w:val="0029309F"/>
    <w:rsid w:val="00293D27"/>
    <w:rsid w:val="00293E65"/>
    <w:rsid w:val="00294F05"/>
    <w:rsid w:val="00295EDA"/>
    <w:rsid w:val="002A0238"/>
    <w:rsid w:val="002A23B2"/>
    <w:rsid w:val="002A44FC"/>
    <w:rsid w:val="002A460F"/>
    <w:rsid w:val="002A49E1"/>
    <w:rsid w:val="002B1364"/>
    <w:rsid w:val="002B13C2"/>
    <w:rsid w:val="002B19CF"/>
    <w:rsid w:val="002B1A73"/>
    <w:rsid w:val="002B24F2"/>
    <w:rsid w:val="002B260C"/>
    <w:rsid w:val="002B39B2"/>
    <w:rsid w:val="002B42D7"/>
    <w:rsid w:val="002B593D"/>
    <w:rsid w:val="002B6550"/>
    <w:rsid w:val="002C0764"/>
    <w:rsid w:val="002C0EFF"/>
    <w:rsid w:val="002C2BC9"/>
    <w:rsid w:val="002D121F"/>
    <w:rsid w:val="002D16C2"/>
    <w:rsid w:val="002D2EE1"/>
    <w:rsid w:val="002D3F69"/>
    <w:rsid w:val="002D470B"/>
    <w:rsid w:val="002D58CD"/>
    <w:rsid w:val="002D6A41"/>
    <w:rsid w:val="002D764A"/>
    <w:rsid w:val="002E0CA5"/>
    <w:rsid w:val="002E134C"/>
    <w:rsid w:val="002E1664"/>
    <w:rsid w:val="002E17BD"/>
    <w:rsid w:val="002E1A4A"/>
    <w:rsid w:val="002E4E07"/>
    <w:rsid w:val="002E529F"/>
    <w:rsid w:val="002E53AC"/>
    <w:rsid w:val="002E5EB5"/>
    <w:rsid w:val="002E62B0"/>
    <w:rsid w:val="002E74F9"/>
    <w:rsid w:val="002E7618"/>
    <w:rsid w:val="002F11AE"/>
    <w:rsid w:val="002F2FC3"/>
    <w:rsid w:val="002F3442"/>
    <w:rsid w:val="002F5ABB"/>
    <w:rsid w:val="002F70B0"/>
    <w:rsid w:val="002F730E"/>
    <w:rsid w:val="0030251C"/>
    <w:rsid w:val="0030292A"/>
    <w:rsid w:val="003035CE"/>
    <w:rsid w:val="003036DD"/>
    <w:rsid w:val="00303E2D"/>
    <w:rsid w:val="00305224"/>
    <w:rsid w:val="00305598"/>
    <w:rsid w:val="0030578B"/>
    <w:rsid w:val="00305C4C"/>
    <w:rsid w:val="00305D8F"/>
    <w:rsid w:val="00306166"/>
    <w:rsid w:val="00306185"/>
    <w:rsid w:val="00306246"/>
    <w:rsid w:val="00306D9A"/>
    <w:rsid w:val="00310137"/>
    <w:rsid w:val="00311DB8"/>
    <w:rsid w:val="00312974"/>
    <w:rsid w:val="0031317F"/>
    <w:rsid w:val="00313CEA"/>
    <w:rsid w:val="00314632"/>
    <w:rsid w:val="00314B2C"/>
    <w:rsid w:val="00315252"/>
    <w:rsid w:val="00317E60"/>
    <w:rsid w:val="00317EA6"/>
    <w:rsid w:val="00321078"/>
    <w:rsid w:val="003233A8"/>
    <w:rsid w:val="003248BC"/>
    <w:rsid w:val="00325A4F"/>
    <w:rsid w:val="003262F2"/>
    <w:rsid w:val="00326606"/>
    <w:rsid w:val="00331945"/>
    <w:rsid w:val="00331E67"/>
    <w:rsid w:val="00332271"/>
    <w:rsid w:val="0033398B"/>
    <w:rsid w:val="00333C42"/>
    <w:rsid w:val="003400A6"/>
    <w:rsid w:val="00342AC4"/>
    <w:rsid w:val="003439C5"/>
    <w:rsid w:val="00344699"/>
    <w:rsid w:val="003448E7"/>
    <w:rsid w:val="00344DA4"/>
    <w:rsid w:val="00345B14"/>
    <w:rsid w:val="0034611F"/>
    <w:rsid w:val="00350E22"/>
    <w:rsid w:val="00352360"/>
    <w:rsid w:val="003529EA"/>
    <w:rsid w:val="003534C2"/>
    <w:rsid w:val="0035504F"/>
    <w:rsid w:val="003550CB"/>
    <w:rsid w:val="00355C15"/>
    <w:rsid w:val="003568B3"/>
    <w:rsid w:val="00356A18"/>
    <w:rsid w:val="00357E54"/>
    <w:rsid w:val="00362471"/>
    <w:rsid w:val="003661DB"/>
    <w:rsid w:val="00367CA8"/>
    <w:rsid w:val="003702EC"/>
    <w:rsid w:val="0037056E"/>
    <w:rsid w:val="00371DC1"/>
    <w:rsid w:val="00371FBA"/>
    <w:rsid w:val="00372562"/>
    <w:rsid w:val="003728CF"/>
    <w:rsid w:val="00373696"/>
    <w:rsid w:val="00373D36"/>
    <w:rsid w:val="00373FF6"/>
    <w:rsid w:val="0037511C"/>
    <w:rsid w:val="00375E34"/>
    <w:rsid w:val="00376A7E"/>
    <w:rsid w:val="003771BF"/>
    <w:rsid w:val="0037720F"/>
    <w:rsid w:val="00377666"/>
    <w:rsid w:val="003807BA"/>
    <w:rsid w:val="00381270"/>
    <w:rsid w:val="00381C39"/>
    <w:rsid w:val="003823CC"/>
    <w:rsid w:val="0038363B"/>
    <w:rsid w:val="00383F61"/>
    <w:rsid w:val="00384399"/>
    <w:rsid w:val="00384DF4"/>
    <w:rsid w:val="00387BDE"/>
    <w:rsid w:val="00387FF3"/>
    <w:rsid w:val="00390D1D"/>
    <w:rsid w:val="003914F1"/>
    <w:rsid w:val="00391A02"/>
    <w:rsid w:val="00393CC4"/>
    <w:rsid w:val="003952BA"/>
    <w:rsid w:val="00395596"/>
    <w:rsid w:val="003A053E"/>
    <w:rsid w:val="003A1828"/>
    <w:rsid w:val="003A2DB6"/>
    <w:rsid w:val="003A3DBB"/>
    <w:rsid w:val="003A5DF5"/>
    <w:rsid w:val="003A6F82"/>
    <w:rsid w:val="003B0EE6"/>
    <w:rsid w:val="003B14F2"/>
    <w:rsid w:val="003B18C5"/>
    <w:rsid w:val="003B1BE2"/>
    <w:rsid w:val="003B228B"/>
    <w:rsid w:val="003B375A"/>
    <w:rsid w:val="003B4E28"/>
    <w:rsid w:val="003B4F8B"/>
    <w:rsid w:val="003B77AF"/>
    <w:rsid w:val="003C01DC"/>
    <w:rsid w:val="003C2A88"/>
    <w:rsid w:val="003C2ED9"/>
    <w:rsid w:val="003C35A0"/>
    <w:rsid w:val="003C458F"/>
    <w:rsid w:val="003C4F1A"/>
    <w:rsid w:val="003C5AD6"/>
    <w:rsid w:val="003C6D26"/>
    <w:rsid w:val="003C7629"/>
    <w:rsid w:val="003D05D9"/>
    <w:rsid w:val="003D09EF"/>
    <w:rsid w:val="003D0FB2"/>
    <w:rsid w:val="003D13D3"/>
    <w:rsid w:val="003D1503"/>
    <w:rsid w:val="003D181E"/>
    <w:rsid w:val="003D279C"/>
    <w:rsid w:val="003D3145"/>
    <w:rsid w:val="003D3BCF"/>
    <w:rsid w:val="003D3BDB"/>
    <w:rsid w:val="003D3E28"/>
    <w:rsid w:val="003D3F45"/>
    <w:rsid w:val="003D3F58"/>
    <w:rsid w:val="003D5EDF"/>
    <w:rsid w:val="003D6AD5"/>
    <w:rsid w:val="003D7522"/>
    <w:rsid w:val="003D756D"/>
    <w:rsid w:val="003E03AA"/>
    <w:rsid w:val="003E0D0E"/>
    <w:rsid w:val="003E217E"/>
    <w:rsid w:val="003E4649"/>
    <w:rsid w:val="003E4B73"/>
    <w:rsid w:val="003E51FA"/>
    <w:rsid w:val="003E5386"/>
    <w:rsid w:val="003E6C50"/>
    <w:rsid w:val="003E7430"/>
    <w:rsid w:val="003E795E"/>
    <w:rsid w:val="003F02ED"/>
    <w:rsid w:val="003F0B53"/>
    <w:rsid w:val="003F1045"/>
    <w:rsid w:val="003F1AD6"/>
    <w:rsid w:val="003F1E24"/>
    <w:rsid w:val="003F217C"/>
    <w:rsid w:val="003F2219"/>
    <w:rsid w:val="003F435D"/>
    <w:rsid w:val="003F4E9D"/>
    <w:rsid w:val="003F55A3"/>
    <w:rsid w:val="003F5F49"/>
    <w:rsid w:val="003F65B2"/>
    <w:rsid w:val="003F66EA"/>
    <w:rsid w:val="00400FB7"/>
    <w:rsid w:val="004012BB"/>
    <w:rsid w:val="004015A5"/>
    <w:rsid w:val="00401973"/>
    <w:rsid w:val="00402922"/>
    <w:rsid w:val="00402B84"/>
    <w:rsid w:val="00404E19"/>
    <w:rsid w:val="004056BB"/>
    <w:rsid w:val="004079A8"/>
    <w:rsid w:val="00412449"/>
    <w:rsid w:val="0041346A"/>
    <w:rsid w:val="004166B7"/>
    <w:rsid w:val="004166F9"/>
    <w:rsid w:val="004172E3"/>
    <w:rsid w:val="0042199E"/>
    <w:rsid w:val="00421F46"/>
    <w:rsid w:val="004220DF"/>
    <w:rsid w:val="00422394"/>
    <w:rsid w:val="00424012"/>
    <w:rsid w:val="00424F10"/>
    <w:rsid w:val="00426357"/>
    <w:rsid w:val="004265E6"/>
    <w:rsid w:val="00427691"/>
    <w:rsid w:val="00427FE1"/>
    <w:rsid w:val="004304FF"/>
    <w:rsid w:val="00431145"/>
    <w:rsid w:val="0043156C"/>
    <w:rsid w:val="00432F0C"/>
    <w:rsid w:val="00433596"/>
    <w:rsid w:val="0043416D"/>
    <w:rsid w:val="00434C63"/>
    <w:rsid w:val="0043572B"/>
    <w:rsid w:val="00436A85"/>
    <w:rsid w:val="00436B19"/>
    <w:rsid w:val="00437D6D"/>
    <w:rsid w:val="004425E3"/>
    <w:rsid w:val="00444523"/>
    <w:rsid w:val="00445E15"/>
    <w:rsid w:val="00446AFE"/>
    <w:rsid w:val="004472EB"/>
    <w:rsid w:val="004472F0"/>
    <w:rsid w:val="00450DDF"/>
    <w:rsid w:val="004513C6"/>
    <w:rsid w:val="004515BF"/>
    <w:rsid w:val="00452412"/>
    <w:rsid w:val="004531FC"/>
    <w:rsid w:val="00453A28"/>
    <w:rsid w:val="004546F4"/>
    <w:rsid w:val="004558D2"/>
    <w:rsid w:val="004558E0"/>
    <w:rsid w:val="00456187"/>
    <w:rsid w:val="00457239"/>
    <w:rsid w:val="00463A35"/>
    <w:rsid w:val="00467936"/>
    <w:rsid w:val="004679E0"/>
    <w:rsid w:val="00470AFB"/>
    <w:rsid w:val="00470BB4"/>
    <w:rsid w:val="00470D1D"/>
    <w:rsid w:val="004713CE"/>
    <w:rsid w:val="00473296"/>
    <w:rsid w:val="004733D2"/>
    <w:rsid w:val="004734A8"/>
    <w:rsid w:val="0047431B"/>
    <w:rsid w:val="00474CD6"/>
    <w:rsid w:val="00477C27"/>
    <w:rsid w:val="00480114"/>
    <w:rsid w:val="00480D20"/>
    <w:rsid w:val="00482FB9"/>
    <w:rsid w:val="00484F1F"/>
    <w:rsid w:val="00485354"/>
    <w:rsid w:val="0048563E"/>
    <w:rsid w:val="00485F13"/>
    <w:rsid w:val="00487227"/>
    <w:rsid w:val="0048781C"/>
    <w:rsid w:val="0049306C"/>
    <w:rsid w:val="0049312B"/>
    <w:rsid w:val="00493598"/>
    <w:rsid w:val="0049515F"/>
    <w:rsid w:val="004951EE"/>
    <w:rsid w:val="00496EA7"/>
    <w:rsid w:val="0049712C"/>
    <w:rsid w:val="00497A39"/>
    <w:rsid w:val="004A34D3"/>
    <w:rsid w:val="004A34E1"/>
    <w:rsid w:val="004A4D33"/>
    <w:rsid w:val="004A6678"/>
    <w:rsid w:val="004A67F2"/>
    <w:rsid w:val="004A7061"/>
    <w:rsid w:val="004A787D"/>
    <w:rsid w:val="004A7A1F"/>
    <w:rsid w:val="004B1BD5"/>
    <w:rsid w:val="004B251A"/>
    <w:rsid w:val="004B44FE"/>
    <w:rsid w:val="004B4501"/>
    <w:rsid w:val="004B63F8"/>
    <w:rsid w:val="004B6A78"/>
    <w:rsid w:val="004C0472"/>
    <w:rsid w:val="004C12CD"/>
    <w:rsid w:val="004C1728"/>
    <w:rsid w:val="004C2030"/>
    <w:rsid w:val="004C209D"/>
    <w:rsid w:val="004C2931"/>
    <w:rsid w:val="004C3B13"/>
    <w:rsid w:val="004C7125"/>
    <w:rsid w:val="004C79C6"/>
    <w:rsid w:val="004C7FB5"/>
    <w:rsid w:val="004D055F"/>
    <w:rsid w:val="004D07EA"/>
    <w:rsid w:val="004D0C3E"/>
    <w:rsid w:val="004D2909"/>
    <w:rsid w:val="004D5D5B"/>
    <w:rsid w:val="004E04AB"/>
    <w:rsid w:val="004E09ED"/>
    <w:rsid w:val="004E1774"/>
    <w:rsid w:val="004E1BFD"/>
    <w:rsid w:val="004E2018"/>
    <w:rsid w:val="004E265F"/>
    <w:rsid w:val="004E2A99"/>
    <w:rsid w:val="004E3946"/>
    <w:rsid w:val="004E3EFE"/>
    <w:rsid w:val="004E5982"/>
    <w:rsid w:val="004E5D5F"/>
    <w:rsid w:val="004F1055"/>
    <w:rsid w:val="004F1298"/>
    <w:rsid w:val="004F20FF"/>
    <w:rsid w:val="004F248D"/>
    <w:rsid w:val="004F421E"/>
    <w:rsid w:val="004F4393"/>
    <w:rsid w:val="004F4B85"/>
    <w:rsid w:val="004F4F66"/>
    <w:rsid w:val="004F4F67"/>
    <w:rsid w:val="004F5D38"/>
    <w:rsid w:val="004F79BB"/>
    <w:rsid w:val="004F7B16"/>
    <w:rsid w:val="00500369"/>
    <w:rsid w:val="00500868"/>
    <w:rsid w:val="00500C61"/>
    <w:rsid w:val="00500CB3"/>
    <w:rsid w:val="005016A9"/>
    <w:rsid w:val="00502C59"/>
    <w:rsid w:val="0050428D"/>
    <w:rsid w:val="00504700"/>
    <w:rsid w:val="005048C8"/>
    <w:rsid w:val="005049C7"/>
    <w:rsid w:val="00505267"/>
    <w:rsid w:val="00505947"/>
    <w:rsid w:val="00510180"/>
    <w:rsid w:val="00510240"/>
    <w:rsid w:val="00510656"/>
    <w:rsid w:val="00510C4E"/>
    <w:rsid w:val="00511215"/>
    <w:rsid w:val="00512837"/>
    <w:rsid w:val="00513361"/>
    <w:rsid w:val="005142FD"/>
    <w:rsid w:val="00514D4C"/>
    <w:rsid w:val="00515982"/>
    <w:rsid w:val="005176AB"/>
    <w:rsid w:val="005178C7"/>
    <w:rsid w:val="00517D35"/>
    <w:rsid w:val="00520E9B"/>
    <w:rsid w:val="00522107"/>
    <w:rsid w:val="0052360C"/>
    <w:rsid w:val="00523ADA"/>
    <w:rsid w:val="00523CA6"/>
    <w:rsid w:val="005255FD"/>
    <w:rsid w:val="00525B96"/>
    <w:rsid w:val="00525F0A"/>
    <w:rsid w:val="005260AC"/>
    <w:rsid w:val="00526B79"/>
    <w:rsid w:val="0052734B"/>
    <w:rsid w:val="005308FD"/>
    <w:rsid w:val="00530ECD"/>
    <w:rsid w:val="00530FB4"/>
    <w:rsid w:val="00531F97"/>
    <w:rsid w:val="0053220E"/>
    <w:rsid w:val="00532EC5"/>
    <w:rsid w:val="0053389F"/>
    <w:rsid w:val="00533CE4"/>
    <w:rsid w:val="00535196"/>
    <w:rsid w:val="005362EE"/>
    <w:rsid w:val="00537A55"/>
    <w:rsid w:val="00541C09"/>
    <w:rsid w:val="00541D69"/>
    <w:rsid w:val="00542F62"/>
    <w:rsid w:val="005437C4"/>
    <w:rsid w:val="00544216"/>
    <w:rsid w:val="00544A0C"/>
    <w:rsid w:val="00546B35"/>
    <w:rsid w:val="00552F78"/>
    <w:rsid w:val="00554C45"/>
    <w:rsid w:val="00555846"/>
    <w:rsid w:val="00556148"/>
    <w:rsid w:val="005562DA"/>
    <w:rsid w:val="00556475"/>
    <w:rsid w:val="00557ABF"/>
    <w:rsid w:val="005613DA"/>
    <w:rsid w:val="00561A82"/>
    <w:rsid w:val="0056641D"/>
    <w:rsid w:val="0056768A"/>
    <w:rsid w:val="00567E6F"/>
    <w:rsid w:val="005712D9"/>
    <w:rsid w:val="005713E6"/>
    <w:rsid w:val="005718A0"/>
    <w:rsid w:val="005736B6"/>
    <w:rsid w:val="005747DC"/>
    <w:rsid w:val="00575CFB"/>
    <w:rsid w:val="005766B2"/>
    <w:rsid w:val="00577EA2"/>
    <w:rsid w:val="00580EE3"/>
    <w:rsid w:val="00581321"/>
    <w:rsid w:val="00581975"/>
    <w:rsid w:val="00582236"/>
    <w:rsid w:val="00582901"/>
    <w:rsid w:val="00584142"/>
    <w:rsid w:val="005861CF"/>
    <w:rsid w:val="005872FE"/>
    <w:rsid w:val="00591653"/>
    <w:rsid w:val="00595341"/>
    <w:rsid w:val="005966F8"/>
    <w:rsid w:val="00597632"/>
    <w:rsid w:val="00597D21"/>
    <w:rsid w:val="005A16BA"/>
    <w:rsid w:val="005A29E6"/>
    <w:rsid w:val="005A32C3"/>
    <w:rsid w:val="005A33CA"/>
    <w:rsid w:val="005A3BAA"/>
    <w:rsid w:val="005A3F49"/>
    <w:rsid w:val="005A4A26"/>
    <w:rsid w:val="005A63F6"/>
    <w:rsid w:val="005A7616"/>
    <w:rsid w:val="005B0700"/>
    <w:rsid w:val="005B1147"/>
    <w:rsid w:val="005B25FD"/>
    <w:rsid w:val="005B43B2"/>
    <w:rsid w:val="005B48EB"/>
    <w:rsid w:val="005B5400"/>
    <w:rsid w:val="005B5E90"/>
    <w:rsid w:val="005B6DF2"/>
    <w:rsid w:val="005C09A7"/>
    <w:rsid w:val="005C3139"/>
    <w:rsid w:val="005C33B9"/>
    <w:rsid w:val="005C3BC8"/>
    <w:rsid w:val="005C4FF3"/>
    <w:rsid w:val="005C5972"/>
    <w:rsid w:val="005C5D9B"/>
    <w:rsid w:val="005C79AA"/>
    <w:rsid w:val="005D1541"/>
    <w:rsid w:val="005D30E3"/>
    <w:rsid w:val="005D428F"/>
    <w:rsid w:val="005D54CD"/>
    <w:rsid w:val="005D5E1D"/>
    <w:rsid w:val="005D7FDA"/>
    <w:rsid w:val="005E1791"/>
    <w:rsid w:val="005E195C"/>
    <w:rsid w:val="005E2EF8"/>
    <w:rsid w:val="005E5B27"/>
    <w:rsid w:val="005E7474"/>
    <w:rsid w:val="005E7AE3"/>
    <w:rsid w:val="005F0C3E"/>
    <w:rsid w:val="005F13D5"/>
    <w:rsid w:val="005F17EE"/>
    <w:rsid w:val="005F2E77"/>
    <w:rsid w:val="005F4A97"/>
    <w:rsid w:val="005F56EB"/>
    <w:rsid w:val="005F6E95"/>
    <w:rsid w:val="005F7255"/>
    <w:rsid w:val="005F7867"/>
    <w:rsid w:val="005F7A0B"/>
    <w:rsid w:val="005F7B48"/>
    <w:rsid w:val="00600CEA"/>
    <w:rsid w:val="006011EF"/>
    <w:rsid w:val="0060209D"/>
    <w:rsid w:val="00602DDB"/>
    <w:rsid w:val="00604A20"/>
    <w:rsid w:val="00605465"/>
    <w:rsid w:val="006070A4"/>
    <w:rsid w:val="00607F42"/>
    <w:rsid w:val="00611B01"/>
    <w:rsid w:val="006129E1"/>
    <w:rsid w:val="00613D11"/>
    <w:rsid w:val="00614607"/>
    <w:rsid w:val="006146A5"/>
    <w:rsid w:val="0061644E"/>
    <w:rsid w:val="00621794"/>
    <w:rsid w:val="00622076"/>
    <w:rsid w:val="00622451"/>
    <w:rsid w:val="00622746"/>
    <w:rsid w:val="0062277F"/>
    <w:rsid w:val="00625D5E"/>
    <w:rsid w:val="00626019"/>
    <w:rsid w:val="00627669"/>
    <w:rsid w:val="006300BA"/>
    <w:rsid w:val="0063069C"/>
    <w:rsid w:val="006314B1"/>
    <w:rsid w:val="006318A1"/>
    <w:rsid w:val="00632462"/>
    <w:rsid w:val="00632C92"/>
    <w:rsid w:val="00633914"/>
    <w:rsid w:val="00633DAE"/>
    <w:rsid w:val="00635128"/>
    <w:rsid w:val="00637574"/>
    <w:rsid w:val="00640E28"/>
    <w:rsid w:val="00642DCD"/>
    <w:rsid w:val="006431F2"/>
    <w:rsid w:val="006437F5"/>
    <w:rsid w:val="00643BA8"/>
    <w:rsid w:val="00643D84"/>
    <w:rsid w:val="00644738"/>
    <w:rsid w:val="006464CE"/>
    <w:rsid w:val="006469A0"/>
    <w:rsid w:val="00646B8B"/>
    <w:rsid w:val="00650070"/>
    <w:rsid w:val="00650247"/>
    <w:rsid w:val="006502DA"/>
    <w:rsid w:val="00652CDA"/>
    <w:rsid w:val="00654664"/>
    <w:rsid w:val="0065649F"/>
    <w:rsid w:val="00656BC3"/>
    <w:rsid w:val="00661764"/>
    <w:rsid w:val="00661D41"/>
    <w:rsid w:val="00662E3E"/>
    <w:rsid w:val="0066398F"/>
    <w:rsid w:val="006661C2"/>
    <w:rsid w:val="0066673E"/>
    <w:rsid w:val="00670E90"/>
    <w:rsid w:val="00671278"/>
    <w:rsid w:val="00671503"/>
    <w:rsid w:val="00671B92"/>
    <w:rsid w:val="00671E99"/>
    <w:rsid w:val="006744C2"/>
    <w:rsid w:val="00674A17"/>
    <w:rsid w:val="006755FA"/>
    <w:rsid w:val="00675F1A"/>
    <w:rsid w:val="006767CD"/>
    <w:rsid w:val="00676A52"/>
    <w:rsid w:val="00676F37"/>
    <w:rsid w:val="0067743E"/>
    <w:rsid w:val="0068064E"/>
    <w:rsid w:val="00682CCA"/>
    <w:rsid w:val="0068384C"/>
    <w:rsid w:val="006841D9"/>
    <w:rsid w:val="00685B64"/>
    <w:rsid w:val="00686241"/>
    <w:rsid w:val="00686698"/>
    <w:rsid w:val="00686E56"/>
    <w:rsid w:val="00690593"/>
    <w:rsid w:val="00690768"/>
    <w:rsid w:val="00693D14"/>
    <w:rsid w:val="00694544"/>
    <w:rsid w:val="006949CD"/>
    <w:rsid w:val="00695150"/>
    <w:rsid w:val="00695661"/>
    <w:rsid w:val="006A12D0"/>
    <w:rsid w:val="006A2495"/>
    <w:rsid w:val="006A2602"/>
    <w:rsid w:val="006A3B34"/>
    <w:rsid w:val="006A40E5"/>
    <w:rsid w:val="006A4DFC"/>
    <w:rsid w:val="006A7534"/>
    <w:rsid w:val="006A7B7B"/>
    <w:rsid w:val="006B1E9A"/>
    <w:rsid w:val="006B3D12"/>
    <w:rsid w:val="006B431E"/>
    <w:rsid w:val="006B4559"/>
    <w:rsid w:val="006B78D3"/>
    <w:rsid w:val="006B7A4E"/>
    <w:rsid w:val="006C033B"/>
    <w:rsid w:val="006C1C0D"/>
    <w:rsid w:val="006C20FB"/>
    <w:rsid w:val="006C26B1"/>
    <w:rsid w:val="006C2D2A"/>
    <w:rsid w:val="006C3B92"/>
    <w:rsid w:val="006C58F2"/>
    <w:rsid w:val="006C6DD4"/>
    <w:rsid w:val="006C6F51"/>
    <w:rsid w:val="006D02AB"/>
    <w:rsid w:val="006D0911"/>
    <w:rsid w:val="006D172E"/>
    <w:rsid w:val="006D1B30"/>
    <w:rsid w:val="006D3E8B"/>
    <w:rsid w:val="006D4860"/>
    <w:rsid w:val="006D4DD5"/>
    <w:rsid w:val="006D6290"/>
    <w:rsid w:val="006D669F"/>
    <w:rsid w:val="006E0673"/>
    <w:rsid w:val="006E085D"/>
    <w:rsid w:val="006E100D"/>
    <w:rsid w:val="006E1B31"/>
    <w:rsid w:val="006E6A2E"/>
    <w:rsid w:val="006F0536"/>
    <w:rsid w:val="006F071A"/>
    <w:rsid w:val="006F180C"/>
    <w:rsid w:val="006F45D3"/>
    <w:rsid w:val="006F60A6"/>
    <w:rsid w:val="006F65D3"/>
    <w:rsid w:val="006F6688"/>
    <w:rsid w:val="006F729B"/>
    <w:rsid w:val="006F72B4"/>
    <w:rsid w:val="00700C14"/>
    <w:rsid w:val="00703DEA"/>
    <w:rsid w:val="0070436E"/>
    <w:rsid w:val="00705187"/>
    <w:rsid w:val="00707B72"/>
    <w:rsid w:val="00710881"/>
    <w:rsid w:val="0071149E"/>
    <w:rsid w:val="00713EDB"/>
    <w:rsid w:val="00713FA4"/>
    <w:rsid w:val="00714349"/>
    <w:rsid w:val="007152D1"/>
    <w:rsid w:val="0072143B"/>
    <w:rsid w:val="007215A0"/>
    <w:rsid w:val="007219AD"/>
    <w:rsid w:val="00721C87"/>
    <w:rsid w:val="00723DE2"/>
    <w:rsid w:val="0072506E"/>
    <w:rsid w:val="0072666C"/>
    <w:rsid w:val="00726FA0"/>
    <w:rsid w:val="00731740"/>
    <w:rsid w:val="00731E40"/>
    <w:rsid w:val="007330AF"/>
    <w:rsid w:val="00734580"/>
    <w:rsid w:val="00734869"/>
    <w:rsid w:val="00736967"/>
    <w:rsid w:val="00737ACA"/>
    <w:rsid w:val="00740B9E"/>
    <w:rsid w:val="007417DD"/>
    <w:rsid w:val="0074322D"/>
    <w:rsid w:val="00743FC7"/>
    <w:rsid w:val="00744752"/>
    <w:rsid w:val="0074526E"/>
    <w:rsid w:val="00746725"/>
    <w:rsid w:val="0074680D"/>
    <w:rsid w:val="0074757E"/>
    <w:rsid w:val="0075030E"/>
    <w:rsid w:val="00750684"/>
    <w:rsid w:val="00750B11"/>
    <w:rsid w:val="00750EE9"/>
    <w:rsid w:val="00752C36"/>
    <w:rsid w:val="00752FBC"/>
    <w:rsid w:val="00754843"/>
    <w:rsid w:val="00754E59"/>
    <w:rsid w:val="00756039"/>
    <w:rsid w:val="00757207"/>
    <w:rsid w:val="007608D4"/>
    <w:rsid w:val="0076117B"/>
    <w:rsid w:val="00761AD7"/>
    <w:rsid w:val="00761B10"/>
    <w:rsid w:val="00761C94"/>
    <w:rsid w:val="00761D3D"/>
    <w:rsid w:val="007623B4"/>
    <w:rsid w:val="00762579"/>
    <w:rsid w:val="00762CDF"/>
    <w:rsid w:val="00763686"/>
    <w:rsid w:val="007638F1"/>
    <w:rsid w:val="00765FFF"/>
    <w:rsid w:val="00766147"/>
    <w:rsid w:val="0076656B"/>
    <w:rsid w:val="0076787B"/>
    <w:rsid w:val="007706A6"/>
    <w:rsid w:val="00771F48"/>
    <w:rsid w:val="0077424F"/>
    <w:rsid w:val="00774A22"/>
    <w:rsid w:val="00774FDD"/>
    <w:rsid w:val="0077684E"/>
    <w:rsid w:val="007768E8"/>
    <w:rsid w:val="00777F46"/>
    <w:rsid w:val="0078068D"/>
    <w:rsid w:val="007813A8"/>
    <w:rsid w:val="00782470"/>
    <w:rsid w:val="00782B63"/>
    <w:rsid w:val="007835C0"/>
    <w:rsid w:val="00783AA0"/>
    <w:rsid w:val="007840E1"/>
    <w:rsid w:val="007850E9"/>
    <w:rsid w:val="00787122"/>
    <w:rsid w:val="00791F5F"/>
    <w:rsid w:val="00794557"/>
    <w:rsid w:val="007946F0"/>
    <w:rsid w:val="00794C4F"/>
    <w:rsid w:val="00795B49"/>
    <w:rsid w:val="00795CF5"/>
    <w:rsid w:val="00795D1B"/>
    <w:rsid w:val="00796168"/>
    <w:rsid w:val="007A00E8"/>
    <w:rsid w:val="007A041A"/>
    <w:rsid w:val="007A1806"/>
    <w:rsid w:val="007A205A"/>
    <w:rsid w:val="007A23C0"/>
    <w:rsid w:val="007A2424"/>
    <w:rsid w:val="007A32B4"/>
    <w:rsid w:val="007A3A8D"/>
    <w:rsid w:val="007A47D5"/>
    <w:rsid w:val="007A4F07"/>
    <w:rsid w:val="007A7749"/>
    <w:rsid w:val="007A7998"/>
    <w:rsid w:val="007A7BBA"/>
    <w:rsid w:val="007B1CBB"/>
    <w:rsid w:val="007B38AF"/>
    <w:rsid w:val="007B4438"/>
    <w:rsid w:val="007B59CD"/>
    <w:rsid w:val="007B5B56"/>
    <w:rsid w:val="007B5B79"/>
    <w:rsid w:val="007B5FE6"/>
    <w:rsid w:val="007B7641"/>
    <w:rsid w:val="007C066E"/>
    <w:rsid w:val="007C273A"/>
    <w:rsid w:val="007C3D81"/>
    <w:rsid w:val="007C44D4"/>
    <w:rsid w:val="007C4B69"/>
    <w:rsid w:val="007C4EA8"/>
    <w:rsid w:val="007C6BDF"/>
    <w:rsid w:val="007C6F55"/>
    <w:rsid w:val="007D0E6F"/>
    <w:rsid w:val="007D52E4"/>
    <w:rsid w:val="007D6BA0"/>
    <w:rsid w:val="007E1BBD"/>
    <w:rsid w:val="007E3933"/>
    <w:rsid w:val="007E4EA3"/>
    <w:rsid w:val="007E520B"/>
    <w:rsid w:val="007E56CE"/>
    <w:rsid w:val="007E6C9B"/>
    <w:rsid w:val="007E724F"/>
    <w:rsid w:val="007F00C8"/>
    <w:rsid w:val="007F024A"/>
    <w:rsid w:val="007F0AA5"/>
    <w:rsid w:val="007F20E8"/>
    <w:rsid w:val="007F35BE"/>
    <w:rsid w:val="007F375C"/>
    <w:rsid w:val="007F37C4"/>
    <w:rsid w:val="007F4306"/>
    <w:rsid w:val="007F68A2"/>
    <w:rsid w:val="007F725A"/>
    <w:rsid w:val="00802589"/>
    <w:rsid w:val="00802A67"/>
    <w:rsid w:val="00803433"/>
    <w:rsid w:val="008042F8"/>
    <w:rsid w:val="008054A2"/>
    <w:rsid w:val="008055B0"/>
    <w:rsid w:val="00806797"/>
    <w:rsid w:val="00806861"/>
    <w:rsid w:val="00807395"/>
    <w:rsid w:val="008122D0"/>
    <w:rsid w:val="00813512"/>
    <w:rsid w:val="0081360C"/>
    <w:rsid w:val="0081570E"/>
    <w:rsid w:val="00817626"/>
    <w:rsid w:val="008212A9"/>
    <w:rsid w:val="00822289"/>
    <w:rsid w:val="00822AC1"/>
    <w:rsid w:val="00823BB3"/>
    <w:rsid w:val="0082403C"/>
    <w:rsid w:val="0082490F"/>
    <w:rsid w:val="00827D86"/>
    <w:rsid w:val="008301A1"/>
    <w:rsid w:val="008346DA"/>
    <w:rsid w:val="00834DE6"/>
    <w:rsid w:val="00835D64"/>
    <w:rsid w:val="008367E5"/>
    <w:rsid w:val="0083742E"/>
    <w:rsid w:val="0083755C"/>
    <w:rsid w:val="00840DA0"/>
    <w:rsid w:val="0084240D"/>
    <w:rsid w:val="0084405D"/>
    <w:rsid w:val="00845487"/>
    <w:rsid w:val="00847539"/>
    <w:rsid w:val="008513F3"/>
    <w:rsid w:val="00851862"/>
    <w:rsid w:val="00852861"/>
    <w:rsid w:val="00854762"/>
    <w:rsid w:val="00857873"/>
    <w:rsid w:val="00860B03"/>
    <w:rsid w:val="0086353C"/>
    <w:rsid w:val="00863DDE"/>
    <w:rsid w:val="0086465C"/>
    <w:rsid w:val="008653A0"/>
    <w:rsid w:val="0086575A"/>
    <w:rsid w:val="008668AF"/>
    <w:rsid w:val="0086697D"/>
    <w:rsid w:val="008706D2"/>
    <w:rsid w:val="008733BD"/>
    <w:rsid w:val="0087705F"/>
    <w:rsid w:val="00877506"/>
    <w:rsid w:val="00877C4C"/>
    <w:rsid w:val="00880583"/>
    <w:rsid w:val="00880EA1"/>
    <w:rsid w:val="00881D78"/>
    <w:rsid w:val="0088239B"/>
    <w:rsid w:val="008826D8"/>
    <w:rsid w:val="00882E82"/>
    <w:rsid w:val="0088325C"/>
    <w:rsid w:val="008852EB"/>
    <w:rsid w:val="00886507"/>
    <w:rsid w:val="00886C8D"/>
    <w:rsid w:val="008909F2"/>
    <w:rsid w:val="0089593B"/>
    <w:rsid w:val="0089624D"/>
    <w:rsid w:val="00896E77"/>
    <w:rsid w:val="0089770D"/>
    <w:rsid w:val="008A0CF4"/>
    <w:rsid w:val="008A18E1"/>
    <w:rsid w:val="008A31F3"/>
    <w:rsid w:val="008A5479"/>
    <w:rsid w:val="008A5569"/>
    <w:rsid w:val="008A7246"/>
    <w:rsid w:val="008B0610"/>
    <w:rsid w:val="008B1210"/>
    <w:rsid w:val="008B1356"/>
    <w:rsid w:val="008B1767"/>
    <w:rsid w:val="008B2037"/>
    <w:rsid w:val="008B2492"/>
    <w:rsid w:val="008B264C"/>
    <w:rsid w:val="008B4AE8"/>
    <w:rsid w:val="008B5897"/>
    <w:rsid w:val="008B6078"/>
    <w:rsid w:val="008B6D35"/>
    <w:rsid w:val="008B79AF"/>
    <w:rsid w:val="008C09F7"/>
    <w:rsid w:val="008C19B3"/>
    <w:rsid w:val="008C2CFA"/>
    <w:rsid w:val="008C45C9"/>
    <w:rsid w:val="008C4871"/>
    <w:rsid w:val="008C4EB3"/>
    <w:rsid w:val="008C559A"/>
    <w:rsid w:val="008C5A80"/>
    <w:rsid w:val="008C5CAE"/>
    <w:rsid w:val="008D0DB8"/>
    <w:rsid w:val="008D1331"/>
    <w:rsid w:val="008D159B"/>
    <w:rsid w:val="008D1DAE"/>
    <w:rsid w:val="008D34B3"/>
    <w:rsid w:val="008D3B96"/>
    <w:rsid w:val="008D416B"/>
    <w:rsid w:val="008D5A8F"/>
    <w:rsid w:val="008D6044"/>
    <w:rsid w:val="008D6187"/>
    <w:rsid w:val="008D7457"/>
    <w:rsid w:val="008D7B7B"/>
    <w:rsid w:val="008E07D1"/>
    <w:rsid w:val="008E0B87"/>
    <w:rsid w:val="008E3AF5"/>
    <w:rsid w:val="008E462E"/>
    <w:rsid w:val="008E5FE3"/>
    <w:rsid w:val="008E67EB"/>
    <w:rsid w:val="008E7124"/>
    <w:rsid w:val="008F3201"/>
    <w:rsid w:val="008F4602"/>
    <w:rsid w:val="008F547B"/>
    <w:rsid w:val="008F5808"/>
    <w:rsid w:val="008F5B8F"/>
    <w:rsid w:val="008F65CA"/>
    <w:rsid w:val="008F6F15"/>
    <w:rsid w:val="008F790B"/>
    <w:rsid w:val="00900259"/>
    <w:rsid w:val="00900464"/>
    <w:rsid w:val="0090242E"/>
    <w:rsid w:val="009024B4"/>
    <w:rsid w:val="00902699"/>
    <w:rsid w:val="009034F3"/>
    <w:rsid w:val="0090515F"/>
    <w:rsid w:val="00910891"/>
    <w:rsid w:val="00911247"/>
    <w:rsid w:val="009123F6"/>
    <w:rsid w:val="009128CA"/>
    <w:rsid w:val="00912F8E"/>
    <w:rsid w:val="00913502"/>
    <w:rsid w:val="00913754"/>
    <w:rsid w:val="00916984"/>
    <w:rsid w:val="00917529"/>
    <w:rsid w:val="00920B9F"/>
    <w:rsid w:val="00920EA8"/>
    <w:rsid w:val="009219BD"/>
    <w:rsid w:val="00923735"/>
    <w:rsid w:val="00925738"/>
    <w:rsid w:val="00932025"/>
    <w:rsid w:val="00932524"/>
    <w:rsid w:val="0093324A"/>
    <w:rsid w:val="00934639"/>
    <w:rsid w:val="009353E0"/>
    <w:rsid w:val="00936B9C"/>
    <w:rsid w:val="0094014A"/>
    <w:rsid w:val="00941A21"/>
    <w:rsid w:val="00941E94"/>
    <w:rsid w:val="00942B4D"/>
    <w:rsid w:val="00943485"/>
    <w:rsid w:val="00943B70"/>
    <w:rsid w:val="009461E5"/>
    <w:rsid w:val="00946A5F"/>
    <w:rsid w:val="00947515"/>
    <w:rsid w:val="00947533"/>
    <w:rsid w:val="009505F2"/>
    <w:rsid w:val="009508F3"/>
    <w:rsid w:val="00950C3D"/>
    <w:rsid w:val="00951028"/>
    <w:rsid w:val="00951DF1"/>
    <w:rsid w:val="00951FBE"/>
    <w:rsid w:val="00954C88"/>
    <w:rsid w:val="00955049"/>
    <w:rsid w:val="00955052"/>
    <w:rsid w:val="0095614D"/>
    <w:rsid w:val="00956D82"/>
    <w:rsid w:val="009574C1"/>
    <w:rsid w:val="00960080"/>
    <w:rsid w:val="00960B4B"/>
    <w:rsid w:val="00960E83"/>
    <w:rsid w:val="00961033"/>
    <w:rsid w:val="009611A2"/>
    <w:rsid w:val="00962615"/>
    <w:rsid w:val="0096280A"/>
    <w:rsid w:val="00962B1E"/>
    <w:rsid w:val="00964DC3"/>
    <w:rsid w:val="00965FB7"/>
    <w:rsid w:val="00966A2D"/>
    <w:rsid w:val="00967386"/>
    <w:rsid w:val="009679E0"/>
    <w:rsid w:val="009703DD"/>
    <w:rsid w:val="00970584"/>
    <w:rsid w:val="009706FE"/>
    <w:rsid w:val="00972AEC"/>
    <w:rsid w:val="009739AE"/>
    <w:rsid w:val="00973E27"/>
    <w:rsid w:val="00976F87"/>
    <w:rsid w:val="0098181C"/>
    <w:rsid w:val="0098257F"/>
    <w:rsid w:val="00983046"/>
    <w:rsid w:val="00984F16"/>
    <w:rsid w:val="009867F2"/>
    <w:rsid w:val="00986D4C"/>
    <w:rsid w:val="009875EA"/>
    <w:rsid w:val="00991404"/>
    <w:rsid w:val="00991439"/>
    <w:rsid w:val="00993D51"/>
    <w:rsid w:val="00993FDD"/>
    <w:rsid w:val="009955EE"/>
    <w:rsid w:val="009958E9"/>
    <w:rsid w:val="0099646C"/>
    <w:rsid w:val="009A13D1"/>
    <w:rsid w:val="009A3343"/>
    <w:rsid w:val="009A348E"/>
    <w:rsid w:val="009A3786"/>
    <w:rsid w:val="009A5732"/>
    <w:rsid w:val="009A5A2D"/>
    <w:rsid w:val="009A5CF8"/>
    <w:rsid w:val="009A5EAC"/>
    <w:rsid w:val="009B03B9"/>
    <w:rsid w:val="009B095E"/>
    <w:rsid w:val="009B1381"/>
    <w:rsid w:val="009B13BA"/>
    <w:rsid w:val="009B26A9"/>
    <w:rsid w:val="009B2FFC"/>
    <w:rsid w:val="009B4AAB"/>
    <w:rsid w:val="009B6261"/>
    <w:rsid w:val="009C1474"/>
    <w:rsid w:val="009C275E"/>
    <w:rsid w:val="009C2F54"/>
    <w:rsid w:val="009C347B"/>
    <w:rsid w:val="009C3758"/>
    <w:rsid w:val="009C407A"/>
    <w:rsid w:val="009C62A9"/>
    <w:rsid w:val="009C7614"/>
    <w:rsid w:val="009C7862"/>
    <w:rsid w:val="009D0107"/>
    <w:rsid w:val="009D0485"/>
    <w:rsid w:val="009D0588"/>
    <w:rsid w:val="009D111B"/>
    <w:rsid w:val="009D11F2"/>
    <w:rsid w:val="009D17FD"/>
    <w:rsid w:val="009D25D4"/>
    <w:rsid w:val="009D3AB3"/>
    <w:rsid w:val="009D4CF4"/>
    <w:rsid w:val="009D5126"/>
    <w:rsid w:val="009D6CAC"/>
    <w:rsid w:val="009D74E1"/>
    <w:rsid w:val="009E00BC"/>
    <w:rsid w:val="009E08F2"/>
    <w:rsid w:val="009E10C9"/>
    <w:rsid w:val="009E1940"/>
    <w:rsid w:val="009E1E60"/>
    <w:rsid w:val="009E26A2"/>
    <w:rsid w:val="009E33AD"/>
    <w:rsid w:val="009E33F7"/>
    <w:rsid w:val="009E6833"/>
    <w:rsid w:val="009E71DE"/>
    <w:rsid w:val="009E7279"/>
    <w:rsid w:val="009E758C"/>
    <w:rsid w:val="009E7B8A"/>
    <w:rsid w:val="009E7CE9"/>
    <w:rsid w:val="009E7DFA"/>
    <w:rsid w:val="009F05BD"/>
    <w:rsid w:val="009F1544"/>
    <w:rsid w:val="009F2405"/>
    <w:rsid w:val="009F4541"/>
    <w:rsid w:val="009F7DCC"/>
    <w:rsid w:val="00A00BEF"/>
    <w:rsid w:val="00A026DB"/>
    <w:rsid w:val="00A03E87"/>
    <w:rsid w:val="00A04DB2"/>
    <w:rsid w:val="00A058FC"/>
    <w:rsid w:val="00A12E6C"/>
    <w:rsid w:val="00A15A89"/>
    <w:rsid w:val="00A20564"/>
    <w:rsid w:val="00A2196A"/>
    <w:rsid w:val="00A219E2"/>
    <w:rsid w:val="00A227E0"/>
    <w:rsid w:val="00A227F3"/>
    <w:rsid w:val="00A238A3"/>
    <w:rsid w:val="00A2588B"/>
    <w:rsid w:val="00A259B5"/>
    <w:rsid w:val="00A25EB0"/>
    <w:rsid w:val="00A27689"/>
    <w:rsid w:val="00A310B2"/>
    <w:rsid w:val="00A3375F"/>
    <w:rsid w:val="00A34A27"/>
    <w:rsid w:val="00A35B80"/>
    <w:rsid w:val="00A367C2"/>
    <w:rsid w:val="00A36A9E"/>
    <w:rsid w:val="00A403AA"/>
    <w:rsid w:val="00A40DED"/>
    <w:rsid w:val="00A41300"/>
    <w:rsid w:val="00A4162F"/>
    <w:rsid w:val="00A426F7"/>
    <w:rsid w:val="00A42735"/>
    <w:rsid w:val="00A45B01"/>
    <w:rsid w:val="00A46238"/>
    <w:rsid w:val="00A47257"/>
    <w:rsid w:val="00A472A3"/>
    <w:rsid w:val="00A50ACF"/>
    <w:rsid w:val="00A511CD"/>
    <w:rsid w:val="00A511E1"/>
    <w:rsid w:val="00A5240C"/>
    <w:rsid w:val="00A5263C"/>
    <w:rsid w:val="00A52823"/>
    <w:rsid w:val="00A52C03"/>
    <w:rsid w:val="00A5394F"/>
    <w:rsid w:val="00A55617"/>
    <w:rsid w:val="00A56160"/>
    <w:rsid w:val="00A561DF"/>
    <w:rsid w:val="00A57267"/>
    <w:rsid w:val="00A5777E"/>
    <w:rsid w:val="00A62891"/>
    <w:rsid w:val="00A62E35"/>
    <w:rsid w:val="00A63EDB"/>
    <w:rsid w:val="00A64DD9"/>
    <w:rsid w:val="00A65140"/>
    <w:rsid w:val="00A67079"/>
    <w:rsid w:val="00A674DF"/>
    <w:rsid w:val="00A677DC"/>
    <w:rsid w:val="00A67B42"/>
    <w:rsid w:val="00A67D5A"/>
    <w:rsid w:val="00A70E5B"/>
    <w:rsid w:val="00A7132A"/>
    <w:rsid w:val="00A71A95"/>
    <w:rsid w:val="00A721E6"/>
    <w:rsid w:val="00A72C9C"/>
    <w:rsid w:val="00A743A0"/>
    <w:rsid w:val="00A7538F"/>
    <w:rsid w:val="00A75CA8"/>
    <w:rsid w:val="00A76CE8"/>
    <w:rsid w:val="00A772BA"/>
    <w:rsid w:val="00A77501"/>
    <w:rsid w:val="00A7779B"/>
    <w:rsid w:val="00A77BC6"/>
    <w:rsid w:val="00A806C9"/>
    <w:rsid w:val="00A80721"/>
    <w:rsid w:val="00A80FBA"/>
    <w:rsid w:val="00A810E0"/>
    <w:rsid w:val="00A81F36"/>
    <w:rsid w:val="00A832B4"/>
    <w:rsid w:val="00A846DA"/>
    <w:rsid w:val="00A8602B"/>
    <w:rsid w:val="00A876B8"/>
    <w:rsid w:val="00A917FD"/>
    <w:rsid w:val="00A91B04"/>
    <w:rsid w:val="00A92E1D"/>
    <w:rsid w:val="00A94900"/>
    <w:rsid w:val="00A97379"/>
    <w:rsid w:val="00AA1D4B"/>
    <w:rsid w:val="00AA28C3"/>
    <w:rsid w:val="00AA2AFE"/>
    <w:rsid w:val="00AA4D65"/>
    <w:rsid w:val="00AA646E"/>
    <w:rsid w:val="00AA64F8"/>
    <w:rsid w:val="00AA77F4"/>
    <w:rsid w:val="00AA7B87"/>
    <w:rsid w:val="00AB0BD0"/>
    <w:rsid w:val="00AB2D4B"/>
    <w:rsid w:val="00AB5678"/>
    <w:rsid w:val="00AB6DF2"/>
    <w:rsid w:val="00AB78C6"/>
    <w:rsid w:val="00AC1624"/>
    <w:rsid w:val="00AC46DF"/>
    <w:rsid w:val="00AC6CFA"/>
    <w:rsid w:val="00AD14C7"/>
    <w:rsid w:val="00AD19CD"/>
    <w:rsid w:val="00AD2253"/>
    <w:rsid w:val="00AD2C6A"/>
    <w:rsid w:val="00AD3594"/>
    <w:rsid w:val="00AD4B85"/>
    <w:rsid w:val="00AD52F6"/>
    <w:rsid w:val="00AD543B"/>
    <w:rsid w:val="00AD5FE5"/>
    <w:rsid w:val="00AD6FB6"/>
    <w:rsid w:val="00AD7624"/>
    <w:rsid w:val="00AD7958"/>
    <w:rsid w:val="00AD7BCB"/>
    <w:rsid w:val="00AE2E3D"/>
    <w:rsid w:val="00AE33D7"/>
    <w:rsid w:val="00AE3560"/>
    <w:rsid w:val="00AE55F6"/>
    <w:rsid w:val="00AE61BB"/>
    <w:rsid w:val="00AF0543"/>
    <w:rsid w:val="00AF0708"/>
    <w:rsid w:val="00AF0ACD"/>
    <w:rsid w:val="00AF148C"/>
    <w:rsid w:val="00AF2651"/>
    <w:rsid w:val="00AF424D"/>
    <w:rsid w:val="00AF57D2"/>
    <w:rsid w:val="00AF696C"/>
    <w:rsid w:val="00B00589"/>
    <w:rsid w:val="00B011F6"/>
    <w:rsid w:val="00B01355"/>
    <w:rsid w:val="00B03337"/>
    <w:rsid w:val="00B03AA6"/>
    <w:rsid w:val="00B03D2F"/>
    <w:rsid w:val="00B03E34"/>
    <w:rsid w:val="00B04484"/>
    <w:rsid w:val="00B04985"/>
    <w:rsid w:val="00B053E8"/>
    <w:rsid w:val="00B05B1E"/>
    <w:rsid w:val="00B105A6"/>
    <w:rsid w:val="00B12042"/>
    <w:rsid w:val="00B1210E"/>
    <w:rsid w:val="00B14612"/>
    <w:rsid w:val="00B14881"/>
    <w:rsid w:val="00B155D0"/>
    <w:rsid w:val="00B15835"/>
    <w:rsid w:val="00B15960"/>
    <w:rsid w:val="00B208D3"/>
    <w:rsid w:val="00B20B13"/>
    <w:rsid w:val="00B20EFE"/>
    <w:rsid w:val="00B213EA"/>
    <w:rsid w:val="00B24636"/>
    <w:rsid w:val="00B27107"/>
    <w:rsid w:val="00B30F25"/>
    <w:rsid w:val="00B316C0"/>
    <w:rsid w:val="00B32646"/>
    <w:rsid w:val="00B34797"/>
    <w:rsid w:val="00B34B25"/>
    <w:rsid w:val="00B35A21"/>
    <w:rsid w:val="00B36769"/>
    <w:rsid w:val="00B36A69"/>
    <w:rsid w:val="00B40133"/>
    <w:rsid w:val="00B41351"/>
    <w:rsid w:val="00B41FAF"/>
    <w:rsid w:val="00B42254"/>
    <w:rsid w:val="00B450CA"/>
    <w:rsid w:val="00B452D8"/>
    <w:rsid w:val="00B45667"/>
    <w:rsid w:val="00B459F3"/>
    <w:rsid w:val="00B45B78"/>
    <w:rsid w:val="00B45F4B"/>
    <w:rsid w:val="00B46D10"/>
    <w:rsid w:val="00B50655"/>
    <w:rsid w:val="00B5096B"/>
    <w:rsid w:val="00B50AA1"/>
    <w:rsid w:val="00B515DB"/>
    <w:rsid w:val="00B51EC1"/>
    <w:rsid w:val="00B5231A"/>
    <w:rsid w:val="00B5549D"/>
    <w:rsid w:val="00B570AD"/>
    <w:rsid w:val="00B57130"/>
    <w:rsid w:val="00B57FE0"/>
    <w:rsid w:val="00B60ACA"/>
    <w:rsid w:val="00B60D27"/>
    <w:rsid w:val="00B62C72"/>
    <w:rsid w:val="00B62DE7"/>
    <w:rsid w:val="00B6429F"/>
    <w:rsid w:val="00B645B7"/>
    <w:rsid w:val="00B64E04"/>
    <w:rsid w:val="00B65CB7"/>
    <w:rsid w:val="00B67291"/>
    <w:rsid w:val="00B67714"/>
    <w:rsid w:val="00B7040C"/>
    <w:rsid w:val="00B70759"/>
    <w:rsid w:val="00B7165F"/>
    <w:rsid w:val="00B716C1"/>
    <w:rsid w:val="00B719F2"/>
    <w:rsid w:val="00B727B0"/>
    <w:rsid w:val="00B731C3"/>
    <w:rsid w:val="00B737AE"/>
    <w:rsid w:val="00B74E2C"/>
    <w:rsid w:val="00B75391"/>
    <w:rsid w:val="00B758EC"/>
    <w:rsid w:val="00B75EE9"/>
    <w:rsid w:val="00B760C1"/>
    <w:rsid w:val="00B76BD9"/>
    <w:rsid w:val="00B8071B"/>
    <w:rsid w:val="00B8226F"/>
    <w:rsid w:val="00B8279E"/>
    <w:rsid w:val="00B82A14"/>
    <w:rsid w:val="00B83BA7"/>
    <w:rsid w:val="00B86DF1"/>
    <w:rsid w:val="00B9150A"/>
    <w:rsid w:val="00B91BD6"/>
    <w:rsid w:val="00B92A04"/>
    <w:rsid w:val="00B9357D"/>
    <w:rsid w:val="00B93DDC"/>
    <w:rsid w:val="00B94544"/>
    <w:rsid w:val="00B95965"/>
    <w:rsid w:val="00BA0526"/>
    <w:rsid w:val="00BA05C1"/>
    <w:rsid w:val="00BA16E8"/>
    <w:rsid w:val="00BA230D"/>
    <w:rsid w:val="00BA2A7D"/>
    <w:rsid w:val="00BA3A54"/>
    <w:rsid w:val="00BA4A02"/>
    <w:rsid w:val="00BA569F"/>
    <w:rsid w:val="00BA5B39"/>
    <w:rsid w:val="00BB02CC"/>
    <w:rsid w:val="00BB0A17"/>
    <w:rsid w:val="00BB39EA"/>
    <w:rsid w:val="00BC1C39"/>
    <w:rsid w:val="00BC2B60"/>
    <w:rsid w:val="00BC2D77"/>
    <w:rsid w:val="00BC468B"/>
    <w:rsid w:val="00BC5286"/>
    <w:rsid w:val="00BC61BE"/>
    <w:rsid w:val="00BC64AF"/>
    <w:rsid w:val="00BC6C2B"/>
    <w:rsid w:val="00BC7D95"/>
    <w:rsid w:val="00BD367B"/>
    <w:rsid w:val="00BD36F4"/>
    <w:rsid w:val="00BD5E0F"/>
    <w:rsid w:val="00BD6218"/>
    <w:rsid w:val="00BD6A8E"/>
    <w:rsid w:val="00BD6C2F"/>
    <w:rsid w:val="00BE012D"/>
    <w:rsid w:val="00BE0EBE"/>
    <w:rsid w:val="00BE1246"/>
    <w:rsid w:val="00BE1875"/>
    <w:rsid w:val="00BE57EF"/>
    <w:rsid w:val="00BE59AB"/>
    <w:rsid w:val="00BE5AB4"/>
    <w:rsid w:val="00BE5D60"/>
    <w:rsid w:val="00BE604E"/>
    <w:rsid w:val="00BE61EC"/>
    <w:rsid w:val="00BE6342"/>
    <w:rsid w:val="00BE7017"/>
    <w:rsid w:val="00BE784E"/>
    <w:rsid w:val="00BE7DB8"/>
    <w:rsid w:val="00BF03A1"/>
    <w:rsid w:val="00BF0B8A"/>
    <w:rsid w:val="00BF1D18"/>
    <w:rsid w:val="00BF29D8"/>
    <w:rsid w:val="00BF2F3F"/>
    <w:rsid w:val="00BF3207"/>
    <w:rsid w:val="00BF33AD"/>
    <w:rsid w:val="00BF3509"/>
    <w:rsid w:val="00BF3561"/>
    <w:rsid w:val="00BF4841"/>
    <w:rsid w:val="00BF60D5"/>
    <w:rsid w:val="00C02D77"/>
    <w:rsid w:val="00C03F2C"/>
    <w:rsid w:val="00C042EC"/>
    <w:rsid w:val="00C05F8F"/>
    <w:rsid w:val="00C063C9"/>
    <w:rsid w:val="00C06DE6"/>
    <w:rsid w:val="00C06E6C"/>
    <w:rsid w:val="00C06F2D"/>
    <w:rsid w:val="00C0737A"/>
    <w:rsid w:val="00C07C2A"/>
    <w:rsid w:val="00C1067B"/>
    <w:rsid w:val="00C121D9"/>
    <w:rsid w:val="00C13320"/>
    <w:rsid w:val="00C1360A"/>
    <w:rsid w:val="00C14601"/>
    <w:rsid w:val="00C14A43"/>
    <w:rsid w:val="00C162CC"/>
    <w:rsid w:val="00C16809"/>
    <w:rsid w:val="00C2121C"/>
    <w:rsid w:val="00C2139E"/>
    <w:rsid w:val="00C225D1"/>
    <w:rsid w:val="00C22E27"/>
    <w:rsid w:val="00C23DA3"/>
    <w:rsid w:val="00C245F6"/>
    <w:rsid w:val="00C246A2"/>
    <w:rsid w:val="00C2595F"/>
    <w:rsid w:val="00C25FA4"/>
    <w:rsid w:val="00C26A64"/>
    <w:rsid w:val="00C2709D"/>
    <w:rsid w:val="00C30CC8"/>
    <w:rsid w:val="00C311FB"/>
    <w:rsid w:val="00C321E2"/>
    <w:rsid w:val="00C323D9"/>
    <w:rsid w:val="00C327F1"/>
    <w:rsid w:val="00C32E6C"/>
    <w:rsid w:val="00C3438A"/>
    <w:rsid w:val="00C35081"/>
    <w:rsid w:val="00C35385"/>
    <w:rsid w:val="00C3563A"/>
    <w:rsid w:val="00C35BC4"/>
    <w:rsid w:val="00C378CD"/>
    <w:rsid w:val="00C414E2"/>
    <w:rsid w:val="00C42CBF"/>
    <w:rsid w:val="00C432F5"/>
    <w:rsid w:val="00C43311"/>
    <w:rsid w:val="00C45232"/>
    <w:rsid w:val="00C47041"/>
    <w:rsid w:val="00C476A1"/>
    <w:rsid w:val="00C50C29"/>
    <w:rsid w:val="00C50C4D"/>
    <w:rsid w:val="00C5187B"/>
    <w:rsid w:val="00C52F0B"/>
    <w:rsid w:val="00C54030"/>
    <w:rsid w:val="00C54386"/>
    <w:rsid w:val="00C54E34"/>
    <w:rsid w:val="00C559DD"/>
    <w:rsid w:val="00C568DB"/>
    <w:rsid w:val="00C579FC"/>
    <w:rsid w:val="00C57C17"/>
    <w:rsid w:val="00C60B5E"/>
    <w:rsid w:val="00C66AB0"/>
    <w:rsid w:val="00C66DBE"/>
    <w:rsid w:val="00C72CC1"/>
    <w:rsid w:val="00C72E85"/>
    <w:rsid w:val="00C73360"/>
    <w:rsid w:val="00C73DD1"/>
    <w:rsid w:val="00C74499"/>
    <w:rsid w:val="00C758A1"/>
    <w:rsid w:val="00C76440"/>
    <w:rsid w:val="00C7674B"/>
    <w:rsid w:val="00C7688C"/>
    <w:rsid w:val="00C76ACB"/>
    <w:rsid w:val="00C7760B"/>
    <w:rsid w:val="00C80D81"/>
    <w:rsid w:val="00C80F2E"/>
    <w:rsid w:val="00C81490"/>
    <w:rsid w:val="00C82E6B"/>
    <w:rsid w:val="00C82FE2"/>
    <w:rsid w:val="00C8717F"/>
    <w:rsid w:val="00C87242"/>
    <w:rsid w:val="00C908F0"/>
    <w:rsid w:val="00C9150A"/>
    <w:rsid w:val="00C919BA"/>
    <w:rsid w:val="00C93B46"/>
    <w:rsid w:val="00C94816"/>
    <w:rsid w:val="00C95D67"/>
    <w:rsid w:val="00CA1338"/>
    <w:rsid w:val="00CA1B0D"/>
    <w:rsid w:val="00CA2B60"/>
    <w:rsid w:val="00CA3C85"/>
    <w:rsid w:val="00CA3EA3"/>
    <w:rsid w:val="00CA4E86"/>
    <w:rsid w:val="00CA528E"/>
    <w:rsid w:val="00CA535F"/>
    <w:rsid w:val="00CA66BD"/>
    <w:rsid w:val="00CA6A7D"/>
    <w:rsid w:val="00CA6A99"/>
    <w:rsid w:val="00CA6EF3"/>
    <w:rsid w:val="00CB1C10"/>
    <w:rsid w:val="00CB2040"/>
    <w:rsid w:val="00CB5036"/>
    <w:rsid w:val="00CB50EF"/>
    <w:rsid w:val="00CB53BC"/>
    <w:rsid w:val="00CB5C8C"/>
    <w:rsid w:val="00CB7532"/>
    <w:rsid w:val="00CB775F"/>
    <w:rsid w:val="00CB7BD9"/>
    <w:rsid w:val="00CC0B3B"/>
    <w:rsid w:val="00CC2E36"/>
    <w:rsid w:val="00CC52F7"/>
    <w:rsid w:val="00CC757B"/>
    <w:rsid w:val="00CC762A"/>
    <w:rsid w:val="00CD0675"/>
    <w:rsid w:val="00CD173E"/>
    <w:rsid w:val="00CD3D93"/>
    <w:rsid w:val="00CD4A6A"/>
    <w:rsid w:val="00CD563F"/>
    <w:rsid w:val="00CD7187"/>
    <w:rsid w:val="00CD7619"/>
    <w:rsid w:val="00CE0901"/>
    <w:rsid w:val="00CE1266"/>
    <w:rsid w:val="00CE14DB"/>
    <w:rsid w:val="00CE1BE2"/>
    <w:rsid w:val="00CE1C4A"/>
    <w:rsid w:val="00CE4DC2"/>
    <w:rsid w:val="00CE53B4"/>
    <w:rsid w:val="00CE714F"/>
    <w:rsid w:val="00CE76F0"/>
    <w:rsid w:val="00CE7841"/>
    <w:rsid w:val="00CF246B"/>
    <w:rsid w:val="00CF7850"/>
    <w:rsid w:val="00CF78D7"/>
    <w:rsid w:val="00D006DE"/>
    <w:rsid w:val="00D01285"/>
    <w:rsid w:val="00D01E99"/>
    <w:rsid w:val="00D037E7"/>
    <w:rsid w:val="00D03C43"/>
    <w:rsid w:val="00D05739"/>
    <w:rsid w:val="00D057F7"/>
    <w:rsid w:val="00D0643E"/>
    <w:rsid w:val="00D07F87"/>
    <w:rsid w:val="00D1005D"/>
    <w:rsid w:val="00D10938"/>
    <w:rsid w:val="00D10B31"/>
    <w:rsid w:val="00D11352"/>
    <w:rsid w:val="00D11677"/>
    <w:rsid w:val="00D11DB9"/>
    <w:rsid w:val="00D126EE"/>
    <w:rsid w:val="00D1389B"/>
    <w:rsid w:val="00D14048"/>
    <w:rsid w:val="00D1416D"/>
    <w:rsid w:val="00D14331"/>
    <w:rsid w:val="00D14814"/>
    <w:rsid w:val="00D14A0C"/>
    <w:rsid w:val="00D16ED6"/>
    <w:rsid w:val="00D173F0"/>
    <w:rsid w:val="00D1763D"/>
    <w:rsid w:val="00D17EE0"/>
    <w:rsid w:val="00D210FC"/>
    <w:rsid w:val="00D225AE"/>
    <w:rsid w:val="00D23265"/>
    <w:rsid w:val="00D24207"/>
    <w:rsid w:val="00D24ABA"/>
    <w:rsid w:val="00D25178"/>
    <w:rsid w:val="00D25C3A"/>
    <w:rsid w:val="00D2603C"/>
    <w:rsid w:val="00D2664D"/>
    <w:rsid w:val="00D271A2"/>
    <w:rsid w:val="00D272C5"/>
    <w:rsid w:val="00D27A96"/>
    <w:rsid w:val="00D308EE"/>
    <w:rsid w:val="00D315E8"/>
    <w:rsid w:val="00D32BCB"/>
    <w:rsid w:val="00D32C35"/>
    <w:rsid w:val="00D32F6E"/>
    <w:rsid w:val="00D33BE7"/>
    <w:rsid w:val="00D34CBF"/>
    <w:rsid w:val="00D36254"/>
    <w:rsid w:val="00D37FF7"/>
    <w:rsid w:val="00D4324A"/>
    <w:rsid w:val="00D43568"/>
    <w:rsid w:val="00D43BD9"/>
    <w:rsid w:val="00D44AB7"/>
    <w:rsid w:val="00D44C3E"/>
    <w:rsid w:val="00D4641E"/>
    <w:rsid w:val="00D52038"/>
    <w:rsid w:val="00D5220D"/>
    <w:rsid w:val="00D522D0"/>
    <w:rsid w:val="00D52CDE"/>
    <w:rsid w:val="00D53376"/>
    <w:rsid w:val="00D53800"/>
    <w:rsid w:val="00D541AD"/>
    <w:rsid w:val="00D55090"/>
    <w:rsid w:val="00D55612"/>
    <w:rsid w:val="00D55A54"/>
    <w:rsid w:val="00D5667B"/>
    <w:rsid w:val="00D56B71"/>
    <w:rsid w:val="00D578D3"/>
    <w:rsid w:val="00D57FB1"/>
    <w:rsid w:val="00D60DAC"/>
    <w:rsid w:val="00D6258F"/>
    <w:rsid w:val="00D62C0B"/>
    <w:rsid w:val="00D65885"/>
    <w:rsid w:val="00D658BC"/>
    <w:rsid w:val="00D65E91"/>
    <w:rsid w:val="00D673E5"/>
    <w:rsid w:val="00D67AB4"/>
    <w:rsid w:val="00D67E10"/>
    <w:rsid w:val="00D70496"/>
    <w:rsid w:val="00D70B11"/>
    <w:rsid w:val="00D73315"/>
    <w:rsid w:val="00D734E4"/>
    <w:rsid w:val="00D74995"/>
    <w:rsid w:val="00D7541F"/>
    <w:rsid w:val="00D76D8D"/>
    <w:rsid w:val="00D80E14"/>
    <w:rsid w:val="00D81732"/>
    <w:rsid w:val="00D83859"/>
    <w:rsid w:val="00D84571"/>
    <w:rsid w:val="00D86D5B"/>
    <w:rsid w:val="00D875CA"/>
    <w:rsid w:val="00D879F4"/>
    <w:rsid w:val="00D908B8"/>
    <w:rsid w:val="00D94B46"/>
    <w:rsid w:val="00D95896"/>
    <w:rsid w:val="00D95F88"/>
    <w:rsid w:val="00D960F0"/>
    <w:rsid w:val="00D96604"/>
    <w:rsid w:val="00D96F65"/>
    <w:rsid w:val="00D97510"/>
    <w:rsid w:val="00D97C12"/>
    <w:rsid w:val="00D97F97"/>
    <w:rsid w:val="00DA0C4A"/>
    <w:rsid w:val="00DA3B4B"/>
    <w:rsid w:val="00DA3E9B"/>
    <w:rsid w:val="00DA460D"/>
    <w:rsid w:val="00DA4E55"/>
    <w:rsid w:val="00DA6CD7"/>
    <w:rsid w:val="00DA7B5D"/>
    <w:rsid w:val="00DA7F6A"/>
    <w:rsid w:val="00DB0430"/>
    <w:rsid w:val="00DB06DA"/>
    <w:rsid w:val="00DB0905"/>
    <w:rsid w:val="00DB0E45"/>
    <w:rsid w:val="00DB1171"/>
    <w:rsid w:val="00DB21FF"/>
    <w:rsid w:val="00DB3682"/>
    <w:rsid w:val="00DB3D6F"/>
    <w:rsid w:val="00DB438A"/>
    <w:rsid w:val="00DB5162"/>
    <w:rsid w:val="00DB5432"/>
    <w:rsid w:val="00DB560E"/>
    <w:rsid w:val="00DB5726"/>
    <w:rsid w:val="00DB6ABF"/>
    <w:rsid w:val="00DB6D8A"/>
    <w:rsid w:val="00DB7379"/>
    <w:rsid w:val="00DB7550"/>
    <w:rsid w:val="00DB79B6"/>
    <w:rsid w:val="00DC111A"/>
    <w:rsid w:val="00DC18AD"/>
    <w:rsid w:val="00DC1DF7"/>
    <w:rsid w:val="00DC2651"/>
    <w:rsid w:val="00DC4131"/>
    <w:rsid w:val="00DC4BF4"/>
    <w:rsid w:val="00DC4FAE"/>
    <w:rsid w:val="00DC53D9"/>
    <w:rsid w:val="00DC5A7C"/>
    <w:rsid w:val="00DC5AFF"/>
    <w:rsid w:val="00DC77F3"/>
    <w:rsid w:val="00DD0042"/>
    <w:rsid w:val="00DD34FC"/>
    <w:rsid w:val="00DD3E15"/>
    <w:rsid w:val="00DD5D71"/>
    <w:rsid w:val="00DD5D79"/>
    <w:rsid w:val="00DD6FC3"/>
    <w:rsid w:val="00DD7052"/>
    <w:rsid w:val="00DD7F77"/>
    <w:rsid w:val="00DE1951"/>
    <w:rsid w:val="00DE1D50"/>
    <w:rsid w:val="00DE3D4B"/>
    <w:rsid w:val="00DE4167"/>
    <w:rsid w:val="00DE48B9"/>
    <w:rsid w:val="00DE57F9"/>
    <w:rsid w:val="00DE6101"/>
    <w:rsid w:val="00DE7A37"/>
    <w:rsid w:val="00DF12ED"/>
    <w:rsid w:val="00DF1883"/>
    <w:rsid w:val="00DF18D8"/>
    <w:rsid w:val="00DF5271"/>
    <w:rsid w:val="00DF63E7"/>
    <w:rsid w:val="00DF6911"/>
    <w:rsid w:val="00DF75B1"/>
    <w:rsid w:val="00E00E84"/>
    <w:rsid w:val="00E02D64"/>
    <w:rsid w:val="00E03520"/>
    <w:rsid w:val="00E03801"/>
    <w:rsid w:val="00E049CA"/>
    <w:rsid w:val="00E06729"/>
    <w:rsid w:val="00E118CD"/>
    <w:rsid w:val="00E1202D"/>
    <w:rsid w:val="00E127EB"/>
    <w:rsid w:val="00E134D0"/>
    <w:rsid w:val="00E13A5E"/>
    <w:rsid w:val="00E1539E"/>
    <w:rsid w:val="00E161CE"/>
    <w:rsid w:val="00E16CA3"/>
    <w:rsid w:val="00E17A49"/>
    <w:rsid w:val="00E20D47"/>
    <w:rsid w:val="00E211ED"/>
    <w:rsid w:val="00E217FF"/>
    <w:rsid w:val="00E229AD"/>
    <w:rsid w:val="00E24AC1"/>
    <w:rsid w:val="00E26819"/>
    <w:rsid w:val="00E27336"/>
    <w:rsid w:val="00E27DE7"/>
    <w:rsid w:val="00E30A7E"/>
    <w:rsid w:val="00E313A7"/>
    <w:rsid w:val="00E32A06"/>
    <w:rsid w:val="00E334C4"/>
    <w:rsid w:val="00E33A95"/>
    <w:rsid w:val="00E34B3A"/>
    <w:rsid w:val="00E34BB7"/>
    <w:rsid w:val="00E357A1"/>
    <w:rsid w:val="00E359B1"/>
    <w:rsid w:val="00E36F84"/>
    <w:rsid w:val="00E40164"/>
    <w:rsid w:val="00E42B32"/>
    <w:rsid w:val="00E43E4D"/>
    <w:rsid w:val="00E442D2"/>
    <w:rsid w:val="00E45041"/>
    <w:rsid w:val="00E4508C"/>
    <w:rsid w:val="00E451FD"/>
    <w:rsid w:val="00E477BC"/>
    <w:rsid w:val="00E5213B"/>
    <w:rsid w:val="00E52AE7"/>
    <w:rsid w:val="00E53D4D"/>
    <w:rsid w:val="00E54534"/>
    <w:rsid w:val="00E54CE4"/>
    <w:rsid w:val="00E57166"/>
    <w:rsid w:val="00E57736"/>
    <w:rsid w:val="00E61FB6"/>
    <w:rsid w:val="00E620C2"/>
    <w:rsid w:val="00E6250D"/>
    <w:rsid w:val="00E64122"/>
    <w:rsid w:val="00E6488B"/>
    <w:rsid w:val="00E64F2D"/>
    <w:rsid w:val="00E66978"/>
    <w:rsid w:val="00E672B4"/>
    <w:rsid w:val="00E67307"/>
    <w:rsid w:val="00E7085D"/>
    <w:rsid w:val="00E70BE1"/>
    <w:rsid w:val="00E70D3F"/>
    <w:rsid w:val="00E724F0"/>
    <w:rsid w:val="00E73010"/>
    <w:rsid w:val="00E765BC"/>
    <w:rsid w:val="00E76F3C"/>
    <w:rsid w:val="00E8030A"/>
    <w:rsid w:val="00E82529"/>
    <w:rsid w:val="00E86962"/>
    <w:rsid w:val="00E91B88"/>
    <w:rsid w:val="00E91D63"/>
    <w:rsid w:val="00E953B5"/>
    <w:rsid w:val="00EA1939"/>
    <w:rsid w:val="00EA2555"/>
    <w:rsid w:val="00EA3D79"/>
    <w:rsid w:val="00EA409A"/>
    <w:rsid w:val="00EA5842"/>
    <w:rsid w:val="00EA6FA2"/>
    <w:rsid w:val="00EA7E63"/>
    <w:rsid w:val="00EB036B"/>
    <w:rsid w:val="00EB10B1"/>
    <w:rsid w:val="00EB12E8"/>
    <w:rsid w:val="00EB21B3"/>
    <w:rsid w:val="00EB22B2"/>
    <w:rsid w:val="00EB23A0"/>
    <w:rsid w:val="00EB279D"/>
    <w:rsid w:val="00EB30EA"/>
    <w:rsid w:val="00EB4847"/>
    <w:rsid w:val="00EB4C5E"/>
    <w:rsid w:val="00EB5011"/>
    <w:rsid w:val="00EB5079"/>
    <w:rsid w:val="00EB5405"/>
    <w:rsid w:val="00EB6FC4"/>
    <w:rsid w:val="00EC025E"/>
    <w:rsid w:val="00EC0837"/>
    <w:rsid w:val="00EC0F78"/>
    <w:rsid w:val="00EC52C9"/>
    <w:rsid w:val="00EC6650"/>
    <w:rsid w:val="00EC6EBC"/>
    <w:rsid w:val="00EC7F19"/>
    <w:rsid w:val="00ED0489"/>
    <w:rsid w:val="00ED20DB"/>
    <w:rsid w:val="00ED226A"/>
    <w:rsid w:val="00ED232D"/>
    <w:rsid w:val="00ED306A"/>
    <w:rsid w:val="00ED4088"/>
    <w:rsid w:val="00ED5B3E"/>
    <w:rsid w:val="00ED625D"/>
    <w:rsid w:val="00ED6B00"/>
    <w:rsid w:val="00ED7734"/>
    <w:rsid w:val="00EE0174"/>
    <w:rsid w:val="00EE1872"/>
    <w:rsid w:val="00EE3BFA"/>
    <w:rsid w:val="00EE42CC"/>
    <w:rsid w:val="00EE44F9"/>
    <w:rsid w:val="00EF0EFA"/>
    <w:rsid w:val="00EF3936"/>
    <w:rsid w:val="00EF4912"/>
    <w:rsid w:val="00EF4CC0"/>
    <w:rsid w:val="00EF5B8F"/>
    <w:rsid w:val="00EF74F9"/>
    <w:rsid w:val="00F00197"/>
    <w:rsid w:val="00F00742"/>
    <w:rsid w:val="00F00A8D"/>
    <w:rsid w:val="00F00EE2"/>
    <w:rsid w:val="00F0153B"/>
    <w:rsid w:val="00F01A18"/>
    <w:rsid w:val="00F01C3F"/>
    <w:rsid w:val="00F02131"/>
    <w:rsid w:val="00F02620"/>
    <w:rsid w:val="00F067AF"/>
    <w:rsid w:val="00F0795A"/>
    <w:rsid w:val="00F10938"/>
    <w:rsid w:val="00F12029"/>
    <w:rsid w:val="00F12287"/>
    <w:rsid w:val="00F130E2"/>
    <w:rsid w:val="00F13DB1"/>
    <w:rsid w:val="00F1453E"/>
    <w:rsid w:val="00F15865"/>
    <w:rsid w:val="00F15F0D"/>
    <w:rsid w:val="00F15F75"/>
    <w:rsid w:val="00F16034"/>
    <w:rsid w:val="00F16702"/>
    <w:rsid w:val="00F16A50"/>
    <w:rsid w:val="00F16E15"/>
    <w:rsid w:val="00F17E4F"/>
    <w:rsid w:val="00F20CDF"/>
    <w:rsid w:val="00F21E99"/>
    <w:rsid w:val="00F21F74"/>
    <w:rsid w:val="00F22571"/>
    <w:rsid w:val="00F258E8"/>
    <w:rsid w:val="00F2609C"/>
    <w:rsid w:val="00F26FCB"/>
    <w:rsid w:val="00F27864"/>
    <w:rsid w:val="00F311E3"/>
    <w:rsid w:val="00F3132E"/>
    <w:rsid w:val="00F32BEE"/>
    <w:rsid w:val="00F33DC3"/>
    <w:rsid w:val="00F34754"/>
    <w:rsid w:val="00F3483C"/>
    <w:rsid w:val="00F363F8"/>
    <w:rsid w:val="00F36C38"/>
    <w:rsid w:val="00F37587"/>
    <w:rsid w:val="00F44424"/>
    <w:rsid w:val="00F44635"/>
    <w:rsid w:val="00F4671F"/>
    <w:rsid w:val="00F46A47"/>
    <w:rsid w:val="00F47FEF"/>
    <w:rsid w:val="00F51305"/>
    <w:rsid w:val="00F533E0"/>
    <w:rsid w:val="00F5386C"/>
    <w:rsid w:val="00F53DD2"/>
    <w:rsid w:val="00F544B7"/>
    <w:rsid w:val="00F638E6"/>
    <w:rsid w:val="00F63AA6"/>
    <w:rsid w:val="00F64E67"/>
    <w:rsid w:val="00F667D6"/>
    <w:rsid w:val="00F703F2"/>
    <w:rsid w:val="00F71D92"/>
    <w:rsid w:val="00F756AA"/>
    <w:rsid w:val="00F77891"/>
    <w:rsid w:val="00F80975"/>
    <w:rsid w:val="00F813F1"/>
    <w:rsid w:val="00F841A7"/>
    <w:rsid w:val="00F844B2"/>
    <w:rsid w:val="00F84C17"/>
    <w:rsid w:val="00F856FA"/>
    <w:rsid w:val="00F8705F"/>
    <w:rsid w:val="00F91391"/>
    <w:rsid w:val="00F9147E"/>
    <w:rsid w:val="00F93843"/>
    <w:rsid w:val="00F947C3"/>
    <w:rsid w:val="00F949B6"/>
    <w:rsid w:val="00F96306"/>
    <w:rsid w:val="00F964A8"/>
    <w:rsid w:val="00FA01AA"/>
    <w:rsid w:val="00FA0903"/>
    <w:rsid w:val="00FA3928"/>
    <w:rsid w:val="00FA57B7"/>
    <w:rsid w:val="00FA6190"/>
    <w:rsid w:val="00FA64D2"/>
    <w:rsid w:val="00FA6CEC"/>
    <w:rsid w:val="00FA7158"/>
    <w:rsid w:val="00FB1958"/>
    <w:rsid w:val="00FB2304"/>
    <w:rsid w:val="00FC0FB9"/>
    <w:rsid w:val="00FC11C6"/>
    <w:rsid w:val="00FC1CC0"/>
    <w:rsid w:val="00FC24B1"/>
    <w:rsid w:val="00FC2C40"/>
    <w:rsid w:val="00FC3D21"/>
    <w:rsid w:val="00FC5D35"/>
    <w:rsid w:val="00FC5D85"/>
    <w:rsid w:val="00FC6213"/>
    <w:rsid w:val="00FC7C60"/>
    <w:rsid w:val="00FD06B9"/>
    <w:rsid w:val="00FD108A"/>
    <w:rsid w:val="00FD145A"/>
    <w:rsid w:val="00FD25B7"/>
    <w:rsid w:val="00FD2E8C"/>
    <w:rsid w:val="00FD3B36"/>
    <w:rsid w:val="00FD3F5D"/>
    <w:rsid w:val="00FD47D9"/>
    <w:rsid w:val="00FD4EBD"/>
    <w:rsid w:val="00FD53F0"/>
    <w:rsid w:val="00FD6AEC"/>
    <w:rsid w:val="00FD6F7B"/>
    <w:rsid w:val="00FD7660"/>
    <w:rsid w:val="00FD7694"/>
    <w:rsid w:val="00FD7FEB"/>
    <w:rsid w:val="00FE04A2"/>
    <w:rsid w:val="00FE1D9D"/>
    <w:rsid w:val="00FE27E4"/>
    <w:rsid w:val="00FE3680"/>
    <w:rsid w:val="00FE5F08"/>
    <w:rsid w:val="00FE7209"/>
    <w:rsid w:val="00FF0416"/>
    <w:rsid w:val="00FF1933"/>
    <w:rsid w:val="00FF2304"/>
    <w:rsid w:val="00FF5297"/>
    <w:rsid w:val="0198186C"/>
    <w:rsid w:val="01AC5DF9"/>
    <w:rsid w:val="01DD41C2"/>
    <w:rsid w:val="01E345AE"/>
    <w:rsid w:val="02790092"/>
    <w:rsid w:val="02F42900"/>
    <w:rsid w:val="02FA1195"/>
    <w:rsid w:val="0302618A"/>
    <w:rsid w:val="044429C2"/>
    <w:rsid w:val="04695794"/>
    <w:rsid w:val="04810C52"/>
    <w:rsid w:val="04A05004"/>
    <w:rsid w:val="05056095"/>
    <w:rsid w:val="05464AF8"/>
    <w:rsid w:val="055B7332"/>
    <w:rsid w:val="056A3FE9"/>
    <w:rsid w:val="059F4FD1"/>
    <w:rsid w:val="05BE2B4E"/>
    <w:rsid w:val="05D070DB"/>
    <w:rsid w:val="061D0302"/>
    <w:rsid w:val="064F66A3"/>
    <w:rsid w:val="066F200F"/>
    <w:rsid w:val="067C7D80"/>
    <w:rsid w:val="06A00B12"/>
    <w:rsid w:val="06D7755B"/>
    <w:rsid w:val="06E6452A"/>
    <w:rsid w:val="0714449E"/>
    <w:rsid w:val="071A149F"/>
    <w:rsid w:val="07205F42"/>
    <w:rsid w:val="072D7269"/>
    <w:rsid w:val="074273A6"/>
    <w:rsid w:val="07B77118"/>
    <w:rsid w:val="08254790"/>
    <w:rsid w:val="089963F4"/>
    <w:rsid w:val="08F03474"/>
    <w:rsid w:val="09162A16"/>
    <w:rsid w:val="091A7535"/>
    <w:rsid w:val="091D497D"/>
    <w:rsid w:val="092E369A"/>
    <w:rsid w:val="09B14F92"/>
    <w:rsid w:val="09BF626E"/>
    <w:rsid w:val="0A50402E"/>
    <w:rsid w:val="0A897EA0"/>
    <w:rsid w:val="0AB86C5C"/>
    <w:rsid w:val="0AC34AEB"/>
    <w:rsid w:val="0AD96324"/>
    <w:rsid w:val="0AEF58AD"/>
    <w:rsid w:val="0AFE39F5"/>
    <w:rsid w:val="0AFE687F"/>
    <w:rsid w:val="0B294C31"/>
    <w:rsid w:val="0B7F7677"/>
    <w:rsid w:val="0BE307CB"/>
    <w:rsid w:val="0C1F073A"/>
    <w:rsid w:val="0C6101CD"/>
    <w:rsid w:val="0C7C38C4"/>
    <w:rsid w:val="0C871385"/>
    <w:rsid w:val="0CC83B28"/>
    <w:rsid w:val="0CC87C49"/>
    <w:rsid w:val="0CCA3B52"/>
    <w:rsid w:val="0CE43B33"/>
    <w:rsid w:val="0D344BBB"/>
    <w:rsid w:val="0DA74227"/>
    <w:rsid w:val="0DC437DB"/>
    <w:rsid w:val="0E1C4090"/>
    <w:rsid w:val="0E1C5AFD"/>
    <w:rsid w:val="0E3E5F3C"/>
    <w:rsid w:val="0E823F28"/>
    <w:rsid w:val="0E8D6C2C"/>
    <w:rsid w:val="0E9137B3"/>
    <w:rsid w:val="0EB12E2A"/>
    <w:rsid w:val="0EBE69D9"/>
    <w:rsid w:val="0ECB20BE"/>
    <w:rsid w:val="0EEB113D"/>
    <w:rsid w:val="0F0C75A2"/>
    <w:rsid w:val="0F8B77D5"/>
    <w:rsid w:val="0FBE5D9F"/>
    <w:rsid w:val="0FD36B3B"/>
    <w:rsid w:val="0FD47E3C"/>
    <w:rsid w:val="1018216D"/>
    <w:rsid w:val="102173FB"/>
    <w:rsid w:val="10256C94"/>
    <w:rsid w:val="1028597F"/>
    <w:rsid w:val="1051696C"/>
    <w:rsid w:val="107728F9"/>
    <w:rsid w:val="107C0AD5"/>
    <w:rsid w:val="10A64D73"/>
    <w:rsid w:val="10AD1231"/>
    <w:rsid w:val="10B306BD"/>
    <w:rsid w:val="10D4173C"/>
    <w:rsid w:val="10FE73BE"/>
    <w:rsid w:val="111B4AA2"/>
    <w:rsid w:val="11497A7D"/>
    <w:rsid w:val="114B1D4A"/>
    <w:rsid w:val="116D5365"/>
    <w:rsid w:val="121477AB"/>
    <w:rsid w:val="1220793F"/>
    <w:rsid w:val="1227630D"/>
    <w:rsid w:val="125D64CF"/>
    <w:rsid w:val="12B16A9E"/>
    <w:rsid w:val="13272F7A"/>
    <w:rsid w:val="13361405"/>
    <w:rsid w:val="13767A09"/>
    <w:rsid w:val="137A2F78"/>
    <w:rsid w:val="13B92195"/>
    <w:rsid w:val="13B9577F"/>
    <w:rsid w:val="1452749D"/>
    <w:rsid w:val="14922F3A"/>
    <w:rsid w:val="14E330F3"/>
    <w:rsid w:val="14FD2A2E"/>
    <w:rsid w:val="15081429"/>
    <w:rsid w:val="153D5CAE"/>
    <w:rsid w:val="158A718E"/>
    <w:rsid w:val="15EA5123"/>
    <w:rsid w:val="16313179"/>
    <w:rsid w:val="165923BB"/>
    <w:rsid w:val="16B56EA5"/>
    <w:rsid w:val="170610F8"/>
    <w:rsid w:val="17126E39"/>
    <w:rsid w:val="176A56C2"/>
    <w:rsid w:val="176D2C29"/>
    <w:rsid w:val="179C380B"/>
    <w:rsid w:val="17A57CB0"/>
    <w:rsid w:val="17AB0959"/>
    <w:rsid w:val="17B648CC"/>
    <w:rsid w:val="17DE1291"/>
    <w:rsid w:val="18780BD9"/>
    <w:rsid w:val="18AB0FDA"/>
    <w:rsid w:val="18AD553C"/>
    <w:rsid w:val="197039DA"/>
    <w:rsid w:val="197772D6"/>
    <w:rsid w:val="19A67A64"/>
    <w:rsid w:val="19BE7A6D"/>
    <w:rsid w:val="19BF0C31"/>
    <w:rsid w:val="19DE2198"/>
    <w:rsid w:val="19E43962"/>
    <w:rsid w:val="19E9200D"/>
    <w:rsid w:val="1A6D597B"/>
    <w:rsid w:val="1A732F49"/>
    <w:rsid w:val="1ACC2467"/>
    <w:rsid w:val="1ACE4D14"/>
    <w:rsid w:val="1AD027EB"/>
    <w:rsid w:val="1B1B5341"/>
    <w:rsid w:val="1B2C5E4B"/>
    <w:rsid w:val="1B4874D7"/>
    <w:rsid w:val="1C2844A0"/>
    <w:rsid w:val="1C525155"/>
    <w:rsid w:val="1C8E406A"/>
    <w:rsid w:val="1CAC31C2"/>
    <w:rsid w:val="1CB72D49"/>
    <w:rsid w:val="1CF27B09"/>
    <w:rsid w:val="1CFF1026"/>
    <w:rsid w:val="1D9B7242"/>
    <w:rsid w:val="1DEA3522"/>
    <w:rsid w:val="1E053181"/>
    <w:rsid w:val="1E474BEE"/>
    <w:rsid w:val="1E7B2E90"/>
    <w:rsid w:val="1E835E6A"/>
    <w:rsid w:val="1EA705ED"/>
    <w:rsid w:val="1EB401AB"/>
    <w:rsid w:val="1EB67161"/>
    <w:rsid w:val="1ECC77C3"/>
    <w:rsid w:val="1F302C65"/>
    <w:rsid w:val="1F44792A"/>
    <w:rsid w:val="1F6670ED"/>
    <w:rsid w:val="1FE271D5"/>
    <w:rsid w:val="1FE501FD"/>
    <w:rsid w:val="1FEB5623"/>
    <w:rsid w:val="1FEF712E"/>
    <w:rsid w:val="20611216"/>
    <w:rsid w:val="20621FC3"/>
    <w:rsid w:val="20E35BE9"/>
    <w:rsid w:val="21156A1C"/>
    <w:rsid w:val="21310B1A"/>
    <w:rsid w:val="2152274F"/>
    <w:rsid w:val="21540B6C"/>
    <w:rsid w:val="21611713"/>
    <w:rsid w:val="216B3340"/>
    <w:rsid w:val="218A325D"/>
    <w:rsid w:val="21A41CB8"/>
    <w:rsid w:val="21F42BC1"/>
    <w:rsid w:val="22203EB3"/>
    <w:rsid w:val="22255D12"/>
    <w:rsid w:val="227605BB"/>
    <w:rsid w:val="22BD7457"/>
    <w:rsid w:val="22E36C68"/>
    <w:rsid w:val="23476928"/>
    <w:rsid w:val="23550037"/>
    <w:rsid w:val="235E3944"/>
    <w:rsid w:val="237D78D0"/>
    <w:rsid w:val="23B073D3"/>
    <w:rsid w:val="23DF5BCA"/>
    <w:rsid w:val="23E502C6"/>
    <w:rsid w:val="2422296D"/>
    <w:rsid w:val="2426102C"/>
    <w:rsid w:val="244E349E"/>
    <w:rsid w:val="24666EE4"/>
    <w:rsid w:val="24701946"/>
    <w:rsid w:val="24BA2272"/>
    <w:rsid w:val="25280AEE"/>
    <w:rsid w:val="25E42F4C"/>
    <w:rsid w:val="261074AD"/>
    <w:rsid w:val="261C46B1"/>
    <w:rsid w:val="267F4B9F"/>
    <w:rsid w:val="26F42E9C"/>
    <w:rsid w:val="27D87113"/>
    <w:rsid w:val="27E75A20"/>
    <w:rsid w:val="280D4269"/>
    <w:rsid w:val="282506AE"/>
    <w:rsid w:val="284B0B33"/>
    <w:rsid w:val="289D1723"/>
    <w:rsid w:val="2914325F"/>
    <w:rsid w:val="29520EF9"/>
    <w:rsid w:val="29613214"/>
    <w:rsid w:val="2A2B045D"/>
    <w:rsid w:val="2A2F63DF"/>
    <w:rsid w:val="2A536944"/>
    <w:rsid w:val="2A68129C"/>
    <w:rsid w:val="2A703001"/>
    <w:rsid w:val="2A97063D"/>
    <w:rsid w:val="2ACA0963"/>
    <w:rsid w:val="2ACE5E57"/>
    <w:rsid w:val="2AFE6487"/>
    <w:rsid w:val="2B277B63"/>
    <w:rsid w:val="2B670D75"/>
    <w:rsid w:val="2B874C1C"/>
    <w:rsid w:val="2C073CF8"/>
    <w:rsid w:val="2C1F3615"/>
    <w:rsid w:val="2C4F7C16"/>
    <w:rsid w:val="2C743B66"/>
    <w:rsid w:val="2CAC008E"/>
    <w:rsid w:val="2CE23E10"/>
    <w:rsid w:val="2D63682A"/>
    <w:rsid w:val="2D8F7C42"/>
    <w:rsid w:val="2DE2584A"/>
    <w:rsid w:val="2E49213C"/>
    <w:rsid w:val="2E67006F"/>
    <w:rsid w:val="2E694D3E"/>
    <w:rsid w:val="2E773C34"/>
    <w:rsid w:val="2E875C48"/>
    <w:rsid w:val="2E9824AB"/>
    <w:rsid w:val="2E9B4249"/>
    <w:rsid w:val="2E9D17EB"/>
    <w:rsid w:val="2EB56D76"/>
    <w:rsid w:val="2EB81304"/>
    <w:rsid w:val="2F2B230B"/>
    <w:rsid w:val="2F517B36"/>
    <w:rsid w:val="2F72633A"/>
    <w:rsid w:val="2F893355"/>
    <w:rsid w:val="2FC31341"/>
    <w:rsid w:val="2FD05083"/>
    <w:rsid w:val="305E03E8"/>
    <w:rsid w:val="3069595F"/>
    <w:rsid w:val="30843362"/>
    <w:rsid w:val="30C4049D"/>
    <w:rsid w:val="30CD07F3"/>
    <w:rsid w:val="30E365D5"/>
    <w:rsid w:val="30E766F3"/>
    <w:rsid w:val="313E08F3"/>
    <w:rsid w:val="31704514"/>
    <w:rsid w:val="31816DAF"/>
    <w:rsid w:val="31B1462B"/>
    <w:rsid w:val="31C95E5B"/>
    <w:rsid w:val="32290279"/>
    <w:rsid w:val="32527C83"/>
    <w:rsid w:val="32655415"/>
    <w:rsid w:val="3294292F"/>
    <w:rsid w:val="32C51A10"/>
    <w:rsid w:val="32F07D5C"/>
    <w:rsid w:val="337F7567"/>
    <w:rsid w:val="33A06705"/>
    <w:rsid w:val="33D80D3F"/>
    <w:rsid w:val="33EE637D"/>
    <w:rsid w:val="344352E2"/>
    <w:rsid w:val="34624864"/>
    <w:rsid w:val="346D778B"/>
    <w:rsid w:val="34AE59AA"/>
    <w:rsid w:val="34BA2757"/>
    <w:rsid w:val="353A3B24"/>
    <w:rsid w:val="35746954"/>
    <w:rsid w:val="359F3206"/>
    <w:rsid w:val="35B629C4"/>
    <w:rsid w:val="35F72828"/>
    <w:rsid w:val="360064F8"/>
    <w:rsid w:val="3633583B"/>
    <w:rsid w:val="363C359C"/>
    <w:rsid w:val="367B0D86"/>
    <w:rsid w:val="368802A2"/>
    <w:rsid w:val="369B06A2"/>
    <w:rsid w:val="36AB2F9F"/>
    <w:rsid w:val="36B27BFF"/>
    <w:rsid w:val="36DE2E4C"/>
    <w:rsid w:val="36F11025"/>
    <w:rsid w:val="37247CD6"/>
    <w:rsid w:val="373D24BC"/>
    <w:rsid w:val="3747417A"/>
    <w:rsid w:val="37B85CE3"/>
    <w:rsid w:val="37C125AD"/>
    <w:rsid w:val="37CB0B6E"/>
    <w:rsid w:val="37FB2519"/>
    <w:rsid w:val="37FD2567"/>
    <w:rsid w:val="3860698D"/>
    <w:rsid w:val="386F51CA"/>
    <w:rsid w:val="387F08C5"/>
    <w:rsid w:val="390943B3"/>
    <w:rsid w:val="391D76E1"/>
    <w:rsid w:val="39C2411A"/>
    <w:rsid w:val="39F111DE"/>
    <w:rsid w:val="3A1D3D59"/>
    <w:rsid w:val="3AA71527"/>
    <w:rsid w:val="3AE3177E"/>
    <w:rsid w:val="3B7E6C11"/>
    <w:rsid w:val="3BAA4A5F"/>
    <w:rsid w:val="3BCF3B6A"/>
    <w:rsid w:val="3C080FAE"/>
    <w:rsid w:val="3C541570"/>
    <w:rsid w:val="3C5750F1"/>
    <w:rsid w:val="3C6E37E5"/>
    <w:rsid w:val="3C7922D7"/>
    <w:rsid w:val="3C9342B0"/>
    <w:rsid w:val="3CAD36D2"/>
    <w:rsid w:val="3CC81535"/>
    <w:rsid w:val="3CD26729"/>
    <w:rsid w:val="3CEA275C"/>
    <w:rsid w:val="3CEC25F5"/>
    <w:rsid w:val="3CF50FF2"/>
    <w:rsid w:val="3D052A2E"/>
    <w:rsid w:val="3D0659AA"/>
    <w:rsid w:val="3D602B13"/>
    <w:rsid w:val="3D8F09E6"/>
    <w:rsid w:val="3DB946E3"/>
    <w:rsid w:val="3DF577A6"/>
    <w:rsid w:val="3E0755D2"/>
    <w:rsid w:val="3E490041"/>
    <w:rsid w:val="3E873A58"/>
    <w:rsid w:val="3EA7555E"/>
    <w:rsid w:val="3EA826CA"/>
    <w:rsid w:val="3ECB3379"/>
    <w:rsid w:val="3EF35410"/>
    <w:rsid w:val="3EF64E80"/>
    <w:rsid w:val="3EF74D5D"/>
    <w:rsid w:val="3F6566F9"/>
    <w:rsid w:val="40095305"/>
    <w:rsid w:val="400A016F"/>
    <w:rsid w:val="401869D9"/>
    <w:rsid w:val="4073545D"/>
    <w:rsid w:val="40EA2C99"/>
    <w:rsid w:val="411E4CFA"/>
    <w:rsid w:val="422C654A"/>
    <w:rsid w:val="42474BD5"/>
    <w:rsid w:val="42847BD2"/>
    <w:rsid w:val="428739CE"/>
    <w:rsid w:val="42BC3919"/>
    <w:rsid w:val="42E0623A"/>
    <w:rsid w:val="42ED199D"/>
    <w:rsid w:val="42F830BA"/>
    <w:rsid w:val="43001D3E"/>
    <w:rsid w:val="435D7C4C"/>
    <w:rsid w:val="4373669D"/>
    <w:rsid w:val="438927DA"/>
    <w:rsid w:val="43A10AE3"/>
    <w:rsid w:val="43A24D63"/>
    <w:rsid w:val="44C21E7F"/>
    <w:rsid w:val="44D409B2"/>
    <w:rsid w:val="4508749B"/>
    <w:rsid w:val="451A1619"/>
    <w:rsid w:val="451A208F"/>
    <w:rsid w:val="4538652E"/>
    <w:rsid w:val="45446C5B"/>
    <w:rsid w:val="455A3BE0"/>
    <w:rsid w:val="4589522E"/>
    <w:rsid w:val="461D5993"/>
    <w:rsid w:val="463E3B5B"/>
    <w:rsid w:val="46A40348"/>
    <w:rsid w:val="46A42944"/>
    <w:rsid w:val="46F44C0D"/>
    <w:rsid w:val="47BB0ECC"/>
    <w:rsid w:val="47F10090"/>
    <w:rsid w:val="480A6EB1"/>
    <w:rsid w:val="48CD44A6"/>
    <w:rsid w:val="48DB2498"/>
    <w:rsid w:val="491178F4"/>
    <w:rsid w:val="492F071F"/>
    <w:rsid w:val="494D402D"/>
    <w:rsid w:val="49810EE2"/>
    <w:rsid w:val="4A340D7B"/>
    <w:rsid w:val="4A5F084F"/>
    <w:rsid w:val="4A754721"/>
    <w:rsid w:val="4A83134F"/>
    <w:rsid w:val="4AD621E9"/>
    <w:rsid w:val="4B04790D"/>
    <w:rsid w:val="4B1C5E3D"/>
    <w:rsid w:val="4B3D2633"/>
    <w:rsid w:val="4B507232"/>
    <w:rsid w:val="4B513EF9"/>
    <w:rsid w:val="4B8D60C9"/>
    <w:rsid w:val="4C3463E6"/>
    <w:rsid w:val="4C795D79"/>
    <w:rsid w:val="4C804ECE"/>
    <w:rsid w:val="4CA06FAD"/>
    <w:rsid w:val="4CC01258"/>
    <w:rsid w:val="4D25209F"/>
    <w:rsid w:val="4D5F0096"/>
    <w:rsid w:val="4D692F51"/>
    <w:rsid w:val="4D823B9B"/>
    <w:rsid w:val="4DC21407"/>
    <w:rsid w:val="4E1D544D"/>
    <w:rsid w:val="4E7E543D"/>
    <w:rsid w:val="4E8F4E02"/>
    <w:rsid w:val="4E927C05"/>
    <w:rsid w:val="4EB3025E"/>
    <w:rsid w:val="4F174104"/>
    <w:rsid w:val="4F262EAE"/>
    <w:rsid w:val="4F493CE1"/>
    <w:rsid w:val="4FAA5715"/>
    <w:rsid w:val="4FB8704D"/>
    <w:rsid w:val="4FD03A76"/>
    <w:rsid w:val="4FDA6D84"/>
    <w:rsid w:val="4FDD4C36"/>
    <w:rsid w:val="50090FD4"/>
    <w:rsid w:val="503A0AC9"/>
    <w:rsid w:val="50AC1BAF"/>
    <w:rsid w:val="50DB41FF"/>
    <w:rsid w:val="512340BA"/>
    <w:rsid w:val="513F6058"/>
    <w:rsid w:val="514F1E89"/>
    <w:rsid w:val="5214061D"/>
    <w:rsid w:val="526F6D01"/>
    <w:rsid w:val="52BF6755"/>
    <w:rsid w:val="52C553E8"/>
    <w:rsid w:val="531269BE"/>
    <w:rsid w:val="532B0085"/>
    <w:rsid w:val="53417BDE"/>
    <w:rsid w:val="535E1B1A"/>
    <w:rsid w:val="538E4E0E"/>
    <w:rsid w:val="53986FA1"/>
    <w:rsid w:val="539B3D11"/>
    <w:rsid w:val="53BD7396"/>
    <w:rsid w:val="53CE4D8C"/>
    <w:rsid w:val="53FE35C2"/>
    <w:rsid w:val="540168F4"/>
    <w:rsid w:val="548430A3"/>
    <w:rsid w:val="54CD7CB9"/>
    <w:rsid w:val="55056B34"/>
    <w:rsid w:val="55684A1A"/>
    <w:rsid w:val="559521BD"/>
    <w:rsid w:val="55AD43BA"/>
    <w:rsid w:val="55C81083"/>
    <w:rsid w:val="55CA6BD2"/>
    <w:rsid w:val="56231C41"/>
    <w:rsid w:val="564163D1"/>
    <w:rsid w:val="56AC2568"/>
    <w:rsid w:val="56C41358"/>
    <w:rsid w:val="56DE70A5"/>
    <w:rsid w:val="56E878F7"/>
    <w:rsid w:val="57125BA7"/>
    <w:rsid w:val="5782519E"/>
    <w:rsid w:val="57A2040B"/>
    <w:rsid w:val="57A44EC0"/>
    <w:rsid w:val="57DC3357"/>
    <w:rsid w:val="580F7106"/>
    <w:rsid w:val="582664D1"/>
    <w:rsid w:val="58310F9B"/>
    <w:rsid w:val="58311772"/>
    <w:rsid w:val="583A6878"/>
    <w:rsid w:val="58754A86"/>
    <w:rsid w:val="58795B3D"/>
    <w:rsid w:val="587B2CDE"/>
    <w:rsid w:val="588A63B0"/>
    <w:rsid w:val="58E54DF2"/>
    <w:rsid w:val="593475CA"/>
    <w:rsid w:val="596F44BA"/>
    <w:rsid w:val="5976568E"/>
    <w:rsid w:val="597BD0ED"/>
    <w:rsid w:val="59BE55DC"/>
    <w:rsid w:val="59EC5D9C"/>
    <w:rsid w:val="5A1A7162"/>
    <w:rsid w:val="5A2F0903"/>
    <w:rsid w:val="5A3508BF"/>
    <w:rsid w:val="5A753690"/>
    <w:rsid w:val="5AC35526"/>
    <w:rsid w:val="5AD230A1"/>
    <w:rsid w:val="5AE75489"/>
    <w:rsid w:val="5AFC3F58"/>
    <w:rsid w:val="5B0E4680"/>
    <w:rsid w:val="5B543D4B"/>
    <w:rsid w:val="5B9C65CF"/>
    <w:rsid w:val="5BFA2E1E"/>
    <w:rsid w:val="5C021D5C"/>
    <w:rsid w:val="5C12484B"/>
    <w:rsid w:val="5CD033D2"/>
    <w:rsid w:val="5CD746C6"/>
    <w:rsid w:val="5CEC60CF"/>
    <w:rsid w:val="5D02224E"/>
    <w:rsid w:val="5D0B433F"/>
    <w:rsid w:val="5D1F7DEB"/>
    <w:rsid w:val="5D256F17"/>
    <w:rsid w:val="5D566611"/>
    <w:rsid w:val="5D772828"/>
    <w:rsid w:val="5D7A3273"/>
    <w:rsid w:val="5D896E22"/>
    <w:rsid w:val="5DBFEECE"/>
    <w:rsid w:val="5E0A4A50"/>
    <w:rsid w:val="5F2D0E8F"/>
    <w:rsid w:val="5FEB2BA4"/>
    <w:rsid w:val="609A4BC4"/>
    <w:rsid w:val="60D0211B"/>
    <w:rsid w:val="60F5158E"/>
    <w:rsid w:val="6104719B"/>
    <w:rsid w:val="61406F7C"/>
    <w:rsid w:val="6171498D"/>
    <w:rsid w:val="61EE441B"/>
    <w:rsid w:val="61F20540"/>
    <w:rsid w:val="620D3BAE"/>
    <w:rsid w:val="62483940"/>
    <w:rsid w:val="62756CD8"/>
    <w:rsid w:val="629D6F4C"/>
    <w:rsid w:val="62C55526"/>
    <w:rsid w:val="62EE64CA"/>
    <w:rsid w:val="62F30E54"/>
    <w:rsid w:val="63003C41"/>
    <w:rsid w:val="63F7395E"/>
    <w:rsid w:val="64104514"/>
    <w:rsid w:val="642369C3"/>
    <w:rsid w:val="64433C52"/>
    <w:rsid w:val="645C4BBE"/>
    <w:rsid w:val="645D0573"/>
    <w:rsid w:val="64E533D4"/>
    <w:rsid w:val="65640DB5"/>
    <w:rsid w:val="65EF244B"/>
    <w:rsid w:val="66215B04"/>
    <w:rsid w:val="66266BF4"/>
    <w:rsid w:val="66342560"/>
    <w:rsid w:val="663F469F"/>
    <w:rsid w:val="667E3DD4"/>
    <w:rsid w:val="669B2A1A"/>
    <w:rsid w:val="66BA1864"/>
    <w:rsid w:val="66FD01A0"/>
    <w:rsid w:val="67893B07"/>
    <w:rsid w:val="67DD08A6"/>
    <w:rsid w:val="67F535C2"/>
    <w:rsid w:val="68A51D8F"/>
    <w:rsid w:val="68AD105E"/>
    <w:rsid w:val="68E63001"/>
    <w:rsid w:val="6902695F"/>
    <w:rsid w:val="692D337C"/>
    <w:rsid w:val="69507E77"/>
    <w:rsid w:val="69CE7367"/>
    <w:rsid w:val="6A3A435E"/>
    <w:rsid w:val="6A911D7B"/>
    <w:rsid w:val="6ABE35C7"/>
    <w:rsid w:val="6B1765A5"/>
    <w:rsid w:val="6B3C4D16"/>
    <w:rsid w:val="6C0C66AB"/>
    <w:rsid w:val="6C1D5A8D"/>
    <w:rsid w:val="6C506D05"/>
    <w:rsid w:val="6C781169"/>
    <w:rsid w:val="6CAB3449"/>
    <w:rsid w:val="6CB5299E"/>
    <w:rsid w:val="6CC91D04"/>
    <w:rsid w:val="6CD754CF"/>
    <w:rsid w:val="6CD9476D"/>
    <w:rsid w:val="6D3F6E6A"/>
    <w:rsid w:val="6E5626ED"/>
    <w:rsid w:val="6E8F7551"/>
    <w:rsid w:val="6E942999"/>
    <w:rsid w:val="6EB966E9"/>
    <w:rsid w:val="6ECA468E"/>
    <w:rsid w:val="6EFB174A"/>
    <w:rsid w:val="6F1A3F97"/>
    <w:rsid w:val="6F241291"/>
    <w:rsid w:val="6F660A69"/>
    <w:rsid w:val="6FCC795E"/>
    <w:rsid w:val="700A4990"/>
    <w:rsid w:val="700F154C"/>
    <w:rsid w:val="7061300B"/>
    <w:rsid w:val="714C49C7"/>
    <w:rsid w:val="71EC67DB"/>
    <w:rsid w:val="72221950"/>
    <w:rsid w:val="72AD02ED"/>
    <w:rsid w:val="72F80286"/>
    <w:rsid w:val="7395083C"/>
    <w:rsid w:val="73C21591"/>
    <w:rsid w:val="74396504"/>
    <w:rsid w:val="74B06E8E"/>
    <w:rsid w:val="74B100E6"/>
    <w:rsid w:val="74E042F3"/>
    <w:rsid w:val="75001B2D"/>
    <w:rsid w:val="751A6115"/>
    <w:rsid w:val="752F13FF"/>
    <w:rsid w:val="75CD688F"/>
    <w:rsid w:val="75CF7149"/>
    <w:rsid w:val="765242FC"/>
    <w:rsid w:val="766B1D21"/>
    <w:rsid w:val="770E5CDE"/>
    <w:rsid w:val="772D017A"/>
    <w:rsid w:val="775D7768"/>
    <w:rsid w:val="77CFB6EA"/>
    <w:rsid w:val="780473EC"/>
    <w:rsid w:val="780B4978"/>
    <w:rsid w:val="781B18E6"/>
    <w:rsid w:val="78732E72"/>
    <w:rsid w:val="78FF727A"/>
    <w:rsid w:val="790F0AA9"/>
    <w:rsid w:val="790F45F0"/>
    <w:rsid w:val="7919031A"/>
    <w:rsid w:val="794022C6"/>
    <w:rsid w:val="7957552B"/>
    <w:rsid w:val="79CE505D"/>
    <w:rsid w:val="7A5B19C1"/>
    <w:rsid w:val="7A5C1D7E"/>
    <w:rsid w:val="7A7B5E5C"/>
    <w:rsid w:val="7AC34054"/>
    <w:rsid w:val="7AD6524D"/>
    <w:rsid w:val="7AD71832"/>
    <w:rsid w:val="7B8F410F"/>
    <w:rsid w:val="7BF55D0D"/>
    <w:rsid w:val="7C2C1A43"/>
    <w:rsid w:val="7C2C344B"/>
    <w:rsid w:val="7CD34258"/>
    <w:rsid w:val="7CFA5AC2"/>
    <w:rsid w:val="7D1D57F3"/>
    <w:rsid w:val="7D4A7313"/>
    <w:rsid w:val="7D62210E"/>
    <w:rsid w:val="7DA737B9"/>
    <w:rsid w:val="7DF41070"/>
    <w:rsid w:val="7E1069C4"/>
    <w:rsid w:val="7E3E5CEE"/>
    <w:rsid w:val="7E4160B8"/>
    <w:rsid w:val="7E9140CF"/>
    <w:rsid w:val="7ED42FFD"/>
    <w:rsid w:val="7EFA5574"/>
    <w:rsid w:val="7FB421BD"/>
    <w:rsid w:val="7FE95FF3"/>
    <w:rsid w:val="BAEFD6A6"/>
    <w:rsid w:val="E5F61DF8"/>
    <w:rsid w:val="E79BCB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iPriority="0" w:name="index 2"/>
    <w:lsdException w:qFormat="1" w:uiPriority="0" w:name="index 3"/>
    <w:lsdException w:qFormat="1" w:uiPriority="0" w:name="index 4"/>
    <w:lsdException w:qFormat="1" w:uiPriority="0" w:name="index 5"/>
    <w:lsdException w:qFormat="1" w:uiPriority="0" w:name="index 6"/>
    <w:lsdException w:qFormat="1" w:uiPriority="0" w:name="index 7"/>
    <w:lsdException w:qFormat="1" w:unhideWhenUsed="0" w:uiPriority="0" w:semiHidden="0" w:name="index 8"/>
    <w:lsdException w:qFormat="1" w:uiPriority="0" w:name="index 9"/>
    <w:lsdException w:qFormat="1" w:uiPriority="0" w:semiHidden="0" w:name="toc 1"/>
    <w:lsdException w:qFormat="1" w:uiPriority="0" w:semiHidden="0" w:name="toc 2"/>
    <w:lsdException w:qFormat="1" w:uiPriority="0"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nhideWhenUsed="0" w:uiPriority="0" w:name="toc 8"/>
    <w:lsdException w:qFormat="1" w:uiPriority="0" w:semiHidden="0" w:name="toc 9"/>
    <w:lsdException w:qFormat="1" w:unhideWhenUsed="0" w:uiPriority="0" w:semiHidden="0" w:name="Normal Indent"/>
    <w:lsdException w:qFormat="1" w:unhideWhenUsed="0" w:uiPriority="0" w:name="footnote text"/>
    <w:lsdException w:qFormat="1" w:uiPriority="0" w:semiHidden="0" w:name="annotation text"/>
    <w:lsdException w:qFormat="1" w:uiPriority="0" w:semiHidden="0" w:name="header"/>
    <w:lsdException w:qFormat="1" w:uiPriority="0" w:semiHidden="0" w:name="footer"/>
    <w:lsdException w:qFormat="1" w:uiPriority="0" w:name="index heading"/>
    <w:lsdException w:qFormat="1" w:uiPriority="35" w:name="caption"/>
    <w:lsdException w:qFormat="1" w:uiPriority="0" w:name="table of figures"/>
    <w:lsdException w:qFormat="1" w:unhideWhenUsed="0" w:uiPriority="0" w:name="envelope address"/>
    <w:lsdException w:qFormat="1" w:uiPriority="0" w:name="envelope return"/>
    <w:lsdException w:qFormat="1" w:unhideWhenUsed="0" w:uiPriority="0" w:name="footnote reference"/>
    <w:lsdException w:qFormat="1" w:uiPriority="0" w:semiHidden="0" w:name="annotation reference"/>
    <w:lsdException w:qFormat="1" w:uiPriority="0" w:name="line number"/>
    <w:lsdException w:qFormat="1" w:uiPriority="99" w:semiHidden="0" w:name="page number"/>
    <w:lsdException w:qFormat="1" w:unhideWhenUsed="0" w:uiPriority="0" w:name="endnote reference"/>
    <w:lsdException w:qFormat="1" w:unhideWhenUsed="0" w:uiPriority="0" w:name="endnote text"/>
    <w:lsdException w:uiPriority="99" w:name="table of authorities"/>
    <w:lsdException w:uiPriority="99" w:name="macro"/>
    <w:lsdException w:qFormat="1" w:uiPriority="0" w:name="toa heading"/>
    <w:lsdException w:qFormat="1" w:unhideWhenUsed="0" w:uiPriority="0" w:name="List"/>
    <w:lsdException w:qFormat="1" w:unhideWhenUsed="0" w:uiPriority="0" w:name="List Bullet"/>
    <w:lsdException w:qFormat="1" w:uiPriority="0" w:name="List Number"/>
    <w:lsdException w:qFormat="1" w:uiPriority="0" w:name="List 2"/>
    <w:lsdException w:qFormat="1" w:uiPriority="0" w:name="List 3"/>
    <w:lsdException w:qFormat="1" w:uiPriority="0" w:name="List 4"/>
    <w:lsdException w:qFormat="1" w:uiPriority="0" w:name="List 5"/>
    <w:lsdException w:qFormat="1" w:uiPriority="0" w:name="List Bullet 2"/>
    <w:lsdException w:qFormat="1" w:uiPriority="0" w:name="List Bullet 3"/>
    <w:lsdException w:qFormat="1" w:uiPriority="0" w:name="List Bullet 4"/>
    <w:lsdException w:qFormat="1" w:uiPriority="0" w:name="List Bullet 5"/>
    <w:lsdException w:qFormat="1" w:uiPriority="0" w:name="List Number 2"/>
    <w:lsdException w:qFormat="1" w:uiPriority="0" w:name="List Number 3"/>
    <w:lsdException w:qFormat="1" w:uiPriority="0" w:name="List Number 4"/>
    <w:lsdException w:qFormat="1" w:uiPriority="0" w:name="List Number 5"/>
    <w:lsdException w:qFormat="1" w:unhideWhenUsed="0" w:uiPriority="0" w:semiHidden="0" w:name="Title"/>
    <w:lsdException w:qFormat="1" w:unhideWhenUsed="0" w:uiPriority="0" w:name="Closing"/>
    <w:lsdException w:qFormat="1" w:unhideWhenUsed="0" w:uiPriority="0" w:name="Signature"/>
    <w:lsdException w:qFormat="1" w:uiPriority="1" w:name="Default Paragraph Font"/>
    <w:lsdException w:qFormat="1" w:unhideWhenUsed="0" w:uiPriority="99" w:semiHidden="0" w:name="Body Text"/>
    <w:lsdException w:qFormat="1" w:uiPriority="99" w:semiHidden="0" w:name="Body Text Indent"/>
    <w:lsdException w:qFormat="1" w:uiPriority="0" w:name="List Continue"/>
    <w:lsdException w:qFormat="1" w:uiPriority="0" w:name="List Continue 2"/>
    <w:lsdException w:qFormat="1" w:uiPriority="0" w:name="List Continue 3"/>
    <w:lsdException w:qFormat="1" w:uiPriority="0" w:name="List Continue 4"/>
    <w:lsdException w:qFormat="1" w:uiPriority="0" w:name="List Continue 5"/>
    <w:lsdException w:qFormat="1" w:unhideWhenUsed="0" w:uiPriority="0" w:name="Message Header"/>
    <w:lsdException w:qFormat="1" w:unhideWhenUsed="0" w:uiPriority="11" w:semiHidden="0" w:name="Subtitle"/>
    <w:lsdException w:qFormat="1" w:unhideWhenUsed="0" w:uiPriority="0" w:name="Salutation"/>
    <w:lsdException w:qFormat="1" w:uiPriority="0" w:semiHidden="0" w:name="Date"/>
    <w:lsdException w:qFormat="1" w:uiPriority="0" w:semiHidden="0" w:name="Body Text First Indent"/>
    <w:lsdException w:qFormat="1" w:uiPriority="0" w:semiHidden="0" w:name="Body Text First Indent 2"/>
    <w:lsdException w:qFormat="1" w:unhideWhenUsed="0" w:uiPriority="0" w:name="Note Heading"/>
    <w:lsdException w:uiPriority="99" w:name="Body Text 2"/>
    <w:lsdException w:qFormat="1" w:unhideWhenUsed="0" w:uiPriority="0" w:name="Body Text 3"/>
    <w:lsdException w:qFormat="1" w:unhideWhenUsed="0" w:uiPriority="0" w:name="Body Text Indent 2"/>
    <w:lsdException w:uiPriority="99" w:name="Body Text Indent 3"/>
    <w:lsdException w:qFormat="1" w:uiPriority="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nhideWhenUsed="0" w:uiPriority="0" w:semiHidden="0" w:name="Plain Text"/>
    <w:lsdException w:qFormat="1" w:unhideWhenUsed="0" w:uiPriority="0" w:name="E-mail Signature"/>
    <w:lsdException w:qFormat="1" w:uiPriority="99" w:semiHidden="0" w:name="Normal (Web)"/>
    <w:lsdException w:qFormat="1" w:uiPriority="0" w:name="HTML Acronym"/>
    <w:lsdException w:qFormat="1" w:unhideWhenUsed="0"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name="HTML Preformatted"/>
    <w:lsdException w:qFormat="1" w:unhideWhenUsed="0" w:uiPriority="0" w:semiHidden="0" w:name="HTML Sample"/>
    <w:lsdException w:qFormat="1" w:unhideWhenUsed="0" w:uiPriority="0" w:name="HTML Typewriter"/>
    <w:lsdException w:qFormat="1" w:unhideWhenUsed="0" w:uiPriority="0" w:semiHidden="0" w:name="HTML Variable"/>
    <w:lsdException w:qFormat="1" w:uiPriority="99" w:name="Normal Table"/>
    <w:lsdException w:qFormat="1"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nhideWhenUsed="0" w:uiPriority="0" w:name="Table List 4"/>
    <w:lsdException w:qFormat="1" w:unhideWhenUsed="0"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iPriority="0" w:semiHidden="0" w:name="Balloon Text"/>
    <w:lsdException w:qFormat="1" w:unhideWhenUsed="0" w:uiPriority="0" w:semiHidden="0" w:name="Table Grid"/>
    <w:lsdException w:qFormat="1"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link w:val="75"/>
    <w:qFormat/>
    <w:uiPriority w:val="0"/>
    <w:pPr>
      <w:keepNext/>
      <w:keepLines/>
      <w:numPr>
        <w:ilvl w:val="0"/>
        <w:numId w:val="1"/>
      </w:numPr>
      <w:tabs>
        <w:tab w:val="left" w:pos="1080"/>
      </w:tabs>
      <w:spacing w:before="340" w:after="330" w:line="578" w:lineRule="auto"/>
      <w:outlineLvl w:val="0"/>
    </w:pPr>
    <w:rPr>
      <w:b/>
      <w:bCs/>
      <w:kern w:val="44"/>
      <w:sz w:val="44"/>
      <w:szCs w:val="44"/>
    </w:rPr>
  </w:style>
  <w:style w:type="paragraph" w:styleId="5">
    <w:name w:val="heading 2"/>
    <w:basedOn w:val="1"/>
    <w:next w:val="1"/>
    <w:link w:val="76"/>
    <w:qFormat/>
    <w:uiPriority w:val="0"/>
    <w:pPr>
      <w:keepNext/>
      <w:keepLines/>
      <w:numPr>
        <w:ilvl w:val="1"/>
        <w:numId w:val="1"/>
      </w:numPr>
      <w:tabs>
        <w:tab w:val="left" w:pos="720"/>
      </w:tabs>
      <w:spacing w:before="260" w:after="260" w:line="416" w:lineRule="auto"/>
      <w:outlineLvl w:val="1"/>
    </w:pPr>
    <w:rPr>
      <w:rFonts w:ascii="Cambria" w:hAnsi="Cambria"/>
      <w:b/>
      <w:bCs/>
      <w:sz w:val="32"/>
      <w:szCs w:val="32"/>
    </w:rPr>
  </w:style>
  <w:style w:type="paragraph" w:styleId="6">
    <w:name w:val="heading 3"/>
    <w:basedOn w:val="1"/>
    <w:next w:val="1"/>
    <w:link w:val="77"/>
    <w:qFormat/>
    <w:uiPriority w:val="0"/>
    <w:pPr>
      <w:keepNext/>
      <w:keepLines/>
      <w:numPr>
        <w:ilvl w:val="2"/>
        <w:numId w:val="1"/>
      </w:numPr>
      <w:tabs>
        <w:tab w:val="left" w:pos="720"/>
      </w:tabs>
      <w:spacing w:before="260" w:after="260" w:line="416" w:lineRule="auto"/>
      <w:outlineLvl w:val="2"/>
    </w:pPr>
    <w:rPr>
      <w:b/>
      <w:bCs/>
      <w:sz w:val="32"/>
      <w:szCs w:val="32"/>
    </w:rPr>
  </w:style>
  <w:style w:type="paragraph" w:styleId="7">
    <w:name w:val="heading 4"/>
    <w:basedOn w:val="1"/>
    <w:next w:val="1"/>
    <w:link w:val="78"/>
    <w:qFormat/>
    <w:uiPriority w:val="0"/>
    <w:pPr>
      <w:widowControl/>
      <w:numPr>
        <w:ilvl w:val="3"/>
        <w:numId w:val="1"/>
      </w:numPr>
      <w:tabs>
        <w:tab w:val="left" w:pos="864"/>
      </w:tabs>
      <w:jc w:val="left"/>
      <w:outlineLvl w:val="3"/>
    </w:pPr>
    <w:rPr>
      <w:rFonts w:ascii="宋体" w:hAnsi="宋体" w:cs="宋体"/>
      <w:b/>
      <w:bCs/>
      <w:kern w:val="0"/>
      <w:sz w:val="24"/>
      <w:szCs w:val="24"/>
    </w:rPr>
  </w:style>
  <w:style w:type="paragraph" w:styleId="8">
    <w:name w:val="heading 5"/>
    <w:basedOn w:val="1"/>
    <w:next w:val="1"/>
    <w:link w:val="79"/>
    <w:qFormat/>
    <w:uiPriority w:val="0"/>
    <w:pPr>
      <w:ind w:left="1008" w:hanging="432"/>
      <w:outlineLvl w:val="4"/>
    </w:pPr>
    <w:rPr>
      <w:rFonts w:ascii="Times New Roman" w:hAnsi="Times New Roman"/>
      <w:kern w:val="0"/>
      <w:sz w:val="20"/>
      <w:szCs w:val="20"/>
    </w:rPr>
  </w:style>
  <w:style w:type="paragraph" w:styleId="9">
    <w:name w:val="heading 6"/>
    <w:basedOn w:val="1"/>
    <w:next w:val="1"/>
    <w:link w:val="80"/>
    <w:qFormat/>
    <w:uiPriority w:val="0"/>
    <w:pPr>
      <w:ind w:left="1152" w:hanging="432"/>
      <w:outlineLvl w:val="5"/>
    </w:pPr>
    <w:rPr>
      <w:rFonts w:ascii="Times New Roman" w:hAnsi="Times New Roman"/>
      <w:kern w:val="0"/>
      <w:sz w:val="20"/>
      <w:szCs w:val="20"/>
    </w:rPr>
  </w:style>
  <w:style w:type="paragraph" w:styleId="10">
    <w:name w:val="heading 7"/>
    <w:basedOn w:val="1"/>
    <w:next w:val="1"/>
    <w:link w:val="81"/>
    <w:qFormat/>
    <w:uiPriority w:val="0"/>
    <w:pPr>
      <w:keepNext/>
      <w:keepLines/>
      <w:numPr>
        <w:ilvl w:val="6"/>
        <w:numId w:val="1"/>
      </w:numPr>
      <w:tabs>
        <w:tab w:val="left" w:pos="1296"/>
      </w:tabs>
      <w:spacing w:before="240" w:after="64" w:line="320" w:lineRule="auto"/>
      <w:outlineLvl w:val="6"/>
    </w:pPr>
    <w:rPr>
      <w:b/>
      <w:bCs/>
      <w:sz w:val="24"/>
      <w:szCs w:val="24"/>
    </w:rPr>
  </w:style>
  <w:style w:type="paragraph" w:styleId="11">
    <w:name w:val="heading 8"/>
    <w:basedOn w:val="1"/>
    <w:next w:val="1"/>
    <w:link w:val="82"/>
    <w:qFormat/>
    <w:uiPriority w:val="0"/>
    <w:pPr>
      <w:ind w:left="1440" w:hanging="432"/>
      <w:outlineLvl w:val="7"/>
    </w:pPr>
    <w:rPr>
      <w:rFonts w:ascii="Times New Roman" w:hAnsi="Times New Roman"/>
      <w:kern w:val="0"/>
      <w:sz w:val="20"/>
      <w:szCs w:val="20"/>
    </w:rPr>
  </w:style>
  <w:style w:type="paragraph" w:styleId="12">
    <w:name w:val="heading 9"/>
    <w:basedOn w:val="1"/>
    <w:next w:val="1"/>
    <w:link w:val="83"/>
    <w:qFormat/>
    <w:uiPriority w:val="0"/>
    <w:pPr>
      <w:ind w:left="1584" w:hanging="144"/>
      <w:outlineLvl w:val="8"/>
    </w:pPr>
    <w:rPr>
      <w:rFonts w:ascii="Times New Roman" w:hAnsi="Times New Roman"/>
      <w:kern w:val="0"/>
      <w:sz w:val="20"/>
      <w:szCs w:val="20"/>
    </w:rPr>
  </w:style>
  <w:style w:type="character" w:default="1" w:styleId="59">
    <w:name w:val="Default Paragraph Font"/>
    <w:semiHidden/>
    <w:unhideWhenUsed/>
    <w:qFormat/>
    <w:uiPriority w:val="1"/>
  </w:style>
  <w:style w:type="table" w:default="1" w:styleId="55">
    <w:name w:val="Normal Table"/>
    <w:semiHidden/>
    <w:unhideWhenUsed/>
    <w:qFormat/>
    <w:uiPriority w:val="99"/>
    <w:tblPr>
      <w:tblCellMar>
        <w:top w:w="0" w:type="dxa"/>
        <w:left w:w="108" w:type="dxa"/>
        <w:bottom w:w="0" w:type="dxa"/>
        <w:right w:w="108" w:type="dxa"/>
      </w:tblCellMar>
    </w:tblPr>
  </w:style>
  <w:style w:type="paragraph" w:customStyle="1" w:styleId="2">
    <w:name w:val="纯文本1"/>
    <w:basedOn w:val="1"/>
    <w:next w:val="3"/>
    <w:qFormat/>
    <w:uiPriority w:val="0"/>
    <w:rPr>
      <w:rFonts w:ascii="宋体" w:hAnsi="宋体" w:cs="Courier New"/>
      <w:kern w:val="0"/>
      <w:szCs w:val="21"/>
    </w:rPr>
  </w:style>
  <w:style w:type="paragraph" w:customStyle="1" w:styleId="3">
    <w:name w:val="索引 81"/>
    <w:basedOn w:val="1"/>
    <w:next w:val="1"/>
    <w:qFormat/>
    <w:uiPriority w:val="0"/>
    <w:pPr>
      <w:ind w:left="1680" w:right="0" w:hanging="210"/>
      <w:jc w:val="left"/>
    </w:pPr>
    <w:rPr>
      <w:rFonts w:ascii="Times New Roman" w:hAnsi="Times New Roman" w:cs="Times New Roman"/>
      <w:sz w:val="20"/>
      <w:szCs w:val="20"/>
    </w:rPr>
  </w:style>
  <w:style w:type="paragraph" w:styleId="13">
    <w:name w:val="toc 7"/>
    <w:basedOn w:val="1"/>
    <w:next w:val="1"/>
    <w:unhideWhenUsed/>
    <w:qFormat/>
    <w:uiPriority w:val="0"/>
    <w:pPr>
      <w:ind w:left="2520" w:leftChars="1200"/>
    </w:pPr>
  </w:style>
  <w:style w:type="paragraph" w:styleId="14">
    <w:name w:val="Note Heading"/>
    <w:basedOn w:val="1"/>
    <w:next w:val="1"/>
    <w:link w:val="118"/>
    <w:semiHidden/>
    <w:qFormat/>
    <w:uiPriority w:val="0"/>
    <w:pPr>
      <w:jc w:val="center"/>
    </w:pPr>
    <w:rPr>
      <w:rFonts w:ascii="Times New Roman" w:hAnsi="Times New Roman"/>
      <w:szCs w:val="24"/>
    </w:rPr>
  </w:style>
  <w:style w:type="paragraph" w:styleId="15">
    <w:name w:val="index 8"/>
    <w:basedOn w:val="1"/>
    <w:next w:val="1"/>
    <w:qFormat/>
    <w:uiPriority w:val="0"/>
    <w:pPr>
      <w:ind w:left="1400" w:leftChars="1400"/>
    </w:pPr>
    <w:rPr>
      <w:rFonts w:ascii="Times New Roman" w:hAnsi="Times New Roman"/>
      <w:szCs w:val="24"/>
    </w:rPr>
  </w:style>
  <w:style w:type="paragraph" w:styleId="16">
    <w:name w:val="E-mail Signature"/>
    <w:basedOn w:val="1"/>
    <w:link w:val="119"/>
    <w:semiHidden/>
    <w:qFormat/>
    <w:uiPriority w:val="0"/>
    <w:rPr>
      <w:rFonts w:ascii="Times New Roman" w:hAnsi="Times New Roman"/>
      <w:szCs w:val="24"/>
    </w:rPr>
  </w:style>
  <w:style w:type="paragraph" w:styleId="17">
    <w:name w:val="Normal Indent"/>
    <w:basedOn w:val="1"/>
    <w:qFormat/>
    <w:uiPriority w:val="0"/>
    <w:pPr>
      <w:tabs>
        <w:tab w:val="left" w:pos="4680"/>
      </w:tabs>
      <w:spacing w:beforeLines="50" w:line="300" w:lineRule="auto"/>
      <w:ind w:firstLine="420"/>
    </w:pPr>
    <w:rPr>
      <w:rFonts w:ascii="Times New Roman" w:hAnsi="Times New Roman"/>
      <w:bCs/>
      <w:szCs w:val="21"/>
    </w:rPr>
  </w:style>
  <w:style w:type="paragraph" w:styleId="18">
    <w:name w:val="List Bullet"/>
    <w:basedOn w:val="1"/>
    <w:semiHidden/>
    <w:qFormat/>
    <w:uiPriority w:val="0"/>
    <w:pPr>
      <w:tabs>
        <w:tab w:val="left" w:pos="360"/>
      </w:tabs>
      <w:ind w:left="360" w:hanging="360"/>
    </w:pPr>
    <w:rPr>
      <w:rFonts w:ascii="Times New Roman" w:hAnsi="Times New Roman"/>
      <w:szCs w:val="24"/>
    </w:rPr>
  </w:style>
  <w:style w:type="paragraph" w:styleId="19">
    <w:name w:val="envelope address"/>
    <w:basedOn w:val="1"/>
    <w:semiHidden/>
    <w:qFormat/>
    <w:uiPriority w:val="0"/>
    <w:pPr>
      <w:framePr w:w="7920" w:h="1980" w:hRule="exact" w:hSpace="180" w:wrap="around" w:vAnchor="margin" w:hAnchor="page" w:xAlign="center" w:yAlign="bottom"/>
      <w:snapToGrid w:val="0"/>
      <w:ind w:left="100" w:leftChars="1400"/>
    </w:pPr>
    <w:rPr>
      <w:rFonts w:ascii="Arial" w:hAnsi="Arial" w:cs="Arial"/>
      <w:sz w:val="24"/>
      <w:szCs w:val="24"/>
    </w:rPr>
  </w:style>
  <w:style w:type="paragraph" w:styleId="20">
    <w:name w:val="Document Map"/>
    <w:basedOn w:val="1"/>
    <w:link w:val="97"/>
    <w:unhideWhenUsed/>
    <w:qFormat/>
    <w:uiPriority w:val="0"/>
    <w:rPr>
      <w:rFonts w:ascii="宋体"/>
      <w:sz w:val="18"/>
      <w:szCs w:val="18"/>
    </w:rPr>
  </w:style>
  <w:style w:type="paragraph" w:styleId="21">
    <w:name w:val="annotation text"/>
    <w:basedOn w:val="1"/>
    <w:link w:val="89"/>
    <w:unhideWhenUsed/>
    <w:qFormat/>
    <w:uiPriority w:val="0"/>
    <w:pPr>
      <w:jc w:val="left"/>
    </w:pPr>
  </w:style>
  <w:style w:type="paragraph" w:styleId="22">
    <w:name w:val="Salutation"/>
    <w:basedOn w:val="1"/>
    <w:next w:val="1"/>
    <w:link w:val="120"/>
    <w:semiHidden/>
    <w:qFormat/>
    <w:uiPriority w:val="0"/>
    <w:rPr>
      <w:rFonts w:ascii="Times New Roman" w:hAnsi="Times New Roman"/>
      <w:szCs w:val="24"/>
    </w:rPr>
  </w:style>
  <w:style w:type="paragraph" w:styleId="23">
    <w:name w:val="Body Text 3"/>
    <w:basedOn w:val="1"/>
    <w:link w:val="121"/>
    <w:semiHidden/>
    <w:qFormat/>
    <w:uiPriority w:val="0"/>
    <w:pPr>
      <w:spacing w:after="120"/>
    </w:pPr>
    <w:rPr>
      <w:rFonts w:ascii="Times New Roman" w:hAnsi="Times New Roman"/>
      <w:sz w:val="16"/>
      <w:szCs w:val="16"/>
    </w:rPr>
  </w:style>
  <w:style w:type="paragraph" w:styleId="24">
    <w:name w:val="Closing"/>
    <w:basedOn w:val="1"/>
    <w:link w:val="122"/>
    <w:semiHidden/>
    <w:qFormat/>
    <w:uiPriority w:val="0"/>
    <w:pPr>
      <w:ind w:left="100" w:leftChars="2100"/>
    </w:pPr>
    <w:rPr>
      <w:rFonts w:ascii="Times New Roman" w:hAnsi="Times New Roman"/>
      <w:szCs w:val="24"/>
    </w:rPr>
  </w:style>
  <w:style w:type="paragraph" w:styleId="25">
    <w:name w:val="Body Text"/>
    <w:basedOn w:val="1"/>
    <w:link w:val="90"/>
    <w:qFormat/>
    <w:uiPriority w:val="99"/>
    <w:pPr>
      <w:spacing w:line="360" w:lineRule="auto"/>
    </w:pPr>
    <w:rPr>
      <w:rFonts w:ascii="宋体" w:hAnsi="宋体"/>
      <w:kern w:val="0"/>
      <w:sz w:val="24"/>
      <w:szCs w:val="24"/>
    </w:rPr>
  </w:style>
  <w:style w:type="paragraph" w:styleId="26">
    <w:name w:val="Body Text Indent"/>
    <w:basedOn w:val="1"/>
    <w:link w:val="88"/>
    <w:unhideWhenUsed/>
    <w:qFormat/>
    <w:uiPriority w:val="99"/>
    <w:pPr>
      <w:spacing w:after="120"/>
      <w:ind w:left="420" w:leftChars="200"/>
    </w:pPr>
  </w:style>
  <w:style w:type="paragraph" w:styleId="27">
    <w:name w:val="HTML Address"/>
    <w:basedOn w:val="1"/>
    <w:link w:val="123"/>
    <w:semiHidden/>
    <w:qFormat/>
    <w:uiPriority w:val="0"/>
    <w:rPr>
      <w:rFonts w:ascii="Times New Roman" w:hAnsi="Times New Roman"/>
      <w:i/>
      <w:iCs/>
      <w:szCs w:val="24"/>
    </w:rPr>
  </w:style>
  <w:style w:type="paragraph" w:styleId="28">
    <w:name w:val="toc 5"/>
    <w:basedOn w:val="1"/>
    <w:next w:val="1"/>
    <w:unhideWhenUsed/>
    <w:qFormat/>
    <w:uiPriority w:val="0"/>
    <w:pPr>
      <w:ind w:left="1680" w:leftChars="800"/>
    </w:pPr>
  </w:style>
  <w:style w:type="paragraph" w:styleId="29">
    <w:name w:val="toc 3"/>
    <w:basedOn w:val="1"/>
    <w:next w:val="1"/>
    <w:unhideWhenUsed/>
    <w:qFormat/>
    <w:uiPriority w:val="0"/>
    <w:pPr>
      <w:ind w:left="840" w:leftChars="400"/>
    </w:pPr>
  </w:style>
  <w:style w:type="paragraph" w:styleId="30">
    <w:name w:val="Plain Text"/>
    <w:basedOn w:val="1"/>
    <w:next w:val="15"/>
    <w:link w:val="93"/>
    <w:qFormat/>
    <w:uiPriority w:val="0"/>
    <w:pPr>
      <w:spacing w:line="520" w:lineRule="exact"/>
      <w:ind w:firstLine="1285" w:firstLineChars="400"/>
      <w:jc w:val="left"/>
      <w:pPrChange w:id="0" w:author="磊 俞" w:date="2024-05-09T16:08:00Z">
        <w:pPr>
          <w:widowControl w:val="0"/>
          <w:jc w:val="both"/>
        </w:pPr>
      </w:pPrChange>
    </w:pPr>
    <w:rPr>
      <w:rFonts w:ascii="宋体" w:hAnsi="Courier New"/>
      <w:szCs w:val="21"/>
      <w:rPrChange w:id="1" w:author="磊 俞" w:date="2024-05-09T16:08:00Z">
        <w:rPr>
          <w:rFonts w:ascii="宋体" w:hAnsi="Courier New" w:eastAsia="宋体"/>
          <w:kern w:val="2"/>
          <w:sz w:val="21"/>
          <w:szCs w:val="21"/>
          <w:lang w:val="en-US" w:eastAsia="zh-CN" w:bidi="ar-SA"/>
        </w:rPr>
      </w:rPrChange>
    </w:rPr>
  </w:style>
  <w:style w:type="paragraph" w:styleId="31">
    <w:name w:val="toc 8"/>
    <w:basedOn w:val="1"/>
    <w:next w:val="1"/>
    <w:semiHidden/>
    <w:qFormat/>
    <w:uiPriority w:val="0"/>
    <w:pPr>
      <w:ind w:left="2940" w:leftChars="1400"/>
    </w:pPr>
  </w:style>
  <w:style w:type="paragraph" w:styleId="32">
    <w:name w:val="Date"/>
    <w:basedOn w:val="1"/>
    <w:next w:val="1"/>
    <w:link w:val="124"/>
    <w:unhideWhenUsed/>
    <w:qFormat/>
    <w:uiPriority w:val="0"/>
    <w:pPr>
      <w:ind w:left="100" w:leftChars="2500"/>
    </w:pPr>
    <w:rPr>
      <w:rFonts w:ascii="Times New Roman" w:hAnsi="Times New Roman"/>
      <w:szCs w:val="20"/>
    </w:rPr>
  </w:style>
  <w:style w:type="paragraph" w:styleId="33">
    <w:name w:val="Body Text Indent 2"/>
    <w:basedOn w:val="1"/>
    <w:link w:val="125"/>
    <w:semiHidden/>
    <w:qFormat/>
    <w:uiPriority w:val="0"/>
    <w:pPr>
      <w:spacing w:after="120" w:line="480" w:lineRule="auto"/>
      <w:ind w:left="420" w:leftChars="200"/>
    </w:pPr>
    <w:rPr>
      <w:rFonts w:ascii="Times New Roman" w:hAnsi="Times New Roman"/>
      <w:szCs w:val="24"/>
    </w:rPr>
  </w:style>
  <w:style w:type="paragraph" w:styleId="34">
    <w:name w:val="endnote text"/>
    <w:basedOn w:val="1"/>
    <w:link w:val="126"/>
    <w:semiHidden/>
    <w:qFormat/>
    <w:uiPriority w:val="0"/>
    <w:pPr>
      <w:snapToGrid w:val="0"/>
      <w:jc w:val="left"/>
    </w:pPr>
    <w:rPr>
      <w:rFonts w:ascii="Times New Roman" w:hAnsi="Times New Roman"/>
      <w:szCs w:val="24"/>
    </w:rPr>
  </w:style>
  <w:style w:type="paragraph" w:styleId="35">
    <w:name w:val="Balloon Text"/>
    <w:basedOn w:val="1"/>
    <w:link w:val="92"/>
    <w:unhideWhenUsed/>
    <w:qFormat/>
    <w:uiPriority w:val="0"/>
    <w:rPr>
      <w:kern w:val="0"/>
      <w:sz w:val="18"/>
      <w:szCs w:val="18"/>
    </w:rPr>
  </w:style>
  <w:style w:type="paragraph" w:styleId="36">
    <w:name w:val="footer"/>
    <w:basedOn w:val="1"/>
    <w:link w:val="91"/>
    <w:unhideWhenUsed/>
    <w:qFormat/>
    <w:uiPriority w:val="0"/>
    <w:pPr>
      <w:tabs>
        <w:tab w:val="center" w:pos="4153"/>
        <w:tab w:val="right" w:pos="8306"/>
      </w:tabs>
      <w:snapToGrid w:val="0"/>
      <w:jc w:val="left"/>
    </w:pPr>
    <w:rPr>
      <w:kern w:val="0"/>
      <w:sz w:val="18"/>
      <w:szCs w:val="18"/>
    </w:rPr>
  </w:style>
  <w:style w:type="paragraph" w:styleId="37">
    <w:name w:val="header"/>
    <w:basedOn w:val="1"/>
    <w:link w:val="84"/>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38">
    <w:name w:val="Signature"/>
    <w:basedOn w:val="1"/>
    <w:link w:val="127"/>
    <w:semiHidden/>
    <w:qFormat/>
    <w:uiPriority w:val="0"/>
    <w:pPr>
      <w:ind w:left="100" w:leftChars="2100"/>
    </w:pPr>
    <w:rPr>
      <w:rFonts w:ascii="Times New Roman" w:hAnsi="Times New Roman"/>
      <w:szCs w:val="24"/>
    </w:rPr>
  </w:style>
  <w:style w:type="paragraph" w:styleId="39">
    <w:name w:val="toc 1"/>
    <w:basedOn w:val="1"/>
    <w:next w:val="1"/>
    <w:unhideWhenUsed/>
    <w:qFormat/>
    <w:uiPriority w:val="0"/>
  </w:style>
  <w:style w:type="paragraph" w:styleId="40">
    <w:name w:val="toc 4"/>
    <w:basedOn w:val="1"/>
    <w:next w:val="1"/>
    <w:unhideWhenUsed/>
    <w:qFormat/>
    <w:uiPriority w:val="0"/>
    <w:pPr>
      <w:ind w:left="1260" w:leftChars="600"/>
    </w:pPr>
  </w:style>
  <w:style w:type="paragraph" w:styleId="41">
    <w:name w:val="Subtitle"/>
    <w:basedOn w:val="1"/>
    <w:next w:val="1"/>
    <w:link w:val="157"/>
    <w:qFormat/>
    <w:uiPriority w:val="11"/>
    <w:pPr>
      <w:spacing w:before="240" w:after="60" w:line="312" w:lineRule="auto"/>
      <w:jc w:val="center"/>
      <w:outlineLvl w:val="1"/>
    </w:pPr>
    <w:rPr>
      <w:rFonts w:ascii="Cambria" w:hAnsi="Cambria"/>
      <w:b/>
      <w:bCs/>
      <w:kern w:val="28"/>
      <w:sz w:val="32"/>
      <w:szCs w:val="32"/>
    </w:rPr>
  </w:style>
  <w:style w:type="paragraph" w:styleId="42">
    <w:name w:val="List"/>
    <w:basedOn w:val="1"/>
    <w:semiHidden/>
    <w:qFormat/>
    <w:uiPriority w:val="0"/>
    <w:pPr>
      <w:ind w:left="200" w:hanging="200" w:hangingChars="200"/>
    </w:pPr>
    <w:rPr>
      <w:rFonts w:ascii="Times New Roman" w:hAnsi="Times New Roman"/>
      <w:szCs w:val="24"/>
    </w:rPr>
  </w:style>
  <w:style w:type="paragraph" w:styleId="43">
    <w:name w:val="footnote text"/>
    <w:basedOn w:val="1"/>
    <w:link w:val="128"/>
    <w:semiHidden/>
    <w:qFormat/>
    <w:uiPriority w:val="0"/>
    <w:pPr>
      <w:snapToGrid w:val="0"/>
      <w:jc w:val="left"/>
    </w:pPr>
    <w:rPr>
      <w:rFonts w:ascii="Times New Roman" w:hAnsi="Times New Roman"/>
      <w:sz w:val="18"/>
      <w:szCs w:val="20"/>
    </w:rPr>
  </w:style>
  <w:style w:type="paragraph" w:styleId="44">
    <w:name w:val="toc 6"/>
    <w:basedOn w:val="1"/>
    <w:next w:val="1"/>
    <w:unhideWhenUsed/>
    <w:qFormat/>
    <w:uiPriority w:val="0"/>
    <w:pPr>
      <w:ind w:left="2100" w:leftChars="1000"/>
    </w:pPr>
  </w:style>
  <w:style w:type="paragraph" w:styleId="45">
    <w:name w:val="toc 2"/>
    <w:basedOn w:val="1"/>
    <w:next w:val="1"/>
    <w:unhideWhenUsed/>
    <w:qFormat/>
    <w:uiPriority w:val="0"/>
    <w:pPr>
      <w:ind w:left="420" w:leftChars="200"/>
    </w:pPr>
  </w:style>
  <w:style w:type="paragraph" w:styleId="46">
    <w:name w:val="toc 9"/>
    <w:basedOn w:val="1"/>
    <w:next w:val="1"/>
    <w:unhideWhenUsed/>
    <w:qFormat/>
    <w:uiPriority w:val="0"/>
    <w:pPr>
      <w:ind w:left="3360" w:leftChars="1600"/>
    </w:pPr>
  </w:style>
  <w:style w:type="paragraph" w:styleId="47">
    <w:name w:val="Message Header"/>
    <w:basedOn w:val="1"/>
    <w:link w:val="129"/>
    <w:semiHidden/>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48">
    <w:name w:val="HTML Preformatted"/>
    <w:basedOn w:val="1"/>
    <w:link w:val="130"/>
    <w:semiHidden/>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color w:val="000000"/>
      <w:kern w:val="0"/>
      <w:sz w:val="24"/>
      <w:szCs w:val="24"/>
    </w:rPr>
  </w:style>
  <w:style w:type="paragraph" w:styleId="49">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50">
    <w:name w:val="index 1"/>
    <w:basedOn w:val="1"/>
    <w:next w:val="1"/>
    <w:unhideWhenUsed/>
    <w:qFormat/>
    <w:uiPriority w:val="0"/>
  </w:style>
  <w:style w:type="paragraph" w:styleId="51">
    <w:name w:val="Title"/>
    <w:basedOn w:val="1"/>
    <w:next w:val="1"/>
    <w:link w:val="161"/>
    <w:qFormat/>
    <w:uiPriority w:val="0"/>
    <w:pPr>
      <w:spacing w:before="240" w:after="60"/>
      <w:jc w:val="center"/>
      <w:outlineLvl w:val="0"/>
    </w:pPr>
    <w:rPr>
      <w:rFonts w:ascii="Cambria" w:hAnsi="Cambria"/>
      <w:b/>
      <w:bCs/>
      <w:sz w:val="32"/>
      <w:szCs w:val="32"/>
    </w:rPr>
  </w:style>
  <w:style w:type="paragraph" w:styleId="52">
    <w:name w:val="annotation subject"/>
    <w:basedOn w:val="21"/>
    <w:next w:val="21"/>
    <w:link w:val="98"/>
    <w:unhideWhenUsed/>
    <w:qFormat/>
    <w:uiPriority w:val="0"/>
    <w:rPr>
      <w:b/>
      <w:bCs/>
    </w:rPr>
  </w:style>
  <w:style w:type="paragraph" w:styleId="53">
    <w:name w:val="Body Text First Indent"/>
    <w:basedOn w:val="25"/>
    <w:link w:val="115"/>
    <w:unhideWhenUsed/>
    <w:qFormat/>
    <w:uiPriority w:val="0"/>
    <w:pPr>
      <w:spacing w:after="120" w:line="240" w:lineRule="auto"/>
      <w:ind w:firstLine="420" w:firstLineChars="100"/>
    </w:pPr>
    <w:rPr>
      <w:rFonts w:ascii="Calibri" w:hAnsi="Calibri"/>
      <w:kern w:val="2"/>
      <w:sz w:val="21"/>
      <w:szCs w:val="22"/>
    </w:rPr>
  </w:style>
  <w:style w:type="paragraph" w:styleId="54">
    <w:name w:val="Body Text First Indent 2"/>
    <w:basedOn w:val="26"/>
    <w:link w:val="87"/>
    <w:unhideWhenUsed/>
    <w:qFormat/>
    <w:uiPriority w:val="0"/>
    <w:pPr>
      <w:ind w:firstLine="420" w:firstLineChars="200"/>
    </w:pPr>
  </w:style>
  <w:style w:type="table" w:styleId="56">
    <w:name w:val="Table Grid"/>
    <w:basedOn w:val="5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57">
    <w:name w:val="Table List 4"/>
    <w:basedOn w:val="55"/>
    <w:semiHidden/>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58">
    <w:name w:val="Table List 5"/>
    <w:basedOn w:val="55"/>
    <w:semiHidden/>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character" w:styleId="60">
    <w:name w:val="Strong"/>
    <w:basedOn w:val="59"/>
    <w:qFormat/>
    <w:uiPriority w:val="22"/>
    <w:rPr>
      <w:b/>
    </w:rPr>
  </w:style>
  <w:style w:type="character" w:styleId="61">
    <w:name w:val="endnote reference"/>
    <w:semiHidden/>
    <w:qFormat/>
    <w:uiPriority w:val="0"/>
    <w:rPr>
      <w:vertAlign w:val="superscript"/>
    </w:rPr>
  </w:style>
  <w:style w:type="character" w:styleId="62">
    <w:name w:val="page number"/>
    <w:basedOn w:val="59"/>
    <w:unhideWhenUsed/>
    <w:qFormat/>
    <w:uiPriority w:val="99"/>
  </w:style>
  <w:style w:type="character" w:styleId="63">
    <w:name w:val="FollowedHyperlink"/>
    <w:qFormat/>
    <w:uiPriority w:val="99"/>
    <w:rPr>
      <w:color w:val="800080"/>
      <w:u w:val="single"/>
    </w:rPr>
  </w:style>
  <w:style w:type="character" w:styleId="64">
    <w:name w:val="Emphasis"/>
    <w:basedOn w:val="59"/>
    <w:qFormat/>
    <w:uiPriority w:val="20"/>
  </w:style>
  <w:style w:type="character" w:styleId="65">
    <w:name w:val="HTML Definition"/>
    <w:qFormat/>
    <w:uiPriority w:val="0"/>
    <w:rPr>
      <w:i/>
      <w:iCs/>
    </w:rPr>
  </w:style>
  <w:style w:type="character" w:styleId="66">
    <w:name w:val="HTML Typewriter"/>
    <w:semiHidden/>
    <w:qFormat/>
    <w:uiPriority w:val="0"/>
    <w:rPr>
      <w:rFonts w:ascii="Courier New" w:hAnsi="Courier New" w:cs="Courier New"/>
      <w:sz w:val="20"/>
      <w:szCs w:val="20"/>
    </w:rPr>
  </w:style>
  <w:style w:type="character" w:styleId="67">
    <w:name w:val="HTML Variable"/>
    <w:qFormat/>
    <w:uiPriority w:val="0"/>
    <w:rPr>
      <w:i/>
      <w:iCs/>
    </w:rPr>
  </w:style>
  <w:style w:type="character" w:styleId="68">
    <w:name w:val="Hyperlink"/>
    <w:qFormat/>
    <w:uiPriority w:val="0"/>
    <w:rPr>
      <w:color w:val="0000FF"/>
      <w:u w:val="single"/>
    </w:rPr>
  </w:style>
  <w:style w:type="character" w:styleId="69">
    <w:name w:val="HTML Code"/>
    <w:qFormat/>
    <w:uiPriority w:val="0"/>
    <w:rPr>
      <w:rFonts w:ascii="Courier New" w:hAnsi="Courier New" w:cs="Courier New"/>
      <w:sz w:val="20"/>
      <w:szCs w:val="20"/>
    </w:rPr>
  </w:style>
  <w:style w:type="character" w:styleId="70">
    <w:name w:val="annotation reference"/>
    <w:unhideWhenUsed/>
    <w:qFormat/>
    <w:uiPriority w:val="0"/>
    <w:rPr>
      <w:sz w:val="21"/>
      <w:szCs w:val="21"/>
    </w:rPr>
  </w:style>
  <w:style w:type="character" w:styleId="71">
    <w:name w:val="HTML Cite"/>
    <w:qFormat/>
    <w:uiPriority w:val="0"/>
    <w:rPr>
      <w:i/>
      <w:iCs/>
    </w:rPr>
  </w:style>
  <w:style w:type="character" w:styleId="72">
    <w:name w:val="footnote reference"/>
    <w:semiHidden/>
    <w:qFormat/>
    <w:uiPriority w:val="0"/>
    <w:rPr>
      <w:vertAlign w:val="superscript"/>
    </w:rPr>
  </w:style>
  <w:style w:type="character" w:styleId="73">
    <w:name w:val="HTML Keyboard"/>
    <w:qFormat/>
    <w:uiPriority w:val="0"/>
    <w:rPr>
      <w:rFonts w:ascii="Courier New" w:hAnsi="Courier New" w:cs="Courier New"/>
      <w:sz w:val="20"/>
      <w:szCs w:val="20"/>
    </w:rPr>
  </w:style>
  <w:style w:type="character" w:styleId="74">
    <w:name w:val="HTML Sample"/>
    <w:qFormat/>
    <w:uiPriority w:val="0"/>
    <w:rPr>
      <w:rFonts w:ascii="Courier New" w:hAnsi="Courier New" w:cs="Courier New"/>
    </w:rPr>
  </w:style>
  <w:style w:type="character" w:customStyle="1" w:styleId="75">
    <w:name w:val="标题 1 字符"/>
    <w:link w:val="4"/>
    <w:qFormat/>
    <w:uiPriority w:val="0"/>
    <w:rPr>
      <w:b/>
      <w:bCs/>
      <w:kern w:val="44"/>
      <w:sz w:val="44"/>
      <w:szCs w:val="44"/>
    </w:rPr>
  </w:style>
  <w:style w:type="character" w:customStyle="1" w:styleId="76">
    <w:name w:val="标题 2 字符"/>
    <w:basedOn w:val="59"/>
    <w:link w:val="5"/>
    <w:qFormat/>
    <w:uiPriority w:val="0"/>
    <w:rPr>
      <w:rFonts w:ascii="Cambria" w:hAnsi="Cambria" w:eastAsia="宋体"/>
      <w:b/>
      <w:bCs/>
      <w:kern w:val="2"/>
      <w:sz w:val="32"/>
      <w:szCs w:val="32"/>
      <w:lang w:val="en-US" w:eastAsia="zh-CN" w:bidi="ar-SA"/>
    </w:rPr>
  </w:style>
  <w:style w:type="character" w:customStyle="1" w:styleId="77">
    <w:name w:val="标题 3 字符"/>
    <w:link w:val="6"/>
    <w:qFormat/>
    <w:uiPriority w:val="0"/>
    <w:rPr>
      <w:rFonts w:ascii="Calibri" w:hAnsi="Calibri" w:eastAsia="宋体"/>
      <w:b/>
      <w:bCs/>
      <w:kern w:val="2"/>
      <w:sz w:val="32"/>
      <w:szCs w:val="32"/>
      <w:lang w:val="en-US" w:eastAsia="zh-CN" w:bidi="ar-SA"/>
    </w:rPr>
  </w:style>
  <w:style w:type="character" w:customStyle="1" w:styleId="78">
    <w:name w:val="标题 4 字符"/>
    <w:link w:val="7"/>
    <w:qFormat/>
    <w:uiPriority w:val="0"/>
    <w:rPr>
      <w:rFonts w:ascii="宋体" w:hAnsi="宋体" w:eastAsia="宋体" w:cs="宋体"/>
      <w:b/>
      <w:bCs/>
      <w:sz w:val="24"/>
      <w:szCs w:val="24"/>
      <w:lang w:val="en-US" w:eastAsia="zh-CN" w:bidi="ar-SA"/>
    </w:rPr>
  </w:style>
  <w:style w:type="character" w:customStyle="1" w:styleId="79">
    <w:name w:val="标题 5 字符"/>
    <w:basedOn w:val="59"/>
    <w:link w:val="8"/>
    <w:qFormat/>
    <w:uiPriority w:val="0"/>
    <w:rPr>
      <w:rFonts w:ascii="Times New Roman" w:hAnsi="Times New Roman"/>
    </w:rPr>
  </w:style>
  <w:style w:type="character" w:customStyle="1" w:styleId="80">
    <w:name w:val="标题 6 字符"/>
    <w:basedOn w:val="59"/>
    <w:link w:val="9"/>
    <w:qFormat/>
    <w:uiPriority w:val="0"/>
    <w:rPr>
      <w:rFonts w:ascii="Times New Roman" w:hAnsi="Times New Roman"/>
    </w:rPr>
  </w:style>
  <w:style w:type="character" w:customStyle="1" w:styleId="81">
    <w:name w:val="标题 7 字符"/>
    <w:link w:val="10"/>
    <w:qFormat/>
    <w:uiPriority w:val="0"/>
    <w:rPr>
      <w:rFonts w:ascii="Calibri" w:hAnsi="Calibri" w:eastAsia="宋体"/>
      <w:b/>
      <w:bCs/>
      <w:kern w:val="2"/>
      <w:sz w:val="24"/>
      <w:szCs w:val="24"/>
      <w:lang w:val="en-US" w:eastAsia="zh-CN" w:bidi="ar-SA"/>
    </w:rPr>
  </w:style>
  <w:style w:type="character" w:customStyle="1" w:styleId="82">
    <w:name w:val="标题 8 字符"/>
    <w:basedOn w:val="59"/>
    <w:link w:val="11"/>
    <w:qFormat/>
    <w:uiPriority w:val="0"/>
    <w:rPr>
      <w:rFonts w:ascii="Times New Roman" w:hAnsi="Times New Roman"/>
    </w:rPr>
  </w:style>
  <w:style w:type="character" w:customStyle="1" w:styleId="83">
    <w:name w:val="标题 9 字符"/>
    <w:basedOn w:val="59"/>
    <w:link w:val="12"/>
    <w:qFormat/>
    <w:uiPriority w:val="0"/>
    <w:rPr>
      <w:rFonts w:ascii="Times New Roman" w:hAnsi="Times New Roman"/>
    </w:rPr>
  </w:style>
  <w:style w:type="character" w:customStyle="1" w:styleId="84">
    <w:name w:val="页眉 字符"/>
    <w:link w:val="37"/>
    <w:qFormat/>
    <w:uiPriority w:val="0"/>
    <w:rPr>
      <w:sz w:val="18"/>
      <w:szCs w:val="18"/>
    </w:rPr>
  </w:style>
  <w:style w:type="character" w:styleId="85">
    <w:name w:val="Placeholder Text"/>
    <w:semiHidden/>
    <w:qFormat/>
    <w:uiPriority w:val="99"/>
    <w:rPr>
      <w:color w:val="808080"/>
    </w:rPr>
  </w:style>
  <w:style w:type="character" w:customStyle="1" w:styleId="86">
    <w:name w:val="标题1"/>
    <w:basedOn w:val="59"/>
    <w:qFormat/>
    <w:uiPriority w:val="0"/>
  </w:style>
  <w:style w:type="character" w:customStyle="1" w:styleId="87">
    <w:name w:val="正文文本首行缩进 2 字符"/>
    <w:basedOn w:val="88"/>
    <w:link w:val="54"/>
    <w:qFormat/>
    <w:uiPriority w:val="0"/>
  </w:style>
  <w:style w:type="character" w:customStyle="1" w:styleId="88">
    <w:name w:val="正文文本缩进 字符"/>
    <w:basedOn w:val="59"/>
    <w:link w:val="26"/>
    <w:semiHidden/>
    <w:qFormat/>
    <w:uiPriority w:val="99"/>
  </w:style>
  <w:style w:type="character" w:customStyle="1" w:styleId="89">
    <w:name w:val="批注文字 字符"/>
    <w:link w:val="21"/>
    <w:semiHidden/>
    <w:qFormat/>
    <w:uiPriority w:val="0"/>
    <w:rPr>
      <w:kern w:val="2"/>
      <w:sz w:val="21"/>
      <w:szCs w:val="22"/>
    </w:rPr>
  </w:style>
  <w:style w:type="character" w:customStyle="1" w:styleId="90">
    <w:name w:val="正文文本 字符"/>
    <w:link w:val="25"/>
    <w:qFormat/>
    <w:uiPriority w:val="99"/>
    <w:rPr>
      <w:rFonts w:ascii="宋体" w:hAnsi="宋体" w:eastAsia="宋体" w:cs="Times New Roman"/>
      <w:sz w:val="24"/>
      <w:szCs w:val="24"/>
    </w:rPr>
  </w:style>
  <w:style w:type="character" w:customStyle="1" w:styleId="91">
    <w:name w:val="页脚 字符"/>
    <w:link w:val="36"/>
    <w:qFormat/>
    <w:uiPriority w:val="0"/>
    <w:rPr>
      <w:sz w:val="18"/>
      <w:szCs w:val="18"/>
    </w:rPr>
  </w:style>
  <w:style w:type="character" w:customStyle="1" w:styleId="92">
    <w:name w:val="批注框文本 字符"/>
    <w:link w:val="35"/>
    <w:semiHidden/>
    <w:qFormat/>
    <w:uiPriority w:val="0"/>
    <w:rPr>
      <w:sz w:val="18"/>
      <w:szCs w:val="18"/>
    </w:rPr>
  </w:style>
  <w:style w:type="character" w:customStyle="1" w:styleId="93">
    <w:name w:val="纯文本 字符"/>
    <w:link w:val="30"/>
    <w:qFormat/>
    <w:uiPriority w:val="0"/>
    <w:rPr>
      <w:rFonts w:ascii="宋体" w:hAnsi="Courier New"/>
      <w:kern w:val="2"/>
      <w:sz w:val="21"/>
      <w:szCs w:val="21"/>
    </w:rPr>
  </w:style>
  <w:style w:type="character" w:customStyle="1" w:styleId="94">
    <w:name w:val="标题3 Char"/>
    <w:link w:val="95"/>
    <w:qFormat/>
    <w:uiPriority w:val="0"/>
    <w:rPr>
      <w:rFonts w:ascii="宋体" w:hAnsi="宋体"/>
      <w:color w:val="000000"/>
      <w:sz w:val="24"/>
    </w:rPr>
  </w:style>
  <w:style w:type="paragraph" w:customStyle="1" w:styleId="95">
    <w:name w:val="标题3"/>
    <w:basedOn w:val="6"/>
    <w:link w:val="94"/>
    <w:qFormat/>
    <w:uiPriority w:val="0"/>
    <w:pPr>
      <w:spacing w:line="360" w:lineRule="auto"/>
      <w:ind w:firstLine="472" w:firstLineChars="196"/>
    </w:pPr>
    <w:rPr>
      <w:rFonts w:ascii="宋体" w:hAnsi="宋体"/>
      <w:b w:val="0"/>
      <w:bCs w:val="0"/>
      <w:color w:val="000000"/>
      <w:kern w:val="0"/>
      <w:sz w:val="24"/>
      <w:szCs w:val="20"/>
    </w:rPr>
  </w:style>
  <w:style w:type="character" w:customStyle="1" w:styleId="96">
    <w:name w:val="样式 标题 1 + 宋体 三号 加粗 下划线 非全部大写 Char"/>
    <w:qFormat/>
    <w:uiPriority w:val="0"/>
    <w:rPr>
      <w:rFonts w:ascii="宋体" w:hAnsi="宋体" w:eastAsia="宋体" w:cs="Courier New"/>
      <w:b/>
      <w:bCs/>
      <w:caps/>
      <w:kern w:val="2"/>
      <w:sz w:val="32"/>
      <w:szCs w:val="21"/>
      <w:u w:val="single"/>
      <w:lang w:val="en-US" w:eastAsia="en-US" w:bidi="ar-SA"/>
    </w:rPr>
  </w:style>
  <w:style w:type="character" w:customStyle="1" w:styleId="97">
    <w:name w:val="文档结构图 字符"/>
    <w:link w:val="20"/>
    <w:qFormat/>
    <w:uiPriority w:val="0"/>
    <w:rPr>
      <w:rFonts w:ascii="宋体"/>
      <w:kern w:val="2"/>
      <w:sz w:val="18"/>
      <w:szCs w:val="18"/>
    </w:rPr>
  </w:style>
  <w:style w:type="character" w:customStyle="1" w:styleId="98">
    <w:name w:val="批注主题 字符"/>
    <w:link w:val="52"/>
    <w:semiHidden/>
    <w:qFormat/>
    <w:uiPriority w:val="0"/>
    <w:rPr>
      <w:b/>
      <w:bCs/>
      <w:kern w:val="2"/>
      <w:sz w:val="21"/>
      <w:szCs w:val="22"/>
    </w:rPr>
  </w:style>
  <w:style w:type="paragraph" w:customStyle="1" w:styleId="99">
    <w:name w:val="Report正文"/>
    <w:basedOn w:val="1"/>
    <w:qFormat/>
    <w:uiPriority w:val="0"/>
    <w:pPr>
      <w:widowControl/>
      <w:spacing w:beforeLines="100" w:afterLines="150" w:line="440" w:lineRule="exact"/>
      <w:ind w:left="420"/>
      <w:jc w:val="left"/>
    </w:pPr>
    <w:rPr>
      <w:rFonts w:ascii="华文细黑" w:hAnsi="华文细黑" w:eastAsia="华文细黑"/>
      <w:kern w:val="0"/>
      <w:sz w:val="24"/>
      <w:szCs w:val="24"/>
      <w:lang w:val="en-GB"/>
    </w:rPr>
  </w:style>
  <w:style w:type="paragraph" w:styleId="100">
    <w:name w:val="List Paragraph"/>
    <w:basedOn w:val="1"/>
    <w:qFormat/>
    <w:uiPriority w:val="34"/>
    <w:pPr>
      <w:ind w:firstLine="420" w:firstLineChars="200"/>
    </w:pPr>
  </w:style>
  <w:style w:type="paragraph" w:customStyle="1" w:styleId="101">
    <w:name w:val="TOC 标题1"/>
    <w:basedOn w:val="4"/>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02">
    <w:name w:val="p3"/>
    <w:basedOn w:val="1"/>
    <w:qFormat/>
    <w:uiPriority w:val="0"/>
    <w:pPr>
      <w:spacing w:line="30" w:lineRule="atLeast"/>
      <w:jc w:val="center"/>
    </w:pPr>
    <w:rPr>
      <w:rFonts w:hint="eastAsia" w:ascii="宋体" w:hAnsi="宋体" w:cs="宋体"/>
      <w:kern w:val="0"/>
      <w:sz w:val="36"/>
      <w:szCs w:val="36"/>
    </w:rPr>
  </w:style>
  <w:style w:type="paragraph" w:customStyle="1" w:styleId="103">
    <w:name w:val="Report 1.1.1"/>
    <w:basedOn w:val="104"/>
    <w:qFormat/>
    <w:uiPriority w:val="0"/>
    <w:pPr>
      <w:tabs>
        <w:tab w:val="left" w:pos="720"/>
      </w:tabs>
    </w:pPr>
    <w:rPr>
      <w:rFonts w:hAnsi="华文细黑" w:eastAsia="华文细黑" w:cs="Arial"/>
      <w:lang w:eastAsia="zh-CN"/>
    </w:rPr>
  </w:style>
  <w:style w:type="paragraph" w:customStyle="1" w:styleId="104">
    <w:name w:val="DTZ Heading 3"/>
    <w:basedOn w:val="1"/>
    <w:next w:val="1"/>
    <w:qFormat/>
    <w:uiPriority w:val="0"/>
    <w:pPr>
      <w:widowControl/>
      <w:tabs>
        <w:tab w:val="left" w:pos="720"/>
      </w:tabs>
      <w:spacing w:line="280" w:lineRule="exact"/>
      <w:ind w:left="720" w:hanging="720"/>
      <w:jc w:val="left"/>
    </w:pPr>
    <w:rPr>
      <w:rFonts w:ascii="Arial" w:hAnsi="Arial"/>
      <w:b/>
      <w:kern w:val="0"/>
      <w:sz w:val="24"/>
      <w:szCs w:val="24"/>
      <w:lang w:val="en-GB" w:eastAsia="en-US"/>
    </w:rPr>
  </w:style>
  <w:style w:type="paragraph" w:customStyle="1" w:styleId="105">
    <w:name w:val="Char Char Char1 Char"/>
    <w:basedOn w:val="37"/>
    <w:next w:val="1"/>
    <w:qFormat/>
    <w:uiPriority w:val="0"/>
    <w:pPr>
      <w:pBdr>
        <w:bottom w:val="none" w:color="auto" w:sz="0" w:space="0"/>
      </w:pBdr>
      <w:shd w:val="clear" w:color="auto" w:fill="000080"/>
      <w:tabs>
        <w:tab w:val="clear" w:pos="4153"/>
        <w:tab w:val="clear" w:pos="8306"/>
      </w:tabs>
      <w:snapToGrid/>
      <w:jc w:val="both"/>
    </w:pPr>
    <w:rPr>
      <w:rFonts w:ascii="Times New Roman" w:hAnsi="Times New Roman"/>
      <w:sz w:val="21"/>
      <w:szCs w:val="20"/>
    </w:rPr>
  </w:style>
  <w:style w:type="paragraph" w:customStyle="1" w:styleId="106">
    <w:name w:val="Default"/>
    <w:qFormat/>
    <w:uiPriority w:val="0"/>
    <w:pPr>
      <w:widowControl w:val="0"/>
      <w:autoSpaceDE w:val="0"/>
      <w:autoSpaceDN w:val="0"/>
      <w:adjustRightInd w:val="0"/>
    </w:pPr>
    <w:rPr>
      <w:rFonts w:ascii="方正黑体简体" w:hAnsi="Times New Roman" w:eastAsia="方正黑体简体" w:cs="方正黑体简体"/>
      <w:color w:val="000000"/>
      <w:sz w:val="24"/>
      <w:szCs w:val="24"/>
      <w:lang w:val="en-US" w:eastAsia="zh-CN" w:bidi="ar-SA"/>
    </w:rPr>
  </w:style>
  <w:style w:type="paragraph" w:customStyle="1" w:styleId="107">
    <w:name w:val="DTZ Heading 4"/>
    <w:basedOn w:val="1"/>
    <w:qFormat/>
    <w:uiPriority w:val="0"/>
    <w:pPr>
      <w:widowControl/>
      <w:numPr>
        <w:ilvl w:val="3"/>
        <w:numId w:val="2"/>
      </w:numPr>
      <w:spacing w:line="260" w:lineRule="exact"/>
      <w:jc w:val="left"/>
    </w:pPr>
    <w:rPr>
      <w:rFonts w:ascii="Arial" w:hAnsi="Arial"/>
      <w:b/>
      <w:kern w:val="0"/>
      <w:sz w:val="20"/>
      <w:szCs w:val="24"/>
      <w:lang w:val="en-GB" w:eastAsia="en-US"/>
    </w:rPr>
  </w:style>
  <w:style w:type="paragraph" w:customStyle="1" w:styleId="108">
    <w:name w:val="DTZ Heading 1"/>
    <w:basedOn w:val="1"/>
    <w:next w:val="1"/>
    <w:qFormat/>
    <w:uiPriority w:val="0"/>
    <w:pPr>
      <w:widowControl/>
      <w:numPr>
        <w:ilvl w:val="0"/>
        <w:numId w:val="2"/>
      </w:numPr>
      <w:spacing w:after="260" w:line="380" w:lineRule="exact"/>
      <w:jc w:val="left"/>
    </w:pPr>
    <w:rPr>
      <w:rFonts w:ascii="Arial" w:hAnsi="Arial"/>
      <w:b/>
      <w:kern w:val="0"/>
      <w:sz w:val="32"/>
      <w:szCs w:val="24"/>
      <w:lang w:val="en-GB" w:eastAsia="en-US"/>
    </w:rPr>
  </w:style>
  <w:style w:type="paragraph" w:customStyle="1" w:styleId="109">
    <w:name w:val="xl81"/>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kern w:val="0"/>
      <w:sz w:val="24"/>
      <w:szCs w:val="24"/>
    </w:rPr>
  </w:style>
  <w:style w:type="paragraph" w:customStyle="1" w:styleId="110">
    <w:name w:val="样式3"/>
    <w:basedOn w:val="25"/>
    <w:qFormat/>
    <w:uiPriority w:val="0"/>
    <w:pPr>
      <w:spacing w:after="120"/>
    </w:pPr>
    <w:rPr>
      <w:rFonts w:hAnsi="Times New Roman"/>
      <w:sz w:val="21"/>
    </w:rPr>
  </w:style>
  <w:style w:type="paragraph" w:customStyle="1" w:styleId="111">
    <w:name w:val="DTZ Heading 2"/>
    <w:basedOn w:val="108"/>
    <w:next w:val="1"/>
    <w:qFormat/>
    <w:uiPriority w:val="0"/>
    <w:pPr>
      <w:numPr>
        <w:ilvl w:val="1"/>
      </w:numPr>
      <w:spacing w:after="0" w:line="340" w:lineRule="exact"/>
    </w:pPr>
    <w:rPr>
      <w:sz w:val="28"/>
    </w:rPr>
  </w:style>
  <w:style w:type="paragraph" w:customStyle="1" w:styleId="112">
    <w:name w:val="保留正文"/>
    <w:basedOn w:val="25"/>
    <w:qFormat/>
    <w:uiPriority w:val="0"/>
    <w:pPr>
      <w:keepNext/>
      <w:spacing w:after="160" w:line="240" w:lineRule="auto"/>
    </w:pPr>
    <w:rPr>
      <w:rFonts w:ascii="Times New Roman" w:hAnsi="Times New Roman"/>
      <w:sz w:val="21"/>
    </w:rPr>
  </w:style>
  <w:style w:type="paragraph" w:customStyle="1" w:styleId="113">
    <w:name w:val="小标题 2"/>
    <w:basedOn w:val="1"/>
    <w:qFormat/>
    <w:uiPriority w:val="0"/>
    <w:pPr>
      <w:autoSpaceDE w:val="0"/>
      <w:autoSpaceDN w:val="0"/>
      <w:adjustRightInd w:val="0"/>
    </w:pPr>
    <w:rPr>
      <w:rFonts w:ascii="金桥简粗宋" w:hAnsi="Times New Roman" w:eastAsia="金桥简粗宋"/>
      <w:kern w:val="0"/>
      <w:sz w:val="28"/>
      <w:szCs w:val="28"/>
    </w:rPr>
  </w:style>
  <w:style w:type="paragraph" w:customStyle="1" w:styleId="114">
    <w:name w:val="一、"/>
    <w:basedOn w:val="1"/>
    <w:qFormat/>
    <w:uiPriority w:val="0"/>
    <w:pPr>
      <w:tabs>
        <w:tab w:val="left" w:pos="720"/>
      </w:tabs>
      <w:spacing w:line="740" w:lineRule="exact"/>
    </w:pPr>
    <w:rPr>
      <w:sz w:val="28"/>
      <w:szCs w:val="24"/>
    </w:rPr>
  </w:style>
  <w:style w:type="character" w:customStyle="1" w:styleId="115">
    <w:name w:val="正文文本首行缩进 字符"/>
    <w:basedOn w:val="90"/>
    <w:link w:val="53"/>
    <w:semiHidden/>
    <w:qFormat/>
    <w:uiPriority w:val="0"/>
    <w:rPr>
      <w:rFonts w:ascii="宋体" w:hAnsi="宋体" w:eastAsia="宋体" w:cs="Times New Roman"/>
      <w:kern w:val="2"/>
      <w:sz w:val="21"/>
      <w:szCs w:val="22"/>
    </w:rPr>
  </w:style>
  <w:style w:type="paragraph" w:customStyle="1" w:styleId="116">
    <w:name w:val="_Style 2"/>
    <w:basedOn w:val="1"/>
    <w:qFormat/>
    <w:uiPriority w:val="99"/>
    <w:pPr>
      <w:ind w:firstLine="420" w:firstLineChars="200"/>
    </w:pPr>
  </w:style>
  <w:style w:type="paragraph" w:customStyle="1" w:styleId="117">
    <w:name w:val="UserStyle_0"/>
    <w:basedOn w:val="1"/>
    <w:qFormat/>
    <w:uiPriority w:val="0"/>
    <w:pPr>
      <w:spacing w:before="15"/>
      <w:ind w:left="120"/>
    </w:pPr>
    <w:rPr>
      <w:rFonts w:ascii="Arial Unicode MS" w:hAnsi="Arial Unicode MS" w:eastAsia="Arial Unicode MS"/>
      <w:sz w:val="32"/>
      <w:szCs w:val="32"/>
    </w:rPr>
  </w:style>
  <w:style w:type="character" w:customStyle="1" w:styleId="118">
    <w:name w:val="注释标题 字符"/>
    <w:basedOn w:val="59"/>
    <w:link w:val="14"/>
    <w:semiHidden/>
    <w:qFormat/>
    <w:uiPriority w:val="0"/>
    <w:rPr>
      <w:rFonts w:ascii="Times New Roman" w:hAnsi="Times New Roman"/>
      <w:kern w:val="2"/>
      <w:sz w:val="21"/>
      <w:szCs w:val="24"/>
    </w:rPr>
  </w:style>
  <w:style w:type="character" w:customStyle="1" w:styleId="119">
    <w:name w:val="电子邮件签名 字符"/>
    <w:basedOn w:val="59"/>
    <w:link w:val="16"/>
    <w:semiHidden/>
    <w:qFormat/>
    <w:uiPriority w:val="0"/>
    <w:rPr>
      <w:rFonts w:ascii="Times New Roman" w:hAnsi="Times New Roman"/>
      <w:kern w:val="2"/>
      <w:sz w:val="21"/>
      <w:szCs w:val="24"/>
    </w:rPr>
  </w:style>
  <w:style w:type="character" w:customStyle="1" w:styleId="120">
    <w:name w:val="称呼 字符"/>
    <w:basedOn w:val="59"/>
    <w:link w:val="22"/>
    <w:semiHidden/>
    <w:qFormat/>
    <w:uiPriority w:val="0"/>
    <w:rPr>
      <w:rFonts w:ascii="Times New Roman" w:hAnsi="Times New Roman"/>
      <w:kern w:val="2"/>
      <w:sz w:val="21"/>
      <w:szCs w:val="24"/>
    </w:rPr>
  </w:style>
  <w:style w:type="character" w:customStyle="1" w:styleId="121">
    <w:name w:val="正文文本 3 字符"/>
    <w:basedOn w:val="59"/>
    <w:link w:val="23"/>
    <w:semiHidden/>
    <w:qFormat/>
    <w:uiPriority w:val="0"/>
    <w:rPr>
      <w:rFonts w:ascii="Times New Roman" w:hAnsi="Times New Roman"/>
      <w:kern w:val="2"/>
      <w:sz w:val="16"/>
      <w:szCs w:val="16"/>
    </w:rPr>
  </w:style>
  <w:style w:type="character" w:customStyle="1" w:styleId="122">
    <w:name w:val="结束语 字符"/>
    <w:basedOn w:val="59"/>
    <w:link w:val="24"/>
    <w:semiHidden/>
    <w:qFormat/>
    <w:uiPriority w:val="0"/>
    <w:rPr>
      <w:rFonts w:ascii="Times New Roman" w:hAnsi="Times New Roman"/>
      <w:kern w:val="2"/>
      <w:sz w:val="21"/>
      <w:szCs w:val="24"/>
    </w:rPr>
  </w:style>
  <w:style w:type="character" w:customStyle="1" w:styleId="123">
    <w:name w:val="HTML 地址 字符"/>
    <w:basedOn w:val="59"/>
    <w:link w:val="27"/>
    <w:semiHidden/>
    <w:qFormat/>
    <w:uiPriority w:val="0"/>
    <w:rPr>
      <w:rFonts w:ascii="Times New Roman" w:hAnsi="Times New Roman"/>
      <w:i/>
      <w:iCs/>
      <w:kern w:val="2"/>
      <w:sz w:val="21"/>
      <w:szCs w:val="24"/>
    </w:rPr>
  </w:style>
  <w:style w:type="character" w:customStyle="1" w:styleId="124">
    <w:name w:val="日期 字符"/>
    <w:basedOn w:val="59"/>
    <w:link w:val="32"/>
    <w:qFormat/>
    <w:uiPriority w:val="0"/>
    <w:rPr>
      <w:rFonts w:ascii="Times New Roman" w:hAnsi="Times New Roman"/>
      <w:kern w:val="2"/>
      <w:sz w:val="21"/>
    </w:rPr>
  </w:style>
  <w:style w:type="character" w:customStyle="1" w:styleId="125">
    <w:name w:val="正文文本缩进 2 字符"/>
    <w:basedOn w:val="59"/>
    <w:link w:val="33"/>
    <w:semiHidden/>
    <w:qFormat/>
    <w:uiPriority w:val="0"/>
    <w:rPr>
      <w:rFonts w:ascii="Times New Roman" w:hAnsi="Times New Roman"/>
      <w:kern w:val="2"/>
      <w:sz w:val="21"/>
      <w:szCs w:val="24"/>
    </w:rPr>
  </w:style>
  <w:style w:type="character" w:customStyle="1" w:styleId="126">
    <w:name w:val="尾注文本 字符"/>
    <w:basedOn w:val="59"/>
    <w:link w:val="34"/>
    <w:semiHidden/>
    <w:qFormat/>
    <w:uiPriority w:val="0"/>
    <w:rPr>
      <w:rFonts w:ascii="Times New Roman" w:hAnsi="Times New Roman"/>
      <w:kern w:val="2"/>
      <w:sz w:val="21"/>
      <w:szCs w:val="24"/>
    </w:rPr>
  </w:style>
  <w:style w:type="character" w:customStyle="1" w:styleId="127">
    <w:name w:val="签名 字符"/>
    <w:basedOn w:val="59"/>
    <w:link w:val="38"/>
    <w:semiHidden/>
    <w:qFormat/>
    <w:uiPriority w:val="0"/>
    <w:rPr>
      <w:rFonts w:ascii="Times New Roman" w:hAnsi="Times New Roman"/>
      <w:kern w:val="2"/>
      <w:sz w:val="21"/>
      <w:szCs w:val="24"/>
    </w:rPr>
  </w:style>
  <w:style w:type="character" w:customStyle="1" w:styleId="128">
    <w:name w:val="脚注文本 字符"/>
    <w:basedOn w:val="59"/>
    <w:link w:val="43"/>
    <w:semiHidden/>
    <w:qFormat/>
    <w:uiPriority w:val="0"/>
    <w:rPr>
      <w:rFonts w:ascii="Times New Roman" w:hAnsi="Times New Roman"/>
      <w:kern w:val="2"/>
      <w:sz w:val="18"/>
    </w:rPr>
  </w:style>
  <w:style w:type="character" w:customStyle="1" w:styleId="129">
    <w:name w:val="信息标题 字符"/>
    <w:basedOn w:val="59"/>
    <w:link w:val="47"/>
    <w:semiHidden/>
    <w:qFormat/>
    <w:uiPriority w:val="0"/>
    <w:rPr>
      <w:rFonts w:ascii="Arial" w:hAnsi="Arial" w:cs="Arial"/>
      <w:kern w:val="2"/>
      <w:sz w:val="24"/>
      <w:szCs w:val="24"/>
      <w:shd w:val="pct20" w:color="auto" w:fill="auto"/>
    </w:rPr>
  </w:style>
  <w:style w:type="character" w:customStyle="1" w:styleId="130">
    <w:name w:val="HTML 预设格式 字符"/>
    <w:basedOn w:val="59"/>
    <w:link w:val="48"/>
    <w:semiHidden/>
    <w:qFormat/>
    <w:uiPriority w:val="0"/>
    <w:rPr>
      <w:rFonts w:ascii="宋体" w:hAnsi="宋体" w:cs="宋体"/>
      <w:color w:val="000000"/>
      <w:sz w:val="24"/>
      <w:szCs w:val="24"/>
    </w:rPr>
  </w:style>
  <w:style w:type="character" w:customStyle="1" w:styleId="131">
    <w:name w:val="unnamed211"/>
    <w:semiHidden/>
    <w:qFormat/>
    <w:uiPriority w:val="0"/>
    <w:rPr>
      <w:sz w:val="23"/>
      <w:szCs w:val="23"/>
    </w:rPr>
  </w:style>
  <w:style w:type="character" w:customStyle="1" w:styleId="132">
    <w:name w:val="ss1"/>
    <w:semiHidden/>
    <w:qFormat/>
    <w:uiPriority w:val="0"/>
    <w:rPr>
      <w:rFonts w:hint="default" w:ascii="ˎ̥" w:hAnsi="ˎ̥"/>
      <w:color w:val="000000"/>
      <w:sz w:val="18"/>
      <w:szCs w:val="18"/>
      <w:u w:val="none"/>
    </w:rPr>
  </w:style>
  <w:style w:type="character" w:customStyle="1" w:styleId="133">
    <w:name w:val="f142"/>
    <w:semiHidden/>
    <w:qFormat/>
    <w:uiPriority w:val="0"/>
    <w:rPr>
      <w:sz w:val="21"/>
      <w:szCs w:val="21"/>
    </w:rPr>
  </w:style>
  <w:style w:type="character" w:customStyle="1" w:styleId="134">
    <w:name w:val="f14b1"/>
    <w:semiHidden/>
    <w:qFormat/>
    <w:uiPriority w:val="0"/>
    <w:rPr>
      <w:b/>
      <w:bCs/>
      <w:sz w:val="21"/>
      <w:szCs w:val="21"/>
    </w:rPr>
  </w:style>
  <w:style w:type="character" w:customStyle="1" w:styleId="135">
    <w:name w:val="ca-41"/>
    <w:qFormat/>
    <w:uiPriority w:val="0"/>
    <w:rPr>
      <w:rFonts w:hint="eastAsia" w:ascii="黑体" w:eastAsia="黑体"/>
      <w:b/>
      <w:bCs/>
      <w:spacing w:val="-20"/>
      <w:sz w:val="30"/>
      <w:szCs w:val="30"/>
    </w:rPr>
  </w:style>
  <w:style w:type="character" w:customStyle="1" w:styleId="136">
    <w:name w:val="签名 Char1"/>
    <w:basedOn w:val="59"/>
    <w:semiHidden/>
    <w:qFormat/>
    <w:uiPriority w:val="99"/>
    <w:rPr>
      <w:rFonts w:ascii="Times New Roman" w:hAnsi="Times New Roman" w:eastAsia="宋体" w:cs="Times New Roman"/>
      <w:szCs w:val="20"/>
    </w:rPr>
  </w:style>
  <w:style w:type="character" w:customStyle="1" w:styleId="137">
    <w:name w:val="正文文本缩进 2 Char1"/>
    <w:basedOn w:val="59"/>
    <w:semiHidden/>
    <w:qFormat/>
    <w:uiPriority w:val="99"/>
    <w:rPr>
      <w:rFonts w:ascii="Times New Roman" w:hAnsi="Times New Roman" w:eastAsia="宋体" w:cs="Times New Roman"/>
      <w:szCs w:val="20"/>
    </w:rPr>
  </w:style>
  <w:style w:type="paragraph" w:customStyle="1" w:styleId="138">
    <w:name w:val="style93"/>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39">
    <w:name w:val="纯文本 Char1"/>
    <w:qFormat/>
    <w:uiPriority w:val="0"/>
    <w:rPr>
      <w:rFonts w:ascii="宋体" w:hAnsi="Courier New" w:cs="Courier New"/>
      <w:kern w:val="2"/>
      <w:sz w:val="21"/>
      <w:szCs w:val="21"/>
    </w:rPr>
  </w:style>
  <w:style w:type="character" w:customStyle="1" w:styleId="140">
    <w:name w:val="Char Char23"/>
    <w:semiHidden/>
    <w:qFormat/>
    <w:uiPriority w:val="0"/>
    <w:rPr>
      <w:rFonts w:ascii="Times New Roman" w:hAnsi="Times New Roman" w:eastAsia="宋体" w:cs="Times New Roman"/>
      <w:b/>
      <w:bCs/>
      <w:szCs w:val="24"/>
    </w:rPr>
  </w:style>
  <w:style w:type="paragraph" w:customStyle="1" w:styleId="141">
    <w:name w:val="z-窗体顶端1"/>
    <w:basedOn w:val="1"/>
    <w:next w:val="1"/>
    <w:link w:val="142"/>
    <w:unhideWhenUsed/>
    <w:qFormat/>
    <w:uiPriority w:val="99"/>
    <w:pPr>
      <w:widowControl/>
      <w:pBdr>
        <w:bottom w:val="single" w:color="auto" w:sz="6" w:space="1"/>
      </w:pBdr>
      <w:jc w:val="center"/>
    </w:pPr>
    <w:rPr>
      <w:rFonts w:ascii="Arial" w:hAnsi="Arial"/>
      <w:vanish/>
      <w:kern w:val="0"/>
      <w:sz w:val="16"/>
      <w:szCs w:val="16"/>
    </w:rPr>
  </w:style>
  <w:style w:type="character" w:customStyle="1" w:styleId="142">
    <w:name w:val="z-窗体顶端 Char"/>
    <w:basedOn w:val="59"/>
    <w:link w:val="141"/>
    <w:qFormat/>
    <w:uiPriority w:val="99"/>
    <w:rPr>
      <w:rFonts w:ascii="Arial" w:hAnsi="Arial"/>
      <w:vanish/>
      <w:sz w:val="16"/>
      <w:szCs w:val="16"/>
    </w:rPr>
  </w:style>
  <w:style w:type="paragraph" w:customStyle="1" w:styleId="143">
    <w:name w:val="z-窗体底端1"/>
    <w:basedOn w:val="1"/>
    <w:next w:val="1"/>
    <w:link w:val="144"/>
    <w:unhideWhenUsed/>
    <w:qFormat/>
    <w:uiPriority w:val="99"/>
    <w:pPr>
      <w:widowControl/>
      <w:pBdr>
        <w:top w:val="single" w:color="auto" w:sz="6" w:space="1"/>
      </w:pBdr>
      <w:jc w:val="center"/>
    </w:pPr>
    <w:rPr>
      <w:rFonts w:ascii="Arial" w:hAnsi="Arial"/>
      <w:vanish/>
      <w:kern w:val="0"/>
      <w:sz w:val="16"/>
      <w:szCs w:val="16"/>
    </w:rPr>
  </w:style>
  <w:style w:type="character" w:customStyle="1" w:styleId="144">
    <w:name w:val="z-窗体底端 Char"/>
    <w:basedOn w:val="59"/>
    <w:link w:val="143"/>
    <w:qFormat/>
    <w:uiPriority w:val="99"/>
    <w:rPr>
      <w:rFonts w:ascii="Arial" w:hAnsi="Arial"/>
      <w:vanish/>
      <w:sz w:val="16"/>
      <w:szCs w:val="16"/>
    </w:rPr>
  </w:style>
  <w:style w:type="paragraph" w:customStyle="1" w:styleId="145">
    <w:name w:val="_Style 10"/>
    <w:qFormat/>
    <w:uiPriority w:val="0"/>
    <w:rPr>
      <w:rFonts w:ascii="Calibri" w:hAnsi="Calibri" w:eastAsia="宋体" w:cs="Times New Roman"/>
      <w:kern w:val="2"/>
      <w:sz w:val="21"/>
      <w:szCs w:val="22"/>
      <w:lang w:val="en-US" w:eastAsia="zh-CN" w:bidi="ar-SA"/>
    </w:rPr>
  </w:style>
  <w:style w:type="paragraph" w:customStyle="1" w:styleId="146">
    <w:name w:val="列出段落1"/>
    <w:basedOn w:val="1"/>
    <w:qFormat/>
    <w:uiPriority w:val="34"/>
    <w:pPr>
      <w:ind w:firstLine="420" w:firstLineChars="200"/>
    </w:pPr>
  </w:style>
  <w:style w:type="paragraph" w:customStyle="1" w:styleId="147">
    <w:name w:val="列出段落2"/>
    <w:basedOn w:val="148"/>
    <w:qFormat/>
    <w:uiPriority w:val="34"/>
    <w:pPr>
      <w:ind w:firstLine="420" w:firstLineChars="200"/>
    </w:pPr>
  </w:style>
  <w:style w:type="paragraph" w:customStyle="1" w:styleId="148">
    <w:name w:val="正文2"/>
    <w:qFormat/>
    <w:uiPriority w:val="0"/>
    <w:pPr>
      <w:widowControl w:val="0"/>
      <w:jc w:val="both"/>
    </w:pPr>
    <w:rPr>
      <w:rFonts w:ascii="Calibri" w:hAnsi="Calibri" w:eastAsia="宋体" w:cs="Times New Roman"/>
      <w:kern w:val="2"/>
      <w:sz w:val="21"/>
      <w:lang w:val="en-US" w:eastAsia="zh-CN" w:bidi="ar-SA"/>
    </w:rPr>
  </w:style>
  <w:style w:type="paragraph" w:customStyle="1" w:styleId="149">
    <w:name w:val="Normal_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0">
    <w:name w:val="Normal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1">
    <w:name w:val="fontstyle21"/>
    <w:basedOn w:val="152"/>
    <w:qFormat/>
    <w:uiPriority w:val="0"/>
    <w:rPr>
      <w:rFonts w:ascii="FZXBSJW--GB1-0" w:hAnsi="FZXBSJW--GB1-0" w:eastAsia="FZXBSJW--GB1-0" w:cs="FZXBSJW--GB1-0"/>
      <w:color w:val="000000"/>
      <w:sz w:val="44"/>
      <w:szCs w:val="44"/>
    </w:rPr>
  </w:style>
  <w:style w:type="character" w:customStyle="1" w:styleId="152">
    <w:name w:val="默认段落字体1"/>
    <w:qFormat/>
    <w:uiPriority w:val="0"/>
  </w:style>
  <w:style w:type="character" w:customStyle="1" w:styleId="153">
    <w:name w:val="fontstyle31"/>
    <w:basedOn w:val="152"/>
    <w:qFormat/>
    <w:uiPriority w:val="0"/>
    <w:rPr>
      <w:rFonts w:ascii="仿宋_GB2312" w:hAnsi="仿宋_GB2312" w:eastAsia="仿宋_GB2312" w:cs="仿宋_GB2312"/>
      <w:color w:val="000000"/>
      <w:sz w:val="32"/>
      <w:szCs w:val="32"/>
    </w:rPr>
  </w:style>
  <w:style w:type="paragraph" w:customStyle="1" w:styleId="154">
    <w:name w:val="页脚2"/>
    <w:basedOn w:val="148"/>
    <w:unhideWhenUsed/>
    <w:qFormat/>
    <w:uiPriority w:val="0"/>
    <w:pPr>
      <w:tabs>
        <w:tab w:val="center" w:pos="4153"/>
        <w:tab w:val="right" w:pos="8306"/>
      </w:tabs>
      <w:snapToGrid w:val="0"/>
      <w:jc w:val="left"/>
    </w:pPr>
    <w:rPr>
      <w:sz w:val="18"/>
      <w:szCs w:val="18"/>
    </w:rPr>
  </w:style>
  <w:style w:type="character" w:customStyle="1" w:styleId="155">
    <w:name w:val="纯文本 Char2"/>
    <w:qFormat/>
    <w:uiPriority w:val="0"/>
    <w:rPr>
      <w:rFonts w:ascii="宋体" w:hAnsi="Courier New" w:eastAsia="宋体" w:cs="Courier New"/>
      <w:sz w:val="21"/>
      <w:szCs w:val="21"/>
    </w:rPr>
  </w:style>
  <w:style w:type="character" w:customStyle="1" w:styleId="156">
    <w:name w:val="fontstrikethrough"/>
    <w:basedOn w:val="59"/>
    <w:qFormat/>
    <w:uiPriority w:val="0"/>
    <w:rPr>
      <w:strike/>
    </w:rPr>
  </w:style>
  <w:style w:type="character" w:customStyle="1" w:styleId="157">
    <w:name w:val="副标题 字符"/>
    <w:link w:val="41"/>
    <w:qFormat/>
    <w:uiPriority w:val="11"/>
    <w:rPr>
      <w:rFonts w:ascii="Cambria" w:hAnsi="Cambria"/>
      <w:b/>
      <w:bCs/>
      <w:kern w:val="28"/>
      <w:sz w:val="32"/>
      <w:szCs w:val="32"/>
    </w:rPr>
  </w:style>
  <w:style w:type="character" w:customStyle="1" w:styleId="158">
    <w:name w:val="fontborder"/>
    <w:basedOn w:val="59"/>
    <w:qFormat/>
    <w:uiPriority w:val="0"/>
    <w:rPr>
      <w:bdr w:val="single" w:color="000000" w:sz="6" w:space="0"/>
    </w:rPr>
  </w:style>
  <w:style w:type="character" w:customStyle="1" w:styleId="159">
    <w:name w:val="标题 Char1"/>
    <w:qFormat/>
    <w:uiPriority w:val="10"/>
    <w:rPr>
      <w:rFonts w:ascii="Cambria" w:hAnsi="Cambria" w:cs="Times New Roman"/>
      <w:b/>
      <w:bCs/>
      <w:kern w:val="2"/>
      <w:sz w:val="32"/>
      <w:szCs w:val="32"/>
    </w:rPr>
  </w:style>
  <w:style w:type="character" w:customStyle="1" w:styleId="160">
    <w:name w:val="标题 Char"/>
    <w:qFormat/>
    <w:uiPriority w:val="0"/>
    <w:rPr>
      <w:rFonts w:ascii="Cambria" w:hAnsi="Cambria"/>
      <w:b/>
      <w:bCs/>
      <w:kern w:val="2"/>
      <w:sz w:val="32"/>
      <w:szCs w:val="32"/>
    </w:rPr>
  </w:style>
  <w:style w:type="character" w:customStyle="1" w:styleId="161">
    <w:name w:val="标题 字符"/>
    <w:basedOn w:val="59"/>
    <w:link w:val="51"/>
    <w:qFormat/>
    <w:uiPriority w:val="10"/>
    <w:rPr>
      <w:rFonts w:asciiTheme="majorHAnsi" w:hAnsiTheme="majorHAnsi" w:cstheme="majorBidi"/>
      <w:b/>
      <w:bCs/>
      <w:kern w:val="2"/>
      <w:sz w:val="32"/>
      <w:szCs w:val="32"/>
    </w:rPr>
  </w:style>
  <w:style w:type="character" w:customStyle="1" w:styleId="162">
    <w:name w:val="副标题 Char1"/>
    <w:basedOn w:val="59"/>
    <w:qFormat/>
    <w:uiPriority w:val="11"/>
    <w:rPr>
      <w:rFonts w:asciiTheme="majorHAnsi" w:hAnsiTheme="majorHAnsi" w:cstheme="majorBidi"/>
      <w:b/>
      <w:bCs/>
      <w:kern w:val="28"/>
      <w:sz w:val="32"/>
      <w:szCs w:val="32"/>
    </w:rPr>
  </w:style>
  <w:style w:type="paragraph" w:customStyle="1" w:styleId="163">
    <w:name w:val="Heading 2_1"/>
    <w:basedOn w:val="149"/>
    <w:next w:val="149"/>
    <w:qFormat/>
    <w:uiPriority w:val="0"/>
    <w:pPr>
      <w:spacing w:before="360" w:after="120" w:line="360" w:lineRule="auto"/>
      <w:outlineLvl w:val="1"/>
    </w:pPr>
    <w:rPr>
      <w:rFonts w:ascii="Cambria" w:hAnsi="Cambria" w:eastAsia="黑体"/>
      <w:b/>
      <w:bCs/>
      <w:sz w:val="32"/>
      <w:szCs w:val="32"/>
    </w:rPr>
  </w:style>
  <w:style w:type="paragraph" w:customStyle="1" w:styleId="164">
    <w:name w:val="Normal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5">
    <w:name w:val="常用（宋体，5号，1.25行距）"/>
    <w:basedOn w:val="1"/>
    <w:qFormat/>
    <w:uiPriority w:val="0"/>
    <w:pPr>
      <w:widowControl/>
      <w:spacing w:line="300" w:lineRule="auto"/>
      <w:jc w:val="left"/>
    </w:pPr>
    <w:rPr>
      <w:kern w:val="0"/>
      <w:sz w:val="24"/>
      <w:szCs w:val="21"/>
      <w:lang w:eastAsia="en-US" w:bidi="en-US"/>
    </w:rPr>
  </w:style>
  <w:style w:type="paragraph" w:customStyle="1" w:styleId="166">
    <w:name w:val="Normal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7">
    <w:name w:val="Plain Text_0"/>
    <w:basedOn w:val="164"/>
    <w:qFormat/>
    <w:uiPriority w:val="0"/>
    <w:rPr>
      <w:rFonts w:ascii="宋体" w:hAnsi="Courier New" w:cs="Courier New"/>
      <w:szCs w:val="21"/>
    </w:rPr>
  </w:style>
  <w:style w:type="character" w:customStyle="1" w:styleId="168">
    <w:name w:val="_Style 1"/>
    <w:qFormat/>
    <w:uiPriority w:val="19"/>
    <w:rPr>
      <w:rFonts w:eastAsia="宋体"/>
      <w:iCs/>
      <w:color w:val="404040"/>
      <w:sz w:val="30"/>
    </w:rPr>
  </w:style>
  <w:style w:type="paragraph" w:customStyle="1" w:styleId="169">
    <w:name w:val="条款标题"/>
    <w:basedOn w:val="5"/>
    <w:qFormat/>
    <w:uiPriority w:val="0"/>
    <w:pPr>
      <w:tabs>
        <w:tab w:val="clear" w:pos="720"/>
      </w:tabs>
      <w:spacing w:before="151" w:beforeLines="50" w:after="151" w:afterLines="50"/>
      <w:ind w:firstLine="422" w:firstLineChars="200"/>
    </w:pPr>
    <w:rPr>
      <w:rFonts w:asciiTheme="minorEastAsia" w:hAnsiTheme="minorEastAsia" w:eastAsiaTheme="minorEastAsia"/>
      <w:bCs w:val="0"/>
      <w:sz w:val="21"/>
      <w:szCs w:val="21"/>
    </w:rPr>
  </w:style>
  <w:style w:type="paragraph" w:customStyle="1" w:styleId="170">
    <w:name w:val="列出段落"/>
    <w:basedOn w:val="148"/>
    <w:qFormat/>
    <w:uiPriority w:val="34"/>
    <w:pPr>
      <w:ind w:firstLine="420" w:firstLineChars="200"/>
    </w:pPr>
  </w:style>
  <w:style w:type="paragraph" w:customStyle="1" w:styleId="171">
    <w:name w:val="样式1"/>
    <w:basedOn w:val="37"/>
    <w:qFormat/>
    <w:uiPriority w:val="0"/>
    <w:pPr>
      <w:pBdr>
        <w:bottom w:val="thinThickSmallGap" w:color="auto" w:sz="24" w:space="1"/>
      </w:pBdr>
    </w:pPr>
    <w:rPr>
      <w:rFonts w:ascii="黑体" w:hAnsi="Times New Roman" w:eastAsia="黑体"/>
      <w:b/>
      <w:sz w:val="21"/>
      <w:szCs w:val="20"/>
    </w:rPr>
  </w:style>
  <w:style w:type="paragraph" w:customStyle="1" w:styleId="172">
    <w:name w:val="正文缩进1"/>
    <w:basedOn w:val="1"/>
    <w:qFormat/>
    <w:uiPriority w:val="0"/>
    <w:pPr>
      <w:ind w:firstLine="420" w:firstLineChars="200"/>
    </w:pPr>
  </w:style>
  <w:style w:type="paragraph" w:customStyle="1" w:styleId="173">
    <w:name w:val="WW-Default"/>
    <w:qFormat/>
    <w:uiPriority w:val="0"/>
    <w:pPr>
      <w:widowControl w:val="0"/>
      <w:suppressAutoHyphens/>
      <w:autoSpaceDE w:val="0"/>
    </w:pPr>
    <w:rPr>
      <w:rFonts w:ascii="Times New Roman" w:hAnsi="Times New Roman" w:eastAsia="宋体" w:cs="Times New Roman"/>
      <w:color w:val="000000"/>
      <w:sz w:val="24"/>
      <w:szCs w:val="24"/>
      <w:lang w:val="en-US" w:eastAsia="zh-CN" w:bidi="ar-SA"/>
    </w:rPr>
  </w:style>
  <w:style w:type="paragraph" w:customStyle="1" w:styleId="174">
    <w:name w:val="c-正文"/>
    <w:basedOn w:val="175"/>
    <w:qFormat/>
    <w:uiPriority w:val="0"/>
    <w:pPr>
      <w:spacing w:line="312" w:lineRule="auto"/>
      <w:ind w:firstLine="200" w:firstLineChars="200"/>
    </w:pPr>
    <w:rPr>
      <w:rFonts w:ascii="宋体" w:hAnsi="宋体" w:eastAsia="宋体"/>
      <w:color w:val="000000"/>
      <w:sz w:val="24"/>
      <w:szCs w:val="24"/>
    </w:rPr>
  </w:style>
  <w:style w:type="paragraph" w:customStyle="1" w:styleId="175">
    <w:name w:val="标准正文"/>
    <w:basedOn w:val="1"/>
    <w:qFormat/>
    <w:uiPriority w:val="0"/>
    <w:rPr>
      <w:rFonts w:eastAsia="仿宋_GB2312"/>
      <w:szCs w:val="20"/>
    </w:rPr>
  </w:style>
  <w:style w:type="paragraph" w:customStyle="1" w:styleId="176">
    <w:name w:val="Revision"/>
    <w:hidden/>
    <w:unhideWhenUsed/>
    <w:qFormat/>
    <w:uiPriority w:val="99"/>
    <w:rPr>
      <w:rFonts w:ascii="Calibri" w:hAnsi="Calibri" w:eastAsia="宋体" w:cs="Times New Roman"/>
      <w:kern w:val="2"/>
      <w:sz w:val="21"/>
      <w:szCs w:val="22"/>
      <w:lang w:val="en-US" w:eastAsia="zh-CN" w:bidi="ar-SA"/>
    </w:rPr>
  </w:style>
  <w:style w:type="paragraph" w:customStyle="1" w:styleId="177">
    <w:name w:val="日期1"/>
    <w:basedOn w:val="1"/>
    <w:next w:val="1"/>
    <w:qFormat/>
    <w:uiPriority w:val="0"/>
    <w:pPr>
      <w:adjustRightInd w:val="0"/>
      <w:spacing w:line="400" w:lineRule="exact"/>
      <w:jc w:val="right"/>
      <w:textAlignment w:val="baseline"/>
    </w:pPr>
    <w:rPr>
      <w:rFonts w:ascii="Times New Roman" w:hAnsi="Times New Roman" w:eastAsia="宋体" w:cs="Times New Roman"/>
      <w:kern w:val="0"/>
      <w:sz w:val="36"/>
      <w:szCs w:val="20"/>
    </w:rPr>
  </w:style>
  <w:style w:type="paragraph" w:customStyle="1" w:styleId="178">
    <w:name w:val="p0"/>
    <w:basedOn w:val="1"/>
    <w:qFormat/>
    <w:uiPriority w:val="0"/>
    <w:pPr>
      <w:widowControl/>
      <w:spacing w:after="200" w:line="360" w:lineRule="auto"/>
      <w:ind w:firstLine="420"/>
      <w:jc w:val="left"/>
    </w:pPr>
    <w:rPr>
      <w:rFonts w:ascii="Calibri" w:hAnsi="Calibri" w:eastAsia="宋体" w:cs="宋体"/>
      <w:kern w:val="0"/>
      <w:sz w:val="24"/>
      <w:szCs w:val="24"/>
    </w:rPr>
  </w:style>
  <w:style w:type="paragraph" w:customStyle="1" w:styleId="179">
    <w:name w:val="Normal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0">
    <w:name w:val="Normal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1">
    <w:name w:val="Normal_14"/>
    <w:qFormat/>
    <w:uiPriority w:val="0"/>
    <w:pPr>
      <w:spacing w:before="120" w:after="240"/>
      <w:jc w:val="both"/>
    </w:pPr>
    <w:rPr>
      <w:rFonts w:ascii="Times New Roman" w:hAnsi="Times New Roman" w:eastAsia="Calibri" w:cs="Times New Roman"/>
      <w:kern w:val="0"/>
      <w:sz w:val="22"/>
      <w:szCs w:val="22"/>
      <w:lang w:val="ru-RU" w:eastAsia="en-US" w:bidi="ar-SA"/>
    </w:rPr>
  </w:style>
  <w:style w:type="paragraph" w:customStyle="1" w:styleId="182">
    <w:name w:val="Table Text"/>
    <w:basedOn w:val="1"/>
    <w:semiHidden/>
    <w:qFormat/>
    <w:uiPriority w:val="0"/>
    <w:rPr>
      <w:rFonts w:ascii="宋体" w:hAnsi="宋体" w:eastAsia="宋体" w:cs="宋体"/>
      <w:sz w:val="13"/>
      <w:szCs w:val="13"/>
      <w:lang w:val="en-US" w:eastAsia="en-US" w:bidi="ar-SA"/>
    </w:rPr>
  </w:style>
  <w:style w:type="character" w:customStyle="1" w:styleId="183">
    <w:name w:val="font01"/>
    <w:basedOn w:val="59"/>
    <w:qFormat/>
    <w:uiPriority w:val="0"/>
    <w:rPr>
      <w:rFonts w:hint="eastAsia" w:ascii="宋体" w:hAnsi="宋体" w:eastAsia="宋体" w:cs="宋体"/>
      <w:color w:val="000000"/>
      <w:sz w:val="22"/>
      <w:szCs w:val="22"/>
      <w:u w:val="none"/>
    </w:rPr>
  </w:style>
  <w:style w:type="character" w:customStyle="1" w:styleId="184">
    <w:name w:val="font31"/>
    <w:basedOn w:val="59"/>
    <w:qFormat/>
    <w:uiPriority w:val="0"/>
    <w:rPr>
      <w:rFonts w:hint="eastAsia" w:ascii="宋体" w:hAnsi="宋体" w:eastAsia="宋体" w:cs="宋体"/>
      <w:b/>
      <w:bCs/>
      <w:color w:val="C00000"/>
      <w:sz w:val="22"/>
      <w:szCs w:val="22"/>
      <w:u w:val="none"/>
    </w:rPr>
  </w:style>
  <w:style w:type="character" w:customStyle="1" w:styleId="185">
    <w:name w:val="font21"/>
    <w:basedOn w:val="59"/>
    <w:qFormat/>
    <w:uiPriority w:val="0"/>
    <w:rPr>
      <w:rFonts w:hint="eastAsia" w:ascii="宋体" w:hAnsi="宋体" w:eastAsia="宋体" w:cs="宋体"/>
      <w:b/>
      <w:bCs/>
      <w:color w:val="000000"/>
      <w:sz w:val="22"/>
      <w:szCs w:val="22"/>
      <w:u w:val="none"/>
    </w:rPr>
  </w:style>
  <w:style w:type="paragraph" w:customStyle="1" w:styleId="186">
    <w:name w:val="Heading"/>
    <w:basedOn w:val="1"/>
    <w:next w:val="1"/>
    <w:qFormat/>
    <w:uiPriority w:val="0"/>
    <w:pPr>
      <w:spacing w:before="240" w:after="60"/>
      <w:jc w:val="center"/>
      <w:outlineLvl w:val="0"/>
    </w:pPr>
    <w:rPr>
      <w:rFonts w:ascii="Cambria" w:hAnsi="Cambria" w:cs="Cambria"/>
      <w:b/>
      <w:bCs/>
      <w:sz w:val="32"/>
      <w:szCs w:val="32"/>
    </w:rPr>
  </w:style>
  <w:style w:type="paragraph" w:customStyle="1" w:styleId="187">
    <w:name w:val="正文首行缩进 21"/>
    <w:basedOn w:val="26"/>
    <w:qFormat/>
    <w:uiPriority w:val="0"/>
    <w:pPr>
      <w:spacing w:before="0" w:after="120"/>
      <w:ind w:leftChars="200" w:right="0" w:rightChars="0" w:firstLineChars="200"/>
    </w:pPr>
    <w:rPr>
      <w:rFonts w:ascii="Times New Roman" w:hAnsi="Times New Roman" w:eastAsia="宋体" w:cs="Times New Roman"/>
      <w:color w:val="000000"/>
    </w:rPr>
  </w:style>
  <w:style w:type="paragraph" w:customStyle="1" w:styleId="188">
    <w:name w:val="正文1"/>
    <w:qFormat/>
    <w:uiPriority w:val="0"/>
    <w:pPr>
      <w:widowControl w:val="0"/>
      <w:suppressAutoHyphens/>
      <w:bidi w:val="0"/>
      <w:jc w:val="both"/>
    </w:pPr>
    <w:rPr>
      <w:rFonts w:ascii="Times New Roman" w:hAnsi="Times New Roman" w:eastAsia="宋体" w:cs="Times New Roman"/>
      <w:color w:val="auto"/>
      <w:kern w:val="2"/>
      <w:sz w:val="21"/>
      <w:szCs w:val="24"/>
      <w:lang w:val="en-US" w:eastAsia="zh-CN" w:bidi="ar-SA"/>
    </w:rPr>
  </w:style>
  <w:style w:type="paragraph" w:customStyle="1" w:styleId="189">
    <w:name w:val="正文_0"/>
    <w:qFormat/>
    <w:uiPriority w:val="0"/>
    <w:pPr>
      <w:widowControl w:val="0"/>
      <w:suppressAutoHyphens/>
      <w:bidi w:val="0"/>
      <w:jc w:val="both"/>
    </w:pPr>
    <w:rPr>
      <w:rFonts w:ascii="Times New Roman" w:hAnsi="Times New Roman" w:eastAsia="宋体" w:cs="Times New Roman"/>
      <w:color w:val="auto"/>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9.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header" Target="header8.xml"/><Relationship Id="rId14" Type="http://schemas.openxmlformats.org/officeDocument/2006/relationships/header" Target="header7.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69</Pages>
  <Words>13977</Words>
  <Characters>14762</Characters>
  <Lines>247</Lines>
  <Paragraphs>69</Paragraphs>
  <TotalTime>9</TotalTime>
  <ScaleCrop>false</ScaleCrop>
  <LinksUpToDate>false</LinksUpToDate>
  <CharactersWithSpaces>15311</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2024-05-10T08:17:00Z</dcterms:created>
  <dc:creator>微软用户</dc:creator>
  <cp:lastModifiedBy>實誠</cp:lastModifiedBy>
  <cp:lastPrinted>2019-11-21T08:55:00Z</cp:lastPrinted>
  <dcterms:modified xsi:type="dcterms:W3CDTF">2026-08-26T09:43:55Z</dcterms:modified>
  <dc:title>工程编号：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15D6573EDDF7A05A375C7C6A147580BD_43</vt:lpwstr>
  </property>
  <property fmtid="{D5CDD505-2E9C-101B-9397-08002B2CF9AE}" pid="4" name="KSOTemplateDocerSaveRecord">
    <vt:lpwstr>eyJoZGlkIjoiZmYwNjQ2OWE2OWU3NmJiMzkzOTM3YTU1NTJlZDg1MTYiLCJ1c2VySWQiOiIzMTc5MTEyMTcifQ==</vt:lpwstr>
  </property>
</Properties>
</file>