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865E8E4">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b w:val="0"/>
          <w:bCs/>
          <w:sz w:val="44"/>
          <w:szCs w:val="44"/>
          <w:lang w:val="en-US" w:eastAsia="zh-CN"/>
        </w:rPr>
      </w:pPr>
      <w:r>
        <w:rPr>
          <w:rFonts w:hint="eastAsia" w:ascii="宋体" w:hAnsi="宋体" w:eastAsia="宋体" w:cs="宋体"/>
          <w:b w:val="0"/>
          <w:bCs/>
          <w:sz w:val="44"/>
          <w:szCs w:val="44"/>
          <w:lang w:val="en-US" w:eastAsia="zh-CN"/>
        </w:rPr>
        <w:t>年度窗帘采购项目</w:t>
      </w:r>
    </w:p>
    <w:p w14:paraId="2DA8BB60">
      <w:pPr>
        <w:ind w:firstLine="640" w:firstLineChars="200"/>
        <w:rPr>
          <w:rFonts w:hint="eastAsia" w:ascii="仿宋_GB2312" w:hAnsi="仿宋_GB2312" w:eastAsia="仿宋_GB2312" w:cs="仿宋_GB2312"/>
          <w:sz w:val="32"/>
          <w:szCs w:val="32"/>
        </w:rPr>
      </w:pPr>
    </w:p>
    <w:p w14:paraId="124F6C14">
      <w:pPr>
        <w:ind w:firstLine="643" w:firstLineChars="200"/>
        <w:rPr>
          <w:rFonts w:hint="default" w:ascii="仿宋_GB2312" w:hAnsi="仿宋_GB2312" w:eastAsia="仿宋_GB2312" w:cs="仿宋_GB2312"/>
          <w:b/>
          <w:sz w:val="32"/>
          <w:szCs w:val="32"/>
          <w:lang w:val="en-US" w:eastAsia="zh-CN"/>
        </w:rPr>
      </w:pPr>
      <w:r>
        <w:rPr>
          <w:rFonts w:hint="eastAsia" w:ascii="仿宋_GB2312" w:hAnsi="仿宋_GB2312" w:eastAsia="仿宋_GB2312" w:cs="仿宋_GB2312"/>
          <w:b/>
          <w:sz w:val="32"/>
          <w:szCs w:val="32"/>
          <w:lang w:val="en-US" w:eastAsia="zh-CN"/>
        </w:rPr>
        <w:t>一</w:t>
      </w:r>
      <w:r>
        <w:rPr>
          <w:rFonts w:hint="eastAsia" w:ascii="仿宋_GB2312" w:hAnsi="仿宋_GB2312" w:eastAsia="仿宋_GB2312" w:cs="仿宋_GB2312"/>
          <w:b/>
          <w:sz w:val="32"/>
          <w:szCs w:val="32"/>
        </w:rPr>
        <w:t>、</w:t>
      </w:r>
      <w:r>
        <w:rPr>
          <w:rFonts w:hint="eastAsia" w:ascii="仿宋_GB2312" w:hAnsi="仿宋_GB2312" w:eastAsia="仿宋_GB2312" w:cs="仿宋_GB2312"/>
          <w:b/>
          <w:sz w:val="32"/>
          <w:szCs w:val="32"/>
          <w:lang w:val="en-US" w:eastAsia="zh-CN"/>
        </w:rPr>
        <w:t>报价要求</w:t>
      </w:r>
    </w:p>
    <w:p w14:paraId="09155663">
      <w:pPr>
        <w:keepNext w:val="0"/>
        <w:keepLines w:val="0"/>
        <w:pageBreakBefore w:val="0"/>
        <w:widowControl/>
        <w:kinsoku/>
        <w:wordWrap/>
        <w:overflowPunct/>
        <w:topLinePunct w:val="0"/>
        <w:autoSpaceDE/>
        <w:autoSpaceDN/>
        <w:bidi w:val="0"/>
        <w:adjustRightInd/>
        <w:snapToGrid/>
        <w:ind w:leftChars="0" w:firstLine="640" w:firstLineChars="200"/>
        <w:textAlignment w:val="auto"/>
        <w:rPr>
          <w:rFonts w:hint="default" w:ascii="仿宋_GB2312" w:hAnsi="仿宋_GB2312" w:eastAsia="仿宋_GB2312" w:cs="仿宋_GB2312"/>
          <w:bCs/>
          <w:color w:val="auto"/>
          <w:sz w:val="32"/>
          <w:szCs w:val="32"/>
          <w:highlight w:val="none"/>
          <w:lang w:val="en-US" w:eastAsia="zh-CN"/>
        </w:rPr>
      </w:pPr>
      <w:r>
        <w:rPr>
          <w:rFonts w:hint="eastAsia" w:ascii="仿宋_GB2312" w:hAnsi="仿宋_GB2312" w:eastAsia="仿宋_GB2312" w:cs="仿宋_GB2312"/>
          <w:sz w:val="32"/>
          <w:szCs w:val="32"/>
          <w:lang w:val="en-US" w:eastAsia="zh-CN"/>
        </w:rPr>
        <w:t>1.预算金额：8.9175万元。</w:t>
      </w:r>
    </w:p>
    <w:p w14:paraId="7F94086B">
      <w:pPr>
        <w:ind w:firstLine="643" w:firstLineChars="200"/>
        <w:rPr>
          <w:rFonts w:hint="eastAsia" w:ascii="仿宋_GB2312" w:hAnsi="仿宋_GB2312" w:eastAsia="仿宋_GB2312" w:cs="仿宋_GB2312"/>
          <w:b/>
          <w:sz w:val="32"/>
          <w:szCs w:val="32"/>
          <w:lang w:val="en-US" w:eastAsia="zh-CN"/>
        </w:rPr>
      </w:pPr>
      <w:bookmarkStart w:id="0" w:name="_Toc11426271"/>
      <w:r>
        <w:rPr>
          <w:rFonts w:hint="eastAsia" w:ascii="仿宋_GB2312" w:hAnsi="仿宋_GB2312" w:eastAsia="仿宋_GB2312" w:cs="仿宋_GB2312"/>
          <w:b/>
          <w:sz w:val="32"/>
          <w:szCs w:val="32"/>
          <w:lang w:val="en-US" w:eastAsia="zh-CN"/>
        </w:rPr>
        <w:t>二、项目清单</w:t>
      </w:r>
    </w:p>
    <w:tbl>
      <w:tblPr>
        <w:tblStyle w:val="14"/>
        <w:tblW w:w="415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5"/>
        <w:gridCol w:w="2533"/>
        <w:gridCol w:w="1136"/>
        <w:gridCol w:w="1262"/>
        <w:gridCol w:w="1328"/>
      </w:tblGrid>
      <w:tr w14:paraId="10812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53CADC67">
            <w:pPr>
              <w:jc w:val="center"/>
              <w:rPr>
                <w:bCs/>
                <w:szCs w:val="21"/>
              </w:rPr>
            </w:pPr>
            <w:r>
              <w:rPr>
                <w:rFonts w:hint="eastAsia"/>
                <w:bCs/>
                <w:szCs w:val="21"/>
              </w:rPr>
              <w:t>序号</w:t>
            </w:r>
          </w:p>
        </w:tc>
        <w:tc>
          <w:tcPr>
            <w:tcW w:w="1788" w:type="pct"/>
            <w:vAlign w:val="center"/>
          </w:tcPr>
          <w:p w14:paraId="510AC29B">
            <w:pPr>
              <w:jc w:val="center"/>
              <w:rPr>
                <w:bCs/>
                <w:szCs w:val="21"/>
              </w:rPr>
            </w:pPr>
            <w:r>
              <w:rPr>
                <w:rFonts w:hint="eastAsia"/>
                <w:bCs/>
                <w:szCs w:val="21"/>
              </w:rPr>
              <w:t>货物名称</w:t>
            </w:r>
          </w:p>
          <w:p w14:paraId="03E2622A">
            <w:pPr>
              <w:jc w:val="center"/>
              <w:rPr>
                <w:bCs/>
                <w:szCs w:val="21"/>
              </w:rPr>
            </w:pPr>
            <w:r>
              <w:rPr>
                <w:rFonts w:hint="eastAsia"/>
                <w:bCs/>
                <w:szCs w:val="21"/>
              </w:rPr>
              <w:t>（标的名称）</w:t>
            </w:r>
          </w:p>
        </w:tc>
        <w:tc>
          <w:tcPr>
            <w:tcW w:w="801" w:type="pct"/>
            <w:vAlign w:val="center"/>
          </w:tcPr>
          <w:p w14:paraId="74D1467A">
            <w:pPr>
              <w:jc w:val="center"/>
              <w:rPr>
                <w:bCs/>
                <w:szCs w:val="21"/>
              </w:rPr>
            </w:pPr>
            <w:r>
              <w:rPr>
                <w:rFonts w:hint="eastAsia"/>
                <w:bCs/>
                <w:szCs w:val="21"/>
              </w:rPr>
              <w:t>数量</w:t>
            </w:r>
          </w:p>
        </w:tc>
        <w:tc>
          <w:tcPr>
            <w:tcW w:w="890" w:type="pct"/>
            <w:vAlign w:val="center"/>
          </w:tcPr>
          <w:p w14:paraId="049975AD">
            <w:pPr>
              <w:jc w:val="center"/>
              <w:rPr>
                <w:bCs/>
                <w:szCs w:val="21"/>
              </w:rPr>
            </w:pPr>
            <w:r>
              <w:rPr>
                <w:rFonts w:hint="eastAsia"/>
                <w:bCs/>
                <w:szCs w:val="21"/>
              </w:rPr>
              <w:t>单位</w:t>
            </w:r>
          </w:p>
        </w:tc>
        <w:tc>
          <w:tcPr>
            <w:tcW w:w="937" w:type="pct"/>
            <w:vAlign w:val="center"/>
          </w:tcPr>
          <w:p w14:paraId="4E4611BC">
            <w:pPr>
              <w:jc w:val="center"/>
              <w:rPr>
                <w:b/>
                <w:bCs/>
                <w:color w:val="FF0000"/>
                <w:szCs w:val="21"/>
              </w:rPr>
            </w:pPr>
            <w:r>
              <w:rPr>
                <w:rFonts w:hint="eastAsia"/>
                <w:b/>
                <w:bCs/>
                <w:color w:val="FF0000"/>
                <w:szCs w:val="21"/>
              </w:rPr>
              <w:t>备注</w:t>
            </w:r>
          </w:p>
        </w:tc>
      </w:tr>
      <w:tr w14:paraId="5697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42D043E4">
            <w:pPr>
              <w:jc w:val="center"/>
              <w:rPr>
                <w:bCs/>
                <w:szCs w:val="21"/>
              </w:rPr>
            </w:pPr>
            <w:r>
              <w:rPr>
                <w:rFonts w:hint="eastAsia"/>
                <w:bCs/>
                <w:szCs w:val="21"/>
              </w:rPr>
              <w:t>1</w:t>
            </w:r>
          </w:p>
        </w:tc>
        <w:tc>
          <w:tcPr>
            <w:tcW w:w="1788" w:type="pct"/>
            <w:vAlign w:val="center"/>
          </w:tcPr>
          <w:p w14:paraId="6B8434BB">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遮光卷帘</w:t>
            </w:r>
          </w:p>
        </w:tc>
        <w:tc>
          <w:tcPr>
            <w:tcW w:w="801" w:type="pct"/>
            <w:vAlign w:val="center"/>
          </w:tcPr>
          <w:p w14:paraId="177B7CFB">
            <w:pPr>
              <w:keepNext w:val="0"/>
              <w:keepLines w:val="0"/>
              <w:widowControl/>
              <w:suppressLineNumbers w:val="0"/>
              <w:jc w:val="center"/>
              <w:textAlignment w:val="center"/>
              <w:rPr>
                <w:rFonts w:hint="default" w:asciiTheme="minorEastAsia" w:hAnsiTheme="minorEastAsia" w:eastAsiaTheme="minorEastAsia" w:cstheme="minorEastAsia"/>
                <w:color w:val="000000"/>
                <w:szCs w:val="21"/>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890" w:type="pct"/>
            <w:vAlign w:val="center"/>
          </w:tcPr>
          <w:p w14:paraId="169B3781">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平方米</w:t>
            </w:r>
          </w:p>
        </w:tc>
        <w:tc>
          <w:tcPr>
            <w:tcW w:w="937" w:type="pct"/>
            <w:vAlign w:val="center"/>
          </w:tcPr>
          <w:p w14:paraId="6A818C21">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2609F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4C996816">
            <w:pPr>
              <w:jc w:val="center"/>
              <w:rPr>
                <w:rFonts w:hint="eastAsia" w:eastAsia="宋体"/>
                <w:bCs/>
                <w:szCs w:val="21"/>
                <w:lang w:eastAsia="zh-CN"/>
              </w:rPr>
            </w:pPr>
            <w:r>
              <w:rPr>
                <w:rFonts w:hint="eastAsia"/>
                <w:bCs/>
                <w:szCs w:val="21"/>
                <w:lang w:val="en-US" w:eastAsia="zh-CN"/>
              </w:rPr>
              <w:t>2</w:t>
            </w:r>
          </w:p>
        </w:tc>
        <w:tc>
          <w:tcPr>
            <w:tcW w:w="1788" w:type="pct"/>
            <w:vAlign w:val="center"/>
          </w:tcPr>
          <w:p w14:paraId="641A3B68">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遮阳卷帘</w:t>
            </w:r>
          </w:p>
        </w:tc>
        <w:tc>
          <w:tcPr>
            <w:tcW w:w="801" w:type="pct"/>
            <w:vAlign w:val="center"/>
          </w:tcPr>
          <w:p w14:paraId="1B186E71">
            <w:pPr>
              <w:keepNext w:val="0"/>
              <w:keepLines w:val="0"/>
              <w:widowControl/>
              <w:suppressLineNumbers w:val="0"/>
              <w:jc w:val="center"/>
              <w:textAlignment w:val="center"/>
              <w:rPr>
                <w:rFonts w:hint="default" w:asciiTheme="minorEastAsia" w:hAnsiTheme="minorEastAsia" w:eastAsiaTheme="minorEastAsia" w:cstheme="minorEastAsia"/>
                <w:color w:val="000000"/>
                <w:szCs w:val="21"/>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890" w:type="pct"/>
            <w:vAlign w:val="center"/>
          </w:tcPr>
          <w:p w14:paraId="053723F1">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平方米</w:t>
            </w:r>
          </w:p>
        </w:tc>
        <w:tc>
          <w:tcPr>
            <w:tcW w:w="937" w:type="pct"/>
            <w:vAlign w:val="center"/>
          </w:tcPr>
          <w:p w14:paraId="65B92389">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4BEE1A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07D30A9A">
            <w:pPr>
              <w:jc w:val="center"/>
              <w:rPr>
                <w:rFonts w:hint="eastAsia" w:eastAsia="宋体"/>
                <w:bCs/>
                <w:szCs w:val="21"/>
                <w:lang w:eastAsia="zh-CN"/>
              </w:rPr>
            </w:pPr>
            <w:r>
              <w:rPr>
                <w:rFonts w:hint="eastAsia"/>
                <w:bCs/>
                <w:szCs w:val="21"/>
                <w:lang w:val="en-US" w:eastAsia="zh-CN"/>
              </w:rPr>
              <w:t>3</w:t>
            </w:r>
          </w:p>
        </w:tc>
        <w:tc>
          <w:tcPr>
            <w:tcW w:w="1788" w:type="pct"/>
            <w:vAlign w:val="center"/>
          </w:tcPr>
          <w:p w14:paraId="0200270E">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遮光窗帘</w:t>
            </w:r>
          </w:p>
        </w:tc>
        <w:tc>
          <w:tcPr>
            <w:tcW w:w="801" w:type="pct"/>
            <w:vAlign w:val="center"/>
          </w:tcPr>
          <w:p w14:paraId="737011DF">
            <w:pPr>
              <w:keepNext w:val="0"/>
              <w:keepLines w:val="0"/>
              <w:widowControl/>
              <w:suppressLineNumbers w:val="0"/>
              <w:jc w:val="center"/>
              <w:textAlignment w:val="center"/>
              <w:rPr>
                <w:rFonts w:hint="default" w:asciiTheme="minorEastAsia" w:hAnsiTheme="minorEastAsia" w:eastAsiaTheme="minorEastAsia" w:cstheme="minorEastAsia"/>
                <w:color w:val="000000"/>
                <w:szCs w:val="21"/>
                <w:lang w:val="en-US" w:eastAsia="zh-CN"/>
              </w:rPr>
            </w:pPr>
            <w:r>
              <w:rPr>
                <w:rFonts w:hint="eastAsia" w:ascii="宋体" w:hAnsi="宋体" w:eastAsia="宋体" w:cs="宋体"/>
                <w:i w:val="0"/>
                <w:iCs w:val="0"/>
                <w:color w:val="000000"/>
                <w:kern w:val="0"/>
                <w:sz w:val="22"/>
                <w:szCs w:val="22"/>
                <w:u w:val="none"/>
                <w:lang w:val="en-US" w:eastAsia="zh-CN" w:bidi="ar"/>
              </w:rPr>
              <w:t>100</w:t>
            </w:r>
          </w:p>
        </w:tc>
        <w:tc>
          <w:tcPr>
            <w:tcW w:w="890" w:type="pct"/>
            <w:vAlign w:val="center"/>
          </w:tcPr>
          <w:p w14:paraId="1417B056">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米</w:t>
            </w:r>
          </w:p>
        </w:tc>
        <w:tc>
          <w:tcPr>
            <w:tcW w:w="937" w:type="pct"/>
            <w:vAlign w:val="center"/>
          </w:tcPr>
          <w:p w14:paraId="20922750">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1530BC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4B680B11">
            <w:pPr>
              <w:jc w:val="center"/>
              <w:rPr>
                <w:rFonts w:hint="eastAsia" w:eastAsia="宋体"/>
                <w:bCs/>
                <w:szCs w:val="21"/>
                <w:lang w:eastAsia="zh-CN"/>
              </w:rPr>
            </w:pPr>
            <w:r>
              <w:rPr>
                <w:rFonts w:hint="eastAsia"/>
                <w:bCs/>
                <w:szCs w:val="21"/>
                <w:lang w:val="en-US" w:eastAsia="zh-CN"/>
              </w:rPr>
              <w:t>4</w:t>
            </w:r>
          </w:p>
        </w:tc>
        <w:tc>
          <w:tcPr>
            <w:tcW w:w="1788" w:type="pct"/>
            <w:vAlign w:val="center"/>
          </w:tcPr>
          <w:p w14:paraId="150B8678">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医用隔帘</w:t>
            </w:r>
          </w:p>
        </w:tc>
        <w:tc>
          <w:tcPr>
            <w:tcW w:w="801" w:type="pct"/>
            <w:vAlign w:val="center"/>
          </w:tcPr>
          <w:p w14:paraId="6039CFC4">
            <w:pPr>
              <w:keepNext w:val="0"/>
              <w:keepLines w:val="0"/>
              <w:widowControl/>
              <w:suppressLineNumbers w:val="0"/>
              <w:jc w:val="center"/>
              <w:textAlignment w:val="center"/>
              <w:rPr>
                <w:rFonts w:hint="default" w:asciiTheme="minorEastAsia" w:hAnsiTheme="minorEastAsia" w:eastAsiaTheme="minorEastAsia" w:cstheme="minorEastAsia"/>
                <w:color w:val="000000"/>
                <w:szCs w:val="21"/>
                <w:lang w:val="en-US" w:eastAsia="zh-CN"/>
              </w:rPr>
            </w:pPr>
            <w:r>
              <w:rPr>
                <w:rFonts w:hint="eastAsia" w:ascii="宋体" w:hAnsi="宋体" w:eastAsia="宋体" w:cs="宋体"/>
                <w:i w:val="0"/>
                <w:iCs w:val="0"/>
                <w:color w:val="000000"/>
                <w:kern w:val="0"/>
                <w:sz w:val="22"/>
                <w:szCs w:val="22"/>
                <w:u w:val="none"/>
                <w:lang w:val="en-US" w:eastAsia="zh-CN" w:bidi="ar"/>
              </w:rPr>
              <w:t>400</w:t>
            </w:r>
          </w:p>
        </w:tc>
        <w:tc>
          <w:tcPr>
            <w:tcW w:w="890" w:type="pct"/>
            <w:vAlign w:val="center"/>
          </w:tcPr>
          <w:p w14:paraId="669710AB">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米</w:t>
            </w:r>
          </w:p>
        </w:tc>
        <w:tc>
          <w:tcPr>
            <w:tcW w:w="937" w:type="pct"/>
            <w:vAlign w:val="center"/>
          </w:tcPr>
          <w:p w14:paraId="3033EEA3">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4A0805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179F0969">
            <w:pPr>
              <w:jc w:val="center"/>
              <w:rPr>
                <w:rFonts w:hint="eastAsia" w:eastAsia="宋体"/>
                <w:bCs/>
                <w:szCs w:val="21"/>
                <w:lang w:eastAsia="zh-CN"/>
              </w:rPr>
            </w:pPr>
            <w:r>
              <w:rPr>
                <w:rFonts w:hint="eastAsia"/>
                <w:bCs/>
                <w:szCs w:val="21"/>
                <w:lang w:val="en-US" w:eastAsia="zh-CN"/>
              </w:rPr>
              <w:t>5</w:t>
            </w:r>
          </w:p>
        </w:tc>
        <w:tc>
          <w:tcPr>
            <w:tcW w:w="1788" w:type="pct"/>
            <w:vAlign w:val="center"/>
          </w:tcPr>
          <w:p w14:paraId="5ACF987E">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玻璃磨砂贴膜</w:t>
            </w:r>
          </w:p>
        </w:tc>
        <w:tc>
          <w:tcPr>
            <w:tcW w:w="801" w:type="pct"/>
            <w:vAlign w:val="center"/>
          </w:tcPr>
          <w:p w14:paraId="136CEA82">
            <w:pPr>
              <w:keepNext w:val="0"/>
              <w:keepLines w:val="0"/>
              <w:widowControl/>
              <w:suppressLineNumbers w:val="0"/>
              <w:jc w:val="center"/>
              <w:textAlignment w:val="center"/>
              <w:rPr>
                <w:rFonts w:hint="default" w:asciiTheme="minorEastAsia" w:hAnsiTheme="minorEastAsia" w:eastAsiaTheme="minorEastAsia" w:cstheme="minorEastAsia"/>
                <w:color w:val="000000"/>
                <w:szCs w:val="21"/>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890" w:type="pct"/>
            <w:vAlign w:val="center"/>
          </w:tcPr>
          <w:p w14:paraId="426D6178">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平方米</w:t>
            </w:r>
          </w:p>
        </w:tc>
        <w:tc>
          <w:tcPr>
            <w:tcW w:w="937" w:type="pct"/>
            <w:vAlign w:val="center"/>
          </w:tcPr>
          <w:p w14:paraId="542DAA04">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7BCA2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527BEEA6">
            <w:pPr>
              <w:jc w:val="center"/>
              <w:rPr>
                <w:rFonts w:hint="eastAsia" w:eastAsia="宋体"/>
                <w:bCs/>
                <w:szCs w:val="21"/>
                <w:lang w:eastAsia="zh-CN"/>
              </w:rPr>
            </w:pPr>
            <w:r>
              <w:rPr>
                <w:rFonts w:hint="eastAsia"/>
                <w:bCs/>
                <w:szCs w:val="21"/>
                <w:lang w:val="en-US" w:eastAsia="zh-CN"/>
              </w:rPr>
              <w:t>6</w:t>
            </w:r>
          </w:p>
        </w:tc>
        <w:tc>
          <w:tcPr>
            <w:tcW w:w="1788" w:type="pct"/>
            <w:vAlign w:val="center"/>
          </w:tcPr>
          <w:p w14:paraId="152BD5A6">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纱帘</w:t>
            </w:r>
          </w:p>
        </w:tc>
        <w:tc>
          <w:tcPr>
            <w:tcW w:w="801" w:type="pct"/>
            <w:vAlign w:val="center"/>
          </w:tcPr>
          <w:p w14:paraId="46BC4AF9">
            <w:pPr>
              <w:keepNext w:val="0"/>
              <w:keepLines w:val="0"/>
              <w:widowControl/>
              <w:suppressLineNumbers w:val="0"/>
              <w:jc w:val="center"/>
              <w:textAlignment w:val="center"/>
              <w:rPr>
                <w:rFonts w:hint="default" w:asciiTheme="minorEastAsia" w:hAnsiTheme="minorEastAsia" w:eastAsiaTheme="minorEastAsia" w:cstheme="minorEastAsia"/>
                <w:color w:val="000000"/>
                <w:szCs w:val="21"/>
                <w:lang w:val="en-US" w:eastAsia="zh-CN"/>
              </w:rPr>
            </w:pPr>
            <w:r>
              <w:rPr>
                <w:rFonts w:hint="eastAsia" w:ascii="宋体" w:hAnsi="宋体" w:eastAsia="宋体" w:cs="宋体"/>
                <w:i w:val="0"/>
                <w:iCs w:val="0"/>
                <w:color w:val="000000"/>
                <w:kern w:val="0"/>
                <w:sz w:val="22"/>
                <w:szCs w:val="22"/>
                <w:u w:val="none"/>
                <w:lang w:val="en-US" w:eastAsia="zh-CN" w:bidi="ar"/>
              </w:rPr>
              <w:t>50</w:t>
            </w:r>
          </w:p>
        </w:tc>
        <w:tc>
          <w:tcPr>
            <w:tcW w:w="890" w:type="pct"/>
            <w:vAlign w:val="center"/>
          </w:tcPr>
          <w:p w14:paraId="16FE02E3">
            <w:pPr>
              <w:keepNext w:val="0"/>
              <w:keepLines w:val="0"/>
              <w:widowControl/>
              <w:suppressLineNumbers w:val="0"/>
              <w:jc w:val="center"/>
              <w:textAlignment w:val="center"/>
              <w:rPr>
                <w:rFonts w:asciiTheme="minorEastAsia" w:hAnsiTheme="minorEastAsia" w:eastAsiaTheme="minorEastAsia" w:cstheme="minorEastAsia"/>
                <w:color w:val="000000"/>
                <w:szCs w:val="21"/>
              </w:rPr>
            </w:pPr>
            <w:r>
              <w:rPr>
                <w:rFonts w:hint="eastAsia" w:ascii="宋体" w:hAnsi="宋体" w:eastAsia="宋体" w:cs="宋体"/>
                <w:i w:val="0"/>
                <w:iCs w:val="0"/>
                <w:color w:val="000000"/>
                <w:kern w:val="0"/>
                <w:sz w:val="22"/>
                <w:szCs w:val="22"/>
                <w:u w:val="none"/>
                <w:lang w:val="en-US" w:eastAsia="zh-CN" w:bidi="ar"/>
              </w:rPr>
              <w:t>米</w:t>
            </w:r>
          </w:p>
        </w:tc>
        <w:tc>
          <w:tcPr>
            <w:tcW w:w="937" w:type="pct"/>
            <w:vAlign w:val="center"/>
          </w:tcPr>
          <w:p w14:paraId="66CCFF1F">
            <w:pPr>
              <w:widowControl/>
              <w:jc w:val="center"/>
              <w:textAlignment w:val="center"/>
              <w:rPr>
                <w:rFonts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1C370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1A1C4ECC">
            <w:pPr>
              <w:jc w:val="center"/>
              <w:rPr>
                <w:rFonts w:hint="eastAsia" w:eastAsia="宋体"/>
                <w:bCs/>
                <w:szCs w:val="21"/>
                <w:lang w:val="en-US" w:eastAsia="zh-CN"/>
              </w:rPr>
            </w:pPr>
            <w:r>
              <w:rPr>
                <w:rFonts w:hint="eastAsia"/>
                <w:bCs/>
                <w:szCs w:val="21"/>
                <w:lang w:val="en-US" w:eastAsia="zh-CN"/>
              </w:rPr>
              <w:t>7</w:t>
            </w:r>
          </w:p>
        </w:tc>
        <w:tc>
          <w:tcPr>
            <w:tcW w:w="1788" w:type="pct"/>
            <w:vAlign w:val="center"/>
          </w:tcPr>
          <w:p w14:paraId="1ED7F240">
            <w:pPr>
              <w:keepNext w:val="0"/>
              <w:keepLines w:val="0"/>
              <w:widowControl/>
              <w:suppressLineNumbers w:val="0"/>
              <w:jc w:val="center"/>
              <w:textAlignment w:val="center"/>
              <w:rPr>
                <w:rFonts w:hint="default" w:ascii="宋体" w:hAnsi="宋体" w:eastAsia="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布帘轨道(加厚静音)</w:t>
            </w:r>
          </w:p>
        </w:tc>
        <w:tc>
          <w:tcPr>
            <w:tcW w:w="801" w:type="pct"/>
            <w:vAlign w:val="center"/>
          </w:tcPr>
          <w:p w14:paraId="24CDA4A0">
            <w:pPr>
              <w:keepNext w:val="0"/>
              <w:keepLines w:val="0"/>
              <w:widowControl/>
              <w:suppressLineNumbers w:val="0"/>
              <w:jc w:val="center"/>
              <w:textAlignment w:val="center"/>
              <w:rPr>
                <w:rFonts w:hint="default"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175</w:t>
            </w:r>
          </w:p>
        </w:tc>
        <w:tc>
          <w:tcPr>
            <w:tcW w:w="890" w:type="pct"/>
            <w:vAlign w:val="center"/>
          </w:tcPr>
          <w:p w14:paraId="4C302219">
            <w:pPr>
              <w:keepNext w:val="0"/>
              <w:keepLines w:val="0"/>
              <w:widowControl/>
              <w:suppressLineNumbers w:val="0"/>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米</w:t>
            </w:r>
          </w:p>
        </w:tc>
        <w:tc>
          <w:tcPr>
            <w:tcW w:w="937" w:type="pct"/>
            <w:vAlign w:val="center"/>
          </w:tcPr>
          <w:p w14:paraId="1F2DE526">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4CE6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5E5405A9">
            <w:pPr>
              <w:jc w:val="center"/>
              <w:rPr>
                <w:rFonts w:hint="default" w:eastAsia="宋体"/>
                <w:bCs/>
                <w:szCs w:val="21"/>
                <w:lang w:val="en-US" w:eastAsia="zh-CN"/>
              </w:rPr>
            </w:pPr>
            <w:r>
              <w:rPr>
                <w:rFonts w:hint="eastAsia"/>
                <w:bCs/>
                <w:szCs w:val="21"/>
                <w:lang w:val="en-US" w:eastAsia="zh-CN"/>
              </w:rPr>
              <w:t>8</w:t>
            </w:r>
          </w:p>
        </w:tc>
        <w:tc>
          <w:tcPr>
            <w:tcW w:w="1788" w:type="pct"/>
            <w:vAlign w:val="center"/>
          </w:tcPr>
          <w:p w14:paraId="1A09C48C">
            <w:pPr>
              <w:keepNext w:val="0"/>
              <w:keepLines w:val="0"/>
              <w:widowControl/>
              <w:suppressLineNumbers w:val="0"/>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加厚铝合金轨道</w:t>
            </w:r>
          </w:p>
        </w:tc>
        <w:tc>
          <w:tcPr>
            <w:tcW w:w="801" w:type="pct"/>
            <w:vAlign w:val="center"/>
          </w:tcPr>
          <w:p w14:paraId="6C23D9D7">
            <w:pPr>
              <w:keepNext w:val="0"/>
              <w:keepLines w:val="0"/>
              <w:widowControl/>
              <w:suppressLineNumbers w:val="0"/>
              <w:jc w:val="center"/>
              <w:textAlignment w:val="center"/>
              <w:rPr>
                <w:rFonts w:hint="default"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890" w:type="pct"/>
            <w:vAlign w:val="center"/>
          </w:tcPr>
          <w:p w14:paraId="21EF23C6">
            <w:pPr>
              <w:keepNext w:val="0"/>
              <w:keepLines w:val="0"/>
              <w:widowControl/>
              <w:suppressLineNumbers w:val="0"/>
              <w:jc w:val="center"/>
              <w:textAlignment w:val="center"/>
              <w:rPr>
                <w:rFonts w:hint="eastAsia" w:ascii="宋体" w:hAnsi="宋体" w:eastAsia="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米</w:t>
            </w:r>
          </w:p>
        </w:tc>
        <w:tc>
          <w:tcPr>
            <w:tcW w:w="937" w:type="pct"/>
            <w:vAlign w:val="center"/>
          </w:tcPr>
          <w:p w14:paraId="6B5DA7B9">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3D1BA6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039E4302">
            <w:pPr>
              <w:jc w:val="center"/>
              <w:rPr>
                <w:rFonts w:hint="default"/>
                <w:bCs/>
                <w:szCs w:val="21"/>
                <w:lang w:val="en-US" w:eastAsia="zh-CN"/>
              </w:rPr>
            </w:pPr>
            <w:r>
              <w:rPr>
                <w:rFonts w:hint="eastAsia"/>
                <w:bCs/>
                <w:szCs w:val="21"/>
                <w:lang w:val="en-US" w:eastAsia="zh-CN"/>
              </w:rPr>
              <w:t>9</w:t>
            </w:r>
          </w:p>
        </w:tc>
        <w:tc>
          <w:tcPr>
            <w:tcW w:w="1788" w:type="pct"/>
            <w:vAlign w:val="center"/>
          </w:tcPr>
          <w:p w14:paraId="63319973">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电动卷帘系统(含电动遥控装置)</w:t>
            </w:r>
          </w:p>
        </w:tc>
        <w:tc>
          <w:tcPr>
            <w:tcW w:w="801" w:type="pct"/>
            <w:vAlign w:val="center"/>
          </w:tcPr>
          <w:p w14:paraId="1B29D4A4">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890" w:type="pct"/>
            <w:vAlign w:val="center"/>
          </w:tcPr>
          <w:p w14:paraId="746CD537">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937" w:type="pct"/>
            <w:vAlign w:val="center"/>
          </w:tcPr>
          <w:p w14:paraId="670DCD63">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68CC07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7378B594">
            <w:pPr>
              <w:jc w:val="center"/>
              <w:rPr>
                <w:rFonts w:hint="default"/>
                <w:bCs/>
                <w:szCs w:val="21"/>
                <w:lang w:val="en-US" w:eastAsia="zh-CN"/>
              </w:rPr>
            </w:pPr>
            <w:r>
              <w:rPr>
                <w:rFonts w:hint="eastAsia"/>
                <w:bCs/>
                <w:szCs w:val="21"/>
                <w:lang w:val="en-US" w:eastAsia="zh-CN"/>
              </w:rPr>
              <w:t>10</w:t>
            </w:r>
          </w:p>
        </w:tc>
        <w:tc>
          <w:tcPr>
            <w:tcW w:w="1788" w:type="pct"/>
            <w:vAlign w:val="center"/>
          </w:tcPr>
          <w:p w14:paraId="63DACFEF">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电动卷轴</w:t>
            </w:r>
          </w:p>
        </w:tc>
        <w:tc>
          <w:tcPr>
            <w:tcW w:w="801" w:type="pct"/>
            <w:vAlign w:val="center"/>
          </w:tcPr>
          <w:p w14:paraId="3706FE11">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10</w:t>
            </w:r>
          </w:p>
        </w:tc>
        <w:tc>
          <w:tcPr>
            <w:tcW w:w="890" w:type="pct"/>
            <w:vAlign w:val="center"/>
          </w:tcPr>
          <w:p w14:paraId="7D4842BB">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套</w:t>
            </w:r>
          </w:p>
        </w:tc>
        <w:tc>
          <w:tcPr>
            <w:tcW w:w="937" w:type="pct"/>
            <w:vAlign w:val="center"/>
          </w:tcPr>
          <w:p w14:paraId="5A73F390">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510C70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700F11AB">
            <w:pPr>
              <w:jc w:val="center"/>
              <w:rPr>
                <w:rFonts w:hint="default"/>
                <w:bCs/>
                <w:szCs w:val="21"/>
                <w:lang w:val="en-US" w:eastAsia="zh-CN"/>
              </w:rPr>
            </w:pPr>
            <w:r>
              <w:rPr>
                <w:rFonts w:hint="eastAsia"/>
                <w:bCs/>
                <w:szCs w:val="21"/>
                <w:lang w:val="en-US" w:eastAsia="zh-CN"/>
              </w:rPr>
              <w:t>11</w:t>
            </w:r>
          </w:p>
        </w:tc>
        <w:tc>
          <w:tcPr>
            <w:tcW w:w="1788" w:type="pct"/>
            <w:vAlign w:val="center"/>
          </w:tcPr>
          <w:p w14:paraId="58D2763C">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PVC百叶窗</w:t>
            </w:r>
          </w:p>
        </w:tc>
        <w:tc>
          <w:tcPr>
            <w:tcW w:w="801" w:type="pct"/>
            <w:vAlign w:val="center"/>
          </w:tcPr>
          <w:p w14:paraId="7CC0F034">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50</w:t>
            </w:r>
          </w:p>
        </w:tc>
        <w:tc>
          <w:tcPr>
            <w:tcW w:w="890" w:type="pct"/>
            <w:vAlign w:val="center"/>
          </w:tcPr>
          <w:p w14:paraId="30F4C703">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平方米</w:t>
            </w:r>
          </w:p>
        </w:tc>
        <w:tc>
          <w:tcPr>
            <w:tcW w:w="937" w:type="pct"/>
            <w:vAlign w:val="center"/>
          </w:tcPr>
          <w:p w14:paraId="26A11789">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4AC4D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312702D6">
            <w:pPr>
              <w:jc w:val="center"/>
              <w:rPr>
                <w:rFonts w:hint="default"/>
                <w:bCs/>
                <w:szCs w:val="21"/>
                <w:lang w:val="en-US" w:eastAsia="zh-CN"/>
              </w:rPr>
            </w:pPr>
            <w:r>
              <w:rPr>
                <w:rFonts w:hint="eastAsia"/>
                <w:bCs/>
                <w:szCs w:val="21"/>
                <w:lang w:val="en-US" w:eastAsia="zh-CN"/>
              </w:rPr>
              <w:t>12</w:t>
            </w:r>
          </w:p>
        </w:tc>
        <w:tc>
          <w:tcPr>
            <w:tcW w:w="1788" w:type="pct"/>
            <w:vAlign w:val="center"/>
          </w:tcPr>
          <w:p w14:paraId="2A854010">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加厚百叶窗帘</w:t>
            </w:r>
          </w:p>
        </w:tc>
        <w:tc>
          <w:tcPr>
            <w:tcW w:w="801" w:type="pct"/>
            <w:vAlign w:val="center"/>
          </w:tcPr>
          <w:p w14:paraId="04259799">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50</w:t>
            </w:r>
          </w:p>
        </w:tc>
        <w:tc>
          <w:tcPr>
            <w:tcW w:w="890" w:type="pct"/>
            <w:vAlign w:val="center"/>
          </w:tcPr>
          <w:p w14:paraId="5204A446">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平方米</w:t>
            </w:r>
          </w:p>
        </w:tc>
        <w:tc>
          <w:tcPr>
            <w:tcW w:w="937" w:type="pct"/>
            <w:vAlign w:val="center"/>
          </w:tcPr>
          <w:p w14:paraId="41087300">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33FCF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1576C740">
            <w:pPr>
              <w:jc w:val="center"/>
              <w:rPr>
                <w:rFonts w:hint="default"/>
                <w:bCs/>
                <w:szCs w:val="21"/>
                <w:lang w:val="en-US" w:eastAsia="zh-CN"/>
              </w:rPr>
            </w:pPr>
            <w:r>
              <w:rPr>
                <w:rFonts w:hint="eastAsia"/>
                <w:bCs/>
                <w:szCs w:val="21"/>
                <w:lang w:val="en-US" w:eastAsia="zh-CN"/>
              </w:rPr>
              <w:t>13</w:t>
            </w:r>
          </w:p>
        </w:tc>
        <w:tc>
          <w:tcPr>
            <w:tcW w:w="1788" w:type="pct"/>
            <w:vAlign w:val="center"/>
          </w:tcPr>
          <w:p w14:paraId="29FF0A3F">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布带钩子</w:t>
            </w:r>
          </w:p>
        </w:tc>
        <w:tc>
          <w:tcPr>
            <w:tcW w:w="801" w:type="pct"/>
            <w:vAlign w:val="center"/>
          </w:tcPr>
          <w:p w14:paraId="7CF75DE5">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200</w:t>
            </w:r>
          </w:p>
        </w:tc>
        <w:tc>
          <w:tcPr>
            <w:tcW w:w="890" w:type="pct"/>
            <w:vAlign w:val="center"/>
          </w:tcPr>
          <w:p w14:paraId="33C0813C">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米</w:t>
            </w:r>
          </w:p>
        </w:tc>
        <w:tc>
          <w:tcPr>
            <w:tcW w:w="937" w:type="pct"/>
            <w:vAlign w:val="center"/>
          </w:tcPr>
          <w:p w14:paraId="6265F7E9">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766D88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680E314A">
            <w:pPr>
              <w:jc w:val="center"/>
              <w:rPr>
                <w:rFonts w:hint="default"/>
                <w:bCs/>
                <w:szCs w:val="21"/>
                <w:lang w:val="en-US" w:eastAsia="zh-CN"/>
              </w:rPr>
            </w:pPr>
            <w:r>
              <w:rPr>
                <w:rFonts w:hint="eastAsia"/>
                <w:bCs/>
                <w:szCs w:val="21"/>
                <w:lang w:val="en-US" w:eastAsia="zh-CN"/>
              </w:rPr>
              <w:t>14</w:t>
            </w:r>
          </w:p>
        </w:tc>
        <w:tc>
          <w:tcPr>
            <w:tcW w:w="1788" w:type="pct"/>
            <w:vAlign w:val="center"/>
          </w:tcPr>
          <w:p w14:paraId="7B7DCBE4">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地毯</w:t>
            </w:r>
          </w:p>
        </w:tc>
        <w:tc>
          <w:tcPr>
            <w:tcW w:w="801" w:type="pct"/>
            <w:vAlign w:val="center"/>
          </w:tcPr>
          <w:p w14:paraId="66CD2A49">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60</w:t>
            </w:r>
          </w:p>
        </w:tc>
        <w:tc>
          <w:tcPr>
            <w:tcW w:w="890" w:type="pct"/>
            <w:vAlign w:val="center"/>
          </w:tcPr>
          <w:p w14:paraId="4B959D63">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平方米</w:t>
            </w:r>
          </w:p>
        </w:tc>
        <w:tc>
          <w:tcPr>
            <w:tcW w:w="937" w:type="pct"/>
            <w:vAlign w:val="center"/>
          </w:tcPr>
          <w:p w14:paraId="1C2F5F53">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r w14:paraId="1E346C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82" w:type="pct"/>
            <w:vAlign w:val="center"/>
          </w:tcPr>
          <w:p w14:paraId="5EB2F5CB">
            <w:pPr>
              <w:jc w:val="center"/>
              <w:rPr>
                <w:rFonts w:hint="default"/>
                <w:bCs/>
                <w:szCs w:val="21"/>
                <w:lang w:val="en-US" w:eastAsia="zh-CN"/>
              </w:rPr>
            </w:pPr>
            <w:r>
              <w:rPr>
                <w:rFonts w:hint="eastAsia"/>
                <w:bCs/>
                <w:szCs w:val="21"/>
                <w:lang w:val="en-US" w:eastAsia="zh-CN"/>
              </w:rPr>
              <w:t>15</w:t>
            </w:r>
          </w:p>
        </w:tc>
        <w:tc>
          <w:tcPr>
            <w:tcW w:w="1788" w:type="pct"/>
            <w:vAlign w:val="center"/>
          </w:tcPr>
          <w:p w14:paraId="441E7426">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布艺窗帘</w:t>
            </w:r>
          </w:p>
        </w:tc>
        <w:tc>
          <w:tcPr>
            <w:tcW w:w="801" w:type="pct"/>
            <w:vAlign w:val="center"/>
          </w:tcPr>
          <w:p w14:paraId="02411D39">
            <w:pPr>
              <w:keepNext w:val="0"/>
              <w:keepLines w:val="0"/>
              <w:widowControl/>
              <w:suppressLineNumbers w:val="0"/>
              <w:jc w:val="center"/>
              <w:textAlignment w:val="center"/>
              <w:rPr>
                <w:rFonts w:hint="eastAsia" w:asciiTheme="minorEastAsia" w:hAnsiTheme="minorEastAsia" w:eastAsiaTheme="minorEastAsia" w:cstheme="minorEastAsia"/>
                <w:color w:val="000000"/>
                <w:szCs w:val="21"/>
                <w:highlight w:val="yellow"/>
                <w:lang w:val="en-US" w:eastAsia="zh-CN"/>
              </w:rPr>
            </w:pPr>
            <w:r>
              <w:rPr>
                <w:rFonts w:hint="eastAsia" w:ascii="宋体" w:hAnsi="宋体" w:eastAsia="宋体" w:cs="宋体"/>
                <w:i w:val="0"/>
                <w:iCs w:val="0"/>
                <w:color w:val="000000"/>
                <w:kern w:val="0"/>
                <w:sz w:val="22"/>
                <w:szCs w:val="22"/>
                <w:u w:val="none"/>
                <w:lang w:val="en-US" w:eastAsia="zh-CN" w:bidi="ar"/>
              </w:rPr>
              <w:t>180</w:t>
            </w:r>
          </w:p>
        </w:tc>
        <w:tc>
          <w:tcPr>
            <w:tcW w:w="890" w:type="pct"/>
            <w:vAlign w:val="center"/>
          </w:tcPr>
          <w:p w14:paraId="5A0AE63C">
            <w:pPr>
              <w:keepNext w:val="0"/>
              <w:keepLines w:val="0"/>
              <w:widowControl/>
              <w:suppressLineNumbers w:val="0"/>
              <w:jc w:val="center"/>
              <w:textAlignment w:val="center"/>
              <w:rPr>
                <w:rFonts w:hint="eastAsia" w:ascii="宋体" w:hAnsi="宋体" w:cs="宋体"/>
                <w:color w:val="000000"/>
                <w:kern w:val="0"/>
                <w:szCs w:val="21"/>
                <w:lang w:val="en-US" w:eastAsia="zh-CN"/>
              </w:rPr>
            </w:pPr>
            <w:r>
              <w:rPr>
                <w:rFonts w:hint="eastAsia" w:ascii="宋体" w:hAnsi="宋体" w:eastAsia="宋体" w:cs="宋体"/>
                <w:i w:val="0"/>
                <w:iCs w:val="0"/>
                <w:color w:val="000000"/>
                <w:kern w:val="0"/>
                <w:sz w:val="22"/>
                <w:szCs w:val="22"/>
                <w:u w:val="none"/>
                <w:lang w:val="en-US" w:eastAsia="zh-CN" w:bidi="ar"/>
              </w:rPr>
              <w:t>米</w:t>
            </w:r>
          </w:p>
        </w:tc>
        <w:tc>
          <w:tcPr>
            <w:tcW w:w="937" w:type="pct"/>
            <w:vAlign w:val="center"/>
          </w:tcPr>
          <w:p w14:paraId="21FB48B1">
            <w:pPr>
              <w:widowControl/>
              <w:jc w:val="center"/>
              <w:textAlignment w:val="center"/>
              <w:rPr>
                <w:rFonts w:hint="eastAsia" w:asciiTheme="minorEastAsia" w:hAnsiTheme="minorEastAsia" w:eastAsiaTheme="minorEastAsia" w:cstheme="minorEastAsia"/>
                <w:color w:val="000000"/>
                <w:szCs w:val="21"/>
              </w:rPr>
            </w:pPr>
            <w:r>
              <w:rPr>
                <w:rFonts w:hint="eastAsia" w:asciiTheme="minorEastAsia" w:hAnsiTheme="minorEastAsia" w:eastAsiaTheme="minorEastAsia" w:cstheme="minorEastAsia"/>
                <w:color w:val="000000"/>
                <w:szCs w:val="21"/>
              </w:rPr>
              <w:t>拒绝进口</w:t>
            </w:r>
          </w:p>
        </w:tc>
      </w:tr>
    </w:tbl>
    <w:p w14:paraId="78A80D9D">
      <w:pPr>
        <w:ind w:firstLine="321" w:firstLineChars="100"/>
        <w:rPr>
          <w:rFonts w:hint="default" w:ascii="仿宋_GB2312" w:hAnsi="仿宋_GB2312" w:eastAsia="仿宋_GB2312" w:cs="仿宋_GB2312"/>
          <w:b/>
          <w:bCs w:val="0"/>
          <w:color w:val="auto"/>
          <w:kern w:val="2"/>
          <w:sz w:val="32"/>
          <w:szCs w:val="32"/>
          <w:highlight w:val="none"/>
          <w:lang w:val="en-US" w:eastAsia="zh-CN" w:bidi="ar-SA"/>
        </w:rPr>
      </w:pPr>
      <w:r>
        <w:rPr>
          <w:rFonts w:hint="eastAsia" w:ascii="仿宋_GB2312" w:hAnsi="仿宋_GB2312" w:eastAsia="仿宋_GB2312" w:cs="仿宋_GB2312"/>
          <w:b/>
          <w:bCs w:val="0"/>
          <w:color w:val="auto"/>
          <w:kern w:val="2"/>
          <w:sz w:val="32"/>
          <w:szCs w:val="32"/>
          <w:highlight w:val="none"/>
          <w:lang w:val="en-US" w:eastAsia="zh-CN" w:bidi="ar-SA"/>
        </w:rPr>
        <w:t xml:space="preserve">本项目核心产品： 序号4 医用隔帘         </w:t>
      </w:r>
    </w:p>
    <w:p w14:paraId="5022230E">
      <w:pPr>
        <w:ind w:firstLine="321" w:firstLineChars="100"/>
        <w:rPr>
          <w:rFonts w:hint="eastAsia"/>
          <w:lang w:val="en-US" w:eastAsia="zh-CN"/>
        </w:rPr>
      </w:pPr>
      <w:r>
        <w:rPr>
          <w:rFonts w:hint="eastAsia" w:ascii="仿宋_GB2312" w:hAnsi="仿宋_GB2312" w:eastAsia="仿宋_GB2312" w:cs="仿宋_GB2312"/>
          <w:b/>
          <w:bCs w:val="0"/>
          <w:color w:val="auto"/>
          <w:kern w:val="2"/>
          <w:sz w:val="32"/>
          <w:szCs w:val="32"/>
          <w:highlight w:val="none"/>
          <w:lang w:val="en-US" w:eastAsia="zh-CN" w:bidi="ar-SA"/>
        </w:rPr>
        <w:t>三、技术要求</w:t>
      </w:r>
      <w:r>
        <w:rPr>
          <w:rFonts w:hint="eastAsia"/>
          <w:lang w:val="en-US" w:eastAsia="zh-CN"/>
        </w:rPr>
        <w:t xml:space="preserve">  </w:t>
      </w:r>
    </w:p>
    <w:p w14:paraId="402BFA3B">
      <w:pPr>
        <w:pStyle w:val="19"/>
        <w:rPr>
          <w:rFonts w:hint="eastAsia"/>
          <w:lang w:val="en-US" w:eastAsia="zh-CN"/>
        </w:rPr>
      </w:pPr>
      <w:r>
        <w:rPr>
          <w:rFonts w:hint="eastAsia"/>
          <w:b/>
          <w:lang w:val="en-US" w:eastAsia="zh-CN"/>
        </w:rPr>
        <w:t>备注：</w:t>
      </w:r>
      <w:r>
        <w:rPr>
          <w:rFonts w:hint="eastAsia"/>
          <w:b/>
        </w:rPr>
        <w:t>评分时，如对一项招标技术要求（以划分框为准）中的内容存在两处（或以上）负偏离的，在评分时只作一项负偏离扣分。</w:t>
      </w:r>
    </w:p>
    <w:tbl>
      <w:tblPr>
        <w:tblStyle w:val="14"/>
        <w:tblpPr w:leftFromText="180" w:rightFromText="180" w:vertAnchor="text" w:tblpXSpec="center" w:tblpY="1"/>
        <w:tblOverlap w:val="never"/>
        <w:tblW w:w="5864"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5"/>
        <w:gridCol w:w="1106"/>
        <w:gridCol w:w="8174"/>
      </w:tblGrid>
      <w:tr w14:paraId="01D0D1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trPr>
        <w:tc>
          <w:tcPr>
            <w:tcW w:w="357" w:type="pct"/>
            <w:shd w:val="clear" w:color="auto" w:fill="auto"/>
            <w:vAlign w:val="center"/>
          </w:tcPr>
          <w:p w14:paraId="6549B97F">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rPr>
              <w:t>序号</w:t>
            </w:r>
          </w:p>
        </w:tc>
        <w:tc>
          <w:tcPr>
            <w:tcW w:w="553" w:type="pct"/>
            <w:shd w:val="clear" w:color="auto" w:fill="auto"/>
            <w:vAlign w:val="center"/>
          </w:tcPr>
          <w:p w14:paraId="3D63C86F">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kern w:val="0"/>
                <w:szCs w:val="21"/>
              </w:rPr>
              <w:t>货物名称</w:t>
            </w:r>
          </w:p>
        </w:tc>
        <w:tc>
          <w:tcPr>
            <w:tcW w:w="4089" w:type="pct"/>
            <w:shd w:val="clear" w:color="auto" w:fill="auto"/>
            <w:vAlign w:val="center"/>
          </w:tcPr>
          <w:p w14:paraId="47C40B45">
            <w:pPr>
              <w:widowControl/>
              <w:jc w:val="center"/>
              <w:textAlignment w:val="center"/>
              <w:rPr>
                <w:rFonts w:asciiTheme="minorEastAsia" w:hAnsiTheme="minorEastAsia" w:eastAsiaTheme="minorEastAsia" w:cstheme="minorEastAsia"/>
                <w:b/>
                <w:bCs/>
                <w:color w:val="000000"/>
                <w:szCs w:val="21"/>
              </w:rPr>
            </w:pPr>
            <w:r>
              <w:rPr>
                <w:rFonts w:hint="eastAsia" w:asciiTheme="minorEastAsia" w:hAnsiTheme="minorEastAsia" w:eastAsiaTheme="minorEastAsia" w:cstheme="minorEastAsia"/>
                <w:b/>
                <w:bCs/>
                <w:color w:val="000000"/>
                <w:szCs w:val="21"/>
              </w:rPr>
              <w:t>招标技术要求</w:t>
            </w:r>
          </w:p>
        </w:tc>
      </w:tr>
      <w:tr w14:paraId="43460C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9" w:hRule="atLeast"/>
        </w:trPr>
        <w:tc>
          <w:tcPr>
            <w:tcW w:w="357" w:type="pct"/>
            <w:vMerge w:val="restart"/>
            <w:shd w:val="clear" w:color="auto" w:fill="auto"/>
            <w:vAlign w:val="center"/>
          </w:tcPr>
          <w:p w14:paraId="636622ED">
            <w:pPr>
              <w:jc w:val="center"/>
              <w:rPr>
                <w:rFonts w:ascii="Times New Roman" w:hAnsi="Times New Roman" w:eastAsia="宋体" w:cs="Times New Roman"/>
                <w:bCs/>
                <w:kern w:val="2"/>
                <w:sz w:val="21"/>
                <w:szCs w:val="21"/>
                <w:lang w:val="en-US" w:eastAsia="zh-CN" w:bidi="ar-SA"/>
              </w:rPr>
            </w:pPr>
            <w:r>
              <w:rPr>
                <w:rFonts w:hint="eastAsia"/>
                <w:bCs/>
                <w:szCs w:val="21"/>
              </w:rPr>
              <w:t>1</w:t>
            </w:r>
          </w:p>
        </w:tc>
        <w:tc>
          <w:tcPr>
            <w:tcW w:w="553" w:type="pct"/>
            <w:vMerge w:val="restart"/>
            <w:shd w:val="clear" w:color="auto" w:fill="auto"/>
            <w:vAlign w:val="center"/>
          </w:tcPr>
          <w:p w14:paraId="485B3F4F">
            <w:pPr>
              <w:keepNext w:val="0"/>
              <w:keepLines w:val="0"/>
              <w:widowControl/>
              <w:suppressLineNumbers w:val="0"/>
              <w:jc w:val="center"/>
              <w:textAlignment w:val="center"/>
              <w:rPr>
                <w:rFonts w:hint="default" w:asciiTheme="minorEastAsia" w:hAnsiTheme="minorEastAsia" w:eastAsiaTheme="minorEastAsia" w:cstheme="minorEastAsia"/>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遮光卷帘</w:t>
            </w:r>
          </w:p>
        </w:tc>
        <w:tc>
          <w:tcPr>
            <w:tcW w:w="4089" w:type="pct"/>
            <w:shd w:val="clear" w:color="auto" w:fill="auto"/>
            <w:vAlign w:val="center"/>
          </w:tcPr>
          <w:p w14:paraId="7CA9FC7A">
            <w:pPr>
              <w:keepNext w:val="0"/>
              <w:keepLines w:val="0"/>
              <w:pageBreakBefore w:val="0"/>
              <w:widowControl/>
              <w:suppressLineNumbers w:val="0"/>
              <w:kinsoku/>
              <w:wordWrap/>
              <w:overflowPunct/>
              <w:topLinePunct w:val="0"/>
              <w:bidi w:val="0"/>
              <w:adjustRightInd/>
              <w:snapToGrid/>
              <w:jc w:val="both"/>
              <w:outlineLvl w:val="9"/>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▲1、以下</w:t>
            </w:r>
            <w:r>
              <w:rPr>
                <w:rFonts w:hint="eastAsia" w:ascii="宋体" w:hAnsi="宋体" w:cs="宋体"/>
                <w:b/>
                <w:bCs/>
                <w:color w:val="000000"/>
                <w:kern w:val="2"/>
                <w:sz w:val="21"/>
                <w:szCs w:val="21"/>
                <w:lang w:val="en-US" w:eastAsia="zh-CN" w:bidi="ar-SA"/>
              </w:rPr>
              <w:t>1.1-1.9</w:t>
            </w:r>
            <w:r>
              <w:rPr>
                <w:rFonts w:hint="eastAsia" w:ascii="宋体" w:hAnsi="宋体" w:eastAsia="宋体" w:cs="宋体"/>
                <w:b/>
                <w:bCs/>
                <w:color w:val="000000"/>
                <w:kern w:val="2"/>
                <w:sz w:val="21"/>
                <w:szCs w:val="21"/>
                <w:lang w:val="en-US" w:eastAsia="zh-CN" w:bidi="ar-SA"/>
              </w:rPr>
              <w:t>需符合GB/T 19817-2005标准：</w:t>
            </w:r>
          </w:p>
          <w:p w14:paraId="6E3FEBE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1.1甲醛含量；</w:t>
            </w:r>
          </w:p>
          <w:p w14:paraId="7EB88BC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1.2pH值；</w:t>
            </w:r>
          </w:p>
          <w:p w14:paraId="298F4FA5">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1.3异味；</w:t>
            </w:r>
          </w:p>
          <w:p w14:paraId="4EDCF16D">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1.4可分解致癌芳香胺染料；</w:t>
            </w:r>
          </w:p>
          <w:p w14:paraId="5D9B09A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1.5水洗尺寸变化率；</w:t>
            </w:r>
          </w:p>
          <w:p w14:paraId="76A7B9C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1.6耐洗色牢度；</w:t>
            </w:r>
          </w:p>
          <w:p w14:paraId="7CD444A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1.7耐干洗色牢度；</w:t>
            </w:r>
          </w:p>
          <w:p w14:paraId="3AC00C26">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1.8耐水色牢度；</w:t>
            </w:r>
          </w:p>
          <w:p w14:paraId="24B5F21B">
            <w:pPr>
              <w:bidi w:val="0"/>
              <w:rPr>
                <w:rFonts w:hint="default" w:asciiTheme="minorEastAsia" w:hAnsiTheme="minorEastAsia" w:eastAsiaTheme="minorEastAsia" w:cstheme="minorEastAsia"/>
                <w:b/>
                <w:bCs/>
                <w:color w:val="FF0000"/>
                <w:lang w:val="en-US" w:eastAsia="zh-CN"/>
              </w:rPr>
            </w:pPr>
            <w:r>
              <w:rPr>
                <w:rFonts w:hint="eastAsia" w:ascii="宋体" w:hAnsi="宋体" w:eastAsia="宋体" w:cs="宋体"/>
                <w:b w:val="0"/>
                <w:bCs w:val="0"/>
                <w:color w:val="000000"/>
                <w:kern w:val="2"/>
                <w:sz w:val="21"/>
                <w:szCs w:val="21"/>
                <w:lang w:val="en-US" w:eastAsia="zh-CN" w:bidi="ar-SA"/>
              </w:rPr>
              <w:t>1.9干洗尺寸变化率；</w:t>
            </w:r>
          </w:p>
        </w:tc>
      </w:tr>
      <w:tr w14:paraId="79F1FE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8" w:hRule="atLeast"/>
        </w:trPr>
        <w:tc>
          <w:tcPr>
            <w:tcW w:w="357" w:type="pct"/>
            <w:vMerge w:val="continue"/>
            <w:shd w:val="clear" w:color="auto" w:fill="auto"/>
            <w:vAlign w:val="center"/>
          </w:tcPr>
          <w:p w14:paraId="198E3A51">
            <w:pPr>
              <w:jc w:val="center"/>
              <w:rPr>
                <w:rFonts w:hint="eastAsia"/>
                <w:bCs/>
                <w:szCs w:val="21"/>
              </w:rPr>
            </w:pPr>
          </w:p>
        </w:tc>
        <w:tc>
          <w:tcPr>
            <w:tcW w:w="553" w:type="pct"/>
            <w:vMerge w:val="continue"/>
            <w:shd w:val="clear" w:color="auto" w:fill="auto"/>
            <w:vAlign w:val="center"/>
          </w:tcPr>
          <w:p w14:paraId="09AEFB8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4089" w:type="pct"/>
            <w:shd w:val="clear" w:color="auto" w:fill="auto"/>
            <w:vAlign w:val="center"/>
          </w:tcPr>
          <w:p w14:paraId="4EBD5ED9">
            <w:pPr>
              <w:keepNext w:val="0"/>
              <w:keepLines w:val="0"/>
              <w:pageBreakBefore w:val="0"/>
              <w:kinsoku/>
              <w:wordWrap/>
              <w:overflowPunct/>
              <w:topLinePunct w:val="0"/>
              <w:bidi w:val="0"/>
              <w:adjustRightInd/>
              <w:snapToGrid/>
              <w:jc w:val="both"/>
              <w:outlineLvl w:val="9"/>
              <w:rPr>
                <w:rFonts w:hint="eastAsia" w:ascii="宋体" w:hAnsi="宋体" w:eastAsia="宋体" w:cs="宋体"/>
                <w:b/>
                <w:bCs/>
                <w:color w:val="000000"/>
                <w:kern w:val="2"/>
                <w:sz w:val="21"/>
                <w:szCs w:val="21"/>
                <w:highlight w:val="none"/>
                <w:shd w:val="clear" w:color="auto" w:fill="auto"/>
                <w:lang w:val="en-US" w:eastAsia="zh-CN" w:bidi="ar-SA"/>
              </w:rPr>
            </w:pPr>
            <w:r>
              <w:rPr>
                <w:rFonts w:hint="eastAsia" w:ascii="宋体" w:hAnsi="宋体" w:eastAsia="宋体" w:cs="宋体"/>
                <w:b/>
                <w:bCs/>
                <w:color w:val="000000"/>
                <w:kern w:val="2"/>
                <w:sz w:val="21"/>
                <w:szCs w:val="21"/>
                <w:lang w:val="en-US" w:eastAsia="zh-CN" w:bidi="ar-SA"/>
              </w:rPr>
              <w:t>▲</w:t>
            </w:r>
            <w:r>
              <w:rPr>
                <w:rFonts w:hint="eastAsia" w:ascii="宋体" w:hAnsi="宋体" w:eastAsia="宋体" w:cs="宋体"/>
                <w:b/>
                <w:bCs/>
                <w:color w:val="000000"/>
                <w:kern w:val="2"/>
                <w:sz w:val="21"/>
                <w:szCs w:val="21"/>
                <w:highlight w:val="none"/>
                <w:shd w:val="clear" w:color="auto" w:fill="auto"/>
                <w:lang w:val="en-US" w:eastAsia="zh-CN" w:bidi="ar-SA"/>
              </w:rPr>
              <w:t>2、</w:t>
            </w:r>
            <w:r>
              <w:rPr>
                <w:rFonts w:hint="eastAsia" w:ascii="宋体" w:hAnsi="宋体" w:cs="宋体"/>
                <w:b/>
                <w:bCs/>
                <w:color w:val="000000"/>
                <w:kern w:val="2"/>
                <w:sz w:val="21"/>
                <w:szCs w:val="21"/>
                <w:highlight w:val="none"/>
                <w:shd w:val="clear" w:color="auto" w:fill="auto"/>
                <w:lang w:val="en-US" w:eastAsia="zh-CN" w:bidi="ar-SA"/>
              </w:rPr>
              <w:t>以下2.1-2.8对照相关检测依据需符合基本要求</w:t>
            </w:r>
            <w:r>
              <w:rPr>
                <w:rFonts w:hint="eastAsia" w:ascii="宋体" w:hAnsi="宋体" w:eastAsia="宋体" w:cs="宋体"/>
                <w:b/>
                <w:bCs/>
                <w:color w:val="000000"/>
                <w:kern w:val="2"/>
                <w:sz w:val="21"/>
                <w:szCs w:val="21"/>
                <w:highlight w:val="none"/>
                <w:shd w:val="clear" w:color="auto" w:fill="auto"/>
                <w:lang w:val="en-US" w:eastAsia="zh-CN" w:bidi="ar-SA"/>
              </w:rPr>
              <w:t>：</w:t>
            </w:r>
          </w:p>
          <w:p w14:paraId="1837BC2C">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2.1</w:t>
            </w:r>
            <w:r>
              <w:rPr>
                <w:rFonts w:hint="eastAsia" w:ascii="宋体" w:hAnsi="宋体" w:cs="宋体"/>
                <w:b w:val="0"/>
                <w:bCs w:val="0"/>
                <w:color w:val="000000"/>
                <w:kern w:val="2"/>
                <w:sz w:val="21"/>
                <w:szCs w:val="21"/>
                <w:lang w:val="en-US" w:eastAsia="zh-CN" w:bidi="ar-SA"/>
              </w:rPr>
              <w:t>纤维含量</w:t>
            </w:r>
            <w:r>
              <w:rPr>
                <w:rFonts w:hint="eastAsia" w:ascii="宋体" w:hAnsi="宋体" w:eastAsia="宋体" w:cs="宋体"/>
                <w:b w:val="0"/>
                <w:bCs w:val="0"/>
                <w:color w:val="000000"/>
                <w:kern w:val="2"/>
                <w:sz w:val="21"/>
                <w:szCs w:val="21"/>
                <w:lang w:val="en-US" w:eastAsia="zh-CN" w:bidi="ar-SA"/>
              </w:rPr>
              <w:t>：100%聚酯纤维</w:t>
            </w:r>
            <w:r>
              <w:rPr>
                <w:rFonts w:hint="eastAsia" w:ascii="宋体" w:hAnsi="宋体" w:cs="宋体"/>
                <w:b w:val="0"/>
                <w:bCs w:val="0"/>
                <w:color w:val="000000"/>
                <w:kern w:val="2"/>
                <w:sz w:val="21"/>
                <w:szCs w:val="21"/>
                <w:lang w:val="en-US" w:eastAsia="zh-CN" w:bidi="ar-SA"/>
              </w:rPr>
              <w:t>，检测依据FZ/T01057.1-2007</w:t>
            </w:r>
            <w:r>
              <w:rPr>
                <w:rFonts w:hint="eastAsia" w:ascii="宋体" w:hAnsi="宋体" w:eastAsia="宋体" w:cs="宋体"/>
                <w:b w:val="0"/>
                <w:bCs w:val="0"/>
                <w:color w:val="000000"/>
                <w:kern w:val="2"/>
                <w:sz w:val="21"/>
                <w:szCs w:val="21"/>
                <w:lang w:val="en-US" w:eastAsia="zh-CN" w:bidi="ar-SA"/>
              </w:rPr>
              <w:t>；</w:t>
            </w:r>
          </w:p>
          <w:p w14:paraId="2947ECC1">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2.2</w:t>
            </w:r>
            <w:r>
              <w:rPr>
                <w:rFonts w:hint="eastAsia" w:ascii="宋体" w:hAnsi="宋体" w:eastAsia="宋体" w:cs="宋体"/>
                <w:b w:val="0"/>
                <w:bCs w:val="0"/>
                <w:color w:val="auto"/>
                <w:kern w:val="2"/>
                <w:sz w:val="21"/>
                <w:szCs w:val="21"/>
                <w:highlight w:val="none"/>
                <w:lang w:val="en-US" w:eastAsia="zh-CN" w:bidi="ar-SA"/>
              </w:rPr>
              <w:t>单位面积质量（g/㎡）：≥260</w:t>
            </w:r>
            <w:r>
              <w:rPr>
                <w:rFonts w:hint="eastAsia" w:ascii="宋体" w:hAnsi="宋体" w:cs="宋体"/>
                <w:b w:val="0"/>
                <w:bCs w:val="0"/>
                <w:color w:val="auto"/>
                <w:kern w:val="2"/>
                <w:sz w:val="21"/>
                <w:szCs w:val="21"/>
                <w:highlight w:val="none"/>
                <w:lang w:val="en-US" w:eastAsia="zh-CN" w:bidi="ar-SA"/>
              </w:rPr>
              <w:t>，检测依据GB/T4669-2008</w:t>
            </w:r>
            <w:r>
              <w:rPr>
                <w:rFonts w:hint="eastAsia" w:ascii="宋体" w:hAnsi="宋体" w:eastAsia="宋体" w:cs="宋体"/>
                <w:b w:val="0"/>
                <w:bCs w:val="0"/>
                <w:color w:val="auto"/>
                <w:kern w:val="2"/>
                <w:sz w:val="21"/>
                <w:szCs w:val="21"/>
                <w:highlight w:val="none"/>
                <w:lang w:val="en-US" w:eastAsia="zh-CN" w:bidi="ar-SA"/>
              </w:rPr>
              <w:t>；</w:t>
            </w:r>
          </w:p>
          <w:p w14:paraId="27AE7FF6">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2.3断裂强力（N）：经向≥2000、纬向≥500</w:t>
            </w:r>
            <w:r>
              <w:rPr>
                <w:rFonts w:hint="eastAsia" w:ascii="宋体" w:hAnsi="宋体" w:cs="宋体"/>
                <w:b w:val="0"/>
                <w:bCs w:val="0"/>
                <w:color w:val="000000"/>
                <w:kern w:val="2"/>
                <w:sz w:val="21"/>
                <w:szCs w:val="21"/>
                <w:lang w:val="en-US" w:eastAsia="zh-CN" w:bidi="ar-SA"/>
              </w:rPr>
              <w:t>，检测依据GB/T3923.1-2013</w:t>
            </w:r>
            <w:r>
              <w:rPr>
                <w:rFonts w:hint="eastAsia" w:ascii="宋体" w:hAnsi="宋体" w:eastAsia="宋体" w:cs="宋体"/>
                <w:b w:val="0"/>
                <w:bCs w:val="0"/>
                <w:color w:val="000000"/>
                <w:kern w:val="2"/>
                <w:sz w:val="21"/>
                <w:szCs w:val="21"/>
                <w:lang w:val="en-US" w:eastAsia="zh-CN" w:bidi="ar-SA"/>
              </w:rPr>
              <w:t>；</w:t>
            </w:r>
          </w:p>
          <w:p w14:paraId="17D523D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2.4织物密度（根/10cm）：经密≥300，纬密≥300</w:t>
            </w:r>
            <w:r>
              <w:rPr>
                <w:rFonts w:hint="eastAsia" w:ascii="宋体" w:hAnsi="宋体" w:cs="宋体"/>
                <w:b w:val="0"/>
                <w:bCs w:val="0"/>
                <w:color w:val="000000"/>
                <w:kern w:val="2"/>
                <w:sz w:val="21"/>
                <w:szCs w:val="21"/>
                <w:lang w:val="en-US" w:eastAsia="zh-CN" w:bidi="ar-SA"/>
              </w:rPr>
              <w:t>，检测依据GB/T4668-1995</w:t>
            </w:r>
            <w:r>
              <w:rPr>
                <w:rFonts w:hint="eastAsia" w:ascii="宋体" w:hAnsi="宋体" w:eastAsia="宋体" w:cs="宋体"/>
                <w:b w:val="0"/>
                <w:bCs w:val="0"/>
                <w:color w:val="000000"/>
                <w:kern w:val="2"/>
                <w:sz w:val="21"/>
                <w:szCs w:val="21"/>
                <w:lang w:val="en-US" w:eastAsia="zh-CN" w:bidi="ar-SA"/>
              </w:rPr>
              <w:t>；</w:t>
            </w:r>
          </w:p>
          <w:p w14:paraId="543DA93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2.5厚度（mm）：≥0.5</w:t>
            </w:r>
            <w:r>
              <w:rPr>
                <w:rFonts w:hint="eastAsia" w:ascii="宋体" w:hAnsi="宋体" w:cs="宋体"/>
                <w:b w:val="0"/>
                <w:bCs w:val="0"/>
                <w:color w:val="000000"/>
                <w:kern w:val="2"/>
                <w:sz w:val="21"/>
                <w:szCs w:val="21"/>
                <w:lang w:val="en-US" w:eastAsia="zh-CN" w:bidi="ar-SA"/>
              </w:rPr>
              <w:t>，检测依据GB/T3820-1997</w:t>
            </w:r>
            <w:r>
              <w:rPr>
                <w:rFonts w:hint="eastAsia" w:ascii="宋体" w:hAnsi="宋体" w:eastAsia="宋体" w:cs="宋体"/>
                <w:b w:val="0"/>
                <w:bCs w:val="0"/>
                <w:color w:val="000000"/>
                <w:kern w:val="2"/>
                <w:sz w:val="21"/>
                <w:szCs w:val="21"/>
                <w:lang w:val="en-US" w:eastAsia="zh-CN" w:bidi="ar-SA"/>
              </w:rPr>
              <w:t>；</w:t>
            </w:r>
          </w:p>
          <w:p w14:paraId="793D1A3B">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2.6纱线线密度：经纱①≤43tex，经纱②≤70tex；纬纱≤19tex</w:t>
            </w:r>
            <w:r>
              <w:rPr>
                <w:rFonts w:hint="eastAsia" w:ascii="宋体" w:hAnsi="宋体" w:cs="宋体"/>
                <w:b w:val="0"/>
                <w:bCs w:val="0"/>
                <w:color w:val="000000"/>
                <w:kern w:val="2"/>
                <w:sz w:val="21"/>
                <w:szCs w:val="21"/>
                <w:lang w:val="en-US" w:eastAsia="zh-CN" w:bidi="ar-SA"/>
              </w:rPr>
              <w:t>，检测依据GB/T29256.5-2012</w:t>
            </w:r>
            <w:r>
              <w:rPr>
                <w:rFonts w:hint="eastAsia" w:ascii="宋体" w:hAnsi="宋体" w:eastAsia="宋体" w:cs="宋体"/>
                <w:b w:val="0"/>
                <w:bCs w:val="0"/>
                <w:color w:val="000000"/>
                <w:kern w:val="2"/>
                <w:sz w:val="21"/>
                <w:szCs w:val="21"/>
                <w:lang w:val="en-US" w:eastAsia="zh-CN" w:bidi="ar-SA"/>
              </w:rPr>
              <w:t>；</w:t>
            </w:r>
          </w:p>
          <w:p w14:paraId="2BAB6A4D">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w:t>
            </w:r>
            <w:r>
              <w:rPr>
                <w:rFonts w:hint="eastAsia" w:ascii="宋体" w:hAnsi="宋体" w:cs="宋体"/>
                <w:b w:val="0"/>
                <w:bCs w:val="0"/>
                <w:color w:val="000000"/>
                <w:kern w:val="2"/>
                <w:sz w:val="21"/>
                <w:szCs w:val="21"/>
                <w:lang w:val="en-US" w:eastAsia="zh-CN" w:bidi="ar-SA"/>
              </w:rPr>
              <w:t>7</w:t>
            </w:r>
            <w:r>
              <w:rPr>
                <w:rFonts w:hint="eastAsia" w:ascii="宋体" w:hAnsi="宋体" w:eastAsia="宋体" w:cs="宋体"/>
                <w:b w:val="0"/>
                <w:bCs w:val="0"/>
                <w:color w:val="000000"/>
                <w:kern w:val="2"/>
                <w:sz w:val="21"/>
                <w:szCs w:val="21"/>
                <w:lang w:val="en-US" w:eastAsia="zh-CN" w:bidi="ar-SA"/>
              </w:rPr>
              <w:t>远红外性能：远红外发射率≥0.9，远红外辐射温升（℃）≥1.5</w:t>
            </w:r>
            <w:r>
              <w:rPr>
                <w:rFonts w:hint="eastAsia" w:ascii="宋体" w:hAnsi="宋体" w:cs="宋体"/>
                <w:b w:val="0"/>
                <w:bCs w:val="0"/>
                <w:color w:val="000000"/>
                <w:kern w:val="2"/>
                <w:sz w:val="21"/>
                <w:szCs w:val="21"/>
                <w:lang w:val="en-US" w:eastAsia="zh-CN" w:bidi="ar-SA"/>
              </w:rPr>
              <w:t>，检测依据GB/T30127-2013</w:t>
            </w:r>
            <w:r>
              <w:rPr>
                <w:rFonts w:hint="eastAsia" w:ascii="宋体" w:hAnsi="宋体" w:eastAsia="宋体" w:cs="宋体"/>
                <w:b w:val="0"/>
                <w:bCs w:val="0"/>
                <w:color w:val="000000"/>
                <w:kern w:val="2"/>
                <w:sz w:val="21"/>
                <w:szCs w:val="21"/>
                <w:lang w:val="en-US" w:eastAsia="zh-CN" w:bidi="ar-SA"/>
              </w:rPr>
              <w:t>；</w:t>
            </w:r>
          </w:p>
          <w:p w14:paraId="66BDBBC9">
            <w:pPr>
              <w:pStyle w:val="19"/>
              <w:ind w:firstLine="0" w:firstLineChars="0"/>
              <w:rPr>
                <w:rFonts w:hint="default"/>
                <w:lang w:val="en-US" w:eastAsia="zh-CN"/>
              </w:rPr>
            </w:pPr>
            <w:r>
              <w:rPr>
                <w:rFonts w:hint="eastAsia" w:ascii="宋体" w:hAnsi="宋体" w:cs="宋体"/>
                <w:b w:val="0"/>
                <w:bCs w:val="0"/>
                <w:color w:val="000000"/>
                <w:kern w:val="2"/>
                <w:sz w:val="21"/>
                <w:szCs w:val="21"/>
                <w:lang w:val="en-US" w:eastAsia="zh-CN" w:bidi="ar-SA"/>
              </w:rPr>
              <w:t>2.8</w:t>
            </w:r>
            <w:r>
              <w:rPr>
                <w:rFonts w:hint="eastAsia" w:ascii="宋体" w:hAnsi="宋体" w:eastAsia="宋体" w:cs="宋体"/>
                <w:b w:val="0"/>
                <w:bCs w:val="0"/>
                <w:color w:val="000000"/>
                <w:kern w:val="2"/>
                <w:sz w:val="21"/>
                <w:szCs w:val="21"/>
                <w:highlight w:val="none"/>
                <w:shd w:val="clear" w:color="auto" w:fill="auto"/>
                <w:lang w:val="en-US" w:eastAsia="zh-CN" w:bidi="ar-SA"/>
              </w:rPr>
              <w:t>可萃取重金属</w:t>
            </w:r>
            <w:r>
              <w:rPr>
                <w:rFonts w:hint="eastAsia" w:ascii="宋体" w:hAnsi="宋体" w:cs="宋体"/>
                <w:b w:val="0"/>
                <w:bCs w:val="0"/>
                <w:color w:val="000000"/>
                <w:kern w:val="2"/>
                <w:sz w:val="21"/>
                <w:szCs w:val="21"/>
                <w:highlight w:val="none"/>
                <w:shd w:val="clear" w:color="auto" w:fill="auto"/>
                <w:lang w:val="en-US" w:eastAsia="zh-CN" w:bidi="ar-SA"/>
              </w:rPr>
              <w:t>、</w:t>
            </w:r>
            <w:r>
              <w:rPr>
                <w:rFonts w:hint="eastAsia" w:ascii="宋体" w:hAnsi="宋体" w:eastAsia="宋体" w:cs="宋体"/>
                <w:b w:val="0"/>
                <w:bCs w:val="0"/>
                <w:color w:val="000000"/>
                <w:kern w:val="2"/>
                <w:sz w:val="21"/>
                <w:szCs w:val="21"/>
                <w:highlight w:val="none"/>
                <w:shd w:val="clear" w:color="auto" w:fill="auto"/>
                <w:vertAlign w:val="baseline"/>
                <w:lang w:val="en-US" w:eastAsia="zh-CN" w:bidi="ar-SA"/>
              </w:rPr>
              <w:t>邻苯基苯酚</w:t>
            </w:r>
            <w:r>
              <w:rPr>
                <w:rFonts w:hint="eastAsia" w:ascii="宋体" w:hAnsi="宋体" w:cs="宋体"/>
                <w:b w:val="0"/>
                <w:bCs w:val="0"/>
                <w:color w:val="000000"/>
                <w:kern w:val="2"/>
                <w:sz w:val="21"/>
                <w:szCs w:val="21"/>
                <w:highlight w:val="none"/>
                <w:shd w:val="clear" w:color="auto" w:fill="auto"/>
                <w:vertAlign w:val="baseline"/>
                <w:lang w:val="en-US" w:eastAsia="zh-CN" w:bidi="ar-SA"/>
              </w:rPr>
              <w:t>、</w:t>
            </w:r>
            <w:r>
              <w:rPr>
                <w:rFonts w:hint="eastAsia" w:ascii="宋体" w:hAnsi="宋体" w:eastAsia="宋体" w:cs="宋体"/>
                <w:b w:val="0"/>
                <w:bCs w:val="0"/>
                <w:color w:val="000000"/>
                <w:kern w:val="2"/>
                <w:sz w:val="21"/>
                <w:szCs w:val="21"/>
                <w:highlight w:val="none"/>
                <w:shd w:val="clear" w:color="auto" w:fill="auto"/>
                <w:lang w:val="en-US" w:eastAsia="zh-CN" w:bidi="ar-SA"/>
              </w:rPr>
              <w:t>致癌染料</w:t>
            </w:r>
            <w:r>
              <w:rPr>
                <w:rFonts w:hint="eastAsia" w:ascii="宋体" w:hAnsi="宋体" w:cs="宋体"/>
                <w:b w:val="0"/>
                <w:bCs w:val="0"/>
                <w:color w:val="000000"/>
                <w:kern w:val="2"/>
                <w:sz w:val="21"/>
                <w:szCs w:val="21"/>
                <w:highlight w:val="none"/>
                <w:shd w:val="clear" w:color="auto" w:fill="auto"/>
                <w:lang w:val="en-US" w:eastAsia="zh-CN" w:bidi="ar-SA"/>
              </w:rPr>
              <w:t>、</w:t>
            </w:r>
            <w:r>
              <w:rPr>
                <w:rFonts w:hint="eastAsia" w:ascii="宋体" w:hAnsi="宋体" w:eastAsia="宋体" w:cs="宋体"/>
                <w:b w:val="0"/>
                <w:bCs w:val="0"/>
                <w:color w:val="000000"/>
                <w:kern w:val="2"/>
                <w:sz w:val="21"/>
                <w:szCs w:val="21"/>
                <w:highlight w:val="none"/>
                <w:shd w:val="clear" w:color="auto" w:fill="auto"/>
                <w:lang w:val="en-US" w:eastAsia="zh-CN" w:bidi="ar-SA"/>
              </w:rPr>
              <w:t>有机锡化合物</w:t>
            </w:r>
            <w:r>
              <w:rPr>
                <w:rFonts w:hint="eastAsia" w:ascii="宋体" w:hAnsi="宋体" w:cs="宋体"/>
                <w:b w:val="0"/>
                <w:bCs w:val="0"/>
                <w:color w:val="000000"/>
                <w:kern w:val="2"/>
                <w:sz w:val="21"/>
                <w:szCs w:val="21"/>
                <w:highlight w:val="none"/>
                <w:shd w:val="clear" w:color="auto" w:fill="auto"/>
                <w:lang w:val="en-US" w:eastAsia="zh-CN" w:bidi="ar-SA"/>
              </w:rPr>
              <w:t>、</w:t>
            </w:r>
            <w:r>
              <w:rPr>
                <w:rFonts w:hint="eastAsia" w:ascii="宋体" w:hAnsi="宋体" w:eastAsia="宋体" w:cs="宋体"/>
                <w:b w:val="0"/>
                <w:bCs w:val="0"/>
                <w:color w:val="000000"/>
                <w:kern w:val="2"/>
                <w:sz w:val="21"/>
                <w:szCs w:val="21"/>
                <w:highlight w:val="none"/>
                <w:lang w:val="en-US" w:eastAsia="zh-CN" w:bidi="ar-SA"/>
              </w:rPr>
              <w:t>富马酸二甲酯</w:t>
            </w:r>
            <w:r>
              <w:rPr>
                <w:rFonts w:hint="eastAsia" w:ascii="宋体" w:hAnsi="宋体" w:cs="宋体"/>
                <w:b w:val="0"/>
                <w:bCs w:val="0"/>
                <w:color w:val="000000"/>
                <w:kern w:val="2"/>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致敏染料（须呈现20种</w:t>
            </w:r>
            <w:r>
              <w:rPr>
                <w:rFonts w:hint="eastAsia" w:ascii="宋体" w:hAnsi="宋体" w:eastAsia="宋体" w:cs="宋体"/>
                <w:color w:val="000000"/>
                <w:kern w:val="0"/>
                <w:sz w:val="21"/>
                <w:szCs w:val="21"/>
                <w:lang w:val="en-US" w:eastAsia="zh-CN"/>
              </w:rPr>
              <w:t>致</w:t>
            </w:r>
            <w:r>
              <w:rPr>
                <w:rFonts w:hint="eastAsia" w:ascii="宋体" w:hAnsi="宋体" w:eastAsia="宋体" w:cs="宋体"/>
                <w:b w:val="0"/>
                <w:bCs/>
                <w:color w:val="000000"/>
                <w:kern w:val="0"/>
                <w:sz w:val="21"/>
                <w:szCs w:val="21"/>
                <w:lang w:val="en-US" w:eastAsia="zh-CN"/>
              </w:rPr>
              <w:t>敏性分散染料检测结果表</w:t>
            </w:r>
            <w:r>
              <w:rPr>
                <w:rFonts w:hint="eastAsia" w:ascii="宋体" w:hAnsi="宋体" w:eastAsia="宋体" w:cs="宋体"/>
                <w:b w:val="0"/>
                <w:bCs/>
                <w:color w:val="000000"/>
                <w:sz w:val="21"/>
                <w:szCs w:val="21"/>
                <w:highlight w:val="none"/>
                <w:shd w:val="clear" w:color="auto" w:fill="auto"/>
                <w:lang w:val="en-US" w:eastAsia="zh-CN"/>
              </w:rPr>
              <w:t>。）</w:t>
            </w:r>
            <w:r>
              <w:rPr>
                <w:rFonts w:hint="eastAsia" w:ascii="宋体" w:hAnsi="宋体" w:eastAsia="宋体" w:cs="宋体"/>
                <w:b w:val="0"/>
                <w:bCs/>
                <w:color w:val="000000"/>
                <w:kern w:val="2"/>
                <w:sz w:val="21"/>
                <w:szCs w:val="21"/>
                <w:highlight w:val="none"/>
                <w:shd w:val="clear" w:color="auto" w:fill="auto"/>
                <w:lang w:val="en-US" w:eastAsia="zh-CN" w:bidi="ar-SA"/>
              </w:rPr>
              <w:t>需符合GB/T18885-2020标准</w:t>
            </w:r>
            <w:r>
              <w:rPr>
                <w:rFonts w:hint="eastAsia" w:ascii="宋体" w:hAnsi="宋体" w:cs="宋体"/>
                <w:b w:val="0"/>
                <w:bCs/>
                <w:color w:val="000000"/>
                <w:kern w:val="2"/>
                <w:sz w:val="21"/>
                <w:szCs w:val="21"/>
                <w:highlight w:val="none"/>
                <w:shd w:val="clear" w:color="auto" w:fill="auto"/>
                <w:lang w:val="en-US" w:eastAsia="zh-CN" w:bidi="ar-SA"/>
              </w:rPr>
              <w:t>。</w:t>
            </w:r>
          </w:p>
        </w:tc>
      </w:tr>
      <w:tr w14:paraId="3B16DD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357" w:type="pct"/>
            <w:vMerge w:val="continue"/>
            <w:shd w:val="clear" w:color="auto" w:fill="auto"/>
            <w:vAlign w:val="center"/>
          </w:tcPr>
          <w:p w14:paraId="0650802F">
            <w:pPr>
              <w:jc w:val="center"/>
              <w:rPr>
                <w:rFonts w:hint="eastAsia"/>
                <w:bCs/>
                <w:szCs w:val="21"/>
              </w:rPr>
            </w:pPr>
          </w:p>
        </w:tc>
        <w:tc>
          <w:tcPr>
            <w:tcW w:w="553" w:type="pct"/>
            <w:vMerge w:val="continue"/>
            <w:shd w:val="clear" w:color="auto" w:fill="auto"/>
            <w:vAlign w:val="center"/>
          </w:tcPr>
          <w:p w14:paraId="78032A7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4089" w:type="pct"/>
            <w:shd w:val="clear" w:color="auto" w:fill="auto"/>
            <w:vAlign w:val="center"/>
          </w:tcPr>
          <w:p w14:paraId="7D9DF2E0">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shd w:val="clear" w:color="auto" w:fill="auto"/>
                <w:lang w:val="en-US" w:eastAsia="zh-CN"/>
              </w:rPr>
              <w:t>注：1、以上</w:t>
            </w:r>
            <w:r>
              <w:rPr>
                <w:rFonts w:hint="eastAsia" w:ascii="宋体" w:hAnsi="宋体" w:cs="宋体"/>
                <w:b w:val="0"/>
                <w:bCs w:val="0"/>
                <w:color w:val="auto"/>
                <w:sz w:val="21"/>
                <w:szCs w:val="21"/>
                <w:highlight w:val="none"/>
                <w:shd w:val="clear" w:color="auto" w:fill="auto"/>
                <w:lang w:val="en-US" w:eastAsia="zh-CN"/>
              </w:rPr>
              <w:t>标注</w:t>
            </w:r>
            <w:r>
              <w:rPr>
                <w:rFonts w:hint="eastAsia" w:ascii="宋体" w:hAnsi="宋体" w:eastAsia="宋体" w:cs="宋体"/>
                <w:b/>
                <w:bCs/>
                <w:color w:val="000000"/>
                <w:kern w:val="2"/>
                <w:sz w:val="21"/>
                <w:szCs w:val="21"/>
                <w:highlight w:val="none"/>
                <w:shd w:val="clear" w:color="auto" w:fill="auto"/>
                <w:vertAlign w:val="baseline"/>
                <w:lang w:val="en-US" w:eastAsia="zh-CN" w:bidi="ar-SA"/>
              </w:rPr>
              <w:t>▲</w:t>
            </w:r>
            <w:r>
              <w:rPr>
                <w:rFonts w:hint="eastAsia" w:ascii="宋体" w:hAnsi="宋体" w:eastAsia="宋体" w:cs="宋体"/>
                <w:b w:val="0"/>
                <w:bCs w:val="0"/>
                <w:color w:val="auto"/>
                <w:sz w:val="21"/>
                <w:szCs w:val="21"/>
                <w:highlight w:val="none"/>
                <w:shd w:val="clear" w:color="auto" w:fill="auto"/>
                <w:lang w:val="en-US" w:eastAsia="zh-CN"/>
              </w:rPr>
              <w:t>项需</w:t>
            </w:r>
            <w:r>
              <w:rPr>
                <w:rFonts w:hint="eastAsia" w:ascii="宋体" w:hAnsi="宋体" w:eastAsia="宋体" w:cs="宋体"/>
                <w:b w:val="0"/>
                <w:bCs w:val="0"/>
                <w:color w:val="auto"/>
                <w:sz w:val="21"/>
                <w:szCs w:val="21"/>
                <w:highlight w:val="none"/>
                <w:lang w:val="en-US" w:eastAsia="zh-CN"/>
              </w:rPr>
              <w:t>投标人同时提供：</w:t>
            </w:r>
          </w:p>
          <w:p w14:paraId="40011256">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检验检测机构</w:t>
            </w:r>
            <w:r>
              <w:rPr>
                <w:rFonts w:hint="eastAsia" w:ascii="宋体" w:hAnsi="宋体" w:eastAsia="宋体" w:cs="宋体"/>
                <w:b w:val="0"/>
                <w:bCs w:val="0"/>
                <w:color w:val="auto"/>
                <w:sz w:val="21"/>
                <w:szCs w:val="21"/>
                <w:highlight w:val="none"/>
                <w:lang w:val="en-US" w:eastAsia="zh-CN"/>
              </w:rPr>
              <w:t>在CMA资质认定范围内</w:t>
            </w:r>
            <w:r>
              <w:rPr>
                <w:rFonts w:hint="eastAsia" w:ascii="宋体" w:hAnsi="宋体" w:eastAsia="宋体" w:cs="宋体"/>
                <w:b w:val="0"/>
                <w:bCs w:val="0"/>
                <w:color w:val="auto"/>
                <w:sz w:val="21"/>
                <w:szCs w:val="21"/>
                <w:highlight w:val="none"/>
              </w:rPr>
              <w:t>出具</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检验检测报告扫描件</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如有分包，需在检测报告上标注，分包单位必须具有分包项的CMA认定资质。</w:t>
            </w:r>
          </w:p>
          <w:p w14:paraId="1E077C9B">
            <w:pPr>
              <w:keepNext w:val="0"/>
              <w:keepLines w:val="0"/>
              <w:pageBreakBefore w:val="0"/>
              <w:widowControl w:val="0"/>
              <w:kinsoku/>
              <w:wordWrap/>
              <w:overflowPunct/>
              <w:topLinePunct w:val="0"/>
              <w:autoSpaceDE/>
              <w:autoSpaceDN/>
              <w:bidi w:val="0"/>
              <w:adjustRightInd/>
              <w:snapToGrid/>
              <w:spacing w:line="240" w:lineRule="auto"/>
              <w:jc w:val="both"/>
              <w:textAlignment w:val="auto"/>
              <w:outlineLvl w:val="9"/>
              <w:rPr>
                <w:rFonts w:hint="default" w:asciiTheme="minorEastAsia" w:hAnsiTheme="minorEastAsia" w:eastAsiaTheme="minorEastAsia" w:cstheme="minorEastAsia"/>
                <w:b/>
                <w:bCs/>
                <w:color w:val="FF0000"/>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提供检测报告在检测机构合法官网的查询截图（检测机构官网须为合法备案的网站，网站上标注的备案号须</w:t>
            </w:r>
            <w:r>
              <w:rPr>
                <w:rFonts w:hint="eastAsia" w:ascii="宋体" w:hAnsi="宋体" w:eastAsia="宋体" w:cs="宋体"/>
                <w:b w:val="0"/>
                <w:bCs w:val="0"/>
                <w:color w:val="auto"/>
                <w:sz w:val="21"/>
                <w:szCs w:val="21"/>
                <w:highlight w:val="none"/>
                <w:lang w:val="en-US" w:eastAsia="zh-CN"/>
              </w:rPr>
              <w:t>是</w:t>
            </w:r>
            <w:r>
              <w:rPr>
                <w:rFonts w:hint="eastAsia" w:ascii="宋体" w:hAnsi="宋体" w:eastAsia="宋体" w:cs="宋体"/>
                <w:b w:val="0"/>
                <w:bCs w:val="0"/>
                <w:color w:val="auto"/>
                <w:sz w:val="21"/>
                <w:szCs w:val="21"/>
                <w:highlight w:val="none"/>
                <w:lang w:eastAsia="zh-CN"/>
              </w:rPr>
              <w:t>出具报告的检测机构</w:t>
            </w:r>
            <w:r>
              <w:rPr>
                <w:rFonts w:hint="eastAsia" w:ascii="宋体" w:hAnsi="宋体" w:eastAsia="宋体" w:cs="宋体"/>
                <w:b w:val="0"/>
                <w:bCs w:val="0"/>
                <w:color w:val="auto"/>
                <w:sz w:val="21"/>
                <w:szCs w:val="21"/>
                <w:highlight w:val="none"/>
                <w:lang w:val="en-US" w:eastAsia="zh-CN"/>
              </w:rPr>
              <w:t>所备案</w:t>
            </w:r>
            <w:r>
              <w:rPr>
                <w:rFonts w:hint="eastAsia" w:ascii="宋体" w:hAnsi="宋体" w:eastAsia="宋体" w:cs="宋体"/>
                <w:b w:val="0"/>
                <w:bCs w:val="0"/>
                <w:color w:val="auto"/>
                <w:sz w:val="21"/>
                <w:szCs w:val="21"/>
                <w:highlight w:val="none"/>
                <w:lang w:eastAsia="zh-CN"/>
              </w:rPr>
              <w:t>登记</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lang w:val="en-US" w:eastAsia="zh-CN"/>
              </w:rPr>
              <w:t>官网可下载检测报告电子档的所有检测内容截图或扫描官网二维码查询下载呈现全部检测报告内容的截图</w:t>
            </w:r>
            <w:r>
              <w:rPr>
                <w:rFonts w:hint="eastAsia" w:ascii="宋体" w:hAnsi="宋体" w:eastAsia="宋体" w:cs="宋体"/>
                <w:b w:val="0"/>
                <w:bCs w:val="0"/>
                <w:color w:val="auto"/>
                <w:sz w:val="21"/>
                <w:szCs w:val="21"/>
                <w:highlight w:val="none"/>
                <w:lang w:eastAsia="zh-CN"/>
              </w:rPr>
              <w:t>），同时提供在工业和信息化部政务服务平台检测机构备案号查询截图，截图上的网站需与检测报告</w:t>
            </w:r>
            <w:r>
              <w:rPr>
                <w:rFonts w:hint="eastAsia" w:ascii="宋体" w:hAnsi="宋体" w:eastAsia="宋体" w:cs="宋体"/>
                <w:b w:val="0"/>
                <w:bCs w:val="0"/>
                <w:color w:val="auto"/>
                <w:sz w:val="21"/>
                <w:szCs w:val="21"/>
                <w:highlight w:val="none"/>
                <w:lang w:val="en-US" w:eastAsia="zh-CN"/>
              </w:rPr>
              <w:t>上标注的</w:t>
            </w:r>
            <w:r>
              <w:rPr>
                <w:rFonts w:hint="eastAsia" w:ascii="宋体" w:hAnsi="宋体" w:eastAsia="宋体" w:cs="宋体"/>
                <w:b w:val="0"/>
                <w:bCs w:val="0"/>
                <w:color w:val="auto"/>
                <w:sz w:val="21"/>
                <w:szCs w:val="21"/>
                <w:highlight w:val="none"/>
                <w:lang w:eastAsia="zh-CN"/>
              </w:rPr>
              <w:t>查询网站一致，未按要求提供或不符合不予得分。</w:t>
            </w:r>
            <w:r>
              <w:rPr>
                <w:rFonts w:hint="eastAsia" w:ascii="宋体" w:hAnsi="宋体" w:eastAsia="宋体" w:cs="宋体"/>
                <w:b w:val="0"/>
                <w:bCs w:val="0"/>
                <w:color w:val="auto"/>
                <w:sz w:val="21"/>
                <w:szCs w:val="21"/>
                <w:highlight w:val="none"/>
              </w:rPr>
              <w:t>检测内容须符合招标技术要求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同一产品所有技术指标须在同一份检测报告中体现</w:t>
            </w:r>
            <w:r>
              <w:rPr>
                <w:rFonts w:hint="eastAsia" w:ascii="宋体" w:hAnsi="宋体" w:eastAsia="宋体" w:cs="宋体"/>
                <w:b w:val="0"/>
                <w:bCs w:val="0"/>
                <w:color w:val="auto"/>
                <w:sz w:val="21"/>
                <w:szCs w:val="21"/>
                <w:highlight w:val="none"/>
                <w:lang w:eastAsia="zh-CN"/>
              </w:rPr>
              <w:t>。</w:t>
            </w:r>
          </w:p>
        </w:tc>
      </w:tr>
      <w:tr w14:paraId="34C170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0" w:type="auto"/>
            <w:vMerge w:val="restart"/>
            <w:shd w:val="clear" w:color="auto" w:fill="auto"/>
            <w:vAlign w:val="center"/>
          </w:tcPr>
          <w:p w14:paraId="4989AC65">
            <w:pPr>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2</w:t>
            </w:r>
          </w:p>
        </w:tc>
        <w:tc>
          <w:tcPr>
            <w:tcW w:w="0" w:type="auto"/>
            <w:vMerge w:val="restart"/>
            <w:shd w:val="clear" w:color="auto" w:fill="auto"/>
            <w:vAlign w:val="center"/>
          </w:tcPr>
          <w:p w14:paraId="244B98A7">
            <w:pPr>
              <w:keepNext w:val="0"/>
              <w:keepLines w:val="0"/>
              <w:widowControl/>
              <w:suppressLineNumbers w:val="0"/>
              <w:jc w:val="center"/>
              <w:textAlignment w:val="center"/>
              <w:rPr>
                <w:rFonts w:hint="default" w:asciiTheme="minorEastAsia" w:hAnsiTheme="minorEastAsia" w:eastAsiaTheme="minorEastAsia" w:cstheme="minorEastAsia"/>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遮阳卷帘</w:t>
            </w:r>
          </w:p>
        </w:tc>
        <w:tc>
          <w:tcPr>
            <w:tcW w:w="0" w:type="auto"/>
            <w:shd w:val="clear" w:color="auto" w:fill="auto"/>
            <w:vAlign w:val="center"/>
          </w:tcPr>
          <w:p w14:paraId="6D359898">
            <w:pPr>
              <w:keepNext w:val="0"/>
              <w:keepLines w:val="0"/>
              <w:pageBreakBefore w:val="0"/>
              <w:widowControl/>
              <w:suppressLineNumbers w:val="0"/>
              <w:kinsoku/>
              <w:wordWrap/>
              <w:overflowPunct/>
              <w:topLinePunct w:val="0"/>
              <w:bidi w:val="0"/>
              <w:adjustRightInd/>
              <w:snapToGrid/>
              <w:jc w:val="both"/>
              <w:outlineLvl w:val="9"/>
              <w:rPr>
                <w:rFonts w:hint="eastAsia" w:ascii="宋体" w:hAnsi="宋体" w:eastAsia="宋体" w:cs="宋体"/>
                <w:b/>
                <w:bCs/>
                <w:color w:val="000000"/>
                <w:kern w:val="2"/>
                <w:sz w:val="21"/>
                <w:szCs w:val="21"/>
                <w:lang w:val="en-US" w:eastAsia="zh-CN" w:bidi="ar-SA"/>
              </w:rPr>
            </w:pPr>
            <w:r>
              <w:rPr>
                <w:rFonts w:hint="eastAsia" w:ascii="宋体" w:hAnsi="宋体" w:eastAsia="宋体" w:cs="宋体"/>
                <w:b/>
                <w:bCs/>
                <w:color w:val="000000"/>
                <w:kern w:val="2"/>
                <w:sz w:val="21"/>
                <w:szCs w:val="21"/>
                <w:lang w:val="en-US" w:eastAsia="zh-CN" w:bidi="ar-SA"/>
              </w:rPr>
              <w:t>1、以下</w:t>
            </w:r>
            <w:r>
              <w:rPr>
                <w:rFonts w:hint="eastAsia" w:ascii="宋体" w:hAnsi="宋体" w:cs="宋体"/>
                <w:b/>
                <w:bCs/>
                <w:color w:val="000000"/>
                <w:kern w:val="2"/>
                <w:sz w:val="21"/>
                <w:szCs w:val="21"/>
                <w:lang w:val="en-US" w:eastAsia="zh-CN" w:bidi="ar-SA"/>
              </w:rPr>
              <w:t>1.1-1.9</w:t>
            </w:r>
            <w:r>
              <w:rPr>
                <w:rFonts w:hint="eastAsia" w:ascii="宋体" w:hAnsi="宋体" w:eastAsia="宋体" w:cs="宋体"/>
                <w:b/>
                <w:bCs/>
                <w:color w:val="000000"/>
                <w:kern w:val="2"/>
                <w:sz w:val="21"/>
                <w:szCs w:val="21"/>
                <w:lang w:val="en-US" w:eastAsia="zh-CN" w:bidi="ar-SA"/>
              </w:rPr>
              <w:t>需符合GB/T 19817-2005标准：</w:t>
            </w:r>
          </w:p>
          <w:p w14:paraId="41A26ED0">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1.1甲醛含量；</w:t>
            </w:r>
          </w:p>
          <w:p w14:paraId="2CD4FFE7">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1.2pH值；</w:t>
            </w:r>
          </w:p>
          <w:p w14:paraId="579534F4">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1.3异味；</w:t>
            </w:r>
          </w:p>
          <w:p w14:paraId="722FA280">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1.4可分解致癌芳香胺染料；</w:t>
            </w:r>
          </w:p>
          <w:p w14:paraId="308F935E">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1.5水洗尺寸变化率；</w:t>
            </w:r>
          </w:p>
          <w:p w14:paraId="01BB6743">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1.6耐洗色牢度；</w:t>
            </w:r>
          </w:p>
          <w:p w14:paraId="0941ACB4">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1.7耐干洗色牢度；</w:t>
            </w:r>
          </w:p>
          <w:p w14:paraId="4AE0F114">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1.8耐水色牢度；</w:t>
            </w:r>
          </w:p>
          <w:p w14:paraId="4EDBD164">
            <w:pPr>
              <w:bidi w:val="0"/>
              <w:rPr>
                <w:rFonts w:hint="default" w:asciiTheme="minorEastAsia" w:hAnsiTheme="minorEastAsia" w:eastAsiaTheme="minorEastAsia" w:cstheme="minorEastAsia"/>
                <w:b/>
                <w:bCs/>
                <w:color w:val="FF0000"/>
                <w:kern w:val="2"/>
                <w:sz w:val="21"/>
                <w:szCs w:val="24"/>
                <w:lang w:val="en-US" w:eastAsia="zh-CN" w:bidi="ar-SA"/>
              </w:rPr>
            </w:pPr>
            <w:r>
              <w:rPr>
                <w:rFonts w:hint="eastAsia" w:ascii="宋体" w:hAnsi="宋体" w:eastAsia="宋体" w:cs="宋体"/>
                <w:b w:val="0"/>
                <w:bCs w:val="0"/>
                <w:color w:val="000000"/>
                <w:kern w:val="2"/>
                <w:sz w:val="21"/>
                <w:szCs w:val="21"/>
                <w:lang w:val="en-US" w:eastAsia="zh-CN" w:bidi="ar-SA"/>
              </w:rPr>
              <w:t>1.9干洗尺寸变化率；</w:t>
            </w:r>
          </w:p>
        </w:tc>
      </w:tr>
      <w:tr w14:paraId="7662CC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 w:hRule="atLeast"/>
        </w:trPr>
        <w:tc>
          <w:tcPr>
            <w:tcW w:w="0" w:type="auto"/>
            <w:vMerge w:val="continue"/>
            <w:shd w:val="clear" w:color="auto" w:fill="auto"/>
            <w:vAlign w:val="center"/>
          </w:tcPr>
          <w:p w14:paraId="2292A3FC">
            <w:pPr>
              <w:jc w:val="center"/>
              <w:rPr>
                <w:rFonts w:hint="eastAsia"/>
                <w:bCs/>
                <w:szCs w:val="21"/>
                <w:lang w:val="en-US" w:eastAsia="zh-CN"/>
              </w:rPr>
            </w:pPr>
          </w:p>
        </w:tc>
        <w:tc>
          <w:tcPr>
            <w:tcW w:w="0" w:type="auto"/>
            <w:vMerge w:val="continue"/>
            <w:shd w:val="clear" w:color="auto" w:fill="auto"/>
            <w:vAlign w:val="center"/>
          </w:tcPr>
          <w:p w14:paraId="2BC61E1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shd w:val="clear" w:color="auto" w:fill="auto"/>
            <w:vAlign w:val="center"/>
          </w:tcPr>
          <w:p w14:paraId="544C427E">
            <w:pPr>
              <w:keepNext w:val="0"/>
              <w:keepLines w:val="0"/>
              <w:pageBreakBefore w:val="0"/>
              <w:kinsoku/>
              <w:wordWrap/>
              <w:overflowPunct/>
              <w:topLinePunct w:val="0"/>
              <w:bidi w:val="0"/>
              <w:adjustRightInd/>
              <w:snapToGrid/>
              <w:jc w:val="both"/>
              <w:outlineLvl w:val="9"/>
              <w:rPr>
                <w:rFonts w:hint="eastAsia" w:ascii="宋体" w:hAnsi="宋体" w:eastAsia="宋体" w:cs="宋体"/>
                <w:b/>
                <w:bCs/>
                <w:color w:val="000000"/>
                <w:kern w:val="2"/>
                <w:sz w:val="21"/>
                <w:szCs w:val="21"/>
                <w:highlight w:val="none"/>
                <w:shd w:val="clear" w:color="auto" w:fill="auto"/>
                <w:lang w:val="en-US" w:eastAsia="zh-CN" w:bidi="ar-SA"/>
              </w:rPr>
            </w:pPr>
            <w:r>
              <w:rPr>
                <w:rFonts w:hint="eastAsia" w:ascii="宋体" w:hAnsi="宋体" w:eastAsia="宋体" w:cs="宋体"/>
                <w:b/>
                <w:bCs/>
                <w:color w:val="000000"/>
                <w:kern w:val="2"/>
                <w:sz w:val="21"/>
                <w:szCs w:val="21"/>
                <w:highlight w:val="none"/>
                <w:shd w:val="clear" w:color="auto" w:fill="auto"/>
                <w:lang w:val="en-US" w:eastAsia="zh-CN" w:bidi="ar-SA"/>
              </w:rPr>
              <w:t>2、</w:t>
            </w:r>
            <w:r>
              <w:rPr>
                <w:rFonts w:hint="eastAsia" w:ascii="宋体" w:hAnsi="宋体" w:cs="宋体"/>
                <w:b/>
                <w:bCs/>
                <w:color w:val="000000"/>
                <w:kern w:val="2"/>
                <w:sz w:val="21"/>
                <w:szCs w:val="21"/>
                <w:highlight w:val="none"/>
                <w:shd w:val="clear" w:color="auto" w:fill="auto"/>
                <w:lang w:val="en-US" w:eastAsia="zh-CN" w:bidi="ar-SA"/>
              </w:rPr>
              <w:t>以下2.1-2.8对照相关检测依据需符合基本要求</w:t>
            </w:r>
            <w:r>
              <w:rPr>
                <w:rFonts w:hint="eastAsia" w:ascii="宋体" w:hAnsi="宋体" w:eastAsia="宋体" w:cs="宋体"/>
                <w:b/>
                <w:bCs/>
                <w:color w:val="000000"/>
                <w:kern w:val="2"/>
                <w:sz w:val="21"/>
                <w:szCs w:val="21"/>
                <w:highlight w:val="none"/>
                <w:shd w:val="clear" w:color="auto" w:fill="auto"/>
                <w:lang w:val="en-US" w:eastAsia="zh-CN" w:bidi="ar-SA"/>
              </w:rPr>
              <w:t>：</w:t>
            </w:r>
          </w:p>
          <w:p w14:paraId="56997520">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2.1</w:t>
            </w:r>
            <w:r>
              <w:rPr>
                <w:rFonts w:hint="eastAsia" w:ascii="宋体" w:hAnsi="宋体" w:cs="宋体"/>
                <w:b w:val="0"/>
                <w:bCs w:val="0"/>
                <w:color w:val="000000"/>
                <w:kern w:val="2"/>
                <w:sz w:val="21"/>
                <w:szCs w:val="21"/>
                <w:lang w:val="en-US" w:eastAsia="zh-CN" w:bidi="ar-SA"/>
              </w:rPr>
              <w:t>纤维含量</w:t>
            </w:r>
            <w:r>
              <w:rPr>
                <w:rFonts w:hint="eastAsia" w:ascii="宋体" w:hAnsi="宋体" w:eastAsia="宋体" w:cs="宋体"/>
                <w:b w:val="0"/>
                <w:bCs w:val="0"/>
                <w:color w:val="000000"/>
                <w:kern w:val="2"/>
                <w:sz w:val="21"/>
                <w:szCs w:val="21"/>
                <w:lang w:val="en-US" w:eastAsia="zh-CN" w:bidi="ar-SA"/>
              </w:rPr>
              <w:t>：100%聚酯纤维</w:t>
            </w:r>
            <w:r>
              <w:rPr>
                <w:rFonts w:hint="eastAsia" w:ascii="宋体" w:hAnsi="宋体" w:cs="宋体"/>
                <w:b w:val="0"/>
                <w:bCs w:val="0"/>
                <w:color w:val="000000"/>
                <w:kern w:val="2"/>
                <w:sz w:val="21"/>
                <w:szCs w:val="21"/>
                <w:lang w:val="en-US" w:eastAsia="zh-CN" w:bidi="ar-SA"/>
              </w:rPr>
              <w:t>，检测依据FZ/T01057.1-2007</w:t>
            </w:r>
            <w:r>
              <w:rPr>
                <w:rFonts w:hint="eastAsia" w:ascii="宋体" w:hAnsi="宋体" w:eastAsia="宋体" w:cs="宋体"/>
                <w:b w:val="0"/>
                <w:bCs w:val="0"/>
                <w:color w:val="000000"/>
                <w:kern w:val="2"/>
                <w:sz w:val="21"/>
                <w:szCs w:val="21"/>
                <w:lang w:val="en-US" w:eastAsia="zh-CN" w:bidi="ar-SA"/>
              </w:rPr>
              <w:t>；</w:t>
            </w:r>
          </w:p>
          <w:p w14:paraId="5DFBB688">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2.2</w:t>
            </w:r>
            <w:r>
              <w:rPr>
                <w:rFonts w:hint="eastAsia" w:ascii="宋体" w:hAnsi="宋体" w:eastAsia="宋体" w:cs="宋体"/>
                <w:b w:val="0"/>
                <w:bCs w:val="0"/>
                <w:color w:val="auto"/>
                <w:kern w:val="2"/>
                <w:sz w:val="21"/>
                <w:szCs w:val="21"/>
                <w:highlight w:val="none"/>
                <w:lang w:val="en-US" w:eastAsia="zh-CN" w:bidi="ar-SA"/>
              </w:rPr>
              <w:t>单位面积质量（g/㎡）：≥</w:t>
            </w:r>
            <w:r>
              <w:rPr>
                <w:rFonts w:hint="eastAsia" w:ascii="宋体" w:hAnsi="宋体" w:cs="宋体"/>
                <w:b w:val="0"/>
                <w:bCs w:val="0"/>
                <w:color w:val="auto"/>
                <w:kern w:val="2"/>
                <w:sz w:val="21"/>
                <w:szCs w:val="21"/>
                <w:highlight w:val="none"/>
                <w:lang w:val="en-US" w:eastAsia="zh-CN" w:bidi="ar-SA"/>
              </w:rPr>
              <w:t>350，检测依据GB/T4669-2008</w:t>
            </w:r>
            <w:r>
              <w:rPr>
                <w:rFonts w:hint="eastAsia" w:ascii="宋体" w:hAnsi="宋体" w:eastAsia="宋体" w:cs="宋体"/>
                <w:b w:val="0"/>
                <w:bCs w:val="0"/>
                <w:color w:val="auto"/>
                <w:kern w:val="2"/>
                <w:sz w:val="21"/>
                <w:szCs w:val="21"/>
                <w:highlight w:val="none"/>
                <w:lang w:val="en-US" w:eastAsia="zh-CN" w:bidi="ar-SA"/>
              </w:rPr>
              <w:t>；</w:t>
            </w:r>
          </w:p>
          <w:p w14:paraId="66A70476">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2.3断裂强力（N）：经向≥</w:t>
            </w:r>
            <w:r>
              <w:rPr>
                <w:rFonts w:hint="eastAsia" w:ascii="宋体" w:hAnsi="宋体" w:cs="宋体"/>
                <w:b w:val="0"/>
                <w:bCs w:val="0"/>
                <w:color w:val="000000"/>
                <w:kern w:val="2"/>
                <w:sz w:val="21"/>
                <w:szCs w:val="21"/>
                <w:lang w:val="en-US" w:eastAsia="zh-CN" w:bidi="ar-SA"/>
              </w:rPr>
              <w:t>1500</w:t>
            </w:r>
            <w:r>
              <w:rPr>
                <w:rFonts w:hint="eastAsia" w:ascii="宋体" w:hAnsi="宋体" w:eastAsia="宋体" w:cs="宋体"/>
                <w:b w:val="0"/>
                <w:bCs w:val="0"/>
                <w:color w:val="000000"/>
                <w:kern w:val="2"/>
                <w:sz w:val="21"/>
                <w:szCs w:val="21"/>
                <w:lang w:val="en-US" w:eastAsia="zh-CN" w:bidi="ar-SA"/>
              </w:rPr>
              <w:t>、纬向≥500</w:t>
            </w:r>
            <w:r>
              <w:rPr>
                <w:rFonts w:hint="eastAsia" w:ascii="宋体" w:hAnsi="宋体" w:cs="宋体"/>
                <w:b w:val="0"/>
                <w:bCs w:val="0"/>
                <w:color w:val="000000"/>
                <w:kern w:val="2"/>
                <w:sz w:val="21"/>
                <w:szCs w:val="21"/>
                <w:lang w:val="en-US" w:eastAsia="zh-CN" w:bidi="ar-SA"/>
              </w:rPr>
              <w:t>，检测依据GB/T3923.1-2013</w:t>
            </w:r>
            <w:r>
              <w:rPr>
                <w:rFonts w:hint="eastAsia" w:ascii="宋体" w:hAnsi="宋体" w:eastAsia="宋体" w:cs="宋体"/>
                <w:b w:val="0"/>
                <w:bCs w:val="0"/>
                <w:color w:val="000000"/>
                <w:kern w:val="2"/>
                <w:sz w:val="21"/>
                <w:szCs w:val="21"/>
                <w:lang w:val="en-US" w:eastAsia="zh-CN" w:bidi="ar-SA"/>
              </w:rPr>
              <w:t>；</w:t>
            </w:r>
          </w:p>
          <w:p w14:paraId="31D9D732">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2.4织物密度（根/10cm）：经密≥</w:t>
            </w:r>
            <w:r>
              <w:rPr>
                <w:rFonts w:hint="eastAsia" w:ascii="宋体" w:hAnsi="宋体" w:cs="宋体"/>
                <w:b w:val="0"/>
                <w:bCs w:val="0"/>
                <w:color w:val="000000"/>
                <w:kern w:val="2"/>
                <w:sz w:val="21"/>
                <w:szCs w:val="21"/>
                <w:lang w:val="en-US" w:eastAsia="zh-CN" w:bidi="ar-SA"/>
              </w:rPr>
              <w:t>2</w:t>
            </w:r>
            <w:r>
              <w:rPr>
                <w:rFonts w:hint="eastAsia" w:ascii="宋体" w:hAnsi="宋体" w:eastAsia="宋体" w:cs="宋体"/>
                <w:b w:val="0"/>
                <w:bCs w:val="0"/>
                <w:color w:val="000000"/>
                <w:kern w:val="2"/>
                <w:sz w:val="21"/>
                <w:szCs w:val="21"/>
                <w:lang w:val="en-US" w:eastAsia="zh-CN" w:bidi="ar-SA"/>
              </w:rPr>
              <w:t>00，纬密≥</w:t>
            </w:r>
            <w:r>
              <w:rPr>
                <w:rFonts w:hint="eastAsia" w:ascii="宋体" w:hAnsi="宋体" w:cs="宋体"/>
                <w:b w:val="0"/>
                <w:bCs w:val="0"/>
                <w:color w:val="000000"/>
                <w:kern w:val="2"/>
                <w:sz w:val="21"/>
                <w:szCs w:val="21"/>
                <w:lang w:val="en-US" w:eastAsia="zh-CN" w:bidi="ar-SA"/>
              </w:rPr>
              <w:t>2</w:t>
            </w:r>
            <w:r>
              <w:rPr>
                <w:rFonts w:hint="eastAsia" w:ascii="宋体" w:hAnsi="宋体" w:eastAsia="宋体" w:cs="宋体"/>
                <w:b w:val="0"/>
                <w:bCs w:val="0"/>
                <w:color w:val="000000"/>
                <w:kern w:val="2"/>
                <w:sz w:val="21"/>
                <w:szCs w:val="21"/>
                <w:lang w:val="en-US" w:eastAsia="zh-CN" w:bidi="ar-SA"/>
              </w:rPr>
              <w:t>00</w:t>
            </w:r>
            <w:r>
              <w:rPr>
                <w:rFonts w:hint="eastAsia" w:ascii="宋体" w:hAnsi="宋体" w:cs="宋体"/>
                <w:b w:val="0"/>
                <w:bCs w:val="0"/>
                <w:color w:val="000000"/>
                <w:kern w:val="2"/>
                <w:sz w:val="21"/>
                <w:szCs w:val="21"/>
                <w:lang w:val="en-US" w:eastAsia="zh-CN" w:bidi="ar-SA"/>
              </w:rPr>
              <w:t>，检测依据GB/T4668-1995</w:t>
            </w:r>
            <w:r>
              <w:rPr>
                <w:rFonts w:hint="eastAsia" w:ascii="宋体" w:hAnsi="宋体" w:eastAsia="宋体" w:cs="宋体"/>
                <w:b w:val="0"/>
                <w:bCs w:val="0"/>
                <w:color w:val="000000"/>
                <w:kern w:val="2"/>
                <w:sz w:val="21"/>
                <w:szCs w:val="21"/>
                <w:lang w:val="en-US" w:eastAsia="zh-CN" w:bidi="ar-SA"/>
              </w:rPr>
              <w:t>；</w:t>
            </w:r>
          </w:p>
          <w:p w14:paraId="4514D49F">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2.5厚度（mm）：≥0.</w:t>
            </w:r>
            <w:r>
              <w:rPr>
                <w:rFonts w:hint="eastAsia" w:ascii="宋体" w:hAnsi="宋体" w:cs="宋体"/>
                <w:b w:val="0"/>
                <w:bCs w:val="0"/>
                <w:color w:val="000000"/>
                <w:kern w:val="2"/>
                <w:sz w:val="21"/>
                <w:szCs w:val="21"/>
                <w:lang w:val="en-US" w:eastAsia="zh-CN" w:bidi="ar-SA"/>
              </w:rPr>
              <w:t>6，检测依据GB/T3820-1997</w:t>
            </w:r>
            <w:r>
              <w:rPr>
                <w:rFonts w:hint="eastAsia" w:ascii="宋体" w:hAnsi="宋体" w:eastAsia="宋体" w:cs="宋体"/>
                <w:b w:val="0"/>
                <w:bCs w:val="0"/>
                <w:color w:val="000000"/>
                <w:kern w:val="2"/>
                <w:sz w:val="21"/>
                <w:szCs w:val="21"/>
                <w:lang w:val="en-US" w:eastAsia="zh-CN" w:bidi="ar-SA"/>
              </w:rPr>
              <w:t>；</w:t>
            </w:r>
          </w:p>
          <w:p w14:paraId="6E671D11">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2.6纱线线密度：经纱≤</w:t>
            </w:r>
            <w:r>
              <w:rPr>
                <w:rFonts w:hint="eastAsia" w:ascii="宋体" w:hAnsi="宋体" w:cs="宋体"/>
                <w:b w:val="0"/>
                <w:bCs w:val="0"/>
                <w:color w:val="000000"/>
                <w:kern w:val="2"/>
                <w:sz w:val="21"/>
                <w:szCs w:val="21"/>
                <w:lang w:val="en-US" w:eastAsia="zh-CN" w:bidi="ar-SA"/>
              </w:rPr>
              <w:t>60</w:t>
            </w:r>
            <w:r>
              <w:rPr>
                <w:rFonts w:hint="eastAsia" w:ascii="宋体" w:hAnsi="宋体" w:eastAsia="宋体" w:cs="宋体"/>
                <w:b w:val="0"/>
                <w:bCs w:val="0"/>
                <w:color w:val="000000"/>
                <w:kern w:val="2"/>
                <w:sz w:val="21"/>
                <w:szCs w:val="21"/>
                <w:lang w:val="en-US" w:eastAsia="zh-CN" w:bidi="ar-SA"/>
              </w:rPr>
              <w:t>tex；纬纱≤</w:t>
            </w:r>
            <w:r>
              <w:rPr>
                <w:rFonts w:hint="eastAsia" w:ascii="宋体" w:hAnsi="宋体" w:cs="宋体"/>
                <w:b w:val="0"/>
                <w:bCs w:val="0"/>
                <w:color w:val="000000"/>
                <w:kern w:val="2"/>
                <w:sz w:val="21"/>
                <w:szCs w:val="21"/>
                <w:lang w:val="en-US" w:eastAsia="zh-CN" w:bidi="ar-SA"/>
              </w:rPr>
              <w:t>45</w:t>
            </w:r>
            <w:r>
              <w:rPr>
                <w:rFonts w:hint="eastAsia" w:ascii="宋体" w:hAnsi="宋体" w:eastAsia="宋体" w:cs="宋体"/>
                <w:b w:val="0"/>
                <w:bCs w:val="0"/>
                <w:color w:val="000000"/>
                <w:kern w:val="2"/>
                <w:sz w:val="21"/>
                <w:szCs w:val="21"/>
                <w:lang w:val="en-US" w:eastAsia="zh-CN" w:bidi="ar-SA"/>
              </w:rPr>
              <w:t>tex</w:t>
            </w:r>
            <w:r>
              <w:rPr>
                <w:rFonts w:hint="eastAsia" w:ascii="宋体" w:hAnsi="宋体" w:cs="宋体"/>
                <w:b w:val="0"/>
                <w:bCs w:val="0"/>
                <w:color w:val="000000"/>
                <w:kern w:val="2"/>
                <w:sz w:val="21"/>
                <w:szCs w:val="21"/>
                <w:lang w:val="en-US" w:eastAsia="zh-CN" w:bidi="ar-SA"/>
              </w:rPr>
              <w:t>，检测依据GB/T29256.5-2012</w:t>
            </w:r>
            <w:r>
              <w:rPr>
                <w:rFonts w:hint="eastAsia" w:ascii="宋体" w:hAnsi="宋体" w:eastAsia="宋体" w:cs="宋体"/>
                <w:b w:val="0"/>
                <w:bCs w:val="0"/>
                <w:color w:val="000000"/>
                <w:kern w:val="2"/>
                <w:sz w:val="21"/>
                <w:szCs w:val="21"/>
                <w:lang w:val="en-US" w:eastAsia="zh-CN" w:bidi="ar-SA"/>
              </w:rPr>
              <w:t>；</w:t>
            </w:r>
          </w:p>
          <w:p w14:paraId="6503917D">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leftChars="0" w:right="0" w:rightChars="0"/>
              <w:jc w:val="both"/>
              <w:textAlignment w:val="auto"/>
              <w:outlineLvl w:val="9"/>
              <w:rPr>
                <w:rFonts w:hint="eastAsia" w:ascii="宋体" w:hAnsi="宋体" w:eastAsia="宋体" w:cs="宋体"/>
                <w:b w:val="0"/>
                <w:bCs w:val="0"/>
                <w:color w:val="000000"/>
                <w:kern w:val="2"/>
                <w:sz w:val="21"/>
                <w:szCs w:val="21"/>
                <w:lang w:val="en-US" w:eastAsia="zh-CN" w:bidi="ar-SA"/>
              </w:rPr>
            </w:pPr>
            <w:r>
              <w:rPr>
                <w:rFonts w:hint="eastAsia" w:ascii="宋体" w:hAnsi="宋体" w:eastAsia="宋体" w:cs="宋体"/>
                <w:b w:val="0"/>
                <w:bCs w:val="0"/>
                <w:color w:val="000000"/>
                <w:kern w:val="2"/>
                <w:sz w:val="21"/>
                <w:szCs w:val="21"/>
                <w:lang w:val="en-US" w:eastAsia="zh-CN" w:bidi="ar-SA"/>
              </w:rPr>
              <w:t>2.</w:t>
            </w:r>
            <w:r>
              <w:rPr>
                <w:rFonts w:hint="eastAsia" w:ascii="宋体" w:hAnsi="宋体" w:cs="宋体"/>
                <w:b w:val="0"/>
                <w:bCs w:val="0"/>
                <w:color w:val="000000"/>
                <w:kern w:val="2"/>
                <w:sz w:val="21"/>
                <w:szCs w:val="21"/>
                <w:lang w:val="en-US" w:eastAsia="zh-CN" w:bidi="ar-SA"/>
              </w:rPr>
              <w:t>7</w:t>
            </w:r>
            <w:r>
              <w:rPr>
                <w:rFonts w:hint="eastAsia" w:ascii="宋体" w:hAnsi="宋体" w:eastAsia="宋体" w:cs="宋体"/>
                <w:b w:val="0"/>
                <w:bCs w:val="0"/>
                <w:color w:val="000000"/>
                <w:kern w:val="2"/>
                <w:sz w:val="21"/>
                <w:szCs w:val="21"/>
                <w:lang w:val="en-US" w:eastAsia="zh-CN" w:bidi="ar-SA"/>
              </w:rPr>
              <w:t>远红外性能：远红外发射率≥0.9，远红外辐射温升（℃）≥1.5</w:t>
            </w:r>
            <w:r>
              <w:rPr>
                <w:rFonts w:hint="eastAsia" w:ascii="宋体" w:hAnsi="宋体" w:cs="宋体"/>
                <w:b w:val="0"/>
                <w:bCs w:val="0"/>
                <w:color w:val="000000"/>
                <w:kern w:val="2"/>
                <w:sz w:val="21"/>
                <w:szCs w:val="21"/>
                <w:lang w:val="en-US" w:eastAsia="zh-CN" w:bidi="ar-SA"/>
              </w:rPr>
              <w:t>，检测依据GB/T30127-2013</w:t>
            </w:r>
            <w:r>
              <w:rPr>
                <w:rFonts w:hint="eastAsia" w:ascii="宋体" w:hAnsi="宋体" w:eastAsia="宋体" w:cs="宋体"/>
                <w:b w:val="0"/>
                <w:bCs w:val="0"/>
                <w:color w:val="000000"/>
                <w:kern w:val="2"/>
                <w:sz w:val="21"/>
                <w:szCs w:val="21"/>
                <w:lang w:val="en-US" w:eastAsia="zh-CN" w:bidi="ar-SA"/>
              </w:rPr>
              <w:t>；</w:t>
            </w:r>
          </w:p>
          <w:p w14:paraId="1E99BBFF">
            <w:pPr>
              <w:pStyle w:val="19"/>
              <w:ind w:firstLine="0" w:firstLineChars="0"/>
              <w:rPr>
                <w:rFonts w:hint="default"/>
                <w:lang w:val="en-US" w:eastAsia="zh-CN"/>
              </w:rPr>
            </w:pPr>
            <w:r>
              <w:rPr>
                <w:rFonts w:hint="eastAsia" w:ascii="宋体" w:hAnsi="宋体" w:cs="宋体"/>
                <w:b w:val="0"/>
                <w:bCs w:val="0"/>
                <w:color w:val="000000"/>
                <w:kern w:val="2"/>
                <w:sz w:val="21"/>
                <w:szCs w:val="21"/>
                <w:lang w:val="en-US" w:eastAsia="zh-CN" w:bidi="ar-SA"/>
              </w:rPr>
              <w:t>2.8</w:t>
            </w:r>
            <w:r>
              <w:rPr>
                <w:rFonts w:hint="eastAsia" w:ascii="宋体" w:hAnsi="宋体" w:eastAsia="宋体" w:cs="宋体"/>
                <w:b w:val="0"/>
                <w:bCs w:val="0"/>
                <w:color w:val="000000"/>
                <w:kern w:val="2"/>
                <w:sz w:val="21"/>
                <w:szCs w:val="21"/>
                <w:highlight w:val="none"/>
                <w:shd w:val="clear" w:color="auto" w:fill="auto"/>
                <w:lang w:val="en-US" w:eastAsia="zh-CN" w:bidi="ar-SA"/>
              </w:rPr>
              <w:t>可萃取重金属</w:t>
            </w:r>
            <w:r>
              <w:rPr>
                <w:rFonts w:hint="eastAsia" w:ascii="宋体" w:hAnsi="宋体" w:cs="宋体"/>
                <w:b w:val="0"/>
                <w:bCs w:val="0"/>
                <w:color w:val="000000"/>
                <w:kern w:val="2"/>
                <w:sz w:val="21"/>
                <w:szCs w:val="21"/>
                <w:highlight w:val="none"/>
                <w:shd w:val="clear" w:color="auto" w:fill="auto"/>
                <w:lang w:val="en-US" w:eastAsia="zh-CN" w:bidi="ar-SA"/>
              </w:rPr>
              <w:t>、</w:t>
            </w:r>
            <w:r>
              <w:rPr>
                <w:rFonts w:hint="eastAsia" w:ascii="宋体" w:hAnsi="宋体" w:eastAsia="宋体" w:cs="宋体"/>
                <w:b w:val="0"/>
                <w:bCs w:val="0"/>
                <w:color w:val="000000"/>
                <w:kern w:val="2"/>
                <w:sz w:val="21"/>
                <w:szCs w:val="21"/>
                <w:highlight w:val="none"/>
                <w:shd w:val="clear" w:color="auto" w:fill="auto"/>
                <w:vertAlign w:val="baseline"/>
                <w:lang w:val="en-US" w:eastAsia="zh-CN" w:bidi="ar-SA"/>
              </w:rPr>
              <w:t>邻苯基苯酚</w:t>
            </w:r>
            <w:r>
              <w:rPr>
                <w:rFonts w:hint="eastAsia" w:ascii="宋体" w:hAnsi="宋体" w:cs="宋体"/>
                <w:b w:val="0"/>
                <w:bCs w:val="0"/>
                <w:color w:val="000000"/>
                <w:kern w:val="2"/>
                <w:sz w:val="21"/>
                <w:szCs w:val="21"/>
                <w:highlight w:val="none"/>
                <w:shd w:val="clear" w:color="auto" w:fill="auto"/>
                <w:vertAlign w:val="baseline"/>
                <w:lang w:val="en-US" w:eastAsia="zh-CN" w:bidi="ar-SA"/>
              </w:rPr>
              <w:t>、</w:t>
            </w:r>
            <w:r>
              <w:rPr>
                <w:rFonts w:hint="eastAsia" w:ascii="宋体" w:hAnsi="宋体" w:eastAsia="宋体" w:cs="宋体"/>
                <w:b w:val="0"/>
                <w:bCs w:val="0"/>
                <w:color w:val="000000"/>
                <w:kern w:val="2"/>
                <w:sz w:val="21"/>
                <w:szCs w:val="21"/>
                <w:highlight w:val="none"/>
                <w:shd w:val="clear" w:color="auto" w:fill="auto"/>
                <w:lang w:val="en-US" w:eastAsia="zh-CN" w:bidi="ar-SA"/>
              </w:rPr>
              <w:t>致癌染料</w:t>
            </w:r>
            <w:r>
              <w:rPr>
                <w:rFonts w:hint="eastAsia" w:ascii="宋体" w:hAnsi="宋体" w:cs="宋体"/>
                <w:b w:val="0"/>
                <w:bCs w:val="0"/>
                <w:color w:val="000000"/>
                <w:kern w:val="2"/>
                <w:sz w:val="21"/>
                <w:szCs w:val="21"/>
                <w:highlight w:val="none"/>
                <w:shd w:val="clear" w:color="auto" w:fill="auto"/>
                <w:lang w:val="en-US" w:eastAsia="zh-CN" w:bidi="ar-SA"/>
              </w:rPr>
              <w:t>、</w:t>
            </w:r>
            <w:r>
              <w:rPr>
                <w:rFonts w:hint="eastAsia" w:ascii="宋体" w:hAnsi="宋体" w:eastAsia="宋体" w:cs="宋体"/>
                <w:b w:val="0"/>
                <w:bCs w:val="0"/>
                <w:color w:val="000000"/>
                <w:kern w:val="2"/>
                <w:sz w:val="21"/>
                <w:szCs w:val="21"/>
                <w:highlight w:val="none"/>
                <w:shd w:val="clear" w:color="auto" w:fill="auto"/>
                <w:lang w:val="en-US" w:eastAsia="zh-CN" w:bidi="ar-SA"/>
              </w:rPr>
              <w:t>有机锡化合物</w:t>
            </w:r>
            <w:r>
              <w:rPr>
                <w:rFonts w:hint="eastAsia" w:ascii="宋体" w:hAnsi="宋体" w:cs="宋体"/>
                <w:b w:val="0"/>
                <w:bCs w:val="0"/>
                <w:color w:val="000000"/>
                <w:kern w:val="2"/>
                <w:sz w:val="21"/>
                <w:szCs w:val="21"/>
                <w:highlight w:val="none"/>
                <w:shd w:val="clear" w:color="auto" w:fill="auto"/>
                <w:lang w:val="en-US" w:eastAsia="zh-CN" w:bidi="ar-SA"/>
              </w:rPr>
              <w:t>、</w:t>
            </w:r>
            <w:r>
              <w:rPr>
                <w:rFonts w:hint="eastAsia" w:ascii="宋体" w:hAnsi="宋体" w:eastAsia="宋体" w:cs="宋体"/>
                <w:b w:val="0"/>
                <w:bCs w:val="0"/>
                <w:color w:val="000000"/>
                <w:kern w:val="2"/>
                <w:sz w:val="21"/>
                <w:szCs w:val="21"/>
                <w:highlight w:val="none"/>
                <w:lang w:val="en-US" w:eastAsia="zh-CN" w:bidi="ar-SA"/>
              </w:rPr>
              <w:t>富马酸二甲酯</w:t>
            </w:r>
            <w:r>
              <w:rPr>
                <w:rFonts w:hint="eastAsia" w:ascii="宋体" w:hAnsi="宋体" w:cs="宋体"/>
                <w:b w:val="0"/>
                <w:bCs w:val="0"/>
                <w:color w:val="000000"/>
                <w:kern w:val="2"/>
                <w:sz w:val="21"/>
                <w:szCs w:val="21"/>
                <w:highlight w:val="none"/>
                <w:lang w:val="en-US" w:eastAsia="zh-CN" w:bidi="ar-SA"/>
              </w:rPr>
              <w:t>、</w:t>
            </w:r>
            <w:r>
              <w:rPr>
                <w:rFonts w:hint="eastAsia" w:ascii="宋体" w:hAnsi="宋体" w:eastAsia="宋体" w:cs="宋体"/>
                <w:b w:val="0"/>
                <w:bCs w:val="0"/>
                <w:color w:val="000000"/>
                <w:sz w:val="21"/>
                <w:szCs w:val="21"/>
                <w:highlight w:val="none"/>
                <w:lang w:val="en-US" w:eastAsia="zh-CN"/>
              </w:rPr>
              <w:t>致敏染料（须呈现20种</w:t>
            </w:r>
            <w:r>
              <w:rPr>
                <w:rFonts w:hint="eastAsia" w:ascii="宋体" w:hAnsi="宋体" w:eastAsia="宋体" w:cs="宋体"/>
                <w:color w:val="000000"/>
                <w:kern w:val="0"/>
                <w:sz w:val="21"/>
                <w:szCs w:val="21"/>
                <w:lang w:val="en-US" w:eastAsia="zh-CN"/>
              </w:rPr>
              <w:t>致</w:t>
            </w:r>
            <w:r>
              <w:rPr>
                <w:rFonts w:hint="eastAsia" w:ascii="宋体" w:hAnsi="宋体" w:eastAsia="宋体" w:cs="宋体"/>
                <w:b w:val="0"/>
                <w:bCs/>
                <w:color w:val="000000"/>
                <w:kern w:val="0"/>
                <w:sz w:val="21"/>
                <w:szCs w:val="21"/>
                <w:lang w:val="en-US" w:eastAsia="zh-CN"/>
              </w:rPr>
              <w:t>敏性分散染料检测结果表</w:t>
            </w:r>
            <w:r>
              <w:rPr>
                <w:rFonts w:hint="eastAsia" w:ascii="宋体" w:hAnsi="宋体" w:eastAsia="宋体" w:cs="宋体"/>
                <w:b w:val="0"/>
                <w:bCs/>
                <w:color w:val="000000"/>
                <w:sz w:val="21"/>
                <w:szCs w:val="21"/>
                <w:highlight w:val="none"/>
                <w:shd w:val="clear" w:color="auto" w:fill="auto"/>
                <w:lang w:val="en-US" w:eastAsia="zh-CN"/>
              </w:rPr>
              <w:t>。）</w:t>
            </w:r>
            <w:r>
              <w:rPr>
                <w:rFonts w:hint="eastAsia" w:ascii="宋体" w:hAnsi="宋体" w:eastAsia="宋体" w:cs="宋体"/>
                <w:b w:val="0"/>
                <w:bCs/>
                <w:color w:val="000000"/>
                <w:kern w:val="2"/>
                <w:sz w:val="21"/>
                <w:szCs w:val="21"/>
                <w:highlight w:val="none"/>
                <w:shd w:val="clear" w:color="auto" w:fill="auto"/>
                <w:lang w:val="en-US" w:eastAsia="zh-CN" w:bidi="ar-SA"/>
              </w:rPr>
              <w:t>需符合GB/T18885-2020标准</w:t>
            </w:r>
            <w:r>
              <w:rPr>
                <w:rFonts w:hint="eastAsia" w:ascii="宋体" w:hAnsi="宋体" w:cs="宋体"/>
                <w:b w:val="0"/>
                <w:bCs/>
                <w:color w:val="000000"/>
                <w:kern w:val="2"/>
                <w:sz w:val="21"/>
                <w:szCs w:val="21"/>
                <w:highlight w:val="none"/>
                <w:shd w:val="clear" w:color="auto" w:fill="auto"/>
                <w:lang w:val="en-US" w:eastAsia="zh-CN" w:bidi="ar-SA"/>
              </w:rPr>
              <w:t>。</w:t>
            </w:r>
          </w:p>
        </w:tc>
      </w:tr>
      <w:tr w14:paraId="19B047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0" w:type="auto"/>
            <w:vMerge w:val="restart"/>
            <w:shd w:val="clear" w:color="auto" w:fill="auto"/>
            <w:vAlign w:val="center"/>
          </w:tcPr>
          <w:p w14:paraId="370AF828">
            <w:pPr>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3</w:t>
            </w:r>
          </w:p>
        </w:tc>
        <w:tc>
          <w:tcPr>
            <w:tcW w:w="0" w:type="auto"/>
            <w:vMerge w:val="restart"/>
            <w:shd w:val="clear" w:color="auto" w:fill="auto"/>
            <w:vAlign w:val="center"/>
          </w:tcPr>
          <w:p w14:paraId="17CF603B">
            <w:pPr>
              <w:keepNext w:val="0"/>
              <w:keepLines w:val="0"/>
              <w:widowControl/>
              <w:suppressLineNumbers w:val="0"/>
              <w:jc w:val="center"/>
              <w:textAlignment w:val="center"/>
              <w:rPr>
                <w:rFonts w:hint="default" w:asciiTheme="minorEastAsia" w:hAnsiTheme="minorEastAsia" w:eastAsiaTheme="minorEastAsia" w:cstheme="minorEastAsia"/>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遮光窗帘</w:t>
            </w:r>
          </w:p>
        </w:tc>
        <w:tc>
          <w:tcPr>
            <w:tcW w:w="0" w:type="auto"/>
          </w:tcPr>
          <w:p w14:paraId="402CFA29">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bCs/>
                <w:color w:val="000000"/>
                <w:kern w:val="2"/>
                <w:sz w:val="21"/>
                <w:szCs w:val="21"/>
                <w:highlight w:val="none"/>
                <w:lang w:val="en-US" w:eastAsia="zh-CN" w:bidi="ar-SA"/>
              </w:rPr>
              <w:t>1、以下</w:t>
            </w:r>
            <w:r>
              <w:rPr>
                <w:rFonts w:hint="eastAsia" w:ascii="宋体" w:hAnsi="宋体" w:cs="宋体"/>
                <w:b/>
                <w:bCs/>
                <w:color w:val="000000"/>
                <w:kern w:val="2"/>
                <w:sz w:val="21"/>
                <w:szCs w:val="21"/>
                <w:highlight w:val="none"/>
                <w:lang w:val="en-US" w:eastAsia="zh-CN" w:bidi="ar-SA"/>
              </w:rPr>
              <w:t>1.1-1.9</w:t>
            </w:r>
            <w:r>
              <w:rPr>
                <w:rFonts w:hint="eastAsia" w:ascii="宋体" w:hAnsi="宋体" w:eastAsia="宋体" w:cs="宋体"/>
                <w:b/>
                <w:bCs/>
                <w:color w:val="000000"/>
                <w:kern w:val="2"/>
                <w:sz w:val="21"/>
                <w:szCs w:val="21"/>
                <w:highlight w:val="none"/>
                <w:lang w:val="en-US" w:eastAsia="zh-CN" w:bidi="ar-SA"/>
              </w:rPr>
              <w:t>需符合GB/T19817-2005标准：</w:t>
            </w:r>
          </w:p>
          <w:p w14:paraId="5D00BA25">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1.1水洗尺寸变化率；</w:t>
            </w:r>
          </w:p>
          <w:p w14:paraId="7CBC9180">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1.2干洗尺寸变化率；</w:t>
            </w:r>
          </w:p>
          <w:p w14:paraId="7789FDE8">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1.3pH值；</w:t>
            </w:r>
          </w:p>
          <w:p w14:paraId="57DA471C">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1.4甲醛含量；</w:t>
            </w:r>
          </w:p>
          <w:p w14:paraId="74B8B045">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1.5耐水色牢度</w:t>
            </w:r>
            <w:r>
              <w:rPr>
                <w:rFonts w:hint="eastAsia" w:ascii="宋体" w:hAnsi="宋体" w:cs="宋体"/>
                <w:b w:val="0"/>
                <w:bCs w:val="0"/>
                <w:color w:val="000000"/>
                <w:kern w:val="2"/>
                <w:sz w:val="21"/>
                <w:szCs w:val="21"/>
                <w:highlight w:val="none"/>
                <w:shd w:val="clear" w:color="auto" w:fill="auto"/>
                <w:lang w:val="en-US" w:eastAsia="zh-CN" w:bidi="ar-SA"/>
              </w:rPr>
              <w:t>；</w:t>
            </w:r>
          </w:p>
          <w:p w14:paraId="2D7561ED">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1.6耐干摩擦色牢度；</w:t>
            </w:r>
          </w:p>
          <w:p w14:paraId="1F3A8E77">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1.7耐湿摩擦色牢度；</w:t>
            </w:r>
          </w:p>
          <w:p w14:paraId="295FFDE9">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1.8耐洗色牢度；</w:t>
            </w:r>
          </w:p>
          <w:p w14:paraId="18F50941">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default" w:asciiTheme="minorEastAsia" w:hAnsiTheme="minorEastAsia" w:eastAsiaTheme="minorEastAsia" w:cstheme="minorEastAsia"/>
                <w:b/>
                <w:bCs/>
                <w:color w:val="FF0000"/>
                <w:lang w:val="en-US" w:eastAsia="zh-CN"/>
              </w:rPr>
            </w:pPr>
            <w:r>
              <w:rPr>
                <w:rFonts w:hint="eastAsia" w:ascii="宋体" w:hAnsi="宋体" w:eastAsia="宋体" w:cs="宋体"/>
                <w:b w:val="0"/>
                <w:bCs w:val="0"/>
                <w:color w:val="000000"/>
                <w:kern w:val="2"/>
                <w:sz w:val="21"/>
                <w:szCs w:val="21"/>
                <w:highlight w:val="none"/>
                <w:shd w:val="clear" w:color="auto" w:fill="auto"/>
                <w:lang w:val="en-US" w:eastAsia="zh-CN" w:bidi="ar-SA"/>
              </w:rPr>
              <w:t>1.9耐干洗色牢度；</w:t>
            </w:r>
          </w:p>
        </w:tc>
      </w:tr>
      <w:tr w14:paraId="54A356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4" w:hRule="atLeast"/>
        </w:trPr>
        <w:tc>
          <w:tcPr>
            <w:tcW w:w="0" w:type="auto"/>
            <w:vMerge w:val="continue"/>
            <w:shd w:val="clear" w:color="auto" w:fill="auto"/>
            <w:vAlign w:val="center"/>
          </w:tcPr>
          <w:p w14:paraId="28CF88A6">
            <w:pPr>
              <w:jc w:val="center"/>
              <w:rPr>
                <w:rFonts w:hint="eastAsia"/>
                <w:bCs/>
                <w:szCs w:val="21"/>
                <w:lang w:val="en-US" w:eastAsia="zh-CN"/>
              </w:rPr>
            </w:pPr>
          </w:p>
        </w:tc>
        <w:tc>
          <w:tcPr>
            <w:tcW w:w="0" w:type="auto"/>
            <w:vMerge w:val="continue"/>
            <w:shd w:val="clear" w:color="auto" w:fill="auto"/>
            <w:vAlign w:val="center"/>
          </w:tcPr>
          <w:p w14:paraId="25C915C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3DDB2AFE">
            <w:pPr>
              <w:keepNext w:val="0"/>
              <w:keepLines w:val="0"/>
              <w:pageBreakBefore w:val="0"/>
              <w:widowControl/>
              <w:kinsoku/>
              <w:wordWrap/>
              <w:overflowPunct/>
              <w:topLinePunct w:val="0"/>
              <w:bidi w:val="0"/>
              <w:adjustRightInd/>
              <w:snapToGrid/>
              <w:spacing w:line="240" w:lineRule="auto"/>
              <w:jc w:val="both"/>
              <w:textAlignment w:val="auto"/>
              <w:outlineLvl w:val="9"/>
              <w:rPr>
                <w:rFonts w:hint="eastAsia" w:ascii="宋体" w:hAnsi="宋体" w:eastAsia="宋体" w:cs="宋体"/>
                <w:b/>
                <w:bCs/>
                <w:color w:val="000000"/>
                <w:sz w:val="21"/>
                <w:szCs w:val="21"/>
                <w:highlight w:val="none"/>
              </w:rPr>
            </w:pPr>
            <w:r>
              <w:rPr>
                <w:rFonts w:hint="eastAsia" w:ascii="宋体" w:hAnsi="宋体" w:eastAsia="宋体" w:cs="宋体"/>
                <w:b/>
                <w:bCs/>
                <w:color w:val="000000"/>
                <w:sz w:val="21"/>
                <w:szCs w:val="21"/>
                <w:highlight w:val="none"/>
                <w:lang w:val="en-US" w:eastAsia="zh-CN"/>
              </w:rPr>
              <w:t>▲</w:t>
            </w:r>
            <w:r>
              <w:rPr>
                <w:rFonts w:hint="eastAsia" w:ascii="宋体" w:hAnsi="宋体" w:eastAsia="宋体" w:cs="宋体"/>
                <w:b/>
                <w:bCs/>
                <w:color w:val="000000"/>
                <w:sz w:val="21"/>
                <w:szCs w:val="21"/>
                <w:highlight w:val="none"/>
              </w:rPr>
              <w:t>2、</w:t>
            </w:r>
            <w:r>
              <w:rPr>
                <w:rFonts w:hint="eastAsia" w:ascii="宋体" w:hAnsi="宋体" w:cs="宋体"/>
                <w:b/>
                <w:bCs/>
                <w:color w:val="000000"/>
                <w:kern w:val="2"/>
                <w:sz w:val="21"/>
                <w:szCs w:val="21"/>
                <w:highlight w:val="none"/>
                <w:shd w:val="clear" w:color="auto" w:fill="auto"/>
                <w:lang w:val="en-US" w:eastAsia="zh-CN" w:bidi="ar-SA"/>
              </w:rPr>
              <w:t>以下2.1-2.10对照相关检测依据需符合基本要求</w:t>
            </w:r>
            <w:r>
              <w:rPr>
                <w:rFonts w:hint="eastAsia" w:ascii="宋体" w:hAnsi="宋体" w:eastAsia="宋体" w:cs="宋体"/>
                <w:b/>
                <w:bCs/>
                <w:color w:val="000000"/>
                <w:sz w:val="21"/>
                <w:szCs w:val="21"/>
                <w:highlight w:val="none"/>
              </w:rPr>
              <w:t>：</w:t>
            </w:r>
          </w:p>
          <w:p w14:paraId="08FE1B7C">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2.1</w:t>
            </w:r>
            <w:r>
              <w:rPr>
                <w:rFonts w:hint="eastAsia" w:ascii="宋体" w:hAnsi="宋体" w:cs="宋体"/>
                <w:b w:val="0"/>
                <w:bCs w:val="0"/>
                <w:color w:val="000000"/>
                <w:kern w:val="2"/>
                <w:sz w:val="21"/>
                <w:szCs w:val="21"/>
                <w:highlight w:val="none"/>
                <w:shd w:val="clear" w:color="auto" w:fill="auto"/>
                <w:lang w:val="en-US" w:eastAsia="zh-CN" w:bidi="ar-SA"/>
              </w:rPr>
              <w:t>纤维含量</w:t>
            </w:r>
            <w:r>
              <w:rPr>
                <w:rFonts w:hint="eastAsia" w:ascii="宋体" w:hAnsi="宋体" w:eastAsia="宋体" w:cs="宋体"/>
                <w:b w:val="0"/>
                <w:bCs w:val="0"/>
                <w:color w:val="000000"/>
                <w:kern w:val="2"/>
                <w:sz w:val="21"/>
                <w:szCs w:val="21"/>
                <w:highlight w:val="none"/>
                <w:shd w:val="clear" w:color="auto" w:fill="auto"/>
                <w:lang w:val="en-US" w:eastAsia="zh-CN" w:bidi="ar-SA"/>
              </w:rPr>
              <w:t>：100%聚酯纤维</w:t>
            </w:r>
            <w:r>
              <w:rPr>
                <w:rFonts w:hint="eastAsia" w:ascii="宋体" w:hAnsi="宋体" w:cs="宋体"/>
                <w:b w:val="0"/>
                <w:bCs w:val="0"/>
                <w:color w:val="000000"/>
                <w:kern w:val="2"/>
                <w:sz w:val="21"/>
                <w:szCs w:val="21"/>
                <w:highlight w:val="none"/>
                <w:shd w:val="clear" w:color="auto" w:fill="auto"/>
                <w:lang w:val="en-US" w:eastAsia="zh-CN" w:bidi="ar-SA"/>
              </w:rPr>
              <w:t>，检测依据FZ/T01057.1-2007</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68F833FD">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2.2织物密度（根/10cm）：经密≥1400 纬密≥200</w:t>
            </w:r>
            <w:r>
              <w:rPr>
                <w:rFonts w:hint="eastAsia" w:ascii="宋体" w:hAnsi="宋体" w:cs="宋体"/>
                <w:b w:val="0"/>
                <w:bCs w:val="0"/>
                <w:color w:val="000000"/>
                <w:kern w:val="2"/>
                <w:sz w:val="21"/>
                <w:szCs w:val="21"/>
                <w:highlight w:val="none"/>
                <w:shd w:val="clear" w:color="auto" w:fill="auto"/>
                <w:lang w:val="en-US" w:eastAsia="zh-CN" w:bidi="ar-SA"/>
              </w:rPr>
              <w:t>，检测依据GB/T4668-1995</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23A970D5">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2.3纱线线密度：经纱≥14tex、纬纱≥33tex</w:t>
            </w:r>
            <w:r>
              <w:rPr>
                <w:rFonts w:hint="eastAsia" w:ascii="宋体" w:hAnsi="宋体" w:cs="宋体"/>
                <w:b w:val="0"/>
                <w:bCs w:val="0"/>
                <w:color w:val="000000"/>
                <w:kern w:val="2"/>
                <w:sz w:val="21"/>
                <w:szCs w:val="21"/>
                <w:highlight w:val="none"/>
                <w:shd w:val="clear" w:color="auto" w:fill="auto"/>
                <w:lang w:val="en-US" w:eastAsia="zh-CN" w:bidi="ar-SA"/>
              </w:rPr>
              <w:t>，检测依据GB/T29256.5-2012</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2EA6E65C">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2.4单位面积质量（g/㎡）：≥300</w:t>
            </w:r>
            <w:r>
              <w:rPr>
                <w:rFonts w:hint="eastAsia" w:ascii="宋体" w:hAnsi="宋体" w:cs="宋体"/>
                <w:b w:val="0"/>
                <w:bCs w:val="0"/>
                <w:color w:val="000000"/>
                <w:kern w:val="2"/>
                <w:sz w:val="21"/>
                <w:szCs w:val="21"/>
                <w:highlight w:val="none"/>
                <w:shd w:val="clear" w:color="auto" w:fill="auto"/>
                <w:lang w:val="en-US" w:eastAsia="zh-CN" w:bidi="ar-SA"/>
              </w:rPr>
              <w:t>，检测依据GB/T4669-2008</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4A4C091D">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default"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2.5厚度（mm）：≥0.9</w:t>
            </w:r>
            <w:r>
              <w:rPr>
                <w:rFonts w:hint="eastAsia" w:ascii="宋体" w:hAnsi="宋体" w:cs="宋体"/>
                <w:b w:val="0"/>
                <w:bCs w:val="0"/>
                <w:color w:val="000000"/>
                <w:kern w:val="2"/>
                <w:sz w:val="21"/>
                <w:szCs w:val="21"/>
                <w:highlight w:val="none"/>
                <w:shd w:val="clear" w:color="auto" w:fill="auto"/>
                <w:lang w:val="en-US" w:eastAsia="zh-CN" w:bidi="ar-SA"/>
              </w:rPr>
              <w:t>，检测依据GB/T3820-1997；</w:t>
            </w:r>
          </w:p>
          <w:p w14:paraId="56954B35">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w:t>
            </w:r>
            <w:r>
              <w:rPr>
                <w:rFonts w:hint="eastAsia" w:ascii="宋体" w:hAnsi="宋体" w:cs="宋体"/>
                <w:b w:val="0"/>
                <w:bCs w:val="0"/>
                <w:color w:val="000000"/>
                <w:kern w:val="2"/>
                <w:sz w:val="21"/>
                <w:szCs w:val="21"/>
                <w:highlight w:val="none"/>
                <w:shd w:val="clear" w:color="auto" w:fill="auto"/>
                <w:lang w:val="en-US" w:eastAsia="zh-CN" w:bidi="ar-SA"/>
              </w:rPr>
              <w:t>6</w:t>
            </w:r>
            <w:r>
              <w:rPr>
                <w:rFonts w:hint="eastAsia" w:ascii="宋体" w:hAnsi="宋体" w:eastAsia="宋体" w:cs="宋体"/>
                <w:b w:val="0"/>
                <w:bCs w:val="0"/>
                <w:color w:val="000000"/>
                <w:kern w:val="2"/>
                <w:sz w:val="21"/>
                <w:szCs w:val="21"/>
                <w:highlight w:val="none"/>
                <w:shd w:val="clear" w:color="auto" w:fill="auto"/>
                <w:lang w:val="en-US" w:eastAsia="zh-CN" w:bidi="ar-SA"/>
              </w:rPr>
              <w:t>耐氯化水色牢度（级）：变色≥4级</w:t>
            </w:r>
            <w:r>
              <w:rPr>
                <w:rFonts w:hint="eastAsia" w:ascii="宋体" w:hAnsi="宋体" w:cs="宋体"/>
                <w:b w:val="0"/>
                <w:bCs w:val="0"/>
                <w:color w:val="000000"/>
                <w:kern w:val="2"/>
                <w:sz w:val="21"/>
                <w:szCs w:val="21"/>
                <w:highlight w:val="none"/>
                <w:shd w:val="clear" w:color="auto" w:fill="auto"/>
                <w:lang w:val="en-US" w:eastAsia="zh-CN" w:bidi="ar-SA"/>
              </w:rPr>
              <w:t>，检测依据GB/T8433-2013</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404AD64D">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w:t>
            </w:r>
            <w:r>
              <w:rPr>
                <w:rFonts w:hint="eastAsia" w:ascii="宋体" w:hAnsi="宋体" w:cs="宋体"/>
                <w:b w:val="0"/>
                <w:bCs w:val="0"/>
                <w:color w:val="000000"/>
                <w:kern w:val="2"/>
                <w:sz w:val="21"/>
                <w:szCs w:val="21"/>
                <w:highlight w:val="none"/>
                <w:shd w:val="clear" w:color="auto" w:fill="auto"/>
                <w:lang w:val="en-US" w:eastAsia="zh-CN" w:bidi="ar-SA"/>
              </w:rPr>
              <w:t>7</w:t>
            </w:r>
            <w:r>
              <w:rPr>
                <w:rFonts w:hint="eastAsia" w:ascii="宋体" w:hAnsi="宋体" w:eastAsia="宋体" w:cs="宋体"/>
                <w:b w:val="0"/>
                <w:bCs w:val="0"/>
                <w:color w:val="000000"/>
                <w:kern w:val="2"/>
                <w:sz w:val="21"/>
                <w:szCs w:val="21"/>
                <w:highlight w:val="none"/>
                <w:shd w:val="clear" w:color="auto" w:fill="auto"/>
                <w:lang w:val="en-US" w:eastAsia="zh-CN" w:bidi="ar-SA"/>
              </w:rPr>
              <w:t>耐次氯酸盐漂白色牢度（级）：变色≥4级</w:t>
            </w:r>
            <w:r>
              <w:rPr>
                <w:rFonts w:hint="eastAsia" w:ascii="宋体" w:hAnsi="宋体" w:cs="宋体"/>
                <w:b w:val="0"/>
                <w:bCs w:val="0"/>
                <w:color w:val="000000"/>
                <w:kern w:val="2"/>
                <w:sz w:val="21"/>
                <w:szCs w:val="21"/>
                <w:highlight w:val="none"/>
                <w:shd w:val="clear" w:color="auto" w:fill="auto"/>
                <w:lang w:val="en-US" w:eastAsia="zh-CN" w:bidi="ar-SA"/>
              </w:rPr>
              <w:t>，检测依据GB/T7069-1997</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3402D6A3">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w:t>
            </w:r>
            <w:r>
              <w:rPr>
                <w:rFonts w:hint="eastAsia" w:ascii="宋体" w:hAnsi="宋体" w:cs="宋体"/>
                <w:b w:val="0"/>
                <w:bCs w:val="0"/>
                <w:color w:val="000000"/>
                <w:kern w:val="2"/>
                <w:sz w:val="21"/>
                <w:szCs w:val="21"/>
                <w:highlight w:val="none"/>
                <w:shd w:val="clear" w:color="auto" w:fill="auto"/>
                <w:lang w:val="en-US" w:eastAsia="zh-CN" w:bidi="ar-SA"/>
              </w:rPr>
              <w:t>8</w:t>
            </w:r>
            <w:r>
              <w:rPr>
                <w:rFonts w:hint="eastAsia" w:ascii="宋体" w:hAnsi="宋体" w:eastAsia="宋体" w:cs="宋体"/>
                <w:b w:val="0"/>
                <w:bCs w:val="0"/>
                <w:color w:val="000000"/>
                <w:kern w:val="2"/>
                <w:sz w:val="21"/>
                <w:szCs w:val="21"/>
                <w:highlight w:val="none"/>
                <w:shd w:val="clear" w:color="auto" w:fill="auto"/>
                <w:lang w:val="en-US" w:eastAsia="zh-CN" w:bidi="ar-SA"/>
              </w:rPr>
              <w:t>防紫外线性能：UPF≥1800，T(UVA）AV≤0.06%</w:t>
            </w:r>
            <w:r>
              <w:rPr>
                <w:rFonts w:hint="eastAsia" w:ascii="宋体" w:hAnsi="宋体" w:cs="宋体"/>
                <w:b w:val="0"/>
                <w:bCs w:val="0"/>
                <w:color w:val="000000"/>
                <w:kern w:val="2"/>
                <w:sz w:val="21"/>
                <w:szCs w:val="21"/>
                <w:highlight w:val="none"/>
                <w:shd w:val="clear" w:color="auto" w:fill="auto"/>
                <w:lang w:val="en-US" w:eastAsia="zh-CN" w:bidi="ar-SA"/>
              </w:rPr>
              <w:t>，检测依据GB/T18830-2009</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1259D194">
            <w:pPr>
              <w:bidi w:val="0"/>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w:t>
            </w:r>
            <w:r>
              <w:rPr>
                <w:rFonts w:hint="eastAsia" w:ascii="宋体" w:hAnsi="宋体" w:cs="宋体"/>
                <w:b w:val="0"/>
                <w:bCs w:val="0"/>
                <w:color w:val="000000"/>
                <w:kern w:val="2"/>
                <w:sz w:val="21"/>
                <w:szCs w:val="21"/>
                <w:highlight w:val="none"/>
                <w:shd w:val="clear" w:color="auto" w:fill="auto"/>
                <w:lang w:val="en-US" w:eastAsia="zh-CN" w:bidi="ar-SA"/>
              </w:rPr>
              <w:t>9</w:t>
            </w:r>
            <w:r>
              <w:rPr>
                <w:rFonts w:hint="eastAsia" w:ascii="宋体" w:hAnsi="宋体" w:eastAsia="宋体" w:cs="宋体"/>
                <w:b w:val="0"/>
                <w:bCs w:val="0"/>
                <w:color w:val="000000"/>
                <w:kern w:val="2"/>
                <w:sz w:val="21"/>
                <w:szCs w:val="21"/>
                <w:highlight w:val="none"/>
                <w:shd w:val="clear" w:color="auto" w:fill="auto"/>
                <w:lang w:val="en-US" w:eastAsia="zh-CN" w:bidi="ar-SA"/>
              </w:rPr>
              <w:t>远红外性能：远红外发射率≥0.9，远红外辐射温升（℃）：≥1.5</w:t>
            </w:r>
            <w:r>
              <w:rPr>
                <w:rFonts w:hint="eastAsia" w:ascii="宋体" w:hAnsi="宋体" w:cs="宋体"/>
                <w:b w:val="0"/>
                <w:bCs w:val="0"/>
                <w:color w:val="000000"/>
                <w:kern w:val="2"/>
                <w:sz w:val="21"/>
                <w:szCs w:val="21"/>
                <w:highlight w:val="none"/>
                <w:shd w:val="clear" w:color="auto" w:fill="auto"/>
                <w:lang w:val="en-US" w:eastAsia="zh-CN" w:bidi="ar-SA"/>
              </w:rPr>
              <w:t>，检测依据GB/T30127-2013</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5D3B1EE4">
            <w:pPr>
              <w:pStyle w:val="19"/>
              <w:ind w:firstLine="0" w:firstLineChars="0"/>
              <w:rPr>
                <w:rFonts w:hint="eastAsia" w:eastAsia="宋体"/>
                <w:lang w:val="en-US" w:eastAsia="zh-CN"/>
              </w:rPr>
            </w:pPr>
            <w:r>
              <w:rPr>
                <w:rFonts w:hint="eastAsia" w:ascii="宋体" w:hAnsi="宋体" w:cs="宋体"/>
                <w:b w:val="0"/>
                <w:bCs w:val="0"/>
                <w:color w:val="000000"/>
                <w:kern w:val="2"/>
                <w:sz w:val="21"/>
                <w:szCs w:val="21"/>
                <w:highlight w:val="none"/>
                <w:shd w:val="clear" w:color="auto" w:fill="auto"/>
                <w:lang w:val="en-US" w:eastAsia="zh-CN" w:bidi="ar-SA"/>
              </w:rPr>
              <w:t>2.10</w:t>
            </w:r>
            <w:r>
              <w:rPr>
                <w:rFonts w:hint="eastAsia" w:ascii="宋体" w:hAnsi="宋体" w:eastAsia="宋体" w:cs="宋体"/>
                <w:b w:val="0"/>
                <w:bCs w:val="0"/>
                <w:color w:val="000000"/>
                <w:sz w:val="21"/>
                <w:szCs w:val="21"/>
                <w:highlight w:val="none"/>
              </w:rPr>
              <w:t>致癌染料</w:t>
            </w:r>
            <w:r>
              <w:rPr>
                <w:rFonts w:hint="eastAsia" w:ascii="宋体" w:hAnsi="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rPr>
              <w:t>富马酸二甲酯</w:t>
            </w:r>
            <w:r>
              <w:rPr>
                <w:rFonts w:hint="eastAsia" w:ascii="宋体" w:hAnsi="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rPr>
              <w:t>邻苯基苯酚</w:t>
            </w:r>
            <w:r>
              <w:rPr>
                <w:rFonts w:hint="eastAsia" w:ascii="宋体" w:hAnsi="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rPr>
              <w:t>致敏染料</w:t>
            </w:r>
            <w:r>
              <w:rPr>
                <w:rFonts w:hint="eastAsia" w:ascii="宋体" w:hAnsi="宋体" w:cs="宋体"/>
                <w:b w:val="0"/>
                <w:bCs w:val="0"/>
                <w:color w:val="000000"/>
                <w:sz w:val="21"/>
                <w:szCs w:val="21"/>
                <w:highlight w:val="none"/>
                <w:lang w:eastAsia="zh-CN"/>
              </w:rPr>
              <w:t>、</w:t>
            </w:r>
            <w:r>
              <w:rPr>
                <w:rFonts w:hint="eastAsia" w:ascii="宋体" w:hAnsi="宋体" w:eastAsia="宋体" w:cs="宋体"/>
                <w:b w:val="0"/>
                <w:bCs w:val="0"/>
                <w:color w:val="000000"/>
                <w:sz w:val="21"/>
                <w:szCs w:val="21"/>
                <w:highlight w:val="none"/>
                <w:lang w:val="en-US" w:eastAsia="zh-CN"/>
              </w:rPr>
              <w:t>有机锡化合物</w:t>
            </w:r>
            <w:r>
              <w:rPr>
                <w:rFonts w:hint="eastAsia" w:ascii="宋体" w:hAnsi="宋体" w:cs="宋体"/>
                <w:b w:val="0"/>
                <w:bCs w:val="0"/>
                <w:color w:val="000000"/>
                <w:sz w:val="21"/>
                <w:szCs w:val="21"/>
                <w:highlight w:val="none"/>
                <w:lang w:val="en-US" w:eastAsia="zh-CN"/>
              </w:rPr>
              <w:t>、</w:t>
            </w:r>
            <w:r>
              <w:rPr>
                <w:rFonts w:hint="eastAsia" w:ascii="宋体" w:hAnsi="宋体" w:eastAsia="宋体" w:cs="宋体"/>
                <w:b w:val="0"/>
                <w:bCs w:val="0"/>
                <w:color w:val="000000"/>
                <w:sz w:val="21"/>
                <w:szCs w:val="21"/>
                <w:highlight w:val="none"/>
                <w:lang w:val="en-US" w:eastAsia="zh-CN"/>
              </w:rPr>
              <w:t>可萃取重金属</w:t>
            </w:r>
            <w:r>
              <w:rPr>
                <w:rFonts w:hint="eastAsia" w:ascii="宋体" w:hAnsi="宋体" w:eastAsia="宋体" w:cs="宋体"/>
                <w:b w:val="0"/>
                <w:bCs w:val="0"/>
                <w:color w:val="000000"/>
                <w:kern w:val="2"/>
                <w:sz w:val="21"/>
                <w:szCs w:val="21"/>
                <w:highlight w:val="none"/>
                <w:shd w:val="clear" w:color="auto" w:fill="auto"/>
                <w:lang w:val="en-US" w:eastAsia="zh-CN" w:bidi="ar-SA"/>
              </w:rPr>
              <w:t>需符合GB/T18885-2020标准</w:t>
            </w:r>
            <w:r>
              <w:rPr>
                <w:rFonts w:hint="eastAsia" w:ascii="宋体" w:hAnsi="宋体" w:cs="宋体"/>
                <w:b w:val="0"/>
                <w:bCs w:val="0"/>
                <w:color w:val="000000"/>
                <w:kern w:val="2"/>
                <w:sz w:val="21"/>
                <w:szCs w:val="21"/>
                <w:highlight w:val="none"/>
                <w:shd w:val="clear" w:color="auto" w:fill="auto"/>
                <w:lang w:val="en-US" w:eastAsia="zh-CN" w:bidi="ar-SA"/>
              </w:rPr>
              <w:t>。</w:t>
            </w:r>
          </w:p>
        </w:tc>
      </w:tr>
      <w:tr w14:paraId="1E269E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2" w:hRule="atLeast"/>
        </w:trPr>
        <w:tc>
          <w:tcPr>
            <w:tcW w:w="0" w:type="auto"/>
            <w:vMerge w:val="continue"/>
            <w:shd w:val="clear" w:color="auto" w:fill="auto"/>
            <w:vAlign w:val="center"/>
          </w:tcPr>
          <w:p w14:paraId="529BA8DF">
            <w:pPr>
              <w:jc w:val="center"/>
              <w:rPr>
                <w:rFonts w:hint="eastAsia"/>
                <w:bCs/>
                <w:szCs w:val="21"/>
                <w:lang w:val="en-US" w:eastAsia="zh-CN"/>
              </w:rPr>
            </w:pPr>
          </w:p>
        </w:tc>
        <w:tc>
          <w:tcPr>
            <w:tcW w:w="0" w:type="auto"/>
            <w:vMerge w:val="continue"/>
            <w:shd w:val="clear" w:color="auto" w:fill="auto"/>
            <w:vAlign w:val="center"/>
          </w:tcPr>
          <w:p w14:paraId="5ABA0BF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2A7B1CF1">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shd w:val="clear" w:color="auto" w:fill="auto"/>
                <w:lang w:val="en-US" w:eastAsia="zh-CN"/>
              </w:rPr>
              <w:t>注：1、以上</w:t>
            </w:r>
            <w:r>
              <w:rPr>
                <w:rFonts w:hint="eastAsia" w:ascii="宋体" w:hAnsi="宋体" w:cs="宋体"/>
                <w:b w:val="0"/>
                <w:bCs w:val="0"/>
                <w:color w:val="auto"/>
                <w:sz w:val="21"/>
                <w:szCs w:val="21"/>
                <w:highlight w:val="none"/>
                <w:shd w:val="clear" w:color="auto" w:fill="auto"/>
                <w:lang w:val="en-US" w:eastAsia="zh-CN"/>
              </w:rPr>
              <w:t>标注</w:t>
            </w:r>
            <w:r>
              <w:rPr>
                <w:rFonts w:hint="eastAsia" w:ascii="宋体" w:hAnsi="宋体" w:eastAsia="宋体" w:cs="宋体"/>
                <w:b/>
                <w:bCs/>
                <w:color w:val="000000"/>
                <w:kern w:val="2"/>
                <w:sz w:val="21"/>
                <w:szCs w:val="21"/>
                <w:highlight w:val="none"/>
                <w:shd w:val="clear" w:color="auto" w:fill="auto"/>
                <w:vertAlign w:val="baseline"/>
                <w:lang w:val="en-US" w:eastAsia="zh-CN" w:bidi="ar-SA"/>
              </w:rPr>
              <w:t>▲</w:t>
            </w:r>
            <w:r>
              <w:rPr>
                <w:rFonts w:hint="eastAsia" w:ascii="宋体" w:hAnsi="宋体" w:eastAsia="宋体" w:cs="宋体"/>
                <w:b w:val="0"/>
                <w:bCs w:val="0"/>
                <w:color w:val="auto"/>
                <w:sz w:val="21"/>
                <w:szCs w:val="21"/>
                <w:highlight w:val="none"/>
                <w:shd w:val="clear" w:color="auto" w:fill="auto"/>
                <w:lang w:val="en-US" w:eastAsia="zh-CN"/>
              </w:rPr>
              <w:t>项需</w:t>
            </w:r>
            <w:r>
              <w:rPr>
                <w:rFonts w:hint="eastAsia" w:ascii="宋体" w:hAnsi="宋体" w:eastAsia="宋体" w:cs="宋体"/>
                <w:b w:val="0"/>
                <w:bCs w:val="0"/>
                <w:color w:val="auto"/>
                <w:sz w:val="21"/>
                <w:szCs w:val="21"/>
                <w:highlight w:val="none"/>
                <w:lang w:val="en-US" w:eastAsia="zh-CN"/>
              </w:rPr>
              <w:t>投标人同时提供：</w:t>
            </w:r>
          </w:p>
          <w:p w14:paraId="2E44CAA1">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检验检测机构</w:t>
            </w:r>
            <w:r>
              <w:rPr>
                <w:rFonts w:hint="eastAsia" w:ascii="宋体" w:hAnsi="宋体" w:eastAsia="宋体" w:cs="宋体"/>
                <w:b w:val="0"/>
                <w:bCs w:val="0"/>
                <w:color w:val="auto"/>
                <w:sz w:val="21"/>
                <w:szCs w:val="21"/>
                <w:highlight w:val="none"/>
                <w:lang w:val="en-US" w:eastAsia="zh-CN"/>
              </w:rPr>
              <w:t>在CMA资质认定范围内</w:t>
            </w:r>
            <w:r>
              <w:rPr>
                <w:rFonts w:hint="eastAsia" w:ascii="宋体" w:hAnsi="宋体" w:eastAsia="宋体" w:cs="宋体"/>
                <w:b w:val="0"/>
                <w:bCs w:val="0"/>
                <w:color w:val="auto"/>
                <w:sz w:val="21"/>
                <w:szCs w:val="21"/>
                <w:highlight w:val="none"/>
              </w:rPr>
              <w:t>出具</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检验检测报告扫描件</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如有分包，需在检测报告上标注，分包单位必须具有分包项的CMA认定资质。</w:t>
            </w:r>
          </w:p>
          <w:p w14:paraId="4526C0AF">
            <w:pPr>
              <w:bidi w:val="0"/>
              <w:rPr>
                <w:rFonts w:hint="default" w:asciiTheme="minorEastAsia" w:hAnsiTheme="minorEastAsia" w:eastAsiaTheme="minorEastAsia" w:cstheme="minorEastAsia"/>
                <w:b/>
                <w:bCs/>
                <w:color w:val="FF0000"/>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提供检测报告在检测机构合法官网的查询截图（检测机构官网须为合法备案的网站，网站上标注的备案号须</w:t>
            </w:r>
            <w:r>
              <w:rPr>
                <w:rFonts w:hint="eastAsia" w:ascii="宋体" w:hAnsi="宋体" w:eastAsia="宋体" w:cs="宋体"/>
                <w:b w:val="0"/>
                <w:bCs w:val="0"/>
                <w:color w:val="auto"/>
                <w:sz w:val="21"/>
                <w:szCs w:val="21"/>
                <w:highlight w:val="none"/>
                <w:lang w:val="en-US" w:eastAsia="zh-CN"/>
              </w:rPr>
              <w:t>是</w:t>
            </w:r>
            <w:r>
              <w:rPr>
                <w:rFonts w:hint="eastAsia" w:ascii="宋体" w:hAnsi="宋体" w:eastAsia="宋体" w:cs="宋体"/>
                <w:b w:val="0"/>
                <w:bCs w:val="0"/>
                <w:color w:val="auto"/>
                <w:sz w:val="21"/>
                <w:szCs w:val="21"/>
                <w:highlight w:val="none"/>
                <w:lang w:eastAsia="zh-CN"/>
              </w:rPr>
              <w:t>出具报告的检测机构</w:t>
            </w:r>
            <w:r>
              <w:rPr>
                <w:rFonts w:hint="eastAsia" w:ascii="宋体" w:hAnsi="宋体" w:eastAsia="宋体" w:cs="宋体"/>
                <w:b w:val="0"/>
                <w:bCs w:val="0"/>
                <w:color w:val="auto"/>
                <w:sz w:val="21"/>
                <w:szCs w:val="21"/>
                <w:highlight w:val="none"/>
                <w:lang w:val="en-US" w:eastAsia="zh-CN"/>
              </w:rPr>
              <w:t>所备案</w:t>
            </w:r>
            <w:r>
              <w:rPr>
                <w:rFonts w:hint="eastAsia" w:ascii="宋体" w:hAnsi="宋体" w:eastAsia="宋体" w:cs="宋体"/>
                <w:b w:val="0"/>
                <w:bCs w:val="0"/>
                <w:color w:val="auto"/>
                <w:sz w:val="21"/>
                <w:szCs w:val="21"/>
                <w:highlight w:val="none"/>
                <w:lang w:eastAsia="zh-CN"/>
              </w:rPr>
              <w:t>登记</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lang w:val="en-US" w:eastAsia="zh-CN"/>
              </w:rPr>
              <w:t>官网可下载检测报告电子档的所有检测内容截图或扫描官网二维码查询下载呈现全部检测报告内容的截图</w:t>
            </w:r>
            <w:r>
              <w:rPr>
                <w:rFonts w:hint="eastAsia" w:ascii="宋体" w:hAnsi="宋体" w:eastAsia="宋体" w:cs="宋体"/>
                <w:b w:val="0"/>
                <w:bCs w:val="0"/>
                <w:color w:val="auto"/>
                <w:sz w:val="21"/>
                <w:szCs w:val="21"/>
                <w:highlight w:val="none"/>
                <w:lang w:eastAsia="zh-CN"/>
              </w:rPr>
              <w:t>），同时提供在工业和信息化部政务服务平台检测机构备案号查询截图，截图上的网站需与检测报告</w:t>
            </w:r>
            <w:r>
              <w:rPr>
                <w:rFonts w:hint="eastAsia" w:ascii="宋体" w:hAnsi="宋体" w:eastAsia="宋体" w:cs="宋体"/>
                <w:b w:val="0"/>
                <w:bCs w:val="0"/>
                <w:color w:val="auto"/>
                <w:sz w:val="21"/>
                <w:szCs w:val="21"/>
                <w:highlight w:val="none"/>
                <w:lang w:val="en-US" w:eastAsia="zh-CN"/>
              </w:rPr>
              <w:t>上标注的</w:t>
            </w:r>
            <w:r>
              <w:rPr>
                <w:rFonts w:hint="eastAsia" w:ascii="宋体" w:hAnsi="宋体" w:eastAsia="宋体" w:cs="宋体"/>
                <w:b w:val="0"/>
                <w:bCs w:val="0"/>
                <w:color w:val="auto"/>
                <w:sz w:val="21"/>
                <w:szCs w:val="21"/>
                <w:highlight w:val="none"/>
                <w:lang w:eastAsia="zh-CN"/>
              </w:rPr>
              <w:t>查询网站一致，未按要求提供或不符合不予得分。</w:t>
            </w:r>
            <w:r>
              <w:rPr>
                <w:rFonts w:hint="eastAsia" w:ascii="宋体" w:hAnsi="宋体" w:eastAsia="宋体" w:cs="宋体"/>
                <w:b w:val="0"/>
                <w:bCs w:val="0"/>
                <w:color w:val="auto"/>
                <w:sz w:val="21"/>
                <w:szCs w:val="21"/>
                <w:highlight w:val="none"/>
              </w:rPr>
              <w:t>检测内容须符合招标技术要求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同一产品所有技术指标须在同一份检测报告中体现</w:t>
            </w:r>
            <w:r>
              <w:rPr>
                <w:rFonts w:hint="eastAsia" w:ascii="宋体" w:hAnsi="宋体" w:eastAsia="宋体" w:cs="宋体"/>
                <w:b w:val="0"/>
                <w:bCs w:val="0"/>
                <w:color w:val="auto"/>
                <w:sz w:val="21"/>
                <w:szCs w:val="21"/>
                <w:highlight w:val="none"/>
                <w:lang w:eastAsia="zh-CN"/>
              </w:rPr>
              <w:t>。</w:t>
            </w:r>
          </w:p>
        </w:tc>
      </w:tr>
      <w:tr w14:paraId="6C217D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23" w:hRule="atLeast"/>
        </w:trPr>
        <w:tc>
          <w:tcPr>
            <w:tcW w:w="0" w:type="auto"/>
            <w:vMerge w:val="restart"/>
            <w:shd w:val="clear" w:color="auto" w:fill="auto"/>
            <w:vAlign w:val="center"/>
          </w:tcPr>
          <w:p w14:paraId="4F72FC20">
            <w:pPr>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4</w:t>
            </w:r>
          </w:p>
        </w:tc>
        <w:tc>
          <w:tcPr>
            <w:tcW w:w="0" w:type="auto"/>
            <w:vMerge w:val="restart"/>
            <w:shd w:val="clear" w:color="auto" w:fill="auto"/>
            <w:vAlign w:val="center"/>
          </w:tcPr>
          <w:p w14:paraId="01DF69B2">
            <w:pPr>
              <w:keepNext w:val="0"/>
              <w:keepLines w:val="0"/>
              <w:widowControl/>
              <w:suppressLineNumbers w:val="0"/>
              <w:jc w:val="center"/>
              <w:textAlignment w:val="center"/>
              <w:rPr>
                <w:rFonts w:hint="default" w:asciiTheme="minorEastAsia" w:hAnsiTheme="minorEastAsia" w:eastAsiaTheme="minorEastAsia" w:cstheme="minorEastAsia"/>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医用隔帘</w:t>
            </w:r>
          </w:p>
        </w:tc>
        <w:tc>
          <w:tcPr>
            <w:tcW w:w="0" w:type="auto"/>
          </w:tcPr>
          <w:p w14:paraId="1F84508F">
            <w:pPr>
              <w:keepNext w:val="0"/>
              <w:keepLines w:val="0"/>
              <w:pageBreakBefore w:val="0"/>
              <w:widowControl/>
              <w:kinsoku/>
              <w:wordWrap/>
              <w:overflowPunct/>
              <w:topLinePunct w:val="0"/>
              <w:bidi w:val="0"/>
              <w:adjustRightInd/>
              <w:snapToGrid/>
              <w:jc w:val="both"/>
              <w:textAlignment w:val="center"/>
              <w:rPr>
                <w:rFonts w:hint="eastAsia" w:ascii="宋体" w:hAnsi="宋体" w:eastAsia="宋体" w:cs="宋体"/>
                <w:b/>
                <w:bCs/>
                <w:color w:val="auto"/>
                <w:sz w:val="21"/>
                <w:szCs w:val="21"/>
              </w:rPr>
            </w:pPr>
            <w:r>
              <w:rPr>
                <w:rFonts w:hint="eastAsia" w:ascii="宋体" w:hAnsi="宋体" w:eastAsia="宋体" w:cs="宋体"/>
                <w:b/>
                <w:bCs/>
                <w:color w:val="auto"/>
                <w:sz w:val="21"/>
                <w:szCs w:val="21"/>
              </w:rPr>
              <w:t>▲1、</w:t>
            </w:r>
            <w:r>
              <w:rPr>
                <w:rFonts w:hint="eastAsia" w:ascii="宋体" w:hAnsi="宋体" w:cs="宋体"/>
                <w:b/>
                <w:bCs/>
                <w:color w:val="000000"/>
                <w:kern w:val="2"/>
                <w:sz w:val="21"/>
                <w:szCs w:val="21"/>
                <w:highlight w:val="none"/>
                <w:shd w:val="clear" w:color="auto" w:fill="auto"/>
                <w:lang w:val="en-US" w:eastAsia="zh-CN" w:bidi="ar-SA"/>
              </w:rPr>
              <w:t>以下1.1-1.13对照相关检测依据需符合基本要求</w:t>
            </w:r>
            <w:r>
              <w:rPr>
                <w:rFonts w:hint="eastAsia" w:ascii="宋体" w:hAnsi="宋体" w:eastAsia="宋体" w:cs="宋体"/>
                <w:b/>
                <w:bCs/>
                <w:color w:val="auto"/>
                <w:sz w:val="21"/>
                <w:szCs w:val="21"/>
              </w:rPr>
              <w:t>：</w:t>
            </w:r>
          </w:p>
          <w:p w14:paraId="7CF45087">
            <w:pPr>
              <w:keepNext w:val="0"/>
              <w:keepLines w:val="0"/>
              <w:pageBreakBefore w:val="0"/>
              <w:widowControl/>
              <w:kinsoku/>
              <w:wordWrap/>
              <w:overflowPunct/>
              <w:topLinePunct w:val="0"/>
              <w:bidi w:val="0"/>
              <w:adjustRightInd/>
              <w:snapToGrid/>
              <w:jc w:val="both"/>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1.1</w:t>
            </w:r>
            <w:r>
              <w:rPr>
                <w:rFonts w:hint="eastAsia" w:ascii="宋体" w:hAnsi="宋体" w:cs="宋体"/>
                <w:b w:val="0"/>
                <w:bCs w:val="0"/>
                <w:color w:val="auto"/>
                <w:sz w:val="21"/>
                <w:szCs w:val="21"/>
                <w:lang w:val="en-US" w:eastAsia="zh-CN"/>
              </w:rPr>
              <w:t>纤维含量</w:t>
            </w:r>
            <w:r>
              <w:rPr>
                <w:rFonts w:hint="eastAsia" w:ascii="宋体" w:hAnsi="宋体" w:eastAsia="宋体" w:cs="宋体"/>
                <w:b w:val="0"/>
                <w:bCs w:val="0"/>
                <w:color w:val="auto"/>
                <w:sz w:val="21"/>
                <w:szCs w:val="21"/>
              </w:rPr>
              <w:t>：100%聚酯纤维</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检测依据FZ/T01057.4-2007</w:t>
            </w:r>
            <w:r>
              <w:rPr>
                <w:rFonts w:hint="eastAsia" w:ascii="宋体" w:hAnsi="宋体" w:eastAsia="宋体" w:cs="宋体"/>
                <w:b w:val="0"/>
                <w:bCs w:val="0"/>
                <w:color w:val="auto"/>
                <w:sz w:val="21"/>
                <w:szCs w:val="21"/>
              </w:rPr>
              <w:t>；</w:t>
            </w:r>
          </w:p>
          <w:p w14:paraId="41C834D9">
            <w:pPr>
              <w:keepNext w:val="0"/>
              <w:keepLines w:val="0"/>
              <w:pageBreakBefore w:val="0"/>
              <w:widowControl/>
              <w:kinsoku/>
              <w:wordWrap/>
              <w:overflowPunct/>
              <w:topLinePunct w:val="0"/>
              <w:bidi w:val="0"/>
              <w:adjustRightInd/>
              <w:snapToGrid/>
              <w:jc w:val="both"/>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1.2断裂强力（N）：横向≥1</w:t>
            </w:r>
            <w:r>
              <w:rPr>
                <w:rFonts w:hint="eastAsia" w:ascii="宋体" w:hAnsi="宋体" w:cs="宋体"/>
                <w:b w:val="0"/>
                <w:bCs w:val="0"/>
                <w:color w:val="auto"/>
                <w:sz w:val="21"/>
                <w:szCs w:val="21"/>
                <w:lang w:val="en-US" w:eastAsia="zh-CN"/>
              </w:rPr>
              <w:t>0</w:t>
            </w:r>
            <w:r>
              <w:rPr>
                <w:rFonts w:hint="eastAsia" w:ascii="宋体" w:hAnsi="宋体" w:eastAsia="宋体" w:cs="宋体"/>
                <w:b w:val="0"/>
                <w:bCs w:val="0"/>
                <w:color w:val="auto"/>
                <w:sz w:val="21"/>
                <w:szCs w:val="21"/>
              </w:rPr>
              <w:t>00、直向≥</w:t>
            </w:r>
            <w:r>
              <w:rPr>
                <w:rFonts w:hint="eastAsia" w:ascii="宋体" w:hAnsi="宋体" w:cs="宋体"/>
                <w:b w:val="0"/>
                <w:bCs w:val="0"/>
                <w:color w:val="auto"/>
                <w:sz w:val="21"/>
                <w:szCs w:val="21"/>
                <w:lang w:val="en-US" w:eastAsia="zh-CN"/>
              </w:rPr>
              <w:t>350</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检测依据GB/T3923.1-2013</w:t>
            </w:r>
            <w:r>
              <w:rPr>
                <w:rFonts w:hint="eastAsia" w:ascii="宋体" w:hAnsi="宋体" w:eastAsia="宋体" w:cs="宋体"/>
                <w:b w:val="0"/>
                <w:bCs w:val="0"/>
                <w:color w:val="auto"/>
                <w:sz w:val="21"/>
                <w:szCs w:val="21"/>
              </w:rPr>
              <w:t>；</w:t>
            </w:r>
          </w:p>
          <w:p w14:paraId="6F9C95C6">
            <w:pPr>
              <w:keepNext w:val="0"/>
              <w:keepLines w:val="0"/>
              <w:pageBreakBefore w:val="0"/>
              <w:widowControl/>
              <w:kinsoku/>
              <w:wordWrap/>
              <w:overflowPunct/>
              <w:topLinePunct w:val="0"/>
              <w:bidi w:val="0"/>
              <w:adjustRightInd/>
              <w:snapToGrid/>
              <w:jc w:val="both"/>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1.3接缝强力（N）：横向≥400、直向≥400</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检测依据GB/T13773.1-2008</w:t>
            </w:r>
            <w:r>
              <w:rPr>
                <w:rFonts w:hint="eastAsia" w:ascii="宋体" w:hAnsi="宋体" w:eastAsia="宋体" w:cs="宋体"/>
                <w:b w:val="0"/>
                <w:bCs w:val="0"/>
                <w:color w:val="auto"/>
                <w:sz w:val="21"/>
                <w:szCs w:val="21"/>
              </w:rPr>
              <w:t>；</w:t>
            </w:r>
          </w:p>
          <w:p w14:paraId="7B431152">
            <w:pPr>
              <w:keepNext w:val="0"/>
              <w:keepLines w:val="0"/>
              <w:pageBreakBefore w:val="0"/>
              <w:widowControl/>
              <w:kinsoku/>
              <w:wordWrap/>
              <w:overflowPunct/>
              <w:topLinePunct w:val="0"/>
              <w:bidi w:val="0"/>
              <w:adjustRightInd/>
              <w:snapToGrid/>
              <w:jc w:val="both"/>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1.4顶破强力（N）：≥1</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00</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检测依据GB/T19976-2005</w:t>
            </w:r>
            <w:r>
              <w:rPr>
                <w:rFonts w:hint="eastAsia" w:ascii="宋体" w:hAnsi="宋体" w:eastAsia="宋体" w:cs="宋体"/>
                <w:b w:val="0"/>
                <w:bCs w:val="0"/>
                <w:color w:val="auto"/>
                <w:sz w:val="21"/>
                <w:szCs w:val="21"/>
              </w:rPr>
              <w:t>；</w:t>
            </w:r>
          </w:p>
          <w:p w14:paraId="7335FC14">
            <w:pPr>
              <w:keepNext w:val="0"/>
              <w:keepLines w:val="0"/>
              <w:pageBreakBefore w:val="0"/>
              <w:widowControl/>
              <w:kinsoku/>
              <w:wordWrap/>
              <w:overflowPunct/>
              <w:topLinePunct w:val="0"/>
              <w:bidi w:val="0"/>
              <w:adjustRightInd/>
              <w:snapToGrid/>
              <w:jc w:val="both"/>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1.5断裂伸长率（%）：横向≥40、直向≥60</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检测依据GB/T3923.1-2013</w:t>
            </w:r>
            <w:r>
              <w:rPr>
                <w:rFonts w:hint="eastAsia" w:ascii="宋体" w:hAnsi="宋体" w:eastAsia="宋体" w:cs="宋体"/>
                <w:b w:val="0"/>
                <w:bCs w:val="0"/>
                <w:color w:val="auto"/>
                <w:sz w:val="21"/>
                <w:szCs w:val="21"/>
              </w:rPr>
              <w:t>；</w:t>
            </w:r>
          </w:p>
          <w:p w14:paraId="754D4539">
            <w:pPr>
              <w:keepNext w:val="0"/>
              <w:keepLines w:val="0"/>
              <w:pageBreakBefore w:val="0"/>
              <w:widowControl/>
              <w:kinsoku/>
              <w:wordWrap/>
              <w:overflowPunct/>
              <w:topLinePunct w:val="0"/>
              <w:bidi w:val="0"/>
              <w:adjustRightInd/>
              <w:snapToGrid/>
              <w:jc w:val="both"/>
              <w:textAlignment w:val="center"/>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1.6遮光率（%）：≥</w:t>
            </w:r>
            <w:r>
              <w:rPr>
                <w:rFonts w:hint="eastAsia" w:ascii="宋体" w:hAnsi="宋体" w:cs="宋体"/>
                <w:b w:val="0"/>
                <w:bCs w:val="0"/>
                <w:color w:val="auto"/>
                <w:sz w:val="21"/>
                <w:szCs w:val="21"/>
                <w:lang w:val="en-US" w:eastAsia="zh-CN"/>
              </w:rPr>
              <w:t>80</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检测依据FZ/T62025-2015</w:t>
            </w:r>
            <w:r>
              <w:rPr>
                <w:rFonts w:hint="eastAsia" w:ascii="宋体" w:hAnsi="宋体" w:eastAsia="宋体" w:cs="宋体"/>
                <w:b w:val="0"/>
                <w:bCs w:val="0"/>
                <w:color w:val="auto"/>
                <w:sz w:val="21"/>
                <w:szCs w:val="21"/>
              </w:rPr>
              <w:t>；</w:t>
            </w:r>
          </w:p>
          <w:p w14:paraId="3CF8DEDF">
            <w:pPr>
              <w:bidi w:val="0"/>
              <w:rPr>
                <w:rFonts w:hint="eastAsia" w:ascii="宋体" w:hAnsi="宋体" w:eastAsia="宋体" w:cs="宋体"/>
                <w:b w:val="0"/>
                <w:bCs w:val="0"/>
                <w:color w:val="auto"/>
                <w:sz w:val="21"/>
                <w:szCs w:val="21"/>
              </w:rPr>
            </w:pPr>
            <w:r>
              <w:rPr>
                <w:rFonts w:hint="eastAsia" w:ascii="宋体" w:hAnsi="宋体" w:eastAsia="宋体" w:cs="宋体"/>
                <w:b w:val="0"/>
                <w:bCs w:val="0"/>
                <w:color w:val="auto"/>
                <w:sz w:val="21"/>
                <w:szCs w:val="21"/>
              </w:rPr>
              <w:t>1.7折痕回复性（°）：≥250</w:t>
            </w:r>
            <w:r>
              <w:rPr>
                <w:rFonts w:hint="eastAsia" w:ascii="宋体" w:hAnsi="宋体" w:cs="宋体"/>
                <w:b w:val="0"/>
                <w:bCs w:val="0"/>
                <w:color w:val="auto"/>
                <w:sz w:val="21"/>
                <w:szCs w:val="21"/>
                <w:lang w:eastAsia="zh-CN"/>
              </w:rPr>
              <w:t>，</w:t>
            </w:r>
            <w:r>
              <w:rPr>
                <w:rFonts w:hint="eastAsia" w:ascii="宋体" w:hAnsi="宋体" w:cs="宋体"/>
                <w:b w:val="0"/>
                <w:bCs w:val="0"/>
                <w:color w:val="auto"/>
                <w:sz w:val="21"/>
                <w:szCs w:val="21"/>
                <w:lang w:val="en-US" w:eastAsia="zh-CN"/>
              </w:rPr>
              <w:t>检测依据GB/T3819-1997</w:t>
            </w:r>
            <w:r>
              <w:rPr>
                <w:rFonts w:hint="eastAsia" w:ascii="宋体" w:hAnsi="宋体" w:eastAsia="宋体" w:cs="宋体"/>
                <w:b w:val="0"/>
                <w:bCs w:val="0"/>
                <w:color w:val="auto"/>
                <w:sz w:val="21"/>
                <w:szCs w:val="21"/>
              </w:rPr>
              <w:t>。</w:t>
            </w:r>
          </w:p>
          <w:p w14:paraId="61B15424">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1.8</w:t>
            </w:r>
            <w:r>
              <w:rPr>
                <w:rFonts w:hint="eastAsia" w:ascii="宋体" w:hAnsi="宋体" w:eastAsia="宋体" w:cs="宋体"/>
                <w:b w:val="0"/>
                <w:bCs w:val="0"/>
                <w:color w:val="auto"/>
                <w:sz w:val="21"/>
                <w:szCs w:val="21"/>
              </w:rPr>
              <w:t>静电性能（电荷面密度μC/㎡）：≤1.0，</w:t>
            </w:r>
            <w:r>
              <w:rPr>
                <w:rFonts w:hint="eastAsia" w:ascii="宋体" w:hAnsi="宋体" w:cs="宋体"/>
                <w:b w:val="0"/>
                <w:bCs w:val="0"/>
                <w:color w:val="auto"/>
                <w:sz w:val="21"/>
                <w:szCs w:val="21"/>
                <w:lang w:val="en-US" w:eastAsia="zh-CN"/>
              </w:rPr>
              <w:t>检测依据</w:t>
            </w:r>
            <w:r>
              <w:rPr>
                <w:rFonts w:hint="eastAsia" w:ascii="宋体" w:hAnsi="宋体" w:eastAsia="宋体" w:cs="宋体"/>
                <w:b w:val="0"/>
                <w:bCs w:val="0"/>
                <w:color w:val="auto"/>
                <w:sz w:val="21"/>
                <w:szCs w:val="21"/>
              </w:rPr>
              <w:t>GB/T12703.2-2021；电荷量（μC/件）≤0.6，</w:t>
            </w:r>
            <w:r>
              <w:rPr>
                <w:rFonts w:hint="eastAsia" w:ascii="宋体" w:hAnsi="宋体" w:cs="宋体"/>
                <w:b w:val="0"/>
                <w:bCs w:val="0"/>
                <w:color w:val="auto"/>
                <w:sz w:val="21"/>
                <w:szCs w:val="21"/>
                <w:lang w:val="en-US" w:eastAsia="zh-CN"/>
              </w:rPr>
              <w:t>检测依据</w:t>
            </w:r>
            <w:r>
              <w:rPr>
                <w:rFonts w:hint="eastAsia" w:ascii="宋体" w:hAnsi="宋体" w:eastAsia="宋体" w:cs="宋体"/>
                <w:b w:val="0"/>
                <w:bCs w:val="0"/>
                <w:color w:val="auto"/>
                <w:sz w:val="21"/>
                <w:szCs w:val="21"/>
              </w:rPr>
              <w:t>GB/T12703.3-2009；</w:t>
            </w:r>
          </w:p>
          <w:p w14:paraId="4DE3042E">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.2耐光色牢度（变色）：≥5级，</w:t>
            </w:r>
            <w:r>
              <w:rPr>
                <w:rFonts w:hint="eastAsia" w:ascii="宋体" w:hAnsi="宋体" w:cs="宋体"/>
                <w:b w:val="0"/>
                <w:bCs w:val="0"/>
                <w:color w:val="auto"/>
                <w:sz w:val="21"/>
                <w:szCs w:val="21"/>
                <w:lang w:val="en-US" w:eastAsia="zh-CN"/>
              </w:rPr>
              <w:t>检测依据</w:t>
            </w:r>
            <w:r>
              <w:rPr>
                <w:rFonts w:hint="eastAsia" w:ascii="宋体" w:hAnsi="宋体" w:eastAsia="宋体" w:cs="宋体"/>
                <w:b w:val="0"/>
                <w:bCs w:val="0"/>
                <w:color w:val="auto"/>
                <w:sz w:val="21"/>
                <w:szCs w:val="21"/>
              </w:rPr>
              <w:t>GB/T8427-2019；</w:t>
            </w:r>
          </w:p>
          <w:p w14:paraId="4B477329">
            <w:pPr>
              <w:keepNext w:val="0"/>
              <w:keepLines w:val="0"/>
              <w:pageBreakBefore w:val="0"/>
              <w:widowControl/>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1.9</w:t>
            </w:r>
            <w:r>
              <w:rPr>
                <w:rFonts w:hint="eastAsia" w:ascii="宋体" w:hAnsi="宋体" w:eastAsia="宋体" w:cs="宋体"/>
                <w:b w:val="0"/>
                <w:bCs w:val="0"/>
                <w:color w:val="auto"/>
                <w:sz w:val="21"/>
                <w:szCs w:val="21"/>
              </w:rPr>
              <w:t>有机锡化合物（mg/kg）：未检出</w:t>
            </w:r>
            <w:r>
              <w:rPr>
                <w:rFonts w:hint="eastAsia" w:ascii="宋体" w:hAnsi="宋体" w:eastAsia="宋体" w:cs="宋体"/>
                <w:b w:val="0"/>
                <w:bCs w:val="0"/>
                <w:color w:val="auto"/>
                <w:kern w:val="0"/>
                <w:sz w:val="21"/>
                <w:szCs w:val="21"/>
              </w:rPr>
              <w:t>（定量限200μg/kg），</w:t>
            </w:r>
            <w:r>
              <w:rPr>
                <w:rFonts w:hint="eastAsia" w:ascii="宋体" w:hAnsi="宋体" w:cs="宋体"/>
                <w:b w:val="0"/>
                <w:bCs w:val="0"/>
                <w:color w:val="auto"/>
                <w:sz w:val="21"/>
                <w:szCs w:val="21"/>
                <w:lang w:val="en-US" w:eastAsia="zh-CN"/>
              </w:rPr>
              <w:t>检测依据</w:t>
            </w:r>
            <w:r>
              <w:rPr>
                <w:rFonts w:hint="eastAsia" w:ascii="宋体" w:hAnsi="宋体" w:eastAsia="宋体" w:cs="宋体"/>
                <w:b w:val="0"/>
                <w:bCs w:val="0"/>
                <w:color w:val="auto"/>
                <w:kern w:val="0"/>
                <w:sz w:val="21"/>
                <w:szCs w:val="21"/>
              </w:rPr>
              <w:t>GB/T20385.1-2021</w:t>
            </w:r>
            <w:r>
              <w:rPr>
                <w:rFonts w:hint="eastAsia" w:ascii="宋体" w:hAnsi="宋体" w:eastAsia="宋体" w:cs="宋体"/>
                <w:b w:val="0"/>
                <w:bCs w:val="0"/>
                <w:color w:val="auto"/>
                <w:sz w:val="21"/>
                <w:szCs w:val="21"/>
              </w:rPr>
              <w:t>；</w:t>
            </w:r>
          </w:p>
          <w:p w14:paraId="2D90317D">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1.10</w:t>
            </w:r>
            <w:r>
              <w:rPr>
                <w:rFonts w:hint="eastAsia" w:ascii="宋体" w:hAnsi="宋体" w:eastAsia="宋体" w:cs="宋体"/>
                <w:b w:val="0"/>
                <w:bCs w:val="0"/>
                <w:color w:val="auto"/>
                <w:sz w:val="21"/>
                <w:szCs w:val="21"/>
              </w:rPr>
              <w:t>负离子发生量（个/m³）：≥3500，</w:t>
            </w:r>
            <w:r>
              <w:rPr>
                <w:rFonts w:hint="eastAsia" w:ascii="宋体" w:hAnsi="宋体" w:cs="宋体"/>
                <w:b w:val="0"/>
                <w:bCs w:val="0"/>
                <w:color w:val="auto"/>
                <w:sz w:val="21"/>
                <w:szCs w:val="21"/>
                <w:lang w:val="en-US" w:eastAsia="zh-CN"/>
              </w:rPr>
              <w:t>检测依据</w:t>
            </w:r>
            <w:r>
              <w:rPr>
                <w:rFonts w:hint="eastAsia" w:ascii="宋体" w:hAnsi="宋体" w:eastAsia="宋体" w:cs="宋体"/>
                <w:b w:val="0"/>
                <w:bCs w:val="0"/>
                <w:color w:val="auto"/>
                <w:sz w:val="21"/>
                <w:szCs w:val="21"/>
              </w:rPr>
              <w:t>GB/T30128-2013；</w:t>
            </w:r>
          </w:p>
          <w:p w14:paraId="21B790D4">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1.11</w:t>
            </w:r>
            <w:r>
              <w:rPr>
                <w:rFonts w:hint="eastAsia" w:ascii="宋体" w:hAnsi="宋体" w:eastAsia="宋体" w:cs="宋体"/>
                <w:b w:val="0"/>
                <w:bCs w:val="0"/>
                <w:color w:val="auto"/>
                <w:sz w:val="21"/>
                <w:szCs w:val="21"/>
              </w:rPr>
              <w:t>分散黄23、分散橙149：未检出，</w:t>
            </w:r>
            <w:r>
              <w:rPr>
                <w:rFonts w:hint="eastAsia" w:ascii="宋体" w:hAnsi="宋体" w:cs="宋体"/>
                <w:b w:val="0"/>
                <w:bCs w:val="0"/>
                <w:color w:val="auto"/>
                <w:sz w:val="21"/>
                <w:szCs w:val="21"/>
                <w:lang w:val="en-US" w:eastAsia="zh-CN"/>
              </w:rPr>
              <w:t>检测依据</w:t>
            </w:r>
            <w:r>
              <w:rPr>
                <w:rFonts w:hint="eastAsia" w:ascii="宋体" w:hAnsi="宋体" w:eastAsia="宋体" w:cs="宋体"/>
                <w:b w:val="0"/>
                <w:bCs w:val="0"/>
                <w:color w:val="auto"/>
                <w:sz w:val="21"/>
                <w:szCs w:val="21"/>
              </w:rPr>
              <w:t>GB/T23345-2009；</w:t>
            </w:r>
          </w:p>
          <w:p w14:paraId="5179F2D7">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1.12</w:t>
            </w:r>
            <w:r>
              <w:rPr>
                <w:rFonts w:hint="eastAsia" w:ascii="宋体" w:hAnsi="宋体" w:eastAsia="宋体" w:cs="宋体"/>
                <w:b w:val="0"/>
                <w:bCs w:val="0"/>
                <w:color w:val="auto"/>
                <w:sz w:val="21"/>
                <w:szCs w:val="21"/>
              </w:rPr>
              <w:t>织物勾丝性能（级）：横向≥2、直向≥2，</w:t>
            </w:r>
            <w:r>
              <w:rPr>
                <w:rFonts w:hint="eastAsia" w:ascii="宋体" w:hAnsi="宋体" w:cs="宋体"/>
                <w:b w:val="0"/>
                <w:bCs w:val="0"/>
                <w:color w:val="auto"/>
                <w:sz w:val="21"/>
                <w:szCs w:val="21"/>
                <w:lang w:val="en-US" w:eastAsia="zh-CN"/>
              </w:rPr>
              <w:t>检测依据</w:t>
            </w:r>
            <w:r>
              <w:rPr>
                <w:rFonts w:hint="eastAsia" w:ascii="宋体" w:hAnsi="宋体" w:eastAsia="宋体" w:cs="宋体"/>
                <w:b w:val="0"/>
                <w:bCs w:val="0"/>
                <w:color w:val="auto"/>
                <w:sz w:val="21"/>
                <w:szCs w:val="21"/>
              </w:rPr>
              <w:t>GB/T11047-2008；</w:t>
            </w:r>
          </w:p>
          <w:p w14:paraId="2C04CBDD">
            <w:pPr>
              <w:pStyle w:val="19"/>
              <w:ind w:firstLine="0" w:firstLineChars="0"/>
              <w:rPr>
                <w:rFonts w:hint="default"/>
                <w:lang w:val="en-US" w:eastAsia="zh-CN"/>
              </w:rPr>
            </w:pPr>
            <w:r>
              <w:rPr>
                <w:rFonts w:hint="eastAsia" w:ascii="宋体" w:hAnsi="宋体" w:cs="宋体"/>
                <w:b w:val="0"/>
                <w:bCs w:val="0"/>
                <w:color w:val="auto"/>
                <w:sz w:val="21"/>
                <w:szCs w:val="21"/>
                <w:lang w:val="en-US" w:eastAsia="zh-CN"/>
              </w:rPr>
              <w:t>1.13</w:t>
            </w:r>
            <w:r>
              <w:rPr>
                <w:rFonts w:hint="eastAsia" w:ascii="宋体" w:hAnsi="宋体" w:eastAsia="宋体" w:cs="宋体"/>
                <w:b w:val="0"/>
                <w:bCs w:val="0"/>
                <w:color w:val="auto"/>
                <w:sz w:val="21"/>
                <w:szCs w:val="21"/>
              </w:rPr>
              <w:t>平均扭斜率（%）：≤1，</w:t>
            </w:r>
            <w:r>
              <w:rPr>
                <w:rFonts w:hint="eastAsia" w:ascii="宋体" w:hAnsi="宋体" w:cs="宋体"/>
                <w:b w:val="0"/>
                <w:bCs w:val="0"/>
                <w:color w:val="auto"/>
                <w:sz w:val="21"/>
                <w:szCs w:val="21"/>
                <w:lang w:val="en-US" w:eastAsia="zh-CN"/>
              </w:rPr>
              <w:t>检测依据</w:t>
            </w:r>
            <w:r>
              <w:rPr>
                <w:rFonts w:hint="eastAsia" w:ascii="宋体" w:hAnsi="宋体" w:eastAsia="宋体" w:cs="宋体"/>
                <w:b w:val="0"/>
                <w:bCs w:val="0"/>
                <w:color w:val="auto"/>
                <w:sz w:val="21"/>
                <w:szCs w:val="21"/>
              </w:rPr>
              <w:t>GB/T23319.2-2009。</w:t>
            </w:r>
          </w:p>
        </w:tc>
      </w:tr>
      <w:tr w14:paraId="52B38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7" w:hRule="atLeast"/>
        </w:trPr>
        <w:tc>
          <w:tcPr>
            <w:tcW w:w="0" w:type="auto"/>
            <w:vMerge w:val="continue"/>
            <w:shd w:val="clear" w:color="auto" w:fill="auto"/>
            <w:vAlign w:val="center"/>
          </w:tcPr>
          <w:p w14:paraId="1E8A6CCA">
            <w:pPr>
              <w:jc w:val="center"/>
              <w:rPr>
                <w:rFonts w:hint="eastAsia"/>
                <w:bCs/>
                <w:szCs w:val="21"/>
                <w:lang w:val="en-US" w:eastAsia="zh-CN"/>
              </w:rPr>
            </w:pPr>
          </w:p>
        </w:tc>
        <w:tc>
          <w:tcPr>
            <w:tcW w:w="0" w:type="auto"/>
            <w:vMerge w:val="continue"/>
            <w:shd w:val="clear" w:color="auto" w:fill="auto"/>
            <w:vAlign w:val="center"/>
          </w:tcPr>
          <w:p w14:paraId="657DC0FC">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48CB0659">
            <w:pPr>
              <w:keepNext w:val="0"/>
              <w:keepLines w:val="0"/>
              <w:pageBreakBefore w:val="0"/>
              <w:widowControl/>
              <w:kinsoku/>
              <w:wordWrap/>
              <w:overflowPunct/>
              <w:topLinePunct w:val="0"/>
              <w:bidi w:val="0"/>
              <w:adjustRightInd/>
              <w:snapToGrid/>
              <w:spacing w:line="240" w:lineRule="auto"/>
              <w:jc w:val="both"/>
              <w:rPr>
                <w:rFonts w:hint="eastAsia" w:ascii="宋体" w:hAnsi="宋体" w:eastAsia="宋体" w:cs="宋体"/>
                <w:b/>
                <w:bCs/>
                <w:color w:val="auto"/>
                <w:kern w:val="2"/>
                <w:sz w:val="21"/>
                <w:szCs w:val="21"/>
                <w:lang w:val="en-US" w:eastAsia="zh-CN" w:bidi="ar-SA"/>
              </w:rPr>
            </w:pPr>
            <w:r>
              <w:rPr>
                <w:rFonts w:hint="eastAsia" w:ascii="宋体" w:hAnsi="宋体" w:eastAsia="宋体" w:cs="宋体"/>
                <w:b/>
                <w:bCs/>
                <w:color w:val="auto"/>
                <w:kern w:val="2"/>
                <w:sz w:val="21"/>
                <w:szCs w:val="21"/>
                <w:lang w:val="en-US" w:eastAsia="zh-CN" w:bidi="ar-SA"/>
              </w:rPr>
              <w:t>▲</w:t>
            </w:r>
            <w:r>
              <w:rPr>
                <w:rFonts w:hint="eastAsia" w:ascii="宋体" w:hAnsi="宋体" w:cs="宋体"/>
                <w:b/>
                <w:bCs/>
                <w:color w:val="auto"/>
                <w:kern w:val="2"/>
                <w:sz w:val="21"/>
                <w:szCs w:val="21"/>
                <w:lang w:val="en-US" w:eastAsia="zh-CN" w:bidi="ar-SA"/>
              </w:rPr>
              <w:t>2</w:t>
            </w:r>
            <w:r>
              <w:rPr>
                <w:rFonts w:hint="eastAsia" w:ascii="宋体" w:hAnsi="宋体" w:eastAsia="宋体" w:cs="宋体"/>
                <w:b/>
                <w:bCs/>
                <w:color w:val="auto"/>
                <w:kern w:val="2"/>
                <w:sz w:val="21"/>
                <w:szCs w:val="21"/>
                <w:lang w:val="en-US" w:eastAsia="zh-CN" w:bidi="ar-SA"/>
              </w:rPr>
              <w:t>、</w:t>
            </w:r>
            <w:r>
              <w:rPr>
                <w:rFonts w:hint="eastAsia" w:ascii="宋体" w:hAnsi="宋体" w:cs="宋体"/>
                <w:b/>
                <w:bCs/>
                <w:color w:val="auto"/>
                <w:kern w:val="2"/>
                <w:sz w:val="21"/>
                <w:szCs w:val="21"/>
                <w:lang w:val="en-US" w:eastAsia="zh-CN" w:bidi="ar-SA"/>
              </w:rPr>
              <w:t>以下2.1-2.6经</w:t>
            </w:r>
            <w:r>
              <w:rPr>
                <w:rFonts w:hint="eastAsia" w:ascii="宋体" w:hAnsi="宋体" w:eastAsia="宋体" w:cs="宋体"/>
                <w:b/>
                <w:bCs/>
                <w:color w:val="auto"/>
                <w:sz w:val="21"/>
                <w:szCs w:val="21"/>
              </w:rPr>
              <w:t>水洗≥30次后</w:t>
            </w:r>
            <w:r>
              <w:rPr>
                <w:rFonts w:hint="eastAsia" w:ascii="宋体" w:hAnsi="宋体" w:cs="宋体"/>
                <w:b/>
                <w:bCs/>
                <w:color w:val="auto"/>
                <w:sz w:val="21"/>
                <w:szCs w:val="21"/>
                <w:lang w:val="en-US" w:eastAsia="zh-CN"/>
              </w:rPr>
              <w:t>测试，符合</w:t>
            </w:r>
            <w:r>
              <w:rPr>
                <w:rFonts w:hint="eastAsia" w:ascii="宋体" w:hAnsi="宋体" w:eastAsia="宋体" w:cs="宋体"/>
                <w:b/>
                <w:bCs/>
                <w:color w:val="auto"/>
                <w:sz w:val="21"/>
                <w:szCs w:val="21"/>
              </w:rPr>
              <w:t>GB/T20944.3-2008标准</w:t>
            </w:r>
            <w:r>
              <w:rPr>
                <w:rFonts w:hint="eastAsia" w:ascii="宋体" w:hAnsi="宋体" w:eastAsia="宋体" w:cs="宋体"/>
                <w:b/>
                <w:bCs/>
                <w:color w:val="auto"/>
                <w:kern w:val="2"/>
                <w:sz w:val="21"/>
                <w:szCs w:val="21"/>
                <w:lang w:val="en-US" w:eastAsia="zh-CN" w:bidi="ar-SA"/>
              </w:rPr>
              <w:t>：</w:t>
            </w:r>
          </w:p>
          <w:p w14:paraId="2C6C6338">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1</w:t>
            </w:r>
            <w:r>
              <w:rPr>
                <w:rFonts w:hint="eastAsia" w:ascii="宋体" w:hAnsi="宋体" w:eastAsia="宋体" w:cs="宋体"/>
                <w:b w:val="0"/>
                <w:bCs w:val="0"/>
                <w:color w:val="auto"/>
                <w:sz w:val="21"/>
                <w:szCs w:val="21"/>
              </w:rPr>
              <w:t>金黄色葡萄球菌抑菌率≥95%；</w:t>
            </w:r>
          </w:p>
          <w:p w14:paraId="2A783295">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大肠杆菌抑菌率≥95%；</w:t>
            </w:r>
          </w:p>
          <w:p w14:paraId="3121501E">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3</w:t>
            </w:r>
            <w:r>
              <w:rPr>
                <w:rFonts w:hint="eastAsia" w:ascii="宋体" w:hAnsi="宋体" w:eastAsia="宋体" w:cs="宋体"/>
                <w:b w:val="0"/>
                <w:bCs w:val="0"/>
                <w:color w:val="auto"/>
                <w:sz w:val="21"/>
                <w:szCs w:val="21"/>
              </w:rPr>
              <w:t>甲型溶血性链球菌抑菌率≥95%；</w:t>
            </w:r>
          </w:p>
          <w:p w14:paraId="2B7CDAB4">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4</w:t>
            </w:r>
            <w:r>
              <w:rPr>
                <w:rFonts w:hint="eastAsia" w:ascii="宋体" w:hAnsi="宋体" w:eastAsia="宋体" w:cs="宋体"/>
                <w:b w:val="0"/>
                <w:bCs w:val="0"/>
                <w:color w:val="auto"/>
                <w:sz w:val="21"/>
                <w:szCs w:val="21"/>
              </w:rPr>
              <w:t>肺炎克雷白氏菌抑菌率≥95%；</w:t>
            </w:r>
          </w:p>
          <w:p w14:paraId="34CDB3BB">
            <w:pPr>
              <w:keepNext w:val="0"/>
              <w:keepLines w:val="0"/>
              <w:pageBreakBefore w:val="0"/>
              <w:kinsoku/>
              <w:wordWrap/>
              <w:overflowPunct/>
              <w:topLinePunct w:val="0"/>
              <w:bidi w:val="0"/>
              <w:adjustRightInd/>
              <w:snapToGrid/>
              <w:jc w:val="both"/>
              <w:rPr>
                <w:rFonts w:hint="eastAsia" w:ascii="宋体" w:hAnsi="宋体" w:eastAsia="宋体" w:cs="宋体"/>
                <w:b w:val="0"/>
                <w:bCs w:val="0"/>
                <w:color w:val="auto"/>
                <w:sz w:val="21"/>
                <w:szCs w:val="21"/>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5</w:t>
            </w:r>
            <w:r>
              <w:rPr>
                <w:rFonts w:hint="eastAsia" w:ascii="宋体" w:hAnsi="宋体" w:eastAsia="宋体" w:cs="宋体"/>
                <w:b w:val="0"/>
                <w:bCs w:val="0"/>
                <w:color w:val="auto"/>
                <w:sz w:val="21"/>
                <w:szCs w:val="21"/>
              </w:rPr>
              <w:t>铜绿假单胞菌抑菌率≥95%；</w:t>
            </w:r>
          </w:p>
          <w:p w14:paraId="5DBB90A4">
            <w:pPr>
              <w:bidi w:val="0"/>
              <w:rPr>
                <w:rFonts w:hint="default" w:asciiTheme="minorEastAsia" w:hAnsiTheme="minorEastAsia" w:eastAsiaTheme="minorEastAsia" w:cstheme="minorEastAsia"/>
                <w:b/>
                <w:bCs/>
                <w:color w:val="FF0000"/>
                <w:lang w:val="en-US" w:eastAsia="zh-CN"/>
              </w:rPr>
            </w:pPr>
            <w:r>
              <w:rPr>
                <w:rFonts w:hint="eastAsia" w:ascii="宋体" w:hAnsi="宋体" w:cs="宋体"/>
                <w:b w:val="0"/>
                <w:bCs w:val="0"/>
                <w:color w:val="auto"/>
                <w:sz w:val="21"/>
                <w:szCs w:val="21"/>
                <w:lang w:val="en-US" w:eastAsia="zh-CN"/>
              </w:rPr>
              <w:t>2</w:t>
            </w:r>
            <w:r>
              <w:rPr>
                <w:rFonts w:hint="eastAsia" w:ascii="宋体" w:hAnsi="宋体" w:eastAsia="宋体" w:cs="宋体"/>
                <w:b w:val="0"/>
                <w:bCs w:val="0"/>
                <w:color w:val="auto"/>
                <w:sz w:val="21"/>
                <w:szCs w:val="21"/>
              </w:rPr>
              <w:t>.</w:t>
            </w:r>
            <w:r>
              <w:rPr>
                <w:rFonts w:hint="eastAsia" w:ascii="宋体" w:hAnsi="宋体" w:cs="宋体"/>
                <w:b w:val="0"/>
                <w:bCs w:val="0"/>
                <w:color w:val="auto"/>
                <w:sz w:val="21"/>
                <w:szCs w:val="21"/>
                <w:lang w:val="en-US" w:eastAsia="zh-CN"/>
              </w:rPr>
              <w:t>6</w:t>
            </w:r>
            <w:r>
              <w:rPr>
                <w:rFonts w:hint="eastAsia" w:ascii="宋体" w:hAnsi="宋体" w:eastAsia="宋体" w:cs="宋体"/>
                <w:b w:val="0"/>
                <w:bCs w:val="0"/>
                <w:color w:val="auto"/>
                <w:kern w:val="0"/>
                <w:sz w:val="21"/>
                <w:szCs w:val="21"/>
              </w:rPr>
              <w:t>耐甲氧西林金黄色葡萄球菌</w:t>
            </w:r>
            <w:r>
              <w:rPr>
                <w:rFonts w:hint="eastAsia" w:ascii="宋体" w:hAnsi="宋体" w:eastAsia="宋体" w:cs="宋体"/>
                <w:b w:val="0"/>
                <w:bCs w:val="0"/>
                <w:color w:val="auto"/>
                <w:sz w:val="21"/>
                <w:szCs w:val="21"/>
              </w:rPr>
              <w:t>抑菌率≥95%。</w:t>
            </w:r>
          </w:p>
        </w:tc>
      </w:tr>
      <w:tr w14:paraId="68494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5" w:hRule="atLeast"/>
        </w:trPr>
        <w:tc>
          <w:tcPr>
            <w:tcW w:w="0" w:type="auto"/>
            <w:vMerge w:val="continue"/>
            <w:shd w:val="clear" w:color="auto" w:fill="auto"/>
            <w:vAlign w:val="center"/>
          </w:tcPr>
          <w:p w14:paraId="4DF34795">
            <w:pPr>
              <w:jc w:val="center"/>
              <w:rPr>
                <w:rFonts w:hint="eastAsia"/>
                <w:bCs/>
                <w:szCs w:val="21"/>
                <w:lang w:val="en-US" w:eastAsia="zh-CN"/>
              </w:rPr>
            </w:pPr>
          </w:p>
        </w:tc>
        <w:tc>
          <w:tcPr>
            <w:tcW w:w="0" w:type="auto"/>
            <w:vMerge w:val="continue"/>
            <w:shd w:val="clear" w:color="auto" w:fill="auto"/>
            <w:vAlign w:val="center"/>
          </w:tcPr>
          <w:p w14:paraId="74724D3A">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79169026">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shd w:val="clear" w:color="auto" w:fill="auto"/>
                <w:lang w:val="en-US" w:eastAsia="zh-CN"/>
              </w:rPr>
              <w:t>注：1、以上</w:t>
            </w:r>
            <w:r>
              <w:rPr>
                <w:rFonts w:hint="eastAsia" w:ascii="宋体" w:hAnsi="宋体" w:cs="宋体"/>
                <w:b w:val="0"/>
                <w:bCs w:val="0"/>
                <w:color w:val="auto"/>
                <w:sz w:val="21"/>
                <w:szCs w:val="21"/>
                <w:highlight w:val="none"/>
                <w:shd w:val="clear" w:color="auto" w:fill="auto"/>
                <w:lang w:val="en-US" w:eastAsia="zh-CN"/>
              </w:rPr>
              <w:t>标注</w:t>
            </w:r>
            <w:r>
              <w:rPr>
                <w:rFonts w:hint="eastAsia" w:ascii="宋体" w:hAnsi="宋体" w:eastAsia="宋体" w:cs="宋体"/>
                <w:b/>
                <w:bCs/>
                <w:color w:val="000000"/>
                <w:kern w:val="2"/>
                <w:sz w:val="21"/>
                <w:szCs w:val="21"/>
                <w:highlight w:val="none"/>
                <w:shd w:val="clear" w:color="auto" w:fill="auto"/>
                <w:vertAlign w:val="baseline"/>
                <w:lang w:val="en-US" w:eastAsia="zh-CN" w:bidi="ar-SA"/>
              </w:rPr>
              <w:t>▲</w:t>
            </w:r>
            <w:r>
              <w:rPr>
                <w:rFonts w:hint="eastAsia" w:ascii="宋体" w:hAnsi="宋体" w:eastAsia="宋体" w:cs="宋体"/>
                <w:b w:val="0"/>
                <w:bCs w:val="0"/>
                <w:color w:val="auto"/>
                <w:sz w:val="21"/>
                <w:szCs w:val="21"/>
                <w:highlight w:val="none"/>
                <w:shd w:val="clear" w:color="auto" w:fill="auto"/>
                <w:lang w:val="en-US" w:eastAsia="zh-CN"/>
              </w:rPr>
              <w:t>项需</w:t>
            </w:r>
            <w:r>
              <w:rPr>
                <w:rFonts w:hint="eastAsia" w:ascii="宋体" w:hAnsi="宋体" w:eastAsia="宋体" w:cs="宋体"/>
                <w:b w:val="0"/>
                <w:bCs w:val="0"/>
                <w:color w:val="auto"/>
                <w:sz w:val="21"/>
                <w:szCs w:val="21"/>
                <w:highlight w:val="none"/>
                <w:lang w:val="en-US" w:eastAsia="zh-CN"/>
              </w:rPr>
              <w:t>投标人同时提供：</w:t>
            </w:r>
          </w:p>
          <w:p w14:paraId="7916A340">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（1）</w:t>
            </w:r>
            <w:r>
              <w:rPr>
                <w:rFonts w:hint="eastAsia" w:ascii="宋体" w:hAnsi="宋体" w:eastAsia="宋体" w:cs="宋体"/>
                <w:b w:val="0"/>
                <w:bCs w:val="0"/>
                <w:color w:val="auto"/>
                <w:sz w:val="21"/>
                <w:szCs w:val="21"/>
                <w:highlight w:val="none"/>
              </w:rPr>
              <w:t>检验检测机构</w:t>
            </w:r>
            <w:r>
              <w:rPr>
                <w:rFonts w:hint="eastAsia" w:ascii="宋体" w:hAnsi="宋体" w:eastAsia="宋体" w:cs="宋体"/>
                <w:b w:val="0"/>
                <w:bCs w:val="0"/>
                <w:color w:val="auto"/>
                <w:sz w:val="21"/>
                <w:szCs w:val="21"/>
                <w:highlight w:val="none"/>
                <w:lang w:val="en-US" w:eastAsia="zh-CN"/>
              </w:rPr>
              <w:t>在CMA资质认定范围内</w:t>
            </w:r>
            <w:r>
              <w:rPr>
                <w:rFonts w:hint="eastAsia" w:ascii="宋体" w:hAnsi="宋体" w:eastAsia="宋体" w:cs="宋体"/>
                <w:b w:val="0"/>
                <w:bCs w:val="0"/>
                <w:color w:val="auto"/>
                <w:sz w:val="21"/>
                <w:szCs w:val="21"/>
                <w:highlight w:val="none"/>
              </w:rPr>
              <w:t>出具</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highlight w:val="none"/>
              </w:rPr>
              <w:t>检验检测报告扫描件</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lang w:val="en-US" w:eastAsia="zh-CN"/>
              </w:rPr>
              <w:t>如有分包，需在检测报告上标注，分包单位必须具有分包项的CMA认定资质。</w:t>
            </w:r>
          </w:p>
          <w:p w14:paraId="3526996F">
            <w:pPr>
              <w:bidi w:val="0"/>
              <w:rPr>
                <w:rFonts w:hint="default" w:asciiTheme="minorEastAsia" w:hAnsiTheme="minorEastAsia" w:eastAsiaTheme="minorEastAsia" w:cstheme="minorEastAsia"/>
                <w:b/>
                <w:bCs/>
                <w:color w:val="FF0000"/>
                <w:lang w:val="en-US" w:eastAsia="zh-CN"/>
              </w:rPr>
            </w:pPr>
            <w:r>
              <w:rPr>
                <w:rFonts w:hint="eastAsia" w:ascii="宋体" w:hAnsi="宋体" w:eastAsia="宋体" w:cs="宋体"/>
                <w:b w:val="0"/>
                <w:bCs w:val="0"/>
                <w:color w:val="auto"/>
                <w:sz w:val="21"/>
                <w:szCs w:val="21"/>
                <w:highlight w:val="none"/>
                <w:lang w:val="en-US" w:eastAsia="zh-CN"/>
              </w:rPr>
              <w:t>（2）</w:t>
            </w:r>
            <w:r>
              <w:rPr>
                <w:rFonts w:hint="eastAsia" w:ascii="宋体" w:hAnsi="宋体" w:eastAsia="宋体" w:cs="宋体"/>
                <w:b w:val="0"/>
                <w:bCs w:val="0"/>
                <w:color w:val="auto"/>
                <w:sz w:val="21"/>
                <w:szCs w:val="21"/>
                <w:highlight w:val="none"/>
                <w:lang w:eastAsia="zh-CN"/>
              </w:rPr>
              <w:t>提供检测报告在检测机构合法官网的查询截图（检测机构官网须为合法备案的网站，网站上标注的备案号须</w:t>
            </w:r>
            <w:r>
              <w:rPr>
                <w:rFonts w:hint="eastAsia" w:ascii="宋体" w:hAnsi="宋体" w:eastAsia="宋体" w:cs="宋体"/>
                <w:b w:val="0"/>
                <w:bCs w:val="0"/>
                <w:color w:val="auto"/>
                <w:sz w:val="21"/>
                <w:szCs w:val="21"/>
                <w:highlight w:val="none"/>
                <w:lang w:val="en-US" w:eastAsia="zh-CN"/>
              </w:rPr>
              <w:t>是</w:t>
            </w:r>
            <w:r>
              <w:rPr>
                <w:rFonts w:hint="eastAsia" w:ascii="宋体" w:hAnsi="宋体" w:eastAsia="宋体" w:cs="宋体"/>
                <w:b w:val="0"/>
                <w:bCs w:val="0"/>
                <w:color w:val="auto"/>
                <w:sz w:val="21"/>
                <w:szCs w:val="21"/>
                <w:highlight w:val="none"/>
                <w:lang w:eastAsia="zh-CN"/>
              </w:rPr>
              <w:t>出具报告的检测机构</w:t>
            </w:r>
            <w:r>
              <w:rPr>
                <w:rFonts w:hint="eastAsia" w:ascii="宋体" w:hAnsi="宋体" w:eastAsia="宋体" w:cs="宋体"/>
                <w:b w:val="0"/>
                <w:bCs w:val="0"/>
                <w:color w:val="auto"/>
                <w:sz w:val="21"/>
                <w:szCs w:val="21"/>
                <w:highlight w:val="none"/>
                <w:lang w:val="en-US" w:eastAsia="zh-CN"/>
              </w:rPr>
              <w:t>所备案</w:t>
            </w:r>
            <w:r>
              <w:rPr>
                <w:rFonts w:hint="eastAsia" w:ascii="宋体" w:hAnsi="宋体" w:eastAsia="宋体" w:cs="宋体"/>
                <w:b w:val="0"/>
                <w:bCs w:val="0"/>
                <w:color w:val="auto"/>
                <w:sz w:val="21"/>
                <w:szCs w:val="21"/>
                <w:highlight w:val="none"/>
                <w:lang w:eastAsia="zh-CN"/>
              </w:rPr>
              <w:t>登记</w:t>
            </w:r>
            <w:r>
              <w:rPr>
                <w:rFonts w:hint="eastAsia" w:ascii="宋体" w:hAnsi="宋体" w:eastAsia="宋体" w:cs="宋体"/>
                <w:b w:val="0"/>
                <w:bCs w:val="0"/>
                <w:color w:val="auto"/>
                <w:sz w:val="21"/>
                <w:szCs w:val="21"/>
                <w:highlight w:val="none"/>
                <w:lang w:val="en-US" w:eastAsia="zh-CN"/>
              </w:rPr>
              <w:t>的，</w:t>
            </w:r>
            <w:r>
              <w:rPr>
                <w:rFonts w:hint="eastAsia" w:ascii="宋体" w:hAnsi="宋体" w:eastAsia="宋体" w:cs="宋体"/>
                <w:b w:val="0"/>
                <w:bCs w:val="0"/>
                <w:color w:val="auto"/>
                <w:sz w:val="21"/>
                <w:szCs w:val="21"/>
                <w:lang w:val="en-US" w:eastAsia="zh-CN"/>
              </w:rPr>
              <w:t>官网可下载检测报告电子档的所有检测内容截图或扫描官网二维码查询下载呈现全部检测报告内容的截图</w:t>
            </w:r>
            <w:r>
              <w:rPr>
                <w:rFonts w:hint="eastAsia" w:ascii="宋体" w:hAnsi="宋体" w:eastAsia="宋体" w:cs="宋体"/>
                <w:b w:val="0"/>
                <w:bCs w:val="0"/>
                <w:color w:val="auto"/>
                <w:sz w:val="21"/>
                <w:szCs w:val="21"/>
                <w:highlight w:val="none"/>
                <w:lang w:eastAsia="zh-CN"/>
              </w:rPr>
              <w:t>），同时提供在工业和信息化部政务服务平台检测机构备案号查询截图，截图上的网站需与检测报告</w:t>
            </w:r>
            <w:r>
              <w:rPr>
                <w:rFonts w:hint="eastAsia" w:ascii="宋体" w:hAnsi="宋体" w:eastAsia="宋体" w:cs="宋体"/>
                <w:b w:val="0"/>
                <w:bCs w:val="0"/>
                <w:color w:val="auto"/>
                <w:sz w:val="21"/>
                <w:szCs w:val="21"/>
                <w:highlight w:val="none"/>
                <w:lang w:val="en-US" w:eastAsia="zh-CN"/>
              </w:rPr>
              <w:t>上标注的</w:t>
            </w:r>
            <w:r>
              <w:rPr>
                <w:rFonts w:hint="eastAsia" w:ascii="宋体" w:hAnsi="宋体" w:eastAsia="宋体" w:cs="宋体"/>
                <w:b w:val="0"/>
                <w:bCs w:val="0"/>
                <w:color w:val="auto"/>
                <w:sz w:val="21"/>
                <w:szCs w:val="21"/>
                <w:highlight w:val="none"/>
                <w:lang w:eastAsia="zh-CN"/>
              </w:rPr>
              <w:t>查询网站一致，未按要求提供或不符合不予得分。</w:t>
            </w:r>
            <w:r>
              <w:rPr>
                <w:rFonts w:hint="eastAsia" w:ascii="宋体" w:hAnsi="宋体" w:eastAsia="宋体" w:cs="宋体"/>
                <w:b w:val="0"/>
                <w:bCs w:val="0"/>
                <w:color w:val="auto"/>
                <w:sz w:val="21"/>
                <w:szCs w:val="21"/>
                <w:highlight w:val="none"/>
              </w:rPr>
              <w:t>检测内容须符合招标技术要求</w:t>
            </w:r>
            <w:r>
              <w:rPr>
                <w:rFonts w:hint="eastAsia" w:ascii="宋体" w:hAnsi="宋体" w:eastAsia="宋体" w:cs="宋体"/>
                <w:b w:val="0"/>
                <w:bCs w:val="0"/>
                <w:color w:val="auto"/>
                <w:sz w:val="21"/>
                <w:szCs w:val="21"/>
                <w:highlight w:val="none"/>
                <w:lang w:eastAsia="zh-CN"/>
              </w:rPr>
              <w:t>，</w:t>
            </w:r>
            <w:r>
              <w:rPr>
                <w:rFonts w:hint="eastAsia" w:ascii="宋体" w:hAnsi="宋体" w:eastAsia="宋体" w:cs="宋体"/>
                <w:b w:val="0"/>
                <w:bCs w:val="0"/>
                <w:color w:val="auto"/>
                <w:sz w:val="21"/>
                <w:szCs w:val="21"/>
                <w:highlight w:val="none"/>
              </w:rPr>
              <w:t>同一产品所有技术指标须在同一份检测报告中体现</w:t>
            </w:r>
            <w:r>
              <w:rPr>
                <w:rFonts w:hint="eastAsia" w:ascii="宋体" w:hAnsi="宋体" w:eastAsia="宋体" w:cs="宋体"/>
                <w:b w:val="0"/>
                <w:bCs w:val="0"/>
                <w:color w:val="auto"/>
                <w:sz w:val="21"/>
                <w:szCs w:val="21"/>
                <w:highlight w:val="none"/>
                <w:lang w:eastAsia="zh-CN"/>
              </w:rPr>
              <w:t>。</w:t>
            </w:r>
          </w:p>
        </w:tc>
      </w:tr>
      <w:tr w14:paraId="34BDEA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 w:hRule="atLeast"/>
        </w:trPr>
        <w:tc>
          <w:tcPr>
            <w:tcW w:w="0" w:type="auto"/>
            <w:vMerge w:val="restart"/>
            <w:shd w:val="clear" w:color="auto" w:fill="auto"/>
            <w:vAlign w:val="center"/>
          </w:tcPr>
          <w:p w14:paraId="0F0A9C5C">
            <w:pPr>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5</w:t>
            </w:r>
          </w:p>
        </w:tc>
        <w:tc>
          <w:tcPr>
            <w:tcW w:w="0" w:type="auto"/>
            <w:vMerge w:val="restart"/>
            <w:shd w:val="clear" w:color="auto" w:fill="auto"/>
            <w:vAlign w:val="center"/>
          </w:tcPr>
          <w:p w14:paraId="07645909">
            <w:pPr>
              <w:keepNext w:val="0"/>
              <w:keepLines w:val="0"/>
              <w:widowControl/>
              <w:suppressLineNumbers w:val="0"/>
              <w:jc w:val="center"/>
              <w:textAlignment w:val="center"/>
              <w:rPr>
                <w:rFonts w:hint="default" w:asciiTheme="minorEastAsia" w:hAnsiTheme="minorEastAsia" w:eastAsiaTheme="minorEastAsia" w:cstheme="minorEastAsia"/>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玻璃磨砂贴膜</w:t>
            </w:r>
          </w:p>
        </w:tc>
        <w:tc>
          <w:tcPr>
            <w:tcW w:w="0" w:type="auto"/>
          </w:tcPr>
          <w:p w14:paraId="05E28F7D">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1、基本材质：采用环保原生PVC，基材及纸材对人体无害，不干胶材料应符合行业标准规定。粘贴后表面清洁，粘贴平整，无波纹起伏、气泡、裂缝、皱褶。</w:t>
            </w:r>
          </w:p>
        </w:tc>
      </w:tr>
      <w:tr w14:paraId="2300E0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 w:hRule="atLeast"/>
        </w:trPr>
        <w:tc>
          <w:tcPr>
            <w:tcW w:w="0" w:type="auto"/>
            <w:vMerge w:val="continue"/>
            <w:shd w:val="clear" w:color="auto" w:fill="auto"/>
            <w:vAlign w:val="center"/>
          </w:tcPr>
          <w:p w14:paraId="0EEB95CE">
            <w:pPr>
              <w:jc w:val="center"/>
              <w:rPr>
                <w:rFonts w:hint="eastAsia"/>
                <w:bCs/>
                <w:szCs w:val="21"/>
                <w:lang w:val="en-US" w:eastAsia="zh-CN"/>
              </w:rPr>
            </w:pPr>
          </w:p>
        </w:tc>
        <w:tc>
          <w:tcPr>
            <w:tcW w:w="0" w:type="auto"/>
            <w:vMerge w:val="continue"/>
            <w:shd w:val="clear" w:color="auto" w:fill="auto"/>
            <w:vAlign w:val="center"/>
          </w:tcPr>
          <w:p w14:paraId="62447E5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3B9AC7E5">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2、其它要求：规格及款式需采购方确认后，才可批量供货。</w:t>
            </w:r>
          </w:p>
        </w:tc>
      </w:tr>
      <w:tr w14:paraId="46351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0" w:type="auto"/>
            <w:vMerge w:val="restart"/>
            <w:shd w:val="clear" w:color="auto" w:fill="auto"/>
            <w:vAlign w:val="center"/>
          </w:tcPr>
          <w:p w14:paraId="08A7E168">
            <w:pPr>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6</w:t>
            </w:r>
          </w:p>
        </w:tc>
        <w:tc>
          <w:tcPr>
            <w:tcW w:w="0" w:type="auto"/>
            <w:vMerge w:val="restart"/>
            <w:shd w:val="clear" w:color="auto" w:fill="auto"/>
            <w:vAlign w:val="center"/>
          </w:tcPr>
          <w:p w14:paraId="455F8DAB">
            <w:pPr>
              <w:keepNext w:val="0"/>
              <w:keepLines w:val="0"/>
              <w:widowControl/>
              <w:suppressLineNumbers w:val="0"/>
              <w:jc w:val="center"/>
              <w:textAlignment w:val="center"/>
              <w:rPr>
                <w:rFonts w:hint="default" w:asciiTheme="minorEastAsia" w:hAnsiTheme="minorEastAsia" w:eastAsiaTheme="minorEastAsia" w:cstheme="minorEastAsia"/>
                <w:color w:val="000000"/>
                <w:kern w:val="2"/>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纱帘</w:t>
            </w:r>
          </w:p>
        </w:tc>
        <w:tc>
          <w:tcPr>
            <w:tcW w:w="0" w:type="auto"/>
          </w:tcPr>
          <w:p w14:paraId="3AD1966B">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1、基本技术标准：</w:t>
            </w:r>
          </w:p>
          <w:p w14:paraId="6BF801A7">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1.1成份：100%聚酯加涂层。</w:t>
            </w:r>
          </w:p>
          <w:p w14:paraId="58AC56A2">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1.2甲醛含量：</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未检出</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，检测方法：GB/T2912.1-2009。</w:t>
            </w:r>
          </w:p>
          <w:p w14:paraId="4805A704">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1.3可分解致癌芳香胺染料：</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未检出</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，检测方法：GB/T17592-2011。</w:t>
            </w:r>
          </w:p>
          <w:p w14:paraId="4C768693">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1.4异味：无异味。</w:t>
            </w:r>
          </w:p>
        </w:tc>
      </w:tr>
      <w:tr w14:paraId="5D76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0" w:hRule="atLeast"/>
        </w:trPr>
        <w:tc>
          <w:tcPr>
            <w:tcW w:w="0" w:type="auto"/>
            <w:vMerge w:val="continue"/>
            <w:shd w:val="clear" w:color="auto" w:fill="auto"/>
            <w:vAlign w:val="center"/>
          </w:tcPr>
          <w:p w14:paraId="0A4ECE5E">
            <w:pPr>
              <w:jc w:val="center"/>
              <w:rPr>
                <w:rFonts w:hint="eastAsia"/>
                <w:bCs/>
                <w:szCs w:val="21"/>
                <w:lang w:val="en-US" w:eastAsia="zh-CN"/>
              </w:rPr>
            </w:pPr>
          </w:p>
        </w:tc>
        <w:tc>
          <w:tcPr>
            <w:tcW w:w="0" w:type="auto"/>
            <w:vMerge w:val="continue"/>
            <w:shd w:val="clear" w:color="auto" w:fill="auto"/>
            <w:vAlign w:val="center"/>
          </w:tcPr>
          <w:p w14:paraId="3D90835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1AF66E11">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2、其它技术标准：</w:t>
            </w:r>
          </w:p>
          <w:p w14:paraId="0F51681B">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2.1耐干摩擦色牢度：</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未检出</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，检测方法：GB/T3920-2008。</w:t>
            </w:r>
          </w:p>
          <w:p w14:paraId="4E5DC306">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2.2可萃取重金属：符合GB/T18885-2020（非直接接触皮肤类）或以上标准。</w:t>
            </w:r>
          </w:p>
          <w:p w14:paraId="2FCC34C7">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2.3总铅和总镉：符合GB/T18885-2020（非直接接触皮肤类）或以上标准。</w:t>
            </w:r>
          </w:p>
          <w:p w14:paraId="6FD60608">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2.4邻苯二甲酸酯总量：符合GB/T18885-2020（非直接接触皮肤类）或以上标准。</w:t>
            </w:r>
          </w:p>
          <w:p w14:paraId="0F102B3E">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2.5织物密度：经密130-150根/10cm、维密100-120根/10cm。</w:t>
            </w:r>
          </w:p>
          <w:p w14:paraId="68B74BF5">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2.6单位面积质量：85-100克/㎡。</w:t>
            </w:r>
          </w:p>
        </w:tc>
      </w:tr>
      <w:tr w14:paraId="17932F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 w:hRule="atLeast"/>
        </w:trPr>
        <w:tc>
          <w:tcPr>
            <w:tcW w:w="0" w:type="auto"/>
            <w:vMerge w:val="restart"/>
            <w:shd w:val="clear" w:color="auto" w:fill="auto"/>
            <w:vAlign w:val="center"/>
          </w:tcPr>
          <w:p w14:paraId="5483ADBF">
            <w:pPr>
              <w:jc w:val="center"/>
              <w:rPr>
                <w:rFonts w:hint="eastAsia" w:ascii="Times New Roman" w:hAnsi="Times New Roman" w:eastAsia="宋体" w:cs="Times New Roman"/>
                <w:bCs/>
                <w:kern w:val="2"/>
                <w:sz w:val="21"/>
                <w:szCs w:val="21"/>
                <w:lang w:val="en-US" w:eastAsia="zh-CN" w:bidi="ar-SA"/>
              </w:rPr>
            </w:pPr>
            <w:r>
              <w:rPr>
                <w:rFonts w:hint="eastAsia"/>
                <w:bCs/>
                <w:szCs w:val="21"/>
                <w:lang w:val="en-US" w:eastAsia="zh-CN"/>
              </w:rPr>
              <w:t>7</w:t>
            </w:r>
          </w:p>
        </w:tc>
        <w:tc>
          <w:tcPr>
            <w:tcW w:w="0" w:type="auto"/>
            <w:vMerge w:val="restart"/>
            <w:shd w:val="clear" w:color="auto" w:fill="auto"/>
            <w:vAlign w:val="center"/>
          </w:tcPr>
          <w:p w14:paraId="6BC583E3">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布帘轨道(加厚静音)</w:t>
            </w:r>
          </w:p>
        </w:tc>
        <w:tc>
          <w:tcPr>
            <w:tcW w:w="0" w:type="auto"/>
          </w:tcPr>
          <w:p w14:paraId="544F687F">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1、规格：宽≥20mm、高≥18mm，壁厚≥</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0.8</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mm</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，轨道内测配置有静音条</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w:t>
            </w:r>
          </w:p>
        </w:tc>
      </w:tr>
      <w:tr w14:paraId="49277B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7" w:hRule="atLeast"/>
        </w:trPr>
        <w:tc>
          <w:tcPr>
            <w:tcW w:w="0" w:type="auto"/>
            <w:vMerge w:val="continue"/>
            <w:shd w:val="clear" w:color="auto" w:fill="auto"/>
            <w:vAlign w:val="center"/>
          </w:tcPr>
          <w:p w14:paraId="41073CF6">
            <w:pPr>
              <w:jc w:val="center"/>
              <w:rPr>
                <w:rFonts w:hint="eastAsia"/>
                <w:bCs/>
                <w:szCs w:val="21"/>
                <w:lang w:val="en-US" w:eastAsia="zh-CN"/>
              </w:rPr>
            </w:pPr>
          </w:p>
        </w:tc>
        <w:tc>
          <w:tcPr>
            <w:tcW w:w="0" w:type="auto"/>
            <w:vMerge w:val="continue"/>
            <w:shd w:val="clear" w:color="auto" w:fill="auto"/>
            <w:vAlign w:val="center"/>
          </w:tcPr>
          <w:p w14:paraId="445CFD63">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030DDB35">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2、外观质量：型材装饰面上的膜层应平滑、均匀，允许有轻微的桔皮现象，不准许有皱纹、流痕、鼓泡、裂纹等影响使用的缺陷。</w:t>
            </w:r>
          </w:p>
        </w:tc>
      </w:tr>
      <w:tr w14:paraId="08BBED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 w:hRule="atLeast"/>
        </w:trPr>
        <w:tc>
          <w:tcPr>
            <w:tcW w:w="0" w:type="auto"/>
            <w:vMerge w:val="restart"/>
            <w:shd w:val="clear" w:color="auto" w:fill="auto"/>
            <w:vAlign w:val="center"/>
          </w:tcPr>
          <w:p w14:paraId="6AAD2DAA">
            <w:pPr>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8</w:t>
            </w:r>
          </w:p>
        </w:tc>
        <w:tc>
          <w:tcPr>
            <w:tcW w:w="0" w:type="auto"/>
            <w:vMerge w:val="restart"/>
            <w:shd w:val="clear" w:color="auto" w:fill="auto"/>
            <w:vAlign w:val="center"/>
          </w:tcPr>
          <w:p w14:paraId="3F2EC7A6">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加厚铝合金轨道</w:t>
            </w:r>
          </w:p>
        </w:tc>
        <w:tc>
          <w:tcPr>
            <w:tcW w:w="0" w:type="auto"/>
            <w:shd w:val="clear" w:color="auto" w:fill="auto"/>
            <w:vAlign w:val="top"/>
          </w:tcPr>
          <w:p w14:paraId="0F6C705F">
            <w:pPr>
              <w:bidi w:val="0"/>
              <w:rPr>
                <w:rFonts w:hint="default" w:asciiTheme="minorEastAsia" w:hAnsiTheme="minorEastAsia" w:eastAsiaTheme="minorEastAsia" w:cstheme="minorEastAsia"/>
                <w:b w:val="0"/>
                <w:bCs w:val="0"/>
                <w:color w:val="000000" w:themeColor="text1"/>
                <w:kern w:val="2"/>
                <w:sz w:val="21"/>
                <w:szCs w:val="24"/>
                <w:lang w:val="en-US" w:eastAsia="zh-CN" w:bidi="ar-SA"/>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1、规格：宽≥20mm、高≥18mm，壁厚≥1.0mm。</w:t>
            </w:r>
          </w:p>
        </w:tc>
      </w:tr>
      <w:tr w14:paraId="57F4BB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8" w:hRule="atLeast"/>
        </w:trPr>
        <w:tc>
          <w:tcPr>
            <w:tcW w:w="0" w:type="auto"/>
            <w:vMerge w:val="continue"/>
            <w:shd w:val="clear" w:color="auto" w:fill="auto"/>
            <w:vAlign w:val="center"/>
          </w:tcPr>
          <w:p w14:paraId="127D2488">
            <w:pPr>
              <w:jc w:val="center"/>
              <w:rPr>
                <w:rFonts w:hint="eastAsia"/>
                <w:bCs/>
                <w:szCs w:val="21"/>
                <w:lang w:val="en-US" w:eastAsia="zh-CN"/>
              </w:rPr>
            </w:pPr>
          </w:p>
        </w:tc>
        <w:tc>
          <w:tcPr>
            <w:tcW w:w="0" w:type="auto"/>
            <w:vMerge w:val="continue"/>
            <w:shd w:val="clear" w:color="auto" w:fill="auto"/>
            <w:vAlign w:val="center"/>
          </w:tcPr>
          <w:p w14:paraId="3EDAA40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shd w:val="clear" w:color="auto" w:fill="auto"/>
            <w:vAlign w:val="top"/>
          </w:tcPr>
          <w:p w14:paraId="4833178A">
            <w:pPr>
              <w:bidi w:val="0"/>
              <w:rPr>
                <w:rFonts w:hint="default" w:asciiTheme="minorEastAsia" w:hAnsiTheme="minorEastAsia" w:eastAsiaTheme="minorEastAsia" w:cstheme="minorEastAsia"/>
                <w:b w:val="0"/>
                <w:bCs w:val="0"/>
                <w:color w:val="000000" w:themeColor="text1"/>
                <w:kern w:val="2"/>
                <w:sz w:val="21"/>
                <w:szCs w:val="24"/>
                <w:lang w:val="en-US" w:eastAsia="zh-CN" w:bidi="ar-SA"/>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2、外观质量：型材装饰面上的膜层应平滑、均匀，允许有轻微的桔皮现象，不准许有皱纹、流痕、鼓泡、裂纹等影响使用的缺陷。</w:t>
            </w:r>
          </w:p>
        </w:tc>
      </w:tr>
      <w:tr w14:paraId="6A5DB0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trPr>
        <w:tc>
          <w:tcPr>
            <w:tcW w:w="0" w:type="auto"/>
            <w:vMerge w:val="restart"/>
            <w:shd w:val="clear" w:color="auto" w:fill="auto"/>
            <w:vAlign w:val="center"/>
          </w:tcPr>
          <w:p w14:paraId="39BFCBCB">
            <w:pPr>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9</w:t>
            </w:r>
          </w:p>
        </w:tc>
        <w:tc>
          <w:tcPr>
            <w:tcW w:w="0" w:type="auto"/>
            <w:vMerge w:val="restart"/>
            <w:shd w:val="clear" w:color="auto" w:fill="auto"/>
            <w:vAlign w:val="center"/>
          </w:tcPr>
          <w:p w14:paraId="42DED1DA">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电动卷帘系统(含电动遥控装置)</w:t>
            </w:r>
          </w:p>
        </w:tc>
        <w:tc>
          <w:tcPr>
            <w:tcW w:w="0" w:type="auto"/>
          </w:tcPr>
          <w:p w14:paraId="0BF20B28">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控制方式：电动远程控制、遥控控制模式或。</w:t>
            </w:r>
          </w:p>
        </w:tc>
      </w:tr>
      <w:tr w14:paraId="7CB1AB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0" w:type="auto"/>
            <w:vMerge w:val="continue"/>
            <w:shd w:val="clear" w:color="auto" w:fill="auto"/>
            <w:vAlign w:val="center"/>
          </w:tcPr>
          <w:p w14:paraId="1C8F6EFF">
            <w:pPr>
              <w:jc w:val="center"/>
              <w:rPr>
                <w:rFonts w:hint="eastAsia"/>
                <w:bCs/>
                <w:szCs w:val="21"/>
                <w:lang w:val="en-US" w:eastAsia="zh-CN"/>
              </w:rPr>
            </w:pPr>
          </w:p>
        </w:tc>
        <w:tc>
          <w:tcPr>
            <w:tcW w:w="0" w:type="auto"/>
            <w:vMerge w:val="continue"/>
            <w:shd w:val="clear" w:color="auto" w:fill="auto"/>
            <w:vAlign w:val="center"/>
          </w:tcPr>
          <w:p w14:paraId="2826923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51DD9256">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遥控器多种颜色可选。</w:t>
            </w:r>
          </w:p>
        </w:tc>
      </w:tr>
      <w:tr w14:paraId="638125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trPr>
        <w:tc>
          <w:tcPr>
            <w:tcW w:w="0" w:type="auto"/>
            <w:vMerge w:val="continue"/>
            <w:shd w:val="clear" w:color="auto" w:fill="auto"/>
            <w:vAlign w:val="center"/>
          </w:tcPr>
          <w:p w14:paraId="58BE751C">
            <w:pPr>
              <w:jc w:val="center"/>
              <w:rPr>
                <w:rFonts w:hint="eastAsia"/>
                <w:bCs/>
                <w:szCs w:val="21"/>
                <w:lang w:val="en-US" w:eastAsia="zh-CN"/>
              </w:rPr>
            </w:pPr>
          </w:p>
        </w:tc>
        <w:tc>
          <w:tcPr>
            <w:tcW w:w="0" w:type="auto"/>
            <w:vMerge w:val="continue"/>
            <w:shd w:val="clear" w:color="auto" w:fill="auto"/>
            <w:vAlign w:val="center"/>
          </w:tcPr>
          <w:p w14:paraId="1ED8DFD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0D93A5EB">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3</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遥控装置：控制方式：手持遥控器、墙壁式遥控、智能语音控制、APP远程控制</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w:t>
            </w:r>
          </w:p>
        </w:tc>
      </w:tr>
      <w:tr w14:paraId="3F711B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0" w:type="auto"/>
            <w:vMerge w:val="continue"/>
            <w:shd w:val="clear" w:color="auto" w:fill="auto"/>
            <w:vAlign w:val="center"/>
          </w:tcPr>
          <w:p w14:paraId="08EE6F39">
            <w:pPr>
              <w:jc w:val="center"/>
              <w:rPr>
                <w:rFonts w:hint="eastAsia"/>
                <w:bCs/>
                <w:szCs w:val="21"/>
                <w:lang w:val="en-US" w:eastAsia="zh-CN"/>
              </w:rPr>
            </w:pPr>
          </w:p>
        </w:tc>
        <w:tc>
          <w:tcPr>
            <w:tcW w:w="0" w:type="auto"/>
            <w:vMerge w:val="continue"/>
            <w:shd w:val="clear" w:color="auto" w:fill="auto"/>
            <w:vAlign w:val="center"/>
          </w:tcPr>
          <w:p w14:paraId="5E0739F7">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50535F13">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4</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该系统为成品系统，包含电机、控制器及相关配件及辅材</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w:t>
            </w:r>
          </w:p>
        </w:tc>
      </w:tr>
      <w:tr w14:paraId="4C92BA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2" w:hRule="atLeast"/>
        </w:trPr>
        <w:tc>
          <w:tcPr>
            <w:tcW w:w="0" w:type="auto"/>
            <w:vMerge w:val="restart"/>
            <w:shd w:val="clear" w:color="auto" w:fill="auto"/>
            <w:vAlign w:val="center"/>
          </w:tcPr>
          <w:p w14:paraId="7BAED853">
            <w:pPr>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10</w:t>
            </w:r>
          </w:p>
        </w:tc>
        <w:tc>
          <w:tcPr>
            <w:tcW w:w="0" w:type="auto"/>
            <w:vMerge w:val="restart"/>
            <w:shd w:val="clear" w:color="auto" w:fill="auto"/>
            <w:vAlign w:val="center"/>
          </w:tcPr>
          <w:p w14:paraId="6EA02CDA">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电动卷轴</w:t>
            </w:r>
          </w:p>
        </w:tc>
        <w:tc>
          <w:tcPr>
            <w:tcW w:w="0" w:type="auto"/>
          </w:tcPr>
          <w:p w14:paraId="6E2E4CE5">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1.类型：方形型的安装码</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w:t>
            </w:r>
          </w:p>
        </w:tc>
      </w:tr>
      <w:tr w14:paraId="799BB5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 w:hRule="atLeast"/>
        </w:trPr>
        <w:tc>
          <w:tcPr>
            <w:tcW w:w="0" w:type="auto"/>
            <w:vMerge w:val="continue"/>
            <w:shd w:val="clear" w:color="auto" w:fill="auto"/>
            <w:vAlign w:val="center"/>
          </w:tcPr>
          <w:p w14:paraId="71D37580">
            <w:pPr>
              <w:jc w:val="center"/>
              <w:rPr>
                <w:rFonts w:hint="eastAsia"/>
                <w:bCs/>
                <w:szCs w:val="21"/>
                <w:lang w:val="en-US" w:eastAsia="zh-CN"/>
              </w:rPr>
            </w:pPr>
          </w:p>
        </w:tc>
        <w:tc>
          <w:tcPr>
            <w:tcW w:w="0" w:type="auto"/>
            <w:vMerge w:val="continue"/>
            <w:shd w:val="clear" w:color="auto" w:fill="auto"/>
            <w:vAlign w:val="center"/>
          </w:tcPr>
          <w:p w14:paraId="51BA5CA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413DE275">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2.厚度‌：安装码的厚度≥2mm</w:t>
            </w: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w:t>
            </w:r>
          </w:p>
        </w:tc>
      </w:tr>
      <w:tr w14:paraId="65DCD0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5" w:hRule="atLeast"/>
        </w:trPr>
        <w:tc>
          <w:tcPr>
            <w:tcW w:w="0" w:type="auto"/>
            <w:vMerge w:val="continue"/>
            <w:shd w:val="clear" w:color="auto" w:fill="auto"/>
            <w:vAlign w:val="center"/>
          </w:tcPr>
          <w:p w14:paraId="12165B20">
            <w:pPr>
              <w:jc w:val="center"/>
              <w:rPr>
                <w:rFonts w:hint="eastAsia"/>
                <w:bCs/>
                <w:szCs w:val="21"/>
                <w:lang w:val="en-US" w:eastAsia="zh-CN"/>
              </w:rPr>
            </w:pPr>
          </w:p>
        </w:tc>
        <w:tc>
          <w:tcPr>
            <w:tcW w:w="0" w:type="auto"/>
            <w:vMerge w:val="continue"/>
            <w:shd w:val="clear" w:color="auto" w:fill="auto"/>
            <w:vAlign w:val="center"/>
          </w:tcPr>
          <w:p w14:paraId="2C13644F">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78D22B60">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3.材质‌：卷帘安装码通常采用优质铝合金材料，具有强度高、不变形、防老化、耐腐蚀等特点。</w:t>
            </w:r>
          </w:p>
        </w:tc>
      </w:tr>
      <w:tr w14:paraId="71A0D0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 w:hRule="atLeast"/>
        </w:trPr>
        <w:tc>
          <w:tcPr>
            <w:tcW w:w="0" w:type="auto"/>
            <w:vMerge w:val="restart"/>
            <w:shd w:val="clear" w:color="auto" w:fill="auto"/>
            <w:vAlign w:val="center"/>
          </w:tcPr>
          <w:p w14:paraId="50964248">
            <w:pPr>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11</w:t>
            </w:r>
          </w:p>
        </w:tc>
        <w:tc>
          <w:tcPr>
            <w:tcW w:w="0" w:type="auto"/>
            <w:vMerge w:val="restart"/>
            <w:shd w:val="clear" w:color="auto" w:fill="auto"/>
            <w:vAlign w:val="center"/>
          </w:tcPr>
          <w:p w14:paraId="0A260D6F">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PVC百叶窗</w:t>
            </w:r>
          </w:p>
        </w:tc>
        <w:tc>
          <w:tcPr>
            <w:tcW w:w="0" w:type="auto"/>
          </w:tcPr>
          <w:p w14:paraId="47C7A7CE">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1、帘片要求：</w:t>
            </w:r>
          </w:p>
          <w:p w14:paraId="22192FC7">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1.1 叶片材质为全新PVC树脂，不得添加回收料，密度≥1.3g/cm³。</w:t>
            </w:r>
          </w:p>
          <w:p w14:paraId="600D124C">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1.2 叶片宽度≥25mm；厚度≥0.12mm。</w:t>
            </w:r>
          </w:p>
          <w:p w14:paraId="551F6597">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1.3 叶片表面无划痕、气泡、裂纹。</w:t>
            </w:r>
          </w:p>
          <w:p w14:paraId="1BE139EA">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1.4 上轨、下轨采用铝合金型材，壁厚≥0.8 mm，表面阳极氧化或喷涂，涂层厚度≥10 μm。</w:t>
            </w:r>
          </w:p>
          <w:p w14:paraId="1CE8CC47">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1.5 成品宽度尺寸偏差±2mm，高度尺寸偏差±3mm，对角线差≤4mm。</w:t>
            </w:r>
          </w:p>
          <w:p w14:paraId="066149C2">
            <w:pPr>
              <w:bidi w:val="0"/>
              <w:rPr>
                <w:rFonts w:hint="default"/>
                <w:lang w:val="en-US" w:eastAsia="zh-CN"/>
              </w:rPr>
            </w:pPr>
            <w:r>
              <w:rPr>
                <w:rFonts w:hint="eastAsia" w:asciiTheme="minorEastAsia" w:hAnsiTheme="minorEastAsia" w:eastAsiaTheme="minorEastAsia" w:cstheme="minorEastAsia"/>
                <w:lang w:val="en-US" w:eastAsia="zh-CN"/>
              </w:rPr>
              <w:t>1.6 叶片两端打孔位置对称度≤1mm，孔内无毛刺。</w:t>
            </w:r>
          </w:p>
        </w:tc>
      </w:tr>
      <w:tr w14:paraId="1779C4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6" w:hRule="atLeast"/>
        </w:trPr>
        <w:tc>
          <w:tcPr>
            <w:tcW w:w="0" w:type="auto"/>
            <w:vMerge w:val="continue"/>
            <w:shd w:val="clear" w:color="auto" w:fill="auto"/>
            <w:vAlign w:val="center"/>
          </w:tcPr>
          <w:p w14:paraId="29BFC765">
            <w:pPr>
              <w:jc w:val="center"/>
              <w:rPr>
                <w:rFonts w:hint="eastAsia"/>
                <w:bCs/>
                <w:szCs w:val="21"/>
                <w:lang w:val="en-US" w:eastAsia="zh-CN"/>
              </w:rPr>
            </w:pPr>
          </w:p>
        </w:tc>
        <w:tc>
          <w:tcPr>
            <w:tcW w:w="0" w:type="auto"/>
            <w:vMerge w:val="continue"/>
            <w:shd w:val="clear" w:color="auto" w:fill="auto"/>
            <w:vAlign w:val="center"/>
          </w:tcPr>
          <w:p w14:paraId="04C8290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1C94A96E">
            <w:pPr>
              <w:bidi w:val="0"/>
              <w:rPr>
                <w:rFonts w:hint="default" w:asciiTheme="minorEastAsia" w:hAnsiTheme="minorEastAsia" w:eastAsiaTheme="minorEastAsia" w:cstheme="minorEastAsia"/>
                <w:b/>
                <w:bCs/>
                <w:color w:val="FF0000"/>
                <w:lang w:val="en-US" w:eastAsia="zh-CN"/>
              </w:rPr>
            </w:pPr>
            <w:r>
              <w:rPr>
                <w:rFonts w:hint="eastAsia" w:asciiTheme="minorEastAsia" w:hAnsiTheme="minorEastAsia" w:eastAsiaTheme="minorEastAsia" w:cstheme="minorEastAsia"/>
              </w:rPr>
              <w:t>2、驱动系统要求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2.1 梯绳（拉绳）材质为涤纶，断裂强力≥200N，颜色与叶片匹配（色差ΔE≤2）。</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2.2 调光机构为拉珠式或旋棒式，操作力≤10N，转向角度≥180°。</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2.3 升降与翻转循环操作1000次后，无卡顿、打滑，各部件无损坏。</w:t>
            </w:r>
          </w:p>
        </w:tc>
      </w:tr>
      <w:tr w14:paraId="5400F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3" w:hRule="atLeast"/>
        </w:trPr>
        <w:tc>
          <w:tcPr>
            <w:tcW w:w="0" w:type="auto"/>
            <w:vMerge w:val="restart"/>
            <w:shd w:val="clear" w:color="auto" w:fill="auto"/>
            <w:vAlign w:val="center"/>
          </w:tcPr>
          <w:p w14:paraId="55921AF6">
            <w:pPr>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12</w:t>
            </w:r>
          </w:p>
        </w:tc>
        <w:tc>
          <w:tcPr>
            <w:tcW w:w="0" w:type="auto"/>
            <w:vMerge w:val="restart"/>
            <w:shd w:val="clear" w:color="auto" w:fill="auto"/>
            <w:vAlign w:val="center"/>
          </w:tcPr>
          <w:p w14:paraId="7D98D8D6">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加厚百叶窗帘</w:t>
            </w:r>
          </w:p>
        </w:tc>
        <w:tc>
          <w:tcPr>
            <w:tcW w:w="0" w:type="auto"/>
            <w:shd w:val="clear" w:color="auto" w:fill="auto"/>
            <w:vAlign w:val="top"/>
          </w:tcPr>
          <w:p w14:paraId="4050D8F2">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1、帘片要求：</w:t>
            </w:r>
          </w:p>
          <w:p w14:paraId="1EA695CB">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1.1 叶片材质为全新PVC树脂，不得添加回收料，密度≥1.3g/cm³。</w:t>
            </w:r>
          </w:p>
          <w:p w14:paraId="53252EAB">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1.2 叶片宽度≥25mm；厚度≥0.2mm。</w:t>
            </w:r>
          </w:p>
          <w:p w14:paraId="235300A4">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1.3 叶片表面无划痕、气泡、裂纹。</w:t>
            </w:r>
          </w:p>
          <w:p w14:paraId="2AA7B435">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1.4 上轨、下轨采用铝合金型材，壁厚≥1.0 mm，表面阳极氧化或喷涂，涂层厚度≥10 μm。</w:t>
            </w:r>
          </w:p>
          <w:p w14:paraId="55EB1CE8">
            <w:pPr>
              <w:bidi w:val="0"/>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1.5 成品宽度尺寸偏差±2mm，高度尺寸偏差±3mm，对角线差≤4mm。</w:t>
            </w:r>
          </w:p>
          <w:p w14:paraId="264C3249">
            <w:pPr>
              <w:bidi w:val="0"/>
              <w:rPr>
                <w:rFonts w:hint="default" w:ascii="Times New Roman" w:hAnsi="Times New Roman" w:eastAsia="宋体" w:cs="Times New Roman"/>
                <w:kern w:val="2"/>
                <w:sz w:val="21"/>
                <w:szCs w:val="24"/>
                <w:lang w:val="en-US" w:eastAsia="zh-CN" w:bidi="ar-SA"/>
              </w:rPr>
            </w:pPr>
            <w:r>
              <w:rPr>
                <w:rFonts w:hint="eastAsia" w:asciiTheme="minorEastAsia" w:hAnsiTheme="minorEastAsia" w:eastAsiaTheme="minorEastAsia" w:cstheme="minorEastAsia"/>
                <w:lang w:val="en-US" w:eastAsia="zh-CN"/>
              </w:rPr>
              <w:t>1.6 叶片两端打孔位置对称度≤1mm，孔内无毛刺。</w:t>
            </w:r>
          </w:p>
        </w:tc>
      </w:tr>
      <w:tr w14:paraId="53C2E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trPr>
        <w:tc>
          <w:tcPr>
            <w:tcW w:w="0" w:type="auto"/>
            <w:vMerge w:val="continue"/>
            <w:shd w:val="clear" w:color="auto" w:fill="auto"/>
            <w:vAlign w:val="center"/>
          </w:tcPr>
          <w:p w14:paraId="76B53C42">
            <w:pPr>
              <w:jc w:val="center"/>
              <w:rPr>
                <w:rFonts w:hint="eastAsia"/>
                <w:bCs/>
                <w:szCs w:val="21"/>
                <w:lang w:val="en-US" w:eastAsia="zh-CN"/>
              </w:rPr>
            </w:pPr>
          </w:p>
        </w:tc>
        <w:tc>
          <w:tcPr>
            <w:tcW w:w="0" w:type="auto"/>
            <w:vMerge w:val="continue"/>
            <w:shd w:val="clear" w:color="auto" w:fill="auto"/>
            <w:vAlign w:val="center"/>
          </w:tcPr>
          <w:p w14:paraId="63822EA5">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shd w:val="clear" w:color="auto" w:fill="auto"/>
            <w:vAlign w:val="top"/>
          </w:tcPr>
          <w:p w14:paraId="6DB5A61E">
            <w:pPr>
              <w:bidi w:val="0"/>
              <w:rPr>
                <w:rFonts w:hint="default" w:asciiTheme="minorEastAsia" w:hAnsiTheme="minorEastAsia" w:eastAsiaTheme="minorEastAsia" w:cstheme="minorEastAsia"/>
                <w:b/>
                <w:bCs/>
                <w:color w:val="FF0000"/>
                <w:kern w:val="2"/>
                <w:sz w:val="21"/>
                <w:szCs w:val="24"/>
                <w:lang w:val="en-US" w:eastAsia="zh-CN" w:bidi="ar-SA"/>
              </w:rPr>
            </w:pPr>
            <w:r>
              <w:rPr>
                <w:rFonts w:hint="eastAsia" w:asciiTheme="minorEastAsia" w:hAnsiTheme="minorEastAsia" w:eastAsiaTheme="minorEastAsia" w:cstheme="minorEastAsia"/>
              </w:rPr>
              <w:t>2、驱动系统要求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2.1 梯绳（拉绳）材质为涤纶，断裂强力≥200N，颜色与叶片匹配（色差ΔE≤2）。</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2.2 调光机构为拉珠式或旋棒式，操作力≤10N，转向角度≥180°。</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2.3 升降与翻转循环操作1000次后，无卡顿、打滑，各部件无损坏。</w:t>
            </w:r>
          </w:p>
        </w:tc>
      </w:tr>
      <w:tr w14:paraId="6E587B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8" w:hRule="atLeast"/>
        </w:trPr>
        <w:tc>
          <w:tcPr>
            <w:tcW w:w="0" w:type="auto"/>
            <w:vMerge w:val="restart"/>
            <w:shd w:val="clear" w:color="auto" w:fill="auto"/>
            <w:vAlign w:val="center"/>
          </w:tcPr>
          <w:p w14:paraId="7B66248C">
            <w:pPr>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13</w:t>
            </w:r>
          </w:p>
        </w:tc>
        <w:tc>
          <w:tcPr>
            <w:tcW w:w="0" w:type="auto"/>
            <w:vMerge w:val="restart"/>
            <w:shd w:val="clear" w:color="auto" w:fill="auto"/>
            <w:vAlign w:val="center"/>
          </w:tcPr>
          <w:p w14:paraId="0F4613EB">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布带钩子</w:t>
            </w:r>
          </w:p>
        </w:tc>
        <w:tc>
          <w:tcPr>
            <w:tcW w:w="0" w:type="auto"/>
          </w:tcPr>
          <w:p w14:paraId="665D2245">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1</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、基本技术标准：</w:t>
            </w:r>
          </w:p>
          <w:p w14:paraId="662CC32D">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1</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.1成分：100%聚酯纤维；</w:t>
            </w:r>
          </w:p>
          <w:p w14:paraId="2599B199">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1</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.2织物耐磨性能（次）：≥15000次，</w:t>
            </w:r>
          </w:p>
          <w:p w14:paraId="41C32FC0">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1</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.3抗老化强力保持：长度方向≥90；</w:t>
            </w:r>
          </w:p>
          <w:p w14:paraId="10F6A0FB">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1</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.4断裂强力/(N）：长度方向≥2000；</w:t>
            </w:r>
          </w:p>
          <w:p w14:paraId="7776AE43">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1</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.5致敏染料（mg/kg）：未检出）；</w:t>
            </w:r>
          </w:p>
          <w:p w14:paraId="4D443074">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1</w:t>
            </w:r>
            <w:r>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t>.6致癌染料（mg/kg）：未检出）</w:t>
            </w:r>
          </w:p>
        </w:tc>
      </w:tr>
      <w:tr w14:paraId="1C7466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4" w:hRule="atLeast"/>
        </w:trPr>
        <w:tc>
          <w:tcPr>
            <w:tcW w:w="0" w:type="auto"/>
            <w:vMerge w:val="continue"/>
            <w:shd w:val="clear" w:color="auto" w:fill="auto"/>
            <w:vAlign w:val="center"/>
          </w:tcPr>
          <w:p w14:paraId="5D1002FB">
            <w:pPr>
              <w:jc w:val="center"/>
              <w:rPr>
                <w:rFonts w:hint="eastAsia"/>
                <w:bCs/>
                <w:szCs w:val="21"/>
                <w:lang w:val="en-US" w:eastAsia="zh-CN"/>
              </w:rPr>
            </w:pPr>
          </w:p>
        </w:tc>
        <w:tc>
          <w:tcPr>
            <w:tcW w:w="0" w:type="auto"/>
            <w:vMerge w:val="continue"/>
            <w:shd w:val="clear" w:color="auto" w:fill="auto"/>
            <w:vAlign w:val="center"/>
          </w:tcPr>
          <w:p w14:paraId="11612860">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55B60230">
            <w:pPr>
              <w:bidi w:val="0"/>
              <w:rPr>
                <w:rFonts w:hint="default" w:asciiTheme="minorEastAsia" w:hAnsiTheme="minorEastAsia" w:eastAsiaTheme="minorEastAsia" w:cstheme="minorEastAsia"/>
                <w:b w:val="0"/>
                <w:bCs w:val="0"/>
                <w:color w:val="000000" w:themeColor="text1"/>
                <w:lang w:val="en-US" w:eastAsia="zh-CN"/>
                <w14:textFill>
                  <w14:solidFill>
                    <w14:schemeClr w14:val="tx1"/>
                  </w14:solidFill>
                </w14:textFill>
              </w:rPr>
            </w:pPr>
            <w:r>
              <w:rPr>
                <w:rFonts w:hint="eastAsia" w:asciiTheme="minorEastAsia" w:hAnsiTheme="minorEastAsia" w:eastAsiaTheme="minorEastAsia" w:cstheme="minorEastAsia"/>
                <w:b w:val="0"/>
                <w:bCs w:val="0"/>
                <w:color w:val="000000" w:themeColor="text1"/>
                <w:lang w:val="en-US" w:eastAsia="zh-CN"/>
                <w14:textFill>
                  <w14:solidFill>
                    <w14:schemeClr w14:val="tx1"/>
                  </w14:solidFill>
                </w14:textFill>
              </w:rPr>
              <w:t>2、采用不锈钢四叉钩。</w:t>
            </w:r>
          </w:p>
        </w:tc>
      </w:tr>
      <w:tr w14:paraId="4A895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4" w:hRule="atLeast"/>
        </w:trPr>
        <w:tc>
          <w:tcPr>
            <w:tcW w:w="0" w:type="auto"/>
            <w:vMerge w:val="restart"/>
            <w:shd w:val="clear" w:color="auto" w:fill="auto"/>
            <w:vAlign w:val="center"/>
          </w:tcPr>
          <w:p w14:paraId="21AB5E34">
            <w:pPr>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14</w:t>
            </w:r>
          </w:p>
        </w:tc>
        <w:tc>
          <w:tcPr>
            <w:tcW w:w="0" w:type="auto"/>
            <w:vMerge w:val="restart"/>
            <w:shd w:val="clear" w:color="auto" w:fill="auto"/>
            <w:vAlign w:val="center"/>
          </w:tcPr>
          <w:p w14:paraId="2B11C2F4">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地毯</w:t>
            </w:r>
          </w:p>
        </w:tc>
        <w:tc>
          <w:tcPr>
            <w:tcW w:w="0" w:type="auto"/>
          </w:tcPr>
          <w:p w14:paraId="76009391">
            <w:pPr>
              <w:bidi w:val="0"/>
              <w:rPr>
                <w:rFonts w:hint="eastAsia" w:asciiTheme="minorEastAsia" w:hAnsiTheme="minorEastAsia" w:eastAsiaTheme="minorEastAsia" w:cstheme="minorEastAsia"/>
                <w:b/>
                <w:bCs/>
                <w:color w:val="FF0000"/>
                <w:lang w:val="en-US" w:eastAsia="zh-CN"/>
              </w:rPr>
            </w:pPr>
            <w:r>
              <w:rPr>
                <w:rFonts w:hint="eastAsia" w:asciiTheme="minorEastAsia" w:hAnsiTheme="minorEastAsia" w:eastAsiaTheme="minorEastAsia" w:cstheme="minorEastAsia"/>
              </w:rPr>
              <w:t>1、毯面要求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1.1 毯面纤维材质为100%尼龙或100%涤纶。</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1.2 毯基上绒头厚度：7.0 mm，允许偏差±10%。</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"https://csbidding.csair.cn/cms/nfhk/webfile/fzbcg/cggg/20260525/1243498504605663232.html" \t "https://chat.deepseek.com/a/chat/s/_blank"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1.3 单位面积绒头质量：1000 g/m²，允许偏差±10%。</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"https://www.cauc.edu.cn/zbcgzx/info/1181/6601.htm" \t "https://chat.deepseek.com/a/chat/s/_blank"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"https://www.plap.mil.cn/freecms/site/juncai/ggxx/info/2026/8a1d04c69e921212019ef37f13a36607.html?noticeType=001014&amp;channel=e0172398-23dd-47be-a092-14c67a92bd4f" \t "https://chat.deepseek.com/a/chat/s/_blank"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1.4 成品总厚度（含底背）：8–10mm。</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"https://www.cauc.edu.cn/zbcgzx/info/1181/6601.htm" \t "https://chat.deepseek.com/a/chat/s/_blank"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 xml:space="preserve"> 耐摩擦色牢度：干摩擦≥4级，湿摩擦≥3级。</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"https://csbidding.csair.cn/cms/nfhk/webfile/fzbcg/cggg/20260525/1243498504605663232.html" \t "https://chat.deepseek.com/a/chat/s/_blank"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val="en-US" w:eastAsia="zh-CN"/>
              </w:rPr>
              <w:t>6</w:t>
            </w:r>
            <w:r>
              <w:rPr>
                <w:rFonts w:hint="eastAsia" w:asciiTheme="minorEastAsia" w:hAnsiTheme="minorEastAsia" w:eastAsiaTheme="minorEastAsia" w:cstheme="minorEastAsia"/>
              </w:rPr>
              <w:t xml:space="preserve"> 耐光色牢度（氙弧）：≥4级。</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"http://www.ahdx.gov.cn/col30/95387" \t "https://chat.deepseek.com/a/chat/s/_blank"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val="en-US" w:eastAsia="zh-CN"/>
              </w:rPr>
              <w:t>7</w:t>
            </w:r>
            <w:r>
              <w:rPr>
                <w:rFonts w:hint="eastAsia" w:asciiTheme="minorEastAsia" w:hAnsiTheme="minorEastAsia" w:eastAsiaTheme="minorEastAsia" w:cstheme="minorEastAsia"/>
              </w:rPr>
              <w:t xml:space="preserve"> 外观质量等级：优等品。</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"https://csbidding.csair.cn/cms/nfhk/webfile/fzbcg/cggg/20260525/1243498504605663232.html" \t "https://chat.deepseek.com/a/chat/s/_blank"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1.</w:t>
            </w:r>
            <w:r>
              <w:rPr>
                <w:rFonts w:hint="eastAsia" w:asciiTheme="minorEastAsia" w:hAnsiTheme="minorEastAsia" w:eastAsiaTheme="minorEastAsia" w:cstheme="minorEastAsia"/>
                <w:lang w:val="en-US" w:eastAsia="zh-CN"/>
              </w:rPr>
              <w:t>8</w:t>
            </w:r>
            <w:r>
              <w:rPr>
                <w:rFonts w:hint="eastAsia" w:asciiTheme="minorEastAsia" w:hAnsiTheme="minorEastAsia" w:eastAsiaTheme="minorEastAsia" w:cstheme="minorEastAsia"/>
              </w:rPr>
              <w:t>毯面平整，无起鼓、起皱、翘边、卷边、露线、毛边；绒面毛顺光一致，无污染和损伤</w:t>
            </w:r>
            <w:r>
              <w:rPr>
                <w:rFonts w:hint="eastAsia" w:asciiTheme="minorEastAsia" w:hAnsiTheme="minorEastAsia" w:eastAsiaTheme="minorEastAsia" w:cstheme="minorEastAsia"/>
                <w:lang w:eastAsia="zh-CN"/>
              </w:rPr>
              <w:t>。</w:t>
            </w:r>
          </w:p>
        </w:tc>
      </w:tr>
      <w:tr w14:paraId="7D49B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4" w:hRule="atLeast"/>
        </w:trPr>
        <w:tc>
          <w:tcPr>
            <w:tcW w:w="0" w:type="auto"/>
            <w:vMerge w:val="continue"/>
            <w:shd w:val="clear" w:color="auto" w:fill="auto"/>
            <w:vAlign w:val="center"/>
          </w:tcPr>
          <w:p w14:paraId="536F7FB1">
            <w:pPr>
              <w:jc w:val="center"/>
              <w:rPr>
                <w:rFonts w:hint="eastAsia"/>
                <w:bCs/>
                <w:szCs w:val="21"/>
                <w:lang w:val="en-US" w:eastAsia="zh-CN"/>
              </w:rPr>
            </w:pPr>
          </w:p>
        </w:tc>
        <w:tc>
          <w:tcPr>
            <w:tcW w:w="0" w:type="auto"/>
            <w:vMerge w:val="continue"/>
            <w:shd w:val="clear" w:color="auto" w:fill="auto"/>
            <w:vAlign w:val="center"/>
          </w:tcPr>
          <w:p w14:paraId="72BCF572">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tcPr>
          <w:p w14:paraId="1E4C9066">
            <w:pPr>
              <w:bidi w:val="0"/>
              <w:rPr>
                <w:rFonts w:hint="eastAsia" w:asciiTheme="minorEastAsia" w:hAnsiTheme="minorEastAsia" w:eastAsiaTheme="minorEastAsia" w:cstheme="minorEastAsia"/>
                <w:b/>
                <w:bCs/>
                <w:color w:val="FF0000"/>
                <w:lang w:val="en-US" w:eastAsia="zh-CN"/>
              </w:rPr>
            </w:pPr>
            <w:r>
              <w:rPr>
                <w:rFonts w:hint="eastAsia" w:asciiTheme="minorEastAsia" w:hAnsiTheme="minorEastAsia" w:eastAsiaTheme="minorEastAsia" w:cstheme="minorEastAsia"/>
              </w:rPr>
              <w:t>2、底背及辅料要求</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2.1 底背材质为PP防水编织布/网格布+环保防水胶。</w:t>
            </w:r>
            <w:r>
              <w:rPr>
                <w:rFonts w:hint="eastAsia" w:asciiTheme="minorEastAsia" w:hAnsiTheme="minorEastAsia" w:eastAsiaTheme="minorEastAsia" w:cstheme="minorEastAsia"/>
              </w:rPr>
              <w:fldChar w:fldCharType="begin"/>
            </w:r>
            <w:r>
              <w:rPr>
                <w:rFonts w:hint="eastAsia" w:asciiTheme="minorEastAsia" w:hAnsiTheme="minorEastAsia" w:eastAsiaTheme="minorEastAsia" w:cstheme="minorEastAsia"/>
              </w:rPr>
              <w:instrText xml:space="preserve"> HYPERLINK "https://www.plap.mil.cn/freecms/site/juncai/ggxx/info/2026/8a1d04c69e921212019ef37f13a36607.html?noticeType=001014&amp;channel=e0172398-23dd-47be-a092-14c67a92bd4f" \t "https://chat.deepseek.com/a/chat/s/_blank" </w:instrText>
            </w:r>
            <w:r>
              <w:rPr>
                <w:rFonts w:hint="eastAsia" w:asciiTheme="minorEastAsia" w:hAnsiTheme="minorEastAsia" w:eastAsiaTheme="minorEastAsia" w:cstheme="minorEastAsia"/>
              </w:rPr>
              <w:fldChar w:fldCharType="separate"/>
            </w:r>
            <w:r>
              <w:rPr>
                <w:rFonts w:hint="eastAsia" w:asciiTheme="minorEastAsia" w:hAnsiTheme="minorEastAsia" w:eastAsiaTheme="minorEastAsia" w:cstheme="minorEastAsia"/>
              </w:rPr>
              <w:fldChar w:fldCharType="end"/>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2.2 粘接剂采用环保羧基丁苯胶，不得使用含苯溶剂型胶粘剂。</w:t>
            </w:r>
          </w:p>
        </w:tc>
      </w:tr>
      <w:tr w14:paraId="430987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 w:hRule="atLeast"/>
        </w:trPr>
        <w:tc>
          <w:tcPr>
            <w:tcW w:w="0" w:type="auto"/>
            <w:vMerge w:val="restart"/>
            <w:shd w:val="clear" w:color="auto" w:fill="auto"/>
            <w:vAlign w:val="center"/>
          </w:tcPr>
          <w:p w14:paraId="57646071">
            <w:pPr>
              <w:jc w:val="center"/>
              <w:rPr>
                <w:rFonts w:hint="default" w:ascii="Times New Roman" w:hAnsi="Times New Roman" w:eastAsia="宋体" w:cs="Times New Roman"/>
                <w:bCs/>
                <w:kern w:val="2"/>
                <w:sz w:val="21"/>
                <w:szCs w:val="21"/>
                <w:lang w:val="en-US" w:eastAsia="zh-CN" w:bidi="ar-SA"/>
              </w:rPr>
            </w:pPr>
            <w:r>
              <w:rPr>
                <w:rFonts w:hint="eastAsia"/>
                <w:bCs/>
                <w:szCs w:val="21"/>
                <w:lang w:val="en-US" w:eastAsia="zh-CN"/>
              </w:rPr>
              <w:t>15</w:t>
            </w:r>
          </w:p>
        </w:tc>
        <w:tc>
          <w:tcPr>
            <w:tcW w:w="0" w:type="auto"/>
            <w:vMerge w:val="restart"/>
            <w:shd w:val="clear" w:color="auto" w:fill="auto"/>
            <w:vAlign w:val="center"/>
          </w:tcPr>
          <w:p w14:paraId="7B354F81">
            <w:pPr>
              <w:keepNext w:val="0"/>
              <w:keepLines w:val="0"/>
              <w:widowControl/>
              <w:suppressLineNumbers w:val="0"/>
              <w:jc w:val="center"/>
              <w:textAlignment w:val="center"/>
              <w:rPr>
                <w:rFonts w:hint="default" w:ascii="宋体" w:hAnsi="宋体" w:eastAsia="宋体" w:cs="宋体"/>
                <w:color w:val="000000"/>
                <w:kern w:val="0"/>
                <w:sz w:val="21"/>
                <w:szCs w:val="21"/>
                <w:lang w:val="en-US" w:eastAsia="zh-CN" w:bidi="ar-SA"/>
              </w:rPr>
            </w:pPr>
            <w:r>
              <w:rPr>
                <w:rFonts w:hint="eastAsia" w:ascii="宋体" w:hAnsi="宋体" w:eastAsia="宋体" w:cs="宋体"/>
                <w:i w:val="0"/>
                <w:iCs w:val="0"/>
                <w:color w:val="000000"/>
                <w:kern w:val="0"/>
                <w:sz w:val="22"/>
                <w:szCs w:val="22"/>
                <w:u w:val="none"/>
                <w:lang w:val="en-US" w:eastAsia="zh-CN" w:bidi="ar"/>
              </w:rPr>
              <w:t>布艺窗帘</w:t>
            </w:r>
          </w:p>
        </w:tc>
        <w:tc>
          <w:tcPr>
            <w:tcW w:w="0" w:type="auto"/>
            <w:shd w:val="clear" w:color="auto" w:fill="auto"/>
            <w:vAlign w:val="top"/>
          </w:tcPr>
          <w:p w14:paraId="187A6D9A">
            <w:pPr>
              <w:keepNext w:val="0"/>
              <w:keepLines w:val="0"/>
              <w:pageBreakBefore w:val="0"/>
              <w:suppressLineNumbers w:val="0"/>
              <w:kinsoku/>
              <w:wordWrap/>
              <w:overflowPunct/>
              <w:topLinePunct w:val="0"/>
              <w:bidi w:val="0"/>
              <w:adjustRightInd/>
              <w:snapToGrid/>
              <w:spacing w:before="0" w:beforeAutospacing="0" w:after="0" w:afterAutospacing="0" w:line="240" w:lineRule="auto"/>
              <w:ind w:left="0" w:right="0"/>
              <w:jc w:val="both"/>
              <w:textAlignment w:val="auto"/>
              <w:outlineLvl w:val="9"/>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1、以下</w:t>
            </w:r>
            <w:r>
              <w:rPr>
                <w:rFonts w:hint="eastAsia" w:ascii="宋体" w:hAnsi="宋体" w:cs="宋体"/>
                <w:b w:val="0"/>
                <w:bCs w:val="0"/>
                <w:color w:val="000000"/>
                <w:kern w:val="2"/>
                <w:sz w:val="21"/>
                <w:szCs w:val="21"/>
                <w:highlight w:val="none"/>
                <w:lang w:val="en-US" w:eastAsia="zh-CN" w:bidi="ar-SA"/>
              </w:rPr>
              <w:t>1.1-1.9</w:t>
            </w:r>
            <w:r>
              <w:rPr>
                <w:rFonts w:hint="eastAsia" w:ascii="宋体" w:hAnsi="宋体" w:eastAsia="宋体" w:cs="宋体"/>
                <w:b w:val="0"/>
                <w:bCs w:val="0"/>
                <w:color w:val="000000"/>
                <w:kern w:val="2"/>
                <w:sz w:val="21"/>
                <w:szCs w:val="21"/>
                <w:highlight w:val="none"/>
                <w:lang w:val="en-US" w:eastAsia="zh-CN" w:bidi="ar-SA"/>
              </w:rPr>
              <w:t>需符合GB/T19817-2005标准：</w:t>
            </w:r>
          </w:p>
          <w:p w14:paraId="5803E3BD">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1.1水洗尺寸变化率；</w:t>
            </w:r>
          </w:p>
          <w:p w14:paraId="20D26485">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1.2干洗尺寸变化率；</w:t>
            </w:r>
          </w:p>
          <w:p w14:paraId="1CB4EAEA">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1.3pH值；</w:t>
            </w:r>
          </w:p>
          <w:p w14:paraId="03BF36DB">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1.4甲醛含量；</w:t>
            </w:r>
          </w:p>
          <w:p w14:paraId="1C8CB7D9">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1.5耐水色牢度</w:t>
            </w:r>
            <w:r>
              <w:rPr>
                <w:rFonts w:hint="eastAsia" w:ascii="宋体" w:hAnsi="宋体" w:cs="宋体"/>
                <w:b w:val="0"/>
                <w:bCs w:val="0"/>
                <w:color w:val="000000"/>
                <w:kern w:val="2"/>
                <w:sz w:val="21"/>
                <w:szCs w:val="21"/>
                <w:highlight w:val="none"/>
                <w:shd w:val="clear" w:color="auto" w:fill="auto"/>
                <w:lang w:val="en-US" w:eastAsia="zh-CN" w:bidi="ar-SA"/>
              </w:rPr>
              <w:t>；</w:t>
            </w:r>
          </w:p>
          <w:p w14:paraId="14F4157F">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1.6耐干摩擦色牢度；</w:t>
            </w:r>
          </w:p>
          <w:p w14:paraId="26CEB880">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1.7耐湿摩擦色牢度；</w:t>
            </w:r>
          </w:p>
          <w:p w14:paraId="276706EB">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1.8耐洗色牢度；</w:t>
            </w:r>
          </w:p>
          <w:p w14:paraId="1421B3AC">
            <w:pPr>
              <w:keepNext w:val="0"/>
              <w:keepLines w:val="0"/>
              <w:pageBreakBefore w:val="0"/>
              <w:widowControl/>
              <w:kinsoku/>
              <w:wordWrap/>
              <w:overflowPunct/>
              <w:topLinePunct w:val="0"/>
              <w:bidi w:val="0"/>
              <w:adjustRightInd/>
              <w:snapToGrid/>
              <w:spacing w:line="240" w:lineRule="auto"/>
              <w:ind w:left="0" w:leftChars="0" w:firstLine="0" w:firstLineChars="0"/>
              <w:jc w:val="both"/>
              <w:textAlignment w:val="auto"/>
              <w:outlineLvl w:val="9"/>
              <w:rPr>
                <w:rFonts w:hint="default" w:asciiTheme="minorEastAsia" w:hAnsiTheme="minorEastAsia" w:eastAsiaTheme="minorEastAsia" w:cstheme="minorEastAsia"/>
                <w:b/>
                <w:bCs/>
                <w:color w:val="FF0000"/>
                <w:kern w:val="2"/>
                <w:sz w:val="21"/>
                <w:szCs w:val="24"/>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1.9耐干洗色牢度；</w:t>
            </w:r>
          </w:p>
        </w:tc>
      </w:tr>
      <w:tr w14:paraId="1ED054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 w:hRule="atLeast"/>
        </w:trPr>
        <w:tc>
          <w:tcPr>
            <w:tcW w:w="0" w:type="auto"/>
            <w:vMerge w:val="continue"/>
            <w:shd w:val="clear" w:color="auto" w:fill="auto"/>
            <w:vAlign w:val="center"/>
          </w:tcPr>
          <w:p w14:paraId="2627511E">
            <w:pPr>
              <w:jc w:val="center"/>
              <w:rPr>
                <w:rFonts w:hint="eastAsia"/>
                <w:bCs/>
                <w:szCs w:val="21"/>
                <w:lang w:val="en-US" w:eastAsia="zh-CN"/>
              </w:rPr>
            </w:pPr>
          </w:p>
        </w:tc>
        <w:tc>
          <w:tcPr>
            <w:tcW w:w="0" w:type="auto"/>
            <w:vMerge w:val="continue"/>
            <w:shd w:val="clear" w:color="auto" w:fill="auto"/>
            <w:vAlign w:val="center"/>
          </w:tcPr>
          <w:p w14:paraId="205CC1BD">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shd w:val="clear" w:color="auto" w:fill="auto"/>
            <w:vAlign w:val="top"/>
          </w:tcPr>
          <w:p w14:paraId="0AE01F43">
            <w:pPr>
              <w:keepNext w:val="0"/>
              <w:keepLines w:val="0"/>
              <w:pageBreakBefore w:val="0"/>
              <w:widowControl/>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rPr>
              <w:t>2、</w:t>
            </w:r>
            <w:r>
              <w:rPr>
                <w:rFonts w:hint="eastAsia" w:ascii="宋体" w:hAnsi="宋体" w:cs="宋体"/>
                <w:b w:val="0"/>
                <w:bCs w:val="0"/>
                <w:color w:val="000000"/>
                <w:kern w:val="2"/>
                <w:sz w:val="21"/>
                <w:szCs w:val="21"/>
                <w:highlight w:val="none"/>
                <w:shd w:val="clear" w:color="auto" w:fill="auto"/>
                <w:lang w:val="en-US" w:eastAsia="zh-CN" w:bidi="ar-SA"/>
              </w:rPr>
              <w:t>以下2.1-2.9对照相关检测依据需符合基本要求</w:t>
            </w:r>
            <w:r>
              <w:rPr>
                <w:rFonts w:hint="eastAsia" w:ascii="宋体" w:hAnsi="宋体" w:eastAsia="宋体" w:cs="宋体"/>
                <w:b w:val="0"/>
                <w:bCs w:val="0"/>
                <w:color w:val="000000"/>
                <w:sz w:val="21"/>
                <w:szCs w:val="21"/>
                <w:highlight w:val="none"/>
              </w:rPr>
              <w:t>：</w:t>
            </w:r>
          </w:p>
          <w:p w14:paraId="11D6454A">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2.1</w:t>
            </w:r>
            <w:r>
              <w:rPr>
                <w:rFonts w:hint="eastAsia" w:ascii="宋体" w:hAnsi="宋体" w:cs="宋体"/>
                <w:b w:val="0"/>
                <w:bCs w:val="0"/>
                <w:color w:val="000000"/>
                <w:kern w:val="2"/>
                <w:sz w:val="21"/>
                <w:szCs w:val="21"/>
                <w:highlight w:val="none"/>
                <w:shd w:val="clear" w:color="auto" w:fill="auto"/>
                <w:lang w:val="en-US" w:eastAsia="zh-CN" w:bidi="ar-SA"/>
              </w:rPr>
              <w:t>纤维含量</w:t>
            </w:r>
            <w:r>
              <w:rPr>
                <w:rFonts w:hint="eastAsia" w:ascii="宋体" w:hAnsi="宋体" w:eastAsia="宋体" w:cs="宋体"/>
                <w:b w:val="0"/>
                <w:bCs w:val="0"/>
                <w:color w:val="000000"/>
                <w:kern w:val="2"/>
                <w:sz w:val="21"/>
                <w:szCs w:val="21"/>
                <w:highlight w:val="none"/>
                <w:shd w:val="clear" w:color="auto" w:fill="auto"/>
                <w:lang w:val="en-US" w:eastAsia="zh-CN" w:bidi="ar-SA"/>
              </w:rPr>
              <w:t>：100%聚酯纤维</w:t>
            </w:r>
            <w:r>
              <w:rPr>
                <w:rFonts w:hint="eastAsia" w:ascii="宋体" w:hAnsi="宋体" w:cs="宋体"/>
                <w:b w:val="0"/>
                <w:bCs w:val="0"/>
                <w:color w:val="000000"/>
                <w:kern w:val="2"/>
                <w:sz w:val="21"/>
                <w:szCs w:val="21"/>
                <w:highlight w:val="none"/>
                <w:shd w:val="clear" w:color="auto" w:fill="auto"/>
                <w:lang w:val="en-US" w:eastAsia="zh-CN" w:bidi="ar-SA"/>
              </w:rPr>
              <w:t>，检测依据FZ/T01057.1-2007</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65706FE1">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2.2织物密度（根/10cm）：经密≥</w:t>
            </w:r>
            <w:r>
              <w:rPr>
                <w:rFonts w:hint="eastAsia" w:ascii="宋体" w:hAnsi="宋体" w:cs="宋体"/>
                <w:b w:val="0"/>
                <w:bCs w:val="0"/>
                <w:color w:val="000000"/>
                <w:kern w:val="2"/>
                <w:sz w:val="21"/>
                <w:szCs w:val="21"/>
                <w:highlight w:val="none"/>
                <w:shd w:val="clear" w:color="auto" w:fill="auto"/>
                <w:lang w:val="en-US" w:eastAsia="zh-CN" w:bidi="ar-SA"/>
              </w:rPr>
              <w:t>8</w:t>
            </w:r>
            <w:r>
              <w:rPr>
                <w:rFonts w:hint="eastAsia" w:ascii="宋体" w:hAnsi="宋体" w:eastAsia="宋体" w:cs="宋体"/>
                <w:b w:val="0"/>
                <w:bCs w:val="0"/>
                <w:color w:val="000000"/>
                <w:kern w:val="2"/>
                <w:sz w:val="21"/>
                <w:szCs w:val="21"/>
                <w:highlight w:val="none"/>
                <w:shd w:val="clear" w:color="auto" w:fill="auto"/>
                <w:lang w:val="en-US" w:eastAsia="zh-CN" w:bidi="ar-SA"/>
              </w:rPr>
              <w:t>00 纬密≥</w:t>
            </w:r>
            <w:r>
              <w:rPr>
                <w:rFonts w:hint="eastAsia" w:ascii="宋体" w:hAnsi="宋体" w:cs="宋体"/>
                <w:b w:val="0"/>
                <w:bCs w:val="0"/>
                <w:color w:val="000000"/>
                <w:kern w:val="2"/>
                <w:sz w:val="21"/>
                <w:szCs w:val="21"/>
                <w:highlight w:val="none"/>
                <w:shd w:val="clear" w:color="auto" w:fill="auto"/>
                <w:lang w:val="en-US" w:eastAsia="zh-CN" w:bidi="ar-SA"/>
              </w:rPr>
              <w:t>5</w:t>
            </w:r>
            <w:r>
              <w:rPr>
                <w:rFonts w:hint="eastAsia" w:ascii="宋体" w:hAnsi="宋体" w:eastAsia="宋体" w:cs="宋体"/>
                <w:b w:val="0"/>
                <w:bCs w:val="0"/>
                <w:color w:val="000000"/>
                <w:kern w:val="2"/>
                <w:sz w:val="21"/>
                <w:szCs w:val="21"/>
                <w:highlight w:val="none"/>
                <w:shd w:val="clear" w:color="auto" w:fill="auto"/>
                <w:lang w:val="en-US" w:eastAsia="zh-CN" w:bidi="ar-SA"/>
              </w:rPr>
              <w:t>00</w:t>
            </w:r>
            <w:r>
              <w:rPr>
                <w:rFonts w:hint="eastAsia" w:ascii="宋体" w:hAnsi="宋体" w:cs="宋体"/>
                <w:b w:val="0"/>
                <w:bCs w:val="0"/>
                <w:color w:val="000000"/>
                <w:kern w:val="2"/>
                <w:sz w:val="21"/>
                <w:szCs w:val="21"/>
                <w:highlight w:val="none"/>
                <w:shd w:val="clear" w:color="auto" w:fill="auto"/>
                <w:lang w:val="en-US" w:eastAsia="zh-CN" w:bidi="ar-SA"/>
              </w:rPr>
              <w:t>，检测依据GB/T4668-1995</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0DBF9494">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2.3纱线线密度：经纱≥</w:t>
            </w:r>
            <w:r>
              <w:rPr>
                <w:rFonts w:hint="eastAsia" w:ascii="宋体" w:hAnsi="宋体" w:cs="宋体"/>
                <w:b w:val="0"/>
                <w:bCs w:val="0"/>
                <w:color w:val="000000"/>
                <w:kern w:val="2"/>
                <w:sz w:val="21"/>
                <w:szCs w:val="21"/>
                <w:highlight w:val="none"/>
                <w:shd w:val="clear" w:color="auto" w:fill="auto"/>
                <w:lang w:val="en-US" w:eastAsia="zh-CN" w:bidi="ar-SA"/>
              </w:rPr>
              <w:t>20</w:t>
            </w:r>
            <w:r>
              <w:rPr>
                <w:rFonts w:hint="eastAsia" w:ascii="宋体" w:hAnsi="宋体" w:eastAsia="宋体" w:cs="宋体"/>
                <w:b w:val="0"/>
                <w:bCs w:val="0"/>
                <w:color w:val="000000"/>
                <w:kern w:val="2"/>
                <w:sz w:val="21"/>
                <w:szCs w:val="21"/>
                <w:highlight w:val="none"/>
                <w:shd w:val="clear" w:color="auto" w:fill="auto"/>
                <w:lang w:val="en-US" w:eastAsia="zh-CN" w:bidi="ar-SA"/>
              </w:rPr>
              <w:t>tex、纬纱≥</w:t>
            </w:r>
            <w:r>
              <w:rPr>
                <w:rFonts w:hint="eastAsia" w:ascii="宋体" w:hAnsi="宋体" w:cs="宋体"/>
                <w:b w:val="0"/>
                <w:bCs w:val="0"/>
                <w:color w:val="000000"/>
                <w:kern w:val="2"/>
                <w:sz w:val="21"/>
                <w:szCs w:val="21"/>
                <w:highlight w:val="none"/>
                <w:shd w:val="clear" w:color="auto" w:fill="auto"/>
                <w:lang w:val="en-US" w:eastAsia="zh-CN" w:bidi="ar-SA"/>
              </w:rPr>
              <w:t>25</w:t>
            </w:r>
            <w:r>
              <w:rPr>
                <w:rFonts w:hint="eastAsia" w:ascii="宋体" w:hAnsi="宋体" w:eastAsia="宋体" w:cs="宋体"/>
                <w:b w:val="0"/>
                <w:bCs w:val="0"/>
                <w:color w:val="000000"/>
                <w:kern w:val="2"/>
                <w:sz w:val="21"/>
                <w:szCs w:val="21"/>
                <w:highlight w:val="none"/>
                <w:shd w:val="clear" w:color="auto" w:fill="auto"/>
                <w:lang w:val="en-US" w:eastAsia="zh-CN" w:bidi="ar-SA"/>
              </w:rPr>
              <w:t>tex</w:t>
            </w:r>
            <w:r>
              <w:rPr>
                <w:rFonts w:hint="eastAsia" w:ascii="宋体" w:hAnsi="宋体" w:cs="宋体"/>
                <w:b w:val="0"/>
                <w:bCs w:val="0"/>
                <w:color w:val="000000"/>
                <w:kern w:val="2"/>
                <w:sz w:val="21"/>
                <w:szCs w:val="21"/>
                <w:highlight w:val="none"/>
                <w:shd w:val="clear" w:color="auto" w:fill="auto"/>
                <w:lang w:val="en-US" w:eastAsia="zh-CN" w:bidi="ar-SA"/>
              </w:rPr>
              <w:t>，检测依据GB/T29256.5-2012</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34035034">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2.4单位面积质量（g/㎡）：≥</w:t>
            </w:r>
            <w:r>
              <w:rPr>
                <w:rFonts w:hint="eastAsia" w:ascii="宋体" w:hAnsi="宋体" w:cs="宋体"/>
                <w:b w:val="0"/>
                <w:bCs w:val="0"/>
                <w:color w:val="000000"/>
                <w:kern w:val="2"/>
                <w:sz w:val="21"/>
                <w:szCs w:val="21"/>
                <w:highlight w:val="none"/>
                <w:shd w:val="clear" w:color="auto" w:fill="auto"/>
                <w:lang w:val="en-US" w:eastAsia="zh-CN" w:bidi="ar-SA"/>
              </w:rPr>
              <w:t>220，检测依据GB/T4669-2008</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71FA0704">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default"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2.5厚度（mm）：≥0.</w:t>
            </w:r>
            <w:r>
              <w:rPr>
                <w:rFonts w:hint="eastAsia" w:ascii="宋体" w:hAnsi="宋体" w:cs="宋体"/>
                <w:b w:val="0"/>
                <w:bCs w:val="0"/>
                <w:color w:val="000000"/>
                <w:kern w:val="2"/>
                <w:sz w:val="21"/>
                <w:szCs w:val="21"/>
                <w:highlight w:val="none"/>
                <w:shd w:val="clear" w:color="auto" w:fill="auto"/>
                <w:lang w:val="en-US" w:eastAsia="zh-CN" w:bidi="ar-SA"/>
              </w:rPr>
              <w:t>6，检测依据GB/T3820-1997；</w:t>
            </w:r>
          </w:p>
          <w:p w14:paraId="300FDEF5">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w:t>
            </w:r>
            <w:r>
              <w:rPr>
                <w:rFonts w:hint="eastAsia" w:ascii="宋体" w:hAnsi="宋体" w:cs="宋体"/>
                <w:b w:val="0"/>
                <w:bCs w:val="0"/>
                <w:color w:val="000000"/>
                <w:kern w:val="2"/>
                <w:sz w:val="21"/>
                <w:szCs w:val="21"/>
                <w:highlight w:val="none"/>
                <w:shd w:val="clear" w:color="auto" w:fill="auto"/>
                <w:lang w:val="en-US" w:eastAsia="zh-CN" w:bidi="ar-SA"/>
              </w:rPr>
              <w:t>6</w:t>
            </w:r>
            <w:r>
              <w:rPr>
                <w:rFonts w:hint="eastAsia" w:ascii="宋体" w:hAnsi="宋体" w:eastAsia="宋体" w:cs="宋体"/>
                <w:b w:val="0"/>
                <w:bCs w:val="0"/>
                <w:color w:val="000000"/>
                <w:kern w:val="2"/>
                <w:sz w:val="21"/>
                <w:szCs w:val="21"/>
                <w:highlight w:val="none"/>
                <w:shd w:val="clear" w:color="auto" w:fill="auto"/>
                <w:lang w:val="en-US" w:eastAsia="zh-CN" w:bidi="ar-SA"/>
              </w:rPr>
              <w:t>耐氯化水色牢度（级）：变色≥4级</w:t>
            </w:r>
            <w:r>
              <w:rPr>
                <w:rFonts w:hint="eastAsia" w:ascii="宋体" w:hAnsi="宋体" w:cs="宋体"/>
                <w:b w:val="0"/>
                <w:bCs w:val="0"/>
                <w:color w:val="000000"/>
                <w:kern w:val="2"/>
                <w:sz w:val="21"/>
                <w:szCs w:val="21"/>
                <w:highlight w:val="none"/>
                <w:shd w:val="clear" w:color="auto" w:fill="auto"/>
                <w:lang w:val="en-US" w:eastAsia="zh-CN" w:bidi="ar-SA"/>
              </w:rPr>
              <w:t>，检测依据GB/T8433-2013</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72A5A016">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w:t>
            </w:r>
            <w:r>
              <w:rPr>
                <w:rFonts w:hint="eastAsia" w:ascii="宋体" w:hAnsi="宋体" w:cs="宋体"/>
                <w:b w:val="0"/>
                <w:bCs w:val="0"/>
                <w:color w:val="000000"/>
                <w:kern w:val="2"/>
                <w:sz w:val="21"/>
                <w:szCs w:val="21"/>
                <w:highlight w:val="none"/>
                <w:shd w:val="clear" w:color="auto" w:fill="auto"/>
                <w:lang w:val="en-US" w:eastAsia="zh-CN" w:bidi="ar-SA"/>
              </w:rPr>
              <w:t>7</w:t>
            </w:r>
            <w:r>
              <w:rPr>
                <w:rFonts w:hint="eastAsia" w:ascii="宋体" w:hAnsi="宋体" w:eastAsia="宋体" w:cs="宋体"/>
                <w:b w:val="0"/>
                <w:bCs w:val="0"/>
                <w:color w:val="000000"/>
                <w:kern w:val="2"/>
                <w:sz w:val="21"/>
                <w:szCs w:val="21"/>
                <w:highlight w:val="none"/>
                <w:shd w:val="clear" w:color="auto" w:fill="auto"/>
                <w:lang w:val="en-US" w:eastAsia="zh-CN" w:bidi="ar-SA"/>
              </w:rPr>
              <w:t>耐次氯酸盐漂白色牢度（级）：变色≥4级</w:t>
            </w:r>
            <w:r>
              <w:rPr>
                <w:rFonts w:hint="eastAsia" w:ascii="宋体" w:hAnsi="宋体" w:cs="宋体"/>
                <w:b w:val="0"/>
                <w:bCs w:val="0"/>
                <w:color w:val="000000"/>
                <w:kern w:val="2"/>
                <w:sz w:val="21"/>
                <w:szCs w:val="21"/>
                <w:highlight w:val="none"/>
                <w:shd w:val="clear" w:color="auto" w:fill="auto"/>
                <w:lang w:val="en-US" w:eastAsia="zh-CN" w:bidi="ar-SA"/>
              </w:rPr>
              <w:t>，检测依据GB/T7069-1997</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71C32A2D">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shd w:val="clear" w:color="auto" w:fill="auto"/>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w:t>
            </w:r>
            <w:r>
              <w:rPr>
                <w:rFonts w:hint="eastAsia" w:ascii="宋体" w:hAnsi="宋体" w:cs="宋体"/>
                <w:b w:val="0"/>
                <w:bCs w:val="0"/>
                <w:color w:val="000000"/>
                <w:kern w:val="2"/>
                <w:sz w:val="21"/>
                <w:szCs w:val="21"/>
                <w:highlight w:val="none"/>
                <w:shd w:val="clear" w:color="auto" w:fill="auto"/>
                <w:lang w:val="en-US" w:eastAsia="zh-CN" w:bidi="ar-SA"/>
              </w:rPr>
              <w:t>8</w:t>
            </w:r>
            <w:r>
              <w:rPr>
                <w:rFonts w:hint="eastAsia" w:ascii="宋体" w:hAnsi="宋体" w:eastAsia="宋体" w:cs="宋体"/>
                <w:b w:val="0"/>
                <w:bCs w:val="0"/>
                <w:color w:val="000000"/>
                <w:kern w:val="2"/>
                <w:sz w:val="21"/>
                <w:szCs w:val="21"/>
                <w:highlight w:val="none"/>
                <w:shd w:val="clear" w:color="auto" w:fill="auto"/>
                <w:lang w:val="en-US" w:eastAsia="zh-CN" w:bidi="ar-SA"/>
              </w:rPr>
              <w:t>防紫外线性能：UPF≥1800，T(UVA）AV≤0.06%</w:t>
            </w:r>
            <w:r>
              <w:rPr>
                <w:rFonts w:hint="eastAsia" w:ascii="宋体" w:hAnsi="宋体" w:cs="宋体"/>
                <w:b w:val="0"/>
                <w:bCs w:val="0"/>
                <w:color w:val="000000"/>
                <w:kern w:val="2"/>
                <w:sz w:val="21"/>
                <w:szCs w:val="21"/>
                <w:highlight w:val="none"/>
                <w:shd w:val="clear" w:color="auto" w:fill="auto"/>
                <w:lang w:val="en-US" w:eastAsia="zh-CN" w:bidi="ar-SA"/>
              </w:rPr>
              <w:t>，检测依据GB/T18830-2009</w:t>
            </w:r>
            <w:r>
              <w:rPr>
                <w:rFonts w:hint="eastAsia" w:ascii="宋体" w:hAnsi="宋体" w:eastAsia="宋体" w:cs="宋体"/>
                <w:b w:val="0"/>
                <w:bCs w:val="0"/>
                <w:color w:val="000000"/>
                <w:kern w:val="2"/>
                <w:sz w:val="21"/>
                <w:szCs w:val="21"/>
                <w:highlight w:val="none"/>
                <w:shd w:val="clear" w:color="auto" w:fill="auto"/>
                <w:lang w:val="en-US" w:eastAsia="zh-CN" w:bidi="ar-SA"/>
              </w:rPr>
              <w:t>；</w:t>
            </w:r>
          </w:p>
          <w:p w14:paraId="6C4E1B7B">
            <w:pPr>
              <w:bidi w:val="0"/>
              <w:rPr>
                <w:rFonts w:hint="default" w:asciiTheme="minorEastAsia" w:hAnsiTheme="minorEastAsia" w:eastAsiaTheme="minorEastAsia" w:cstheme="minorEastAsia"/>
                <w:b w:val="0"/>
                <w:bCs w:val="0"/>
                <w:color w:val="FF0000"/>
                <w:kern w:val="2"/>
                <w:sz w:val="21"/>
                <w:szCs w:val="24"/>
                <w:lang w:val="en-US" w:eastAsia="zh-CN" w:bidi="ar-SA"/>
              </w:rPr>
            </w:pPr>
            <w:r>
              <w:rPr>
                <w:rFonts w:hint="eastAsia" w:ascii="宋体" w:hAnsi="宋体" w:eastAsia="宋体" w:cs="宋体"/>
                <w:b w:val="0"/>
                <w:bCs w:val="0"/>
                <w:color w:val="000000"/>
                <w:kern w:val="2"/>
                <w:sz w:val="21"/>
                <w:szCs w:val="21"/>
                <w:highlight w:val="none"/>
                <w:shd w:val="clear" w:color="auto" w:fill="auto"/>
                <w:lang w:val="en-US" w:eastAsia="zh-CN" w:bidi="ar-SA"/>
              </w:rPr>
              <w:t>2.</w:t>
            </w:r>
            <w:r>
              <w:rPr>
                <w:rFonts w:hint="eastAsia" w:ascii="宋体" w:hAnsi="宋体" w:cs="宋体"/>
                <w:b w:val="0"/>
                <w:bCs w:val="0"/>
                <w:color w:val="000000"/>
                <w:kern w:val="2"/>
                <w:sz w:val="21"/>
                <w:szCs w:val="21"/>
                <w:highlight w:val="none"/>
                <w:shd w:val="clear" w:color="auto" w:fill="auto"/>
                <w:lang w:val="en-US" w:eastAsia="zh-CN" w:bidi="ar-SA"/>
              </w:rPr>
              <w:t>9</w:t>
            </w:r>
            <w:r>
              <w:rPr>
                <w:rFonts w:hint="eastAsia" w:ascii="宋体" w:hAnsi="宋体" w:eastAsia="宋体" w:cs="宋体"/>
                <w:b w:val="0"/>
                <w:bCs w:val="0"/>
                <w:color w:val="000000"/>
                <w:kern w:val="2"/>
                <w:sz w:val="21"/>
                <w:szCs w:val="21"/>
                <w:highlight w:val="none"/>
                <w:shd w:val="clear" w:color="auto" w:fill="auto"/>
                <w:lang w:val="en-US" w:eastAsia="zh-CN" w:bidi="ar-SA"/>
              </w:rPr>
              <w:t>远红外性能：远红外发射率≥0.9，远红外辐射温升（℃）：≥1.5</w:t>
            </w:r>
            <w:r>
              <w:rPr>
                <w:rFonts w:hint="eastAsia" w:ascii="宋体" w:hAnsi="宋体" w:cs="宋体"/>
                <w:b w:val="0"/>
                <w:bCs w:val="0"/>
                <w:color w:val="000000"/>
                <w:kern w:val="2"/>
                <w:sz w:val="21"/>
                <w:szCs w:val="21"/>
                <w:highlight w:val="none"/>
                <w:shd w:val="clear" w:color="auto" w:fill="auto"/>
                <w:lang w:val="en-US" w:eastAsia="zh-CN" w:bidi="ar-SA"/>
              </w:rPr>
              <w:t>，检测依据GB/T30127-2013</w:t>
            </w:r>
            <w:r>
              <w:rPr>
                <w:rFonts w:hint="eastAsia" w:ascii="宋体" w:hAnsi="宋体" w:eastAsia="宋体" w:cs="宋体"/>
                <w:b w:val="0"/>
                <w:bCs w:val="0"/>
                <w:color w:val="000000"/>
                <w:kern w:val="2"/>
                <w:sz w:val="21"/>
                <w:szCs w:val="21"/>
                <w:highlight w:val="none"/>
                <w:shd w:val="clear" w:color="auto" w:fill="auto"/>
                <w:lang w:val="en-US" w:eastAsia="zh-CN" w:bidi="ar-SA"/>
              </w:rPr>
              <w:t>。</w:t>
            </w:r>
          </w:p>
        </w:tc>
      </w:tr>
      <w:tr w14:paraId="1CBD09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2" w:hRule="atLeast"/>
        </w:trPr>
        <w:tc>
          <w:tcPr>
            <w:tcW w:w="0" w:type="auto"/>
            <w:vMerge w:val="continue"/>
            <w:shd w:val="clear" w:color="auto" w:fill="auto"/>
            <w:vAlign w:val="center"/>
          </w:tcPr>
          <w:p w14:paraId="1AA40F4C">
            <w:pPr>
              <w:jc w:val="center"/>
              <w:rPr>
                <w:rFonts w:hint="eastAsia"/>
                <w:bCs/>
                <w:szCs w:val="21"/>
                <w:lang w:val="en-US" w:eastAsia="zh-CN"/>
              </w:rPr>
            </w:pPr>
          </w:p>
        </w:tc>
        <w:tc>
          <w:tcPr>
            <w:tcW w:w="0" w:type="auto"/>
            <w:vMerge w:val="continue"/>
            <w:shd w:val="clear" w:color="auto" w:fill="auto"/>
            <w:vAlign w:val="center"/>
          </w:tcPr>
          <w:p w14:paraId="34488519">
            <w:pPr>
              <w:keepNext w:val="0"/>
              <w:keepLines w:val="0"/>
              <w:widowControl/>
              <w:suppressLineNumbers w:val="0"/>
              <w:jc w:val="center"/>
              <w:textAlignment w:val="center"/>
              <w:rPr>
                <w:rFonts w:hint="eastAsia" w:ascii="宋体" w:hAnsi="宋体" w:eastAsia="宋体" w:cs="宋体"/>
                <w:i w:val="0"/>
                <w:iCs w:val="0"/>
                <w:color w:val="000000"/>
                <w:kern w:val="0"/>
                <w:sz w:val="22"/>
                <w:szCs w:val="22"/>
                <w:u w:val="none"/>
                <w:lang w:val="en-US" w:eastAsia="zh-CN" w:bidi="ar"/>
              </w:rPr>
            </w:pPr>
          </w:p>
        </w:tc>
        <w:tc>
          <w:tcPr>
            <w:tcW w:w="0" w:type="auto"/>
            <w:shd w:val="clear" w:color="auto" w:fill="auto"/>
            <w:vAlign w:val="top"/>
          </w:tcPr>
          <w:p w14:paraId="5F2766E0">
            <w:pPr>
              <w:keepNext w:val="0"/>
              <w:keepLines w:val="0"/>
              <w:pageBreakBefore w:val="0"/>
              <w:widowControl/>
              <w:kinsoku/>
              <w:wordWrap/>
              <w:overflowPunct/>
              <w:topLinePunct w:val="0"/>
              <w:bidi w:val="0"/>
              <w:adjustRightInd/>
              <w:snapToGrid/>
              <w:spacing w:line="240" w:lineRule="auto"/>
              <w:ind w:left="0" w:firstLine="0"/>
              <w:jc w:val="both"/>
              <w:textAlignment w:val="auto"/>
              <w:outlineLvl w:val="9"/>
              <w:rPr>
                <w:rFonts w:hint="eastAsia" w:ascii="宋体" w:hAnsi="宋体" w:eastAsia="宋体" w:cs="宋体"/>
                <w:b w:val="0"/>
                <w:bCs w:val="0"/>
                <w:color w:val="000000"/>
                <w:kern w:val="2"/>
                <w:sz w:val="21"/>
                <w:szCs w:val="21"/>
                <w:highlight w:val="none"/>
                <w:lang w:val="en-US" w:eastAsia="zh-CN" w:bidi="ar-SA"/>
              </w:rPr>
            </w:pPr>
            <w:r>
              <w:rPr>
                <w:rFonts w:hint="eastAsia" w:ascii="宋体" w:hAnsi="宋体" w:eastAsia="宋体" w:cs="宋体"/>
                <w:b w:val="0"/>
                <w:bCs w:val="0"/>
                <w:color w:val="000000"/>
                <w:kern w:val="2"/>
                <w:sz w:val="21"/>
                <w:szCs w:val="21"/>
                <w:highlight w:val="none"/>
                <w:lang w:val="en-US" w:eastAsia="zh-CN" w:bidi="ar-SA"/>
              </w:rPr>
              <w:t>3、</w:t>
            </w:r>
            <w:r>
              <w:rPr>
                <w:rFonts w:hint="eastAsia" w:ascii="宋体" w:hAnsi="宋体" w:cs="宋体"/>
                <w:b w:val="0"/>
                <w:bCs w:val="0"/>
                <w:color w:val="000000"/>
                <w:kern w:val="2"/>
                <w:sz w:val="21"/>
                <w:szCs w:val="21"/>
                <w:highlight w:val="none"/>
                <w:shd w:val="clear" w:color="auto" w:fill="auto"/>
                <w:lang w:val="en-US" w:eastAsia="zh-CN" w:bidi="ar-SA"/>
              </w:rPr>
              <w:t>以下3.1-3.6</w:t>
            </w:r>
            <w:r>
              <w:rPr>
                <w:rFonts w:hint="eastAsia" w:ascii="宋体" w:hAnsi="宋体" w:eastAsia="宋体" w:cs="宋体"/>
                <w:b w:val="0"/>
                <w:bCs w:val="0"/>
                <w:color w:val="000000"/>
                <w:kern w:val="2"/>
                <w:sz w:val="21"/>
                <w:szCs w:val="21"/>
                <w:highlight w:val="none"/>
                <w:shd w:val="clear" w:color="auto" w:fill="auto"/>
                <w:lang w:val="en-US" w:eastAsia="zh-CN" w:bidi="ar-SA"/>
              </w:rPr>
              <w:t>需符合GB/T18885-2020标准</w:t>
            </w:r>
            <w:r>
              <w:rPr>
                <w:rFonts w:hint="eastAsia" w:ascii="宋体" w:hAnsi="宋体" w:eastAsia="宋体" w:cs="宋体"/>
                <w:b w:val="0"/>
                <w:bCs w:val="0"/>
                <w:color w:val="000000"/>
                <w:kern w:val="2"/>
                <w:sz w:val="21"/>
                <w:szCs w:val="21"/>
                <w:highlight w:val="none"/>
                <w:lang w:val="en-US" w:eastAsia="zh-CN" w:bidi="ar-SA"/>
              </w:rPr>
              <w:t>：</w:t>
            </w:r>
          </w:p>
          <w:p w14:paraId="674C90DB">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en-US" w:eastAsia="zh-CN"/>
              </w:rPr>
              <w:t>3.1</w:t>
            </w:r>
            <w:r>
              <w:rPr>
                <w:rFonts w:hint="eastAsia" w:ascii="宋体" w:hAnsi="宋体" w:eastAsia="宋体" w:cs="宋体"/>
                <w:b w:val="0"/>
                <w:bCs w:val="0"/>
                <w:color w:val="000000"/>
                <w:sz w:val="21"/>
                <w:szCs w:val="21"/>
                <w:highlight w:val="none"/>
              </w:rPr>
              <w:t>致癌染料；</w:t>
            </w:r>
          </w:p>
          <w:p w14:paraId="3C81D19D">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en-US" w:eastAsia="zh-CN"/>
              </w:rPr>
              <w:t>3.2</w:t>
            </w:r>
            <w:r>
              <w:rPr>
                <w:rFonts w:hint="eastAsia" w:ascii="宋体" w:hAnsi="宋体" w:eastAsia="宋体" w:cs="宋体"/>
                <w:b w:val="0"/>
                <w:bCs w:val="0"/>
                <w:color w:val="000000"/>
                <w:sz w:val="21"/>
                <w:szCs w:val="21"/>
                <w:highlight w:val="none"/>
              </w:rPr>
              <w:t>富马酸二甲酯；</w:t>
            </w:r>
          </w:p>
          <w:p w14:paraId="0D0A4686">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000000"/>
                <w:sz w:val="21"/>
                <w:szCs w:val="21"/>
                <w:highlight w:val="none"/>
              </w:rPr>
            </w:pPr>
            <w:r>
              <w:rPr>
                <w:rFonts w:hint="eastAsia" w:ascii="宋体" w:hAnsi="宋体" w:eastAsia="宋体" w:cs="宋体"/>
                <w:b w:val="0"/>
                <w:bCs w:val="0"/>
                <w:color w:val="000000"/>
                <w:sz w:val="21"/>
                <w:szCs w:val="21"/>
                <w:highlight w:val="none"/>
                <w:lang w:val="en-US" w:eastAsia="zh-CN"/>
              </w:rPr>
              <w:t>3.3</w:t>
            </w:r>
            <w:r>
              <w:rPr>
                <w:rFonts w:hint="eastAsia" w:ascii="宋体" w:hAnsi="宋体" w:eastAsia="宋体" w:cs="宋体"/>
                <w:b w:val="0"/>
                <w:bCs w:val="0"/>
                <w:color w:val="000000"/>
                <w:sz w:val="21"/>
                <w:szCs w:val="21"/>
                <w:highlight w:val="none"/>
              </w:rPr>
              <w:t>邻苯基苯酚；</w:t>
            </w:r>
          </w:p>
          <w:p w14:paraId="6167E687">
            <w:pPr>
              <w:keepNext w:val="0"/>
              <w:keepLines w:val="0"/>
              <w:pageBreakBefore w:val="0"/>
              <w:kinsoku/>
              <w:wordWrap/>
              <w:overflowPunct/>
              <w:topLinePunct w:val="0"/>
              <w:bidi w:val="0"/>
              <w:adjustRightInd/>
              <w:snapToGrid/>
              <w:spacing w:line="240" w:lineRule="auto"/>
              <w:jc w:val="both"/>
              <w:textAlignment w:val="auto"/>
              <w:outlineLvl w:val="9"/>
              <w:rPr>
                <w:b w:val="0"/>
                <w:bCs w:val="0"/>
              </w:rPr>
            </w:pPr>
            <w:r>
              <w:rPr>
                <w:rFonts w:hint="eastAsia" w:ascii="宋体" w:hAnsi="宋体" w:eastAsia="宋体" w:cs="宋体"/>
                <w:b w:val="0"/>
                <w:bCs w:val="0"/>
                <w:color w:val="000000"/>
                <w:sz w:val="21"/>
                <w:szCs w:val="21"/>
                <w:highlight w:val="none"/>
                <w:lang w:val="en-US" w:eastAsia="zh-CN"/>
              </w:rPr>
              <w:t>3.4</w:t>
            </w:r>
            <w:r>
              <w:rPr>
                <w:rFonts w:hint="eastAsia" w:ascii="宋体" w:hAnsi="宋体" w:eastAsia="宋体" w:cs="宋体"/>
                <w:b w:val="0"/>
                <w:bCs w:val="0"/>
                <w:color w:val="000000"/>
                <w:sz w:val="21"/>
                <w:szCs w:val="21"/>
                <w:highlight w:val="none"/>
              </w:rPr>
              <w:t>致敏染料；</w:t>
            </w:r>
          </w:p>
          <w:p w14:paraId="03C780B8">
            <w:pPr>
              <w:keepNext w:val="0"/>
              <w:keepLines w:val="0"/>
              <w:pageBreakBefore w:val="0"/>
              <w:kinsoku/>
              <w:wordWrap/>
              <w:overflowPunct/>
              <w:topLinePunct w:val="0"/>
              <w:bidi w:val="0"/>
              <w:adjustRightInd/>
              <w:snapToGrid/>
              <w:spacing w:line="240" w:lineRule="auto"/>
              <w:jc w:val="both"/>
              <w:textAlignment w:val="auto"/>
              <w:outlineLvl w:val="9"/>
              <w:rPr>
                <w:rFonts w:hint="eastAsia" w:ascii="宋体" w:hAnsi="宋体" w:eastAsia="宋体" w:cs="宋体"/>
                <w:b w:val="0"/>
                <w:bCs w:val="0"/>
                <w:color w:val="000000"/>
                <w:sz w:val="21"/>
                <w:szCs w:val="21"/>
                <w:highlight w:val="none"/>
                <w:lang w:val="en-US" w:eastAsia="zh-CN"/>
              </w:rPr>
            </w:pPr>
            <w:r>
              <w:rPr>
                <w:rFonts w:hint="eastAsia" w:ascii="宋体" w:hAnsi="宋体" w:eastAsia="宋体" w:cs="宋体"/>
                <w:b w:val="0"/>
                <w:bCs w:val="0"/>
                <w:color w:val="000000"/>
                <w:sz w:val="21"/>
                <w:szCs w:val="21"/>
                <w:highlight w:val="none"/>
                <w:lang w:val="en-US" w:eastAsia="zh-CN"/>
              </w:rPr>
              <w:t>3.</w:t>
            </w:r>
            <w:r>
              <w:rPr>
                <w:rFonts w:hint="eastAsia" w:ascii="宋体" w:hAnsi="宋体" w:cs="宋体"/>
                <w:b w:val="0"/>
                <w:bCs w:val="0"/>
                <w:color w:val="000000"/>
                <w:sz w:val="21"/>
                <w:szCs w:val="21"/>
                <w:highlight w:val="none"/>
                <w:lang w:val="en-US" w:eastAsia="zh-CN"/>
              </w:rPr>
              <w:t>5</w:t>
            </w:r>
            <w:r>
              <w:rPr>
                <w:rFonts w:hint="eastAsia" w:ascii="宋体" w:hAnsi="宋体" w:eastAsia="宋体" w:cs="宋体"/>
                <w:b w:val="0"/>
                <w:bCs w:val="0"/>
                <w:color w:val="000000"/>
                <w:sz w:val="21"/>
                <w:szCs w:val="21"/>
                <w:highlight w:val="none"/>
                <w:lang w:val="en-US" w:eastAsia="zh-CN"/>
              </w:rPr>
              <w:t>有机锡化合物；</w:t>
            </w:r>
          </w:p>
          <w:p w14:paraId="18B91713">
            <w:pPr>
              <w:bidi w:val="0"/>
              <w:rPr>
                <w:rFonts w:hint="default" w:asciiTheme="minorEastAsia" w:hAnsiTheme="minorEastAsia" w:eastAsiaTheme="minorEastAsia" w:cstheme="minorEastAsia"/>
                <w:b w:val="0"/>
                <w:bCs w:val="0"/>
                <w:color w:val="FF0000"/>
                <w:kern w:val="2"/>
                <w:sz w:val="21"/>
                <w:szCs w:val="24"/>
                <w:lang w:val="en-US" w:eastAsia="zh-CN" w:bidi="ar-SA"/>
              </w:rPr>
            </w:pPr>
            <w:r>
              <w:rPr>
                <w:rFonts w:hint="eastAsia" w:ascii="宋体" w:hAnsi="宋体" w:eastAsia="宋体" w:cs="宋体"/>
                <w:b w:val="0"/>
                <w:bCs w:val="0"/>
                <w:color w:val="000000"/>
                <w:sz w:val="21"/>
                <w:szCs w:val="21"/>
                <w:highlight w:val="none"/>
                <w:lang w:val="en-US" w:eastAsia="zh-CN"/>
              </w:rPr>
              <w:t>3.</w:t>
            </w:r>
            <w:r>
              <w:rPr>
                <w:rFonts w:hint="eastAsia" w:ascii="宋体" w:hAnsi="宋体" w:cs="宋体"/>
                <w:b w:val="0"/>
                <w:bCs w:val="0"/>
                <w:color w:val="000000"/>
                <w:sz w:val="21"/>
                <w:szCs w:val="21"/>
                <w:highlight w:val="none"/>
                <w:lang w:val="en-US" w:eastAsia="zh-CN"/>
              </w:rPr>
              <w:t>6</w:t>
            </w:r>
            <w:r>
              <w:rPr>
                <w:rFonts w:hint="eastAsia" w:ascii="宋体" w:hAnsi="宋体" w:eastAsia="宋体" w:cs="宋体"/>
                <w:b w:val="0"/>
                <w:bCs w:val="0"/>
                <w:color w:val="000000"/>
                <w:sz w:val="21"/>
                <w:szCs w:val="21"/>
                <w:highlight w:val="none"/>
                <w:lang w:val="en-US" w:eastAsia="zh-CN"/>
              </w:rPr>
              <w:t>可萃取重金属。</w:t>
            </w:r>
          </w:p>
        </w:tc>
      </w:tr>
      <w:bookmarkEnd w:id="0"/>
    </w:tbl>
    <w:p w14:paraId="5264BF33">
      <w:pPr>
        <w:pStyle w:val="5"/>
        <w:ind w:firstLine="643" w:firstLineChars="200"/>
        <w:rPr>
          <w:rFonts w:hint="eastAsia" w:ascii="仿宋_GB2312" w:hAnsi="仿宋_GB2312" w:eastAsia="仿宋_GB2312" w:cs="仿宋_GB2312"/>
          <w:b/>
          <w:bCs/>
          <w:sz w:val="32"/>
          <w:szCs w:val="32"/>
          <w:lang w:val="en-US" w:eastAsia="zh-CN"/>
        </w:rPr>
      </w:pPr>
      <w:r>
        <w:rPr>
          <w:rFonts w:hint="eastAsia" w:ascii="仿宋_GB2312" w:hAnsi="仿宋_GB2312" w:eastAsia="仿宋_GB2312" w:cs="仿宋_GB2312"/>
          <w:b/>
          <w:bCs/>
          <w:sz w:val="32"/>
          <w:szCs w:val="32"/>
          <w:lang w:val="en-US" w:eastAsia="zh-CN"/>
        </w:rPr>
        <w:t>四、商务条款及其他要求</w:t>
      </w:r>
    </w:p>
    <w:p w14:paraId="3F0822F8">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一）合同期限：一年，本项目为长期货物项目，合同期满可以续签，但合同履行期限最长不得超过24个月。如采购人对履约情况不满意，采购人不再续约。因为政策原因需要终止服务的，采购人可以通知供应商解除合同。如提前到达支付上限将终止合同。</w:t>
      </w:r>
    </w:p>
    <w:p w14:paraId="419519CE">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（二）交货方式和地点：分批次供货，在接到采购人交货通知后，10天内完成安装验收。交货地点为采购人指定地点。</w:t>
      </w:r>
    </w:p>
    <w:p w14:paraId="46F4D2BB">
      <w:pPr>
        <w:ind w:firstLine="640" w:firstLineChars="200"/>
        <w:rPr>
          <w:rFonts w:hint="eastAsia" w:ascii="仿宋_GB2312" w:hAnsi="仿宋_GB2312" w:eastAsia="仿宋_GB2312" w:cs="仿宋_GB2312"/>
          <w:b w:val="0"/>
          <w:bCs w:val="0"/>
          <w:sz w:val="32"/>
          <w:szCs w:val="32"/>
          <w:highlight w:val="none"/>
          <w:lang w:val="en-US" w:eastAsia="zh-CN"/>
        </w:rPr>
      </w:pPr>
      <w:r>
        <w:rPr>
          <w:rFonts w:hint="eastAsia" w:ascii="仿宋_GB2312" w:hAnsi="仿宋_GB2312" w:eastAsia="仿宋_GB2312" w:cs="仿宋_GB2312"/>
          <w:b w:val="0"/>
          <w:bCs w:val="0"/>
          <w:sz w:val="32"/>
          <w:szCs w:val="32"/>
          <w:lang w:val="en-US" w:eastAsia="zh-CN"/>
        </w:rPr>
        <w:t>（</w:t>
      </w:r>
      <w:r>
        <w:rPr>
          <w:rFonts w:hint="eastAsia" w:ascii="仿宋_GB2312" w:hAnsi="仿宋_GB2312" w:eastAsia="仿宋_GB2312" w:cs="仿宋_GB2312"/>
          <w:b w:val="0"/>
          <w:bCs w:val="0"/>
          <w:sz w:val="32"/>
          <w:szCs w:val="32"/>
          <w:highlight w:val="none"/>
          <w:lang w:val="en-US" w:eastAsia="zh-CN"/>
        </w:rPr>
        <w:t>三）报价：人民币报价。</w:t>
      </w:r>
    </w:p>
    <w:p w14:paraId="0DAB8C23">
      <w:pPr>
        <w:ind w:firstLine="640" w:firstLineChars="200"/>
        <w:rPr>
          <w:rFonts w:hint="default"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（四）付款期限和方式：据实结算。</w:t>
      </w:r>
    </w:p>
    <w:p w14:paraId="288A6AFF">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（五）免费保修期内售后服务要求</w:t>
      </w:r>
    </w:p>
    <w:p w14:paraId="29767138">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1.在保修期内，一旦发生质量问题，中标人保证在接到通知24小时内赶到现场进行修理或更换。</w:t>
      </w:r>
    </w:p>
    <w:p w14:paraId="42008DE1">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2.本项目所采购的各项货物提供免费保修期1年，时间自最终验收合格并交付使用之日起计算，并配备相应售后服务人员。</w:t>
      </w:r>
    </w:p>
    <w:p w14:paraId="1D69250F">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3.免费保修期内，所有服务及配件全部免费。</w:t>
      </w:r>
    </w:p>
    <w:p w14:paraId="3A64EAF0">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（六）其他服务要求</w:t>
      </w:r>
    </w:p>
    <w:p w14:paraId="5AE3C49F">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1.中标人不能交货的，需偿付不能交货部分货款的10 %的违约金并按合同约定及主管部门相关规定处理。</w:t>
      </w:r>
    </w:p>
    <w:p w14:paraId="651BB5B0">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2.中标人逾期交货的，应当按照合同约定承担继续履行、采取补救措施或者赔偿损失等违约责任。</w:t>
      </w:r>
    </w:p>
    <w:p w14:paraId="677A30AA">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3.中标人所交付产品、工程或服务不符合其投标承诺的，或在投标阶段为了中标而盲目虚假承诺、低价恶性竞争，在履约阶段则通过偷工减料、以次充好而获取利润的，采购人将根据标的的性质以及损失的大小，可以合理选择要求中标人承担修理、更换、重作、退货、减少价款或者报酬等违约责任。</w:t>
      </w:r>
    </w:p>
    <w:p w14:paraId="1C71CE42">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（七）投标人货物经过双方检验认可后，签署验收报告，产品保修期自验收合格之日起算，由投标人提供产品保修文件。</w:t>
      </w:r>
    </w:p>
    <w:p w14:paraId="02EA7C5C">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（八）当满足以下条件时，采购人才向中标人签发货物验收报告：</w:t>
      </w:r>
    </w:p>
    <w:p w14:paraId="5370CF23">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a、货物符合招标文件技术规格书的要求，性能满足要求。</w:t>
      </w:r>
    </w:p>
    <w:p w14:paraId="7C88F29C">
      <w:pPr>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（九）本次采购的设备和材料必须是全新的，所有设备运输到达施工场地时的包装必须是原厂完整的。</w:t>
      </w:r>
    </w:p>
    <w:p w14:paraId="6A86F354">
      <w:pPr>
        <w:pStyle w:val="5"/>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（十）中标人保证提供的货物为合法渠道销售的货物，并保证不侵犯任何第三方的授权、所有权、知识产权、肖像权等所有权利。否则采购人有权按照合同约定要求乙方承担全部责任。</w:t>
      </w:r>
    </w:p>
    <w:p w14:paraId="5C3A45E5">
      <w:pPr>
        <w:pStyle w:val="5"/>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一）如中标人未按照投标文件中承诺和合同约定的时间交货或提供服务，中标人应承担延期交货和延期服务的违约责任，并赔偿采购人因此造成的实际经济损失。实际经济损失超出履约保证金额，上报主管部门，并按相关规定处理。</w:t>
      </w:r>
    </w:p>
    <w:p w14:paraId="2EA49A5C">
      <w:pPr>
        <w:pStyle w:val="6"/>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（十二）投标供应商应按其投标文件中的承诺，进行其他售后服务工作。</w:t>
      </w:r>
    </w:p>
    <w:p w14:paraId="1DDF5162">
      <w:pPr>
        <w:pStyle w:val="6"/>
        <w:ind w:firstLine="640" w:firstLineChars="200"/>
        <w:rPr>
          <w:rFonts w:hint="eastAsia" w:ascii="仿宋_GB2312" w:hAnsi="仿宋_GB2312" w:eastAsia="仿宋_GB2312" w:cs="仿宋_GB2312"/>
          <w:b w:val="0"/>
          <w:bCs w:val="0"/>
          <w:sz w:val="32"/>
          <w:szCs w:val="32"/>
          <w:lang w:val="en-US" w:eastAsia="zh-CN"/>
        </w:rPr>
      </w:pPr>
      <w:r>
        <w:rPr>
          <w:rFonts w:hint="eastAsia" w:ascii="仿宋_GB2312" w:hAnsi="仿宋_GB2312" w:eastAsia="仿宋_GB2312" w:cs="仿宋_GB2312"/>
          <w:b w:val="0"/>
          <w:bCs w:val="0"/>
          <w:sz w:val="32"/>
          <w:szCs w:val="32"/>
          <w:lang w:val="en-US" w:eastAsia="zh-CN"/>
        </w:rPr>
        <w:t>（十三）投标人应按“分项报价表”逐项报价。投标人提供的报价除另有约定外，均已包含购买设备费用及售后服务所发生的所有费用，包括但不限于税费、货物运至指定地点的如运输费、保险费和装卸费、配套资料费、安装调试费、服务培训费、免费保修期内的售后服务费用及国家规定的各项税费等全部费用；与总项目相关的上述可能产生的设施设备安装及配套建设条件改造、调试等费用须分摊计入各分项，供应商自行承担，不得以单项计费。</w:t>
      </w:r>
    </w:p>
    <w:p w14:paraId="466BFA26">
      <w:pPr>
        <w:ind w:firstLine="643" w:firstLineChars="200"/>
        <w:rPr>
          <w:rFonts w:hint="eastAsia" w:ascii="仿宋_GB2312" w:hAnsi="仿宋_GB2312" w:eastAsia="仿宋_GB2312" w:cs="仿宋_GB2312"/>
          <w:b/>
          <w:sz w:val="32"/>
          <w:szCs w:val="32"/>
          <w:lang w:val="en-US" w:eastAsia="zh-CN"/>
        </w:rPr>
      </w:pPr>
      <w:bookmarkStart w:id="1" w:name="_Toc13230"/>
      <w:r>
        <w:rPr>
          <w:rFonts w:hint="eastAsia" w:ascii="仿宋_GB2312" w:hAnsi="仿宋_GB2312" w:eastAsia="仿宋_GB2312" w:cs="仿宋_GB2312"/>
          <w:b/>
          <w:sz w:val="32"/>
          <w:szCs w:val="32"/>
          <w:lang w:val="en-US" w:eastAsia="zh-CN"/>
        </w:rPr>
        <w:t>五、综合评分表</w:t>
      </w:r>
      <w:bookmarkEnd w:id="1"/>
      <w:r>
        <w:rPr>
          <w:rFonts w:hint="eastAsia" w:ascii="仿宋_GB2312" w:hAnsi="仿宋_GB2312" w:eastAsia="仿宋_GB2312" w:cs="仿宋_GB2312"/>
          <w:b/>
          <w:sz w:val="32"/>
          <w:szCs w:val="32"/>
          <w:highlight w:val="red"/>
          <w:lang w:val="en-US" w:eastAsia="zh-CN"/>
        </w:rPr>
        <w:t>（综合评审低于60分视为投标无效）</w:t>
      </w:r>
    </w:p>
    <w:tbl>
      <w:tblPr>
        <w:tblStyle w:val="14"/>
        <w:tblW w:w="5273"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2"/>
        <w:gridCol w:w="586"/>
        <w:gridCol w:w="1681"/>
        <w:gridCol w:w="833"/>
        <w:gridCol w:w="695"/>
        <w:gridCol w:w="3597"/>
        <w:gridCol w:w="983"/>
      </w:tblGrid>
      <w:tr w14:paraId="0B43C2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trPr>
        <w:tc>
          <w:tcPr>
            <w:tcW w:w="340" w:type="pct"/>
            <w:tcBorders>
              <w:top w:val="single" w:color="auto" w:sz="4" w:space="0"/>
              <w:left w:val="single" w:color="auto" w:sz="4" w:space="0"/>
              <w:bottom w:val="single" w:color="auto" w:sz="4" w:space="0"/>
              <w:right w:val="single" w:color="auto" w:sz="4" w:space="0"/>
            </w:tcBorders>
            <w:vAlign w:val="center"/>
          </w:tcPr>
          <w:p w14:paraId="2174A634">
            <w:pPr>
              <w:jc w:val="center"/>
              <w:rPr>
                <w:rFonts w:ascii="宋体" w:hAnsi="宋体"/>
              </w:rPr>
            </w:pPr>
            <w:r>
              <w:rPr>
                <w:rFonts w:hint="eastAsia" w:ascii="宋体" w:hAnsi="宋体"/>
                <w:szCs w:val="21"/>
              </w:rPr>
              <w:t>序号</w:t>
            </w:r>
          </w:p>
        </w:tc>
        <w:tc>
          <w:tcPr>
            <w:tcW w:w="4112" w:type="pct"/>
            <w:gridSpan w:val="5"/>
            <w:tcBorders>
              <w:top w:val="single" w:color="auto" w:sz="4" w:space="0"/>
              <w:left w:val="single" w:color="auto" w:sz="4" w:space="0"/>
              <w:bottom w:val="single" w:color="auto" w:sz="4" w:space="0"/>
              <w:right w:val="single" w:color="auto" w:sz="4" w:space="0"/>
            </w:tcBorders>
            <w:vAlign w:val="center"/>
          </w:tcPr>
          <w:p w14:paraId="34FD6C94">
            <w:pPr>
              <w:jc w:val="center"/>
              <w:rPr>
                <w:rFonts w:ascii="宋体" w:hAnsi="宋体"/>
              </w:rPr>
            </w:pPr>
            <w:r>
              <w:rPr>
                <w:rFonts w:hint="eastAsia" w:ascii="宋体" w:hAnsi="宋体"/>
                <w:szCs w:val="21"/>
              </w:rPr>
              <w:t>评分项</w:t>
            </w:r>
          </w:p>
        </w:tc>
        <w:tc>
          <w:tcPr>
            <w:tcW w:w="546" w:type="pct"/>
            <w:tcBorders>
              <w:top w:val="single" w:color="auto" w:sz="4" w:space="0"/>
              <w:left w:val="single" w:color="auto" w:sz="4" w:space="0"/>
              <w:bottom w:val="single" w:color="auto" w:sz="4" w:space="0"/>
              <w:right w:val="single" w:color="auto" w:sz="4" w:space="0"/>
            </w:tcBorders>
            <w:vAlign w:val="center"/>
          </w:tcPr>
          <w:p w14:paraId="3C52E3FB">
            <w:pPr>
              <w:jc w:val="center"/>
              <w:rPr>
                <w:rFonts w:ascii="宋体" w:hAnsi="宋体"/>
              </w:rPr>
            </w:pPr>
            <w:r>
              <w:rPr>
                <w:rFonts w:hint="eastAsia" w:ascii="宋体" w:hAnsi="宋体"/>
                <w:szCs w:val="21"/>
              </w:rPr>
              <w:t>权重（%）</w:t>
            </w:r>
          </w:p>
        </w:tc>
      </w:tr>
      <w:tr w14:paraId="6E6C5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vMerge w:val="restart"/>
            <w:tcBorders>
              <w:top w:val="single" w:color="auto" w:sz="4" w:space="0"/>
              <w:left w:val="single" w:color="auto" w:sz="4" w:space="0"/>
              <w:right w:val="single" w:color="auto" w:sz="4" w:space="0"/>
            </w:tcBorders>
            <w:vAlign w:val="center"/>
          </w:tcPr>
          <w:p w14:paraId="5004941E">
            <w:pPr>
              <w:jc w:val="center"/>
              <w:rPr>
                <w:rFonts w:ascii="宋体" w:hAnsi="宋体"/>
              </w:rPr>
            </w:pPr>
            <w:r>
              <w:rPr>
                <w:rFonts w:hint="eastAsia" w:ascii="宋体" w:hAnsi="宋体"/>
                <w:szCs w:val="21"/>
              </w:rPr>
              <w:t>1</w:t>
            </w:r>
          </w:p>
        </w:tc>
        <w:tc>
          <w:tcPr>
            <w:tcW w:w="4112" w:type="pct"/>
            <w:gridSpan w:val="5"/>
            <w:tcBorders>
              <w:top w:val="single" w:color="auto" w:sz="4" w:space="0"/>
              <w:left w:val="single" w:color="auto" w:sz="4" w:space="0"/>
              <w:bottom w:val="single" w:color="auto" w:sz="4" w:space="0"/>
              <w:right w:val="single" w:color="auto" w:sz="4" w:space="0"/>
            </w:tcBorders>
            <w:vAlign w:val="center"/>
          </w:tcPr>
          <w:p w14:paraId="2F11AEFC">
            <w:pPr>
              <w:jc w:val="center"/>
              <w:rPr>
                <w:rFonts w:ascii="宋体" w:hAnsi="宋体"/>
              </w:rPr>
            </w:pPr>
            <w:r>
              <w:rPr>
                <w:rFonts w:hint="eastAsia" w:ascii="宋体" w:hAnsi="宋体"/>
                <w:szCs w:val="21"/>
              </w:rPr>
              <w:t>价格</w:t>
            </w:r>
          </w:p>
        </w:tc>
        <w:tc>
          <w:tcPr>
            <w:tcW w:w="546" w:type="pct"/>
            <w:vMerge w:val="restart"/>
            <w:tcBorders>
              <w:top w:val="single" w:color="auto" w:sz="4" w:space="0"/>
              <w:left w:val="single" w:color="auto" w:sz="4" w:space="0"/>
              <w:right w:val="single" w:color="auto" w:sz="4" w:space="0"/>
            </w:tcBorders>
            <w:vAlign w:val="center"/>
          </w:tcPr>
          <w:p w14:paraId="2AD4F8B7">
            <w:pPr>
              <w:jc w:val="center"/>
              <w:rPr>
                <w:rFonts w:ascii="宋体" w:hAnsi="宋体"/>
              </w:rPr>
            </w:pPr>
            <w:r>
              <w:rPr>
                <w:rFonts w:hint="eastAsia" w:ascii="宋体" w:hAnsi="宋体"/>
                <w:szCs w:val="21"/>
              </w:rPr>
              <w:t>30</w:t>
            </w:r>
          </w:p>
        </w:tc>
      </w:tr>
      <w:tr w14:paraId="5DF17F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vMerge w:val="continue"/>
            <w:tcBorders>
              <w:left w:val="single" w:color="auto" w:sz="4" w:space="0"/>
              <w:bottom w:val="single" w:color="auto" w:sz="4" w:space="0"/>
              <w:right w:val="single" w:color="auto" w:sz="4" w:space="0"/>
            </w:tcBorders>
            <w:vAlign w:val="center"/>
          </w:tcPr>
          <w:p w14:paraId="30914579">
            <w:pPr>
              <w:jc w:val="center"/>
              <w:rPr>
                <w:rFonts w:hint="eastAsia" w:ascii="宋体" w:hAnsi="宋体"/>
                <w:szCs w:val="21"/>
              </w:rPr>
            </w:pPr>
          </w:p>
        </w:tc>
        <w:tc>
          <w:tcPr>
            <w:tcW w:w="4112" w:type="pct"/>
            <w:gridSpan w:val="5"/>
            <w:tcBorders>
              <w:top w:val="single" w:color="auto" w:sz="4" w:space="0"/>
              <w:left w:val="single" w:color="auto" w:sz="4" w:space="0"/>
              <w:bottom w:val="single" w:color="auto" w:sz="4" w:space="0"/>
              <w:right w:val="single" w:color="auto" w:sz="4" w:space="0"/>
            </w:tcBorders>
            <w:vAlign w:val="center"/>
          </w:tcPr>
          <w:p w14:paraId="384E6DAE">
            <w:pPr>
              <w:jc w:val="center"/>
              <w:rPr>
                <w:rFonts w:hint="eastAsia" w:ascii="宋体" w:hAnsi="宋体"/>
                <w:szCs w:val="21"/>
              </w:rPr>
            </w:pPr>
            <w:r>
              <w:rPr>
                <w:rFonts w:hint="eastAsia" w:ascii="宋体" w:hAnsi="宋体"/>
                <w:szCs w:val="21"/>
              </w:rPr>
              <w:t>采用低价优先法计算，即满足招标文件要求且投标价格最低的投标报价为评标基准价，其价格分为满分。其他投标人的价格分统一按照下列公式计算：</w:t>
            </w:r>
          </w:p>
          <w:p w14:paraId="4E8C7917">
            <w:pPr>
              <w:jc w:val="center"/>
              <w:rPr>
                <w:rFonts w:hint="eastAsia" w:ascii="宋体" w:hAnsi="宋体"/>
                <w:szCs w:val="21"/>
              </w:rPr>
            </w:pPr>
            <w:r>
              <w:rPr>
                <w:rFonts w:hint="eastAsia" w:ascii="宋体" w:hAnsi="宋体"/>
                <w:szCs w:val="21"/>
              </w:rPr>
              <w:t>投标报价得分=(评标基准价／投标报价)×价格权重</w:t>
            </w:r>
          </w:p>
        </w:tc>
        <w:tc>
          <w:tcPr>
            <w:tcW w:w="546" w:type="pct"/>
            <w:vMerge w:val="continue"/>
            <w:tcBorders>
              <w:left w:val="single" w:color="auto" w:sz="4" w:space="0"/>
              <w:bottom w:val="single" w:color="auto" w:sz="4" w:space="0"/>
              <w:right w:val="single" w:color="auto" w:sz="4" w:space="0"/>
            </w:tcBorders>
            <w:vAlign w:val="center"/>
          </w:tcPr>
          <w:p w14:paraId="4762ECE5">
            <w:pPr>
              <w:jc w:val="center"/>
              <w:rPr>
                <w:rFonts w:hint="eastAsia" w:ascii="宋体" w:hAnsi="宋体"/>
                <w:szCs w:val="21"/>
                <w:lang w:val="en-US" w:eastAsia="zh-CN"/>
              </w:rPr>
            </w:pPr>
          </w:p>
        </w:tc>
      </w:tr>
      <w:tr w14:paraId="2CF35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tcBorders>
              <w:top w:val="single" w:color="auto" w:sz="4" w:space="0"/>
              <w:left w:val="single" w:color="auto" w:sz="4" w:space="0"/>
              <w:bottom w:val="single" w:color="auto" w:sz="4" w:space="0"/>
              <w:right w:val="single" w:color="auto" w:sz="4" w:space="0"/>
            </w:tcBorders>
            <w:vAlign w:val="center"/>
          </w:tcPr>
          <w:p w14:paraId="3F1D2235">
            <w:pPr>
              <w:jc w:val="center"/>
              <w:rPr>
                <w:rFonts w:ascii="宋体" w:hAnsi="宋体"/>
              </w:rPr>
            </w:pPr>
            <w:r>
              <w:rPr>
                <w:rFonts w:hint="eastAsia" w:ascii="宋体" w:hAnsi="宋体"/>
                <w:szCs w:val="21"/>
              </w:rPr>
              <w:t>2</w:t>
            </w:r>
          </w:p>
        </w:tc>
        <w:tc>
          <w:tcPr>
            <w:tcW w:w="4112" w:type="pct"/>
            <w:gridSpan w:val="5"/>
            <w:tcBorders>
              <w:top w:val="single" w:color="auto" w:sz="4" w:space="0"/>
              <w:left w:val="single" w:color="auto" w:sz="4" w:space="0"/>
              <w:bottom w:val="single" w:color="auto" w:sz="4" w:space="0"/>
              <w:right w:val="single" w:color="auto" w:sz="4" w:space="0"/>
            </w:tcBorders>
            <w:vAlign w:val="center"/>
          </w:tcPr>
          <w:p w14:paraId="0029B8EA">
            <w:pPr>
              <w:jc w:val="center"/>
              <w:rPr>
                <w:rFonts w:ascii="宋体" w:hAnsi="宋体"/>
              </w:rPr>
            </w:pPr>
            <w:r>
              <w:rPr>
                <w:rFonts w:hint="eastAsia" w:ascii="宋体" w:hAnsi="宋体"/>
                <w:szCs w:val="21"/>
              </w:rPr>
              <w:t>技术部分</w:t>
            </w:r>
          </w:p>
        </w:tc>
        <w:tc>
          <w:tcPr>
            <w:tcW w:w="546" w:type="pct"/>
            <w:tcBorders>
              <w:top w:val="single" w:color="auto" w:sz="4" w:space="0"/>
              <w:left w:val="single" w:color="auto" w:sz="4" w:space="0"/>
              <w:bottom w:val="single" w:color="auto" w:sz="4" w:space="0"/>
              <w:right w:val="single" w:color="auto" w:sz="4" w:space="0"/>
            </w:tcBorders>
            <w:vAlign w:val="center"/>
          </w:tcPr>
          <w:p w14:paraId="330A9C0E">
            <w:pPr>
              <w:jc w:val="center"/>
              <w:rPr>
                <w:rFonts w:hint="default" w:ascii="宋体" w:hAnsi="宋体" w:eastAsia="宋体"/>
                <w:lang w:val="en-US" w:eastAsia="zh-CN"/>
              </w:rPr>
            </w:pPr>
            <w:r>
              <w:rPr>
                <w:rFonts w:hint="eastAsia" w:ascii="宋体" w:hAnsi="宋体"/>
                <w:szCs w:val="21"/>
                <w:lang w:val="en-US" w:eastAsia="zh-CN"/>
              </w:rPr>
              <w:t>44</w:t>
            </w:r>
          </w:p>
        </w:tc>
      </w:tr>
      <w:tr w14:paraId="42FE5A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vMerge w:val="restart"/>
            <w:tcBorders>
              <w:top w:val="single" w:color="auto" w:sz="4" w:space="0"/>
              <w:left w:val="single" w:color="auto" w:sz="4" w:space="0"/>
              <w:right w:val="single" w:color="auto" w:sz="4" w:space="0"/>
            </w:tcBorders>
            <w:vAlign w:val="center"/>
          </w:tcPr>
          <w:p w14:paraId="3CFCE290">
            <w:pPr>
              <w:jc w:val="center"/>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0A8E630A">
            <w:pPr>
              <w:jc w:val="center"/>
              <w:rPr>
                <w:rFonts w:ascii="宋体" w:hAnsi="宋体"/>
              </w:rPr>
            </w:pPr>
            <w:r>
              <w:rPr>
                <w:rFonts w:hint="eastAsia" w:ascii="宋体" w:hAnsi="宋体"/>
                <w:szCs w:val="21"/>
              </w:rPr>
              <w:t>序号</w:t>
            </w:r>
          </w:p>
        </w:tc>
        <w:tc>
          <w:tcPr>
            <w:tcW w:w="935" w:type="pct"/>
            <w:tcBorders>
              <w:top w:val="single" w:color="auto" w:sz="4" w:space="0"/>
              <w:left w:val="single" w:color="auto" w:sz="4" w:space="0"/>
              <w:bottom w:val="single" w:color="auto" w:sz="4" w:space="0"/>
              <w:right w:val="single" w:color="auto" w:sz="4" w:space="0"/>
            </w:tcBorders>
            <w:vAlign w:val="center"/>
          </w:tcPr>
          <w:p w14:paraId="5978FA02">
            <w:pPr>
              <w:jc w:val="center"/>
              <w:rPr>
                <w:rFonts w:ascii="宋体" w:hAnsi="宋体"/>
              </w:rPr>
            </w:pPr>
            <w:r>
              <w:rPr>
                <w:rFonts w:hint="eastAsia" w:ascii="宋体" w:hAnsi="宋体"/>
                <w:szCs w:val="21"/>
              </w:rPr>
              <w:t>评分因素</w:t>
            </w:r>
          </w:p>
        </w:tc>
        <w:tc>
          <w:tcPr>
            <w:tcW w:w="463" w:type="pct"/>
            <w:tcBorders>
              <w:top w:val="single" w:color="auto" w:sz="4" w:space="0"/>
              <w:left w:val="single" w:color="auto" w:sz="4" w:space="0"/>
              <w:bottom w:val="single" w:color="auto" w:sz="4" w:space="0"/>
              <w:right w:val="single" w:color="auto" w:sz="4" w:space="0"/>
            </w:tcBorders>
            <w:vAlign w:val="center"/>
          </w:tcPr>
          <w:p w14:paraId="6320E58E">
            <w:pPr>
              <w:jc w:val="center"/>
              <w:rPr>
                <w:rFonts w:ascii="宋体" w:hAnsi="宋体"/>
              </w:rPr>
            </w:pPr>
            <w:r>
              <w:rPr>
                <w:rFonts w:hint="eastAsia" w:ascii="宋体" w:hAnsi="宋体"/>
                <w:szCs w:val="21"/>
              </w:rPr>
              <w:t>权重（%）</w:t>
            </w:r>
          </w:p>
        </w:tc>
        <w:tc>
          <w:tcPr>
            <w:tcW w:w="387" w:type="pct"/>
            <w:tcBorders>
              <w:top w:val="single" w:color="auto" w:sz="4" w:space="0"/>
              <w:left w:val="single" w:color="auto" w:sz="4" w:space="0"/>
              <w:bottom w:val="single" w:color="auto" w:sz="4" w:space="0"/>
              <w:right w:val="single" w:color="auto" w:sz="4" w:space="0"/>
            </w:tcBorders>
            <w:vAlign w:val="center"/>
          </w:tcPr>
          <w:p w14:paraId="762A3374">
            <w:pPr>
              <w:jc w:val="center"/>
              <w:rPr>
                <w:rFonts w:ascii="宋体" w:hAnsi="宋体"/>
              </w:rPr>
            </w:pPr>
            <w:r>
              <w:rPr>
                <w:rFonts w:hint="eastAsia" w:ascii="宋体" w:hAnsi="宋体"/>
                <w:szCs w:val="21"/>
              </w:rPr>
              <w:t>评分方式</w:t>
            </w:r>
          </w:p>
        </w:tc>
        <w:tc>
          <w:tcPr>
            <w:tcW w:w="2547" w:type="pct"/>
            <w:gridSpan w:val="2"/>
            <w:tcBorders>
              <w:top w:val="single" w:color="auto" w:sz="4" w:space="0"/>
              <w:left w:val="single" w:color="auto" w:sz="4" w:space="0"/>
              <w:bottom w:val="single" w:color="auto" w:sz="4" w:space="0"/>
              <w:right w:val="single" w:color="auto" w:sz="4" w:space="0"/>
            </w:tcBorders>
            <w:vAlign w:val="center"/>
          </w:tcPr>
          <w:p w14:paraId="13AE1680">
            <w:pPr>
              <w:jc w:val="center"/>
              <w:rPr>
                <w:rFonts w:ascii="宋体" w:hAnsi="宋体"/>
              </w:rPr>
            </w:pPr>
            <w:r>
              <w:rPr>
                <w:rFonts w:hint="eastAsia" w:ascii="宋体" w:hAnsi="宋体"/>
                <w:szCs w:val="21"/>
              </w:rPr>
              <w:t>评分准则</w:t>
            </w:r>
          </w:p>
        </w:tc>
      </w:tr>
      <w:tr w14:paraId="33F86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vMerge w:val="continue"/>
            <w:tcBorders>
              <w:left w:val="single" w:color="auto" w:sz="4" w:space="0"/>
              <w:right w:val="single" w:color="auto" w:sz="4" w:space="0"/>
            </w:tcBorders>
            <w:vAlign w:val="center"/>
          </w:tcPr>
          <w:p w14:paraId="37DFC973">
            <w:pPr>
              <w:widowControl/>
              <w:jc w:val="left"/>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53E282F0">
            <w:pPr>
              <w:jc w:val="center"/>
              <w:rPr>
                <w:rFonts w:ascii="宋体" w:hAnsi="宋体"/>
              </w:rPr>
            </w:pPr>
            <w:r>
              <w:rPr>
                <w:rFonts w:hint="eastAsia" w:ascii="宋体" w:hAnsi="宋体"/>
                <w:szCs w:val="21"/>
              </w:rPr>
              <w:t>1</w:t>
            </w:r>
          </w:p>
        </w:tc>
        <w:tc>
          <w:tcPr>
            <w:tcW w:w="935" w:type="pct"/>
            <w:tcBorders>
              <w:top w:val="single" w:color="auto" w:sz="4" w:space="0"/>
              <w:left w:val="single" w:color="auto" w:sz="4" w:space="0"/>
              <w:bottom w:val="single" w:color="auto" w:sz="4" w:space="0"/>
              <w:right w:val="single" w:color="auto" w:sz="4" w:space="0"/>
            </w:tcBorders>
            <w:vAlign w:val="center"/>
          </w:tcPr>
          <w:p w14:paraId="38BCB3E0">
            <w:pPr>
              <w:jc w:val="center"/>
              <w:rPr>
                <w:rFonts w:ascii="宋体" w:hAnsi="宋体"/>
              </w:rPr>
            </w:pPr>
            <w:r>
              <w:rPr>
                <w:rFonts w:hint="eastAsia" w:ascii="宋体" w:hAnsi="宋体" w:cs="宋体"/>
                <w:kern w:val="0"/>
                <w:szCs w:val="21"/>
              </w:rPr>
              <w:t>技术</w:t>
            </w:r>
            <w:bookmarkStart w:id="2" w:name="OLE_LINK63"/>
            <w:r>
              <w:rPr>
                <w:rFonts w:hint="eastAsia" w:ascii="宋体" w:hAnsi="宋体" w:cs="宋体"/>
                <w:kern w:val="0"/>
                <w:szCs w:val="21"/>
              </w:rPr>
              <w:t>要求</w:t>
            </w:r>
            <w:bookmarkEnd w:id="2"/>
            <w:r>
              <w:rPr>
                <w:rFonts w:hint="eastAsia" w:ascii="宋体" w:hAnsi="宋体" w:cs="宋体"/>
                <w:kern w:val="0"/>
                <w:szCs w:val="21"/>
              </w:rPr>
              <w:t>偏离情况</w:t>
            </w:r>
          </w:p>
        </w:tc>
        <w:tc>
          <w:tcPr>
            <w:tcW w:w="463" w:type="pct"/>
            <w:tcBorders>
              <w:top w:val="single" w:color="auto" w:sz="4" w:space="0"/>
              <w:left w:val="single" w:color="auto" w:sz="4" w:space="0"/>
              <w:bottom w:val="single" w:color="auto" w:sz="4" w:space="0"/>
              <w:right w:val="single" w:color="auto" w:sz="4" w:space="0"/>
            </w:tcBorders>
            <w:vAlign w:val="center"/>
          </w:tcPr>
          <w:p w14:paraId="1BBF8C9E">
            <w:pPr>
              <w:jc w:val="center"/>
              <w:rPr>
                <w:rFonts w:hint="default" w:ascii="宋体" w:hAnsi="宋体"/>
                <w:lang w:val="en-US"/>
              </w:rPr>
            </w:pPr>
            <w:r>
              <w:rPr>
                <w:rFonts w:hint="eastAsia" w:ascii="宋体" w:hAnsi="宋体" w:cs="宋体"/>
                <w:szCs w:val="21"/>
                <w:lang w:val="en-US" w:eastAsia="zh-CN"/>
              </w:rPr>
              <w:t>15</w:t>
            </w:r>
          </w:p>
        </w:tc>
        <w:tc>
          <w:tcPr>
            <w:tcW w:w="387" w:type="pct"/>
            <w:tcBorders>
              <w:top w:val="single" w:color="auto" w:sz="4" w:space="0"/>
              <w:left w:val="single" w:color="auto" w:sz="4" w:space="0"/>
              <w:bottom w:val="single" w:color="auto" w:sz="4" w:space="0"/>
              <w:right w:val="single" w:color="auto" w:sz="4" w:space="0"/>
            </w:tcBorders>
            <w:vAlign w:val="center"/>
          </w:tcPr>
          <w:p w14:paraId="4948D017">
            <w:pPr>
              <w:jc w:val="center"/>
              <w:rPr>
                <w:rFonts w:ascii="宋体" w:hAnsi="宋体"/>
              </w:rPr>
            </w:pPr>
            <w:r>
              <w:rPr>
                <w:rFonts w:hint="eastAsia" w:ascii="宋体" w:hAnsi="宋体"/>
                <w:szCs w:val="21"/>
              </w:rPr>
              <w:t>专家打分</w:t>
            </w:r>
          </w:p>
        </w:tc>
        <w:tc>
          <w:tcPr>
            <w:tcW w:w="2547" w:type="pct"/>
            <w:gridSpan w:val="2"/>
            <w:tcBorders>
              <w:top w:val="single" w:color="auto" w:sz="4" w:space="0"/>
              <w:left w:val="single" w:color="auto" w:sz="4" w:space="0"/>
              <w:bottom w:val="single" w:color="auto" w:sz="4" w:space="0"/>
              <w:right w:val="single" w:color="auto" w:sz="4" w:space="0"/>
            </w:tcBorders>
          </w:tcPr>
          <w:p w14:paraId="0E132D36">
            <w:pPr>
              <w:pStyle w:val="4"/>
              <w:pageBreakBefore w:val="0"/>
              <w:kinsoku/>
              <w:overflowPunct/>
              <w:topLinePunct w:val="0"/>
              <w:bidi w:val="0"/>
              <w:snapToGrid w:val="0"/>
              <w:spacing w:before="0" w:line="240" w:lineRule="auto"/>
              <w:ind w:left="0" w:leftChars="0" w:firstLine="0" w:firstLineChars="0"/>
              <w:rPr>
                <w:rFonts w:hint="eastAsia" w:ascii="宋体" w:hAnsi="宋体" w:eastAsia="宋体" w:cs="宋体"/>
                <w:b/>
                <w:color w:val="FF0000"/>
                <w:sz w:val="21"/>
                <w:lang w:val="en-US" w:eastAsia="zh-CN"/>
              </w:rPr>
            </w:pPr>
            <w:r>
              <w:rPr>
                <w:rFonts w:hint="eastAsia" w:ascii="宋体" w:hAnsi="宋体" w:cs="宋体"/>
                <w:kern w:val="0"/>
                <w:szCs w:val="21"/>
              </w:rPr>
              <w:t>（一）评分内容：投标人应如实填写《技术要求偏离表》，评审委员会根据技术需求参数响应情况进行打分，各项技术参数指标及要求全部满足的得</w:t>
            </w:r>
            <w:r>
              <w:rPr>
                <w:rFonts w:hint="eastAsia" w:ascii="宋体" w:hAnsi="宋体" w:cs="宋体"/>
                <w:kern w:val="0"/>
                <w:szCs w:val="21"/>
                <w:lang w:val="en-US" w:eastAsia="zh-CN"/>
              </w:rPr>
              <w:t>15</w:t>
            </w:r>
            <w:r>
              <w:rPr>
                <w:rFonts w:hint="eastAsia" w:ascii="宋体" w:hAnsi="宋体" w:cs="宋体"/>
                <w:kern w:val="0"/>
                <w:szCs w:val="21"/>
              </w:rPr>
              <w:t>分，所有标注“▲”的重要参数每负偏离一项扣</w:t>
            </w:r>
            <w:r>
              <w:rPr>
                <w:rFonts w:hint="eastAsia" w:ascii="宋体" w:hAnsi="宋体" w:cs="宋体"/>
                <w:kern w:val="0"/>
                <w:szCs w:val="21"/>
                <w:lang w:val="en-US" w:eastAsia="zh-CN"/>
              </w:rPr>
              <w:t>3</w:t>
            </w:r>
            <w:r>
              <w:rPr>
                <w:rFonts w:hint="eastAsia" w:ascii="宋体" w:hAnsi="宋体" w:cs="宋体"/>
                <w:kern w:val="0"/>
                <w:szCs w:val="21"/>
              </w:rPr>
              <w:t>分，扣完为止。</w:t>
            </w:r>
          </w:p>
        </w:tc>
      </w:tr>
      <w:tr w14:paraId="0DE94A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4" w:hRule="atLeast"/>
        </w:trPr>
        <w:tc>
          <w:tcPr>
            <w:tcW w:w="340" w:type="pct"/>
            <w:vMerge w:val="continue"/>
            <w:tcBorders>
              <w:left w:val="single" w:color="auto" w:sz="4" w:space="0"/>
              <w:right w:val="single" w:color="auto" w:sz="4" w:space="0"/>
            </w:tcBorders>
            <w:vAlign w:val="center"/>
          </w:tcPr>
          <w:p w14:paraId="5821C300">
            <w:pPr>
              <w:widowControl/>
              <w:jc w:val="left"/>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7948780A">
            <w:pPr>
              <w:jc w:val="center"/>
              <w:rPr>
                <w:rFonts w:hint="eastAsia" w:ascii="宋体" w:hAnsi="宋体" w:eastAsia="宋体"/>
                <w:lang w:val="en-US" w:eastAsia="zh-CN"/>
              </w:rPr>
            </w:pPr>
            <w:r>
              <w:rPr>
                <w:rFonts w:hint="eastAsia" w:ascii="宋体" w:hAnsi="宋体"/>
                <w:lang w:val="en-US" w:eastAsia="zh-CN"/>
              </w:rPr>
              <w:t>2</w:t>
            </w:r>
          </w:p>
        </w:tc>
        <w:tc>
          <w:tcPr>
            <w:tcW w:w="935" w:type="pct"/>
            <w:tcBorders>
              <w:top w:val="single" w:color="auto" w:sz="4" w:space="0"/>
              <w:left w:val="single" w:color="auto" w:sz="4" w:space="0"/>
              <w:bottom w:val="single" w:color="auto" w:sz="4" w:space="0"/>
              <w:right w:val="single" w:color="auto" w:sz="4" w:space="0"/>
            </w:tcBorders>
            <w:shd w:val="clear" w:color="auto" w:fill="auto"/>
            <w:vAlign w:val="center"/>
          </w:tcPr>
          <w:p w14:paraId="07E73FD3">
            <w:pPr>
              <w:pageBreakBefore w:val="0"/>
              <w:kinsoku/>
              <w:overflowPunct/>
              <w:topLinePunct w:val="0"/>
              <w:bidi w:val="0"/>
              <w:snapToGrid w:val="0"/>
              <w:spacing w:line="240" w:lineRule="auto"/>
              <w:ind w:left="0" w:leftChars="0" w:right="0" w:rightChars="0" w:firstLine="0" w:firstLineChars="0"/>
              <w:jc w:val="center"/>
              <w:rPr>
                <w:rFonts w:hint="default" w:ascii="宋体" w:hAnsi="宋体" w:eastAsia="宋体" w:cs="宋体"/>
                <w:color w:val="000000"/>
                <w:kern w:val="2"/>
                <w:sz w:val="21"/>
                <w:szCs w:val="21"/>
                <w:highlight w:val="none"/>
                <w:lang w:val="en-US" w:eastAsia="zh-CN" w:bidi="ar-SA"/>
              </w:rPr>
            </w:pPr>
            <w:r>
              <w:rPr>
                <w:rFonts w:hint="eastAsia" w:ascii="宋体" w:hAnsi="宋体" w:eastAsia="宋体" w:cs="宋体"/>
                <w:color w:val="auto"/>
                <w:sz w:val="21"/>
                <w:szCs w:val="21"/>
                <w:highlight w:val="none"/>
              </w:rPr>
              <w:t>一般技术参数技术响应评分</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3777574F">
            <w:pPr>
              <w:pageBreakBefore w:val="0"/>
              <w:kinsoku/>
              <w:overflowPunct/>
              <w:topLinePunct w:val="0"/>
              <w:bidi w:val="0"/>
              <w:snapToGrid w:val="0"/>
              <w:spacing w:line="240" w:lineRule="auto"/>
              <w:ind w:left="0" w:leftChars="0" w:right="0" w:rightChars="0" w:firstLine="0" w:firstLineChars="0"/>
              <w:jc w:val="center"/>
              <w:rPr>
                <w:rFonts w:hint="default" w:ascii="宋体" w:hAnsi="宋体" w:eastAsia="宋体" w:cs="宋体"/>
                <w:color w:val="000000"/>
                <w:kern w:val="2"/>
                <w:sz w:val="21"/>
                <w:szCs w:val="21"/>
                <w:highlight w:val="none"/>
                <w:lang w:val="en-US" w:eastAsia="zh-CN" w:bidi="ar-SA"/>
              </w:rPr>
            </w:pPr>
            <w:r>
              <w:rPr>
                <w:rFonts w:hint="eastAsia" w:ascii="宋体" w:hAnsi="宋体" w:cs="宋体"/>
                <w:color w:val="000000"/>
                <w:sz w:val="21"/>
                <w:szCs w:val="21"/>
                <w:highlight w:val="none"/>
                <w:lang w:val="en-US" w:eastAsia="zh-CN"/>
              </w:rPr>
              <w:t>10</w:t>
            </w:r>
          </w:p>
        </w:tc>
        <w:tc>
          <w:tcPr>
            <w:tcW w:w="387" w:type="pct"/>
            <w:tcBorders>
              <w:top w:val="single" w:color="auto" w:sz="4" w:space="0"/>
              <w:left w:val="single" w:color="auto" w:sz="4" w:space="0"/>
              <w:bottom w:val="single" w:color="auto" w:sz="4" w:space="0"/>
              <w:right w:val="single" w:color="auto" w:sz="4" w:space="0"/>
            </w:tcBorders>
            <w:shd w:val="clear" w:color="auto" w:fill="auto"/>
            <w:vAlign w:val="center"/>
          </w:tcPr>
          <w:p w14:paraId="1C6315B5">
            <w:pPr>
              <w:spacing w:line="240" w:lineRule="exact"/>
              <w:jc w:val="center"/>
              <w:rPr>
                <w:rFonts w:ascii="宋体" w:hAnsi="宋体" w:eastAsia="宋体" w:cs="Times New Roman"/>
                <w:kern w:val="2"/>
                <w:sz w:val="21"/>
                <w:szCs w:val="21"/>
                <w:lang w:val="en-US" w:eastAsia="zh-CN" w:bidi="ar-SA"/>
              </w:rPr>
            </w:pPr>
            <w:r>
              <w:rPr>
                <w:rFonts w:hint="eastAsia" w:ascii="宋体" w:hAnsi="宋体"/>
                <w:szCs w:val="21"/>
              </w:rPr>
              <w:t>专家打分</w:t>
            </w:r>
          </w:p>
        </w:tc>
        <w:tc>
          <w:tcPr>
            <w:tcW w:w="2547" w:type="pct"/>
            <w:gridSpan w:val="2"/>
            <w:tcBorders>
              <w:top w:val="single" w:color="auto" w:sz="4" w:space="0"/>
              <w:left w:val="single" w:color="auto" w:sz="4" w:space="0"/>
              <w:bottom w:val="single" w:color="auto" w:sz="4" w:space="0"/>
              <w:right w:val="single" w:color="auto" w:sz="4" w:space="0"/>
            </w:tcBorders>
            <w:vAlign w:val="center"/>
          </w:tcPr>
          <w:p w14:paraId="0FAAA8AF">
            <w:pPr>
              <w:rPr>
                <w:rFonts w:hint="eastAsia" w:ascii="宋体" w:hAnsi="宋体" w:eastAsia="宋体" w:cs="宋体"/>
                <w:lang w:val="en-US" w:eastAsia="zh-CN"/>
              </w:rPr>
            </w:pPr>
            <w:r>
              <w:rPr>
                <w:rFonts w:hint="eastAsia" w:ascii="宋体" w:hAnsi="宋体" w:cs="宋体"/>
                <w:kern w:val="0"/>
                <w:szCs w:val="21"/>
              </w:rPr>
              <w:t>（一）评分内容：投标人应如实填写《技术要求偏离表》，评审委员会根据技术需求参数响应情况进行打分，各项技术参数指标及要求全部满足的得</w:t>
            </w:r>
            <w:r>
              <w:rPr>
                <w:rFonts w:hint="eastAsia" w:ascii="宋体" w:hAnsi="宋体" w:cs="宋体"/>
                <w:kern w:val="0"/>
                <w:szCs w:val="21"/>
                <w:lang w:val="en-US" w:eastAsia="zh-CN"/>
              </w:rPr>
              <w:t>10</w:t>
            </w:r>
            <w:r>
              <w:rPr>
                <w:rFonts w:hint="eastAsia" w:ascii="宋体" w:hAnsi="宋体" w:cs="宋体"/>
                <w:kern w:val="0"/>
                <w:szCs w:val="21"/>
              </w:rPr>
              <w:t>分，一般参数每负偏离一项扣</w:t>
            </w:r>
            <w:r>
              <w:rPr>
                <w:rFonts w:hint="eastAsia" w:ascii="宋体" w:hAnsi="宋体" w:cs="宋体"/>
                <w:kern w:val="0"/>
                <w:szCs w:val="21"/>
                <w:lang w:val="en-US" w:eastAsia="zh-CN"/>
              </w:rPr>
              <w:t>0.35</w:t>
            </w:r>
            <w:r>
              <w:rPr>
                <w:rFonts w:hint="eastAsia" w:ascii="宋体" w:hAnsi="宋体" w:cs="宋体"/>
                <w:kern w:val="0"/>
                <w:szCs w:val="21"/>
              </w:rPr>
              <w:t>分，扣完为止</w:t>
            </w:r>
            <w:r>
              <w:rPr>
                <w:rFonts w:hint="eastAsia" w:ascii="宋体" w:hAnsi="宋体" w:cs="宋体"/>
                <w:kern w:val="0"/>
                <w:szCs w:val="21"/>
                <w:lang w:eastAsia="zh-CN"/>
              </w:rPr>
              <w:t>。</w:t>
            </w:r>
          </w:p>
        </w:tc>
      </w:tr>
      <w:tr w14:paraId="1A85C4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50" w:hRule="atLeast"/>
        </w:trPr>
        <w:tc>
          <w:tcPr>
            <w:tcW w:w="340" w:type="pct"/>
            <w:vMerge w:val="continue"/>
            <w:tcBorders>
              <w:left w:val="single" w:color="auto" w:sz="4" w:space="0"/>
              <w:right w:val="single" w:color="auto" w:sz="4" w:space="0"/>
            </w:tcBorders>
            <w:vAlign w:val="center"/>
          </w:tcPr>
          <w:p w14:paraId="58C4CB80">
            <w:pPr>
              <w:widowControl/>
              <w:jc w:val="left"/>
              <w:rPr>
                <w:rFonts w:ascii="宋体" w:hAnsi="宋体"/>
              </w:rPr>
            </w:pPr>
          </w:p>
        </w:tc>
        <w:tc>
          <w:tcPr>
            <w:tcW w:w="325" w:type="pct"/>
            <w:tcBorders>
              <w:top w:val="single" w:color="auto" w:sz="4" w:space="0"/>
              <w:left w:val="single" w:color="auto" w:sz="4" w:space="0"/>
              <w:bottom w:val="single" w:color="auto" w:sz="4" w:space="0"/>
              <w:right w:val="single" w:color="auto" w:sz="4" w:space="0"/>
            </w:tcBorders>
            <w:shd w:val="clear" w:color="auto" w:fill="auto"/>
            <w:vAlign w:val="center"/>
          </w:tcPr>
          <w:p w14:paraId="059C7FAF">
            <w:pPr>
              <w:jc w:val="center"/>
              <w:rPr>
                <w:rFonts w:hint="eastAsia" w:ascii="宋体" w:hAnsi="宋体" w:eastAsia="宋体" w:cs="Times New Roman"/>
                <w:kern w:val="2"/>
                <w:sz w:val="21"/>
                <w:szCs w:val="24"/>
                <w:lang w:val="en-US" w:eastAsia="zh-CN" w:bidi="ar-SA"/>
              </w:rPr>
            </w:pPr>
            <w:r>
              <w:rPr>
                <w:rFonts w:hint="eastAsia" w:ascii="宋体" w:hAnsi="宋体"/>
                <w:szCs w:val="21"/>
                <w:lang w:val="en-US" w:eastAsia="zh-CN"/>
              </w:rPr>
              <w:t>3</w:t>
            </w:r>
          </w:p>
        </w:tc>
        <w:tc>
          <w:tcPr>
            <w:tcW w:w="935" w:type="pct"/>
            <w:tcBorders>
              <w:top w:val="single" w:color="auto" w:sz="4" w:space="0"/>
              <w:left w:val="single" w:color="auto" w:sz="4" w:space="0"/>
              <w:bottom w:val="single" w:color="auto" w:sz="4" w:space="0"/>
              <w:right w:val="single" w:color="auto" w:sz="4" w:space="0"/>
            </w:tcBorders>
            <w:shd w:val="clear" w:color="auto" w:fill="auto"/>
            <w:vAlign w:val="center"/>
          </w:tcPr>
          <w:p w14:paraId="3A193A66">
            <w:pPr>
              <w:jc w:val="center"/>
              <w:rPr>
                <w:rFonts w:hint="eastAsia" w:cs="Times New Roman" w:asciiTheme="minorEastAsia" w:hAnsiTheme="minorEastAsia" w:eastAsiaTheme="minorEastAsia"/>
                <w:kern w:val="2"/>
                <w:sz w:val="21"/>
                <w:szCs w:val="24"/>
                <w:lang w:val="en-US" w:eastAsia="zh-CN" w:bidi="ar-SA"/>
              </w:rPr>
            </w:pPr>
            <w:r>
              <w:rPr>
                <w:rFonts w:hint="eastAsia" w:cs="宋体" w:asciiTheme="minorEastAsia" w:hAnsiTheme="minorEastAsia" w:eastAsiaTheme="minorEastAsia"/>
                <w:color w:val="000000"/>
                <w:szCs w:val="21"/>
                <w:lang w:val="en-US" w:eastAsia="zh-CN"/>
              </w:rPr>
              <w:t>环保产品</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4FE7465C">
            <w:pPr>
              <w:jc w:val="center"/>
              <w:rPr>
                <w:rFonts w:hint="default" w:cs="Times New Roman" w:asciiTheme="minorEastAsia" w:hAnsiTheme="minorEastAsia" w:eastAsiaTheme="minorEastAsia"/>
                <w:kern w:val="2"/>
                <w:sz w:val="21"/>
                <w:szCs w:val="24"/>
                <w:lang w:val="en-US" w:eastAsia="zh-CN" w:bidi="ar-SA"/>
              </w:rPr>
            </w:pPr>
            <w:r>
              <w:rPr>
                <w:rFonts w:hint="eastAsia" w:cs="Times New Roman" w:asciiTheme="minorEastAsia" w:hAnsiTheme="minorEastAsia" w:eastAsiaTheme="minorEastAsia"/>
                <w:kern w:val="2"/>
                <w:sz w:val="21"/>
                <w:szCs w:val="24"/>
                <w:lang w:val="en-US" w:eastAsia="zh-CN" w:bidi="ar-SA"/>
              </w:rPr>
              <w:t>4</w:t>
            </w:r>
          </w:p>
        </w:tc>
        <w:tc>
          <w:tcPr>
            <w:tcW w:w="387" w:type="pct"/>
            <w:tcBorders>
              <w:top w:val="single" w:color="auto" w:sz="4" w:space="0"/>
              <w:left w:val="single" w:color="auto" w:sz="4" w:space="0"/>
              <w:bottom w:val="single" w:color="auto" w:sz="4" w:space="0"/>
              <w:right w:val="single" w:color="auto" w:sz="4" w:space="0"/>
            </w:tcBorders>
            <w:shd w:val="clear" w:color="auto" w:fill="auto"/>
            <w:vAlign w:val="center"/>
          </w:tcPr>
          <w:p w14:paraId="43A9FC78">
            <w:pPr>
              <w:jc w:val="center"/>
              <w:rPr>
                <w:rFonts w:hint="eastAsia" w:cs="Times New Roman" w:asciiTheme="minorEastAsia" w:hAnsiTheme="minorEastAsia" w:eastAsiaTheme="minorEastAsia"/>
                <w:b/>
                <w:bCs/>
                <w:kern w:val="2"/>
                <w:sz w:val="21"/>
                <w:szCs w:val="24"/>
                <w:lang w:val="en-US" w:eastAsia="zh-CN" w:bidi="ar-SA"/>
              </w:rPr>
            </w:pPr>
            <w:r>
              <w:rPr>
                <w:rFonts w:hint="eastAsia" w:ascii="宋体" w:hAnsi="宋体"/>
                <w:szCs w:val="21"/>
              </w:rPr>
              <w:t>专家打分</w:t>
            </w:r>
          </w:p>
        </w:tc>
        <w:tc>
          <w:tcPr>
            <w:tcW w:w="25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4BE6960B">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（一）评分内容</w:t>
            </w:r>
          </w:p>
          <w:p w14:paraId="73372A2E">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投标人所投以下产品获得环境标志产品认证证书；</w:t>
            </w:r>
          </w:p>
          <w:p w14:paraId="23D08014">
            <w:pPr>
              <w:bidi w:val="0"/>
              <w:rPr>
                <w:rFonts w:hint="eastAsia"/>
              </w:rPr>
            </w:pPr>
            <w:r>
              <w:rPr>
                <w:rFonts w:hint="eastAsia"/>
              </w:rPr>
              <w:t>1.</w:t>
            </w:r>
            <w:r>
              <w:rPr>
                <w:rFonts w:hint="eastAsia"/>
                <w:lang w:val="en-US" w:eastAsia="zh-CN"/>
              </w:rPr>
              <w:t>遮光卷帘或遮阳卷帘</w:t>
            </w:r>
            <w:r>
              <w:rPr>
                <w:rFonts w:hint="eastAsia"/>
              </w:rPr>
              <w:t>；</w:t>
            </w:r>
          </w:p>
          <w:p w14:paraId="7863687A">
            <w:pPr>
              <w:bidi w:val="0"/>
              <w:rPr>
                <w:rFonts w:hint="eastAsia"/>
                <w:lang w:val="en-US" w:eastAsia="zh-CN"/>
              </w:rPr>
            </w:pPr>
            <w:r>
              <w:rPr>
                <w:rFonts w:hint="eastAsia"/>
                <w:lang w:val="en-US" w:eastAsia="zh-CN"/>
              </w:rPr>
              <w:t>2</w:t>
            </w:r>
            <w:r>
              <w:rPr>
                <w:rFonts w:hint="eastAsia"/>
              </w:rPr>
              <w:t>.</w:t>
            </w:r>
            <w:r>
              <w:rPr>
                <w:rFonts w:hint="eastAsia"/>
                <w:lang w:val="en-US" w:eastAsia="zh-CN"/>
              </w:rPr>
              <w:t>遮光窗帘或布艺窗帘；</w:t>
            </w:r>
          </w:p>
          <w:p w14:paraId="2C8260C4">
            <w:pPr>
              <w:bidi w:val="0"/>
              <w:rPr>
                <w:rFonts w:hint="eastAsia"/>
              </w:rPr>
            </w:pPr>
            <w:r>
              <w:rPr>
                <w:rFonts w:hint="eastAsia"/>
                <w:lang w:val="en-US" w:eastAsia="zh-CN"/>
              </w:rPr>
              <w:t>3.医用</w:t>
            </w:r>
            <w:r>
              <w:rPr>
                <w:rFonts w:hint="eastAsia"/>
              </w:rPr>
              <w:t>隔帘；</w:t>
            </w:r>
          </w:p>
          <w:p w14:paraId="52564D53">
            <w:pPr>
              <w:bidi w:val="0"/>
              <w:rPr>
                <w:rFonts w:hint="default"/>
                <w:lang w:val="en-US" w:eastAsia="zh-CN"/>
              </w:rPr>
            </w:pPr>
            <w:r>
              <w:rPr>
                <w:rFonts w:hint="eastAsia"/>
                <w:lang w:val="en-US" w:eastAsia="zh-CN"/>
              </w:rPr>
              <w:t>4.纱帘；</w:t>
            </w:r>
          </w:p>
          <w:p w14:paraId="2C67FFD0">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提供任意一个得</w:t>
            </w:r>
            <w:r>
              <w:rPr>
                <w:rFonts w:hint="eastAsia" w:asciiTheme="minorEastAsia" w:hAnsiTheme="minorEastAsia" w:eastAsiaTheme="minorEastAsia" w:cstheme="minorEastAsia"/>
                <w:lang w:val="en-US" w:eastAsia="zh-CN"/>
              </w:rPr>
              <w:t>1</w:t>
            </w:r>
            <w:r>
              <w:rPr>
                <w:rFonts w:hint="eastAsia" w:asciiTheme="minorEastAsia" w:hAnsiTheme="minorEastAsia" w:eastAsiaTheme="minorEastAsia" w:cstheme="minorEastAsia"/>
              </w:rPr>
              <w:t>分，</w:t>
            </w:r>
            <w:r>
              <w:rPr>
                <w:rFonts w:hint="eastAsia" w:asciiTheme="minorEastAsia" w:hAnsiTheme="minorEastAsia" w:eastAsiaTheme="minorEastAsia" w:cstheme="minorEastAsia"/>
                <w:lang w:val="en-US" w:eastAsia="zh-CN"/>
              </w:rPr>
              <w:t>最高</w:t>
            </w:r>
            <w:r>
              <w:rPr>
                <w:rFonts w:hint="eastAsia" w:asciiTheme="minorEastAsia" w:hAnsiTheme="minorEastAsia" w:eastAsiaTheme="minorEastAsia" w:cstheme="minorEastAsia"/>
              </w:rPr>
              <w:t>得</w:t>
            </w:r>
            <w:r>
              <w:rPr>
                <w:rFonts w:hint="eastAsia" w:asciiTheme="minorEastAsia" w:hAnsiTheme="minorEastAsia" w:eastAsiaTheme="minorEastAsia" w:cstheme="minorEastAsia"/>
                <w:lang w:val="en-US" w:eastAsia="zh-CN"/>
              </w:rPr>
              <w:t>4</w:t>
            </w:r>
            <w:r>
              <w:rPr>
                <w:rFonts w:hint="eastAsia" w:asciiTheme="minorEastAsia" w:hAnsiTheme="minorEastAsia" w:eastAsiaTheme="minorEastAsia" w:cstheme="minorEastAsia"/>
              </w:rPr>
              <w:t>分。</w:t>
            </w:r>
          </w:p>
          <w:p w14:paraId="73FAE54E">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（二）评分依据：</w:t>
            </w:r>
          </w:p>
          <w:p w14:paraId="62E169FE">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1.投标人须提供有效期内的环境标志产品认证证书扫描件，并附有详细的证书清单表，清单表中必须明确体现以下信息：</w:t>
            </w:r>
          </w:p>
          <w:p w14:paraId="408CC9BC">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（1）产品具体型号：与投标产品完全一致的产品型号；</w:t>
            </w:r>
          </w:p>
          <w:p w14:paraId="324D4451">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（2）产品成分：明确标注产品的具体成分，允许在招标技术标准下±5%的误差范围；</w:t>
            </w:r>
          </w:p>
          <w:p w14:paraId="7AEE2862">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（3）品牌信息：与投标产品完全一致的品牌名称。</w:t>
            </w:r>
          </w:p>
          <w:p w14:paraId="589EFCAD">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2.投标人提供有效期内的认证证书扫描件及在全国认证认可信息公共服务平台（认e云）（http://cx.cnca.cn/CertECloud/index/index/page）查询有效的截图。</w:t>
            </w:r>
          </w:p>
          <w:p w14:paraId="4927EDF0">
            <w:pPr>
              <w:bidi w:val="0"/>
              <w:rPr>
                <w:rFonts w:hint="eastAsia" w:asciiTheme="minorEastAsia" w:hAnsiTheme="minorEastAsia" w:eastAsiaTheme="minorEastAsia" w:cstheme="minorEastAsia"/>
              </w:rPr>
            </w:pPr>
            <w:r>
              <w:rPr>
                <w:rFonts w:hint="eastAsia" w:asciiTheme="minorEastAsia" w:hAnsiTheme="minorEastAsia" w:eastAsiaTheme="minorEastAsia" w:cstheme="minorEastAsia"/>
              </w:rPr>
              <w:t>3.未按要求提供或证书清单表中未明确标注具体产品型号和产品成分及品牌信息的，不得分。</w:t>
            </w:r>
          </w:p>
          <w:p w14:paraId="590BD116">
            <w:pPr>
              <w:rPr>
                <w:rFonts w:hint="eastAsia" w:ascii="宋体" w:hAnsi="宋体" w:eastAsia="宋体" w:cs="宋体"/>
                <w:kern w:val="2"/>
                <w:sz w:val="21"/>
                <w:szCs w:val="24"/>
                <w:lang w:val="en-US" w:eastAsia="zh-CN" w:bidi="ar-SA"/>
              </w:rPr>
            </w:pPr>
            <w:r>
              <w:rPr>
                <w:rFonts w:hint="eastAsia" w:asciiTheme="minorEastAsia" w:hAnsiTheme="minorEastAsia" w:eastAsiaTheme="minorEastAsia" w:cstheme="minorEastAsia"/>
              </w:rPr>
              <w:t>注：认证证书的产品名称要求不必完全一致，用途一致即可。</w:t>
            </w:r>
          </w:p>
        </w:tc>
      </w:tr>
      <w:tr w14:paraId="1D050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3" w:hRule="atLeast"/>
        </w:trPr>
        <w:tc>
          <w:tcPr>
            <w:tcW w:w="340" w:type="pct"/>
            <w:vMerge w:val="continue"/>
            <w:tcBorders>
              <w:left w:val="single" w:color="auto" w:sz="4" w:space="0"/>
              <w:right w:val="single" w:color="auto" w:sz="4" w:space="0"/>
            </w:tcBorders>
            <w:vAlign w:val="center"/>
          </w:tcPr>
          <w:p w14:paraId="68D19B05">
            <w:pPr>
              <w:widowControl/>
              <w:jc w:val="left"/>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6070CCE7">
            <w:pPr>
              <w:jc w:val="center"/>
              <w:rPr>
                <w:rFonts w:ascii="宋体" w:hAnsi="宋体"/>
              </w:rPr>
            </w:pPr>
            <w:r>
              <w:rPr>
                <w:rFonts w:hint="eastAsia" w:ascii="宋体" w:hAnsi="宋体"/>
                <w:szCs w:val="21"/>
              </w:rPr>
              <w:t>3</w:t>
            </w:r>
          </w:p>
        </w:tc>
        <w:tc>
          <w:tcPr>
            <w:tcW w:w="935" w:type="pct"/>
            <w:tcBorders>
              <w:top w:val="single" w:color="auto" w:sz="4" w:space="0"/>
              <w:left w:val="single" w:color="auto" w:sz="4" w:space="0"/>
              <w:bottom w:val="single" w:color="auto" w:sz="4" w:space="0"/>
              <w:right w:val="single" w:color="auto" w:sz="4" w:space="0"/>
            </w:tcBorders>
            <w:shd w:val="clear" w:color="auto" w:fill="auto"/>
            <w:vAlign w:val="center"/>
          </w:tcPr>
          <w:p w14:paraId="17B02DA6">
            <w:pPr>
              <w:pageBreakBefore w:val="0"/>
              <w:kinsoku/>
              <w:overflowPunct/>
              <w:topLinePunct w:val="0"/>
              <w:bidi w:val="0"/>
              <w:snapToGrid w:val="0"/>
              <w:spacing w:line="240" w:lineRule="auto"/>
              <w:ind w:left="0" w:leftChars="0" w:right="0" w:rightChars="0" w:firstLine="0" w:firstLineChars="0"/>
              <w:jc w:val="center"/>
              <w:rPr>
                <w:rFonts w:ascii="宋体" w:hAnsi="宋体" w:eastAsia="宋体" w:cs="Times New Roman"/>
                <w:color w:val="FF0000"/>
                <w:kern w:val="2"/>
                <w:sz w:val="21"/>
                <w:szCs w:val="21"/>
                <w:lang w:val="en-US" w:eastAsia="zh-CN" w:bidi="ar-SA"/>
              </w:rPr>
            </w:pPr>
            <w:r>
              <w:rPr>
                <w:rFonts w:hint="eastAsia" w:ascii="宋体" w:hAnsi="宋体" w:eastAsia="宋体" w:cs="宋体"/>
                <w:color w:val="000000"/>
                <w:sz w:val="21"/>
                <w:szCs w:val="21"/>
                <w:highlight w:val="none"/>
                <w:lang w:val="en-US" w:eastAsia="zh-CN"/>
              </w:rPr>
              <w:t>实施方案</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53366258">
            <w:pPr>
              <w:pageBreakBefore w:val="0"/>
              <w:kinsoku/>
              <w:overflowPunct/>
              <w:topLinePunct w:val="0"/>
              <w:bidi w:val="0"/>
              <w:snapToGrid w:val="0"/>
              <w:spacing w:line="240" w:lineRule="auto"/>
              <w:ind w:left="0" w:leftChars="0"/>
              <w:jc w:val="center"/>
              <w:rPr>
                <w:rFonts w:hint="default" w:ascii="宋体" w:hAnsi="宋体" w:eastAsia="宋体" w:cs="Times New Roman"/>
                <w:kern w:val="2"/>
                <w:sz w:val="21"/>
                <w:szCs w:val="21"/>
                <w:lang w:val="en-US" w:eastAsia="zh-CN" w:bidi="ar-SA"/>
              </w:rPr>
            </w:pPr>
            <w:r>
              <w:rPr>
                <w:rFonts w:hint="eastAsia" w:ascii="宋体" w:hAnsi="宋体" w:cs="宋体"/>
                <w:color w:val="000000"/>
                <w:kern w:val="2"/>
                <w:sz w:val="21"/>
                <w:szCs w:val="21"/>
                <w:highlight w:val="none"/>
                <w:lang w:val="en-US" w:eastAsia="zh-CN" w:bidi="ar-SA"/>
              </w:rPr>
              <w:t>15</w:t>
            </w:r>
          </w:p>
        </w:tc>
        <w:tc>
          <w:tcPr>
            <w:tcW w:w="387" w:type="pct"/>
            <w:tcBorders>
              <w:top w:val="single" w:color="auto" w:sz="4" w:space="0"/>
              <w:left w:val="single" w:color="auto" w:sz="4" w:space="0"/>
              <w:bottom w:val="single" w:color="auto" w:sz="4" w:space="0"/>
              <w:right w:val="single" w:color="auto" w:sz="4" w:space="0"/>
            </w:tcBorders>
            <w:shd w:val="clear" w:color="auto" w:fill="auto"/>
            <w:vAlign w:val="center"/>
          </w:tcPr>
          <w:p w14:paraId="22CD2662">
            <w:pPr>
              <w:spacing w:line="240" w:lineRule="exact"/>
              <w:jc w:val="center"/>
              <w:rPr>
                <w:rFonts w:ascii="宋体" w:hAnsi="宋体" w:eastAsia="宋体" w:cs="Times New Roman"/>
                <w:kern w:val="2"/>
                <w:sz w:val="21"/>
                <w:szCs w:val="21"/>
                <w:lang w:val="en-US" w:eastAsia="zh-CN" w:bidi="ar-SA"/>
              </w:rPr>
            </w:pPr>
            <w:r>
              <w:rPr>
                <w:rFonts w:hint="eastAsia" w:ascii="宋体" w:hAnsi="宋体"/>
                <w:szCs w:val="21"/>
              </w:rPr>
              <w:t>专家打分</w:t>
            </w:r>
          </w:p>
        </w:tc>
        <w:tc>
          <w:tcPr>
            <w:tcW w:w="25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25BC70F2">
            <w:pPr>
              <w:adjustRightInd w:val="0"/>
              <w:snapToGrid w:val="0"/>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szCs w:val="21"/>
              </w:rPr>
              <w:t>（一）评分内容：</w:t>
            </w:r>
          </w:p>
          <w:p w14:paraId="2BE89E98">
            <w:pPr>
              <w:rPr>
                <w:rFonts w:asciiTheme="minorEastAsia" w:hAnsiTheme="minorEastAsia" w:eastAsiaTheme="minorEastAsia" w:cstheme="minorEastAsia"/>
              </w:rPr>
            </w:pPr>
            <w:r>
              <w:rPr>
                <w:rFonts w:hint="eastAsia" w:asciiTheme="minorEastAsia" w:hAnsiTheme="minorEastAsia" w:eastAsiaTheme="minorEastAsia" w:cstheme="minorEastAsia"/>
                <w:szCs w:val="21"/>
              </w:rPr>
              <w:t>根据投标人提供的项目组织实施方案包括：</w:t>
            </w:r>
          </w:p>
          <w:p w14:paraId="1A5EDF6F">
            <w:pPr>
              <w:rPr>
                <w:rFonts w:asciiTheme="minorEastAsia" w:hAnsiTheme="minorEastAsia" w:eastAsiaTheme="minorEastAsia" w:cstheme="minorEastAsia"/>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lang w:val="en-US" w:eastAsia="zh-CN"/>
              </w:rPr>
              <w:t>生产实施方案</w:t>
            </w:r>
            <w:r>
              <w:rPr>
                <w:rFonts w:hint="eastAsia" w:asciiTheme="minorEastAsia" w:hAnsiTheme="minorEastAsia" w:eastAsiaTheme="minorEastAsia" w:cstheme="minorEastAsia"/>
                <w:szCs w:val="21"/>
              </w:rPr>
              <w:t>；</w:t>
            </w:r>
          </w:p>
          <w:p w14:paraId="2702B963">
            <w:pPr>
              <w:rPr>
                <w:rFonts w:asciiTheme="minorEastAsia" w:hAnsiTheme="minorEastAsia" w:eastAsiaTheme="minorEastAsia" w:cstheme="minorEastAsia"/>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现场施工方案</w:t>
            </w:r>
            <w:r>
              <w:rPr>
                <w:rFonts w:hint="eastAsia" w:asciiTheme="minorEastAsia" w:hAnsiTheme="minorEastAsia" w:eastAsiaTheme="minorEastAsia" w:cstheme="minorEastAsia"/>
                <w:szCs w:val="21"/>
              </w:rPr>
              <w:t>；</w:t>
            </w:r>
          </w:p>
          <w:p w14:paraId="5993CC94">
            <w:pPr>
              <w:rPr>
                <w:rFonts w:asciiTheme="minorEastAsia" w:hAnsiTheme="minorEastAsia" w:eastAsiaTheme="minorEastAsia"/>
                <w:b/>
                <w:bCs/>
              </w:rPr>
            </w:pPr>
            <w:r>
              <w:rPr>
                <w:rFonts w:hint="eastAsia" w:asciiTheme="minorEastAsia" w:hAnsiTheme="minorEastAsia" w:eastAsiaTheme="minorEastAsia"/>
                <w:b/>
                <w:bCs/>
              </w:rPr>
              <w:t>（二）评分依据：</w:t>
            </w:r>
          </w:p>
          <w:p w14:paraId="6FAC69AB">
            <w:pPr>
              <w:rPr>
                <w:rFonts w:asciiTheme="minorEastAsia" w:hAnsiTheme="minorEastAsia" w:eastAsiaTheme="minorEastAsia" w:cstheme="minorEastAsia"/>
              </w:rPr>
            </w:pPr>
            <w:r>
              <w:rPr>
                <w:rFonts w:hint="eastAsia" w:asciiTheme="minorEastAsia" w:hAnsiTheme="minorEastAsia" w:eastAsiaTheme="minorEastAsia" w:cstheme="minorEastAsia"/>
                <w:szCs w:val="21"/>
              </w:rPr>
              <w:t>提供的方案满足任意1点的得</w:t>
            </w:r>
            <w:r>
              <w:rPr>
                <w:rFonts w:hint="eastAsia" w:asciiTheme="minorEastAsia" w:hAnsiTheme="minorEastAsia" w:cstheme="minorEastAsia"/>
                <w:szCs w:val="21"/>
                <w:lang w:val="en-US" w:eastAsia="zh-CN"/>
              </w:rPr>
              <w:t>4</w:t>
            </w:r>
            <w:r>
              <w:rPr>
                <w:rFonts w:hint="eastAsia" w:asciiTheme="minorEastAsia" w:hAnsiTheme="minorEastAsia" w:eastAsiaTheme="minorEastAsia" w:cstheme="minorEastAsia"/>
                <w:szCs w:val="21"/>
              </w:rPr>
              <w:t>分，此项最高得</w:t>
            </w:r>
            <w:r>
              <w:rPr>
                <w:rFonts w:hint="eastAsia" w:asciiTheme="minorEastAsia" w:hAnsiTheme="minorEastAsia" w:cstheme="minorEastAsia"/>
                <w:szCs w:val="21"/>
                <w:lang w:val="en-US" w:eastAsia="zh-CN"/>
              </w:rPr>
              <w:t>8</w:t>
            </w:r>
            <w:r>
              <w:rPr>
                <w:rFonts w:hint="eastAsia" w:asciiTheme="minorEastAsia" w:hAnsiTheme="minorEastAsia" w:eastAsiaTheme="minorEastAsia" w:cstheme="minorEastAsia"/>
                <w:szCs w:val="21"/>
              </w:rPr>
              <w:t>分，未提供不得分。在上述基础上，由评审委员会对具体响应内容进一步评审：</w:t>
            </w:r>
          </w:p>
          <w:p w14:paraId="4ADB2A07">
            <w:pPr>
              <w:rPr>
                <w:rFonts w:asciiTheme="minorEastAsia" w:hAnsiTheme="minorEastAsia" w:eastAsiaTheme="minorEastAsia" w:cstheme="minorEastAsia"/>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lang w:val="en-US" w:eastAsia="zh-CN"/>
              </w:rPr>
              <w:t>项目实施</w:t>
            </w:r>
            <w:r>
              <w:rPr>
                <w:rFonts w:hint="eastAsia" w:asciiTheme="minorEastAsia" w:hAnsiTheme="minorEastAsia" w:eastAsiaTheme="minorEastAsia" w:cstheme="minorEastAsia"/>
                <w:szCs w:val="21"/>
              </w:rPr>
              <w:t>方案内容全面；</w:t>
            </w:r>
          </w:p>
          <w:p w14:paraId="0CE87B3F">
            <w:pPr>
              <w:rPr>
                <w:rFonts w:asciiTheme="minorEastAsia" w:hAnsiTheme="minorEastAsia" w:eastAsiaTheme="minorEastAsia" w:cstheme="minorEastAsia"/>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项目实施</w:t>
            </w:r>
            <w:r>
              <w:rPr>
                <w:rFonts w:hint="eastAsia" w:asciiTheme="minorEastAsia" w:hAnsiTheme="minorEastAsia" w:eastAsiaTheme="minorEastAsia" w:cstheme="minorEastAsia"/>
                <w:szCs w:val="21"/>
              </w:rPr>
              <w:t>方案内容具体；</w:t>
            </w:r>
          </w:p>
          <w:p w14:paraId="2A96682B">
            <w:pPr>
              <w:rPr>
                <w:rFonts w:asciiTheme="minorEastAsia" w:hAnsiTheme="minorEastAsia" w:eastAsiaTheme="minorEastAsia" w:cstheme="minorEastAsia"/>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zCs w:val="21"/>
                <w:lang w:val="en-US" w:eastAsia="zh-CN"/>
              </w:rPr>
              <w:t>项目实施</w:t>
            </w:r>
            <w:r>
              <w:rPr>
                <w:rFonts w:hint="eastAsia" w:asciiTheme="minorEastAsia" w:hAnsiTheme="minorEastAsia" w:eastAsiaTheme="minorEastAsia" w:cstheme="minorEastAsia"/>
                <w:szCs w:val="21"/>
              </w:rPr>
              <w:t>方案内容针对性强；</w:t>
            </w:r>
          </w:p>
          <w:p w14:paraId="7797F323">
            <w:pPr>
              <w:rPr>
                <w:rFonts w:asciiTheme="minorEastAsia" w:hAnsiTheme="minorEastAsia" w:eastAsiaTheme="minorEastAsia" w:cstheme="minorEastAsia"/>
              </w:rPr>
            </w:pPr>
            <w:r>
              <w:rPr>
                <w:rFonts w:hint="eastAsia" w:asciiTheme="minorEastAsia" w:hAnsiTheme="minorEastAsia" w:eastAsiaTheme="minorEastAsia" w:cstheme="minorEastAsia"/>
                <w:szCs w:val="21"/>
              </w:rPr>
              <w:t>（4）</w:t>
            </w:r>
            <w:r>
              <w:rPr>
                <w:rFonts w:hint="eastAsia" w:asciiTheme="minorEastAsia" w:hAnsiTheme="minorEastAsia" w:eastAsiaTheme="minorEastAsia" w:cstheme="minorEastAsia"/>
                <w:szCs w:val="21"/>
                <w:lang w:val="en-US" w:eastAsia="zh-CN"/>
              </w:rPr>
              <w:t>项目实施</w:t>
            </w:r>
            <w:r>
              <w:rPr>
                <w:rFonts w:hint="eastAsia" w:asciiTheme="minorEastAsia" w:hAnsiTheme="minorEastAsia" w:eastAsiaTheme="minorEastAsia" w:cstheme="minorEastAsia"/>
                <w:szCs w:val="21"/>
              </w:rPr>
              <w:t xml:space="preserve">方案内容科学合理； </w:t>
            </w:r>
          </w:p>
          <w:p w14:paraId="0EB4B190">
            <w:pPr>
              <w:rPr>
                <w:rFonts w:asciiTheme="minorEastAsia" w:hAnsiTheme="minorEastAsia" w:eastAsiaTheme="minorEastAsia" w:cstheme="minorEastAsia"/>
              </w:rPr>
            </w:pPr>
            <w:r>
              <w:rPr>
                <w:rFonts w:hint="eastAsia" w:asciiTheme="minorEastAsia" w:hAnsiTheme="minorEastAsia" w:eastAsiaTheme="minorEastAsia" w:cstheme="minorEastAsia"/>
                <w:szCs w:val="21"/>
              </w:rPr>
              <w:t>（5）</w:t>
            </w:r>
            <w:r>
              <w:rPr>
                <w:rFonts w:hint="eastAsia" w:asciiTheme="minorEastAsia" w:hAnsiTheme="minorEastAsia" w:eastAsiaTheme="minorEastAsia" w:cstheme="minorEastAsia"/>
                <w:szCs w:val="21"/>
                <w:lang w:val="en-US" w:eastAsia="zh-CN"/>
              </w:rPr>
              <w:t>项目实施</w:t>
            </w:r>
            <w:r>
              <w:rPr>
                <w:rFonts w:hint="eastAsia" w:asciiTheme="minorEastAsia" w:hAnsiTheme="minorEastAsia" w:eastAsiaTheme="minorEastAsia" w:cstheme="minorEastAsia"/>
                <w:szCs w:val="21"/>
              </w:rPr>
              <w:t>方案内容可操作性强。</w:t>
            </w:r>
          </w:p>
          <w:p w14:paraId="5EC12BE6">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21"/>
              </w:rPr>
              <w:t>满足以上五项要求得</w:t>
            </w:r>
            <w:r>
              <w:rPr>
                <w:rFonts w:hint="eastAsia" w:asciiTheme="minorEastAsia" w:hAnsiTheme="minorEastAsia" w:cstheme="minorEastAsia"/>
                <w:szCs w:val="21"/>
                <w:lang w:val="en-US" w:eastAsia="zh-CN"/>
              </w:rPr>
              <w:t>7</w:t>
            </w:r>
            <w:r>
              <w:rPr>
                <w:rFonts w:hint="eastAsia" w:asciiTheme="minorEastAsia" w:hAnsiTheme="minorEastAsia" w:eastAsiaTheme="minorEastAsia" w:cstheme="minorEastAsia"/>
                <w:szCs w:val="21"/>
              </w:rPr>
              <w:t>分，满足以上四项要求得</w:t>
            </w:r>
            <w:r>
              <w:rPr>
                <w:rFonts w:hint="eastAsia" w:asciiTheme="minorEastAsia" w:hAnsiTheme="minorEastAsia" w:cstheme="minorEastAsia"/>
                <w:szCs w:val="21"/>
                <w:lang w:val="en-US" w:eastAsia="zh-CN"/>
              </w:rPr>
              <w:t>3</w:t>
            </w:r>
            <w:r>
              <w:rPr>
                <w:rFonts w:hint="eastAsia" w:asciiTheme="minorEastAsia" w:hAnsiTheme="minorEastAsia" w:eastAsiaTheme="minorEastAsia" w:cstheme="minorEastAsia"/>
                <w:szCs w:val="21"/>
              </w:rPr>
              <w:t>分，满足以上三项要求得</w:t>
            </w:r>
            <w:r>
              <w:rPr>
                <w:rFonts w:hint="eastAsia" w:asciiTheme="minorEastAsia" w:hAnsiTheme="minorEastAsia" w:cstheme="minorEastAsia"/>
                <w:szCs w:val="21"/>
                <w:lang w:val="en-US" w:eastAsia="zh-CN"/>
              </w:rPr>
              <w:t>1</w:t>
            </w:r>
            <w:r>
              <w:rPr>
                <w:rFonts w:hint="eastAsia" w:asciiTheme="minorEastAsia" w:hAnsiTheme="minorEastAsia" w:eastAsiaTheme="minorEastAsia" w:cstheme="minorEastAsia"/>
                <w:szCs w:val="21"/>
              </w:rPr>
              <w:t>分，其它情况不得分。</w:t>
            </w:r>
          </w:p>
          <w:p w14:paraId="17D7C6A1">
            <w:pPr>
              <w:pageBreakBefore w:val="0"/>
              <w:numPr>
                <w:ilvl w:val="0"/>
                <w:numId w:val="0"/>
              </w:numPr>
              <w:kinsoku/>
              <w:overflowPunct/>
              <w:topLinePunct w:val="0"/>
              <w:bidi w:val="0"/>
              <w:snapToGrid w:val="0"/>
              <w:spacing w:line="240" w:lineRule="auto"/>
              <w:ind w:left="0" w:leftChars="0" w:firstLine="0" w:firstLineChars="0"/>
              <w:jc w:val="left"/>
              <w:rPr>
                <w:rFonts w:hint="eastAsia" w:ascii="宋体" w:hAnsi="宋体" w:eastAsia="宋体" w:cs="宋体"/>
                <w:kern w:val="2"/>
                <w:sz w:val="21"/>
                <w:szCs w:val="21"/>
                <w:highlight w:val="none"/>
                <w:lang w:val="en-US" w:eastAsia="zh-CN" w:bidi="ar-SA"/>
              </w:rPr>
            </w:pPr>
            <w:bookmarkStart w:id="3" w:name="_GoBack"/>
            <w:bookmarkEnd w:id="3"/>
          </w:p>
        </w:tc>
      </w:tr>
      <w:tr w14:paraId="72B6AE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tcBorders>
              <w:top w:val="single" w:color="auto" w:sz="4" w:space="0"/>
              <w:left w:val="single" w:color="auto" w:sz="4" w:space="0"/>
              <w:bottom w:val="single" w:color="auto" w:sz="4" w:space="0"/>
              <w:right w:val="single" w:color="auto" w:sz="4" w:space="0"/>
            </w:tcBorders>
            <w:vAlign w:val="center"/>
          </w:tcPr>
          <w:p w14:paraId="762E2FCB">
            <w:pPr>
              <w:jc w:val="center"/>
              <w:rPr>
                <w:rFonts w:ascii="宋体" w:hAnsi="宋体"/>
              </w:rPr>
            </w:pPr>
            <w:r>
              <w:rPr>
                <w:rFonts w:hint="eastAsia" w:ascii="宋体" w:hAnsi="宋体"/>
                <w:szCs w:val="21"/>
              </w:rPr>
              <w:t>3</w:t>
            </w:r>
          </w:p>
        </w:tc>
        <w:tc>
          <w:tcPr>
            <w:tcW w:w="2111" w:type="pct"/>
            <w:gridSpan w:val="4"/>
            <w:tcBorders>
              <w:top w:val="single" w:color="auto" w:sz="4" w:space="0"/>
              <w:left w:val="single" w:color="auto" w:sz="4" w:space="0"/>
              <w:bottom w:val="single" w:color="auto" w:sz="4" w:space="0"/>
              <w:right w:val="single" w:color="auto" w:sz="4" w:space="0"/>
            </w:tcBorders>
            <w:vAlign w:val="center"/>
          </w:tcPr>
          <w:p w14:paraId="7DD06009">
            <w:pPr>
              <w:jc w:val="center"/>
              <w:rPr>
                <w:rFonts w:ascii="宋体" w:hAnsi="宋体"/>
              </w:rPr>
            </w:pPr>
            <w:r>
              <w:rPr>
                <w:rFonts w:hint="eastAsia" w:ascii="宋体" w:hAnsi="宋体"/>
                <w:szCs w:val="21"/>
              </w:rPr>
              <w:t>商务部分</w:t>
            </w:r>
          </w:p>
        </w:tc>
        <w:tc>
          <w:tcPr>
            <w:tcW w:w="2547" w:type="pct"/>
            <w:gridSpan w:val="2"/>
            <w:tcBorders>
              <w:top w:val="single" w:color="auto" w:sz="4" w:space="0"/>
              <w:left w:val="single" w:color="auto" w:sz="4" w:space="0"/>
              <w:bottom w:val="single" w:color="auto" w:sz="4" w:space="0"/>
              <w:right w:val="single" w:color="auto" w:sz="4" w:space="0"/>
            </w:tcBorders>
            <w:vAlign w:val="center"/>
          </w:tcPr>
          <w:p w14:paraId="521CA317">
            <w:pPr>
              <w:jc w:val="center"/>
              <w:rPr>
                <w:rFonts w:hint="default" w:ascii="宋体" w:hAnsi="宋体" w:eastAsia="宋体"/>
                <w:lang w:val="en-US" w:eastAsia="zh-CN"/>
              </w:rPr>
            </w:pPr>
            <w:r>
              <w:rPr>
                <w:rFonts w:hint="eastAsia" w:ascii="宋体" w:hAnsi="宋体"/>
                <w:szCs w:val="21"/>
                <w:lang w:val="en-US" w:eastAsia="zh-CN"/>
              </w:rPr>
              <w:t>21</w:t>
            </w:r>
          </w:p>
        </w:tc>
      </w:tr>
      <w:tr w14:paraId="0115D0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vMerge w:val="restart"/>
            <w:tcBorders>
              <w:top w:val="single" w:color="auto" w:sz="4" w:space="0"/>
              <w:left w:val="single" w:color="auto" w:sz="4" w:space="0"/>
              <w:bottom w:val="single" w:color="auto" w:sz="4" w:space="0"/>
              <w:right w:val="single" w:color="auto" w:sz="4" w:space="0"/>
            </w:tcBorders>
            <w:vAlign w:val="center"/>
          </w:tcPr>
          <w:p w14:paraId="367B6024">
            <w:pPr>
              <w:keepNext/>
              <w:keepLines/>
              <w:jc w:val="center"/>
              <w:outlineLvl w:val="0"/>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371ECC85">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序号</w:t>
            </w:r>
          </w:p>
        </w:tc>
        <w:tc>
          <w:tcPr>
            <w:tcW w:w="935" w:type="pct"/>
            <w:tcBorders>
              <w:top w:val="single" w:color="auto" w:sz="4" w:space="0"/>
              <w:left w:val="single" w:color="auto" w:sz="4" w:space="0"/>
              <w:bottom w:val="single" w:color="auto" w:sz="4" w:space="0"/>
              <w:right w:val="single" w:color="auto" w:sz="4" w:space="0"/>
            </w:tcBorders>
            <w:vAlign w:val="center"/>
          </w:tcPr>
          <w:p w14:paraId="778A2236">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评分因素</w:t>
            </w:r>
          </w:p>
        </w:tc>
        <w:tc>
          <w:tcPr>
            <w:tcW w:w="463" w:type="pct"/>
            <w:tcBorders>
              <w:top w:val="single" w:color="auto" w:sz="4" w:space="0"/>
              <w:left w:val="single" w:color="auto" w:sz="4" w:space="0"/>
              <w:bottom w:val="single" w:color="auto" w:sz="4" w:space="0"/>
              <w:right w:val="single" w:color="auto" w:sz="4" w:space="0"/>
            </w:tcBorders>
            <w:vAlign w:val="center"/>
          </w:tcPr>
          <w:p w14:paraId="320EB0CC">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权重</w:t>
            </w:r>
            <w:r>
              <w:rPr>
                <w:rFonts w:hint="eastAsia" w:ascii="宋体" w:hAnsi="宋体"/>
                <w:szCs w:val="21"/>
              </w:rPr>
              <w:t>（%）</w:t>
            </w:r>
          </w:p>
        </w:tc>
        <w:tc>
          <w:tcPr>
            <w:tcW w:w="387" w:type="pct"/>
            <w:tcBorders>
              <w:top w:val="single" w:color="auto" w:sz="4" w:space="0"/>
              <w:left w:val="single" w:color="auto" w:sz="4" w:space="0"/>
              <w:bottom w:val="single" w:color="auto" w:sz="4" w:space="0"/>
              <w:right w:val="single" w:color="auto" w:sz="4" w:space="0"/>
            </w:tcBorders>
            <w:vAlign w:val="center"/>
          </w:tcPr>
          <w:p w14:paraId="16CEA481">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评分方式</w:t>
            </w:r>
          </w:p>
        </w:tc>
        <w:tc>
          <w:tcPr>
            <w:tcW w:w="2547" w:type="pct"/>
            <w:gridSpan w:val="2"/>
            <w:tcBorders>
              <w:top w:val="single" w:color="auto" w:sz="4" w:space="0"/>
              <w:left w:val="single" w:color="auto" w:sz="4" w:space="0"/>
              <w:bottom w:val="single" w:color="auto" w:sz="4" w:space="0"/>
              <w:right w:val="single" w:color="auto" w:sz="4" w:space="0"/>
            </w:tcBorders>
            <w:vAlign w:val="center"/>
          </w:tcPr>
          <w:p w14:paraId="64604684">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评分准则</w:t>
            </w:r>
          </w:p>
        </w:tc>
      </w:tr>
      <w:tr w14:paraId="504A39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 w:hRule="atLeast"/>
        </w:trPr>
        <w:tc>
          <w:tcPr>
            <w:tcW w:w="340" w:type="pct"/>
            <w:vMerge w:val="continue"/>
            <w:tcBorders>
              <w:top w:val="single" w:color="auto" w:sz="4" w:space="0"/>
              <w:left w:val="single" w:color="auto" w:sz="4" w:space="0"/>
              <w:bottom w:val="single" w:color="auto" w:sz="4" w:space="0"/>
              <w:right w:val="single" w:color="auto" w:sz="4" w:space="0"/>
            </w:tcBorders>
            <w:vAlign w:val="center"/>
          </w:tcPr>
          <w:p w14:paraId="4E5C009D">
            <w:pPr>
              <w:widowControl/>
              <w:jc w:val="left"/>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776B38DC">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1</w:t>
            </w:r>
          </w:p>
        </w:tc>
        <w:tc>
          <w:tcPr>
            <w:tcW w:w="935" w:type="pct"/>
            <w:tcBorders>
              <w:top w:val="single" w:color="auto" w:sz="4" w:space="0"/>
              <w:left w:val="single" w:color="auto" w:sz="4" w:space="0"/>
              <w:bottom w:val="single" w:color="auto" w:sz="4" w:space="0"/>
              <w:right w:val="single" w:color="auto" w:sz="4" w:space="0"/>
            </w:tcBorders>
            <w:vAlign w:val="center"/>
          </w:tcPr>
          <w:p w14:paraId="1FF42EDA">
            <w:pPr>
              <w:jc w:val="center"/>
              <w:rPr>
                <w:rFonts w:asciiTheme="minorEastAsia" w:hAnsiTheme="minorEastAsia" w:eastAsiaTheme="minorEastAsia" w:cstheme="minorEastAsia"/>
              </w:rPr>
            </w:pPr>
            <w:r>
              <w:rPr>
                <w:rFonts w:cs="宋体" w:asciiTheme="minorEastAsia" w:hAnsiTheme="minorEastAsia" w:eastAsiaTheme="minorEastAsia"/>
                <w:kern w:val="0"/>
                <w:szCs w:val="21"/>
              </w:rPr>
              <w:t>业绩</w:t>
            </w:r>
          </w:p>
        </w:tc>
        <w:tc>
          <w:tcPr>
            <w:tcW w:w="463" w:type="pct"/>
            <w:tcBorders>
              <w:top w:val="single" w:color="auto" w:sz="4" w:space="0"/>
              <w:left w:val="single" w:color="auto" w:sz="4" w:space="0"/>
              <w:bottom w:val="single" w:color="auto" w:sz="4" w:space="0"/>
              <w:right w:val="single" w:color="auto" w:sz="4" w:space="0"/>
            </w:tcBorders>
            <w:vAlign w:val="center"/>
          </w:tcPr>
          <w:p w14:paraId="50D0817F">
            <w:pPr>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2</w:t>
            </w:r>
          </w:p>
        </w:tc>
        <w:tc>
          <w:tcPr>
            <w:tcW w:w="387" w:type="pct"/>
            <w:tcBorders>
              <w:top w:val="single" w:color="auto" w:sz="4" w:space="0"/>
              <w:left w:val="single" w:color="auto" w:sz="4" w:space="0"/>
              <w:bottom w:val="single" w:color="auto" w:sz="4" w:space="0"/>
              <w:right w:val="single" w:color="auto" w:sz="4" w:space="0"/>
            </w:tcBorders>
            <w:vAlign w:val="center"/>
          </w:tcPr>
          <w:p w14:paraId="3B443789">
            <w:pPr>
              <w:jc w:val="cente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21"/>
              </w:rPr>
              <w:t>专家评</w:t>
            </w:r>
            <w:r>
              <w:rPr>
                <w:rFonts w:hint="eastAsia" w:asciiTheme="minorEastAsia" w:hAnsiTheme="minorEastAsia" w:cstheme="minorEastAsia"/>
                <w:szCs w:val="21"/>
                <w:lang w:val="en-US" w:eastAsia="zh-CN"/>
              </w:rPr>
              <w:t>分</w:t>
            </w:r>
          </w:p>
        </w:tc>
        <w:tc>
          <w:tcPr>
            <w:tcW w:w="2547" w:type="pct"/>
            <w:gridSpan w:val="2"/>
            <w:tcBorders>
              <w:top w:val="single" w:color="auto" w:sz="4" w:space="0"/>
              <w:left w:val="single" w:color="auto" w:sz="4" w:space="0"/>
              <w:bottom w:val="single" w:color="auto" w:sz="4" w:space="0"/>
              <w:right w:val="single" w:color="auto" w:sz="4" w:space="0"/>
            </w:tcBorders>
            <w:vAlign w:val="center"/>
          </w:tcPr>
          <w:p w14:paraId="7A272346">
            <w:pPr>
              <w:adjustRightInd w:val="0"/>
              <w:snapToGrid w:val="0"/>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szCs w:val="21"/>
              </w:rPr>
              <w:t>（一）评分内容：</w:t>
            </w:r>
          </w:p>
          <w:p w14:paraId="150622F8">
            <w:pPr>
              <w:adjustRightInd w:val="0"/>
              <w:snapToGrid w:val="0"/>
              <w:rPr>
                <w:rFonts w:cs="宋体" w:asciiTheme="minorEastAsia" w:hAnsiTheme="minorEastAsia" w:eastAsiaTheme="minorEastAsia"/>
              </w:rPr>
            </w:pPr>
            <w:r>
              <w:rPr>
                <w:rFonts w:hint="eastAsia" w:asciiTheme="minorEastAsia" w:hAnsiTheme="minorEastAsia" w:eastAsiaTheme="minorEastAsia"/>
                <w:szCs w:val="21"/>
              </w:rPr>
              <w:t>投标人每</w:t>
            </w:r>
            <w:r>
              <w:rPr>
                <w:rFonts w:hint="eastAsia" w:cs="宋体" w:asciiTheme="minorEastAsia" w:hAnsiTheme="minorEastAsia" w:eastAsiaTheme="minorEastAsia"/>
                <w:szCs w:val="21"/>
              </w:rPr>
              <w:t>提供1项有效业绩的，得</w:t>
            </w:r>
            <w:r>
              <w:rPr>
                <w:rFonts w:hint="eastAsia" w:cs="宋体" w:asciiTheme="minorEastAsia" w:hAnsiTheme="minorEastAsia" w:eastAsiaTheme="minorEastAsia"/>
                <w:szCs w:val="21"/>
                <w:lang w:val="en-US" w:eastAsia="zh-CN"/>
              </w:rPr>
              <w:t>1</w:t>
            </w:r>
            <w:r>
              <w:rPr>
                <w:rFonts w:hint="eastAsia" w:cs="宋体" w:asciiTheme="minorEastAsia" w:hAnsiTheme="minorEastAsia" w:eastAsiaTheme="minorEastAsia"/>
                <w:szCs w:val="21"/>
              </w:rPr>
              <w:t>分</w:t>
            </w:r>
            <w:r>
              <w:rPr>
                <w:rFonts w:hint="eastAsia" w:cs="宋体" w:asciiTheme="minorEastAsia" w:hAnsiTheme="minorEastAsia"/>
                <w:szCs w:val="21"/>
                <w:lang w:eastAsia="zh-CN"/>
              </w:rPr>
              <w:t>，</w:t>
            </w:r>
            <w:r>
              <w:rPr>
                <w:rFonts w:hint="eastAsia" w:cs="宋体" w:asciiTheme="minorEastAsia" w:hAnsiTheme="minorEastAsia" w:eastAsiaTheme="minorEastAsia"/>
                <w:szCs w:val="21"/>
              </w:rPr>
              <w:t>最高</w:t>
            </w:r>
            <w:r>
              <w:rPr>
                <w:rFonts w:hint="eastAsia" w:cs="宋体" w:asciiTheme="minorEastAsia" w:hAnsiTheme="minorEastAsia" w:eastAsiaTheme="minorEastAsia"/>
                <w:szCs w:val="21"/>
                <w:lang w:val="en-US" w:eastAsia="zh-CN"/>
              </w:rPr>
              <w:t>得2</w:t>
            </w:r>
            <w:r>
              <w:rPr>
                <w:rFonts w:hint="eastAsia" w:cs="宋体" w:asciiTheme="minorEastAsia" w:hAnsiTheme="minorEastAsia" w:eastAsiaTheme="minorEastAsia"/>
                <w:szCs w:val="21"/>
              </w:rPr>
              <w:t>分。不提供或者不</w:t>
            </w:r>
            <w:r>
              <w:rPr>
                <w:rFonts w:hint="eastAsia" w:asciiTheme="minorEastAsia" w:hAnsiTheme="minorEastAsia" w:eastAsiaTheme="minorEastAsia"/>
                <w:szCs w:val="21"/>
              </w:rPr>
              <w:t>能有效证明的，得0分。</w:t>
            </w:r>
          </w:p>
          <w:p w14:paraId="55DCEC0D">
            <w:pPr>
              <w:adjustRightInd w:val="0"/>
              <w:snapToGrid w:val="0"/>
              <w:rPr>
                <w:rFonts w:cs="宋体" w:asciiTheme="minorEastAsia" w:hAnsiTheme="minorEastAsia" w:eastAsiaTheme="minorEastAsia"/>
              </w:rPr>
            </w:pPr>
            <w:r>
              <w:rPr>
                <w:rFonts w:hint="eastAsia" w:asciiTheme="minorEastAsia" w:hAnsiTheme="minorEastAsia" w:eastAsiaTheme="minorEastAsia"/>
                <w:b/>
                <w:szCs w:val="21"/>
              </w:rPr>
              <w:t>有效业绩定义：</w:t>
            </w:r>
            <w:r>
              <w:rPr>
                <w:rFonts w:hint="eastAsia" w:asciiTheme="minorEastAsia" w:hAnsiTheme="minorEastAsia" w:eastAsiaTheme="minorEastAsia"/>
                <w:szCs w:val="21"/>
              </w:rPr>
              <w:t>（同时满足以下全部要求同类业绩才属于有效业</w:t>
            </w:r>
            <w:r>
              <w:rPr>
                <w:rFonts w:hint="eastAsia" w:cs="宋体" w:asciiTheme="minorEastAsia" w:hAnsiTheme="minorEastAsia" w:eastAsiaTheme="minorEastAsia"/>
                <w:szCs w:val="21"/>
              </w:rPr>
              <w:t>绩）</w:t>
            </w:r>
          </w:p>
          <w:p w14:paraId="26A2FF6F">
            <w:pPr>
              <w:adjustRightInd w:val="0"/>
              <w:snapToGrid w:val="0"/>
              <w:rPr>
                <w:rFonts w:cs="宋体" w:asciiTheme="minorEastAsia" w:hAnsiTheme="minorEastAsia" w:eastAsiaTheme="minorEastAsia"/>
              </w:rPr>
            </w:pPr>
            <w:r>
              <w:rPr>
                <w:rFonts w:hint="eastAsia" w:cs="宋体" w:asciiTheme="minorEastAsia" w:hAnsiTheme="minorEastAsia" w:eastAsiaTheme="minorEastAsia"/>
                <w:szCs w:val="21"/>
              </w:rPr>
              <w:t>1.同类业绩指：窗帘类；</w:t>
            </w:r>
          </w:p>
          <w:p w14:paraId="7170FD50">
            <w:pPr>
              <w:adjustRightInd w:val="0"/>
              <w:snapToGrid w:val="0"/>
              <w:rPr>
                <w:rFonts w:asciiTheme="minorEastAsia" w:hAnsiTheme="minorEastAsia" w:eastAsiaTheme="minorEastAsia"/>
              </w:rPr>
            </w:pPr>
            <w:r>
              <w:rPr>
                <w:rFonts w:hint="eastAsia" w:cs="宋体" w:asciiTheme="minorEastAsia" w:hAnsiTheme="minorEastAsia" w:eastAsiaTheme="minorEastAsia"/>
                <w:szCs w:val="21"/>
              </w:rPr>
              <w:t>2.合同签订日期</w:t>
            </w:r>
            <w:r>
              <w:rPr>
                <w:rFonts w:hint="eastAsia" w:asciiTheme="minorEastAsia" w:hAnsiTheme="minorEastAsia" w:eastAsiaTheme="minorEastAsia"/>
                <w:szCs w:val="21"/>
              </w:rPr>
              <w:t>为202</w:t>
            </w:r>
            <w:r>
              <w:rPr>
                <w:rFonts w:hint="eastAsia" w:asciiTheme="minorEastAsia" w:hAnsiTheme="minorEastAsia" w:eastAsiaTheme="minorEastAsia"/>
                <w:szCs w:val="21"/>
                <w:lang w:val="en-US" w:eastAsia="zh-CN"/>
              </w:rPr>
              <w:t>3</w:t>
            </w:r>
            <w:r>
              <w:rPr>
                <w:rFonts w:hint="eastAsia" w:asciiTheme="minorEastAsia" w:hAnsiTheme="minorEastAsia" w:eastAsiaTheme="minorEastAsia"/>
                <w:szCs w:val="21"/>
              </w:rPr>
              <w:t>年1月1日至本项目投标截止时间前。</w:t>
            </w:r>
          </w:p>
          <w:p w14:paraId="31625179">
            <w:pPr>
              <w:rPr>
                <w:rFonts w:asciiTheme="minorEastAsia" w:hAnsiTheme="minorEastAsia" w:eastAsiaTheme="minorEastAsia"/>
                <w:b/>
              </w:rPr>
            </w:pPr>
            <w:r>
              <w:rPr>
                <w:rFonts w:hint="eastAsia" w:asciiTheme="minorEastAsia" w:hAnsiTheme="minorEastAsia" w:eastAsiaTheme="minorEastAsia"/>
                <w:b/>
                <w:szCs w:val="21"/>
              </w:rPr>
              <w:t>（二）</w:t>
            </w:r>
            <w:r>
              <w:rPr>
                <w:rFonts w:hint="eastAsia" w:cs="宋体" w:asciiTheme="minorEastAsia" w:hAnsiTheme="minorEastAsia" w:eastAsiaTheme="minorEastAsia"/>
                <w:b/>
                <w:bCs/>
                <w:color w:val="000000"/>
                <w:kern w:val="0"/>
                <w:szCs w:val="21"/>
              </w:rPr>
              <w:t>评分依据</w:t>
            </w:r>
            <w:r>
              <w:rPr>
                <w:rFonts w:hint="eastAsia" w:asciiTheme="minorEastAsia" w:hAnsiTheme="minorEastAsia" w:eastAsiaTheme="minorEastAsia"/>
                <w:b/>
                <w:szCs w:val="21"/>
              </w:rPr>
              <w:t>：</w:t>
            </w:r>
          </w:p>
          <w:p w14:paraId="18249FF2">
            <w:pPr>
              <w:widowControl/>
              <w:jc w:val="left"/>
              <w:rPr>
                <w:rFonts w:ascii="宋体" w:hAnsi="宋体" w:cs="宋体"/>
                <w:szCs w:val="21"/>
              </w:rPr>
            </w:pPr>
            <w:r>
              <w:rPr>
                <w:rFonts w:hint="eastAsia" w:ascii="宋体" w:hAnsi="宋体" w:cs="宋体"/>
                <w:szCs w:val="21"/>
              </w:rPr>
              <w:t>1.同时提供每个有效业绩的合同（包含但不限于合同双方主体、合同项目名称、合同签订日期、合同双方签字盖章）作为得分依据，否则不得分。</w:t>
            </w:r>
          </w:p>
          <w:p w14:paraId="42D381A8">
            <w:pPr>
              <w:rPr>
                <w:rFonts w:asciiTheme="minorEastAsia" w:hAnsiTheme="minorEastAsia" w:eastAsiaTheme="minorEastAsia" w:cstheme="minorEastAsia"/>
              </w:rPr>
            </w:pPr>
            <w:r>
              <w:rPr>
                <w:rFonts w:hint="eastAsia" w:ascii="宋体" w:hAnsi="宋体" w:cs="宋体" w:eastAsiaTheme="minorEastAsia"/>
                <w:szCs w:val="21"/>
              </w:rPr>
              <w:t>2.</w:t>
            </w:r>
            <w:r>
              <w:rPr>
                <w:rFonts w:hint="eastAsia" w:cs="宋体" w:asciiTheme="minorEastAsia" w:hAnsiTheme="minorEastAsia" w:eastAsiaTheme="minorEastAsia"/>
                <w:snapToGrid w:val="0"/>
                <w:color w:val="000000"/>
                <w:kern w:val="0"/>
                <w:szCs w:val="21"/>
              </w:rPr>
              <w:t>提</w:t>
            </w:r>
            <w:r>
              <w:rPr>
                <w:rFonts w:hint="eastAsia" w:asciiTheme="minorEastAsia" w:hAnsiTheme="minorEastAsia" w:eastAsiaTheme="minorEastAsia"/>
              </w:rPr>
              <w:t>供以上资料扫描件，评分中出现无证明资料或专家无法凭所提供资料判断是否得分的情况，或资料不齐全的一律作不得分处理。</w:t>
            </w:r>
          </w:p>
        </w:tc>
      </w:tr>
      <w:tr w14:paraId="51D6B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1" w:hRule="atLeast"/>
        </w:trPr>
        <w:tc>
          <w:tcPr>
            <w:tcW w:w="340" w:type="pct"/>
            <w:vMerge w:val="continue"/>
            <w:tcBorders>
              <w:left w:val="single" w:color="auto" w:sz="4" w:space="0"/>
              <w:bottom w:val="single" w:color="auto" w:sz="4" w:space="0"/>
              <w:right w:val="single" w:color="auto" w:sz="4" w:space="0"/>
            </w:tcBorders>
            <w:vAlign w:val="center"/>
          </w:tcPr>
          <w:p w14:paraId="10000ABB">
            <w:pPr>
              <w:widowControl/>
              <w:jc w:val="left"/>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64B6AB9B">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zCs w:val="21"/>
                <w:lang w:val="en-US" w:eastAsia="zh-CN"/>
              </w:rPr>
              <w:t>2</w:t>
            </w:r>
          </w:p>
        </w:tc>
        <w:tc>
          <w:tcPr>
            <w:tcW w:w="935" w:type="pct"/>
            <w:tcBorders>
              <w:top w:val="single" w:color="auto" w:sz="4" w:space="0"/>
              <w:left w:val="single" w:color="auto" w:sz="4" w:space="0"/>
              <w:bottom w:val="single" w:color="auto" w:sz="4" w:space="0"/>
              <w:right w:val="single" w:color="auto" w:sz="4" w:space="0"/>
            </w:tcBorders>
            <w:shd w:val="clear" w:color="auto" w:fill="auto"/>
            <w:vAlign w:val="center"/>
          </w:tcPr>
          <w:p w14:paraId="64663409">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商务条款偏离情况</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67C2B23E">
            <w:pPr>
              <w:jc w:val="center"/>
              <w:rPr>
                <w:rFonts w:hint="default"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4</w:t>
            </w:r>
          </w:p>
        </w:tc>
        <w:tc>
          <w:tcPr>
            <w:tcW w:w="387" w:type="pct"/>
            <w:tcBorders>
              <w:top w:val="single" w:color="auto" w:sz="4" w:space="0"/>
              <w:left w:val="single" w:color="auto" w:sz="4" w:space="0"/>
              <w:bottom w:val="single" w:color="auto" w:sz="4" w:space="0"/>
              <w:right w:val="single" w:color="auto" w:sz="4" w:space="0"/>
            </w:tcBorders>
            <w:shd w:val="clear" w:color="auto" w:fill="auto"/>
            <w:vAlign w:val="center"/>
          </w:tcPr>
          <w:p w14:paraId="553A5CD5">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专家评分</w:t>
            </w:r>
          </w:p>
        </w:tc>
        <w:tc>
          <w:tcPr>
            <w:tcW w:w="25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F49E20F">
            <w:pPr>
              <w:adjustRightInd w:val="0"/>
              <w:snapToGrid w:val="0"/>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szCs w:val="21"/>
              </w:rPr>
              <w:t>（一）评分内容：</w:t>
            </w:r>
          </w:p>
          <w:p w14:paraId="5A9F9BA1">
            <w:pPr>
              <w:rPr>
                <w:rFonts w:asciiTheme="minorEastAsia" w:hAnsiTheme="minorEastAsia" w:eastAsiaTheme="minorEastAsia" w:cstheme="minorEastAsia"/>
                <w:szCs w:val="21"/>
              </w:rPr>
            </w:pPr>
            <w:r>
              <w:rPr>
                <w:rFonts w:hint="eastAsia" w:asciiTheme="minorEastAsia" w:hAnsiTheme="minorEastAsia" w:eastAsiaTheme="minorEastAsia" w:cstheme="minorEastAsia"/>
                <w:szCs w:val="21"/>
              </w:rPr>
              <w:t>投标人应如实填写《商务要求偏离表》，评审委员会根据响应情况进行打分。</w:t>
            </w:r>
          </w:p>
          <w:p w14:paraId="13731782">
            <w:pPr>
              <w:rPr>
                <w:rFonts w:asciiTheme="minorEastAsia" w:hAnsiTheme="minorEastAsia" w:eastAsiaTheme="minorEastAsia"/>
              </w:rPr>
            </w:pPr>
            <w:r>
              <w:rPr>
                <w:rFonts w:hint="eastAsia" w:asciiTheme="minorEastAsia" w:hAnsiTheme="minorEastAsia" w:eastAsiaTheme="minorEastAsia"/>
                <w:b/>
                <w:szCs w:val="21"/>
              </w:rPr>
              <w:t>（二）</w:t>
            </w:r>
            <w:r>
              <w:rPr>
                <w:rFonts w:hint="eastAsia" w:cs="宋体" w:asciiTheme="minorEastAsia" w:hAnsiTheme="minorEastAsia" w:eastAsiaTheme="minorEastAsia"/>
                <w:b/>
                <w:bCs/>
                <w:color w:val="000000"/>
                <w:kern w:val="0"/>
                <w:szCs w:val="21"/>
              </w:rPr>
              <w:t>评分依据</w:t>
            </w:r>
            <w:r>
              <w:rPr>
                <w:rFonts w:hint="eastAsia" w:asciiTheme="minorEastAsia" w:hAnsiTheme="minorEastAsia" w:eastAsiaTheme="minorEastAsia"/>
                <w:b/>
                <w:szCs w:val="21"/>
              </w:rPr>
              <w:t>：</w:t>
            </w:r>
            <w:r>
              <w:rPr>
                <w:rFonts w:hint="eastAsia" w:asciiTheme="minorEastAsia" w:hAnsiTheme="minorEastAsia" w:eastAsiaTheme="minorEastAsia"/>
                <w:szCs w:val="21"/>
              </w:rPr>
              <w:t xml:space="preserve"> </w:t>
            </w:r>
          </w:p>
          <w:p w14:paraId="6361C0B7">
            <w:pPr>
              <w:rPr>
                <w:rFonts w:asciiTheme="minorEastAsia" w:hAnsiTheme="minorEastAsia" w:eastAsiaTheme="minorEastAsia" w:cstheme="minorEastAsia"/>
              </w:rPr>
            </w:pPr>
            <w:r>
              <w:rPr>
                <w:rFonts w:hint="eastAsia" w:asciiTheme="minorEastAsia" w:hAnsiTheme="minorEastAsia" w:eastAsiaTheme="minorEastAsia" w:cstheme="minorEastAsia"/>
                <w:szCs w:val="21"/>
              </w:rPr>
              <w:t>全部满足要求的得</w:t>
            </w:r>
            <w:r>
              <w:rPr>
                <w:rFonts w:hint="eastAsia" w:asciiTheme="minorEastAsia" w:hAnsiTheme="minorEastAsia" w:eastAsiaTheme="minorEastAsia" w:cstheme="minorEastAsia"/>
                <w:szCs w:val="21"/>
                <w:lang w:val="en-US" w:eastAsia="zh-CN"/>
              </w:rPr>
              <w:t>4</w:t>
            </w:r>
            <w:r>
              <w:rPr>
                <w:rFonts w:hint="eastAsia" w:asciiTheme="minorEastAsia" w:hAnsiTheme="minorEastAsia" w:eastAsiaTheme="minorEastAsia" w:cstheme="minorEastAsia"/>
                <w:szCs w:val="21"/>
              </w:rPr>
              <w:t>分，每负偏离一项扣</w:t>
            </w:r>
            <w:r>
              <w:rPr>
                <w:rFonts w:hint="eastAsia" w:asciiTheme="minorEastAsia" w:hAnsiTheme="minorEastAsia" w:eastAsiaTheme="minorEastAsia" w:cstheme="minorEastAsia"/>
                <w:szCs w:val="21"/>
                <w:lang w:val="en-US" w:eastAsia="zh-CN"/>
              </w:rPr>
              <w:t>0.5</w:t>
            </w:r>
            <w:r>
              <w:rPr>
                <w:rFonts w:hint="eastAsia" w:asciiTheme="minorEastAsia" w:hAnsiTheme="minorEastAsia" w:eastAsiaTheme="minorEastAsia" w:cstheme="minorEastAsia"/>
                <w:szCs w:val="21"/>
              </w:rPr>
              <w:t>分，扣完为止。</w:t>
            </w:r>
          </w:p>
        </w:tc>
      </w:tr>
      <w:tr w14:paraId="74395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5" w:hRule="atLeast"/>
        </w:trPr>
        <w:tc>
          <w:tcPr>
            <w:tcW w:w="340" w:type="pct"/>
            <w:vMerge w:val="continue"/>
            <w:tcBorders>
              <w:left w:val="single" w:color="auto" w:sz="4" w:space="0"/>
              <w:bottom w:val="single" w:color="auto" w:sz="4" w:space="0"/>
              <w:right w:val="single" w:color="auto" w:sz="4" w:space="0"/>
            </w:tcBorders>
            <w:vAlign w:val="center"/>
          </w:tcPr>
          <w:p w14:paraId="15CF6CBF">
            <w:pPr>
              <w:widowControl/>
              <w:jc w:val="left"/>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778BAF52">
            <w:pPr>
              <w:jc w:val="center"/>
              <w:rPr>
                <w:rFonts w:hint="eastAsia" w:asciiTheme="minorEastAsia" w:hAnsiTheme="minorEastAsia" w:eastAsiaTheme="minorEastAsia" w:cstheme="minorEastAsia"/>
                <w:szCs w:val="21"/>
                <w:lang w:val="en-US" w:eastAsia="zh-CN"/>
              </w:rPr>
            </w:pPr>
            <w:r>
              <w:rPr>
                <w:rFonts w:hint="eastAsia" w:asciiTheme="minorEastAsia" w:hAnsiTheme="minorEastAsia" w:eastAsiaTheme="minorEastAsia" w:cstheme="minorEastAsia"/>
                <w:szCs w:val="21"/>
                <w:lang w:val="en-US" w:eastAsia="zh-CN"/>
              </w:rPr>
              <w:t>3</w:t>
            </w:r>
          </w:p>
        </w:tc>
        <w:tc>
          <w:tcPr>
            <w:tcW w:w="935" w:type="pct"/>
            <w:tcBorders>
              <w:top w:val="single" w:color="auto" w:sz="4" w:space="0"/>
              <w:left w:val="single" w:color="auto" w:sz="4" w:space="0"/>
              <w:bottom w:val="single" w:color="auto" w:sz="4" w:space="0"/>
              <w:right w:val="single" w:color="auto" w:sz="4" w:space="0"/>
            </w:tcBorders>
            <w:shd w:val="clear" w:color="auto" w:fill="auto"/>
            <w:vAlign w:val="center"/>
          </w:tcPr>
          <w:p w14:paraId="0102C6DB">
            <w:pPr>
              <w:jc w:val="center"/>
              <w:rPr>
                <w:rFonts w:hint="default" w:ascii="宋体" w:hAnsi="宋体" w:eastAsia="宋体" w:cs="宋体"/>
                <w:kern w:val="2"/>
                <w:sz w:val="21"/>
                <w:szCs w:val="24"/>
                <w:lang w:val="en-US" w:eastAsia="zh-CN" w:bidi="ar-SA"/>
              </w:rPr>
            </w:pPr>
            <w:r>
              <w:rPr>
                <w:rFonts w:hint="eastAsia" w:ascii="宋体" w:hAnsi="宋体" w:cs="宋体"/>
                <w:szCs w:val="21"/>
              </w:rPr>
              <w:t>售后服务</w:t>
            </w:r>
          </w:p>
        </w:tc>
        <w:tc>
          <w:tcPr>
            <w:tcW w:w="463" w:type="pct"/>
            <w:tcBorders>
              <w:top w:val="single" w:color="auto" w:sz="4" w:space="0"/>
              <w:left w:val="single" w:color="auto" w:sz="4" w:space="0"/>
              <w:bottom w:val="single" w:color="auto" w:sz="4" w:space="0"/>
              <w:right w:val="single" w:color="auto" w:sz="4" w:space="0"/>
            </w:tcBorders>
            <w:shd w:val="clear" w:color="auto" w:fill="auto"/>
            <w:vAlign w:val="center"/>
          </w:tcPr>
          <w:p w14:paraId="4C75829A">
            <w:pPr>
              <w:jc w:val="center"/>
              <w:rPr>
                <w:rFonts w:hint="default" w:ascii="宋体" w:hAnsi="宋体" w:eastAsia="宋体" w:cs="Times New Roman"/>
                <w:kern w:val="2"/>
                <w:sz w:val="21"/>
                <w:szCs w:val="24"/>
                <w:lang w:val="en-US" w:eastAsia="zh-CN" w:bidi="ar-SA"/>
              </w:rPr>
            </w:pPr>
            <w:r>
              <w:rPr>
                <w:rFonts w:hint="eastAsia" w:ascii="宋体" w:hAnsi="宋体"/>
                <w:szCs w:val="21"/>
                <w:lang w:val="en-US" w:eastAsia="zh-CN"/>
              </w:rPr>
              <w:t>15</w:t>
            </w:r>
          </w:p>
        </w:tc>
        <w:tc>
          <w:tcPr>
            <w:tcW w:w="387" w:type="pct"/>
            <w:tcBorders>
              <w:top w:val="single" w:color="auto" w:sz="4" w:space="0"/>
              <w:left w:val="single" w:color="auto" w:sz="4" w:space="0"/>
              <w:bottom w:val="single" w:color="auto" w:sz="4" w:space="0"/>
              <w:right w:val="single" w:color="auto" w:sz="4" w:space="0"/>
            </w:tcBorders>
            <w:shd w:val="clear" w:color="auto" w:fill="auto"/>
            <w:vAlign w:val="center"/>
          </w:tcPr>
          <w:p w14:paraId="4B3A3B33">
            <w:pPr>
              <w:jc w:val="center"/>
              <w:rPr>
                <w:rFonts w:hint="eastAsia" w:ascii="Times New Roman" w:hAnsi="Times New Roman" w:eastAsia="宋体" w:cs="Times New Roman"/>
                <w:kern w:val="2"/>
                <w:sz w:val="21"/>
                <w:szCs w:val="24"/>
                <w:lang w:val="en-US" w:eastAsia="zh-CN" w:bidi="ar-SA"/>
              </w:rPr>
            </w:pPr>
            <w:r>
              <w:rPr>
                <w:rFonts w:hint="eastAsia" w:ascii="宋体" w:hAnsi="宋体"/>
                <w:szCs w:val="21"/>
              </w:rPr>
              <w:t>专家打分</w:t>
            </w:r>
          </w:p>
        </w:tc>
        <w:tc>
          <w:tcPr>
            <w:tcW w:w="2547" w:type="pct"/>
            <w:gridSpan w:val="2"/>
            <w:tcBorders>
              <w:top w:val="single" w:color="auto" w:sz="4" w:space="0"/>
              <w:left w:val="single" w:color="auto" w:sz="4" w:space="0"/>
              <w:bottom w:val="single" w:color="auto" w:sz="4" w:space="0"/>
              <w:right w:val="single" w:color="auto" w:sz="4" w:space="0"/>
            </w:tcBorders>
            <w:shd w:val="clear" w:color="auto" w:fill="auto"/>
            <w:vAlign w:val="center"/>
          </w:tcPr>
          <w:p w14:paraId="10341C6C">
            <w:pPr>
              <w:adjustRightInd w:val="0"/>
              <w:snapToGrid w:val="0"/>
              <w:rPr>
                <w:rFonts w:cs="宋体" w:asciiTheme="minorEastAsia" w:hAnsiTheme="minorEastAsia" w:eastAsiaTheme="minorEastAsia"/>
                <w:b/>
                <w:bCs/>
                <w:color w:val="000000"/>
                <w:kern w:val="0"/>
              </w:rPr>
            </w:pPr>
            <w:r>
              <w:rPr>
                <w:rFonts w:hint="eastAsia" w:cs="宋体" w:asciiTheme="minorEastAsia" w:hAnsiTheme="minorEastAsia" w:eastAsiaTheme="minorEastAsia"/>
                <w:b/>
                <w:bCs/>
                <w:color w:val="000000"/>
                <w:kern w:val="0"/>
                <w:szCs w:val="21"/>
              </w:rPr>
              <w:t>（一）评分内容：</w:t>
            </w:r>
          </w:p>
          <w:p w14:paraId="03CEFDAA">
            <w:pPr>
              <w:rPr>
                <w:rFonts w:asciiTheme="minorEastAsia" w:hAnsiTheme="minorEastAsia" w:eastAsiaTheme="minorEastAsia" w:cstheme="minorEastAsia"/>
              </w:rPr>
            </w:pPr>
            <w:r>
              <w:rPr>
                <w:rFonts w:hint="eastAsia" w:asciiTheme="minorEastAsia" w:hAnsiTheme="minorEastAsia" w:eastAsiaTheme="minorEastAsia" w:cstheme="minorEastAsia"/>
                <w:szCs w:val="21"/>
              </w:rPr>
              <w:t>根据投标人提供的项目组织实施方案包括：</w:t>
            </w:r>
          </w:p>
          <w:p w14:paraId="7A754393">
            <w:pPr>
              <w:rPr>
                <w:rFonts w:asciiTheme="minorEastAsia" w:hAnsiTheme="minorEastAsia" w:eastAsiaTheme="minorEastAsia" w:cstheme="minorEastAsia"/>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lang w:val="en-US" w:eastAsia="zh-CN"/>
              </w:rPr>
              <w:t>售后服务实施计划</w:t>
            </w:r>
            <w:r>
              <w:rPr>
                <w:rFonts w:hint="eastAsia" w:asciiTheme="minorEastAsia" w:hAnsiTheme="minorEastAsia" w:eastAsiaTheme="minorEastAsia" w:cstheme="minorEastAsia"/>
                <w:szCs w:val="21"/>
              </w:rPr>
              <w:t>；</w:t>
            </w:r>
          </w:p>
          <w:p w14:paraId="604F401C">
            <w:pPr>
              <w:rPr>
                <w:rFonts w:asciiTheme="minorEastAsia" w:hAnsiTheme="minorEastAsia" w:eastAsiaTheme="minorEastAsia" w:cstheme="minorEastAsia"/>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售后服务保障能力</w:t>
            </w:r>
            <w:r>
              <w:rPr>
                <w:rFonts w:hint="eastAsia" w:asciiTheme="minorEastAsia" w:hAnsiTheme="minorEastAsia" w:eastAsiaTheme="minorEastAsia" w:cstheme="minorEastAsia"/>
                <w:szCs w:val="21"/>
              </w:rPr>
              <w:t>；</w:t>
            </w:r>
          </w:p>
          <w:p w14:paraId="5D08AE97">
            <w:pPr>
              <w:rPr>
                <w:rFonts w:asciiTheme="minorEastAsia" w:hAnsiTheme="minorEastAsia" w:eastAsiaTheme="minorEastAsia"/>
                <w:b/>
                <w:bCs/>
              </w:rPr>
            </w:pPr>
            <w:r>
              <w:rPr>
                <w:rFonts w:hint="eastAsia" w:asciiTheme="minorEastAsia" w:hAnsiTheme="minorEastAsia" w:eastAsiaTheme="minorEastAsia"/>
                <w:b/>
                <w:bCs/>
              </w:rPr>
              <w:t>（二）评分依据：</w:t>
            </w:r>
          </w:p>
          <w:p w14:paraId="18962CFB">
            <w:pPr>
              <w:rPr>
                <w:rFonts w:asciiTheme="minorEastAsia" w:hAnsiTheme="minorEastAsia" w:eastAsiaTheme="minorEastAsia" w:cstheme="minorEastAsia"/>
              </w:rPr>
            </w:pPr>
            <w:r>
              <w:rPr>
                <w:rFonts w:hint="eastAsia" w:asciiTheme="minorEastAsia" w:hAnsiTheme="minorEastAsia" w:eastAsiaTheme="minorEastAsia" w:cstheme="minorEastAsia"/>
                <w:szCs w:val="21"/>
              </w:rPr>
              <w:t>提供的方案满足任意1点的得</w:t>
            </w:r>
            <w:r>
              <w:rPr>
                <w:rFonts w:hint="eastAsia" w:asciiTheme="minorEastAsia" w:hAnsiTheme="minorEastAsia" w:cstheme="minorEastAsia"/>
                <w:szCs w:val="21"/>
                <w:lang w:val="en-US" w:eastAsia="zh-CN"/>
              </w:rPr>
              <w:t>4</w:t>
            </w:r>
            <w:r>
              <w:rPr>
                <w:rFonts w:hint="eastAsia" w:asciiTheme="minorEastAsia" w:hAnsiTheme="minorEastAsia" w:eastAsiaTheme="minorEastAsia" w:cstheme="minorEastAsia"/>
                <w:szCs w:val="21"/>
              </w:rPr>
              <w:t>分，此项最高得</w:t>
            </w:r>
            <w:r>
              <w:rPr>
                <w:rFonts w:hint="eastAsia" w:asciiTheme="minorEastAsia" w:hAnsiTheme="minorEastAsia" w:cstheme="minorEastAsia"/>
                <w:szCs w:val="21"/>
                <w:lang w:val="en-US" w:eastAsia="zh-CN"/>
              </w:rPr>
              <w:t>8</w:t>
            </w:r>
            <w:r>
              <w:rPr>
                <w:rFonts w:hint="eastAsia" w:asciiTheme="minorEastAsia" w:hAnsiTheme="minorEastAsia" w:eastAsiaTheme="minorEastAsia" w:cstheme="minorEastAsia"/>
                <w:szCs w:val="21"/>
              </w:rPr>
              <w:t>分，未提供不得分。在上述基础上，由评审委员会对具体响应内容进一步评审：</w:t>
            </w:r>
          </w:p>
          <w:p w14:paraId="12610311">
            <w:pPr>
              <w:rPr>
                <w:rFonts w:asciiTheme="minorEastAsia" w:hAnsiTheme="minorEastAsia" w:eastAsiaTheme="minorEastAsia" w:cstheme="minorEastAsia"/>
              </w:rPr>
            </w:pPr>
            <w:r>
              <w:rPr>
                <w:rFonts w:hint="eastAsia" w:asciiTheme="minorEastAsia" w:hAnsiTheme="minorEastAsia" w:eastAsiaTheme="minorEastAsia" w:cstheme="minorEastAsia"/>
                <w:szCs w:val="21"/>
              </w:rPr>
              <w:t>（1）</w:t>
            </w:r>
            <w:r>
              <w:rPr>
                <w:rFonts w:hint="eastAsia" w:asciiTheme="minorEastAsia" w:hAnsiTheme="minorEastAsia" w:eastAsiaTheme="minorEastAsia" w:cstheme="minorEastAsia"/>
                <w:szCs w:val="21"/>
                <w:lang w:val="en-US" w:eastAsia="zh-CN"/>
              </w:rPr>
              <w:t>售后服务</w:t>
            </w:r>
            <w:r>
              <w:rPr>
                <w:rFonts w:hint="eastAsia" w:asciiTheme="minorEastAsia" w:hAnsiTheme="minorEastAsia" w:eastAsiaTheme="minorEastAsia" w:cstheme="minorEastAsia"/>
                <w:szCs w:val="21"/>
              </w:rPr>
              <w:t>方案内容全面；</w:t>
            </w:r>
          </w:p>
          <w:p w14:paraId="3DB9997F">
            <w:pPr>
              <w:rPr>
                <w:rFonts w:asciiTheme="minorEastAsia" w:hAnsiTheme="minorEastAsia" w:eastAsiaTheme="minorEastAsia" w:cstheme="minorEastAsia"/>
              </w:rPr>
            </w:pPr>
            <w:r>
              <w:rPr>
                <w:rFonts w:hint="eastAsia" w:asciiTheme="minorEastAsia" w:hAnsiTheme="minorEastAsia" w:eastAsiaTheme="minorEastAsia" w:cstheme="minorEastAsia"/>
                <w:szCs w:val="21"/>
              </w:rPr>
              <w:t>（2）</w:t>
            </w:r>
            <w:r>
              <w:rPr>
                <w:rFonts w:hint="eastAsia" w:asciiTheme="minorEastAsia" w:hAnsiTheme="minorEastAsia" w:eastAsiaTheme="minorEastAsia" w:cstheme="minorEastAsia"/>
                <w:szCs w:val="21"/>
                <w:lang w:val="en-US" w:eastAsia="zh-CN"/>
              </w:rPr>
              <w:t>售后服务</w:t>
            </w:r>
            <w:r>
              <w:rPr>
                <w:rFonts w:hint="eastAsia" w:asciiTheme="minorEastAsia" w:hAnsiTheme="minorEastAsia" w:eastAsiaTheme="minorEastAsia" w:cstheme="minorEastAsia"/>
                <w:szCs w:val="21"/>
              </w:rPr>
              <w:t>方案内容具体；</w:t>
            </w:r>
          </w:p>
          <w:p w14:paraId="0D68717E">
            <w:pPr>
              <w:rPr>
                <w:rFonts w:asciiTheme="minorEastAsia" w:hAnsiTheme="minorEastAsia" w:eastAsiaTheme="minorEastAsia" w:cstheme="minorEastAsia"/>
              </w:rPr>
            </w:pPr>
            <w:r>
              <w:rPr>
                <w:rFonts w:hint="eastAsia" w:asciiTheme="minorEastAsia" w:hAnsiTheme="minorEastAsia" w:eastAsiaTheme="minorEastAsia" w:cstheme="minorEastAsia"/>
                <w:szCs w:val="21"/>
              </w:rPr>
              <w:t>（3）</w:t>
            </w:r>
            <w:r>
              <w:rPr>
                <w:rFonts w:hint="eastAsia" w:asciiTheme="minorEastAsia" w:hAnsiTheme="minorEastAsia" w:eastAsiaTheme="minorEastAsia" w:cstheme="minorEastAsia"/>
                <w:szCs w:val="21"/>
                <w:lang w:val="en-US" w:eastAsia="zh-CN"/>
              </w:rPr>
              <w:t>售后服务</w:t>
            </w:r>
            <w:r>
              <w:rPr>
                <w:rFonts w:hint="eastAsia" w:asciiTheme="minorEastAsia" w:hAnsiTheme="minorEastAsia" w:eastAsiaTheme="minorEastAsia" w:cstheme="minorEastAsia"/>
                <w:szCs w:val="21"/>
              </w:rPr>
              <w:t>方案内容针对性强；</w:t>
            </w:r>
          </w:p>
          <w:p w14:paraId="76A30C11">
            <w:pPr>
              <w:rPr>
                <w:rFonts w:asciiTheme="minorEastAsia" w:hAnsiTheme="minorEastAsia" w:eastAsiaTheme="minorEastAsia" w:cstheme="minorEastAsia"/>
              </w:rPr>
            </w:pPr>
            <w:r>
              <w:rPr>
                <w:rFonts w:hint="eastAsia" w:asciiTheme="minorEastAsia" w:hAnsiTheme="minorEastAsia" w:eastAsiaTheme="minorEastAsia" w:cstheme="minorEastAsia"/>
                <w:szCs w:val="21"/>
              </w:rPr>
              <w:t>（4）</w:t>
            </w:r>
            <w:r>
              <w:rPr>
                <w:rFonts w:hint="eastAsia" w:asciiTheme="minorEastAsia" w:hAnsiTheme="minorEastAsia" w:eastAsiaTheme="minorEastAsia" w:cstheme="minorEastAsia"/>
                <w:szCs w:val="21"/>
                <w:lang w:val="en-US" w:eastAsia="zh-CN"/>
              </w:rPr>
              <w:t>售后服务</w:t>
            </w:r>
            <w:r>
              <w:rPr>
                <w:rFonts w:hint="eastAsia" w:asciiTheme="minorEastAsia" w:hAnsiTheme="minorEastAsia" w:eastAsiaTheme="minorEastAsia" w:cstheme="minorEastAsia"/>
                <w:szCs w:val="21"/>
              </w:rPr>
              <w:t xml:space="preserve">方案内容科学合理； </w:t>
            </w:r>
          </w:p>
          <w:p w14:paraId="7508291C">
            <w:pPr>
              <w:rPr>
                <w:rFonts w:asciiTheme="minorEastAsia" w:hAnsiTheme="minorEastAsia" w:eastAsiaTheme="minorEastAsia" w:cstheme="minorEastAsia"/>
              </w:rPr>
            </w:pPr>
            <w:r>
              <w:rPr>
                <w:rFonts w:hint="eastAsia" w:asciiTheme="minorEastAsia" w:hAnsiTheme="minorEastAsia" w:eastAsiaTheme="minorEastAsia" w:cstheme="minorEastAsia"/>
                <w:szCs w:val="21"/>
              </w:rPr>
              <w:t>（5）</w:t>
            </w:r>
            <w:r>
              <w:rPr>
                <w:rFonts w:hint="eastAsia" w:asciiTheme="minorEastAsia" w:hAnsiTheme="minorEastAsia" w:eastAsiaTheme="minorEastAsia" w:cstheme="minorEastAsia"/>
                <w:szCs w:val="21"/>
                <w:lang w:val="en-US" w:eastAsia="zh-CN"/>
              </w:rPr>
              <w:t>售后服务</w:t>
            </w:r>
            <w:r>
              <w:rPr>
                <w:rFonts w:hint="eastAsia" w:asciiTheme="minorEastAsia" w:hAnsiTheme="minorEastAsia" w:eastAsiaTheme="minorEastAsia" w:cstheme="minorEastAsia"/>
                <w:szCs w:val="21"/>
              </w:rPr>
              <w:t>方案内容可操作性强。</w:t>
            </w:r>
          </w:p>
          <w:p w14:paraId="23E60764">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szCs w:val="21"/>
              </w:rPr>
              <w:t>满足以上五项要求得</w:t>
            </w:r>
            <w:r>
              <w:rPr>
                <w:rFonts w:hint="eastAsia" w:asciiTheme="minorEastAsia" w:hAnsiTheme="minorEastAsia" w:cstheme="minorEastAsia"/>
                <w:szCs w:val="21"/>
                <w:lang w:val="en-US" w:eastAsia="zh-CN"/>
              </w:rPr>
              <w:t>7</w:t>
            </w:r>
            <w:r>
              <w:rPr>
                <w:rFonts w:hint="eastAsia" w:asciiTheme="minorEastAsia" w:hAnsiTheme="minorEastAsia" w:eastAsiaTheme="minorEastAsia" w:cstheme="minorEastAsia"/>
                <w:szCs w:val="21"/>
              </w:rPr>
              <w:t>分，满足以上四项要求得</w:t>
            </w:r>
            <w:r>
              <w:rPr>
                <w:rFonts w:hint="eastAsia" w:asciiTheme="minorEastAsia" w:hAnsiTheme="minorEastAsia" w:cstheme="minorEastAsia"/>
                <w:szCs w:val="21"/>
                <w:lang w:val="en-US" w:eastAsia="zh-CN"/>
              </w:rPr>
              <w:t>3</w:t>
            </w:r>
            <w:r>
              <w:rPr>
                <w:rFonts w:hint="eastAsia" w:asciiTheme="minorEastAsia" w:hAnsiTheme="minorEastAsia" w:eastAsiaTheme="minorEastAsia" w:cstheme="minorEastAsia"/>
                <w:szCs w:val="21"/>
              </w:rPr>
              <w:t>分，满足以上三项要求得</w:t>
            </w:r>
            <w:r>
              <w:rPr>
                <w:rFonts w:hint="eastAsia" w:asciiTheme="minorEastAsia" w:hAnsiTheme="minorEastAsia" w:cstheme="minorEastAsia"/>
                <w:szCs w:val="21"/>
                <w:lang w:val="en-US" w:eastAsia="zh-CN"/>
              </w:rPr>
              <w:t>1</w:t>
            </w:r>
            <w:r>
              <w:rPr>
                <w:rFonts w:hint="eastAsia" w:asciiTheme="minorEastAsia" w:hAnsiTheme="minorEastAsia" w:eastAsiaTheme="minorEastAsia" w:cstheme="minorEastAsia"/>
                <w:szCs w:val="21"/>
              </w:rPr>
              <w:t>分，其它情况不得分。</w:t>
            </w:r>
          </w:p>
          <w:p w14:paraId="5C5C91A0">
            <w:pPr>
              <w:rPr>
                <w:rFonts w:hint="eastAsia" w:ascii="宋体" w:hAnsi="宋体" w:eastAsia="宋体" w:cs="宋体"/>
                <w:color w:val="000000" w:themeColor="text1"/>
                <w:kern w:val="2"/>
                <w:sz w:val="21"/>
                <w:szCs w:val="24"/>
                <w:lang w:val="en-US" w:eastAsia="zh-CN" w:bidi="ar-SA"/>
                <w14:textFill>
                  <w14:solidFill>
                    <w14:schemeClr w14:val="tx1"/>
                  </w14:solidFill>
                </w14:textFill>
              </w:rPr>
            </w:pPr>
          </w:p>
        </w:tc>
      </w:tr>
      <w:tr w14:paraId="6D0E32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tcBorders>
              <w:top w:val="single" w:color="auto" w:sz="4" w:space="0"/>
              <w:left w:val="single" w:color="auto" w:sz="4" w:space="0"/>
              <w:bottom w:val="single" w:color="auto" w:sz="4" w:space="0"/>
              <w:right w:val="single" w:color="auto" w:sz="4" w:space="0"/>
            </w:tcBorders>
            <w:vAlign w:val="center"/>
          </w:tcPr>
          <w:p w14:paraId="12846AE3">
            <w:pPr>
              <w:jc w:val="center"/>
              <w:rPr>
                <w:rFonts w:ascii="宋体" w:hAnsi="宋体"/>
              </w:rPr>
            </w:pPr>
            <w:r>
              <w:rPr>
                <w:rFonts w:ascii="宋体" w:hAnsi="宋体"/>
                <w:szCs w:val="21"/>
              </w:rPr>
              <w:t>4</w:t>
            </w:r>
          </w:p>
        </w:tc>
        <w:tc>
          <w:tcPr>
            <w:tcW w:w="2111" w:type="pct"/>
            <w:gridSpan w:val="4"/>
            <w:tcBorders>
              <w:top w:val="single" w:color="auto" w:sz="4" w:space="0"/>
              <w:left w:val="single" w:color="auto" w:sz="4" w:space="0"/>
              <w:bottom w:val="single" w:color="auto" w:sz="4" w:space="0"/>
              <w:right w:val="single" w:color="auto" w:sz="4" w:space="0"/>
            </w:tcBorders>
            <w:vAlign w:val="center"/>
          </w:tcPr>
          <w:p w14:paraId="413C4E71">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诚信情况</w:t>
            </w:r>
          </w:p>
        </w:tc>
        <w:tc>
          <w:tcPr>
            <w:tcW w:w="2547" w:type="pct"/>
            <w:gridSpan w:val="2"/>
            <w:tcBorders>
              <w:top w:val="single" w:color="auto" w:sz="4" w:space="0"/>
              <w:left w:val="single" w:color="auto" w:sz="4" w:space="0"/>
              <w:bottom w:val="single" w:color="auto" w:sz="4" w:space="0"/>
              <w:right w:val="single" w:color="auto" w:sz="4" w:space="0"/>
            </w:tcBorders>
            <w:vAlign w:val="center"/>
          </w:tcPr>
          <w:p w14:paraId="2F6E2972">
            <w:pPr>
              <w:pStyle w:val="11"/>
              <w:pBdr>
                <w:bottom w:val="none" w:color="auto" w:sz="0" w:space="0"/>
              </w:pBdr>
              <w:tabs>
                <w:tab w:val="left" w:pos="420"/>
              </w:tabs>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5</w:t>
            </w:r>
          </w:p>
        </w:tc>
      </w:tr>
      <w:tr w14:paraId="18300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vMerge w:val="restart"/>
            <w:tcBorders>
              <w:top w:val="single" w:color="auto" w:sz="4" w:space="0"/>
              <w:left w:val="single" w:color="auto" w:sz="4" w:space="0"/>
              <w:bottom w:val="single" w:color="auto" w:sz="4" w:space="0"/>
              <w:right w:val="single" w:color="auto" w:sz="4" w:space="0"/>
            </w:tcBorders>
            <w:vAlign w:val="center"/>
          </w:tcPr>
          <w:p w14:paraId="68F4C82C">
            <w:pPr>
              <w:jc w:val="center"/>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7811A3FC">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序号</w:t>
            </w:r>
          </w:p>
        </w:tc>
        <w:tc>
          <w:tcPr>
            <w:tcW w:w="935" w:type="pct"/>
            <w:tcBorders>
              <w:top w:val="single" w:color="auto" w:sz="4" w:space="0"/>
              <w:left w:val="single" w:color="auto" w:sz="4" w:space="0"/>
              <w:bottom w:val="single" w:color="auto" w:sz="4" w:space="0"/>
              <w:right w:val="single" w:color="auto" w:sz="4" w:space="0"/>
            </w:tcBorders>
            <w:vAlign w:val="center"/>
          </w:tcPr>
          <w:p w14:paraId="366B212A">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评分因素</w:t>
            </w:r>
          </w:p>
        </w:tc>
        <w:tc>
          <w:tcPr>
            <w:tcW w:w="463" w:type="pct"/>
            <w:tcBorders>
              <w:top w:val="single" w:color="auto" w:sz="4" w:space="0"/>
              <w:left w:val="single" w:color="auto" w:sz="4" w:space="0"/>
              <w:bottom w:val="single" w:color="auto" w:sz="4" w:space="0"/>
              <w:right w:val="single" w:color="auto" w:sz="4" w:space="0"/>
            </w:tcBorders>
            <w:vAlign w:val="center"/>
          </w:tcPr>
          <w:p w14:paraId="6996AC18">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权重</w:t>
            </w:r>
            <w:r>
              <w:rPr>
                <w:rFonts w:hint="eastAsia" w:ascii="宋体" w:hAnsi="宋体"/>
                <w:szCs w:val="21"/>
              </w:rPr>
              <w:t>（%）</w:t>
            </w:r>
          </w:p>
        </w:tc>
        <w:tc>
          <w:tcPr>
            <w:tcW w:w="387" w:type="pct"/>
            <w:tcBorders>
              <w:top w:val="single" w:color="auto" w:sz="4" w:space="0"/>
              <w:left w:val="single" w:color="auto" w:sz="4" w:space="0"/>
              <w:bottom w:val="single" w:color="auto" w:sz="4" w:space="0"/>
              <w:right w:val="single" w:color="auto" w:sz="4" w:space="0"/>
            </w:tcBorders>
            <w:vAlign w:val="center"/>
          </w:tcPr>
          <w:p w14:paraId="764B701C">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评分方式</w:t>
            </w:r>
          </w:p>
        </w:tc>
        <w:tc>
          <w:tcPr>
            <w:tcW w:w="2547" w:type="pct"/>
            <w:gridSpan w:val="2"/>
            <w:tcBorders>
              <w:top w:val="single" w:color="auto" w:sz="4" w:space="0"/>
              <w:left w:val="single" w:color="auto" w:sz="4" w:space="0"/>
              <w:bottom w:val="single" w:color="auto" w:sz="4" w:space="0"/>
              <w:right w:val="single" w:color="auto" w:sz="4" w:space="0"/>
            </w:tcBorders>
            <w:vAlign w:val="center"/>
          </w:tcPr>
          <w:p w14:paraId="5B172D74">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评分准则</w:t>
            </w:r>
          </w:p>
        </w:tc>
      </w:tr>
      <w:tr w14:paraId="04AA1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trPr>
        <w:tc>
          <w:tcPr>
            <w:tcW w:w="340" w:type="pct"/>
            <w:vMerge w:val="continue"/>
            <w:tcBorders>
              <w:top w:val="single" w:color="auto" w:sz="4" w:space="0"/>
              <w:left w:val="single" w:color="auto" w:sz="4" w:space="0"/>
              <w:bottom w:val="single" w:color="auto" w:sz="4" w:space="0"/>
              <w:right w:val="single" w:color="auto" w:sz="4" w:space="0"/>
            </w:tcBorders>
            <w:vAlign w:val="center"/>
          </w:tcPr>
          <w:p w14:paraId="0CCB296B">
            <w:pPr>
              <w:widowControl/>
              <w:jc w:val="left"/>
              <w:rPr>
                <w:rFonts w:ascii="宋体" w:hAnsi="宋体"/>
              </w:rPr>
            </w:pPr>
          </w:p>
        </w:tc>
        <w:tc>
          <w:tcPr>
            <w:tcW w:w="325" w:type="pct"/>
            <w:tcBorders>
              <w:top w:val="single" w:color="auto" w:sz="4" w:space="0"/>
              <w:left w:val="single" w:color="auto" w:sz="4" w:space="0"/>
              <w:bottom w:val="single" w:color="auto" w:sz="4" w:space="0"/>
              <w:right w:val="single" w:color="auto" w:sz="4" w:space="0"/>
            </w:tcBorders>
            <w:vAlign w:val="center"/>
          </w:tcPr>
          <w:p w14:paraId="460893EC">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1</w:t>
            </w:r>
          </w:p>
        </w:tc>
        <w:tc>
          <w:tcPr>
            <w:tcW w:w="935" w:type="pct"/>
            <w:tcBorders>
              <w:top w:val="single" w:color="auto" w:sz="4" w:space="0"/>
              <w:left w:val="single" w:color="auto" w:sz="4" w:space="0"/>
              <w:bottom w:val="single" w:color="auto" w:sz="4" w:space="0"/>
              <w:right w:val="single" w:color="auto" w:sz="4" w:space="0"/>
            </w:tcBorders>
            <w:vAlign w:val="center"/>
          </w:tcPr>
          <w:p w14:paraId="3952F665">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诚信</w:t>
            </w:r>
          </w:p>
        </w:tc>
        <w:tc>
          <w:tcPr>
            <w:tcW w:w="463" w:type="pct"/>
            <w:tcBorders>
              <w:top w:val="single" w:color="auto" w:sz="4" w:space="0"/>
              <w:left w:val="single" w:color="auto" w:sz="4" w:space="0"/>
              <w:bottom w:val="single" w:color="auto" w:sz="4" w:space="0"/>
              <w:right w:val="single" w:color="auto" w:sz="4" w:space="0"/>
            </w:tcBorders>
            <w:vAlign w:val="center"/>
          </w:tcPr>
          <w:p w14:paraId="79242D02">
            <w:pPr>
              <w:jc w:val="center"/>
              <w:rPr>
                <w:rFonts w:hint="eastAsia" w:asciiTheme="minorEastAsia" w:hAnsiTheme="minorEastAsia" w:eastAsiaTheme="minorEastAsia" w:cstheme="minorEastAsia"/>
                <w:lang w:eastAsia="zh-CN"/>
              </w:rPr>
            </w:pPr>
            <w:r>
              <w:rPr>
                <w:rFonts w:hint="eastAsia" w:asciiTheme="minorEastAsia" w:hAnsiTheme="minorEastAsia" w:eastAsiaTheme="minorEastAsia" w:cstheme="minorEastAsia"/>
                <w:szCs w:val="21"/>
                <w:lang w:val="en-US" w:eastAsia="zh-CN"/>
              </w:rPr>
              <w:t>5</w:t>
            </w:r>
          </w:p>
        </w:tc>
        <w:tc>
          <w:tcPr>
            <w:tcW w:w="387" w:type="pct"/>
            <w:tcBorders>
              <w:top w:val="single" w:color="auto" w:sz="4" w:space="0"/>
              <w:left w:val="single" w:color="auto" w:sz="4" w:space="0"/>
              <w:bottom w:val="single" w:color="auto" w:sz="4" w:space="0"/>
              <w:right w:val="single" w:color="auto" w:sz="4" w:space="0"/>
            </w:tcBorders>
            <w:vAlign w:val="center"/>
          </w:tcPr>
          <w:p w14:paraId="6066D9CD">
            <w:pPr>
              <w:jc w:val="center"/>
              <w:rPr>
                <w:rFonts w:asciiTheme="minorEastAsia" w:hAnsiTheme="minorEastAsia" w:eastAsiaTheme="minorEastAsia" w:cstheme="minorEastAsia"/>
              </w:rPr>
            </w:pPr>
            <w:r>
              <w:rPr>
                <w:rFonts w:hint="eastAsia" w:asciiTheme="minorEastAsia" w:hAnsiTheme="minorEastAsia" w:eastAsiaTheme="minorEastAsia" w:cstheme="minorEastAsia"/>
                <w:szCs w:val="21"/>
              </w:rPr>
              <w:t>专家评分</w:t>
            </w:r>
          </w:p>
        </w:tc>
        <w:tc>
          <w:tcPr>
            <w:tcW w:w="2547" w:type="pct"/>
            <w:gridSpan w:val="2"/>
            <w:tcBorders>
              <w:top w:val="single" w:color="auto" w:sz="4" w:space="0"/>
              <w:left w:val="single" w:color="auto" w:sz="4" w:space="0"/>
              <w:bottom w:val="single" w:color="auto" w:sz="4" w:space="0"/>
              <w:right w:val="single" w:color="auto" w:sz="4" w:space="0"/>
            </w:tcBorders>
          </w:tcPr>
          <w:p w14:paraId="1C4390A7">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（一）评分内容：</w:t>
            </w:r>
          </w:p>
          <w:p w14:paraId="76AE3EF5">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rPr>
              <w:t>根据《深圳市财政局关于印发&lt;深圳市财政局政府采购供应商信用信息管理办法&gt;的通知》（深财规〔2023〕3 号）相关规定，如供应商在全国范围内存在因政府采购违法、违规行为受到财政部门罚款等一般行政处罚信息，或者存在该办法第十一条所称在本市集中采购活动中的一般违法失信行为记录信息，且在公示期内的，本项不得分，否则得满分。</w:t>
            </w:r>
          </w:p>
          <w:p w14:paraId="08375248">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（二）评分依据：</w:t>
            </w:r>
          </w:p>
          <w:p w14:paraId="1D46CD85">
            <w:pPr>
              <w:rPr>
                <w:rFonts w:asciiTheme="minorEastAsia" w:hAnsiTheme="minorEastAsia" w:eastAsiaTheme="minorEastAsia" w:cstheme="minorEastAsia"/>
              </w:rPr>
            </w:pPr>
            <w:r>
              <w:rPr>
                <w:rFonts w:hint="eastAsia" w:asciiTheme="minorEastAsia" w:hAnsiTheme="minorEastAsia" w:eastAsiaTheme="minorEastAsia" w:cstheme="minorEastAsia"/>
                <w:lang w:val="en-US" w:eastAsia="zh-CN"/>
              </w:rPr>
              <w:t>工作人员</w:t>
            </w:r>
            <w:r>
              <w:rPr>
                <w:rFonts w:hint="eastAsia" w:asciiTheme="minorEastAsia" w:hAnsiTheme="minorEastAsia" w:eastAsiaTheme="minorEastAsia" w:cstheme="minorEastAsia"/>
              </w:rPr>
              <w:t>通过信用信息查询渠道，包括“信用中国”、“中国政府采购网”、“深圳市政府采购监管网”</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国家企业信用信息公示系统”等</w:t>
            </w:r>
            <w:r>
              <w:rPr>
                <w:rFonts w:hint="eastAsia" w:asciiTheme="minorEastAsia" w:hAnsiTheme="minorEastAsia" w:eastAsiaTheme="minorEastAsia" w:cstheme="minorEastAsia"/>
              </w:rPr>
              <w:t>查询供应商信用信息。</w:t>
            </w:r>
          </w:p>
        </w:tc>
      </w:tr>
    </w:tbl>
    <w:p w14:paraId="3C187403">
      <w:pPr>
        <w:pStyle w:val="5"/>
        <w:rPr>
          <w:rFonts w:hint="eastAsia"/>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8"/>
    <w:family w:val="roma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仿宋_GB2312">
    <w:panose1 w:val="02010609030101010101"/>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ACF3C50" w:usb2="00000016" w:usb3="00000000" w:csb0="0004001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25B2C79"/>
    <w:multiLevelType w:val="multilevel"/>
    <w:tmpl w:val="225B2C79"/>
    <w:lvl w:ilvl="0" w:tentative="0">
      <w:start w:val="1"/>
      <w:numFmt w:val="chineseCountingThousand"/>
      <w:pStyle w:val="2"/>
      <w:lvlText w:val="(%1)"/>
      <w:lvlJc w:val="left"/>
      <w:pPr>
        <w:ind w:left="920" w:hanging="360"/>
      </w:pPr>
    </w:lvl>
    <w:lvl w:ilvl="1" w:tentative="0">
      <w:start w:val="2"/>
      <w:numFmt w:val="decimal"/>
      <w:isLgl/>
      <w:lvlText w:val="%1.%2."/>
      <w:lvlJc w:val="left"/>
      <w:pPr>
        <w:ind w:left="1540" w:hanging="980"/>
      </w:pPr>
    </w:lvl>
    <w:lvl w:ilvl="2" w:tentative="0">
      <w:start w:val="1"/>
      <w:numFmt w:val="decimal"/>
      <w:isLgl/>
      <w:lvlText w:val="%1.%2.%3."/>
      <w:lvlJc w:val="left"/>
      <w:pPr>
        <w:ind w:left="1640" w:hanging="1080"/>
      </w:pPr>
    </w:lvl>
    <w:lvl w:ilvl="3" w:tentative="0">
      <w:start w:val="1"/>
      <w:numFmt w:val="decimal"/>
      <w:isLgl/>
      <w:lvlText w:val="%1.%2.%3.%4."/>
      <w:lvlJc w:val="left"/>
      <w:pPr>
        <w:ind w:left="2000" w:hanging="1440"/>
      </w:pPr>
    </w:lvl>
    <w:lvl w:ilvl="4" w:tentative="0">
      <w:start w:val="1"/>
      <w:numFmt w:val="decimal"/>
      <w:isLgl/>
      <w:lvlText w:val="%1.%2.%3.%4.%5."/>
      <w:lvlJc w:val="left"/>
      <w:pPr>
        <w:ind w:left="2000" w:hanging="1440"/>
      </w:pPr>
    </w:lvl>
    <w:lvl w:ilvl="5" w:tentative="0">
      <w:start w:val="1"/>
      <w:numFmt w:val="decimal"/>
      <w:isLgl/>
      <w:lvlText w:val="%1.%2.%3.%4.%5.%6."/>
      <w:lvlJc w:val="left"/>
      <w:pPr>
        <w:ind w:left="2360" w:hanging="1800"/>
      </w:pPr>
    </w:lvl>
    <w:lvl w:ilvl="6" w:tentative="0">
      <w:start w:val="1"/>
      <w:numFmt w:val="decimal"/>
      <w:isLgl/>
      <w:lvlText w:val="%1.%2.%3.%4.%5.%6.%7."/>
      <w:lvlJc w:val="left"/>
      <w:pPr>
        <w:ind w:left="2720" w:hanging="2160"/>
      </w:pPr>
    </w:lvl>
    <w:lvl w:ilvl="7" w:tentative="0">
      <w:start w:val="1"/>
      <w:numFmt w:val="decimal"/>
      <w:isLgl/>
      <w:lvlText w:val="%1.%2.%3.%4.%5.%6.%7.%8."/>
      <w:lvlJc w:val="left"/>
      <w:pPr>
        <w:ind w:left="3080" w:hanging="2520"/>
      </w:pPr>
    </w:lvl>
    <w:lvl w:ilvl="8" w:tentative="0">
      <w:start w:val="1"/>
      <w:numFmt w:val="decimal"/>
      <w:isLgl/>
      <w:lvlText w:val="%1.%2.%3.%4.%5.%6.%7.%8.%9."/>
      <w:lvlJc w:val="left"/>
      <w:pPr>
        <w:ind w:left="3080" w:hanging="2520"/>
      </w:pPr>
    </w:lvl>
  </w:abstractNum>
  <w:num w:numId="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trackRevisions w:val="1"/>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mEzY2NiYTcwYWMwZTBmZDU1NzVmOTJiMjU3OTI0MDMifQ=="/>
  </w:docVars>
  <w:rsids>
    <w:rsidRoot w:val="00C67B9E"/>
    <w:rsid w:val="00003F80"/>
    <w:rsid w:val="00010D78"/>
    <w:rsid w:val="00045EA7"/>
    <w:rsid w:val="00060332"/>
    <w:rsid w:val="00064393"/>
    <w:rsid w:val="00076353"/>
    <w:rsid w:val="000C3DA7"/>
    <w:rsid w:val="000C63C7"/>
    <w:rsid w:val="000D71F3"/>
    <w:rsid w:val="001A223C"/>
    <w:rsid w:val="002454D2"/>
    <w:rsid w:val="00257951"/>
    <w:rsid w:val="002969B5"/>
    <w:rsid w:val="002B4BD0"/>
    <w:rsid w:val="00311BF7"/>
    <w:rsid w:val="00367130"/>
    <w:rsid w:val="003D6789"/>
    <w:rsid w:val="003F32BE"/>
    <w:rsid w:val="0041428F"/>
    <w:rsid w:val="00427951"/>
    <w:rsid w:val="0043452D"/>
    <w:rsid w:val="004642BD"/>
    <w:rsid w:val="005137C4"/>
    <w:rsid w:val="00561F31"/>
    <w:rsid w:val="005F73CE"/>
    <w:rsid w:val="00647402"/>
    <w:rsid w:val="00680A0B"/>
    <w:rsid w:val="006A5FED"/>
    <w:rsid w:val="006E2AA9"/>
    <w:rsid w:val="006F097F"/>
    <w:rsid w:val="0073626D"/>
    <w:rsid w:val="00790B41"/>
    <w:rsid w:val="007D4DA6"/>
    <w:rsid w:val="007F735F"/>
    <w:rsid w:val="008A6022"/>
    <w:rsid w:val="008C0E1C"/>
    <w:rsid w:val="008C39E4"/>
    <w:rsid w:val="00905DC1"/>
    <w:rsid w:val="009369DF"/>
    <w:rsid w:val="009470AE"/>
    <w:rsid w:val="00970EDE"/>
    <w:rsid w:val="00974177"/>
    <w:rsid w:val="009A257E"/>
    <w:rsid w:val="00A029C6"/>
    <w:rsid w:val="00A273EF"/>
    <w:rsid w:val="00A76BAE"/>
    <w:rsid w:val="00AA4F62"/>
    <w:rsid w:val="00AF4E09"/>
    <w:rsid w:val="00B03E67"/>
    <w:rsid w:val="00B1659E"/>
    <w:rsid w:val="00B66757"/>
    <w:rsid w:val="00BA378E"/>
    <w:rsid w:val="00BD368D"/>
    <w:rsid w:val="00BF25BA"/>
    <w:rsid w:val="00C5461D"/>
    <w:rsid w:val="00C67B9E"/>
    <w:rsid w:val="00C71E57"/>
    <w:rsid w:val="00C9364E"/>
    <w:rsid w:val="00CD56D1"/>
    <w:rsid w:val="00CD5C7A"/>
    <w:rsid w:val="00CE66A7"/>
    <w:rsid w:val="00CF64F4"/>
    <w:rsid w:val="00D24570"/>
    <w:rsid w:val="00D6314B"/>
    <w:rsid w:val="00DA4A02"/>
    <w:rsid w:val="00DF5367"/>
    <w:rsid w:val="00E010F0"/>
    <w:rsid w:val="00E31D1D"/>
    <w:rsid w:val="00E474FD"/>
    <w:rsid w:val="00EB1EF1"/>
    <w:rsid w:val="00ED6097"/>
    <w:rsid w:val="00EE6E6F"/>
    <w:rsid w:val="00F200FF"/>
    <w:rsid w:val="00F23760"/>
    <w:rsid w:val="00F35975"/>
    <w:rsid w:val="00F872EF"/>
    <w:rsid w:val="00F96BB4"/>
    <w:rsid w:val="01B60758"/>
    <w:rsid w:val="022A679E"/>
    <w:rsid w:val="036A59B4"/>
    <w:rsid w:val="049A7ADA"/>
    <w:rsid w:val="05DF4A73"/>
    <w:rsid w:val="08DA0237"/>
    <w:rsid w:val="08F97D45"/>
    <w:rsid w:val="09FE0C04"/>
    <w:rsid w:val="0A8F7AAE"/>
    <w:rsid w:val="0B1F0E32"/>
    <w:rsid w:val="0C2F32F7"/>
    <w:rsid w:val="0CA317C3"/>
    <w:rsid w:val="0D3A2336"/>
    <w:rsid w:val="0DDE4FD5"/>
    <w:rsid w:val="0F2F09E0"/>
    <w:rsid w:val="0F552755"/>
    <w:rsid w:val="11064AA9"/>
    <w:rsid w:val="1384217A"/>
    <w:rsid w:val="13A5576F"/>
    <w:rsid w:val="14504772"/>
    <w:rsid w:val="14F13869"/>
    <w:rsid w:val="152E64B4"/>
    <w:rsid w:val="16782C09"/>
    <w:rsid w:val="17B80644"/>
    <w:rsid w:val="187953B4"/>
    <w:rsid w:val="190204C9"/>
    <w:rsid w:val="19DE635C"/>
    <w:rsid w:val="1A184CDB"/>
    <w:rsid w:val="1A3146DE"/>
    <w:rsid w:val="1AA11864"/>
    <w:rsid w:val="1B485552"/>
    <w:rsid w:val="1BBE2AFB"/>
    <w:rsid w:val="1CB41379"/>
    <w:rsid w:val="1F0C7A58"/>
    <w:rsid w:val="1F3F164B"/>
    <w:rsid w:val="1FB60294"/>
    <w:rsid w:val="1FC76B38"/>
    <w:rsid w:val="235029F3"/>
    <w:rsid w:val="237759F1"/>
    <w:rsid w:val="23D5432C"/>
    <w:rsid w:val="240D4A36"/>
    <w:rsid w:val="2593449F"/>
    <w:rsid w:val="25967894"/>
    <w:rsid w:val="25E46AA9"/>
    <w:rsid w:val="267A1EFC"/>
    <w:rsid w:val="26D20FF7"/>
    <w:rsid w:val="28653295"/>
    <w:rsid w:val="28EC6B33"/>
    <w:rsid w:val="29A540FB"/>
    <w:rsid w:val="2A043BBD"/>
    <w:rsid w:val="2C522880"/>
    <w:rsid w:val="2CD40010"/>
    <w:rsid w:val="2EC851B9"/>
    <w:rsid w:val="2EC90422"/>
    <w:rsid w:val="30035FB6"/>
    <w:rsid w:val="3073530A"/>
    <w:rsid w:val="30A722E1"/>
    <w:rsid w:val="310E0445"/>
    <w:rsid w:val="3163566D"/>
    <w:rsid w:val="31E85F01"/>
    <w:rsid w:val="32677514"/>
    <w:rsid w:val="3384219E"/>
    <w:rsid w:val="35417A73"/>
    <w:rsid w:val="356001DD"/>
    <w:rsid w:val="359A3628"/>
    <w:rsid w:val="36390BFE"/>
    <w:rsid w:val="374E6478"/>
    <w:rsid w:val="3759664E"/>
    <w:rsid w:val="37AE6F16"/>
    <w:rsid w:val="380E60C6"/>
    <w:rsid w:val="390A4620"/>
    <w:rsid w:val="3B335A37"/>
    <w:rsid w:val="3BE13D5E"/>
    <w:rsid w:val="3BFC0B7A"/>
    <w:rsid w:val="3CBD3885"/>
    <w:rsid w:val="3DB51F95"/>
    <w:rsid w:val="3E61128B"/>
    <w:rsid w:val="3E693B97"/>
    <w:rsid w:val="3EED6576"/>
    <w:rsid w:val="40305E88"/>
    <w:rsid w:val="417E2ACB"/>
    <w:rsid w:val="41B94863"/>
    <w:rsid w:val="42F01EAE"/>
    <w:rsid w:val="436F39FE"/>
    <w:rsid w:val="445B5ADD"/>
    <w:rsid w:val="44E358C0"/>
    <w:rsid w:val="45114D25"/>
    <w:rsid w:val="47C43ABD"/>
    <w:rsid w:val="486378A9"/>
    <w:rsid w:val="48E01BEC"/>
    <w:rsid w:val="491B5CAF"/>
    <w:rsid w:val="4A5F1FFB"/>
    <w:rsid w:val="4A6916CE"/>
    <w:rsid w:val="4ABE4B31"/>
    <w:rsid w:val="4B2966FB"/>
    <w:rsid w:val="4B7A133E"/>
    <w:rsid w:val="4BB70F0E"/>
    <w:rsid w:val="4C165FF3"/>
    <w:rsid w:val="4CE36076"/>
    <w:rsid w:val="4D574E92"/>
    <w:rsid w:val="4E006087"/>
    <w:rsid w:val="4F155DA1"/>
    <w:rsid w:val="506D5769"/>
    <w:rsid w:val="50F33EC0"/>
    <w:rsid w:val="510A5F50"/>
    <w:rsid w:val="52C95F26"/>
    <w:rsid w:val="57B64ACD"/>
    <w:rsid w:val="57F549C2"/>
    <w:rsid w:val="58913036"/>
    <w:rsid w:val="589E0CDC"/>
    <w:rsid w:val="5B0373F5"/>
    <w:rsid w:val="5B205CD1"/>
    <w:rsid w:val="5B3C2907"/>
    <w:rsid w:val="5D352F1A"/>
    <w:rsid w:val="5D977BC9"/>
    <w:rsid w:val="5F7C32D2"/>
    <w:rsid w:val="602B6AA7"/>
    <w:rsid w:val="6062129A"/>
    <w:rsid w:val="617B0038"/>
    <w:rsid w:val="61D02FB4"/>
    <w:rsid w:val="61DB04F0"/>
    <w:rsid w:val="62074BE1"/>
    <w:rsid w:val="6270256A"/>
    <w:rsid w:val="62B91956"/>
    <w:rsid w:val="63691DC0"/>
    <w:rsid w:val="6393607E"/>
    <w:rsid w:val="63A17009"/>
    <w:rsid w:val="63A36518"/>
    <w:rsid w:val="63C313DC"/>
    <w:rsid w:val="662462C6"/>
    <w:rsid w:val="66AA0D0A"/>
    <w:rsid w:val="66C32DAD"/>
    <w:rsid w:val="68336713"/>
    <w:rsid w:val="689D68CD"/>
    <w:rsid w:val="690C3805"/>
    <w:rsid w:val="69427100"/>
    <w:rsid w:val="6B6A4927"/>
    <w:rsid w:val="6BD04C6F"/>
    <w:rsid w:val="6CDE023B"/>
    <w:rsid w:val="6CDE3881"/>
    <w:rsid w:val="6D0A4613"/>
    <w:rsid w:val="6DB52395"/>
    <w:rsid w:val="6E2C59D5"/>
    <w:rsid w:val="6EB72302"/>
    <w:rsid w:val="6F2F7038"/>
    <w:rsid w:val="6FEC03B0"/>
    <w:rsid w:val="700375BC"/>
    <w:rsid w:val="70EB475C"/>
    <w:rsid w:val="7241117D"/>
    <w:rsid w:val="725B321B"/>
    <w:rsid w:val="735A4238"/>
    <w:rsid w:val="73CE09B0"/>
    <w:rsid w:val="7411782E"/>
    <w:rsid w:val="74530EF4"/>
    <w:rsid w:val="7459215D"/>
    <w:rsid w:val="75866347"/>
    <w:rsid w:val="77E3280A"/>
    <w:rsid w:val="783B0B38"/>
    <w:rsid w:val="78615304"/>
    <w:rsid w:val="788C27DE"/>
    <w:rsid w:val="78A615AA"/>
    <w:rsid w:val="795A4B00"/>
    <w:rsid w:val="7C764CB9"/>
    <w:rsid w:val="7C84345E"/>
    <w:rsid w:val="7D6E23B5"/>
    <w:rsid w:val="7DC81A6D"/>
    <w:rsid w:val="7F932247"/>
    <w:rsid w:val="7FED39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iPriority="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qFormat="1" w:unhideWhenUsed="0" w:uiPriority="0" w:semiHidden="0"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5"/>
    <w:qFormat/>
    <w:uiPriority w:val="0"/>
    <w:pPr>
      <w:keepNext/>
      <w:keepLines/>
      <w:numPr>
        <w:ilvl w:val="0"/>
        <w:numId w:val="1"/>
      </w:numPr>
      <w:spacing w:before="340" w:after="330" w:line="578" w:lineRule="auto"/>
      <w:outlineLvl w:val="0"/>
    </w:pPr>
    <w:rPr>
      <w:rFonts w:ascii="Calibri" w:hAnsi="Calibri" w:eastAsia="黑体" w:cs="Times New Roman"/>
      <w:b/>
      <w:bCs/>
      <w:kern w:val="44"/>
      <w:sz w:val="36"/>
      <w:szCs w:val="44"/>
      <w:lang w:val="zh-CN"/>
    </w:rPr>
  </w:style>
  <w:style w:type="paragraph" w:styleId="3">
    <w:name w:val="heading 2"/>
    <w:basedOn w:val="1"/>
    <w:next w:val="1"/>
    <w:qFormat/>
    <w:uiPriority w:val="0"/>
    <w:pPr>
      <w:keepNext/>
      <w:keepLines/>
      <w:spacing w:before="260" w:after="260" w:line="416" w:lineRule="auto"/>
      <w:outlineLvl w:val="1"/>
    </w:pPr>
    <w:rPr>
      <w:rFonts w:ascii="Arial" w:hAnsi="Arial" w:eastAsia="黑体"/>
      <w:b/>
      <w:bCs/>
      <w:sz w:val="32"/>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4">
    <w:name w:val="Normal Indent"/>
    <w:basedOn w:val="1"/>
    <w:next w:val="5"/>
    <w:qFormat/>
    <w:uiPriority w:val="0"/>
    <w:pPr>
      <w:ind w:firstLine="420"/>
    </w:pPr>
    <w:rPr>
      <w:szCs w:val="20"/>
    </w:rPr>
  </w:style>
  <w:style w:type="paragraph" w:styleId="5">
    <w:name w:val="Body Text"/>
    <w:basedOn w:val="1"/>
    <w:next w:val="6"/>
    <w:qFormat/>
    <w:uiPriority w:val="0"/>
    <w:pPr>
      <w:spacing w:line="360" w:lineRule="auto"/>
    </w:pPr>
    <w:rPr>
      <w:b/>
      <w:bCs/>
      <w:sz w:val="24"/>
    </w:rPr>
  </w:style>
  <w:style w:type="paragraph" w:styleId="6">
    <w:name w:val="Body Text 2"/>
    <w:basedOn w:val="1"/>
    <w:qFormat/>
    <w:uiPriority w:val="0"/>
    <w:pPr>
      <w:tabs>
        <w:tab w:val="left" w:pos="0"/>
      </w:tabs>
      <w:spacing w:line="400" w:lineRule="atLeast"/>
    </w:pPr>
    <w:rPr>
      <w:rFonts w:ascii="Arial" w:hAnsi="Arial"/>
      <w:color w:val="000000"/>
    </w:rPr>
  </w:style>
  <w:style w:type="paragraph" w:styleId="7">
    <w:name w:val="annotation text"/>
    <w:basedOn w:val="1"/>
    <w:link w:val="26"/>
    <w:semiHidden/>
    <w:unhideWhenUsed/>
    <w:qFormat/>
    <w:uiPriority w:val="0"/>
    <w:pPr>
      <w:spacing w:line="360" w:lineRule="auto"/>
      <w:ind w:firstLine="883" w:firstLineChars="200"/>
      <w:jc w:val="left"/>
    </w:pPr>
    <w:rPr>
      <w:rFonts w:ascii="Times New Roman" w:hAnsi="Times New Roman" w:eastAsia="宋体" w:cs="Times New Roman"/>
      <w:sz w:val="24"/>
      <w:lang w:val="zh-CN"/>
    </w:rPr>
  </w:style>
  <w:style w:type="paragraph" w:styleId="8">
    <w:name w:val="Body Text Indent"/>
    <w:basedOn w:val="1"/>
    <w:qFormat/>
    <w:uiPriority w:val="0"/>
    <w:pPr>
      <w:spacing w:line="560" w:lineRule="exact"/>
      <w:ind w:left="300"/>
    </w:pPr>
    <w:rPr>
      <w:sz w:val="24"/>
    </w:rPr>
  </w:style>
  <w:style w:type="paragraph" w:styleId="9">
    <w:name w:val="Plain Text"/>
    <w:basedOn w:val="1"/>
    <w:qFormat/>
    <w:uiPriority w:val="0"/>
    <w:rPr>
      <w:rFonts w:ascii="宋体" w:hAnsi="Courier New" w:cs="Courier New" w:eastAsiaTheme="minorEastAsia"/>
      <w:szCs w:val="21"/>
    </w:rPr>
  </w:style>
  <w:style w:type="paragraph" w:styleId="10">
    <w:name w:val="footer"/>
    <w:basedOn w:val="1"/>
    <w:link w:val="21"/>
    <w:unhideWhenUsed/>
    <w:qFormat/>
    <w:uiPriority w:val="99"/>
    <w:pPr>
      <w:tabs>
        <w:tab w:val="center" w:pos="4153"/>
        <w:tab w:val="right" w:pos="8306"/>
      </w:tabs>
      <w:snapToGrid w:val="0"/>
      <w:jc w:val="left"/>
    </w:pPr>
    <w:rPr>
      <w:sz w:val="18"/>
      <w:szCs w:val="18"/>
    </w:rPr>
  </w:style>
  <w:style w:type="paragraph" w:styleId="11">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13">
    <w:name w:val="Body Text First Indent 2"/>
    <w:basedOn w:val="8"/>
    <w:qFormat/>
    <w:uiPriority w:val="0"/>
    <w:pPr>
      <w:ind w:firstLine="420" w:firstLineChars="200"/>
    </w:pPr>
  </w:style>
  <w:style w:type="character" w:styleId="16">
    <w:name w:val="Strong"/>
    <w:qFormat/>
    <w:uiPriority w:val="0"/>
    <w:rPr>
      <w:b/>
      <w:bCs/>
    </w:rPr>
  </w:style>
  <w:style w:type="character" w:styleId="17">
    <w:name w:val="Hyperlink"/>
    <w:basedOn w:val="15"/>
    <w:qFormat/>
    <w:uiPriority w:val="99"/>
    <w:rPr>
      <w:color w:val="212121"/>
      <w:u w:val="single"/>
    </w:rPr>
  </w:style>
  <w:style w:type="character" w:styleId="18">
    <w:name w:val="annotation reference"/>
    <w:qFormat/>
    <w:uiPriority w:val="0"/>
    <w:rPr>
      <w:sz w:val="21"/>
      <w:szCs w:val="21"/>
    </w:rPr>
  </w:style>
  <w:style w:type="paragraph" w:customStyle="1" w:styleId="19">
    <w:name w:val="表格文字"/>
    <w:basedOn w:val="1"/>
    <w:qFormat/>
    <w:uiPriority w:val="0"/>
    <w:pPr>
      <w:spacing w:before="25" w:after="25"/>
      <w:ind w:firstLine="200" w:firstLineChars="200"/>
      <w:jc w:val="left"/>
    </w:pPr>
    <w:rPr>
      <w:rFonts w:ascii="Times New Roman" w:hAnsi="Times New Roman" w:eastAsia="宋体" w:cs="Times New Roman"/>
      <w:bCs/>
      <w:spacing w:val="10"/>
      <w:kern w:val="0"/>
      <w:sz w:val="24"/>
    </w:rPr>
  </w:style>
  <w:style w:type="character" w:customStyle="1" w:styleId="20">
    <w:name w:val="页眉 字符"/>
    <w:basedOn w:val="15"/>
    <w:link w:val="11"/>
    <w:qFormat/>
    <w:uiPriority w:val="99"/>
    <w:rPr>
      <w:sz w:val="18"/>
      <w:szCs w:val="18"/>
    </w:rPr>
  </w:style>
  <w:style w:type="character" w:customStyle="1" w:styleId="21">
    <w:name w:val="页脚 字符"/>
    <w:basedOn w:val="15"/>
    <w:link w:val="10"/>
    <w:qFormat/>
    <w:uiPriority w:val="99"/>
    <w:rPr>
      <w:sz w:val="18"/>
      <w:szCs w:val="18"/>
    </w:rPr>
  </w:style>
  <w:style w:type="paragraph" w:styleId="22">
    <w:name w:val="List Paragraph"/>
    <w:basedOn w:val="1"/>
    <w:qFormat/>
    <w:uiPriority w:val="34"/>
    <w:pPr>
      <w:ind w:firstLine="420" w:firstLineChars="200"/>
    </w:pPr>
  </w:style>
  <w:style w:type="character" w:customStyle="1" w:styleId="23">
    <w:name w:val="标题 1 字符"/>
    <w:basedOn w:val="15"/>
    <w:qFormat/>
    <w:uiPriority w:val="9"/>
    <w:rPr>
      <w:rFonts w:asciiTheme="minorHAnsi" w:hAnsiTheme="minorHAnsi" w:eastAsiaTheme="minorEastAsia" w:cstheme="minorBidi"/>
      <w:b/>
      <w:bCs/>
      <w:kern w:val="44"/>
      <w:sz w:val="44"/>
      <w:szCs w:val="44"/>
    </w:rPr>
  </w:style>
  <w:style w:type="character" w:customStyle="1" w:styleId="24">
    <w:name w:val="批注文字 字符"/>
    <w:basedOn w:val="15"/>
    <w:semiHidden/>
    <w:qFormat/>
    <w:uiPriority w:val="99"/>
    <w:rPr>
      <w:rFonts w:asciiTheme="minorHAnsi" w:hAnsiTheme="minorHAnsi" w:eastAsiaTheme="minorEastAsia" w:cstheme="minorBidi"/>
      <w:kern w:val="2"/>
      <w:sz w:val="21"/>
      <w:szCs w:val="22"/>
    </w:rPr>
  </w:style>
  <w:style w:type="character" w:customStyle="1" w:styleId="25">
    <w:name w:val="标题 1 字符1"/>
    <w:link w:val="2"/>
    <w:qFormat/>
    <w:locked/>
    <w:uiPriority w:val="0"/>
    <w:rPr>
      <w:rFonts w:eastAsia="黑体" w:cs="Times New Roman"/>
      <w:b/>
      <w:bCs/>
      <w:kern w:val="44"/>
      <w:sz w:val="36"/>
      <w:szCs w:val="44"/>
      <w:lang w:val="zh-CN" w:eastAsia="zh-CN"/>
    </w:rPr>
  </w:style>
  <w:style w:type="character" w:customStyle="1" w:styleId="26">
    <w:name w:val="批注文字 字符1"/>
    <w:link w:val="7"/>
    <w:semiHidden/>
    <w:qFormat/>
    <w:locked/>
    <w:uiPriority w:val="0"/>
    <w:rPr>
      <w:rFonts w:ascii="Times New Roman" w:hAnsi="Times New Roman" w:cs="Times New Roman"/>
      <w:kern w:val="2"/>
      <w:sz w:val="24"/>
      <w:szCs w:val="22"/>
      <w:lang w:val="zh-CN" w:eastAsia="zh-CN"/>
    </w:rPr>
  </w:style>
  <w:style w:type="paragraph" w:customStyle="1" w:styleId="27">
    <w:name w:val="列出段落1"/>
    <w:basedOn w:val="1"/>
    <w:qFormat/>
    <w:uiPriority w:val="34"/>
    <w:pPr>
      <w:ind w:firstLine="420" w:firstLineChars="200"/>
    </w:pPr>
  </w:style>
  <w:style w:type="paragraph" w:customStyle="1" w:styleId="28">
    <w:name w:val="正文格式"/>
    <w:basedOn w:val="5"/>
    <w:qFormat/>
    <w:uiPriority w:val="0"/>
    <w:pPr>
      <w:widowControl/>
      <w:tabs>
        <w:tab w:val="left" w:pos="562"/>
        <w:tab w:val="left" w:pos="3372"/>
        <w:tab w:val="left" w:pos="3653"/>
      </w:tabs>
      <w:adjustRightInd w:val="0"/>
      <w:spacing w:line="480" w:lineRule="atLeast"/>
      <w:ind w:firstLine="482"/>
      <w:textAlignment w:val="baseline"/>
    </w:pPr>
    <w:rPr>
      <w:kern w:val="0"/>
      <w:szCs w:val="20"/>
    </w:rPr>
  </w:style>
  <w:style w:type="paragraph" w:customStyle="1" w:styleId="29">
    <w:name w:val="图"/>
    <w:basedOn w:val="1"/>
    <w:autoRedefine/>
    <w:qFormat/>
    <w:uiPriority w:val="0"/>
    <w:pPr>
      <w:keepNext/>
      <w:adjustRightInd w:val="0"/>
      <w:spacing w:before="60" w:after="60" w:line="300" w:lineRule="auto"/>
      <w:jc w:val="center"/>
      <w:textAlignment w:val="center"/>
    </w:pPr>
    <w:rPr>
      <w:snapToGrid w:val="0"/>
      <w:spacing w:val="20"/>
      <w:kern w:val="0"/>
      <w:sz w:val="24"/>
      <w:szCs w:val="20"/>
    </w:rPr>
  </w:style>
  <w:style w:type="character" w:customStyle="1" w:styleId="30">
    <w:name w:val="font31"/>
    <w:basedOn w:val="15"/>
    <w:qFormat/>
    <w:uiPriority w:val="0"/>
    <w:rPr>
      <w:rFonts w:hint="eastAsia" w:ascii="仿宋" w:hAnsi="仿宋" w:eastAsia="仿宋" w:cs="仿宋"/>
      <w:b/>
      <w:bCs/>
      <w:color w:val="000000"/>
      <w:sz w:val="24"/>
      <w:szCs w:val="24"/>
      <w:u w:val="none"/>
    </w:rPr>
  </w:style>
  <w:style w:type="character" w:customStyle="1" w:styleId="31">
    <w:name w:val="font41"/>
    <w:basedOn w:val="15"/>
    <w:qFormat/>
    <w:uiPriority w:val="0"/>
    <w:rPr>
      <w:rFonts w:hint="eastAsia" w:ascii="仿宋" w:hAnsi="仿宋" w:eastAsia="仿宋" w:cs="仿宋"/>
      <w:color w:val="000000"/>
      <w:sz w:val="24"/>
      <w:szCs w:val="24"/>
      <w:u w:val="none"/>
    </w:rPr>
  </w:style>
  <w:style w:type="paragraph" w:customStyle="1" w:styleId="32">
    <w:name w:val="纯文本1"/>
    <w:basedOn w:val="1"/>
    <w:qFormat/>
    <w:uiPriority w:val="0"/>
    <w:rPr>
      <w:rFonts w:ascii="宋体" w:hAnsi="Courier New"/>
      <w:szCs w:val="20"/>
    </w:rPr>
  </w:style>
  <w:style w:type="paragraph" w:customStyle="1" w:styleId="33">
    <w:name w:val="Default"/>
    <w:qFormat/>
    <w:uiPriority w:val="0"/>
    <w:pPr>
      <w:widowControl w:val="0"/>
      <w:autoSpaceDE w:val="0"/>
      <w:autoSpaceDN w:val="0"/>
      <w:adjustRightInd w:val="0"/>
    </w:pPr>
    <w:rPr>
      <w:rFonts w:ascii="Arial" w:hAnsi="Arial" w:eastAsia="宋体" w:cs="Arial"/>
      <w:color w:val="000000"/>
      <w:sz w:val="24"/>
      <w:szCs w:val="24"/>
      <w:lang w:val="en-US" w:eastAsia="zh-CN" w:bidi="ar-SA"/>
    </w:rPr>
  </w:style>
  <w:style w:type="paragraph" w:customStyle="1" w:styleId="34">
    <w:name w:val="Table Paragraph"/>
    <w:basedOn w:val="1"/>
    <w:qFormat/>
    <w:uiPriority w:val="1"/>
    <w:rPr>
      <w:rFonts w:ascii="宋体" w:hAnsi="宋体" w:cs="宋体"/>
      <w:lang w:val="zh-CN" w:bidi="zh-CN"/>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12</Pages>
  <Words>7654</Words>
  <Characters>9384</Characters>
  <Lines>41</Lines>
  <Paragraphs>11</Paragraphs>
  <TotalTime>2</TotalTime>
  <ScaleCrop>false</ScaleCrop>
  <LinksUpToDate>false</LinksUpToDate>
  <CharactersWithSpaces>9439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2024-04-07T08:23:00Z</dcterms:created>
  <dc:creator>Administrator</dc:creator>
  <cp:lastModifiedBy>如意</cp:lastModifiedBy>
  <dcterms:modified xsi:type="dcterms:W3CDTF">2026-08-20T01:26:11Z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FA8D28EF62CD41E7AA6AA21BBD777C6C_13</vt:lpwstr>
  </property>
  <property fmtid="{D5CDD505-2E9C-101B-9397-08002B2CF9AE}" pid="4" name="KSOTemplateDocerSaveRecord">
    <vt:lpwstr>eyJoZGlkIjoiODg4YmUyZjVkMTRhYjZhNTA5MTQ0YjE5NThhODEwNjUiLCJ1c2VySWQiOiIxMDE4NjkxMTQ2In0=</vt:lpwstr>
  </property>
</Properties>
</file>