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default" w:ascii="黑体" w:hAnsi="黑体" w:eastAsia="黑体" w:cs="黑体"/>
          <w:sz w:val="32"/>
          <w:szCs w:val="32"/>
          <w:lang w:val="en-US"/>
        </w:rPr>
      </w:pPr>
      <w:r>
        <w:rPr>
          <w:rFonts w:hint="eastAsia" w:ascii="黑体" w:hAnsi="黑体" w:eastAsia="黑体" w:cs="黑体"/>
          <w:sz w:val="32"/>
          <w:szCs w:val="32"/>
        </w:rPr>
        <w:t>附件</w:t>
      </w:r>
      <w:r>
        <w:rPr>
          <w:rFonts w:hint="default" w:ascii="黑体" w:hAnsi="黑体" w:eastAsia="黑体" w:cs="黑体"/>
          <w:sz w:val="32"/>
          <w:szCs w:val="32"/>
          <w:lang w:val="en-US"/>
        </w:rPr>
        <w:t>5</w:t>
      </w:r>
    </w:p>
    <w:p>
      <w:pPr>
        <w:spacing w:line="560" w:lineRule="exact"/>
        <w:jc w:val="center"/>
        <w:rPr>
          <w:rFonts w:hint="eastAsia" w:ascii="方正小标宋简体" w:hAnsi="方正小标宋简体" w:eastAsia="方正小标宋简体" w:cs="方正小标宋简体"/>
          <w:sz w:val="44"/>
          <w:szCs w:val="44"/>
        </w:rPr>
      </w:pPr>
      <w:bookmarkStart w:id="1" w:name="_GoBack"/>
      <w:bookmarkEnd w:id="1"/>
      <w:r>
        <w:rPr>
          <w:rFonts w:hint="eastAsia" w:ascii="方正小标宋简体" w:hAnsi="方正小标宋简体" w:eastAsia="方正小标宋简体" w:cs="方正小标宋简体"/>
          <w:sz w:val="44"/>
          <w:szCs w:val="44"/>
          <w:highlight w:val="none"/>
        </w:rPr>
        <w:t>龙岗</w:t>
      </w:r>
      <w:r>
        <w:rPr>
          <w:rFonts w:hint="eastAsia" w:ascii="方正小标宋简体" w:hAnsi="方正小标宋简体" w:eastAsia="方正小标宋简体" w:cs="方正小标宋简体"/>
          <w:sz w:val="44"/>
          <w:szCs w:val="44"/>
        </w:rPr>
        <w:t>区退役军人服务保障体系高质量发展专项督导检查项目实施方案</w:t>
      </w: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ascii="仿宋_GB2312" w:hAnsi="仿宋_GB2312" w:eastAsia="仿宋_GB2312" w:cs="仿宋_GB2312"/>
          <w:sz w:val="32"/>
          <w:szCs w:val="32"/>
        </w:rPr>
        <w:t>《广东省退役军人事务厅关于印发</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“‘四个万家’转作风·‘五全推动’求实效”三年行动计划（2026—2028）</w:t>
      </w:r>
      <w:r>
        <w:rPr>
          <w:rFonts w:hint="eastAsia" w:ascii="仿宋_GB2312" w:hAnsi="仿宋_GB2312" w:eastAsia="仿宋_GB2312" w:cs="仿宋_GB2312"/>
          <w:sz w:val="32"/>
          <w:szCs w:val="32"/>
        </w:rPr>
        <w:t>〉的通知》</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《广东省退役军人事务厅办公室关于开展“立标杆、扬特色、激效能、强力量”退役军人服务中心（站）建设指导工作的通知》《</w:t>
      </w:r>
      <w:r>
        <w:rPr>
          <w:rFonts w:hint="eastAsia" w:ascii="仿宋_GB2312" w:hAnsi="仿宋_GB2312" w:eastAsia="仿宋_GB2312" w:cs="仿宋_GB2312"/>
          <w:sz w:val="32"/>
          <w:szCs w:val="32"/>
          <w:lang w:val="en"/>
        </w:rPr>
        <w:t>深圳市退役军人事务局关于推进“一街一特色、一街一品牌”建设的通知》</w:t>
      </w:r>
      <w:r>
        <w:rPr>
          <w:rFonts w:hint="eastAsia" w:ascii="仿宋_GB2312" w:hAnsi="仿宋_GB2312" w:eastAsia="仿宋_GB2312" w:cs="仿宋_GB2312"/>
          <w:sz w:val="32"/>
          <w:szCs w:val="32"/>
        </w:rPr>
        <w:t>等文件精神，为客观评估三级服务保障体系建设成效，聚焦查短板、促规范、提效能，开展专项督导检查，结合我区工作实际，制定项目方案。本项目通过公开遴选确定具备退役军人服务督导评估经验的专业机构承接，对标省、市建设标准开展全域专项督导，形成标准化问题、整改、提升三类台账及专业诊断报告，指导基层规范运营、打造特色服务品牌。</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一、项目基本信息</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（一）项目名称：龙岗区退役军人服务保障体系高质量发展专项督导检查项目。</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（二）服务周期：2026年9月9日—2027年9月8日。</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（三）督导范围：全区各街道、社区退役军人服务站（三级服务机构全覆盖）。</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（四）项目总经费：预算34.5万元，费用为总价包干，最终结算以中标合同金额为准。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（五）督导模式：通过第三方专业团队实地核查、资料评审、数据核验、诊断分析、整改指导等方式，以标准化督导成果、整改台账作为项目验收依据。</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二、项目总体目标</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对标省、市退役军人服务站点规范化建设细则，全面排查阵地建设、信息管理、制度执行、思政引领、双拥尊崇、就业创业、优抚权益帮扶等领域短板；区分共性、个性问题出具专业诊断，制定可落地、可验收整改提升路径；指导基层规范台账、优化阵地氛围、挖掘培育街道特色品牌；构建全区统一督查整改闭环，有效防范上级考核扣分风险，推动全区退役军人服务保障体系提质增效、树立建设标杆。</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三、承接机构及人员配置要求</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（一）项目负责人：具备</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年以上退役军人相关工作经验，熟悉基层退役军人站点建设标准及考核细则。</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（二）专业督导团队：不少于</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名专职工作人员，熟悉退役军人政策、政务台账规范、阵地标准化建设、品牌策划等相关业务；</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（三）业绩要求：承接机构近3年内拥有</w:t>
      </w:r>
      <w:bookmarkStart w:id="0" w:name="_Hlk238126454"/>
      <w:r>
        <w:rPr>
          <w:rFonts w:hint="eastAsia" w:ascii="仿宋_GB2312" w:hAnsi="仿宋_GB2312" w:eastAsia="仿宋_GB2312" w:cs="仿宋_GB2312"/>
          <w:sz w:val="32"/>
          <w:szCs w:val="32"/>
        </w:rPr>
        <w:t>退役军人服务</w:t>
      </w:r>
      <w:bookmarkEnd w:id="0"/>
      <w:r>
        <w:rPr>
          <w:rFonts w:hint="eastAsia" w:ascii="仿宋_GB2312" w:hAnsi="仿宋_GB2312" w:eastAsia="仿宋_GB2312" w:cs="仿宋_GB2312"/>
          <w:sz w:val="32"/>
          <w:szCs w:val="32"/>
        </w:rPr>
        <w:t>、督导、评估同类项目实施案例；无政府采购失信、违法违规记录。</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四、核心服务内容</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本项目全部工作形成标准化纸质配套电子台账，所有成果资料完整移交区退役军人服务中心，各项工作量化交付、逐项验收。</w:t>
      </w:r>
    </w:p>
    <w:p>
      <w:pPr>
        <w:numPr>
          <w:ilvl w:val="0"/>
          <w:numId w:val="1"/>
        </w:num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阵地建设规范性督导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对照省级规范化标准核查场所功能分区、统一标识标牌、政治文化荣誉阵地、工作人员服务规范；开展现场踏勘，完成预估 3个街道、5个社区实地走访，完成100份阵地相关材料审核，形成阵地标准化问题清单。</w:t>
      </w:r>
    </w:p>
    <w:p>
      <w:pPr>
        <w:numPr>
          <w:ilvl w:val="0"/>
          <w:numId w:val="1"/>
        </w:num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信息管理效能督导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查优抚对象信息完整度、系统数据动态更新质量、诉求办理流转闭环、业务平台标准化操作，完成预估3000条业务系统数据核查；开展业务流程测试，完成不少于20人次人员访谈并形成访谈记录，核验数据误差、积压事项等问题并形成优化建议。</w:t>
      </w:r>
    </w:p>
    <w:p>
      <w:pPr>
        <w:numPr>
          <w:ilvl w:val="0"/>
          <w:numId w:val="1"/>
        </w:num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制度执行有效性督导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核查就业创业、走访慰问、信访接待、整改闭环等制度建立公示及落地情况；完成各制度文本评审，对制度执行记录开展核查，评审工作台账、办事流程，梳理制度执行薄弱环节，形成预估200份核查记录。</w:t>
      </w:r>
    </w:p>
    <w:p>
      <w:pPr>
        <w:numPr>
          <w:ilvl w:val="0"/>
          <w:numId w:val="1"/>
        </w:num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思想政治引领成效督导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核查退役军人党员台账、志愿服务队伍运营、先进典型宣传、退役军人自我服务实践成效；完成预估500份党员台账审核，梳理思政工作短板。</w:t>
      </w:r>
    </w:p>
    <w:p>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（五）双拥与尊崇服务质量督导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核查“六必访”帮扶、新兵四尊崇、返乡五关爱、喜报送达、优待证办理、光荣牌悬挂等尊崇政策落实情况；完成500份慰问记录核查，完成不少于500份综合满意度调研，开展服务对象满意度调研。</w:t>
      </w:r>
    </w:p>
    <w:p>
      <w:pPr>
        <w:spacing w:line="560" w:lineRule="exact"/>
        <w:ind w:left="420" w:left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（六）就业创业服务效能督导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核查就业政策宣传、适应性及技能培训、创业扶持工作落地成效；完成政策落实情况核查，开展质量评估，完成10个创业案例调研梳理，梳理宣传、培训、帮扶工作薄弱点。</w:t>
      </w:r>
    </w:p>
    <w:p>
      <w:pPr>
        <w:spacing w:line="560" w:lineRule="exact"/>
        <w:ind w:left="420" w:left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（七）权益维护与优抚帮扶督导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核查信访受理、矛盾调处、困难对象精准识别、代办帮办服务落实情况；完成信访案卷评审，按30%比例抽样对当年基层矛盾化解案例开展成效评估，完成30户帮扶对象精准度核查，规范信访及帮扶案卷管理50份。</w:t>
      </w:r>
    </w:p>
    <w:p>
      <w:pPr>
        <w:spacing w:line="560" w:lineRule="exact"/>
        <w:ind w:left="420" w:left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（八）综合诊断与整改提升服务</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1.分类汇总全区共性、个性问题，形成完整问题台账；</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2.针对每项问题制定可考核、可落地整改措施与提升路径；</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3.一对一指导基层完善台账资料、优化阵地布置、规范业务流程；</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4.协助各街道梳理服务亮点，标准化培育“一街一特色、一街一品牌”；</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5.开展整体数据汇总分析，完成问题清单编制、整改提升方案编制，汇总全部督导数据，编制完整专项督导综合诊断报告，包含现状分析、问题清单、整改清单、长效提升方案。</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备注：以上为项目预估工作量，实际实施以采购合同约定为准。</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五、服务保障要求</w:t>
      </w:r>
    </w:p>
    <w:p>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（一）全过程专业督导管控</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承接机构建立项目内部复核机制，所有现场核查、资料评审结果实行双人交叉复核，保障督导结果客观、精准，避免漏检、错判。</w:t>
      </w:r>
    </w:p>
    <w:p>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（二）业务培训与现场指导</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项目实施期间，根据基层薄弱环节按需开展现场指导，讲解规范化建设标准、台账归档要求、品牌打造思路。</w:t>
      </w:r>
    </w:p>
    <w:p>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（三）信息安全保密管理</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承接机构须签订保密协议，严格保管退役军人个人信息、信访案卷、帮扶台账等涉密敏感资料，项目结束后全部原始数据、档案资料移交采购方，不得留存外泄。</w:t>
      </w:r>
    </w:p>
    <w:p>
      <w:pPr>
        <w:spacing w:line="560" w:lineRule="exact"/>
        <w:ind w:firstLine="640" w:firstLineChars="200"/>
        <w:rPr>
          <w:rFonts w:hint="eastAsia" w:ascii="楷体_GB2312" w:hAnsi="楷体_GB2312" w:eastAsia="楷体_GB2312" w:cs="楷体_GB2312"/>
          <w:sz w:val="32"/>
          <w:szCs w:val="32"/>
          <w:highlight w:val="none"/>
        </w:rPr>
      </w:pPr>
      <w:r>
        <w:rPr>
          <w:rFonts w:hint="eastAsia" w:ascii="楷体_GB2312" w:hAnsi="楷体_GB2312" w:eastAsia="楷体_GB2312" w:cs="楷体_GB2312"/>
          <w:sz w:val="32"/>
          <w:szCs w:val="32"/>
          <w:highlight w:val="none"/>
        </w:rPr>
        <w:t>（四）进度动态监测</w:t>
      </w:r>
    </w:p>
    <w:p>
      <w:pPr>
        <w:spacing w:line="56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承接机构每</w:t>
      </w:r>
      <w:r>
        <w:rPr>
          <w:rFonts w:hint="eastAsia" w:ascii="仿宋_GB2312" w:hAnsi="仿宋_GB2312" w:eastAsia="仿宋_GB2312" w:cs="仿宋_GB2312"/>
          <w:sz w:val="32"/>
          <w:szCs w:val="32"/>
          <w:highlight w:val="none"/>
          <w:lang w:eastAsia="zh-CN"/>
        </w:rPr>
        <w:t>季度</w:t>
      </w:r>
      <w:r>
        <w:rPr>
          <w:rFonts w:hint="eastAsia" w:ascii="仿宋_GB2312" w:hAnsi="仿宋_GB2312" w:eastAsia="仿宋_GB2312" w:cs="仿宋_GB2312"/>
          <w:sz w:val="32"/>
          <w:szCs w:val="32"/>
          <w:highlight w:val="none"/>
        </w:rPr>
        <w:t>报送督导工作进度、阶段性问题小结，区退役军人服务中心安排专人全程跟进，对督导质量、工作进度实时监督。</w:t>
      </w:r>
    </w:p>
    <w:p>
      <w:pPr>
        <w:spacing w:line="560" w:lineRule="exac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（五）成果整改跟踪</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督导结束后配合我区开展整改复核抽检，对重点薄弱站点回头核查，检验整改落地成效。</w:t>
      </w:r>
    </w:p>
    <w:p>
      <w:pPr>
        <w:spacing w:line="560" w:lineRule="exact"/>
        <w:ind w:firstLine="640" w:firstLineChars="200"/>
        <w:rPr>
          <w:rFonts w:hint="eastAsia" w:ascii="黑体" w:hAnsi="黑体" w:eastAsia="黑体" w:cs="黑体"/>
          <w:sz w:val="32"/>
          <w:szCs w:val="32"/>
        </w:rPr>
      </w:pPr>
      <w:r>
        <w:rPr>
          <w:rFonts w:hint="eastAsia" w:ascii="黑体" w:hAnsi="黑体" w:eastAsia="黑体" w:cs="黑体"/>
          <w:sz w:val="32"/>
          <w:szCs w:val="32"/>
        </w:rPr>
        <w:t>六、其他说明</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（一）本项目所有现场照片、调研问卷、台账资料、问题清单、综合报告等全部服务成果、数据信息所有权归龙岗区退役军人服务中心。</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（二）项目经费实行总价包干，包含人员劳务、现场交通、问卷印制、资料评审、数据分析、报告编制、税费、管理费等全部成本，采购人不再额外支付任何费用。</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（三）本方案未尽事宜，由双方在采购合同中另行约定，方案最终解释权归龙岗区退役军人服务中心。</w:t>
      </w: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ind w:firstLine="640" w:firstLineChars="200"/>
        <w:rPr>
          <w:rFonts w:hint="eastAsia" w:ascii="仿宋_GB2312" w:hAnsi="仿宋_GB2312" w:eastAsia="仿宋_GB2312" w:cs="仿宋_GB2312"/>
          <w:sz w:val="32"/>
          <w:szCs w:val="32"/>
        </w:rPr>
      </w:pPr>
    </w:p>
    <w:p>
      <w:pPr>
        <w:spacing w:line="560" w:lineRule="exact"/>
        <w:rPr>
          <w:rFonts w:hint="eastAsia" w:ascii="仿宋_GB2312" w:hAnsi="仿宋_GB2312" w:eastAsia="仿宋_GB2312" w:cs="仿宋_GB2312"/>
          <w:sz w:val="32"/>
          <w:szCs w:val="32"/>
        </w:rPr>
      </w:pPr>
    </w:p>
    <w:sectPr>
      <w:footerReference r:id="rId3" w:type="default"/>
      <w:pgSz w:w="11906" w:h="16838"/>
      <w:pgMar w:top="192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BD99B3"/>
    <w:multiLevelType w:val="singleLevel"/>
    <w:tmpl w:val="BFBD99B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3MTNlNDVjOGRhZDk3NjU2NzljZWQwMDc4MWE5NGMifQ=="/>
  </w:docVars>
  <w:rsids>
    <w:rsidRoot w:val="63064821"/>
    <w:rsid w:val="00280059"/>
    <w:rsid w:val="00661789"/>
    <w:rsid w:val="00816F22"/>
    <w:rsid w:val="009E0F8E"/>
    <w:rsid w:val="00AB3D90"/>
    <w:rsid w:val="00C83238"/>
    <w:rsid w:val="00DB41C0"/>
    <w:rsid w:val="00F54844"/>
    <w:rsid w:val="08E34F44"/>
    <w:rsid w:val="08FB981F"/>
    <w:rsid w:val="15FF51C2"/>
    <w:rsid w:val="1E120D9E"/>
    <w:rsid w:val="1EF105F4"/>
    <w:rsid w:val="247E66FD"/>
    <w:rsid w:val="24CD602A"/>
    <w:rsid w:val="2B215445"/>
    <w:rsid w:val="2E3B2276"/>
    <w:rsid w:val="316E0952"/>
    <w:rsid w:val="3AF9B3BE"/>
    <w:rsid w:val="3BBDFE41"/>
    <w:rsid w:val="3FBF4AC1"/>
    <w:rsid w:val="43077BF5"/>
    <w:rsid w:val="46311EA6"/>
    <w:rsid w:val="48E22EC4"/>
    <w:rsid w:val="492C48D5"/>
    <w:rsid w:val="4F4F3C07"/>
    <w:rsid w:val="556515B4"/>
    <w:rsid w:val="56ED7DE1"/>
    <w:rsid w:val="5D122154"/>
    <w:rsid w:val="63064821"/>
    <w:rsid w:val="66C55C77"/>
    <w:rsid w:val="67242F8B"/>
    <w:rsid w:val="6B8C0D41"/>
    <w:rsid w:val="6C856063"/>
    <w:rsid w:val="75E244DA"/>
    <w:rsid w:val="7692C603"/>
    <w:rsid w:val="76FE2DE1"/>
    <w:rsid w:val="77DD5EA2"/>
    <w:rsid w:val="7A796557"/>
    <w:rsid w:val="7BDE36AA"/>
    <w:rsid w:val="7DFFDE61"/>
    <w:rsid w:val="7F7858E6"/>
    <w:rsid w:val="7FB471C5"/>
    <w:rsid w:val="7FF5D80C"/>
    <w:rsid w:val="ABED695A"/>
    <w:rsid w:val="BFF573CA"/>
    <w:rsid w:val="C7B541F5"/>
    <w:rsid w:val="ECFFE932"/>
    <w:rsid w:val="EE194886"/>
    <w:rsid w:val="F3776057"/>
    <w:rsid w:val="FAA7E183"/>
    <w:rsid w:val="FEF7F76B"/>
    <w:rsid w:val="FF76EAC2"/>
    <w:rsid w:val="FF775718"/>
    <w:rsid w:val="FFD237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NormalCharacter"/>
    <w:semiHidden/>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374</Words>
  <Characters>2135</Characters>
  <Lines>17</Lines>
  <Paragraphs>5</Paragraphs>
  <TotalTime>15</TotalTime>
  <ScaleCrop>false</ScaleCrop>
  <LinksUpToDate>false</LinksUpToDate>
  <CharactersWithSpaces>2504</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2021-08-29T11:13:00Z</dcterms:created>
  <dc:creator>Administrator</dc:creator>
  <cp:lastModifiedBy>何芸</cp:lastModifiedBy>
  <cp:lastPrinted>2026-08-20T14:43:28Z</cp:lastPrinted>
  <dcterms:modified xsi:type="dcterms:W3CDTF">2026-08-20T14:52:30Z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539FBBB4453F24ADE1A1866A6D0736E8</vt:lpwstr>
  </property>
  <property fmtid="{D5CDD505-2E9C-101B-9397-08002B2CF9AE}" pid="4" name="KSOTemplateDocerSaveRecord">
    <vt:lpwstr>eyJoZGlkIjoiZTg0N2E4MjkxNThhMjQ3YWY1MjQyZWNmN2RmZTViMjQiLCJ1c2VySWQiOiIxNjcxNzkxODQ5In0=</vt:lpwstr>
  </property>
</Properties>
</file>