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430E2">
      <w:pPr>
        <w:widowControl/>
        <w:spacing w:beforeLines="-2147483648" w:afterLines="-2147483648" w:line="560" w:lineRule="exact"/>
        <w:jc w:val="center"/>
        <w:rPr>
          <w:rFonts w:hint="eastAsia" w:ascii="方正小标宋简体" w:hAnsi="方正小标宋简体" w:eastAsia="方正小标宋简体" w:cs="方正小标宋简体"/>
          <w:b w:val="0"/>
          <w:color w:val="auto"/>
          <w:sz w:val="44"/>
          <w:szCs w:val="44"/>
          <w:highlight w:val="none"/>
          <w:lang w:val="en-US" w:eastAsia="zh-CN"/>
        </w:rPr>
      </w:pPr>
      <w:r>
        <w:rPr>
          <w:rFonts w:hint="eastAsia" w:ascii="方正小标宋简体" w:hAnsi="方正小标宋简体" w:eastAsia="方正小标宋简体" w:cs="方正小标宋简体"/>
          <w:b w:val="0"/>
          <w:color w:val="auto"/>
          <w:sz w:val="44"/>
          <w:szCs w:val="44"/>
          <w:highlight w:val="none"/>
          <w:lang w:val="en-US" w:eastAsia="zh-CN"/>
        </w:rPr>
        <w:t>城科装备公司股权转让资产评估服务</w:t>
      </w:r>
    </w:p>
    <w:p w14:paraId="62B5A32C">
      <w:pPr>
        <w:widowControl/>
        <w:spacing w:beforeLines="-2147483648" w:afterLines="-2147483648" w:line="560" w:lineRule="exact"/>
        <w:jc w:val="center"/>
        <w:rPr>
          <w:rFonts w:hint="eastAsia" w:ascii="方正小标宋简体" w:hAnsi="方正小标宋简体" w:eastAsia="方正小标宋简体" w:cs="方正小标宋简体"/>
          <w:b w:val="0"/>
          <w:color w:val="auto"/>
          <w:sz w:val="44"/>
          <w:szCs w:val="44"/>
          <w:highlight w:val="none"/>
        </w:rPr>
      </w:pPr>
      <w:r>
        <w:rPr>
          <w:rFonts w:hint="eastAsia" w:ascii="方正小标宋简体" w:hAnsi="方正小标宋简体" w:eastAsia="方正小标宋简体" w:cs="方正小标宋简体"/>
          <w:b w:val="0"/>
          <w:color w:val="auto"/>
          <w:sz w:val="44"/>
          <w:szCs w:val="44"/>
          <w:highlight w:val="none"/>
          <w:lang w:val="en-US"/>
        </w:rPr>
        <w:t>公开招标（自主）文件</w:t>
      </w:r>
    </w:p>
    <w:p w14:paraId="75D4815F">
      <w:pPr>
        <w:widowControl/>
        <w:spacing w:beforeLines="-2147483648" w:afterLines="-2147483648" w:line="560" w:lineRule="exact"/>
        <w:jc w:val="center"/>
        <w:rPr>
          <w:rFonts w:hint="eastAsia" w:ascii="方正小标宋简体" w:hAnsi="方正小标宋简体" w:eastAsia="方正小标宋简体" w:cs="方正小标宋简体"/>
          <w:b w:val="0"/>
          <w:color w:val="auto"/>
          <w:sz w:val="44"/>
          <w:szCs w:val="44"/>
          <w:highlight w:val="none"/>
        </w:rPr>
      </w:pPr>
    </w:p>
    <w:p w14:paraId="458E3392">
      <w:pPr>
        <w:spacing w:line="360" w:lineRule="auto"/>
        <w:ind w:firstLine="643" w:firstLineChars="200"/>
        <w:rPr>
          <w:rFonts w:hint="default" w:ascii="仿宋_GB2312" w:hAnsi="仿宋_GB2312" w:eastAsia="仿宋_GB2312" w:cs="仿宋_GB2312"/>
          <w:sz w:val="32"/>
          <w:szCs w:val="32"/>
          <w:highlight w:val="none"/>
          <w:lang w:val="en-US" w:eastAsia="zh-CN"/>
        </w:rPr>
      </w:pPr>
      <w:bookmarkStart w:id="0" w:name="_Toc509669685"/>
      <w:r>
        <w:rPr>
          <w:rFonts w:hint="eastAsia" w:ascii="仿宋_GB2312" w:hAnsi="仿宋_GB2312" w:eastAsia="仿宋_GB2312" w:cs="仿宋_GB2312"/>
          <w:b/>
          <w:bCs/>
          <w:sz w:val="32"/>
          <w:szCs w:val="32"/>
          <w:highlight w:val="none"/>
        </w:rPr>
        <w:t>一、项目名称：</w:t>
      </w:r>
      <w:r>
        <w:rPr>
          <w:rFonts w:hint="eastAsia" w:ascii="仿宋_GB2312" w:hAnsi="仿宋_GB2312" w:eastAsia="仿宋_GB2312" w:cs="仿宋_GB2312"/>
          <w:b w:val="0"/>
          <w:bCs w:val="0"/>
          <w:sz w:val="32"/>
          <w:szCs w:val="32"/>
          <w:highlight w:val="none"/>
          <w:lang w:eastAsia="zh-CN"/>
        </w:rPr>
        <w:t>城科装备公司股权转让资产评估服务</w:t>
      </w:r>
      <w:r>
        <w:rPr>
          <w:rFonts w:hint="eastAsia" w:ascii="仿宋_GB2312" w:hAnsi="仿宋_GB2312" w:eastAsia="仿宋_GB2312" w:cs="仿宋_GB2312"/>
          <w:b/>
          <w:bCs/>
          <w:sz w:val="32"/>
          <w:szCs w:val="32"/>
          <w:highlight w:val="none"/>
          <w:lang w:val="en-US" w:eastAsia="zh-CN"/>
        </w:rPr>
        <w:t xml:space="preserve"> </w:t>
      </w:r>
    </w:p>
    <w:p w14:paraId="6E232B58">
      <w:pPr>
        <w:spacing w:line="560" w:lineRule="exact"/>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w:t>
      </w:r>
      <w:r>
        <w:rPr>
          <w:rFonts w:hint="eastAsia" w:ascii="仿宋_GB2312" w:hAnsi="仿宋_GB2312" w:eastAsia="仿宋_GB2312" w:cs="仿宋_GB2312"/>
          <w:b/>
          <w:bCs/>
          <w:sz w:val="32"/>
          <w:szCs w:val="32"/>
          <w:highlight w:val="none"/>
          <w:lang w:val="en-US" w:eastAsia="zh-CN"/>
        </w:rPr>
        <w:t>服务范围及主要内容</w:t>
      </w:r>
      <w:r>
        <w:rPr>
          <w:rFonts w:hint="eastAsia" w:ascii="仿宋_GB2312" w:hAnsi="仿宋_GB2312" w:eastAsia="仿宋_GB2312" w:cs="仿宋_GB2312"/>
          <w:b/>
          <w:bCs/>
          <w:sz w:val="32"/>
          <w:szCs w:val="32"/>
          <w:highlight w:val="none"/>
        </w:rPr>
        <w:t>：</w:t>
      </w:r>
    </w:p>
    <w:p w14:paraId="6C8A7B8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对目标公司的资产、负债、业务、市场等各方面进行全面、深入的评估，确定目标企业的价值，主要内容如下：</w:t>
      </w:r>
    </w:p>
    <w:p w14:paraId="61F7747A">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1.对目标公司在评估基准日的股东全部权益价值进行评估，出具资产评估报告；评估方法的选用需满足国资等监管部门要求；评估报告需同时符合国资评估和备案要求；</w:t>
      </w:r>
    </w:p>
    <w:p w14:paraId="2F522F9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2.评估基准日待定，最终以甲方确认为准；</w:t>
      </w:r>
    </w:p>
    <w:p w14:paraId="07DF42B5">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3.参加与项目相关的沟通工作会议，并提供相关咨询意见或建议；</w:t>
      </w:r>
    </w:p>
    <w:p w14:paraId="5F92A24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4.协助完成专家评审及备案或核准相关工作；</w:t>
      </w:r>
    </w:p>
    <w:p w14:paraId="6AEAA824">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5.完成委托方要求的其他相关工作；</w:t>
      </w:r>
    </w:p>
    <w:p w14:paraId="5F9B7A0F">
      <w:pPr>
        <w:pStyle w:val="170"/>
        <w:spacing w:line="560" w:lineRule="exact"/>
        <w:ind w:firstLine="640"/>
        <w:rPr>
          <w:rFonts w:ascii="仿宋_GB2312" w:hAnsi="仿宋_GB2312" w:eastAsia="仿宋_GB2312" w:cs="仿宋_GB2312"/>
          <w:kern w:val="0"/>
          <w:sz w:val="32"/>
          <w:szCs w:val="32"/>
          <w:highlight w:val="none"/>
        </w:rPr>
      </w:pPr>
      <w:r>
        <w:rPr>
          <w:rFonts w:hint="eastAsia" w:ascii="仿宋_GB2312" w:hAnsi="仿宋" w:eastAsia="仿宋_GB2312" w:cs="仿宋"/>
          <w:color w:val="auto"/>
          <w:sz w:val="32"/>
          <w:szCs w:val="32"/>
          <w:highlight w:val="none"/>
          <w:lang w:val="en-US" w:eastAsia="zh-CN"/>
        </w:rPr>
        <w:t>6.合同签署之日起10个日历天出具报告初稿，委托方确认后3个日历天出具正式报告。</w:t>
      </w:r>
    </w:p>
    <w:p w14:paraId="0DC26D26">
      <w:pPr>
        <w:spacing w:line="240" w:lineRule="auto"/>
        <w:ind w:firstLine="710" w:firstLineChars="221"/>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三</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投标报价</w:t>
      </w:r>
      <w:r>
        <w:rPr>
          <w:rFonts w:hint="eastAsia" w:ascii="仿宋_GB2312" w:hAnsi="仿宋_GB2312" w:eastAsia="仿宋_GB2312" w:cs="仿宋_GB2312"/>
          <w:b/>
          <w:bCs/>
          <w:color w:val="auto"/>
          <w:sz w:val="32"/>
          <w:szCs w:val="32"/>
          <w:highlight w:val="none"/>
        </w:rPr>
        <w:t>上限价：</w:t>
      </w:r>
    </w:p>
    <w:p w14:paraId="2526DDFE">
      <w:pPr>
        <w:spacing w:line="240" w:lineRule="auto"/>
        <w:ind w:firstLine="710" w:firstLineChars="221"/>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1. 投标报价上限价</w:t>
      </w:r>
    </w:p>
    <w:p w14:paraId="1A5FD67C">
      <w:pPr>
        <w:pStyle w:val="170"/>
        <w:spacing w:line="560" w:lineRule="exact"/>
        <w:ind w:firstLine="640"/>
        <w:rPr>
          <w:rFonts w:hint="eastAsia" w:ascii="仿宋_GB2312" w:hAnsi="仿宋" w:eastAsia="仿宋_GB2312" w:cs="仿宋"/>
          <w:b w:val="0"/>
          <w:bCs w:val="0"/>
          <w:color w:val="auto"/>
          <w:sz w:val="32"/>
          <w:szCs w:val="32"/>
          <w:highlight w:val="none"/>
        </w:rPr>
      </w:pPr>
      <w:r>
        <w:rPr>
          <w:rFonts w:hint="eastAsia" w:ascii="仿宋_GB2312" w:hAnsi="仿宋" w:eastAsia="仿宋_GB2312" w:cs="仿宋"/>
          <w:b w:val="0"/>
          <w:bCs w:val="0"/>
          <w:color w:val="auto"/>
          <w:sz w:val="32"/>
          <w:szCs w:val="32"/>
          <w:highlight w:val="none"/>
          <w:lang w:eastAsia="zh-CN"/>
        </w:rPr>
        <w:t>不</w:t>
      </w:r>
      <w:r>
        <w:rPr>
          <w:rFonts w:hint="eastAsia" w:ascii="仿宋_GB2312" w:hAnsi="仿宋" w:eastAsia="仿宋_GB2312" w:cs="仿宋"/>
          <w:b w:val="0"/>
          <w:bCs w:val="0"/>
          <w:color w:val="auto"/>
          <w:sz w:val="32"/>
          <w:szCs w:val="32"/>
          <w:highlight w:val="none"/>
        </w:rPr>
        <w:t>超过人民币 12.1万元（含税）。该上限价已包含评估报告编制、专家评审费及报告定稿前所有相关费用。</w:t>
      </w:r>
    </w:p>
    <w:p w14:paraId="7D32901F">
      <w:pPr>
        <w:spacing w:line="240" w:lineRule="auto"/>
        <w:ind w:firstLine="710" w:firstLineChars="221"/>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rPr>
        <w:t>2. 基准日调整费用上限</w:t>
      </w:r>
      <w:r>
        <w:rPr>
          <w:rFonts w:hint="eastAsia" w:ascii="仿宋_GB2312" w:hAnsi="仿宋_GB2312" w:eastAsia="仿宋_GB2312" w:cs="仿宋_GB2312"/>
          <w:b/>
          <w:bCs/>
          <w:color w:val="auto"/>
          <w:sz w:val="32"/>
          <w:szCs w:val="32"/>
          <w:highlight w:val="none"/>
          <w:lang w:eastAsia="zh-CN"/>
        </w:rPr>
        <w:t>价</w:t>
      </w:r>
    </w:p>
    <w:p w14:paraId="62CAD2D7">
      <w:pPr>
        <w:pStyle w:val="170"/>
        <w:spacing w:line="560" w:lineRule="exact"/>
        <w:ind w:firstLine="640"/>
        <w:rPr>
          <w:rFonts w:hint="eastAsia" w:ascii="仿宋_GB2312" w:hAnsi="仿宋" w:eastAsia="仿宋_GB2312" w:cs="仿宋"/>
          <w:b w:val="0"/>
          <w:bCs w:val="0"/>
          <w:color w:val="auto"/>
          <w:sz w:val="32"/>
          <w:szCs w:val="32"/>
          <w:highlight w:val="none"/>
        </w:rPr>
      </w:pPr>
      <w:r>
        <w:rPr>
          <w:rFonts w:hint="eastAsia" w:ascii="仿宋_GB2312" w:hAnsi="仿宋" w:eastAsia="仿宋_GB2312" w:cs="仿宋"/>
          <w:b w:val="0"/>
          <w:bCs w:val="0"/>
          <w:color w:val="auto"/>
          <w:sz w:val="32"/>
          <w:szCs w:val="32"/>
          <w:highlight w:val="none"/>
        </w:rPr>
        <w:t>若评估报告定稿后，因委托人书面要求需调整评估基准日，则每次调整的额外服务费用上限价为人民币 1.21万元/次（含税）。该费用涵盖因基准日变更而需重新进行的专家评审、数据更新、复核等必要工作。</w:t>
      </w:r>
    </w:p>
    <w:p w14:paraId="5AB48F5C">
      <w:pPr>
        <w:spacing w:line="360" w:lineRule="auto"/>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eastAsia="zh-CN"/>
        </w:rPr>
        <w:t>四</w:t>
      </w:r>
      <w:r>
        <w:rPr>
          <w:rFonts w:hint="eastAsia" w:ascii="仿宋_GB2312" w:hAnsi="仿宋_GB2312" w:eastAsia="仿宋_GB2312" w:cs="仿宋_GB2312"/>
          <w:b/>
          <w:bCs/>
          <w:color w:val="auto"/>
          <w:sz w:val="32"/>
          <w:szCs w:val="32"/>
          <w:highlight w:val="none"/>
        </w:rPr>
        <w:t>、报价要求：</w:t>
      </w:r>
      <w:r>
        <w:rPr>
          <w:rFonts w:hint="eastAsia" w:ascii="仿宋_GB2312" w:hAnsi="仿宋_GB2312" w:eastAsia="仿宋_GB2312" w:cs="仿宋_GB2312"/>
          <w:color w:val="auto"/>
          <w:sz w:val="32"/>
          <w:szCs w:val="32"/>
          <w:highlight w:val="none"/>
        </w:rPr>
        <w:t>响应单位在此限额下自行报价；成交供应商的响应报价即为最终合同价。</w:t>
      </w:r>
    </w:p>
    <w:p w14:paraId="7A7CA979">
      <w:pPr>
        <w:spacing w:line="360" w:lineRule="auto"/>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五</w:t>
      </w:r>
      <w:r>
        <w:rPr>
          <w:rFonts w:hint="eastAsia" w:ascii="仿宋_GB2312" w:hAnsi="仿宋_GB2312" w:eastAsia="仿宋_GB2312" w:cs="仿宋_GB2312"/>
          <w:b/>
          <w:bCs/>
          <w:sz w:val="32"/>
          <w:szCs w:val="32"/>
          <w:highlight w:val="none"/>
        </w:rPr>
        <w:t>、响应单位资格要求</w:t>
      </w:r>
    </w:p>
    <w:p w14:paraId="51E191FA">
      <w:pPr>
        <w:pStyle w:val="2"/>
        <w:spacing w:line="560" w:lineRule="exact"/>
        <w:ind w:firstLine="640" w:firstLineChars="200"/>
        <w:rPr>
          <w:rFonts w:hint="eastAsia" w:ascii="Times New Roman" w:hAnsi="Times New Roman" w:eastAsia="仿宋_GB2312" w:cs="仿宋_GB2312"/>
          <w:b w:val="0"/>
          <w:bCs w:val="0"/>
          <w:sz w:val="32"/>
          <w:szCs w:val="32"/>
          <w:highlight w:val="none"/>
          <w:lang w:val="en-US" w:eastAsia="zh-CN"/>
        </w:rPr>
      </w:pPr>
      <w:r>
        <w:rPr>
          <w:rFonts w:hint="eastAsia" w:ascii="仿宋_GB2312" w:hAnsi="仿宋_GB2312" w:eastAsia="仿宋_GB2312" w:cs="仿宋_GB2312"/>
          <w:color w:val="auto"/>
          <w:kern w:val="2"/>
          <w:sz w:val="32"/>
          <w:szCs w:val="32"/>
          <w:highlight w:val="none"/>
        </w:rPr>
        <w:t>1.</w:t>
      </w:r>
      <w:r>
        <w:rPr>
          <w:rFonts w:hint="eastAsia" w:ascii="Times New Roman" w:hAnsi="Times New Roman" w:eastAsia="仿宋_GB2312" w:cs="仿宋_GB2312"/>
          <w:b w:val="0"/>
          <w:bCs w:val="0"/>
          <w:sz w:val="32"/>
          <w:szCs w:val="32"/>
          <w:highlight w:val="none"/>
          <w:lang w:val="en-US" w:eastAsia="zh-CN"/>
        </w:rPr>
        <w:t>在中华人民共和国境内注册，具有独立法人资格或是具有独立承担民事责任能力的其它组织。</w:t>
      </w:r>
    </w:p>
    <w:p w14:paraId="3CC2A138">
      <w:pPr>
        <w:pStyle w:val="115"/>
        <w:tabs>
          <w:tab w:val="left" w:pos="426"/>
          <w:tab w:val="left" w:pos="567"/>
        </w:tabs>
        <w:spacing w:line="360" w:lineRule="auto"/>
        <w:ind w:firstLine="56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Times New Roman" w:hAnsi="Times New Roman" w:eastAsia="仿宋_GB2312" w:cs="仿宋_GB2312"/>
          <w:sz w:val="32"/>
          <w:szCs w:val="32"/>
          <w:highlight w:val="none"/>
          <w:lang w:val="en-US" w:eastAsia="zh-CN"/>
        </w:rPr>
        <w:t>具有资产评估备案证书，并具有广东省住建厅颁发的房地产估价机构备案证书。</w:t>
      </w:r>
    </w:p>
    <w:p w14:paraId="250B77B1">
      <w:p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eastAsia="zh-CN"/>
        </w:rPr>
        <w:t>六</w:t>
      </w:r>
      <w:r>
        <w:rPr>
          <w:rFonts w:hint="eastAsia" w:ascii="仿宋_GB2312" w:hAnsi="仿宋_GB2312" w:eastAsia="仿宋_GB2312" w:cs="仿宋_GB2312"/>
          <w:b/>
          <w:bCs/>
          <w:sz w:val="32"/>
          <w:szCs w:val="32"/>
          <w:highlight w:val="none"/>
        </w:rPr>
        <w:t>、评审方法</w:t>
      </w:r>
    </w:p>
    <w:p w14:paraId="20A0037A">
      <w:pPr>
        <w:pStyle w:val="115"/>
        <w:tabs>
          <w:tab w:val="left" w:pos="426"/>
          <w:tab w:val="left" w:pos="567"/>
        </w:tabs>
        <w:spacing w:line="360" w:lineRule="auto"/>
        <w:ind w:firstLine="56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评标方法采用综合评分法。</w:t>
      </w:r>
      <w:r>
        <w:rPr>
          <w:rFonts w:hint="eastAsia" w:ascii="仿宋_GB2312" w:hAnsi="仿宋_GB2312" w:eastAsia="仿宋_GB2312" w:cs="仿宋_GB2312"/>
          <w:sz w:val="32"/>
          <w:szCs w:val="32"/>
          <w:highlight w:val="none"/>
          <w:lang w:val="en-US" w:eastAsia="zh-CN"/>
        </w:rPr>
        <w:t>由委托人自行组建</w:t>
      </w:r>
      <w:r>
        <w:rPr>
          <w:rFonts w:hint="eastAsia" w:ascii="仿宋_GB2312" w:hAnsi="仿宋_GB2312" w:eastAsia="仿宋_GB2312" w:cs="仿宋_GB2312"/>
          <w:sz w:val="32"/>
          <w:szCs w:val="32"/>
          <w:highlight w:val="none"/>
          <w:lang w:eastAsia="zh-CN"/>
        </w:rPr>
        <w:t>评审小组在有效响应单位中比选，推荐得票最高的为成交供应商。（综合评分表详见附件）</w:t>
      </w:r>
    </w:p>
    <w:p w14:paraId="0585BE51">
      <w:pPr>
        <w:spacing w:line="360" w:lineRule="auto"/>
        <w:ind w:firstLine="643" w:firstLineChars="20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七</w:t>
      </w:r>
      <w:r>
        <w:rPr>
          <w:rFonts w:hint="eastAsia" w:ascii="仿宋_GB2312" w:hAnsi="仿宋_GB2312" w:eastAsia="仿宋_GB2312" w:cs="仿宋_GB2312"/>
          <w:b/>
          <w:bCs/>
          <w:color w:val="auto"/>
          <w:sz w:val="32"/>
          <w:szCs w:val="32"/>
          <w:highlight w:val="none"/>
        </w:rPr>
        <w:t>、服务酬劳的支付</w:t>
      </w:r>
    </w:p>
    <w:p w14:paraId="0546F45D">
      <w:pPr>
        <w:numPr>
          <w:ilvl w:val="0"/>
          <w:numId w:val="0"/>
        </w:numPr>
        <w:spacing w:line="560" w:lineRule="exact"/>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（一）支付节点</w:t>
      </w:r>
    </w:p>
    <w:p w14:paraId="1268D5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sz w:val="32"/>
          <w:szCs w:val="32"/>
          <w:highlight w:val="none"/>
          <w:lang w:val="en-US" w:eastAsia="zh-CN"/>
        </w:rPr>
        <w:t>出具资产评估初稿后</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服务方</w:t>
      </w:r>
      <w:r>
        <w:rPr>
          <w:rFonts w:hint="eastAsia" w:ascii="仿宋_GB2312" w:hAnsi="仿宋_GB2312" w:eastAsia="仿宋_GB2312" w:cs="仿宋_GB2312"/>
          <w:color w:val="auto"/>
          <w:sz w:val="32"/>
          <w:szCs w:val="32"/>
          <w:highlight w:val="none"/>
        </w:rPr>
        <w:t>提出书面申请，支付合同总金额的</w:t>
      </w:r>
      <w:r>
        <w:rPr>
          <w:rFonts w:hint="eastAsia" w:ascii="仿宋_GB2312" w:hAnsi="仿宋_GB2312" w:eastAsia="仿宋_GB2312" w:cs="仿宋_GB2312"/>
          <w:color w:val="auto"/>
          <w:sz w:val="32"/>
          <w:szCs w:val="32"/>
          <w:highlight w:val="none"/>
          <w:lang w:val="en-US" w:eastAsia="zh-CN"/>
        </w:rPr>
        <w:t>45</w:t>
      </w:r>
      <w:r>
        <w:rPr>
          <w:rFonts w:hint="eastAsia" w:ascii="仿宋_GB2312" w:hAnsi="仿宋_GB2312" w:eastAsia="仿宋_GB2312" w:cs="仿宋_GB2312"/>
          <w:color w:val="auto"/>
          <w:sz w:val="32"/>
          <w:szCs w:val="32"/>
          <w:highlight w:val="none"/>
        </w:rPr>
        <w:t>%；</w:t>
      </w:r>
    </w:p>
    <w:p w14:paraId="31FFCF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sz w:val="32"/>
          <w:szCs w:val="32"/>
          <w:highlight w:val="none"/>
          <w:lang w:val="en-US" w:eastAsia="zh-CN"/>
        </w:rPr>
        <w:t>资产评估报告定稿经委托方确认后</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服务方</w:t>
      </w:r>
      <w:r>
        <w:rPr>
          <w:rFonts w:hint="eastAsia" w:ascii="仿宋_GB2312" w:hAnsi="仿宋_GB2312" w:eastAsia="仿宋_GB2312" w:cs="仿宋_GB2312"/>
          <w:color w:val="auto"/>
          <w:sz w:val="32"/>
          <w:szCs w:val="32"/>
          <w:highlight w:val="none"/>
        </w:rPr>
        <w:t>提出书面申请，支付合同总金额的</w:t>
      </w:r>
      <w:r>
        <w:rPr>
          <w:rFonts w:hint="eastAsia" w:ascii="仿宋_GB2312" w:hAnsi="仿宋_GB2312" w:eastAsia="仿宋_GB2312" w:cs="仿宋_GB2312"/>
          <w:color w:val="auto"/>
          <w:sz w:val="32"/>
          <w:szCs w:val="32"/>
          <w:highlight w:val="none"/>
          <w:lang w:val="en-US" w:eastAsia="zh-CN"/>
        </w:rPr>
        <w:t>45</w:t>
      </w:r>
      <w:r>
        <w:rPr>
          <w:rFonts w:hint="eastAsia" w:ascii="仿宋_GB2312" w:hAnsi="仿宋_GB2312" w:eastAsia="仿宋_GB2312" w:cs="仿宋_GB2312"/>
          <w:color w:val="auto"/>
          <w:sz w:val="32"/>
          <w:szCs w:val="32"/>
          <w:highlight w:val="none"/>
        </w:rPr>
        <w:t>%；</w:t>
      </w:r>
    </w:p>
    <w:p w14:paraId="60D4DF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完成合同履约评价以及合同结算后，根据履约评价结果一次性支付剩余金额</w:t>
      </w:r>
      <w:r>
        <w:rPr>
          <w:rFonts w:hint="eastAsia" w:ascii="仿宋_GB2312" w:hAnsi="仿宋_GB2312" w:eastAsia="仿宋_GB2312" w:cs="仿宋_GB2312"/>
          <w:color w:val="auto"/>
          <w:sz w:val="32"/>
          <w:szCs w:val="32"/>
          <w:highlight w:val="none"/>
          <w:lang w:eastAsia="zh-CN"/>
        </w:rPr>
        <w:t>。</w:t>
      </w:r>
    </w:p>
    <w:p w14:paraId="287A38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履约评价</w:t>
      </w:r>
    </w:p>
    <w:p w14:paraId="1A037BA3">
      <w:pPr>
        <w:pStyle w:val="115"/>
        <w:tabs>
          <w:tab w:val="left" w:pos="426"/>
          <w:tab w:val="left" w:pos="567"/>
        </w:tabs>
        <w:spacing w:line="360" w:lineRule="auto"/>
        <w:ind w:firstLine="560"/>
        <w:rPr>
          <w:rFonts w:hint="eastAsia" w:ascii="仿宋_GB2312" w:hAnsi="仿宋_GB2312" w:eastAsia="仿宋_GB2312" w:cs="仿宋_GB2312"/>
          <w:color w:val="000000"/>
          <w:sz w:val="32"/>
          <w:szCs w:val="32"/>
          <w:highlight w:val="none"/>
          <w:lang w:val="en-US" w:eastAsia="zh-CN"/>
        </w:rPr>
      </w:pPr>
      <w:r>
        <w:rPr>
          <w:rFonts w:hint="eastAsia" w:ascii="仿宋" w:hAnsi="仿宋" w:eastAsia="仿宋" w:cstheme="minorBidi"/>
          <w:sz w:val="32"/>
          <w:szCs w:val="32"/>
          <w:highlight w:val="none"/>
          <w:lang w:val="en-US" w:eastAsia="zh-CN"/>
        </w:rPr>
        <w:t>在服务完成后启动履约评价，根据履约评价得分支付，履约考核评价为合格或以上等级的，支付全部；履约考核评价为不合格的，不予支付。服务方参与投标、签订合同视为接受委托方的单方履约评价结果，同意由委托方根据单方履约评价结果支付履约考核评价费。</w:t>
      </w:r>
    </w:p>
    <w:p w14:paraId="6F639D22">
      <w:pPr>
        <w:spacing w:line="360" w:lineRule="auto"/>
        <w:ind w:firstLine="643" w:firstLineChars="200"/>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八</w:t>
      </w:r>
      <w:r>
        <w:rPr>
          <w:rFonts w:hint="eastAsia" w:ascii="仿宋_GB2312" w:hAnsi="仿宋_GB2312" w:eastAsia="仿宋_GB2312" w:cs="仿宋_GB2312"/>
          <w:b/>
          <w:bCs/>
          <w:sz w:val="32"/>
          <w:szCs w:val="32"/>
          <w:highlight w:val="none"/>
        </w:rPr>
        <w:t>、响应文件要求</w:t>
      </w:r>
    </w:p>
    <w:p w14:paraId="2DA43C70">
      <w:pPr>
        <w:numPr>
          <w:ilvl w:val="-1"/>
          <w:numId w:val="0"/>
        </w:num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本次公告时间从202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日止，响应承包商应于</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27</w:t>
      </w:r>
      <w:r>
        <w:rPr>
          <w:rFonts w:hint="eastAsia" w:ascii="仿宋_GB2312" w:hAnsi="仿宋_GB2312" w:eastAsia="仿宋_GB2312" w:cs="仿宋_GB2312"/>
          <w:sz w:val="32"/>
          <w:szCs w:val="32"/>
          <w:highlight w:val="none"/>
        </w:rPr>
        <w:t>日1</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:00前将响应文件1正4副密封（统一密封，密封处加盖公章）送交到龙岗区中心城腾飞路创投大厦</w:t>
      </w:r>
      <w:r>
        <w:rPr>
          <w:rFonts w:hint="eastAsia" w:ascii="仿宋_GB2312" w:hAnsi="仿宋_GB2312" w:eastAsia="仿宋_GB2312" w:cs="仿宋_GB2312"/>
          <w:sz w:val="32"/>
          <w:szCs w:val="32"/>
          <w:highlight w:val="none"/>
          <w:lang w:eastAsia="zh-CN"/>
        </w:rPr>
        <w:t>22</w:t>
      </w:r>
      <w:r>
        <w:rPr>
          <w:rFonts w:hint="eastAsia" w:ascii="仿宋_GB2312" w:hAnsi="仿宋_GB2312" w:eastAsia="仿宋_GB2312" w:cs="仿宋_GB2312"/>
          <w:sz w:val="32"/>
          <w:szCs w:val="32"/>
          <w:highlight w:val="none"/>
          <w:lang w:val="en-US" w:eastAsia="zh-CN"/>
        </w:rPr>
        <w:t>03</w:t>
      </w:r>
      <w:r>
        <w:rPr>
          <w:rFonts w:hint="eastAsia" w:ascii="仿宋_GB2312" w:hAnsi="仿宋_GB2312" w:eastAsia="仿宋_GB2312" w:cs="仿宋_GB2312"/>
          <w:sz w:val="32"/>
          <w:szCs w:val="32"/>
          <w:highlight w:val="none"/>
          <w:lang w:eastAsia="zh-CN"/>
        </w:rPr>
        <w:t>室</w:t>
      </w:r>
      <w:r>
        <w:rPr>
          <w:rFonts w:hint="eastAsia" w:ascii="仿宋_GB2312" w:hAnsi="仿宋_GB2312" w:eastAsia="仿宋_GB2312" w:cs="仿宋_GB2312"/>
          <w:sz w:val="32"/>
          <w:szCs w:val="32"/>
          <w:highlight w:val="none"/>
        </w:rPr>
        <w:t>（联系人：</w:t>
      </w:r>
      <w:r>
        <w:rPr>
          <w:rFonts w:hint="eastAsia" w:ascii="仿宋_GB2312" w:hAnsi="仿宋_GB2312" w:eastAsia="仿宋_GB2312" w:cs="仿宋_GB2312"/>
          <w:sz w:val="32"/>
          <w:szCs w:val="32"/>
          <w:highlight w:val="none"/>
          <w:lang w:val="en-US" w:eastAsia="zh-CN"/>
        </w:rPr>
        <w:t>罗</w:t>
      </w:r>
      <w:r>
        <w:rPr>
          <w:rFonts w:hint="eastAsia" w:ascii="仿宋_GB2312" w:hAnsi="仿宋_GB2312" w:eastAsia="仿宋_GB2312" w:cs="仿宋_GB2312"/>
          <w:sz w:val="32"/>
          <w:szCs w:val="32"/>
          <w:highlight w:val="none"/>
        </w:rPr>
        <w:t>工，0755-</w:t>
      </w:r>
      <w:r>
        <w:rPr>
          <w:rFonts w:hint="eastAsia" w:ascii="仿宋_GB2312" w:hAnsi="仿宋_GB2312" w:eastAsia="仿宋_GB2312" w:cs="仿宋_GB2312"/>
          <w:sz w:val="32"/>
          <w:szCs w:val="32"/>
          <w:highlight w:val="none"/>
          <w:lang w:val="en-US" w:eastAsia="zh-CN"/>
        </w:rPr>
        <w:t>28992028</w:t>
      </w:r>
      <w:r>
        <w:rPr>
          <w:rFonts w:hint="eastAsia" w:ascii="仿宋_GB2312" w:hAnsi="仿宋_GB2312" w:eastAsia="仿宋_GB2312" w:cs="仿宋_GB2312"/>
          <w:sz w:val="32"/>
          <w:szCs w:val="32"/>
          <w:highlight w:val="none"/>
        </w:rPr>
        <w:t>），逾期送达或未按要求密封将予以拒收或原封退回给响应承包商。</w:t>
      </w:r>
    </w:p>
    <w:p w14:paraId="5702BEA1">
      <w:pPr>
        <w:numPr>
          <w:ilvl w:val="-1"/>
          <w:numId w:val="0"/>
        </w:num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响应文件包含承诺函、</w:t>
      </w:r>
      <w:r>
        <w:rPr>
          <w:rFonts w:hint="eastAsia" w:ascii="仿宋_GB2312" w:hAnsi="仿宋_GB2312" w:eastAsia="仿宋_GB2312" w:cs="仿宋_GB2312"/>
          <w:sz w:val="32"/>
          <w:szCs w:val="32"/>
          <w:highlight w:val="none"/>
          <w:lang w:val="en-US" w:eastAsia="zh-CN"/>
        </w:rPr>
        <w:t>委托人</w:t>
      </w:r>
      <w:r>
        <w:rPr>
          <w:rFonts w:hint="eastAsia" w:ascii="仿宋_GB2312" w:hAnsi="仿宋_GB2312" w:eastAsia="仿宋_GB2312" w:cs="仿宋_GB2312"/>
          <w:sz w:val="32"/>
          <w:szCs w:val="32"/>
          <w:highlight w:val="none"/>
        </w:rPr>
        <w:t>要求提供的资料等，详见</w:t>
      </w:r>
      <w:r>
        <w:rPr>
          <w:rFonts w:hint="eastAsia" w:ascii="仿宋_GB2312" w:hAnsi="仿宋_GB2312" w:eastAsia="仿宋_GB2312" w:cs="仿宋_GB2312"/>
          <w:sz w:val="32"/>
          <w:szCs w:val="32"/>
          <w:highlight w:val="none"/>
          <w:lang w:val="en-US" w:eastAsia="zh-CN"/>
        </w:rPr>
        <w:t>附件要求</w:t>
      </w:r>
      <w:r>
        <w:rPr>
          <w:rFonts w:hint="eastAsia" w:ascii="仿宋_GB2312" w:hAnsi="仿宋_GB2312" w:eastAsia="仿宋_GB2312" w:cs="仿宋_GB2312"/>
          <w:sz w:val="32"/>
          <w:szCs w:val="32"/>
          <w:highlight w:val="none"/>
        </w:rPr>
        <w:t>。</w:t>
      </w:r>
    </w:p>
    <w:p w14:paraId="2E5C6F79">
      <w:pPr>
        <w:numPr>
          <w:ilvl w:val="-1"/>
          <w:numId w:val="0"/>
        </w:numPr>
        <w:spacing w:line="360" w:lineRule="auto"/>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本次递交响应文件截止时间后，若有效响应单位不足3家的，则发布二次公告，若二次公告期满后，有效响应单位仅有2家的，则拆封响应文件继续评审，有效响应单位仅有1家的，则直接选定承包单位。</w:t>
      </w:r>
    </w:p>
    <w:p w14:paraId="6C00EDB3">
      <w:pPr>
        <w:spacing w:line="360" w:lineRule="auto"/>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color w:val="auto"/>
          <w:sz w:val="32"/>
          <w:szCs w:val="32"/>
          <w:highlight w:val="none"/>
          <w:lang w:eastAsia="zh-CN"/>
        </w:rPr>
        <w:t>九</w:t>
      </w:r>
      <w:r>
        <w:rPr>
          <w:rFonts w:hint="eastAsia" w:ascii="仿宋_GB2312" w:hAnsi="仿宋_GB2312" w:eastAsia="仿宋_GB2312" w:cs="仿宋_GB2312"/>
          <w:b/>
          <w:bCs/>
          <w:color w:val="auto"/>
          <w:sz w:val="32"/>
          <w:szCs w:val="32"/>
          <w:highlight w:val="none"/>
        </w:rPr>
        <w:t>、公开招标（自主）结果公示</w:t>
      </w:r>
    </w:p>
    <w:p w14:paraId="5455CC18">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递交响应文件截止后，</w:t>
      </w:r>
      <w:r>
        <w:rPr>
          <w:rFonts w:hint="eastAsia" w:ascii="仿宋_GB2312" w:hAnsi="仿宋_GB2312" w:eastAsia="仿宋_GB2312" w:cs="仿宋_GB2312"/>
          <w:sz w:val="32"/>
          <w:szCs w:val="32"/>
          <w:highlight w:val="none"/>
          <w:lang w:val="en-US" w:eastAsia="zh-CN"/>
        </w:rPr>
        <w:t>委托人</w:t>
      </w:r>
      <w:r>
        <w:rPr>
          <w:rFonts w:hint="eastAsia" w:ascii="仿宋_GB2312" w:hAnsi="仿宋_GB2312" w:eastAsia="仿宋_GB2312" w:cs="仿宋_GB2312"/>
          <w:sz w:val="32"/>
          <w:szCs w:val="32"/>
          <w:highlight w:val="none"/>
        </w:rPr>
        <w:t>将自行组织响应文件开启、评审等工作，确定承包单位后将在龙岗区城投集团官网进行公示。</w:t>
      </w:r>
    </w:p>
    <w:p w14:paraId="4BCE785F">
      <w:pPr>
        <w:spacing w:line="360" w:lineRule="auto"/>
        <w:ind w:left="0" w:hanging="1928" w:hangingChars="6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特别说明：</w:t>
      </w:r>
    </w:p>
    <w:p w14:paraId="4A9700E6">
      <w:pPr>
        <w:numPr>
          <w:ilvl w:val="-1"/>
          <w:numId w:val="0"/>
        </w:numPr>
        <w:spacing w:line="360" w:lineRule="auto"/>
        <w:ind w:left="0" w:leftChars="0"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资格不符合要求的投标人不能进入比选程序。</w:t>
      </w:r>
    </w:p>
    <w:p w14:paraId="7E458857">
      <w:pPr>
        <w:numPr>
          <w:ilvl w:val="-1"/>
          <w:numId w:val="0"/>
        </w:numPr>
        <w:spacing w:line="360" w:lineRule="auto"/>
        <w:ind w:left="0" w:leftChars="0"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所有响应单位视为同意上述公告内容，确定为承包单位后按公告约定与</w:t>
      </w:r>
      <w:r>
        <w:rPr>
          <w:rFonts w:hint="eastAsia" w:ascii="仿宋_GB2312" w:hAnsi="仿宋_GB2312" w:eastAsia="仿宋_GB2312" w:cs="仿宋_GB2312"/>
          <w:b/>
          <w:bCs/>
          <w:sz w:val="32"/>
          <w:szCs w:val="32"/>
          <w:highlight w:val="none"/>
          <w:lang w:eastAsia="zh-CN"/>
        </w:rPr>
        <w:t>委托人</w:t>
      </w:r>
      <w:r>
        <w:rPr>
          <w:rFonts w:hint="eastAsia" w:ascii="仿宋_GB2312" w:hAnsi="仿宋_GB2312" w:eastAsia="仿宋_GB2312" w:cs="仿宋_GB2312"/>
          <w:b/>
          <w:bCs/>
          <w:sz w:val="32"/>
          <w:szCs w:val="32"/>
          <w:highlight w:val="none"/>
        </w:rPr>
        <w:t>签署合同。</w:t>
      </w:r>
    </w:p>
    <w:p w14:paraId="618CE8AE">
      <w:pPr>
        <w:numPr>
          <w:ilvl w:val="0"/>
          <w:numId w:val="0"/>
        </w:num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3、投标文件编制要求</w:t>
      </w:r>
    </w:p>
    <w:p w14:paraId="30CD5DDC">
      <w:pPr>
        <w:numPr>
          <w:ilvl w:val="0"/>
          <w:numId w:val="0"/>
        </w:num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（1）胶装成A4或A3幅面（A3禁止竖版）文本的，A4幅面厚度一般不超过50mm,A3幅面厚度一般不超过20 mm，超过的建议分册处理，A3封面禁止使用硬材质封面。</w:t>
      </w:r>
    </w:p>
    <w:p w14:paraId="311C8E3A">
      <w:pPr>
        <w:numPr>
          <w:ilvl w:val="0"/>
          <w:numId w:val="0"/>
        </w:num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2.文件在编制时,每本文件自封面开始从“1”编写页号，一般单面文字材料在右下角编写页号，双面书写的文字材料，正面在右下角编号，背面在左下角编号。</w:t>
      </w:r>
    </w:p>
    <w:p w14:paraId="29880E8A">
      <w:pPr>
        <w:numPr>
          <w:ilvl w:val="0"/>
          <w:numId w:val="0"/>
        </w:num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3.投标时应同时提交投标文件纸质文件与PDF扫描文件（载体为光盘或者U盘），扫描文件内容必须与其对应纸质文件一致，扫描文件应清晰、端正、完整、不失真。</w:t>
      </w:r>
    </w:p>
    <w:p w14:paraId="3E506CC9">
      <w:pPr>
        <w:pStyle w:val="2"/>
        <w:rPr>
          <w:rFonts w:hint="eastAsia"/>
          <w:highlight w:val="none"/>
          <w:lang w:val="en-US" w:eastAsia="zh-CN"/>
        </w:rPr>
      </w:pPr>
    </w:p>
    <w:p w14:paraId="53F874CE">
      <w:pPr>
        <w:spacing w:line="360" w:lineRule="auto"/>
        <w:ind w:firstLine="640" w:firstLineChars="200"/>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深圳市龙岗区城市建设投资集团有限公司</w:t>
      </w:r>
    </w:p>
    <w:p w14:paraId="1016EE95">
      <w:pPr>
        <w:spacing w:line="360" w:lineRule="auto"/>
        <w:ind w:firstLine="640" w:firstLineChars="200"/>
        <w:jc w:val="right"/>
        <w:rPr>
          <w:rFonts w:hint="eastAsia" w:eastAsia="宋体"/>
          <w:highlight w:val="none"/>
          <w:lang w:eastAsia="zh-CN"/>
        </w:rPr>
      </w:pPr>
      <w:r>
        <w:rPr>
          <w:rFonts w:hint="eastAsia" w:ascii="仿宋_GB2312" w:hAnsi="仿宋_GB2312" w:eastAsia="仿宋_GB2312" w:cs="仿宋_GB2312"/>
          <w:sz w:val="32"/>
          <w:szCs w:val="32"/>
          <w:highlight w:val="none"/>
          <w:lang w:val="en-US" w:eastAsia="zh-CN"/>
        </w:rPr>
        <w:t>2026年8月20</w:t>
      </w:r>
      <w:bookmarkStart w:id="1" w:name="_GoBack"/>
      <w:bookmarkEnd w:id="1"/>
      <w:r>
        <w:rPr>
          <w:rFonts w:hint="eastAsia" w:ascii="仿宋_GB2312" w:hAnsi="仿宋_GB2312" w:eastAsia="仿宋_GB2312" w:cs="仿宋_GB2312"/>
          <w:sz w:val="32"/>
          <w:szCs w:val="32"/>
          <w:highlight w:val="none"/>
          <w:lang w:val="en-US" w:eastAsia="zh-CN"/>
        </w:rPr>
        <w:t>日</w:t>
      </w:r>
    </w:p>
    <w:p w14:paraId="52510062">
      <w:pPr>
        <w:rPr>
          <w:rFonts w:hint="eastAsia" w:ascii="仿宋_GB2312" w:hAnsi="Times New Roman" w:eastAsia="仿宋_GB2312"/>
          <w:b/>
          <w:bCs/>
          <w:color w:val="auto"/>
          <w:sz w:val="30"/>
          <w:szCs w:val="30"/>
          <w:highlight w:val="none"/>
          <w:lang w:val="en-US" w:eastAsia="zh-CN"/>
        </w:rPr>
      </w:pPr>
      <w:r>
        <w:rPr>
          <w:rFonts w:hint="eastAsia" w:ascii="仿宋_GB2312" w:hAnsi="Times New Roman" w:eastAsia="仿宋_GB2312"/>
          <w:b/>
          <w:bCs/>
          <w:color w:val="auto"/>
          <w:sz w:val="30"/>
          <w:szCs w:val="30"/>
          <w:highlight w:val="none"/>
          <w:lang w:val="en-US" w:eastAsia="zh-CN"/>
        </w:rPr>
        <w:br w:type="page"/>
      </w:r>
    </w:p>
    <w:p w14:paraId="0C01CE9A">
      <w:pPr>
        <w:spacing w:line="500" w:lineRule="exact"/>
        <w:rPr>
          <w:rFonts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t>附件</w:t>
      </w:r>
      <w:r>
        <w:rPr>
          <w:rFonts w:hint="eastAsia" w:ascii="仿宋_GB2312" w:hAnsi="Times New Roman" w:eastAsia="仿宋_GB2312" w:cs="Times New Roman"/>
          <w:b/>
          <w:bCs/>
          <w:color w:val="auto"/>
          <w:sz w:val="30"/>
          <w:szCs w:val="30"/>
          <w:highlight w:val="none"/>
          <w:lang w:val="en-US" w:eastAsia="zh-CN"/>
        </w:rPr>
        <w:t>一</w:t>
      </w:r>
      <w:r>
        <w:rPr>
          <w:rFonts w:hint="eastAsia" w:ascii="仿宋_GB2312" w:hAnsi="Times New Roman" w:eastAsia="仿宋_GB2312" w:cs="Times New Roman"/>
          <w:b/>
          <w:bCs/>
          <w:color w:val="auto"/>
          <w:sz w:val="30"/>
          <w:szCs w:val="30"/>
          <w:highlight w:val="none"/>
        </w:rPr>
        <w:t>：响应文件一览表</w:t>
      </w:r>
    </w:p>
    <w:p w14:paraId="61353F4B">
      <w:pPr>
        <w:widowControl/>
        <w:spacing w:line="560" w:lineRule="exact"/>
        <w:jc w:val="center"/>
        <w:rPr>
          <w:rFonts w:ascii="仿宋" w:hAnsi="仿宋" w:eastAsia="仿宋" w:cs="宋体"/>
          <w:b/>
          <w:color w:val="auto"/>
          <w:kern w:val="0"/>
          <w:sz w:val="30"/>
          <w:szCs w:val="30"/>
          <w:highlight w:val="none"/>
        </w:rPr>
      </w:pPr>
    </w:p>
    <w:p w14:paraId="173CAC55">
      <w:pPr>
        <w:widowControl/>
        <w:spacing w:line="560" w:lineRule="exact"/>
        <w:jc w:val="center"/>
        <w:rPr>
          <w:rFonts w:ascii="仿宋" w:hAnsi="仿宋" w:eastAsia="仿宋" w:cs="宋体"/>
          <w:color w:val="auto"/>
          <w:kern w:val="0"/>
          <w:sz w:val="30"/>
          <w:szCs w:val="30"/>
          <w:highlight w:val="none"/>
        </w:rPr>
      </w:pPr>
      <w:r>
        <w:rPr>
          <w:rFonts w:ascii="仿宋" w:hAnsi="仿宋" w:eastAsia="仿宋" w:cs="宋体"/>
          <w:b/>
          <w:color w:val="auto"/>
          <w:kern w:val="0"/>
          <w:sz w:val="30"/>
          <w:szCs w:val="30"/>
          <w:highlight w:val="none"/>
        </w:rPr>
        <w:t>响应文件要求一览表</w:t>
      </w:r>
    </w:p>
    <w:tbl>
      <w:tblPr>
        <w:tblStyle w:val="54"/>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3478"/>
        <w:gridCol w:w="4518"/>
      </w:tblGrid>
      <w:tr w14:paraId="206B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035" w:type="dxa"/>
            <w:vAlign w:val="center"/>
          </w:tcPr>
          <w:p w14:paraId="047EF1F3">
            <w:pPr>
              <w:spacing w:line="3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3478" w:type="dxa"/>
            <w:vAlign w:val="center"/>
          </w:tcPr>
          <w:p w14:paraId="54EC38BC">
            <w:pPr>
              <w:spacing w:line="3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文件名称</w:t>
            </w:r>
          </w:p>
        </w:tc>
        <w:tc>
          <w:tcPr>
            <w:tcW w:w="4518" w:type="dxa"/>
            <w:vAlign w:val="center"/>
          </w:tcPr>
          <w:p w14:paraId="1F516382">
            <w:pPr>
              <w:spacing w:line="3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要求说明</w:t>
            </w:r>
          </w:p>
        </w:tc>
      </w:tr>
      <w:tr w14:paraId="73EB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14:paraId="6C09AEEB">
            <w:pPr>
              <w:spacing w:line="36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3478" w:type="dxa"/>
            <w:vAlign w:val="center"/>
          </w:tcPr>
          <w:p w14:paraId="78A76422">
            <w:pPr>
              <w:adjustRightInd w:val="0"/>
              <w:snapToGrid w:val="0"/>
              <w:spacing w:line="5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基本情况资料</w:t>
            </w:r>
          </w:p>
        </w:tc>
        <w:tc>
          <w:tcPr>
            <w:tcW w:w="4518" w:type="dxa"/>
            <w:vAlign w:val="center"/>
          </w:tcPr>
          <w:p w14:paraId="3DB15853">
            <w:pPr>
              <w:adjustRightInd w:val="0"/>
              <w:snapToGrid w:val="0"/>
              <w:spacing w:line="280" w:lineRule="exact"/>
              <w:jc w:val="left"/>
              <w:rPr>
                <w:rFonts w:hint="default" w:ascii="宋体" w:hAnsi="宋体" w:cs="Times New Roman" w:eastAsiaTheme="minorEastAsia"/>
                <w:color w:val="auto"/>
                <w:szCs w:val="21"/>
                <w:highlight w:val="none"/>
                <w:lang w:val="en-US" w:eastAsia="zh-CN"/>
              </w:rPr>
            </w:pPr>
            <w:r>
              <w:rPr>
                <w:rFonts w:hint="eastAsia" w:ascii="宋体" w:hAnsi="宋体"/>
                <w:color w:val="auto"/>
                <w:szCs w:val="21"/>
                <w:highlight w:val="none"/>
              </w:rPr>
              <w:t>提供营业执照复印件</w:t>
            </w:r>
            <w:r>
              <w:rPr>
                <w:rFonts w:hint="eastAsia" w:ascii="宋体" w:hAnsi="宋体"/>
                <w:color w:val="auto"/>
                <w:szCs w:val="21"/>
                <w:highlight w:val="none"/>
                <w:lang w:eastAsia="zh-CN"/>
              </w:rPr>
              <w:t>、</w:t>
            </w:r>
            <w:r>
              <w:rPr>
                <w:rFonts w:hint="eastAsia" w:ascii="宋体" w:hAnsi="宋体"/>
                <w:color w:val="auto"/>
                <w:szCs w:val="21"/>
                <w:highlight w:val="none"/>
              </w:rPr>
              <w:t>法定代表人证明书及身份证复印件、法定代表人授权委托书及身份证复印件</w:t>
            </w:r>
            <w:r>
              <w:rPr>
                <w:rFonts w:hint="eastAsia" w:ascii="宋体" w:hAnsi="宋体"/>
                <w:color w:val="auto"/>
                <w:szCs w:val="21"/>
                <w:highlight w:val="none"/>
                <w:lang w:val="en-US" w:eastAsia="zh-CN"/>
              </w:rPr>
              <w:t>加盖公章。</w:t>
            </w:r>
          </w:p>
        </w:tc>
      </w:tr>
      <w:tr w14:paraId="65D0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14:paraId="5A5CBBA2">
            <w:pPr>
              <w:spacing w:line="360" w:lineRule="exact"/>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w:t>
            </w:r>
          </w:p>
        </w:tc>
        <w:tc>
          <w:tcPr>
            <w:tcW w:w="3478" w:type="dxa"/>
            <w:vAlign w:val="center"/>
          </w:tcPr>
          <w:p w14:paraId="5F7747EC">
            <w:pPr>
              <w:adjustRightInd w:val="0"/>
              <w:snapToGrid w:val="0"/>
              <w:spacing w:line="5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承诺函</w:t>
            </w:r>
          </w:p>
        </w:tc>
        <w:tc>
          <w:tcPr>
            <w:tcW w:w="4518" w:type="dxa"/>
            <w:vAlign w:val="center"/>
          </w:tcPr>
          <w:p w14:paraId="77104AFB">
            <w:pPr>
              <w:spacing w:line="280" w:lineRule="exact"/>
              <w:jc w:val="left"/>
              <w:rPr>
                <w:rFonts w:hint="default" w:ascii="宋体" w:hAnsi="宋体" w:eastAsia="宋体" w:cs="Times New Roman"/>
                <w:color w:val="auto"/>
                <w:szCs w:val="21"/>
                <w:highlight w:val="none"/>
                <w:lang w:val="en-US" w:eastAsia="zh-CN"/>
              </w:rPr>
            </w:pPr>
            <w:r>
              <w:rPr>
                <w:rFonts w:hint="eastAsia" w:ascii="宋体" w:hAnsi="宋体" w:eastAsia="宋体" w:cs="仿宋"/>
                <w:color w:val="auto"/>
                <w:szCs w:val="21"/>
                <w:highlight w:val="none"/>
              </w:rPr>
              <w:t>报价不得超过</w:t>
            </w:r>
            <w:r>
              <w:rPr>
                <w:rFonts w:hint="eastAsia" w:ascii="宋体" w:hAnsi="宋体" w:cs="仿宋"/>
                <w:color w:val="auto"/>
                <w:szCs w:val="21"/>
                <w:highlight w:val="none"/>
                <w:lang w:val="en-US" w:eastAsia="zh-CN"/>
              </w:rPr>
              <w:t>投标报价</w:t>
            </w:r>
            <w:r>
              <w:rPr>
                <w:rFonts w:hint="eastAsia" w:ascii="宋体" w:hAnsi="宋体" w:eastAsia="宋体" w:cs="仿宋"/>
                <w:color w:val="auto"/>
                <w:szCs w:val="21"/>
                <w:highlight w:val="none"/>
              </w:rPr>
              <w:t>上限价，保留小数点后</w:t>
            </w:r>
            <w:r>
              <w:rPr>
                <w:rFonts w:hint="eastAsia" w:ascii="宋体" w:hAnsi="宋体" w:eastAsia="宋体" w:cs="仿宋"/>
                <w:color w:val="auto"/>
                <w:szCs w:val="21"/>
                <w:highlight w:val="none"/>
                <w:lang w:val="en-US" w:eastAsia="zh-CN"/>
              </w:rPr>
              <w:t>2</w:t>
            </w:r>
            <w:r>
              <w:rPr>
                <w:rFonts w:hint="eastAsia" w:ascii="宋体" w:hAnsi="宋体" w:eastAsia="宋体" w:cs="仿宋"/>
                <w:color w:val="auto"/>
                <w:szCs w:val="21"/>
                <w:highlight w:val="none"/>
              </w:rPr>
              <w:t>位，</w:t>
            </w:r>
            <w:r>
              <w:rPr>
                <w:rFonts w:hint="eastAsia" w:ascii="宋体" w:hAnsi="宋体" w:eastAsia="宋体" w:cs="仿宋"/>
                <w:color w:val="auto"/>
                <w:szCs w:val="21"/>
                <w:highlight w:val="none"/>
                <w:lang w:val="en-US" w:eastAsia="zh-CN"/>
              </w:rPr>
              <w:t>加盖公章</w:t>
            </w:r>
            <w:r>
              <w:rPr>
                <w:rFonts w:hint="eastAsia" w:ascii="宋体" w:hAnsi="宋体" w:cs="仿宋"/>
                <w:color w:val="auto"/>
                <w:szCs w:val="21"/>
                <w:highlight w:val="none"/>
                <w:lang w:val="en-US" w:eastAsia="zh-CN"/>
              </w:rPr>
              <w:t>。</w:t>
            </w:r>
          </w:p>
        </w:tc>
      </w:tr>
      <w:tr w14:paraId="224D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14:paraId="0B630AF4">
            <w:pPr>
              <w:spacing w:line="360" w:lineRule="exact"/>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p>
        </w:tc>
        <w:tc>
          <w:tcPr>
            <w:tcW w:w="3478" w:type="dxa"/>
            <w:vAlign w:val="center"/>
          </w:tcPr>
          <w:p w14:paraId="767AA2E7">
            <w:pPr>
              <w:spacing w:line="36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龙岗区进一步规范政商交往行为告知书</w:t>
            </w:r>
          </w:p>
        </w:tc>
        <w:tc>
          <w:tcPr>
            <w:tcW w:w="4518" w:type="dxa"/>
            <w:vAlign w:val="center"/>
          </w:tcPr>
          <w:p w14:paraId="4BEFC4F7">
            <w:pPr>
              <w:spacing w:line="28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提供法定代表人或者法定代表人授权人签字版</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并</w:t>
            </w:r>
            <w:r>
              <w:rPr>
                <w:rFonts w:hint="eastAsia" w:ascii="宋体" w:hAnsi="宋体" w:eastAsia="宋体" w:cs="Times New Roman"/>
                <w:color w:val="auto"/>
                <w:szCs w:val="21"/>
                <w:highlight w:val="none"/>
                <w:lang w:val="en-US" w:eastAsia="zh-CN"/>
              </w:rPr>
              <w:t>加盖公章。</w:t>
            </w:r>
          </w:p>
          <w:p w14:paraId="0928B5D8">
            <w:pPr>
              <w:spacing w:line="280" w:lineRule="exact"/>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格式见后附件</w:t>
            </w:r>
            <w:r>
              <w:rPr>
                <w:rFonts w:hint="eastAsia" w:ascii="宋体" w:hAnsi="宋体" w:cs="Times New Roman"/>
                <w:color w:val="auto"/>
                <w:szCs w:val="21"/>
                <w:highlight w:val="none"/>
                <w:lang w:eastAsia="zh-CN"/>
              </w:rPr>
              <w:t>。</w:t>
            </w:r>
          </w:p>
        </w:tc>
      </w:tr>
      <w:tr w14:paraId="2A96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14:paraId="2094F86A">
            <w:pPr>
              <w:spacing w:line="360" w:lineRule="exact"/>
              <w:jc w:val="center"/>
              <w:rPr>
                <w:rFonts w:hint="default"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p>
        </w:tc>
        <w:tc>
          <w:tcPr>
            <w:tcW w:w="3478" w:type="dxa"/>
            <w:vAlign w:val="center"/>
          </w:tcPr>
          <w:p w14:paraId="69A3BCFC">
            <w:pPr>
              <w:spacing w:line="360" w:lineRule="exact"/>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企业实力</w:t>
            </w:r>
          </w:p>
        </w:tc>
        <w:tc>
          <w:tcPr>
            <w:tcW w:w="4518" w:type="dxa"/>
            <w:vAlign w:val="center"/>
          </w:tcPr>
          <w:p w14:paraId="00CABE1C">
            <w:pPr>
              <w:spacing w:line="280" w:lineRule="exact"/>
              <w:jc w:val="left"/>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根据附件综合评分表要求的证明材料提供。</w:t>
            </w:r>
          </w:p>
        </w:tc>
      </w:tr>
      <w:tr w14:paraId="0788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14:paraId="7E2A4949">
            <w:pPr>
              <w:spacing w:line="360" w:lineRule="exact"/>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5</w:t>
            </w:r>
          </w:p>
        </w:tc>
        <w:tc>
          <w:tcPr>
            <w:tcW w:w="3478" w:type="dxa"/>
            <w:vAlign w:val="center"/>
          </w:tcPr>
          <w:p w14:paraId="669BD187">
            <w:pPr>
              <w:spacing w:line="360" w:lineRule="exact"/>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报价人认为需要加以说明的其他内容</w:t>
            </w:r>
          </w:p>
        </w:tc>
        <w:tc>
          <w:tcPr>
            <w:tcW w:w="4518" w:type="dxa"/>
            <w:vAlign w:val="center"/>
          </w:tcPr>
          <w:p w14:paraId="11BDB4CF">
            <w:pPr>
              <w:spacing w:line="2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如有。</w:t>
            </w:r>
          </w:p>
        </w:tc>
      </w:tr>
    </w:tbl>
    <w:p w14:paraId="4C459B20">
      <w:pPr>
        <w:spacing w:line="240" w:lineRule="auto"/>
        <w:jc w:val="left"/>
        <w:rPr>
          <w:rFonts w:hint="eastAsia" w:ascii="方正小标宋简体" w:hAnsi="方正小标宋简体" w:eastAsia="方正小标宋简体" w:cs="方正小标宋简体"/>
          <w:sz w:val="44"/>
          <w:szCs w:val="44"/>
          <w:highlight w:val="none"/>
        </w:rPr>
      </w:pPr>
      <w:r>
        <w:rPr>
          <w:rFonts w:hint="eastAsia" w:ascii="仿宋_GB2312" w:hAnsi="Times New Roman" w:eastAsia="仿宋_GB2312" w:cs="Times New Roman"/>
          <w:color w:val="auto"/>
          <w:sz w:val="24"/>
          <w:szCs w:val="24"/>
          <w:highlight w:val="none"/>
        </w:rPr>
        <w:t>备注：以上提供资料均须加盖公章，未加盖公章资料视为无效资料。</w:t>
      </w:r>
    </w:p>
    <w:p w14:paraId="7BCF2427">
      <w:pPr>
        <w:spacing w:line="240" w:lineRule="auto"/>
        <w:jc w:val="left"/>
        <w:rPr>
          <w:rFonts w:hint="eastAsia" w:ascii="方正小标宋简体" w:hAnsi="方正小标宋简体" w:eastAsia="方正小标宋简体" w:cs="方正小标宋简体"/>
          <w:sz w:val="44"/>
          <w:szCs w:val="44"/>
          <w:highlight w:val="none"/>
          <w:lang w:eastAsia="zh-CN"/>
        </w:rPr>
      </w:pPr>
    </w:p>
    <w:p w14:paraId="3D75AD37">
      <w:pPr>
        <w:rPr>
          <w:rFonts w:hint="eastAsia"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br w:type="page"/>
      </w:r>
    </w:p>
    <w:p w14:paraId="19F04DAC">
      <w:pPr>
        <w:rPr>
          <w:rFonts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t>附件</w:t>
      </w:r>
      <w:r>
        <w:rPr>
          <w:rFonts w:hint="eastAsia" w:ascii="仿宋_GB2312" w:hAnsi="Times New Roman" w:eastAsia="仿宋_GB2312" w:cs="Times New Roman"/>
          <w:b/>
          <w:bCs/>
          <w:color w:val="auto"/>
          <w:sz w:val="30"/>
          <w:szCs w:val="30"/>
          <w:highlight w:val="none"/>
          <w:lang w:val="en-US" w:eastAsia="zh-CN"/>
        </w:rPr>
        <w:t>二</w:t>
      </w:r>
      <w:r>
        <w:rPr>
          <w:rFonts w:hint="eastAsia" w:ascii="仿宋_GB2312" w:hAnsi="Times New Roman" w:eastAsia="仿宋_GB2312" w:cs="Times New Roman"/>
          <w:b/>
          <w:bCs/>
          <w:color w:val="auto"/>
          <w:sz w:val="30"/>
          <w:szCs w:val="30"/>
          <w:highlight w:val="none"/>
        </w:rPr>
        <w:t>：承诺函</w:t>
      </w:r>
    </w:p>
    <w:p w14:paraId="518CE648">
      <w:pPr>
        <w:pStyle w:val="2"/>
        <w:spacing w:line="520" w:lineRule="exact"/>
        <w:jc w:val="center"/>
        <w:rPr>
          <w:rFonts w:hAnsi="宋体"/>
          <w:bCs/>
          <w:color w:val="auto"/>
          <w:sz w:val="24"/>
          <w:szCs w:val="24"/>
          <w:highlight w:val="none"/>
        </w:rPr>
      </w:pPr>
      <w:r>
        <w:rPr>
          <w:rFonts w:hint="eastAsia" w:hAnsi="宋体"/>
          <w:color w:val="auto"/>
          <w:sz w:val="36"/>
          <w:szCs w:val="36"/>
          <w:highlight w:val="none"/>
        </w:rPr>
        <w:t>承诺函</w:t>
      </w:r>
    </w:p>
    <w:p w14:paraId="0D4FE63A">
      <w:pPr>
        <w:pStyle w:val="2"/>
        <w:spacing w:line="360" w:lineRule="auto"/>
        <w:ind w:left="0" w:leftChars="0" w:firstLine="0" w:firstLineChars="0"/>
        <w:rPr>
          <w:rFonts w:hint="eastAsia" w:hAnsi="宋体"/>
          <w:bCs/>
          <w:color w:val="auto"/>
          <w:sz w:val="24"/>
          <w:szCs w:val="24"/>
          <w:highlight w:val="none"/>
        </w:rPr>
      </w:pPr>
    </w:p>
    <w:p w14:paraId="192E2563">
      <w:pPr>
        <w:pStyle w:val="2"/>
        <w:spacing w:line="360" w:lineRule="auto"/>
        <w:ind w:left="0" w:leftChars="0" w:firstLine="0" w:firstLineChars="0"/>
        <w:rPr>
          <w:rFonts w:hAnsi="宋体"/>
          <w:bCs/>
          <w:color w:val="auto"/>
          <w:sz w:val="24"/>
          <w:szCs w:val="24"/>
          <w:highlight w:val="none"/>
        </w:rPr>
      </w:pPr>
      <w:r>
        <w:rPr>
          <w:rFonts w:hint="eastAsia" w:hAnsi="宋体"/>
          <w:bCs/>
          <w:color w:val="auto"/>
          <w:sz w:val="24"/>
          <w:szCs w:val="24"/>
          <w:highlight w:val="none"/>
        </w:rPr>
        <w:t>致</w:t>
      </w:r>
      <w:r>
        <w:rPr>
          <w:rFonts w:hint="eastAsia" w:hAnsi="宋体"/>
          <w:bCs/>
          <w:color w:val="auto"/>
          <w:sz w:val="24"/>
          <w:szCs w:val="24"/>
          <w:highlight w:val="none"/>
          <w:lang w:val="en-US" w:eastAsia="zh-CN"/>
        </w:rPr>
        <w:t>委托人</w:t>
      </w:r>
      <w:r>
        <w:rPr>
          <w:rFonts w:hint="eastAsia" w:hAnsi="宋体"/>
          <w:bCs/>
          <w:color w:val="auto"/>
          <w:sz w:val="24"/>
          <w:szCs w:val="24"/>
          <w:highlight w:val="none"/>
          <w:lang w:eastAsia="zh-CN"/>
        </w:rPr>
        <w:t>：深圳市龙岗区城市建设投资集团有限公司</w:t>
      </w:r>
    </w:p>
    <w:p w14:paraId="30B95450">
      <w:pPr>
        <w:spacing w:line="360" w:lineRule="auto"/>
        <w:ind w:left="0" w:leftChars="0" w:firstLine="480" w:firstLineChars="200"/>
        <w:jc w:val="left"/>
        <w:rPr>
          <w:rFonts w:hint="eastAsia" w:hAnsi="宋体" w:eastAsia="宋体"/>
          <w:bCs/>
          <w:color w:val="auto"/>
          <w:sz w:val="24"/>
          <w:szCs w:val="24"/>
          <w:highlight w:val="none"/>
          <w:lang w:val="en-US" w:eastAsia="zh-CN"/>
        </w:rPr>
      </w:pPr>
      <w:r>
        <w:rPr>
          <w:rFonts w:hint="eastAsia" w:hAnsi="宋体"/>
          <w:bCs/>
          <w:color w:val="auto"/>
          <w:sz w:val="24"/>
          <w:szCs w:val="24"/>
          <w:highlight w:val="none"/>
        </w:rPr>
        <w:t>为了确保本项目工作顺利进行，我方将严格</w:t>
      </w:r>
      <w:r>
        <w:rPr>
          <w:rFonts w:hint="eastAsia" w:hAnsi="宋体"/>
          <w:bCs/>
          <w:color w:val="auto"/>
          <w:sz w:val="24"/>
          <w:szCs w:val="24"/>
          <w:highlight w:val="none"/>
          <w:lang w:val="en-US" w:eastAsia="zh-CN"/>
        </w:rPr>
        <w:t>遵守本项目涉及的相关</w:t>
      </w:r>
      <w:r>
        <w:rPr>
          <w:rFonts w:hint="eastAsia" w:hAnsi="宋体"/>
          <w:bCs/>
          <w:color w:val="auto"/>
          <w:sz w:val="24"/>
          <w:szCs w:val="24"/>
          <w:highlight w:val="none"/>
        </w:rPr>
        <w:t>法律法规，并完全接受</w:t>
      </w:r>
      <w:r>
        <w:rPr>
          <w:rFonts w:hint="eastAsia" w:hAnsi="宋体"/>
          <w:bCs/>
          <w:color w:val="auto"/>
          <w:sz w:val="24"/>
          <w:szCs w:val="24"/>
          <w:highlight w:val="none"/>
          <w:u w:val="single"/>
        </w:rPr>
        <w:t>城科装备公司股权转让资产评估服务</w:t>
      </w:r>
      <w:r>
        <w:rPr>
          <w:rFonts w:hint="eastAsia" w:hAnsi="宋体"/>
          <w:bCs/>
          <w:color w:val="auto"/>
          <w:sz w:val="24"/>
          <w:szCs w:val="24"/>
          <w:highlight w:val="none"/>
        </w:rPr>
        <w:t>采购的所有内容及要求</w:t>
      </w:r>
      <w:r>
        <w:rPr>
          <w:rFonts w:hint="eastAsia" w:hAnsi="宋体"/>
          <w:bCs/>
          <w:color w:val="auto"/>
          <w:sz w:val="24"/>
          <w:szCs w:val="24"/>
          <w:highlight w:val="none"/>
          <w:lang w:eastAsia="zh-CN"/>
        </w:rPr>
        <w:t>，</w:t>
      </w:r>
      <w:r>
        <w:rPr>
          <w:rFonts w:hint="eastAsia" w:hAnsi="宋体"/>
          <w:bCs/>
          <w:color w:val="auto"/>
          <w:sz w:val="24"/>
          <w:szCs w:val="24"/>
          <w:highlight w:val="none"/>
        </w:rPr>
        <w:t>为此作出如下承诺：</w:t>
      </w:r>
    </w:p>
    <w:p w14:paraId="422DCD2D">
      <w:pPr>
        <w:numPr>
          <w:ilvl w:val="0"/>
          <w:numId w:val="3"/>
        </w:num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b/>
          <w:bCs/>
          <w:color w:val="auto"/>
          <w:sz w:val="24"/>
          <w:szCs w:val="24"/>
          <w:highlight w:val="none"/>
        </w:rPr>
        <w:t>根</w:t>
      </w:r>
      <w:r>
        <w:rPr>
          <w:rFonts w:hint="eastAsia" w:ascii="宋体" w:hAnsi="宋体" w:eastAsia="宋体" w:cs="Times New Roman"/>
          <w:b/>
          <w:color w:val="auto"/>
          <w:sz w:val="24"/>
          <w:szCs w:val="24"/>
          <w:highlight w:val="none"/>
        </w:rPr>
        <w:t>据企业自身情况，理性报价，不会以低于成本的报价竞标，并愿以</w:t>
      </w:r>
      <w:r>
        <w:rPr>
          <w:rFonts w:hint="eastAsia" w:ascii="宋体" w:hAnsi="宋体" w:cs="Times New Roman"/>
          <w:b/>
          <w:color w:val="auto"/>
          <w:sz w:val="24"/>
          <w:szCs w:val="24"/>
          <w:highlight w:val="none"/>
          <w:u w:val="single"/>
          <w:lang w:val="en-US" w:eastAsia="zh-CN"/>
        </w:rPr>
        <w:t xml:space="preserve">    </w:t>
      </w:r>
      <w:r>
        <w:rPr>
          <w:rFonts w:hint="eastAsia" w:ascii="宋体" w:hAnsi="宋体" w:eastAsia="宋体" w:cs="Times New Roman"/>
          <w:b/>
          <w:color w:val="auto"/>
          <w:sz w:val="24"/>
          <w:szCs w:val="24"/>
          <w:highlight w:val="none"/>
        </w:rPr>
        <w:t>万元，按照</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要求承包本项目工作</w:t>
      </w:r>
      <w:r>
        <w:rPr>
          <w:rFonts w:hint="eastAsia" w:ascii="宋体" w:hAnsi="宋体" w:cs="Times New Roman"/>
          <w:b/>
          <w:color w:val="auto"/>
          <w:sz w:val="24"/>
          <w:szCs w:val="24"/>
          <w:highlight w:val="none"/>
          <w:lang w:eastAsia="zh-CN"/>
        </w:rPr>
        <w:t>（若评估报告定稿后，后续出现委托人书面要求调整基准日的情况，调整费用为</w:t>
      </w:r>
      <w:r>
        <w:rPr>
          <w:rFonts w:hint="eastAsia" w:ascii="宋体" w:hAnsi="宋体" w:cs="Times New Roman"/>
          <w:b/>
          <w:color w:val="auto"/>
          <w:sz w:val="24"/>
          <w:szCs w:val="24"/>
          <w:highlight w:val="none"/>
          <w:u w:val="single"/>
          <w:lang w:val="en-US" w:eastAsia="zh-CN"/>
        </w:rPr>
        <w:t xml:space="preserve">     </w:t>
      </w:r>
      <w:r>
        <w:rPr>
          <w:rFonts w:hint="eastAsia" w:ascii="宋体" w:hAnsi="宋体" w:cs="Times New Roman"/>
          <w:b/>
          <w:color w:val="auto"/>
          <w:sz w:val="24"/>
          <w:szCs w:val="24"/>
          <w:highlight w:val="none"/>
          <w:lang w:val="en-US" w:eastAsia="zh-CN"/>
        </w:rPr>
        <w:t>万元/次</w:t>
      </w:r>
      <w:r>
        <w:rPr>
          <w:rFonts w:hint="eastAsia" w:ascii="宋体" w:hAnsi="宋体" w:cs="Times New Roman"/>
          <w:b/>
          <w:color w:val="auto"/>
          <w:sz w:val="24"/>
          <w:szCs w:val="24"/>
          <w:highlight w:val="none"/>
          <w:lang w:eastAsia="zh-CN"/>
        </w:rPr>
        <w:t>）</w:t>
      </w:r>
      <w:r>
        <w:rPr>
          <w:rFonts w:hint="eastAsia" w:ascii="宋体" w:hAnsi="宋体" w:eastAsia="宋体" w:cs="Times New Roman"/>
          <w:b/>
          <w:color w:val="auto"/>
          <w:sz w:val="24"/>
          <w:szCs w:val="24"/>
          <w:highlight w:val="none"/>
        </w:rPr>
        <w:t>，并签署服务合同。否则，我方愿意承担任何风险。</w:t>
      </w:r>
    </w:p>
    <w:p w14:paraId="38E9EC4A">
      <w:pPr>
        <w:numPr>
          <w:ilvl w:val="0"/>
          <w:numId w:val="3"/>
        </w:num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一旦我方中选，将与委托单位友好合作，并以不低于自身已有同类工作案例中最优的质量标准、进度要求、团队配置执行委托工作任务，自觉接受委托单位的日常监管和履约评价，为委托单位提供优质、高效服务，确保承接工作质量。</w:t>
      </w:r>
    </w:p>
    <w:p w14:paraId="68A1C804">
      <w:pPr>
        <w:numPr>
          <w:ilvl w:val="0"/>
          <w:numId w:val="3"/>
        </w:num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我方承诺履行项目管理班子配备义务，不擅自更换</w:t>
      </w:r>
      <w:r>
        <w:rPr>
          <w:rFonts w:hint="eastAsia" w:ascii="宋体" w:hAnsi="宋体" w:cs="Times New Roman"/>
          <w:bCs/>
          <w:color w:val="auto"/>
          <w:sz w:val="24"/>
          <w:szCs w:val="24"/>
          <w:highlight w:val="none"/>
          <w:lang w:val="en-US" w:eastAsia="zh-CN"/>
        </w:rPr>
        <w:t>投标</w:t>
      </w:r>
      <w:r>
        <w:rPr>
          <w:rFonts w:hint="eastAsia" w:ascii="宋体" w:hAnsi="宋体" w:eastAsia="宋体" w:cs="Times New Roman"/>
          <w:bCs/>
          <w:color w:val="auto"/>
          <w:sz w:val="24"/>
          <w:szCs w:val="24"/>
          <w:highlight w:val="none"/>
        </w:rPr>
        <w:t>时的项目团队（注册执业人员），如不能继续履行职责确需更换的，所更换人员为我单位职工，其从业资格不低于</w:t>
      </w:r>
      <w:r>
        <w:rPr>
          <w:rFonts w:hint="eastAsia" w:ascii="宋体" w:hAnsi="宋体" w:cs="Times New Roman"/>
          <w:bCs/>
          <w:color w:val="auto"/>
          <w:sz w:val="24"/>
          <w:szCs w:val="24"/>
          <w:highlight w:val="none"/>
          <w:lang w:val="en-US" w:eastAsia="zh-CN"/>
        </w:rPr>
        <w:t>投标</w:t>
      </w:r>
      <w:r>
        <w:rPr>
          <w:rFonts w:hint="eastAsia" w:ascii="宋体" w:hAnsi="宋体" w:eastAsia="宋体" w:cs="Times New Roman"/>
          <w:bCs/>
          <w:color w:val="auto"/>
          <w:sz w:val="24"/>
          <w:szCs w:val="24"/>
          <w:highlight w:val="none"/>
        </w:rPr>
        <w:t>时承诺条件。</w:t>
      </w:r>
    </w:p>
    <w:p w14:paraId="492B4098">
      <w:pPr>
        <w:numPr>
          <w:ilvl w:val="0"/>
          <w:numId w:val="3"/>
        </w:num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如果违反本承诺书中任何条款，我方愿意接受：</w:t>
      </w:r>
    </w:p>
    <w:p w14:paraId="1BD3E61E">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（1）视作我方单方面违约，并按照合同规定向贵方支付违约金或解除合同；</w:t>
      </w:r>
    </w:p>
    <w:p w14:paraId="5AD69A49">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（2）履约评价评定为合格及以下；</w:t>
      </w:r>
    </w:p>
    <w:p w14:paraId="6C07B793">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（3）贵方今后可拒绝我方参与投标；</w:t>
      </w:r>
    </w:p>
    <w:p w14:paraId="7D2AD731">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（4）建设行政主管部门或相关主管部门的不良行为记录、行政处罚。</w:t>
      </w:r>
    </w:p>
    <w:p w14:paraId="069511C9">
      <w:pPr>
        <w:spacing w:line="600" w:lineRule="exact"/>
        <w:ind w:firstLine="3600" w:firstLineChars="15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承诺单位（盖章）：</w:t>
      </w:r>
    </w:p>
    <w:p w14:paraId="10C89B6F">
      <w:pPr>
        <w:spacing w:line="600" w:lineRule="exact"/>
        <w:ind w:firstLine="3600" w:firstLineChars="15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法定代表人或授权</w:t>
      </w:r>
      <w:r>
        <w:rPr>
          <w:rFonts w:hint="eastAsia" w:ascii="宋体" w:hAnsi="宋体" w:cs="Times New Roman"/>
          <w:bCs/>
          <w:color w:val="auto"/>
          <w:sz w:val="24"/>
          <w:szCs w:val="24"/>
          <w:highlight w:val="none"/>
          <w:lang w:val="en-US" w:eastAsia="zh-CN"/>
        </w:rPr>
        <w:t>代表</w:t>
      </w:r>
      <w:r>
        <w:rPr>
          <w:rFonts w:hint="eastAsia" w:ascii="宋体" w:hAnsi="宋体" w:eastAsia="宋体" w:cs="Times New Roman"/>
          <w:bCs/>
          <w:color w:val="auto"/>
          <w:sz w:val="24"/>
          <w:szCs w:val="24"/>
          <w:highlight w:val="none"/>
        </w:rPr>
        <w:t>（签字或盖私章）：</w:t>
      </w:r>
    </w:p>
    <w:p w14:paraId="15F8EB78">
      <w:pPr>
        <w:spacing w:line="600" w:lineRule="exact"/>
        <w:ind w:firstLine="3600" w:firstLineChars="1500"/>
        <w:jc w:val="left"/>
        <w:rPr>
          <w:rFonts w:hint="eastAsia" w:ascii="方正小标宋简体" w:hAnsi="方正小标宋简体" w:eastAsia="方正小标宋简体" w:cs="方正小标宋简体"/>
          <w:sz w:val="44"/>
          <w:szCs w:val="44"/>
          <w:highlight w:val="none"/>
        </w:rPr>
      </w:pPr>
      <w:r>
        <w:rPr>
          <w:rFonts w:hint="eastAsia" w:ascii="宋体" w:hAnsi="宋体" w:eastAsia="宋体" w:cs="Times New Roman"/>
          <w:bCs/>
          <w:color w:val="auto"/>
          <w:sz w:val="24"/>
          <w:szCs w:val="24"/>
          <w:highlight w:val="none"/>
        </w:rPr>
        <w:t>签署日期：    年    月    日</w:t>
      </w:r>
    </w:p>
    <w:p w14:paraId="3D00A6C8">
      <w:pPr>
        <w:rPr>
          <w:rFonts w:hint="eastAsia" w:ascii="仿宋_GB2312" w:hAnsi="Times New Roman" w:eastAsia="仿宋_GB2312"/>
          <w:b/>
          <w:bCs/>
          <w:color w:val="auto"/>
          <w:sz w:val="30"/>
          <w:szCs w:val="30"/>
          <w:highlight w:val="none"/>
          <w:lang w:val="en-US" w:eastAsia="zh-CN"/>
        </w:rPr>
      </w:pPr>
      <w:r>
        <w:rPr>
          <w:rFonts w:hint="eastAsia" w:ascii="仿宋_GB2312" w:hAnsi="Times New Roman" w:eastAsia="仿宋_GB2312"/>
          <w:b/>
          <w:bCs/>
          <w:color w:val="auto"/>
          <w:sz w:val="30"/>
          <w:szCs w:val="30"/>
          <w:highlight w:val="none"/>
          <w:lang w:val="en-US" w:eastAsia="zh-CN"/>
        </w:rPr>
        <w:br w:type="page"/>
      </w:r>
    </w:p>
    <w:p w14:paraId="61DDE705">
      <w:pPr>
        <w:spacing w:line="500" w:lineRule="exact"/>
        <w:jc w:val="both"/>
        <w:rPr>
          <w:rFonts w:hint="eastAsia" w:ascii="仿宋_GB2312" w:hAnsi="Times New Roman" w:eastAsia="仿宋_GB2312"/>
          <w:b/>
          <w:bCs/>
          <w:color w:val="auto"/>
          <w:sz w:val="30"/>
          <w:szCs w:val="30"/>
          <w:highlight w:val="none"/>
          <w:lang w:val="en-US" w:eastAsia="zh-CN"/>
        </w:rPr>
      </w:pPr>
      <w:r>
        <w:rPr>
          <w:rFonts w:hint="eastAsia" w:ascii="仿宋_GB2312" w:hAnsi="Times New Roman" w:eastAsia="仿宋_GB2312"/>
          <w:b/>
          <w:bCs/>
          <w:color w:val="auto"/>
          <w:sz w:val="30"/>
          <w:szCs w:val="30"/>
          <w:highlight w:val="none"/>
          <w:lang w:val="en-US" w:eastAsia="zh-CN"/>
        </w:rPr>
        <w:t>附件三：</w:t>
      </w:r>
    </w:p>
    <w:p w14:paraId="7154B9F9">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b/>
          <w:bCs/>
          <w:sz w:val="28"/>
          <w:szCs w:val="28"/>
          <w:highlight w:val="none"/>
        </w:rPr>
      </w:pPr>
      <w:r>
        <w:rPr>
          <w:rFonts w:hint="eastAsia"/>
          <w:b/>
          <w:bCs/>
          <w:sz w:val="28"/>
          <w:szCs w:val="28"/>
          <w:highlight w:val="none"/>
        </w:rPr>
        <w:t>龙岗区进一步规范政商交往行为告知书</w:t>
      </w:r>
    </w:p>
    <w:p w14:paraId="605890E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28A5EE4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一、不得向公职人员赠送礼品、礼金、消费卡等财物。</w:t>
      </w:r>
    </w:p>
    <w:p w14:paraId="3D251C2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二、不得违规向公职人员提供宴请、旅游、娱乐等安排。</w:t>
      </w:r>
    </w:p>
    <w:p w14:paraId="43586B3D">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三、不得通过打麻将等形式向公职人员输送利益。</w:t>
      </w:r>
    </w:p>
    <w:p w14:paraId="29C66A4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四、不得为公职人员报销应由其个人支付的费用。</w:t>
      </w:r>
    </w:p>
    <w:p w14:paraId="47814D0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五、不得违规向公职人员及其亲友借贷款。</w:t>
      </w:r>
    </w:p>
    <w:p w14:paraId="4161549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六、不得违规将车辆、住房等借给公职人员使用。</w:t>
      </w:r>
    </w:p>
    <w:p w14:paraId="7B6B096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七、不得在招投标中与公职人员搞暗箱操作、围标串标。</w:t>
      </w:r>
    </w:p>
    <w:p w14:paraId="16A9796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八、不得为利益相关人和公职人员牵线搭桥或者代为传递信息、传递财物。</w:t>
      </w:r>
    </w:p>
    <w:p w14:paraId="358FBB0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九、不得让公职人员在企业违规兼职取酬。</w:t>
      </w:r>
    </w:p>
    <w:p w14:paraId="67A4410A">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十、不得为公职人员亲友违规承揽业务提供便利。</w:t>
      </w:r>
    </w:p>
    <w:p w14:paraId="057060D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14:paraId="353429C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p>
    <w:p w14:paraId="1DBF9E4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本人已知晓上述告知内容，并愿意遵照执行（</w:t>
      </w:r>
      <w:r>
        <w:rPr>
          <w:rFonts w:hint="eastAsia" w:ascii="宋体" w:hAnsi="宋体" w:cs="宋体"/>
          <w:color w:val="000000"/>
          <w:sz w:val="24"/>
          <w:szCs w:val="24"/>
          <w:highlight w:val="none"/>
          <w:lang w:val="en-US" w:eastAsia="zh-CN"/>
        </w:rPr>
        <w:t>签字盖章</w:t>
      </w:r>
      <w:r>
        <w:rPr>
          <w:rFonts w:hint="eastAsia" w:ascii="宋体" w:hAnsi="宋体" w:eastAsia="宋体" w:cs="宋体"/>
          <w:color w:val="000000"/>
          <w:sz w:val="24"/>
          <w:szCs w:val="24"/>
          <w:highlight w:val="none"/>
        </w:rPr>
        <w:t>）：</w:t>
      </w:r>
    </w:p>
    <w:p w14:paraId="4B4C3D98">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宋体" w:hAnsi="宋体" w:eastAsia="宋体" w:cs="宋体"/>
          <w:color w:val="000000"/>
          <w:sz w:val="24"/>
          <w:szCs w:val="24"/>
          <w:highlight w:val="none"/>
        </w:rPr>
      </w:pPr>
    </w:p>
    <w:p w14:paraId="09DA1513">
      <w:pPr>
        <w:spacing w:line="240" w:lineRule="auto"/>
        <w:jc w:val="right"/>
        <w:outlineLvl w:val="9"/>
        <w:rPr>
          <w:rFonts w:hint="eastAsia" w:ascii="宋体" w:hAnsi="宋体"/>
          <w:b/>
          <w:snapToGrid w:val="0"/>
          <w:kern w:val="0"/>
          <w:sz w:val="32"/>
          <w:szCs w:val="32"/>
          <w:highlight w:val="none"/>
        </w:rPr>
      </w:pPr>
      <w:r>
        <w:rPr>
          <w:rFonts w:hint="eastAsia"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年</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月</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日</w:t>
      </w:r>
    </w:p>
    <w:p w14:paraId="64D79E61">
      <w:pPr>
        <w:rPr>
          <w:rFonts w:hint="eastAsia"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br w:type="page"/>
      </w:r>
    </w:p>
    <w:p w14:paraId="66E4D4E9">
      <w:pPr>
        <w:spacing w:line="500" w:lineRule="exact"/>
        <w:jc w:val="left"/>
        <w:rPr>
          <w:rFonts w:hint="eastAsia"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t>附件</w:t>
      </w:r>
      <w:r>
        <w:rPr>
          <w:rFonts w:hint="eastAsia" w:ascii="仿宋_GB2312" w:hAnsi="Times New Roman" w:eastAsia="仿宋_GB2312" w:cs="Times New Roman"/>
          <w:b/>
          <w:bCs/>
          <w:color w:val="auto"/>
          <w:sz w:val="30"/>
          <w:szCs w:val="30"/>
          <w:highlight w:val="none"/>
          <w:lang w:val="en-US" w:eastAsia="zh-CN"/>
        </w:rPr>
        <w:t>四</w:t>
      </w:r>
      <w:r>
        <w:rPr>
          <w:rFonts w:hint="eastAsia" w:ascii="仿宋_GB2312" w:hAnsi="Times New Roman" w:eastAsia="仿宋_GB2312" w:cs="Times New Roman"/>
          <w:b/>
          <w:bCs/>
          <w:color w:val="auto"/>
          <w:sz w:val="30"/>
          <w:szCs w:val="30"/>
          <w:highlight w:val="none"/>
        </w:rPr>
        <w:t>：综合评分表</w:t>
      </w:r>
    </w:p>
    <w:p w14:paraId="694EC70A">
      <w:pPr>
        <w:jc w:val="center"/>
        <w:rPr>
          <w:rFonts w:ascii="仿宋_GB2312" w:eastAsia="仿宋_GB2312"/>
          <w:b/>
          <w:bCs/>
          <w:color w:val="000000"/>
          <w:sz w:val="30"/>
          <w:szCs w:val="30"/>
          <w:highlight w:val="none"/>
        </w:rPr>
      </w:pPr>
      <w:r>
        <w:rPr>
          <w:rFonts w:hint="eastAsia" w:ascii="仿宋_GB2312" w:eastAsia="仿宋_GB2312"/>
          <w:b/>
          <w:bCs/>
          <w:color w:val="000000"/>
          <w:sz w:val="30"/>
          <w:szCs w:val="30"/>
          <w:highlight w:val="none"/>
        </w:rPr>
        <w:t>综合评分表</w:t>
      </w: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929"/>
        <w:gridCol w:w="3820"/>
        <w:gridCol w:w="1680"/>
        <w:gridCol w:w="1200"/>
        <w:gridCol w:w="1055"/>
      </w:tblGrid>
      <w:tr w14:paraId="549F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blHeader/>
          <w:jc w:val="center"/>
        </w:trPr>
        <w:tc>
          <w:tcPr>
            <w:tcW w:w="354" w:type="pct"/>
            <w:shd w:val="clear" w:color="auto" w:fill="DEEAF6"/>
            <w:noWrap w:val="0"/>
            <w:vAlign w:val="center"/>
          </w:tcPr>
          <w:p w14:paraId="0B9619E4">
            <w:pPr>
              <w:widowControl/>
              <w:adjustRightInd w:val="0"/>
              <w:snapToGrid w:val="0"/>
              <w:spacing w:line="0" w:lineRule="atLeast"/>
              <w:jc w:val="center"/>
              <w:rPr>
                <w:rFonts w:ascii="宋体" w:hAnsi="宋体" w:cs="宋体"/>
                <w:b/>
                <w:color w:val="000000"/>
                <w:szCs w:val="21"/>
                <w:highlight w:val="none"/>
              </w:rPr>
            </w:pPr>
            <w:r>
              <w:rPr>
                <w:rFonts w:hint="eastAsia" w:ascii="宋体" w:hAnsi="宋体" w:cs="宋体"/>
                <w:b/>
                <w:color w:val="000000"/>
                <w:szCs w:val="21"/>
                <w:highlight w:val="none"/>
              </w:rPr>
              <w:t>序号</w:t>
            </w:r>
          </w:p>
        </w:tc>
        <w:tc>
          <w:tcPr>
            <w:tcW w:w="488" w:type="pct"/>
            <w:shd w:val="clear" w:color="auto" w:fill="DEEAF6"/>
            <w:noWrap w:val="0"/>
            <w:vAlign w:val="center"/>
          </w:tcPr>
          <w:p w14:paraId="75506449">
            <w:pPr>
              <w:widowControl/>
              <w:adjustRightInd w:val="0"/>
              <w:snapToGrid w:val="0"/>
              <w:spacing w:line="0" w:lineRule="atLeast"/>
              <w:jc w:val="center"/>
              <w:rPr>
                <w:rFonts w:ascii="宋体" w:hAnsi="宋体" w:cs="宋体"/>
                <w:b/>
                <w:color w:val="000000"/>
                <w:szCs w:val="21"/>
                <w:highlight w:val="none"/>
              </w:rPr>
            </w:pPr>
            <w:r>
              <w:rPr>
                <w:rFonts w:hint="eastAsia" w:ascii="宋体" w:hAnsi="宋体" w:cs="宋体"/>
                <w:b/>
                <w:color w:val="000000"/>
                <w:szCs w:val="21"/>
                <w:highlight w:val="none"/>
              </w:rPr>
              <w:t>评审</w:t>
            </w:r>
          </w:p>
          <w:p w14:paraId="64189563">
            <w:pPr>
              <w:widowControl/>
              <w:adjustRightInd w:val="0"/>
              <w:snapToGrid w:val="0"/>
              <w:spacing w:line="0" w:lineRule="atLeast"/>
              <w:jc w:val="center"/>
              <w:rPr>
                <w:rFonts w:ascii="宋体" w:hAnsi="宋体" w:cs="宋体"/>
                <w:b/>
                <w:color w:val="000000"/>
                <w:szCs w:val="21"/>
                <w:highlight w:val="none"/>
              </w:rPr>
            </w:pPr>
            <w:r>
              <w:rPr>
                <w:rFonts w:hint="eastAsia" w:ascii="宋体" w:hAnsi="宋体" w:cs="宋体"/>
                <w:b/>
                <w:color w:val="000000"/>
                <w:szCs w:val="21"/>
                <w:highlight w:val="none"/>
              </w:rPr>
              <w:t>项目</w:t>
            </w:r>
          </w:p>
        </w:tc>
        <w:tc>
          <w:tcPr>
            <w:tcW w:w="2006" w:type="pct"/>
            <w:shd w:val="clear" w:color="auto" w:fill="DEEAF6"/>
            <w:noWrap w:val="0"/>
            <w:vAlign w:val="center"/>
          </w:tcPr>
          <w:p w14:paraId="257A391C">
            <w:pPr>
              <w:widowControl/>
              <w:adjustRightInd w:val="0"/>
              <w:snapToGrid w:val="0"/>
              <w:spacing w:line="0" w:lineRule="atLeast"/>
              <w:jc w:val="center"/>
              <w:rPr>
                <w:rFonts w:ascii="宋体" w:hAnsi="宋体" w:cs="宋体"/>
                <w:b/>
                <w:color w:val="000000"/>
                <w:szCs w:val="21"/>
                <w:highlight w:val="none"/>
              </w:rPr>
            </w:pPr>
            <w:r>
              <w:rPr>
                <w:rFonts w:hint="eastAsia" w:ascii="宋体" w:hAnsi="宋体" w:cs="宋体"/>
                <w:b/>
                <w:color w:val="000000"/>
                <w:szCs w:val="21"/>
                <w:highlight w:val="none"/>
              </w:rPr>
              <w:t>评审标准</w:t>
            </w:r>
          </w:p>
        </w:tc>
        <w:tc>
          <w:tcPr>
            <w:tcW w:w="881" w:type="pct"/>
            <w:shd w:val="clear" w:color="auto" w:fill="DEEAF6"/>
            <w:noWrap w:val="0"/>
            <w:vAlign w:val="center"/>
          </w:tcPr>
          <w:p w14:paraId="674EAF89">
            <w:pPr>
              <w:widowControl/>
              <w:adjustRightInd w:val="0"/>
              <w:snapToGrid w:val="0"/>
              <w:spacing w:line="0" w:lineRule="atLeast"/>
              <w:jc w:val="center"/>
              <w:rPr>
                <w:rFonts w:ascii="宋体" w:hAnsi="宋体" w:cs="宋体"/>
                <w:b/>
                <w:color w:val="000000"/>
                <w:szCs w:val="21"/>
                <w:highlight w:val="none"/>
              </w:rPr>
            </w:pPr>
            <w:r>
              <w:rPr>
                <w:rFonts w:hint="eastAsia" w:ascii="宋体" w:hAnsi="宋体" w:cs="宋体"/>
                <w:b/>
                <w:color w:val="000000"/>
                <w:szCs w:val="21"/>
                <w:highlight w:val="none"/>
              </w:rPr>
              <w:t>证明材料</w:t>
            </w:r>
          </w:p>
        </w:tc>
        <w:tc>
          <w:tcPr>
            <w:tcW w:w="630" w:type="pct"/>
            <w:shd w:val="clear" w:color="auto" w:fill="DEEAF6"/>
            <w:noWrap w:val="0"/>
            <w:vAlign w:val="center"/>
          </w:tcPr>
          <w:p w14:paraId="748A3FA1">
            <w:pPr>
              <w:widowControl/>
              <w:adjustRightInd w:val="0"/>
              <w:snapToGrid w:val="0"/>
              <w:spacing w:line="0" w:lineRule="atLeast"/>
              <w:jc w:val="center"/>
              <w:rPr>
                <w:rFonts w:ascii="宋体" w:hAnsi="宋体" w:cs="宋体"/>
                <w:b/>
                <w:color w:val="000000"/>
                <w:szCs w:val="21"/>
                <w:highlight w:val="none"/>
              </w:rPr>
            </w:pPr>
            <w:r>
              <w:rPr>
                <w:rFonts w:hint="eastAsia" w:ascii="宋体" w:hAnsi="宋体" w:cs="宋体"/>
                <w:b/>
                <w:color w:val="000000"/>
                <w:szCs w:val="21"/>
                <w:highlight w:val="none"/>
              </w:rPr>
              <w:t>分值</w:t>
            </w:r>
          </w:p>
        </w:tc>
        <w:tc>
          <w:tcPr>
            <w:tcW w:w="554" w:type="pct"/>
            <w:shd w:val="clear" w:color="auto" w:fill="DEEAF6"/>
            <w:noWrap w:val="0"/>
            <w:vAlign w:val="top"/>
          </w:tcPr>
          <w:p w14:paraId="33AB900A">
            <w:pPr>
              <w:widowControl/>
              <w:adjustRightInd w:val="0"/>
              <w:snapToGrid w:val="0"/>
              <w:spacing w:line="0" w:lineRule="atLeast"/>
              <w:jc w:val="center"/>
              <w:rPr>
                <w:rFonts w:ascii="宋体" w:hAnsi="宋体" w:cs="宋体"/>
                <w:b/>
                <w:color w:val="000000"/>
                <w:szCs w:val="21"/>
                <w:highlight w:val="none"/>
              </w:rPr>
            </w:pPr>
          </w:p>
        </w:tc>
      </w:tr>
      <w:tr w14:paraId="1FAC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jc w:val="center"/>
        </w:trPr>
        <w:tc>
          <w:tcPr>
            <w:tcW w:w="354" w:type="pct"/>
            <w:noWrap w:val="0"/>
            <w:vAlign w:val="center"/>
          </w:tcPr>
          <w:p w14:paraId="35D49A1D">
            <w:pPr>
              <w:widowControl/>
              <w:adjustRightInd w:val="0"/>
              <w:snapToGrid w:val="0"/>
              <w:spacing w:line="0" w:lineRule="atLeas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488" w:type="pct"/>
            <w:noWrap w:val="0"/>
            <w:vAlign w:val="center"/>
          </w:tcPr>
          <w:p w14:paraId="6B315DD6">
            <w:pPr>
              <w:spacing w:line="0" w:lineRule="atLeast"/>
              <w:jc w:val="center"/>
              <w:rPr>
                <w:rFonts w:ascii="宋体" w:hAnsi="宋体" w:cs="宋体"/>
                <w:color w:val="000000"/>
                <w:szCs w:val="21"/>
                <w:highlight w:val="none"/>
              </w:rPr>
            </w:pPr>
            <w:r>
              <w:rPr>
                <w:rFonts w:hint="eastAsia" w:ascii="宋体" w:hAnsi="宋体" w:cs="宋体"/>
                <w:color w:val="000000"/>
                <w:szCs w:val="21"/>
                <w:highlight w:val="none"/>
              </w:rPr>
              <w:t>同类业绩情况</w:t>
            </w:r>
          </w:p>
        </w:tc>
        <w:tc>
          <w:tcPr>
            <w:tcW w:w="2006" w:type="pct"/>
            <w:noWrap w:val="0"/>
            <w:vAlign w:val="center"/>
          </w:tcPr>
          <w:p w14:paraId="59422447">
            <w:pPr>
              <w:spacing w:line="0" w:lineRule="atLeast"/>
              <w:jc w:val="left"/>
              <w:rPr>
                <w:rFonts w:hint="eastAsia" w:ascii="Times New Roman" w:hAnsi="Times New Roman" w:eastAsia="宋体" w:cs="Times New Roman"/>
                <w:bCs/>
                <w:szCs w:val="21"/>
                <w:highlight w:val="none"/>
                <w:lang w:eastAsia="zh-CN"/>
              </w:rPr>
            </w:pPr>
            <w:r>
              <w:rPr>
                <w:rFonts w:hint="eastAsia" w:ascii="Times New Roman" w:hAnsi="Times New Roman" w:eastAsia="宋体" w:cs="Times New Roman"/>
                <w:bCs/>
                <w:szCs w:val="21"/>
                <w:highlight w:val="none"/>
              </w:rPr>
              <w:t>202</w:t>
            </w:r>
            <w:r>
              <w:rPr>
                <w:rFonts w:hint="eastAsia" w:cs="Times New Roman"/>
                <w:bCs/>
                <w:szCs w:val="21"/>
                <w:highlight w:val="none"/>
                <w:lang w:val="en-US" w:eastAsia="zh-CN"/>
              </w:rPr>
              <w:t>3</w:t>
            </w:r>
            <w:r>
              <w:rPr>
                <w:rFonts w:hint="eastAsia" w:ascii="Times New Roman" w:hAnsi="Times New Roman" w:eastAsia="宋体" w:cs="Times New Roman"/>
                <w:bCs/>
                <w:szCs w:val="21"/>
                <w:highlight w:val="none"/>
              </w:rPr>
              <w:t>年1月1日以来具有国资类企业价值评估</w:t>
            </w:r>
            <w:r>
              <w:rPr>
                <w:rFonts w:hint="eastAsia" w:cs="Times New Roman"/>
                <w:bCs/>
                <w:szCs w:val="21"/>
                <w:highlight w:val="none"/>
                <w:lang w:eastAsia="zh-CN"/>
              </w:rPr>
              <w:t>类</w:t>
            </w:r>
            <w:r>
              <w:rPr>
                <w:rFonts w:hint="eastAsia" w:ascii="Times New Roman" w:hAnsi="Times New Roman" w:eastAsia="宋体" w:cs="Times New Roman"/>
                <w:bCs/>
                <w:szCs w:val="21"/>
                <w:highlight w:val="none"/>
              </w:rPr>
              <w:t>业绩</w:t>
            </w:r>
            <w:r>
              <w:rPr>
                <w:rFonts w:hint="eastAsia" w:cs="Times New Roman"/>
                <w:bCs/>
                <w:szCs w:val="21"/>
                <w:highlight w:val="none"/>
                <w:lang w:eastAsia="zh-CN"/>
              </w:rPr>
              <w:t>（股权转让、股权收购、作价入股等）</w:t>
            </w:r>
            <w:r>
              <w:rPr>
                <w:rFonts w:hint="eastAsia" w:ascii="Times New Roman" w:hAnsi="Times New Roman" w:eastAsia="宋体" w:cs="Times New Roman"/>
                <w:bCs/>
                <w:szCs w:val="21"/>
                <w:highlight w:val="none"/>
              </w:rPr>
              <w:t>的，每个项目得</w:t>
            </w:r>
            <w:r>
              <w:rPr>
                <w:rFonts w:hint="eastAsia" w:cs="Times New Roman"/>
                <w:bCs/>
                <w:szCs w:val="21"/>
                <w:highlight w:val="none"/>
                <w:lang w:val="en-US" w:eastAsia="zh-CN"/>
              </w:rPr>
              <w:t>5</w:t>
            </w:r>
            <w:r>
              <w:rPr>
                <w:rFonts w:hint="eastAsia" w:ascii="Times New Roman" w:hAnsi="Times New Roman" w:eastAsia="宋体" w:cs="Times New Roman"/>
                <w:bCs/>
                <w:szCs w:val="21"/>
                <w:highlight w:val="none"/>
              </w:rPr>
              <w:t>分，最高得</w:t>
            </w:r>
            <w:r>
              <w:rPr>
                <w:rFonts w:hint="eastAsia" w:cs="Times New Roman"/>
                <w:bCs/>
                <w:szCs w:val="21"/>
                <w:highlight w:val="none"/>
                <w:lang w:val="en-US" w:eastAsia="zh-CN"/>
              </w:rPr>
              <w:t>30</w:t>
            </w:r>
            <w:r>
              <w:rPr>
                <w:rFonts w:hint="eastAsia" w:ascii="Times New Roman" w:hAnsi="Times New Roman" w:eastAsia="宋体" w:cs="Times New Roman"/>
                <w:bCs/>
                <w:szCs w:val="21"/>
                <w:highlight w:val="none"/>
              </w:rPr>
              <w:t>分。</w:t>
            </w:r>
          </w:p>
        </w:tc>
        <w:tc>
          <w:tcPr>
            <w:tcW w:w="881" w:type="pct"/>
            <w:noWrap w:val="0"/>
            <w:vAlign w:val="center"/>
          </w:tcPr>
          <w:p w14:paraId="325EB8FD">
            <w:pPr>
              <w:adjustRightInd w:val="0"/>
              <w:snapToGrid w:val="0"/>
              <w:spacing w:line="0" w:lineRule="atLeast"/>
              <w:jc w:val="center"/>
              <w:rPr>
                <w:color w:val="000000"/>
                <w:szCs w:val="21"/>
                <w:highlight w:val="none"/>
              </w:rPr>
            </w:pPr>
            <w:r>
              <w:rPr>
                <w:rFonts w:hint="eastAsia"/>
                <w:color w:val="000000"/>
                <w:szCs w:val="21"/>
                <w:highlight w:val="none"/>
              </w:rPr>
              <w:t>提供相应合同</w:t>
            </w:r>
            <w:r>
              <w:rPr>
                <w:rFonts w:hint="eastAsia"/>
                <w:color w:val="000000"/>
                <w:szCs w:val="21"/>
                <w:highlight w:val="none"/>
                <w:lang w:val="en-US" w:eastAsia="zh-CN"/>
              </w:rPr>
              <w:t>关键页复印件</w:t>
            </w:r>
            <w:r>
              <w:rPr>
                <w:rFonts w:hint="eastAsia"/>
                <w:color w:val="000000"/>
                <w:szCs w:val="21"/>
                <w:highlight w:val="none"/>
              </w:rPr>
              <w:t>，并加盖公章</w:t>
            </w:r>
          </w:p>
        </w:tc>
        <w:tc>
          <w:tcPr>
            <w:tcW w:w="630" w:type="pct"/>
            <w:noWrap w:val="0"/>
            <w:vAlign w:val="center"/>
          </w:tcPr>
          <w:p w14:paraId="7494B524">
            <w:pPr>
              <w:widowControl/>
              <w:adjustRightInd w:val="0"/>
              <w:snapToGrid w:val="0"/>
              <w:spacing w:line="0" w:lineRule="atLeast"/>
              <w:jc w:val="center"/>
              <w:rPr>
                <w:rFonts w:ascii="宋体" w:hAnsi="宋体" w:cs="宋体"/>
                <w:color w:val="000000"/>
                <w:szCs w:val="21"/>
                <w:highlight w:val="none"/>
              </w:rPr>
            </w:pP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rPr>
              <w:t>分</w:t>
            </w:r>
          </w:p>
        </w:tc>
        <w:tc>
          <w:tcPr>
            <w:tcW w:w="554" w:type="pct"/>
            <w:noWrap w:val="0"/>
            <w:vAlign w:val="center"/>
          </w:tcPr>
          <w:p w14:paraId="3FFE2447">
            <w:pPr>
              <w:widowControl/>
              <w:adjustRightInd w:val="0"/>
              <w:snapToGrid w:val="0"/>
              <w:spacing w:line="0" w:lineRule="atLeast"/>
              <w:jc w:val="center"/>
              <w:rPr>
                <w:rFonts w:ascii="宋体" w:hAnsi="宋体" w:cs="宋体"/>
                <w:color w:val="000000"/>
                <w:szCs w:val="21"/>
                <w:highlight w:val="none"/>
              </w:rPr>
            </w:pPr>
          </w:p>
        </w:tc>
      </w:tr>
      <w:tr w14:paraId="49F3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3" w:hRule="atLeast"/>
          <w:jc w:val="center"/>
        </w:trPr>
        <w:tc>
          <w:tcPr>
            <w:tcW w:w="354" w:type="pct"/>
            <w:noWrap w:val="0"/>
            <w:vAlign w:val="center"/>
          </w:tcPr>
          <w:p w14:paraId="1BF6AC7A">
            <w:pPr>
              <w:widowControl/>
              <w:adjustRightInd w:val="0"/>
              <w:snapToGrid w:val="0"/>
              <w:spacing w:line="0" w:lineRule="atLeast"/>
              <w:jc w:val="center"/>
              <w:rPr>
                <w:rFonts w:ascii="宋体" w:hAnsi="宋体" w:cs="宋体"/>
                <w:color w:val="000000"/>
                <w:szCs w:val="21"/>
                <w:highlight w:val="none"/>
              </w:rPr>
            </w:pPr>
            <w:r>
              <w:rPr>
                <w:rFonts w:hint="eastAsia"/>
                <w:highlight w:val="none"/>
                <w:lang w:val="en-US" w:eastAsia="zh-CN"/>
              </w:rPr>
              <w:t>2</w:t>
            </w:r>
          </w:p>
        </w:tc>
        <w:tc>
          <w:tcPr>
            <w:tcW w:w="488" w:type="pct"/>
            <w:noWrap w:val="0"/>
            <w:vAlign w:val="center"/>
          </w:tcPr>
          <w:p w14:paraId="0332871F">
            <w:pPr>
              <w:adjustRightInd w:val="0"/>
              <w:snapToGrid w:val="0"/>
              <w:jc w:val="left"/>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团队成员配置评分</w:t>
            </w:r>
          </w:p>
        </w:tc>
        <w:tc>
          <w:tcPr>
            <w:tcW w:w="2006" w:type="pct"/>
            <w:noWrap w:val="0"/>
            <w:vAlign w:val="center"/>
          </w:tcPr>
          <w:p w14:paraId="69FB1C6C">
            <w:pPr>
              <w:spacing w:line="0" w:lineRule="atLeast"/>
              <w:jc w:val="left"/>
              <w:rPr>
                <w:rFonts w:hint="default" w:ascii="Times New Roman" w:hAnsi="Times New Roman" w:eastAsia="宋体" w:cs="Times New Roman"/>
                <w:bCs/>
                <w:szCs w:val="21"/>
                <w:highlight w:val="none"/>
                <w:lang w:val="en-US"/>
              </w:rPr>
            </w:pPr>
            <w:r>
              <w:rPr>
                <w:rFonts w:hint="eastAsia" w:ascii="Times New Roman" w:hAnsi="Times New Roman" w:eastAsia="宋体" w:cs="Times New Roman"/>
                <w:bCs/>
                <w:szCs w:val="21"/>
                <w:highlight w:val="none"/>
                <w:lang w:val="en-US" w:eastAsia="zh-CN"/>
              </w:rPr>
              <w:t>除项目负责人外，项目团队其他成员须具备高标准、多专业的综合配置，以切实保障研究质量。针对团队成员的专业经验，设置以下</w:t>
            </w:r>
            <w:r>
              <w:rPr>
                <w:rFonts w:hint="eastAsia" w:cs="Times New Roman"/>
                <w:bCs/>
                <w:szCs w:val="21"/>
                <w:highlight w:val="none"/>
                <w:lang w:val="en-US" w:eastAsia="zh-CN"/>
              </w:rPr>
              <w:t>得</w:t>
            </w:r>
            <w:r>
              <w:rPr>
                <w:rFonts w:hint="eastAsia" w:ascii="Times New Roman" w:hAnsi="Times New Roman" w:eastAsia="宋体" w:cs="Times New Roman"/>
                <w:bCs/>
                <w:szCs w:val="21"/>
                <w:highlight w:val="none"/>
                <w:lang w:val="en-US" w:eastAsia="zh-CN"/>
              </w:rPr>
              <w:t>分项：团队成员中，每有1人具备三年（含）以上资产评估</w:t>
            </w:r>
            <w:r>
              <w:rPr>
                <w:rFonts w:hint="eastAsia" w:cs="Times New Roman"/>
                <w:bCs/>
                <w:szCs w:val="21"/>
                <w:highlight w:val="none"/>
                <w:lang w:val="en-US" w:eastAsia="zh-CN"/>
              </w:rPr>
              <w:t>执业年限</w:t>
            </w:r>
            <w:r>
              <w:rPr>
                <w:rFonts w:hint="eastAsia" w:ascii="Times New Roman" w:hAnsi="Times New Roman" w:eastAsia="宋体" w:cs="Times New Roman"/>
                <w:bCs/>
                <w:szCs w:val="21"/>
                <w:highlight w:val="none"/>
                <w:lang w:val="en-US" w:eastAsia="zh-CN"/>
              </w:rPr>
              <w:t>，加5分；本项累计最高加分为15分</w:t>
            </w:r>
            <w:r>
              <w:rPr>
                <w:rFonts w:hint="eastAsia" w:cs="Times New Roman"/>
                <w:bCs/>
                <w:szCs w:val="21"/>
                <w:highlight w:val="none"/>
                <w:lang w:val="en-US" w:eastAsia="zh-CN"/>
              </w:rPr>
              <w:t>。</w:t>
            </w:r>
          </w:p>
        </w:tc>
        <w:tc>
          <w:tcPr>
            <w:tcW w:w="881" w:type="pct"/>
            <w:noWrap w:val="0"/>
            <w:vAlign w:val="center"/>
          </w:tcPr>
          <w:p w14:paraId="46CC8A72">
            <w:pPr>
              <w:adjustRightInd w:val="0"/>
              <w:snapToGrid w:val="0"/>
              <w:jc w:val="center"/>
              <w:rPr>
                <w:rFonts w:hint="eastAsia" w:ascii="Times New Roman" w:hAnsi="Times New Roman" w:eastAsia="宋体" w:cs="Times New Roman"/>
                <w:bCs/>
                <w:szCs w:val="21"/>
                <w:highlight w:val="none"/>
                <w:lang w:eastAsia="zh-CN"/>
              </w:rPr>
            </w:pPr>
            <w:r>
              <w:rPr>
                <w:rFonts w:hint="eastAsia" w:ascii="宋体" w:hAnsi="宋体" w:cs="宋体"/>
                <w:szCs w:val="21"/>
                <w:highlight w:val="none"/>
              </w:rPr>
              <w:t>提供</w:t>
            </w:r>
            <w:r>
              <w:rPr>
                <w:rFonts w:hint="eastAsia"/>
                <w:highlight w:val="none"/>
              </w:rPr>
              <w:t>资产评估师正式执业人员</w:t>
            </w:r>
            <w:r>
              <w:rPr>
                <w:rFonts w:hint="eastAsia"/>
                <w:highlight w:val="none"/>
                <w:lang w:val="en-US" w:eastAsia="zh-CN"/>
              </w:rPr>
              <w:t>证明（</w:t>
            </w:r>
            <w:r>
              <w:rPr>
                <w:rFonts w:hint="eastAsia" w:ascii="Times New Roman" w:hAnsi="Times New Roman" w:eastAsia="宋体" w:cs="Times New Roman"/>
                <w:bCs/>
                <w:szCs w:val="21"/>
                <w:highlight w:val="none"/>
              </w:rPr>
              <w:t>提供中评协查询网址</w:t>
            </w:r>
            <w:r>
              <w:rPr>
                <w:rFonts w:hint="eastAsia" w:cs="Times New Roman"/>
                <w:bCs/>
                <w:szCs w:val="21"/>
                <w:highlight w:val="none"/>
                <w:lang w:eastAsia="zh-CN"/>
              </w:rPr>
              <w:t>）、执业会员证书复印件、该人员在本单位近3个月社保缴纳证明</w:t>
            </w:r>
            <w:r>
              <w:rPr>
                <w:rFonts w:hint="eastAsia" w:ascii="宋体" w:hAnsi="宋体" w:cs="宋体"/>
                <w:szCs w:val="21"/>
                <w:highlight w:val="none"/>
              </w:rPr>
              <w:t>或相关证明材料</w:t>
            </w:r>
          </w:p>
        </w:tc>
        <w:tc>
          <w:tcPr>
            <w:tcW w:w="630" w:type="pct"/>
            <w:noWrap w:val="0"/>
            <w:vAlign w:val="center"/>
          </w:tcPr>
          <w:p w14:paraId="1466B9C4">
            <w:pPr>
              <w:widowControl/>
              <w:adjustRightInd w:val="0"/>
              <w:snapToGrid w:val="0"/>
              <w:spacing w:line="0" w:lineRule="atLeast"/>
              <w:jc w:val="center"/>
              <w:rPr>
                <w:rFonts w:ascii="宋体" w:hAnsi="宋体" w:cs="宋体"/>
                <w:color w:val="000000"/>
                <w:szCs w:val="21"/>
                <w:highlight w:val="none"/>
              </w:rPr>
            </w:pPr>
            <w:r>
              <w:rPr>
                <w:rFonts w:hint="eastAsia" w:ascii="宋体" w:hAnsi="宋体" w:cs="宋体"/>
                <w:color w:val="000000"/>
                <w:szCs w:val="21"/>
                <w:highlight w:val="none"/>
                <w:lang w:val="en-US" w:eastAsia="zh-CN"/>
              </w:rPr>
              <w:t>15</w:t>
            </w:r>
            <w:r>
              <w:rPr>
                <w:rFonts w:hint="eastAsia" w:ascii="宋体" w:hAnsi="宋体" w:cs="宋体"/>
                <w:color w:val="000000"/>
                <w:szCs w:val="21"/>
                <w:highlight w:val="none"/>
              </w:rPr>
              <w:t>分</w:t>
            </w:r>
          </w:p>
        </w:tc>
        <w:tc>
          <w:tcPr>
            <w:tcW w:w="554" w:type="pct"/>
            <w:noWrap w:val="0"/>
            <w:vAlign w:val="center"/>
          </w:tcPr>
          <w:p w14:paraId="1781056D">
            <w:pPr>
              <w:widowControl/>
              <w:adjustRightInd w:val="0"/>
              <w:snapToGrid w:val="0"/>
              <w:spacing w:line="0" w:lineRule="atLeast"/>
              <w:jc w:val="center"/>
              <w:rPr>
                <w:rFonts w:ascii="宋体" w:hAnsi="宋体" w:cs="宋体"/>
                <w:color w:val="000000"/>
                <w:szCs w:val="21"/>
                <w:highlight w:val="none"/>
              </w:rPr>
            </w:pPr>
          </w:p>
        </w:tc>
      </w:tr>
      <w:tr w14:paraId="3BF0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0" w:hRule="atLeast"/>
          <w:jc w:val="center"/>
        </w:trPr>
        <w:tc>
          <w:tcPr>
            <w:tcW w:w="354" w:type="pct"/>
            <w:noWrap w:val="0"/>
            <w:vAlign w:val="center"/>
          </w:tcPr>
          <w:p w14:paraId="00EFE882">
            <w:pPr>
              <w:widowControl/>
              <w:adjustRightInd w:val="0"/>
              <w:snapToGrid w:val="0"/>
              <w:spacing w:line="0" w:lineRule="atLeast"/>
              <w:jc w:val="center"/>
              <w:rPr>
                <w:rFonts w:hint="eastAsia" w:ascii="宋体" w:hAnsi="宋体" w:eastAsia="宋体" w:cs="宋体"/>
                <w:color w:val="000000"/>
                <w:szCs w:val="21"/>
                <w:highlight w:val="none"/>
                <w:lang w:eastAsia="zh-CN"/>
              </w:rPr>
            </w:pPr>
            <w:r>
              <w:rPr>
                <w:rFonts w:hint="eastAsia" w:ascii="宋体" w:hAnsi="宋体" w:cs="宋体"/>
                <w:szCs w:val="21"/>
                <w:highlight w:val="none"/>
                <w:lang w:val="en-US" w:eastAsia="zh-CN"/>
              </w:rPr>
              <w:t>3</w:t>
            </w:r>
          </w:p>
        </w:tc>
        <w:tc>
          <w:tcPr>
            <w:tcW w:w="488" w:type="pct"/>
            <w:noWrap w:val="0"/>
            <w:vAlign w:val="center"/>
          </w:tcPr>
          <w:p w14:paraId="52CB9120">
            <w:pPr>
              <w:jc w:val="center"/>
              <w:rPr>
                <w:rFonts w:hint="default" w:ascii="宋体" w:hAnsi="宋体" w:eastAsia="宋体" w:cs="宋体"/>
                <w:color w:val="000000"/>
                <w:szCs w:val="21"/>
                <w:highlight w:val="none"/>
                <w:lang w:val="en-US" w:eastAsia="zh-CN"/>
              </w:rPr>
            </w:pPr>
            <w:r>
              <w:rPr>
                <w:rFonts w:hint="eastAsia"/>
                <w:highlight w:val="none"/>
                <w:lang w:val="en-US" w:eastAsia="zh-CN"/>
              </w:rPr>
              <w:t>拟委派项目团队资格和能力</w:t>
            </w:r>
          </w:p>
        </w:tc>
        <w:tc>
          <w:tcPr>
            <w:tcW w:w="2006" w:type="pct"/>
            <w:noWrap w:val="0"/>
            <w:vAlign w:val="center"/>
          </w:tcPr>
          <w:p w14:paraId="0423317B">
            <w:pPr>
              <w:pStyle w:val="2"/>
              <w:rPr>
                <w:rFonts w:hint="eastAsia" w:eastAsia="宋体"/>
                <w:highlight w:val="none"/>
                <w:lang w:eastAsia="zh-CN"/>
              </w:rPr>
            </w:pPr>
            <w:r>
              <w:rPr>
                <w:rFonts w:hint="eastAsia"/>
                <w:highlight w:val="none"/>
              </w:rPr>
              <w:t>项目负责人执业年限≥15年，且团队成员</w:t>
            </w:r>
            <w:r>
              <w:rPr>
                <w:rFonts w:hint="eastAsia"/>
                <w:highlight w:val="none"/>
                <w:lang w:eastAsia="zh-CN"/>
              </w:rPr>
              <w:t>（不含项目负责人，下同）</w:t>
            </w:r>
            <w:r>
              <w:rPr>
                <w:rFonts w:hint="eastAsia"/>
                <w:highlight w:val="none"/>
              </w:rPr>
              <w:t>中资产评估师正式执业人员≥</w:t>
            </w:r>
            <w:r>
              <w:rPr>
                <w:rFonts w:hint="eastAsia"/>
                <w:highlight w:val="none"/>
                <w:lang w:val="en-US" w:eastAsia="zh-CN"/>
              </w:rPr>
              <w:t>4</w:t>
            </w:r>
            <w:r>
              <w:rPr>
                <w:rFonts w:hint="eastAsia"/>
                <w:highlight w:val="none"/>
              </w:rPr>
              <w:t>人，得1</w:t>
            </w:r>
            <w:r>
              <w:rPr>
                <w:rFonts w:hint="eastAsia"/>
                <w:highlight w:val="none"/>
                <w:lang w:val="en-US" w:eastAsia="zh-CN"/>
              </w:rPr>
              <w:t>0</w:t>
            </w:r>
            <w:r>
              <w:rPr>
                <w:rFonts w:hint="eastAsia"/>
                <w:highlight w:val="none"/>
              </w:rPr>
              <w:t>分</w:t>
            </w:r>
            <w:r>
              <w:rPr>
                <w:rFonts w:hint="eastAsia"/>
                <w:highlight w:val="none"/>
                <w:lang w:eastAsia="zh-CN"/>
              </w:rPr>
              <w:t>；</w:t>
            </w:r>
          </w:p>
          <w:p w14:paraId="20E7778F">
            <w:pPr>
              <w:pStyle w:val="2"/>
              <w:rPr>
                <w:rFonts w:hint="eastAsia" w:eastAsia="宋体"/>
                <w:highlight w:val="none"/>
                <w:lang w:eastAsia="zh-CN"/>
              </w:rPr>
            </w:pPr>
            <w:r>
              <w:rPr>
                <w:rFonts w:hint="eastAsia"/>
                <w:highlight w:val="none"/>
              </w:rPr>
              <w:t>项目负责人执业年限 10年≤执业年限&lt;15年,且团队成员中资产评估师正式执业人员≥</w:t>
            </w:r>
            <w:r>
              <w:rPr>
                <w:rFonts w:hint="eastAsia"/>
                <w:highlight w:val="none"/>
                <w:lang w:val="en-US" w:eastAsia="zh-CN"/>
              </w:rPr>
              <w:t>3</w:t>
            </w:r>
            <w:r>
              <w:rPr>
                <w:rFonts w:hint="eastAsia"/>
                <w:highlight w:val="none"/>
              </w:rPr>
              <w:t>人，得</w:t>
            </w:r>
            <w:r>
              <w:rPr>
                <w:rFonts w:hint="eastAsia"/>
                <w:highlight w:val="none"/>
                <w:lang w:val="en-US" w:eastAsia="zh-CN"/>
              </w:rPr>
              <w:t>7</w:t>
            </w:r>
            <w:r>
              <w:rPr>
                <w:rFonts w:hint="eastAsia"/>
                <w:highlight w:val="none"/>
              </w:rPr>
              <w:t>分</w:t>
            </w:r>
            <w:r>
              <w:rPr>
                <w:rFonts w:hint="eastAsia"/>
                <w:highlight w:val="none"/>
                <w:lang w:eastAsia="zh-CN"/>
              </w:rPr>
              <w:t>；</w:t>
            </w:r>
          </w:p>
          <w:p w14:paraId="3B2800A9">
            <w:pPr>
              <w:pStyle w:val="2"/>
              <w:rPr>
                <w:rFonts w:hint="eastAsia" w:eastAsia="宋体"/>
                <w:highlight w:val="none"/>
                <w:lang w:eastAsia="zh-CN"/>
              </w:rPr>
            </w:pPr>
            <w:r>
              <w:rPr>
                <w:rFonts w:hint="eastAsia"/>
                <w:highlight w:val="none"/>
              </w:rPr>
              <w:t>项目负责人执业年限 5年≤执业年限&lt;10年，且团队成员中资产评估师正式执业会员≥2人，得5分</w:t>
            </w:r>
            <w:r>
              <w:rPr>
                <w:rFonts w:hint="eastAsia"/>
                <w:highlight w:val="none"/>
                <w:lang w:eastAsia="zh-CN"/>
              </w:rPr>
              <w:t>；</w:t>
            </w:r>
          </w:p>
          <w:p w14:paraId="59D9682F">
            <w:pPr>
              <w:pStyle w:val="2"/>
              <w:rPr>
                <w:rFonts w:hint="default" w:eastAsia="宋体"/>
                <w:highlight w:val="none"/>
                <w:lang w:val="en-US" w:eastAsia="zh-CN"/>
              </w:rPr>
            </w:pPr>
            <w:r>
              <w:rPr>
                <w:rFonts w:hint="eastAsia"/>
                <w:highlight w:val="none"/>
              </w:rPr>
              <w:t>其余得1分</w:t>
            </w:r>
          </w:p>
        </w:tc>
        <w:tc>
          <w:tcPr>
            <w:tcW w:w="881" w:type="pct"/>
            <w:noWrap w:val="0"/>
            <w:vAlign w:val="center"/>
          </w:tcPr>
          <w:p w14:paraId="4BB0FA6E">
            <w:pPr>
              <w:adjustRightInd w:val="0"/>
              <w:snapToGrid w:val="0"/>
              <w:spacing w:line="0" w:lineRule="atLeast"/>
              <w:jc w:val="center"/>
              <w:rPr>
                <w:rFonts w:hint="eastAsia" w:ascii="宋体" w:hAnsi="宋体" w:cs="宋体"/>
                <w:color w:val="000000"/>
                <w:szCs w:val="21"/>
                <w:highlight w:val="none"/>
              </w:rPr>
            </w:pPr>
            <w:r>
              <w:rPr>
                <w:rFonts w:hint="eastAsia" w:ascii="宋体" w:hAnsi="宋体" w:cs="宋体"/>
                <w:szCs w:val="21"/>
                <w:highlight w:val="none"/>
              </w:rPr>
              <w:t>提供</w:t>
            </w:r>
            <w:r>
              <w:rPr>
                <w:rFonts w:hint="eastAsia"/>
                <w:highlight w:val="none"/>
              </w:rPr>
              <w:t>资产评估师正式执业人员</w:t>
            </w:r>
            <w:r>
              <w:rPr>
                <w:rFonts w:hint="eastAsia"/>
                <w:highlight w:val="none"/>
                <w:lang w:val="en-US" w:eastAsia="zh-CN"/>
              </w:rPr>
              <w:t>证明（</w:t>
            </w:r>
            <w:r>
              <w:rPr>
                <w:rFonts w:hint="eastAsia" w:ascii="Times New Roman" w:hAnsi="Times New Roman" w:eastAsia="宋体" w:cs="Times New Roman"/>
                <w:bCs/>
                <w:szCs w:val="21"/>
                <w:highlight w:val="none"/>
              </w:rPr>
              <w:t>提供中评协查询网址</w:t>
            </w:r>
            <w:r>
              <w:rPr>
                <w:rFonts w:hint="eastAsia" w:cs="Times New Roman"/>
                <w:bCs/>
                <w:szCs w:val="21"/>
                <w:highlight w:val="none"/>
                <w:lang w:eastAsia="zh-CN"/>
              </w:rPr>
              <w:t>）、执业会员证书复印件、该人员在本单位近3个月社保缴纳证明</w:t>
            </w:r>
            <w:r>
              <w:rPr>
                <w:rFonts w:hint="eastAsia" w:ascii="宋体" w:hAnsi="宋体" w:cs="宋体"/>
                <w:szCs w:val="21"/>
                <w:highlight w:val="none"/>
              </w:rPr>
              <w:t>或相关证明材料</w:t>
            </w:r>
          </w:p>
        </w:tc>
        <w:tc>
          <w:tcPr>
            <w:tcW w:w="630" w:type="pct"/>
            <w:noWrap w:val="0"/>
            <w:vAlign w:val="center"/>
          </w:tcPr>
          <w:p w14:paraId="01E3D12F">
            <w:pPr>
              <w:widowControl/>
              <w:adjustRightInd w:val="0"/>
              <w:snapToGrid w:val="0"/>
              <w:spacing w:line="0" w:lineRule="atLeast"/>
              <w:jc w:val="center"/>
              <w:rPr>
                <w:rFonts w:hint="eastAsia" w:ascii="宋体" w:hAnsi="宋体" w:cs="宋体"/>
                <w:color w:val="000000"/>
                <w:szCs w:val="21"/>
                <w:highlight w:val="none"/>
              </w:rPr>
            </w:pPr>
            <w:r>
              <w:rPr>
                <w:rFonts w:hint="eastAsia" w:ascii="宋体" w:hAnsi="宋体" w:cs="宋体"/>
                <w:szCs w:val="21"/>
                <w:highlight w:val="none"/>
                <w:lang w:val="en-US" w:eastAsia="zh-CN"/>
              </w:rPr>
              <w:t>10</w:t>
            </w:r>
            <w:r>
              <w:rPr>
                <w:rFonts w:hint="eastAsia" w:ascii="宋体" w:hAnsi="宋体" w:cs="宋体"/>
                <w:szCs w:val="21"/>
                <w:highlight w:val="none"/>
              </w:rPr>
              <w:t>分</w:t>
            </w:r>
          </w:p>
        </w:tc>
        <w:tc>
          <w:tcPr>
            <w:tcW w:w="554" w:type="pct"/>
            <w:noWrap w:val="0"/>
            <w:vAlign w:val="center"/>
          </w:tcPr>
          <w:p w14:paraId="6F3ECEDD">
            <w:pPr>
              <w:widowControl/>
              <w:adjustRightInd w:val="0"/>
              <w:snapToGrid w:val="0"/>
              <w:spacing w:line="0" w:lineRule="atLeast"/>
              <w:jc w:val="center"/>
              <w:rPr>
                <w:rFonts w:ascii="宋体" w:hAnsi="宋体" w:cs="宋体"/>
                <w:color w:val="000000"/>
                <w:szCs w:val="21"/>
                <w:highlight w:val="none"/>
              </w:rPr>
            </w:pPr>
          </w:p>
        </w:tc>
      </w:tr>
      <w:tr w14:paraId="450B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8" w:hRule="atLeast"/>
          <w:jc w:val="center"/>
        </w:trPr>
        <w:tc>
          <w:tcPr>
            <w:tcW w:w="354" w:type="pct"/>
            <w:noWrap w:val="0"/>
            <w:vAlign w:val="center"/>
          </w:tcPr>
          <w:p w14:paraId="256EAF8E">
            <w:pPr>
              <w:widowControl/>
              <w:adjustRightInd w:val="0"/>
              <w:snapToGrid w:val="0"/>
              <w:spacing w:line="0" w:lineRule="atLeast"/>
              <w:jc w:val="center"/>
              <w:rPr>
                <w:rFonts w:hint="eastAsia" w:ascii="宋体" w:hAnsi="宋体" w:eastAsia="宋体" w:cs="宋体"/>
                <w:szCs w:val="21"/>
                <w:highlight w:val="none"/>
                <w:lang w:eastAsia="zh-CN"/>
              </w:rPr>
            </w:pPr>
            <w:r>
              <w:rPr>
                <w:rFonts w:hint="eastAsia" w:ascii="宋体" w:hAnsi="宋体" w:cs="宋体"/>
                <w:color w:val="000000"/>
                <w:szCs w:val="21"/>
                <w:highlight w:val="none"/>
                <w:lang w:val="en-US" w:eastAsia="zh-CN"/>
              </w:rPr>
              <w:t>4</w:t>
            </w:r>
          </w:p>
        </w:tc>
        <w:tc>
          <w:tcPr>
            <w:tcW w:w="488" w:type="pct"/>
            <w:noWrap w:val="0"/>
            <w:vAlign w:val="center"/>
          </w:tcPr>
          <w:p w14:paraId="1BB7AE31">
            <w:pPr>
              <w:spacing w:line="0" w:lineRule="atLeast"/>
              <w:jc w:val="center"/>
              <w:rPr>
                <w:rFonts w:hint="eastAsia"/>
                <w:highlight w:val="none"/>
              </w:rPr>
            </w:pPr>
            <w:r>
              <w:rPr>
                <w:rFonts w:hint="eastAsia" w:ascii="宋体" w:hAnsi="宋体" w:cs="宋体"/>
                <w:color w:val="000000"/>
                <w:szCs w:val="21"/>
                <w:highlight w:val="none"/>
              </w:rPr>
              <w:t>技术服务方案评审</w:t>
            </w:r>
          </w:p>
        </w:tc>
        <w:tc>
          <w:tcPr>
            <w:tcW w:w="2006" w:type="pct"/>
            <w:noWrap w:val="0"/>
            <w:vAlign w:val="center"/>
          </w:tcPr>
          <w:p w14:paraId="1B740974">
            <w:pPr>
              <w:spacing w:line="0" w:lineRule="atLeas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对本项目工作内容的理解是否全面、准确进行横向比较评分：</w:t>
            </w:r>
          </w:p>
          <w:p w14:paraId="405EE46B">
            <w:pPr>
              <w:spacing w:line="0" w:lineRule="atLeas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评优得</w:t>
            </w:r>
            <w:r>
              <w:rPr>
                <w:rFonts w:hint="eastAsia" w:ascii="宋体" w:hAnsi="宋体" w:cs="宋体"/>
                <w:kern w:val="2"/>
                <w:sz w:val="21"/>
                <w:szCs w:val="21"/>
                <w:highlight w:val="none"/>
                <w:lang w:val="en-US" w:eastAsia="zh-CN" w:bidi="ar-SA"/>
              </w:rPr>
              <w:t>25</w:t>
            </w:r>
            <w:r>
              <w:rPr>
                <w:rFonts w:hint="eastAsia" w:ascii="宋体" w:hAnsi="宋体" w:eastAsia="宋体" w:cs="宋体"/>
                <w:kern w:val="2"/>
                <w:sz w:val="21"/>
                <w:szCs w:val="21"/>
                <w:highlight w:val="none"/>
                <w:lang w:val="en-US" w:eastAsia="zh-CN" w:bidi="ar-SA"/>
              </w:rPr>
              <w:t>～</w:t>
            </w:r>
            <w:r>
              <w:rPr>
                <w:rFonts w:hint="eastAsia" w:ascii="宋体" w:hAnsi="宋体" w:cs="宋体"/>
                <w:kern w:val="2"/>
                <w:sz w:val="21"/>
                <w:szCs w:val="21"/>
                <w:highlight w:val="none"/>
                <w:lang w:val="en-US" w:eastAsia="zh-CN" w:bidi="ar-SA"/>
              </w:rPr>
              <w:t>30</w:t>
            </w:r>
            <w:r>
              <w:rPr>
                <w:rFonts w:hint="eastAsia" w:ascii="宋体" w:hAnsi="宋体" w:eastAsia="宋体" w:cs="宋体"/>
                <w:kern w:val="2"/>
                <w:sz w:val="21"/>
                <w:szCs w:val="21"/>
                <w:highlight w:val="none"/>
                <w:lang w:val="en-US" w:eastAsia="zh-CN" w:bidi="ar-SA"/>
              </w:rPr>
              <w:t>分，良得</w:t>
            </w:r>
            <w:r>
              <w:rPr>
                <w:rFonts w:hint="eastAsia" w:ascii="宋体" w:hAnsi="宋体" w:cs="宋体"/>
                <w:kern w:val="2"/>
                <w:sz w:val="21"/>
                <w:szCs w:val="21"/>
                <w:highlight w:val="none"/>
                <w:lang w:val="en-US" w:eastAsia="zh-CN" w:bidi="ar-SA"/>
              </w:rPr>
              <w:t>21</w:t>
            </w:r>
            <w:r>
              <w:rPr>
                <w:rFonts w:hint="eastAsia" w:ascii="宋体" w:hAnsi="宋体" w:eastAsia="宋体" w:cs="宋体"/>
                <w:kern w:val="2"/>
                <w:sz w:val="21"/>
                <w:szCs w:val="21"/>
                <w:highlight w:val="none"/>
                <w:lang w:val="en-US" w:eastAsia="zh-CN" w:bidi="ar-SA"/>
              </w:rPr>
              <w:t>～</w:t>
            </w:r>
            <w:r>
              <w:rPr>
                <w:rFonts w:hint="eastAsia" w:ascii="宋体" w:hAnsi="宋体" w:cs="宋体"/>
                <w:kern w:val="2"/>
                <w:sz w:val="21"/>
                <w:szCs w:val="21"/>
                <w:highlight w:val="none"/>
                <w:lang w:val="en-US" w:eastAsia="zh-CN" w:bidi="ar-SA"/>
              </w:rPr>
              <w:t>24</w:t>
            </w:r>
            <w:r>
              <w:rPr>
                <w:rFonts w:hint="eastAsia" w:ascii="宋体" w:hAnsi="宋体" w:eastAsia="宋体" w:cs="宋体"/>
                <w:kern w:val="2"/>
                <w:sz w:val="21"/>
                <w:szCs w:val="21"/>
                <w:highlight w:val="none"/>
                <w:lang w:val="en-US" w:eastAsia="zh-CN" w:bidi="ar-SA"/>
              </w:rPr>
              <w:t>分，中得</w:t>
            </w:r>
            <w:r>
              <w:rPr>
                <w:rFonts w:hint="eastAsia" w:ascii="宋体" w:hAnsi="宋体" w:cs="宋体"/>
                <w:kern w:val="2"/>
                <w:sz w:val="21"/>
                <w:szCs w:val="21"/>
                <w:highlight w:val="none"/>
                <w:lang w:val="en-US" w:eastAsia="zh-CN" w:bidi="ar-SA"/>
              </w:rPr>
              <w:t>16</w:t>
            </w:r>
            <w:r>
              <w:rPr>
                <w:rFonts w:hint="eastAsia" w:ascii="宋体" w:hAnsi="宋体" w:eastAsia="宋体" w:cs="宋体"/>
                <w:kern w:val="2"/>
                <w:sz w:val="21"/>
                <w:szCs w:val="21"/>
                <w:highlight w:val="none"/>
                <w:lang w:val="en-US" w:eastAsia="zh-CN" w:bidi="ar-SA"/>
              </w:rPr>
              <w:t>～</w:t>
            </w:r>
            <w:r>
              <w:rPr>
                <w:rFonts w:hint="eastAsia" w:ascii="宋体" w:hAnsi="宋体" w:cs="宋体"/>
                <w:kern w:val="2"/>
                <w:sz w:val="21"/>
                <w:szCs w:val="21"/>
                <w:highlight w:val="none"/>
                <w:lang w:val="en-US" w:eastAsia="zh-CN" w:bidi="ar-SA"/>
              </w:rPr>
              <w:t>20</w:t>
            </w:r>
            <w:r>
              <w:rPr>
                <w:rFonts w:hint="eastAsia" w:ascii="宋体" w:hAnsi="宋体" w:eastAsia="宋体" w:cs="宋体"/>
                <w:kern w:val="2"/>
                <w:sz w:val="21"/>
                <w:szCs w:val="21"/>
                <w:highlight w:val="none"/>
                <w:lang w:val="en-US" w:eastAsia="zh-CN" w:bidi="ar-SA"/>
              </w:rPr>
              <w:t>分，较差得</w:t>
            </w:r>
            <w:r>
              <w:rPr>
                <w:rFonts w:hint="eastAsia" w:ascii="宋体" w:hAnsi="宋体" w:cs="宋体"/>
                <w:kern w:val="2"/>
                <w:sz w:val="21"/>
                <w:szCs w:val="21"/>
                <w:highlight w:val="none"/>
                <w:lang w:val="en-US" w:eastAsia="zh-CN" w:bidi="ar-SA"/>
              </w:rPr>
              <w:t>6</w:t>
            </w:r>
            <w:r>
              <w:rPr>
                <w:rFonts w:hint="eastAsia" w:ascii="宋体" w:hAnsi="宋体" w:eastAsia="宋体" w:cs="宋体"/>
                <w:kern w:val="2"/>
                <w:sz w:val="21"/>
                <w:szCs w:val="21"/>
                <w:highlight w:val="none"/>
                <w:lang w:val="en-US" w:eastAsia="zh-CN" w:bidi="ar-SA"/>
              </w:rPr>
              <w:t>～1</w:t>
            </w:r>
            <w:r>
              <w:rPr>
                <w:rFonts w:hint="eastAsia" w:ascii="宋体" w:hAnsi="宋体" w:cs="宋体"/>
                <w:kern w:val="2"/>
                <w:sz w:val="21"/>
                <w:szCs w:val="21"/>
                <w:highlight w:val="none"/>
                <w:lang w:val="en-US" w:eastAsia="zh-CN" w:bidi="ar-SA"/>
              </w:rPr>
              <w:t>0</w:t>
            </w:r>
            <w:r>
              <w:rPr>
                <w:rFonts w:hint="eastAsia" w:ascii="宋体" w:hAnsi="宋体" w:eastAsia="宋体" w:cs="宋体"/>
                <w:kern w:val="2"/>
                <w:sz w:val="21"/>
                <w:szCs w:val="21"/>
                <w:highlight w:val="none"/>
                <w:lang w:val="en-US" w:eastAsia="zh-CN" w:bidi="ar-SA"/>
              </w:rPr>
              <w:t>分，差得0～</w:t>
            </w:r>
            <w:r>
              <w:rPr>
                <w:rFonts w:hint="eastAsia" w:ascii="宋体" w:hAnsi="宋体" w:cs="宋体"/>
                <w:kern w:val="2"/>
                <w:sz w:val="21"/>
                <w:szCs w:val="21"/>
                <w:highlight w:val="none"/>
                <w:lang w:val="en-US" w:eastAsia="zh-CN" w:bidi="ar-SA"/>
              </w:rPr>
              <w:t>5</w:t>
            </w:r>
            <w:r>
              <w:rPr>
                <w:rFonts w:hint="eastAsia" w:ascii="宋体" w:hAnsi="宋体" w:eastAsia="宋体" w:cs="宋体"/>
                <w:kern w:val="2"/>
                <w:sz w:val="21"/>
                <w:szCs w:val="21"/>
                <w:highlight w:val="none"/>
                <w:lang w:val="en-US" w:eastAsia="zh-CN" w:bidi="ar-SA"/>
              </w:rPr>
              <w:t>分。</w:t>
            </w:r>
          </w:p>
          <w:p w14:paraId="61602762">
            <w:pPr>
              <w:pStyle w:val="2"/>
              <w:rPr>
                <w:rFonts w:hint="eastAsia"/>
                <w:highlight w:val="none"/>
              </w:rPr>
            </w:pPr>
            <w:r>
              <w:rPr>
                <w:rFonts w:hint="eastAsia" w:ascii="宋体" w:hAnsi="宋体" w:eastAsia="宋体" w:cs="宋体"/>
                <w:sz w:val="21"/>
                <w:szCs w:val="21"/>
                <w:highlight w:val="none"/>
              </w:rPr>
              <w:t>打分参考：对服务方案的完整性、合理性、可执行性和工作时间安排合理、服务保障是否到位、服务流程是否合理，服务人员配置等进行综合评议。</w:t>
            </w:r>
          </w:p>
        </w:tc>
        <w:tc>
          <w:tcPr>
            <w:tcW w:w="881" w:type="pct"/>
            <w:noWrap w:val="0"/>
            <w:vAlign w:val="center"/>
          </w:tcPr>
          <w:p w14:paraId="7C7CE20B">
            <w:pPr>
              <w:adjustRightInd w:val="0"/>
              <w:snapToGrid w:val="0"/>
              <w:spacing w:line="0" w:lineRule="atLeast"/>
              <w:jc w:val="center"/>
              <w:rPr>
                <w:rFonts w:hint="eastAsia" w:ascii="宋体" w:hAnsi="宋体" w:cs="宋体"/>
                <w:szCs w:val="21"/>
                <w:highlight w:val="none"/>
              </w:rPr>
            </w:pPr>
            <w:r>
              <w:rPr>
                <w:rFonts w:hint="eastAsia" w:ascii="宋体" w:hAnsi="宋体" w:cs="宋体"/>
                <w:color w:val="000000"/>
                <w:szCs w:val="21"/>
                <w:highlight w:val="none"/>
              </w:rPr>
              <w:t>提供服务方案，并加盖</w:t>
            </w:r>
            <w:r>
              <w:rPr>
                <w:rFonts w:hint="eastAsia" w:ascii="宋体" w:hAnsi="宋体" w:cs="宋体"/>
                <w:color w:val="000000"/>
                <w:szCs w:val="21"/>
                <w:highlight w:val="none"/>
                <w:lang w:val="en-US" w:eastAsia="zh-CN"/>
              </w:rPr>
              <w:t>公</w:t>
            </w:r>
            <w:r>
              <w:rPr>
                <w:rFonts w:hint="eastAsia" w:ascii="宋体" w:hAnsi="宋体" w:cs="宋体"/>
                <w:color w:val="000000"/>
                <w:szCs w:val="21"/>
                <w:highlight w:val="none"/>
              </w:rPr>
              <w:t>章</w:t>
            </w:r>
          </w:p>
        </w:tc>
        <w:tc>
          <w:tcPr>
            <w:tcW w:w="630" w:type="pct"/>
            <w:noWrap w:val="0"/>
            <w:vAlign w:val="center"/>
          </w:tcPr>
          <w:p w14:paraId="62DE822A">
            <w:pPr>
              <w:spacing w:line="0" w:lineRule="atLeast"/>
              <w:jc w:val="center"/>
              <w:rPr>
                <w:rFonts w:hint="eastAsia" w:ascii="宋体" w:hAnsi="宋体" w:cs="宋体"/>
                <w:szCs w:val="21"/>
                <w:highlight w:val="none"/>
              </w:rPr>
            </w:pP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rPr>
              <w:t>分</w:t>
            </w:r>
          </w:p>
        </w:tc>
        <w:tc>
          <w:tcPr>
            <w:tcW w:w="554" w:type="pct"/>
            <w:noWrap w:val="0"/>
            <w:vAlign w:val="center"/>
          </w:tcPr>
          <w:p w14:paraId="60F49AC0">
            <w:pPr>
              <w:spacing w:line="0" w:lineRule="atLeast"/>
              <w:jc w:val="center"/>
              <w:rPr>
                <w:rFonts w:ascii="宋体" w:hAnsi="宋体" w:cs="宋体"/>
                <w:color w:val="000000"/>
                <w:szCs w:val="21"/>
                <w:highlight w:val="none"/>
              </w:rPr>
            </w:pPr>
          </w:p>
        </w:tc>
      </w:tr>
      <w:tr w14:paraId="51B5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3" w:hRule="atLeast"/>
          <w:jc w:val="center"/>
        </w:trPr>
        <w:tc>
          <w:tcPr>
            <w:tcW w:w="354" w:type="pct"/>
            <w:noWrap w:val="0"/>
            <w:vAlign w:val="center"/>
          </w:tcPr>
          <w:p w14:paraId="20BF398E">
            <w:pPr>
              <w:widowControl/>
              <w:adjustRightInd w:val="0"/>
              <w:snapToGrid w:val="0"/>
              <w:spacing w:line="0" w:lineRule="atLeast"/>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5</w:t>
            </w:r>
          </w:p>
        </w:tc>
        <w:tc>
          <w:tcPr>
            <w:tcW w:w="488" w:type="pct"/>
            <w:noWrap w:val="0"/>
            <w:vAlign w:val="center"/>
          </w:tcPr>
          <w:p w14:paraId="2026BA61">
            <w:pPr>
              <w:spacing w:line="0" w:lineRule="atLeast"/>
              <w:jc w:val="center"/>
              <w:rPr>
                <w:rFonts w:ascii="宋体" w:hAnsi="宋体" w:cs="宋体"/>
                <w:color w:val="000000"/>
                <w:szCs w:val="21"/>
                <w:highlight w:val="none"/>
              </w:rPr>
            </w:pPr>
            <w:r>
              <w:rPr>
                <w:rFonts w:hint="eastAsia" w:ascii="宋体" w:hAnsi="宋体" w:cs="宋体"/>
                <w:color w:val="000000"/>
                <w:szCs w:val="21"/>
                <w:highlight w:val="none"/>
              </w:rPr>
              <w:t>报价</w:t>
            </w:r>
          </w:p>
          <w:p w14:paraId="66CEE533">
            <w:pPr>
              <w:spacing w:line="0" w:lineRule="atLeast"/>
              <w:jc w:val="center"/>
              <w:rPr>
                <w:rFonts w:ascii="宋体" w:hAnsi="宋体" w:cs="宋体"/>
                <w:color w:val="000000"/>
                <w:szCs w:val="21"/>
                <w:highlight w:val="none"/>
              </w:rPr>
            </w:pPr>
            <w:r>
              <w:rPr>
                <w:rFonts w:hint="eastAsia" w:ascii="宋体" w:hAnsi="宋体" w:cs="宋体"/>
                <w:color w:val="000000"/>
                <w:szCs w:val="21"/>
                <w:highlight w:val="none"/>
              </w:rPr>
              <w:t>得分</w:t>
            </w:r>
          </w:p>
        </w:tc>
        <w:tc>
          <w:tcPr>
            <w:tcW w:w="2006" w:type="pct"/>
            <w:noWrap w:val="0"/>
            <w:vAlign w:val="center"/>
          </w:tcPr>
          <w:p w14:paraId="18BBA2DA">
            <w:pPr>
              <w:spacing w:line="0" w:lineRule="atLeast"/>
              <w:jc w:val="left"/>
              <w:rPr>
                <w:rFonts w:hint="eastAsia"/>
                <w:bCs/>
                <w:szCs w:val="21"/>
                <w:highlight w:val="none"/>
              </w:rPr>
            </w:pPr>
            <w:r>
              <w:rPr>
                <w:rFonts w:hint="eastAsia"/>
                <w:bCs/>
                <w:szCs w:val="21"/>
                <w:highlight w:val="none"/>
              </w:rPr>
              <w:t>采用低价优先法计算，投标总价最低的投标报价为评标基准价，其价格分为满分。</w:t>
            </w:r>
          </w:p>
          <w:p w14:paraId="7772DA23">
            <w:pPr>
              <w:spacing w:line="0" w:lineRule="atLeast"/>
              <w:jc w:val="left"/>
              <w:rPr>
                <w:rFonts w:hint="eastAsia" w:eastAsia="宋体"/>
                <w:bCs/>
                <w:szCs w:val="21"/>
                <w:highlight w:val="none"/>
                <w:lang w:eastAsia="zh-CN"/>
              </w:rPr>
            </w:pPr>
            <w:r>
              <w:rPr>
                <w:rFonts w:hint="eastAsia"/>
                <w:bCs/>
                <w:szCs w:val="21"/>
                <w:highlight w:val="none"/>
              </w:rPr>
              <w:t>其他投标人的价格分统一按照下列公式计算：投标报价得分=(评标基准价／投标总价)×1</w:t>
            </w:r>
            <w:r>
              <w:rPr>
                <w:rFonts w:hint="eastAsia"/>
                <w:bCs/>
                <w:szCs w:val="21"/>
                <w:highlight w:val="none"/>
                <w:lang w:val="en-US" w:eastAsia="zh-CN"/>
              </w:rPr>
              <w:t>0</w:t>
            </w:r>
          </w:p>
          <w:p w14:paraId="4985B4A0">
            <w:pPr>
              <w:spacing w:line="0" w:lineRule="atLeast"/>
              <w:jc w:val="left"/>
              <w:rPr>
                <w:rFonts w:ascii="宋体" w:hAnsi="宋体" w:cs="宋体"/>
                <w:color w:val="000000"/>
                <w:szCs w:val="21"/>
                <w:highlight w:val="none"/>
              </w:rPr>
            </w:pPr>
            <w:r>
              <w:rPr>
                <w:rFonts w:hint="eastAsia"/>
                <w:bCs/>
                <w:szCs w:val="21"/>
                <w:highlight w:val="none"/>
              </w:rPr>
              <w:t>评标过程中，不去掉报价中的最高报价和最低报价。</w:t>
            </w:r>
          </w:p>
        </w:tc>
        <w:tc>
          <w:tcPr>
            <w:tcW w:w="881" w:type="pct"/>
            <w:noWrap w:val="0"/>
            <w:vAlign w:val="center"/>
          </w:tcPr>
          <w:p w14:paraId="4ED4AF1D">
            <w:pPr>
              <w:adjustRightInd w:val="0"/>
              <w:snapToGrid w:val="0"/>
              <w:spacing w:line="0" w:lineRule="atLeast"/>
              <w:jc w:val="center"/>
              <w:rPr>
                <w:rFonts w:ascii="宋体" w:hAnsi="宋体" w:cs="宋体"/>
                <w:color w:val="000000"/>
                <w:szCs w:val="21"/>
                <w:highlight w:val="none"/>
              </w:rPr>
            </w:pPr>
            <w:r>
              <w:rPr>
                <w:rFonts w:hint="eastAsia" w:ascii="宋体" w:hAnsi="宋体" w:cs="宋体"/>
                <w:color w:val="000000"/>
                <w:szCs w:val="21"/>
                <w:highlight w:val="none"/>
              </w:rPr>
              <w:t>提供响应报价，并加盖公章</w:t>
            </w:r>
          </w:p>
        </w:tc>
        <w:tc>
          <w:tcPr>
            <w:tcW w:w="630" w:type="pct"/>
            <w:noWrap w:val="0"/>
            <w:vAlign w:val="center"/>
          </w:tcPr>
          <w:p w14:paraId="7717DFB7">
            <w:pPr>
              <w:spacing w:line="0" w:lineRule="atLeast"/>
              <w:jc w:val="center"/>
              <w:rPr>
                <w:rFonts w:ascii="宋体" w:hAnsi="宋体" w:cs="宋体"/>
                <w:color w:val="000000"/>
                <w:szCs w:val="21"/>
                <w:highlight w:val="none"/>
              </w:rPr>
            </w:pP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分</w:t>
            </w:r>
          </w:p>
        </w:tc>
        <w:tc>
          <w:tcPr>
            <w:tcW w:w="554" w:type="pct"/>
            <w:noWrap w:val="0"/>
            <w:vAlign w:val="center"/>
          </w:tcPr>
          <w:p w14:paraId="13807864">
            <w:pPr>
              <w:spacing w:line="0" w:lineRule="atLeast"/>
              <w:jc w:val="center"/>
              <w:rPr>
                <w:rFonts w:ascii="宋体" w:hAnsi="宋体" w:cs="宋体"/>
                <w:color w:val="000000"/>
                <w:szCs w:val="21"/>
                <w:highlight w:val="none"/>
              </w:rPr>
            </w:pPr>
          </w:p>
        </w:tc>
      </w:tr>
      <w:tr w14:paraId="4538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58" w:hRule="atLeast"/>
          <w:jc w:val="center"/>
        </w:trPr>
        <w:tc>
          <w:tcPr>
            <w:tcW w:w="354" w:type="pct"/>
            <w:noWrap w:val="0"/>
            <w:vAlign w:val="center"/>
          </w:tcPr>
          <w:p w14:paraId="1B477A41">
            <w:pPr>
              <w:widowControl/>
              <w:adjustRightInd w:val="0"/>
              <w:snapToGrid w:val="0"/>
              <w:spacing w:line="0" w:lineRule="atLeast"/>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6</w:t>
            </w:r>
          </w:p>
        </w:tc>
        <w:tc>
          <w:tcPr>
            <w:tcW w:w="488" w:type="pct"/>
            <w:noWrap w:val="0"/>
            <w:vAlign w:val="center"/>
          </w:tcPr>
          <w:p w14:paraId="2324699E">
            <w:pPr>
              <w:spacing w:line="0" w:lineRule="atLeast"/>
              <w:jc w:val="center"/>
              <w:rPr>
                <w:rFonts w:ascii="宋体" w:hAnsi="宋体" w:cs="宋体"/>
                <w:color w:val="000000"/>
                <w:szCs w:val="21"/>
                <w:highlight w:val="none"/>
              </w:rPr>
            </w:pPr>
            <w:r>
              <w:rPr>
                <w:rFonts w:hint="eastAsia" w:ascii="宋体" w:hAnsi="宋体" w:cs="宋体"/>
                <w:color w:val="000000"/>
                <w:szCs w:val="21"/>
                <w:highlight w:val="none"/>
                <w:lang w:val="en-US" w:eastAsia="zh-CN"/>
              </w:rPr>
              <w:t>单次</w:t>
            </w:r>
            <w:r>
              <w:rPr>
                <w:rFonts w:hint="eastAsia" w:ascii="宋体" w:hAnsi="宋体" w:cs="宋体"/>
                <w:color w:val="000000"/>
                <w:szCs w:val="21"/>
                <w:highlight w:val="none"/>
              </w:rPr>
              <w:t>调整</w:t>
            </w:r>
            <w:r>
              <w:rPr>
                <w:rFonts w:hint="eastAsia" w:ascii="宋体" w:hAnsi="宋体" w:cs="宋体"/>
                <w:color w:val="000000"/>
                <w:szCs w:val="21"/>
                <w:highlight w:val="none"/>
                <w:lang w:val="en-US" w:eastAsia="zh-CN"/>
              </w:rPr>
              <w:t>基准日</w:t>
            </w:r>
            <w:r>
              <w:rPr>
                <w:rFonts w:hint="eastAsia" w:ascii="宋体" w:hAnsi="宋体" w:cs="宋体"/>
                <w:color w:val="000000"/>
                <w:szCs w:val="21"/>
                <w:highlight w:val="none"/>
              </w:rPr>
              <w:t>费用报价得分</w:t>
            </w:r>
          </w:p>
        </w:tc>
        <w:tc>
          <w:tcPr>
            <w:tcW w:w="2006" w:type="pct"/>
            <w:noWrap w:val="0"/>
            <w:vAlign w:val="center"/>
          </w:tcPr>
          <w:p w14:paraId="7C76C33D">
            <w:pPr>
              <w:spacing w:line="0" w:lineRule="atLeast"/>
              <w:jc w:val="left"/>
              <w:rPr>
                <w:rFonts w:hint="eastAsia"/>
                <w:bCs/>
                <w:szCs w:val="21"/>
                <w:highlight w:val="none"/>
              </w:rPr>
            </w:pPr>
            <w:r>
              <w:rPr>
                <w:rFonts w:hint="eastAsia"/>
                <w:bCs/>
                <w:szCs w:val="21"/>
                <w:highlight w:val="none"/>
              </w:rPr>
              <w:t>采用低价优先法计算，调整基准日</w:t>
            </w:r>
            <w:r>
              <w:rPr>
                <w:rFonts w:hint="eastAsia"/>
                <w:bCs/>
                <w:szCs w:val="21"/>
                <w:highlight w:val="none"/>
                <w:lang w:val="en-US" w:eastAsia="zh-CN"/>
              </w:rPr>
              <w:t>所需</w:t>
            </w:r>
            <w:r>
              <w:rPr>
                <w:rFonts w:hint="eastAsia"/>
                <w:bCs/>
                <w:szCs w:val="21"/>
                <w:highlight w:val="none"/>
              </w:rPr>
              <w:t>费用最低的投标报价为评标基准价，其价格分为满分。</w:t>
            </w:r>
          </w:p>
          <w:p w14:paraId="5A5CD499">
            <w:pPr>
              <w:spacing w:line="0" w:lineRule="atLeast"/>
              <w:jc w:val="left"/>
              <w:rPr>
                <w:rFonts w:hint="default" w:eastAsia="宋体"/>
                <w:bCs/>
                <w:szCs w:val="21"/>
                <w:highlight w:val="none"/>
                <w:lang w:val="en-US" w:eastAsia="zh-CN"/>
              </w:rPr>
            </w:pPr>
            <w:r>
              <w:rPr>
                <w:rFonts w:hint="eastAsia"/>
                <w:bCs/>
                <w:szCs w:val="21"/>
                <w:highlight w:val="none"/>
              </w:rPr>
              <w:t>其他投标人的价格分统一按照下列公式计算：调整费用报价得分=(评标基准价／投标总价)×</w:t>
            </w:r>
            <w:r>
              <w:rPr>
                <w:rFonts w:hint="eastAsia"/>
                <w:bCs/>
                <w:szCs w:val="21"/>
                <w:highlight w:val="none"/>
                <w:lang w:val="en-US" w:eastAsia="zh-CN"/>
              </w:rPr>
              <w:t>5</w:t>
            </w:r>
          </w:p>
          <w:p w14:paraId="368B799E">
            <w:pPr>
              <w:spacing w:line="0" w:lineRule="atLeast"/>
              <w:jc w:val="left"/>
              <w:rPr>
                <w:rFonts w:hint="default" w:ascii="宋体" w:hAnsi="宋体" w:eastAsia="宋体" w:cs="宋体"/>
                <w:color w:val="000000"/>
                <w:szCs w:val="21"/>
                <w:highlight w:val="none"/>
                <w:lang w:val="en-US" w:eastAsia="zh-CN"/>
              </w:rPr>
            </w:pPr>
            <w:r>
              <w:rPr>
                <w:rFonts w:hint="eastAsia"/>
                <w:bCs/>
                <w:szCs w:val="21"/>
                <w:highlight w:val="none"/>
              </w:rPr>
              <w:t>评标过程中，不去掉报价中的最高报价和最低报价。单次调整报价不超过响应报价10%</w:t>
            </w:r>
            <w:r>
              <w:rPr>
                <w:rFonts w:hint="eastAsia"/>
                <w:bCs/>
                <w:szCs w:val="21"/>
                <w:highlight w:val="none"/>
                <w:lang w:eastAsia="zh-CN"/>
              </w:rPr>
              <w:t>，</w:t>
            </w:r>
            <w:r>
              <w:rPr>
                <w:rFonts w:hint="eastAsia"/>
                <w:bCs/>
                <w:szCs w:val="21"/>
                <w:highlight w:val="none"/>
                <w:lang w:val="en-US" w:eastAsia="zh-CN"/>
              </w:rPr>
              <w:t>如超过本项不得分。</w:t>
            </w:r>
          </w:p>
        </w:tc>
        <w:tc>
          <w:tcPr>
            <w:tcW w:w="881" w:type="pct"/>
            <w:noWrap w:val="0"/>
            <w:vAlign w:val="center"/>
          </w:tcPr>
          <w:p w14:paraId="07A4C5E2">
            <w:pPr>
              <w:adjustRightInd w:val="0"/>
              <w:snapToGrid w:val="0"/>
              <w:spacing w:line="0" w:lineRule="atLeast"/>
              <w:jc w:val="center"/>
              <w:rPr>
                <w:rFonts w:ascii="宋体" w:hAnsi="宋体" w:cs="宋体"/>
                <w:color w:val="000000"/>
                <w:szCs w:val="21"/>
                <w:highlight w:val="none"/>
              </w:rPr>
            </w:pPr>
            <w:r>
              <w:rPr>
                <w:rFonts w:hint="eastAsia" w:ascii="宋体" w:hAnsi="宋体" w:cs="宋体"/>
                <w:color w:val="000000"/>
                <w:szCs w:val="21"/>
                <w:highlight w:val="none"/>
              </w:rPr>
              <w:t>提供响应报价，并加盖公章</w:t>
            </w:r>
          </w:p>
        </w:tc>
        <w:tc>
          <w:tcPr>
            <w:tcW w:w="630" w:type="pct"/>
            <w:noWrap w:val="0"/>
            <w:vAlign w:val="center"/>
          </w:tcPr>
          <w:p w14:paraId="2552A1B2">
            <w:pPr>
              <w:spacing w:line="0" w:lineRule="atLeast"/>
              <w:jc w:val="center"/>
              <w:rPr>
                <w:rFonts w:ascii="宋体" w:hAnsi="宋体" w:cs="宋体"/>
                <w:color w:val="000000"/>
                <w:szCs w:val="21"/>
                <w:highlight w:val="none"/>
              </w:rPr>
            </w:pP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分</w:t>
            </w:r>
          </w:p>
        </w:tc>
        <w:tc>
          <w:tcPr>
            <w:tcW w:w="554" w:type="pct"/>
            <w:noWrap w:val="0"/>
            <w:vAlign w:val="center"/>
          </w:tcPr>
          <w:p w14:paraId="0D97E820">
            <w:pPr>
              <w:spacing w:line="0" w:lineRule="atLeast"/>
              <w:jc w:val="center"/>
              <w:rPr>
                <w:rFonts w:ascii="宋体" w:hAnsi="宋体" w:cs="宋体"/>
                <w:color w:val="000000"/>
                <w:szCs w:val="21"/>
                <w:highlight w:val="none"/>
              </w:rPr>
            </w:pPr>
          </w:p>
        </w:tc>
      </w:tr>
      <w:tr w14:paraId="5BC0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3730" w:type="pct"/>
            <w:gridSpan w:val="4"/>
            <w:noWrap w:val="0"/>
            <w:vAlign w:val="center"/>
          </w:tcPr>
          <w:p w14:paraId="0ABFE36A">
            <w:pPr>
              <w:widowControl/>
              <w:adjustRightInd w:val="0"/>
              <w:snapToGrid w:val="0"/>
              <w:spacing w:line="0" w:lineRule="atLeast"/>
              <w:jc w:val="center"/>
              <w:rPr>
                <w:rFonts w:ascii="宋体" w:hAnsi="宋体" w:cs="宋体"/>
                <w:color w:val="000000"/>
                <w:szCs w:val="21"/>
                <w:highlight w:val="none"/>
              </w:rPr>
            </w:pPr>
            <w:r>
              <w:rPr>
                <w:rFonts w:hint="eastAsia" w:ascii="宋体" w:hAnsi="宋体" w:cs="宋体"/>
                <w:color w:val="000000"/>
                <w:szCs w:val="21"/>
                <w:highlight w:val="none"/>
              </w:rPr>
              <w:t>合计</w:t>
            </w:r>
          </w:p>
        </w:tc>
        <w:tc>
          <w:tcPr>
            <w:tcW w:w="630" w:type="pct"/>
            <w:noWrap w:val="0"/>
            <w:vAlign w:val="center"/>
          </w:tcPr>
          <w:p w14:paraId="5A27C5C6">
            <w:pPr>
              <w:widowControl/>
              <w:adjustRightInd w:val="0"/>
              <w:snapToGrid w:val="0"/>
              <w:spacing w:line="0" w:lineRule="atLeast"/>
              <w:jc w:val="center"/>
              <w:rPr>
                <w:rFonts w:ascii="宋体" w:hAnsi="宋体" w:cs="宋体"/>
                <w:color w:val="000000"/>
                <w:szCs w:val="21"/>
                <w:highlight w:val="none"/>
              </w:rPr>
            </w:pPr>
            <w:r>
              <w:rPr>
                <w:rFonts w:hint="eastAsia" w:ascii="宋体" w:hAnsi="宋体" w:cs="宋体"/>
                <w:color w:val="000000"/>
                <w:szCs w:val="21"/>
                <w:highlight w:val="none"/>
              </w:rPr>
              <w:t>100分</w:t>
            </w:r>
          </w:p>
        </w:tc>
        <w:tc>
          <w:tcPr>
            <w:tcW w:w="554" w:type="pct"/>
            <w:noWrap w:val="0"/>
            <w:vAlign w:val="center"/>
          </w:tcPr>
          <w:p w14:paraId="20855343">
            <w:pPr>
              <w:adjustRightInd w:val="0"/>
              <w:snapToGrid w:val="0"/>
              <w:spacing w:line="0" w:lineRule="atLeast"/>
              <w:jc w:val="center"/>
              <w:rPr>
                <w:rFonts w:ascii="宋体" w:hAnsi="宋体" w:cs="宋体"/>
                <w:color w:val="000000"/>
                <w:szCs w:val="21"/>
                <w:highlight w:val="none"/>
              </w:rPr>
            </w:pPr>
          </w:p>
        </w:tc>
      </w:tr>
      <w:tr w14:paraId="5DEB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730" w:type="pct"/>
            <w:gridSpan w:val="4"/>
            <w:noWrap w:val="0"/>
            <w:vAlign w:val="center"/>
          </w:tcPr>
          <w:p w14:paraId="2C3E4E62">
            <w:pPr>
              <w:widowControl/>
              <w:adjustRightInd w:val="0"/>
              <w:snapToGrid w:val="0"/>
              <w:spacing w:line="0" w:lineRule="atLeast"/>
              <w:jc w:val="center"/>
              <w:rPr>
                <w:rFonts w:ascii="宋体" w:hAnsi="宋体" w:cs="宋体"/>
                <w:color w:val="000000"/>
                <w:szCs w:val="21"/>
                <w:highlight w:val="none"/>
              </w:rPr>
            </w:pPr>
            <w:r>
              <w:rPr>
                <w:rFonts w:hint="eastAsia" w:ascii="宋体" w:hAnsi="宋体" w:cs="宋体"/>
                <w:b/>
                <w:bCs/>
                <w:color w:val="000000"/>
                <w:szCs w:val="21"/>
                <w:highlight w:val="none"/>
              </w:rPr>
              <w:t>拟推荐成交候选供应商（原则推荐评审综合得分最高的单位）</w:t>
            </w:r>
          </w:p>
        </w:tc>
        <w:tc>
          <w:tcPr>
            <w:tcW w:w="630" w:type="pct"/>
            <w:noWrap w:val="0"/>
            <w:vAlign w:val="center"/>
          </w:tcPr>
          <w:p w14:paraId="68B8B688">
            <w:pPr>
              <w:widowControl/>
              <w:adjustRightInd w:val="0"/>
              <w:snapToGrid w:val="0"/>
              <w:spacing w:line="0" w:lineRule="atLeast"/>
              <w:jc w:val="center"/>
              <w:rPr>
                <w:rFonts w:ascii="宋体" w:hAnsi="宋体" w:cs="宋体"/>
                <w:color w:val="000000"/>
                <w:szCs w:val="21"/>
                <w:highlight w:val="none"/>
              </w:rPr>
            </w:pPr>
          </w:p>
        </w:tc>
        <w:tc>
          <w:tcPr>
            <w:tcW w:w="554" w:type="pct"/>
            <w:noWrap w:val="0"/>
            <w:vAlign w:val="center"/>
          </w:tcPr>
          <w:p w14:paraId="52511BD2">
            <w:pPr>
              <w:adjustRightInd w:val="0"/>
              <w:snapToGrid w:val="0"/>
              <w:spacing w:line="0" w:lineRule="atLeast"/>
              <w:jc w:val="center"/>
              <w:rPr>
                <w:rFonts w:ascii="宋体" w:hAnsi="宋体" w:cs="宋体"/>
                <w:color w:val="000000"/>
                <w:szCs w:val="21"/>
                <w:highlight w:val="none"/>
              </w:rPr>
            </w:pPr>
          </w:p>
        </w:tc>
      </w:tr>
    </w:tbl>
    <w:p w14:paraId="626C0B43">
      <w:pPr>
        <w:pStyle w:val="2"/>
        <w:ind w:firstLine="0" w:firstLineChars="0"/>
        <w:rPr>
          <w:b/>
          <w:bCs/>
          <w:highlight w:val="none"/>
        </w:rPr>
      </w:pPr>
    </w:p>
    <w:p w14:paraId="595DF6ED">
      <w:pPr>
        <w:pStyle w:val="2"/>
        <w:ind w:firstLine="420" w:firstLineChars="200"/>
        <w:rPr>
          <w:b/>
          <w:bCs/>
          <w:highlight w:val="none"/>
        </w:rPr>
      </w:pPr>
      <w:r>
        <w:rPr>
          <w:b/>
          <w:bCs/>
          <w:highlight w:val="none"/>
        </w:rPr>
        <w:t>备注：1.各项评审打分按照四舍五入，小数点后保留2位进行计算；</w:t>
      </w:r>
    </w:p>
    <w:p w14:paraId="0BD7A793">
      <w:pPr>
        <w:pStyle w:val="2"/>
        <w:ind w:left="1239" w:leftChars="190" w:hanging="840" w:hangingChars="400"/>
        <w:rPr>
          <w:rFonts w:hint="default"/>
          <w:sz w:val="44"/>
          <w:szCs w:val="44"/>
          <w:highlight w:val="none"/>
          <w:lang w:val="en-US" w:eastAsia="zh-CN"/>
        </w:rPr>
      </w:pPr>
      <w:r>
        <w:rPr>
          <w:b/>
          <w:bCs/>
          <w:highlight w:val="none"/>
        </w:rPr>
        <w:t xml:space="preserve">      2.若出现拟推荐成交候选供应商票数相同的情况，以未推荐上述单位的评审专家对并列第一的候选供应商既定打分排序作为最终选定依据。</w:t>
      </w:r>
      <w:bookmarkEnd w:id="0"/>
    </w:p>
    <w:sectPr>
      <w:headerReference r:id="rId3" w:type="default"/>
      <w:footerReference r:id="rId4" w:type="default"/>
      <w:pgSz w:w="11906" w:h="16838"/>
      <w:pgMar w:top="1276" w:right="1351" w:bottom="1135" w:left="141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公文黑体">
    <w:panose1 w:val="02000500000000000000"/>
    <w:charset w:val="86"/>
    <w:family w:val="auto"/>
    <w:pitch w:val="default"/>
    <w:sig w:usb0="A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方正黑体简体">
    <w:altName w:val="方正公文黑体"/>
    <w:panose1 w:val="02000000000000000000"/>
    <w:charset w:val="86"/>
    <w:family w:val="swiss"/>
    <w:pitch w:val="default"/>
    <w:sig w:usb0="00000000" w:usb1="00000000" w:usb2="00000012" w:usb3="00000000" w:csb0="00040001" w:csb1="00000000"/>
  </w:font>
  <w:font w:name="Arial Unicode MS">
    <w:altName w:val="DejaVu Sans"/>
    <w:panose1 w:val="020B0604020202020204"/>
    <w:charset w:val="86"/>
    <w:family w:val="swiss"/>
    <w:pitch w:val="default"/>
    <w:sig w:usb0="00000000" w:usb1="00000000" w:usb2="0000003F" w:usb3="00000000" w:csb0="003F01FF" w:csb1="00000000"/>
  </w:font>
  <w:font w:name="金桥简粗宋">
    <w:altName w:val="Noto Serif CJK SC"/>
    <w:panose1 w:val="00000000000000000000"/>
    <w:charset w:val="86"/>
    <w:family w:val="modern"/>
    <w:pitch w:val="default"/>
    <w:sig w:usb0="00000000" w:usb1="00000000" w:usb2="00000010" w:usb3="00000000" w:csb0="00040000" w:csb1="00000000"/>
  </w:font>
  <w:font w:name="Noto Serif CJK SC">
    <w:panose1 w:val="02020400000000000000"/>
    <w:charset w:val="86"/>
    <w:family w:val="auto"/>
    <w:pitch w:val="default"/>
    <w:sig w:usb0="30000083" w:usb1="2BDF3C10" w:usb2="00000016" w:usb3="00000000" w:csb0="602E0107"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FZXBSJW--GB1-0">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C2562">
    <w:pPr>
      <w:pStyle w:val="3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D525D">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4D525D">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v:textbox>
            </v:shape>
          </w:pict>
        </mc:Fallback>
      </mc:AlternateContent>
    </w:r>
  </w:p>
  <w:p w14:paraId="3176D184">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5CF01">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A4C42"/>
    <w:multiLevelType w:val="singleLevel"/>
    <w:tmpl w:val="AB2A4C42"/>
    <w:lvl w:ilvl="0" w:tentative="0">
      <w:start w:val="1"/>
      <w:numFmt w:val="decimal"/>
      <w:suff w:val="nothing"/>
      <w:lvlText w:val="%1、"/>
      <w:lvlJc w:val="left"/>
    </w:lvl>
  </w:abstractNum>
  <w:abstractNum w:abstractNumId="1">
    <w:nsid w:val="09F3727D"/>
    <w:multiLevelType w:val="multilevel"/>
    <w:tmpl w:val="09F3727D"/>
    <w:lvl w:ilvl="0" w:tentative="0">
      <w:start w:val="1"/>
      <w:numFmt w:val="decimal"/>
      <w:pStyle w:val="107"/>
      <w:lvlText w:val="%1.0"/>
      <w:lvlJc w:val="left"/>
      <w:pPr>
        <w:tabs>
          <w:tab w:val="left" w:pos="578"/>
        </w:tabs>
        <w:ind w:left="578" w:hanging="578"/>
      </w:pPr>
      <w:rPr>
        <w:rFonts w:hint="default" w:ascii="Arial" w:hAnsi="Arial"/>
        <w:b/>
        <w:i w:val="0"/>
        <w:color w:val="auto"/>
        <w:sz w:val="32"/>
      </w:rPr>
    </w:lvl>
    <w:lvl w:ilvl="1" w:tentative="0">
      <w:start w:val="1"/>
      <w:numFmt w:val="decimal"/>
      <w:pStyle w:val="110"/>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6"/>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2">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5"/>
      <w:isLgl/>
      <w:lvlText w:val="节 %1.%2"/>
      <w:lvlJc w:val="left"/>
      <w:pPr>
        <w:tabs>
          <w:tab w:val="left" w:pos="2280"/>
        </w:tabs>
        <w:ind w:left="1560" w:firstLine="0"/>
      </w:pPr>
    </w:lvl>
    <w:lvl w:ilvl="2" w:tentative="0">
      <w:start w:val="1"/>
      <w:numFmt w:val="lowerLetter"/>
      <w:pStyle w:val="6"/>
      <w:lvlText w:val="(%3)"/>
      <w:lvlJc w:val="left"/>
      <w:pPr>
        <w:tabs>
          <w:tab w:val="left" w:pos="2280"/>
        </w:tabs>
        <w:ind w:left="2280" w:hanging="432"/>
      </w:pPr>
    </w:lvl>
    <w:lvl w:ilvl="3" w:tentative="0">
      <w:start w:val="1"/>
      <w:numFmt w:val="lowerRoman"/>
      <w:pStyle w:val="7"/>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0"/>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WUxMDgxODE0ZTk4NTJhOTVkYmEwNThkNjQzYjcifQ=="/>
  </w:docVars>
  <w:rsids>
    <w:rsidRoot w:val="000A20B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677"/>
    <w:rsid w:val="00185FEB"/>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972"/>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38E3"/>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001E15"/>
    <w:rsid w:val="01682146"/>
    <w:rsid w:val="017D2D1F"/>
    <w:rsid w:val="01966549"/>
    <w:rsid w:val="0198186C"/>
    <w:rsid w:val="01AC5DF9"/>
    <w:rsid w:val="01DD41C2"/>
    <w:rsid w:val="01E345AE"/>
    <w:rsid w:val="01E4148F"/>
    <w:rsid w:val="02101434"/>
    <w:rsid w:val="023B769A"/>
    <w:rsid w:val="024164DA"/>
    <w:rsid w:val="02790092"/>
    <w:rsid w:val="028820E8"/>
    <w:rsid w:val="029F2B68"/>
    <w:rsid w:val="02AC06FC"/>
    <w:rsid w:val="02F42900"/>
    <w:rsid w:val="02FA1195"/>
    <w:rsid w:val="0302618A"/>
    <w:rsid w:val="032D0B2F"/>
    <w:rsid w:val="03EB470A"/>
    <w:rsid w:val="044429C2"/>
    <w:rsid w:val="04564F01"/>
    <w:rsid w:val="04695794"/>
    <w:rsid w:val="04810C52"/>
    <w:rsid w:val="04862661"/>
    <w:rsid w:val="04972EB4"/>
    <w:rsid w:val="04A05004"/>
    <w:rsid w:val="04A57DAB"/>
    <w:rsid w:val="04A635F5"/>
    <w:rsid w:val="05122EEA"/>
    <w:rsid w:val="053E7A15"/>
    <w:rsid w:val="055B7332"/>
    <w:rsid w:val="056A3FE9"/>
    <w:rsid w:val="058C77EF"/>
    <w:rsid w:val="059F4FD1"/>
    <w:rsid w:val="05AF0D86"/>
    <w:rsid w:val="05BE2B4E"/>
    <w:rsid w:val="05D070DB"/>
    <w:rsid w:val="05D44C82"/>
    <w:rsid w:val="060523AD"/>
    <w:rsid w:val="061D0302"/>
    <w:rsid w:val="064F66A3"/>
    <w:rsid w:val="065F0FCA"/>
    <w:rsid w:val="066F200F"/>
    <w:rsid w:val="067A02E5"/>
    <w:rsid w:val="067C7D80"/>
    <w:rsid w:val="069C1DC3"/>
    <w:rsid w:val="06A00B12"/>
    <w:rsid w:val="06AA240D"/>
    <w:rsid w:val="06D7755B"/>
    <w:rsid w:val="06E6452A"/>
    <w:rsid w:val="071D6B91"/>
    <w:rsid w:val="07205F42"/>
    <w:rsid w:val="07234A9B"/>
    <w:rsid w:val="072D7269"/>
    <w:rsid w:val="074273A6"/>
    <w:rsid w:val="075A7BFD"/>
    <w:rsid w:val="07B129D2"/>
    <w:rsid w:val="07B77118"/>
    <w:rsid w:val="07C558B9"/>
    <w:rsid w:val="07D0362B"/>
    <w:rsid w:val="08081A1B"/>
    <w:rsid w:val="081A45F4"/>
    <w:rsid w:val="08254790"/>
    <w:rsid w:val="0848623A"/>
    <w:rsid w:val="08674098"/>
    <w:rsid w:val="089963F4"/>
    <w:rsid w:val="08F03474"/>
    <w:rsid w:val="09162A16"/>
    <w:rsid w:val="091A7535"/>
    <w:rsid w:val="091D497D"/>
    <w:rsid w:val="092E369A"/>
    <w:rsid w:val="09557421"/>
    <w:rsid w:val="09642659"/>
    <w:rsid w:val="098118B6"/>
    <w:rsid w:val="09B14F92"/>
    <w:rsid w:val="09BF626E"/>
    <w:rsid w:val="0A2B3B75"/>
    <w:rsid w:val="0A382C50"/>
    <w:rsid w:val="0A50402E"/>
    <w:rsid w:val="0A6A1BD4"/>
    <w:rsid w:val="0A897EA0"/>
    <w:rsid w:val="0AB86C5C"/>
    <w:rsid w:val="0AC01DD5"/>
    <w:rsid w:val="0AC34AEB"/>
    <w:rsid w:val="0AD96324"/>
    <w:rsid w:val="0AEF58AD"/>
    <w:rsid w:val="0AFE39F5"/>
    <w:rsid w:val="0AFE687F"/>
    <w:rsid w:val="0B294C31"/>
    <w:rsid w:val="0B3B6521"/>
    <w:rsid w:val="0B61253C"/>
    <w:rsid w:val="0B7216D3"/>
    <w:rsid w:val="0B7F7677"/>
    <w:rsid w:val="0BDC6843"/>
    <w:rsid w:val="0BE307CB"/>
    <w:rsid w:val="0C12283C"/>
    <w:rsid w:val="0C13013B"/>
    <w:rsid w:val="0C1F073A"/>
    <w:rsid w:val="0C606D18"/>
    <w:rsid w:val="0C6101CD"/>
    <w:rsid w:val="0C7C38C4"/>
    <w:rsid w:val="0C84565F"/>
    <w:rsid w:val="0CA3013F"/>
    <w:rsid w:val="0CC50503"/>
    <w:rsid w:val="0CC83B28"/>
    <w:rsid w:val="0CC87C49"/>
    <w:rsid w:val="0CCA3B52"/>
    <w:rsid w:val="0D213998"/>
    <w:rsid w:val="0D2C1997"/>
    <w:rsid w:val="0D344BBB"/>
    <w:rsid w:val="0D7908CD"/>
    <w:rsid w:val="0D7F4256"/>
    <w:rsid w:val="0D842038"/>
    <w:rsid w:val="0DC437DB"/>
    <w:rsid w:val="0E1C4090"/>
    <w:rsid w:val="0E1C5AFD"/>
    <w:rsid w:val="0E3E5F3C"/>
    <w:rsid w:val="0E5D118A"/>
    <w:rsid w:val="0E6D7440"/>
    <w:rsid w:val="0E823F28"/>
    <w:rsid w:val="0E8D6C2C"/>
    <w:rsid w:val="0E932AA1"/>
    <w:rsid w:val="0EBE69D9"/>
    <w:rsid w:val="0ECB20BE"/>
    <w:rsid w:val="0EEB113D"/>
    <w:rsid w:val="0EF61473"/>
    <w:rsid w:val="0F4A5D5D"/>
    <w:rsid w:val="0F7347A4"/>
    <w:rsid w:val="0F8B77D5"/>
    <w:rsid w:val="0F944885"/>
    <w:rsid w:val="0FA25AF2"/>
    <w:rsid w:val="0FA83AEC"/>
    <w:rsid w:val="0FBE5D9F"/>
    <w:rsid w:val="0FCF4B44"/>
    <w:rsid w:val="0FD36B3B"/>
    <w:rsid w:val="0FD47E3C"/>
    <w:rsid w:val="101260B2"/>
    <w:rsid w:val="1018216D"/>
    <w:rsid w:val="102173FB"/>
    <w:rsid w:val="10256C94"/>
    <w:rsid w:val="1028597F"/>
    <w:rsid w:val="10370220"/>
    <w:rsid w:val="104416C8"/>
    <w:rsid w:val="1051696C"/>
    <w:rsid w:val="107728F9"/>
    <w:rsid w:val="107C0AD5"/>
    <w:rsid w:val="108834DF"/>
    <w:rsid w:val="10A416B6"/>
    <w:rsid w:val="10AD1231"/>
    <w:rsid w:val="10B306BD"/>
    <w:rsid w:val="10F031FA"/>
    <w:rsid w:val="10FE73BE"/>
    <w:rsid w:val="111B4AA2"/>
    <w:rsid w:val="11497A7D"/>
    <w:rsid w:val="114B33CD"/>
    <w:rsid w:val="116D5365"/>
    <w:rsid w:val="118C6292"/>
    <w:rsid w:val="11C5544D"/>
    <w:rsid w:val="120B242D"/>
    <w:rsid w:val="120E6AD9"/>
    <w:rsid w:val="121477AB"/>
    <w:rsid w:val="1220793F"/>
    <w:rsid w:val="1227630D"/>
    <w:rsid w:val="12594533"/>
    <w:rsid w:val="125D64CF"/>
    <w:rsid w:val="127739F2"/>
    <w:rsid w:val="12AC3037"/>
    <w:rsid w:val="12AE3370"/>
    <w:rsid w:val="12B16A9E"/>
    <w:rsid w:val="12B2666E"/>
    <w:rsid w:val="12CC69A3"/>
    <w:rsid w:val="12EE66B1"/>
    <w:rsid w:val="12FA1EB6"/>
    <w:rsid w:val="13272F7A"/>
    <w:rsid w:val="13361405"/>
    <w:rsid w:val="13780D69"/>
    <w:rsid w:val="137A2F78"/>
    <w:rsid w:val="13B9577F"/>
    <w:rsid w:val="14242A20"/>
    <w:rsid w:val="1452749D"/>
    <w:rsid w:val="14877A3D"/>
    <w:rsid w:val="148C62E1"/>
    <w:rsid w:val="14922F3A"/>
    <w:rsid w:val="14946370"/>
    <w:rsid w:val="14A752F0"/>
    <w:rsid w:val="14AC5001"/>
    <w:rsid w:val="14CA7B69"/>
    <w:rsid w:val="14FD2A2E"/>
    <w:rsid w:val="15081429"/>
    <w:rsid w:val="150E6E01"/>
    <w:rsid w:val="15136A33"/>
    <w:rsid w:val="15140673"/>
    <w:rsid w:val="153D5CAE"/>
    <w:rsid w:val="154950C5"/>
    <w:rsid w:val="158A718E"/>
    <w:rsid w:val="15CE1415"/>
    <w:rsid w:val="15EA5123"/>
    <w:rsid w:val="16140FA1"/>
    <w:rsid w:val="16313179"/>
    <w:rsid w:val="165923BB"/>
    <w:rsid w:val="1665613C"/>
    <w:rsid w:val="16B56EA5"/>
    <w:rsid w:val="16C50D75"/>
    <w:rsid w:val="16DD2C2C"/>
    <w:rsid w:val="170610F8"/>
    <w:rsid w:val="17126E39"/>
    <w:rsid w:val="174F49CD"/>
    <w:rsid w:val="176A56C2"/>
    <w:rsid w:val="176D2C29"/>
    <w:rsid w:val="179C380B"/>
    <w:rsid w:val="17AB0959"/>
    <w:rsid w:val="17B648CC"/>
    <w:rsid w:val="17DE1291"/>
    <w:rsid w:val="18AB0FDA"/>
    <w:rsid w:val="18AD553C"/>
    <w:rsid w:val="18D47B41"/>
    <w:rsid w:val="190A40B1"/>
    <w:rsid w:val="193233B3"/>
    <w:rsid w:val="19694521"/>
    <w:rsid w:val="196D5335"/>
    <w:rsid w:val="197039DA"/>
    <w:rsid w:val="197772D6"/>
    <w:rsid w:val="19A67A64"/>
    <w:rsid w:val="19B95D40"/>
    <w:rsid w:val="19BF0C31"/>
    <w:rsid w:val="19CE5C01"/>
    <w:rsid w:val="19E43962"/>
    <w:rsid w:val="19F26C9A"/>
    <w:rsid w:val="1A6D597B"/>
    <w:rsid w:val="1A9609E5"/>
    <w:rsid w:val="1ACC2467"/>
    <w:rsid w:val="1ACE4D14"/>
    <w:rsid w:val="1AD027EB"/>
    <w:rsid w:val="1AD8706B"/>
    <w:rsid w:val="1B1067A4"/>
    <w:rsid w:val="1B2C5E4B"/>
    <w:rsid w:val="1B4874D7"/>
    <w:rsid w:val="1B575597"/>
    <w:rsid w:val="1BA700D2"/>
    <w:rsid w:val="1C2844A0"/>
    <w:rsid w:val="1C420503"/>
    <w:rsid w:val="1C525155"/>
    <w:rsid w:val="1C8E406A"/>
    <w:rsid w:val="1CF14E2A"/>
    <w:rsid w:val="1CF27B09"/>
    <w:rsid w:val="1CFF1026"/>
    <w:rsid w:val="1D24348A"/>
    <w:rsid w:val="1D5408EF"/>
    <w:rsid w:val="1D5D5368"/>
    <w:rsid w:val="1D913606"/>
    <w:rsid w:val="1D9B7242"/>
    <w:rsid w:val="1D9F6CD4"/>
    <w:rsid w:val="1DEA3522"/>
    <w:rsid w:val="1E053181"/>
    <w:rsid w:val="1E13401C"/>
    <w:rsid w:val="1E414C2F"/>
    <w:rsid w:val="1E474BEE"/>
    <w:rsid w:val="1E584A03"/>
    <w:rsid w:val="1E7B2E90"/>
    <w:rsid w:val="1E835E6A"/>
    <w:rsid w:val="1EA705ED"/>
    <w:rsid w:val="1EB401AB"/>
    <w:rsid w:val="1EB67161"/>
    <w:rsid w:val="1EDA3596"/>
    <w:rsid w:val="1EDC0931"/>
    <w:rsid w:val="1F302C65"/>
    <w:rsid w:val="1F44792A"/>
    <w:rsid w:val="1F6670ED"/>
    <w:rsid w:val="1F6E547F"/>
    <w:rsid w:val="1F8007B8"/>
    <w:rsid w:val="1F8B1B13"/>
    <w:rsid w:val="1FE271D5"/>
    <w:rsid w:val="1FE501FD"/>
    <w:rsid w:val="1FEB5623"/>
    <w:rsid w:val="1FEF712E"/>
    <w:rsid w:val="1FF686C6"/>
    <w:rsid w:val="2026733C"/>
    <w:rsid w:val="20611216"/>
    <w:rsid w:val="20621FC3"/>
    <w:rsid w:val="20867EBC"/>
    <w:rsid w:val="2099410A"/>
    <w:rsid w:val="20D7755A"/>
    <w:rsid w:val="20DF48B4"/>
    <w:rsid w:val="20E35BE9"/>
    <w:rsid w:val="20E6532B"/>
    <w:rsid w:val="21156A1C"/>
    <w:rsid w:val="21310B1A"/>
    <w:rsid w:val="21353F88"/>
    <w:rsid w:val="21582C9B"/>
    <w:rsid w:val="218A325D"/>
    <w:rsid w:val="21AE3E3A"/>
    <w:rsid w:val="22083849"/>
    <w:rsid w:val="22193302"/>
    <w:rsid w:val="22255D12"/>
    <w:rsid w:val="22660001"/>
    <w:rsid w:val="227605BB"/>
    <w:rsid w:val="229F4199"/>
    <w:rsid w:val="22BD7457"/>
    <w:rsid w:val="22E36C68"/>
    <w:rsid w:val="23476928"/>
    <w:rsid w:val="23550037"/>
    <w:rsid w:val="235E3944"/>
    <w:rsid w:val="23B073D3"/>
    <w:rsid w:val="23E502C6"/>
    <w:rsid w:val="23EB7C72"/>
    <w:rsid w:val="23F22595"/>
    <w:rsid w:val="2422296D"/>
    <w:rsid w:val="2426102C"/>
    <w:rsid w:val="244E349E"/>
    <w:rsid w:val="24666EE4"/>
    <w:rsid w:val="24701946"/>
    <w:rsid w:val="24772DE1"/>
    <w:rsid w:val="24BA2272"/>
    <w:rsid w:val="24C7160C"/>
    <w:rsid w:val="24E206D9"/>
    <w:rsid w:val="25280AEE"/>
    <w:rsid w:val="253004CF"/>
    <w:rsid w:val="253A7146"/>
    <w:rsid w:val="25846666"/>
    <w:rsid w:val="25E42F4C"/>
    <w:rsid w:val="261074AD"/>
    <w:rsid w:val="261C46B1"/>
    <w:rsid w:val="26284BE7"/>
    <w:rsid w:val="26700563"/>
    <w:rsid w:val="267F4B9F"/>
    <w:rsid w:val="26977C44"/>
    <w:rsid w:val="26DE23CE"/>
    <w:rsid w:val="26F42E9C"/>
    <w:rsid w:val="2703128E"/>
    <w:rsid w:val="270A5EB3"/>
    <w:rsid w:val="27166A22"/>
    <w:rsid w:val="273415EF"/>
    <w:rsid w:val="2763069C"/>
    <w:rsid w:val="27CA536D"/>
    <w:rsid w:val="27D87113"/>
    <w:rsid w:val="27E75A20"/>
    <w:rsid w:val="27F3DC4E"/>
    <w:rsid w:val="27F7ACEB"/>
    <w:rsid w:val="280D4269"/>
    <w:rsid w:val="284B0B33"/>
    <w:rsid w:val="284B58E2"/>
    <w:rsid w:val="2857308D"/>
    <w:rsid w:val="285E7E52"/>
    <w:rsid w:val="289B47AA"/>
    <w:rsid w:val="289D1723"/>
    <w:rsid w:val="28A21BB6"/>
    <w:rsid w:val="28CE632C"/>
    <w:rsid w:val="28F24BD1"/>
    <w:rsid w:val="2914325F"/>
    <w:rsid w:val="29580E55"/>
    <w:rsid w:val="29613214"/>
    <w:rsid w:val="297D7D58"/>
    <w:rsid w:val="2A0A4057"/>
    <w:rsid w:val="2A1A3E75"/>
    <w:rsid w:val="2A1F09F7"/>
    <w:rsid w:val="2A2B045D"/>
    <w:rsid w:val="2A2F63DF"/>
    <w:rsid w:val="2A536944"/>
    <w:rsid w:val="2A68129C"/>
    <w:rsid w:val="2A703001"/>
    <w:rsid w:val="2A825D75"/>
    <w:rsid w:val="2A8455C0"/>
    <w:rsid w:val="2A927AF4"/>
    <w:rsid w:val="2AAC57FC"/>
    <w:rsid w:val="2AC57B6D"/>
    <w:rsid w:val="2ACA0963"/>
    <w:rsid w:val="2ACE5E57"/>
    <w:rsid w:val="2AFE6487"/>
    <w:rsid w:val="2B026B6A"/>
    <w:rsid w:val="2B277B63"/>
    <w:rsid w:val="2B567AF4"/>
    <w:rsid w:val="2B670D75"/>
    <w:rsid w:val="2B7C2596"/>
    <w:rsid w:val="2B874C1C"/>
    <w:rsid w:val="2B9DDE03"/>
    <w:rsid w:val="2BE905FE"/>
    <w:rsid w:val="2BF0650D"/>
    <w:rsid w:val="2C056F32"/>
    <w:rsid w:val="2C073CF8"/>
    <w:rsid w:val="2C1F3615"/>
    <w:rsid w:val="2C4F7C16"/>
    <w:rsid w:val="2C743B66"/>
    <w:rsid w:val="2CAC008E"/>
    <w:rsid w:val="2CE23E10"/>
    <w:rsid w:val="2D023258"/>
    <w:rsid w:val="2D302376"/>
    <w:rsid w:val="2D4430E7"/>
    <w:rsid w:val="2D577C24"/>
    <w:rsid w:val="2D63682A"/>
    <w:rsid w:val="2D8F7C42"/>
    <w:rsid w:val="2DA15A3A"/>
    <w:rsid w:val="2DB407F3"/>
    <w:rsid w:val="2DE2584A"/>
    <w:rsid w:val="2E003688"/>
    <w:rsid w:val="2E0D0740"/>
    <w:rsid w:val="2E49213C"/>
    <w:rsid w:val="2E4C0B8C"/>
    <w:rsid w:val="2E67006F"/>
    <w:rsid w:val="2E694D3E"/>
    <w:rsid w:val="2E773C34"/>
    <w:rsid w:val="2E875C48"/>
    <w:rsid w:val="2E9824AB"/>
    <w:rsid w:val="2E9B4249"/>
    <w:rsid w:val="2E9D17EB"/>
    <w:rsid w:val="2EB81304"/>
    <w:rsid w:val="2EBF7D19"/>
    <w:rsid w:val="2EE2ABB5"/>
    <w:rsid w:val="2F0F4BAF"/>
    <w:rsid w:val="2F187B7D"/>
    <w:rsid w:val="2F2537F2"/>
    <w:rsid w:val="2F2B230B"/>
    <w:rsid w:val="2F4720FB"/>
    <w:rsid w:val="2F4C28B1"/>
    <w:rsid w:val="2F517B36"/>
    <w:rsid w:val="2F72633A"/>
    <w:rsid w:val="2F893355"/>
    <w:rsid w:val="2FC31341"/>
    <w:rsid w:val="2FC3638F"/>
    <w:rsid w:val="2FD05083"/>
    <w:rsid w:val="2FD779AF"/>
    <w:rsid w:val="2FEDFDDB"/>
    <w:rsid w:val="2FF77F3F"/>
    <w:rsid w:val="305E03E8"/>
    <w:rsid w:val="3069595F"/>
    <w:rsid w:val="30843362"/>
    <w:rsid w:val="30945D00"/>
    <w:rsid w:val="30962127"/>
    <w:rsid w:val="30C4049D"/>
    <w:rsid w:val="30CD07F3"/>
    <w:rsid w:val="30E365D5"/>
    <w:rsid w:val="30E766F3"/>
    <w:rsid w:val="313E08F3"/>
    <w:rsid w:val="31570E00"/>
    <w:rsid w:val="31700A39"/>
    <w:rsid w:val="31704514"/>
    <w:rsid w:val="31816DAF"/>
    <w:rsid w:val="319A085D"/>
    <w:rsid w:val="31B1462B"/>
    <w:rsid w:val="31C9657A"/>
    <w:rsid w:val="31D003EB"/>
    <w:rsid w:val="31E37099"/>
    <w:rsid w:val="32290279"/>
    <w:rsid w:val="322D5960"/>
    <w:rsid w:val="32527C83"/>
    <w:rsid w:val="325F53B6"/>
    <w:rsid w:val="32655415"/>
    <w:rsid w:val="32756596"/>
    <w:rsid w:val="3294292F"/>
    <w:rsid w:val="32A962BF"/>
    <w:rsid w:val="32F07D5C"/>
    <w:rsid w:val="32FABE15"/>
    <w:rsid w:val="33092CE8"/>
    <w:rsid w:val="333E4B12"/>
    <w:rsid w:val="33A06705"/>
    <w:rsid w:val="33A57424"/>
    <w:rsid w:val="33B74880"/>
    <w:rsid w:val="33D80D3F"/>
    <w:rsid w:val="33EE637D"/>
    <w:rsid w:val="344352E2"/>
    <w:rsid w:val="34624864"/>
    <w:rsid w:val="346D778B"/>
    <w:rsid w:val="348B5FA9"/>
    <w:rsid w:val="34AE59AA"/>
    <w:rsid w:val="34E63D4F"/>
    <w:rsid w:val="353A3B24"/>
    <w:rsid w:val="35746954"/>
    <w:rsid w:val="35B629C4"/>
    <w:rsid w:val="35F72828"/>
    <w:rsid w:val="3633583B"/>
    <w:rsid w:val="363C359C"/>
    <w:rsid w:val="36777823"/>
    <w:rsid w:val="367B0D86"/>
    <w:rsid w:val="36914CBC"/>
    <w:rsid w:val="369B06A2"/>
    <w:rsid w:val="36AB2F9F"/>
    <w:rsid w:val="36AF1C31"/>
    <w:rsid w:val="36B27BFF"/>
    <w:rsid w:val="36BB7043"/>
    <w:rsid w:val="36DE2E4C"/>
    <w:rsid w:val="36F11025"/>
    <w:rsid w:val="370655C1"/>
    <w:rsid w:val="37537249"/>
    <w:rsid w:val="377D7EC2"/>
    <w:rsid w:val="37B4486C"/>
    <w:rsid w:val="37BF28B0"/>
    <w:rsid w:val="37C125AD"/>
    <w:rsid w:val="37C83765"/>
    <w:rsid w:val="37CA28A7"/>
    <w:rsid w:val="37CB0B6E"/>
    <w:rsid w:val="37DE7948"/>
    <w:rsid w:val="37FB2519"/>
    <w:rsid w:val="38487464"/>
    <w:rsid w:val="3860698D"/>
    <w:rsid w:val="386F51CA"/>
    <w:rsid w:val="387006A5"/>
    <w:rsid w:val="38927B5B"/>
    <w:rsid w:val="38A316BD"/>
    <w:rsid w:val="38D87BFC"/>
    <w:rsid w:val="390943B3"/>
    <w:rsid w:val="391D76E1"/>
    <w:rsid w:val="39C2411A"/>
    <w:rsid w:val="39E364AA"/>
    <w:rsid w:val="39F111DE"/>
    <w:rsid w:val="3A1D3D59"/>
    <w:rsid w:val="3A22476C"/>
    <w:rsid w:val="3A690764"/>
    <w:rsid w:val="3A7FAD19"/>
    <w:rsid w:val="3AA71527"/>
    <w:rsid w:val="3ACB0BE3"/>
    <w:rsid w:val="3AE3102C"/>
    <w:rsid w:val="3B5C18EA"/>
    <w:rsid w:val="3B7E6C11"/>
    <w:rsid w:val="3B9F1A5A"/>
    <w:rsid w:val="3BAA4A5F"/>
    <w:rsid w:val="3C080FAE"/>
    <w:rsid w:val="3C145E47"/>
    <w:rsid w:val="3C256528"/>
    <w:rsid w:val="3C3C1C9A"/>
    <w:rsid w:val="3C541570"/>
    <w:rsid w:val="3C6E37E5"/>
    <w:rsid w:val="3C7922D7"/>
    <w:rsid w:val="3C9342B0"/>
    <w:rsid w:val="3CAD36D2"/>
    <w:rsid w:val="3CC81535"/>
    <w:rsid w:val="3CD26729"/>
    <w:rsid w:val="3CEA275C"/>
    <w:rsid w:val="3CEC25F5"/>
    <w:rsid w:val="3CF50FF2"/>
    <w:rsid w:val="3CFA6C83"/>
    <w:rsid w:val="3CFF3626"/>
    <w:rsid w:val="3D052A2E"/>
    <w:rsid w:val="3D0659AA"/>
    <w:rsid w:val="3D602B13"/>
    <w:rsid w:val="3D7B03CA"/>
    <w:rsid w:val="3D8F09E6"/>
    <w:rsid w:val="3DB06FD6"/>
    <w:rsid w:val="3DB946E3"/>
    <w:rsid w:val="3DDE973A"/>
    <w:rsid w:val="3DEB5DAB"/>
    <w:rsid w:val="3DF86BB0"/>
    <w:rsid w:val="3E0755D2"/>
    <w:rsid w:val="3E213103"/>
    <w:rsid w:val="3E361F66"/>
    <w:rsid w:val="3E9574BA"/>
    <w:rsid w:val="3E9B4698"/>
    <w:rsid w:val="3EA7555E"/>
    <w:rsid w:val="3EA826CA"/>
    <w:rsid w:val="3EB623DD"/>
    <w:rsid w:val="3EBC2053"/>
    <w:rsid w:val="3ED16BCE"/>
    <w:rsid w:val="3EF35410"/>
    <w:rsid w:val="3EF64E80"/>
    <w:rsid w:val="3EF65574"/>
    <w:rsid w:val="3EF74D5D"/>
    <w:rsid w:val="3F0E3644"/>
    <w:rsid w:val="3F2C6D83"/>
    <w:rsid w:val="3F4EB10C"/>
    <w:rsid w:val="3F6566F9"/>
    <w:rsid w:val="3F7E022D"/>
    <w:rsid w:val="3FC67EF2"/>
    <w:rsid w:val="3FED9E03"/>
    <w:rsid w:val="40024B2B"/>
    <w:rsid w:val="40095305"/>
    <w:rsid w:val="40115AEB"/>
    <w:rsid w:val="401869D9"/>
    <w:rsid w:val="4019384B"/>
    <w:rsid w:val="40417EA6"/>
    <w:rsid w:val="40454B26"/>
    <w:rsid w:val="404D6F26"/>
    <w:rsid w:val="4068392C"/>
    <w:rsid w:val="4073545D"/>
    <w:rsid w:val="40EA2C99"/>
    <w:rsid w:val="40F15BB0"/>
    <w:rsid w:val="411E4CFA"/>
    <w:rsid w:val="41AF35D2"/>
    <w:rsid w:val="422C654A"/>
    <w:rsid w:val="423B3320"/>
    <w:rsid w:val="42474BD5"/>
    <w:rsid w:val="424A6855"/>
    <w:rsid w:val="42847BD2"/>
    <w:rsid w:val="428739CE"/>
    <w:rsid w:val="42B308CF"/>
    <w:rsid w:val="42BC3919"/>
    <w:rsid w:val="42D9273C"/>
    <w:rsid w:val="42F62EA4"/>
    <w:rsid w:val="42F830BA"/>
    <w:rsid w:val="43001D3E"/>
    <w:rsid w:val="433247B7"/>
    <w:rsid w:val="434F5EDE"/>
    <w:rsid w:val="43512594"/>
    <w:rsid w:val="435D7C4C"/>
    <w:rsid w:val="4373669D"/>
    <w:rsid w:val="43742B4E"/>
    <w:rsid w:val="438927DA"/>
    <w:rsid w:val="43A10AE3"/>
    <w:rsid w:val="43A24D63"/>
    <w:rsid w:val="43CC6434"/>
    <w:rsid w:val="44144A26"/>
    <w:rsid w:val="4450655D"/>
    <w:rsid w:val="44C21E7F"/>
    <w:rsid w:val="44D409B2"/>
    <w:rsid w:val="44D81835"/>
    <w:rsid w:val="44EA1C5C"/>
    <w:rsid w:val="44FE4FE6"/>
    <w:rsid w:val="4508749B"/>
    <w:rsid w:val="451A1619"/>
    <w:rsid w:val="4538652E"/>
    <w:rsid w:val="45446C5B"/>
    <w:rsid w:val="455A3BE0"/>
    <w:rsid w:val="45631DE6"/>
    <w:rsid w:val="45BE46D0"/>
    <w:rsid w:val="461D5993"/>
    <w:rsid w:val="4626303F"/>
    <w:rsid w:val="463D43BC"/>
    <w:rsid w:val="463E3B5B"/>
    <w:rsid w:val="4686120C"/>
    <w:rsid w:val="46A40348"/>
    <w:rsid w:val="46A42944"/>
    <w:rsid w:val="46BF5F95"/>
    <w:rsid w:val="46F44C0D"/>
    <w:rsid w:val="47422D75"/>
    <w:rsid w:val="477DDEA9"/>
    <w:rsid w:val="47C4700F"/>
    <w:rsid w:val="47C56C24"/>
    <w:rsid w:val="47F10090"/>
    <w:rsid w:val="480A6EB1"/>
    <w:rsid w:val="482805E7"/>
    <w:rsid w:val="484A4B13"/>
    <w:rsid w:val="48EC6CE0"/>
    <w:rsid w:val="490B1841"/>
    <w:rsid w:val="491178F4"/>
    <w:rsid w:val="493D7EB8"/>
    <w:rsid w:val="494D402D"/>
    <w:rsid w:val="49602710"/>
    <w:rsid w:val="49810EE2"/>
    <w:rsid w:val="49837706"/>
    <w:rsid w:val="4A295537"/>
    <w:rsid w:val="4A2C24CF"/>
    <w:rsid w:val="4A340D7B"/>
    <w:rsid w:val="4A5F084F"/>
    <w:rsid w:val="4A754721"/>
    <w:rsid w:val="4A83134F"/>
    <w:rsid w:val="4AD621E9"/>
    <w:rsid w:val="4B04790D"/>
    <w:rsid w:val="4B1C5E3D"/>
    <w:rsid w:val="4B212DAF"/>
    <w:rsid w:val="4B3D2633"/>
    <w:rsid w:val="4B513EF9"/>
    <w:rsid w:val="4B6ECDC2"/>
    <w:rsid w:val="4B777B2B"/>
    <w:rsid w:val="4B8D60C9"/>
    <w:rsid w:val="4BA40563"/>
    <w:rsid w:val="4BAF0E92"/>
    <w:rsid w:val="4BD42F60"/>
    <w:rsid w:val="4C795D79"/>
    <w:rsid w:val="4C8814CF"/>
    <w:rsid w:val="4CA06FAD"/>
    <w:rsid w:val="4CC01258"/>
    <w:rsid w:val="4CDC302C"/>
    <w:rsid w:val="4CE15AB0"/>
    <w:rsid w:val="4D5F0096"/>
    <w:rsid w:val="4D692F51"/>
    <w:rsid w:val="4D823B9B"/>
    <w:rsid w:val="4D830101"/>
    <w:rsid w:val="4D8F462F"/>
    <w:rsid w:val="4DB63C6E"/>
    <w:rsid w:val="4DC21407"/>
    <w:rsid w:val="4E0373B3"/>
    <w:rsid w:val="4E1D544D"/>
    <w:rsid w:val="4E4168DE"/>
    <w:rsid w:val="4E5A5EEF"/>
    <w:rsid w:val="4E7E543D"/>
    <w:rsid w:val="4E8F4E02"/>
    <w:rsid w:val="4E917647"/>
    <w:rsid w:val="4E927C05"/>
    <w:rsid w:val="4EB3025E"/>
    <w:rsid w:val="4EE53A50"/>
    <w:rsid w:val="4F174104"/>
    <w:rsid w:val="4F262EAE"/>
    <w:rsid w:val="4F6449F0"/>
    <w:rsid w:val="4FA15633"/>
    <w:rsid w:val="4FA9FD7B"/>
    <w:rsid w:val="4FAA13C7"/>
    <w:rsid w:val="4FAA5715"/>
    <w:rsid w:val="4FBD38DE"/>
    <w:rsid w:val="4FD03A76"/>
    <w:rsid w:val="4FDA6D84"/>
    <w:rsid w:val="4FDD4C36"/>
    <w:rsid w:val="4FEF1990"/>
    <w:rsid w:val="4FF77B11"/>
    <w:rsid w:val="50090FD4"/>
    <w:rsid w:val="50334BAB"/>
    <w:rsid w:val="503A0AC9"/>
    <w:rsid w:val="504036C6"/>
    <w:rsid w:val="507C59AC"/>
    <w:rsid w:val="50AC1BAF"/>
    <w:rsid w:val="5116342E"/>
    <w:rsid w:val="511B5AEC"/>
    <w:rsid w:val="512706FA"/>
    <w:rsid w:val="513F6058"/>
    <w:rsid w:val="514A5027"/>
    <w:rsid w:val="514F1E89"/>
    <w:rsid w:val="5214061D"/>
    <w:rsid w:val="523B2FA4"/>
    <w:rsid w:val="525FA76E"/>
    <w:rsid w:val="52655DBB"/>
    <w:rsid w:val="526F6D01"/>
    <w:rsid w:val="52A3690D"/>
    <w:rsid w:val="52A4746A"/>
    <w:rsid w:val="52B11C55"/>
    <w:rsid w:val="52BF6755"/>
    <w:rsid w:val="52C553E8"/>
    <w:rsid w:val="531269BE"/>
    <w:rsid w:val="53131876"/>
    <w:rsid w:val="534149C0"/>
    <w:rsid w:val="53417BDE"/>
    <w:rsid w:val="535E1B1A"/>
    <w:rsid w:val="53770895"/>
    <w:rsid w:val="538C361F"/>
    <w:rsid w:val="538E4E0E"/>
    <w:rsid w:val="53986FA1"/>
    <w:rsid w:val="539B3D11"/>
    <w:rsid w:val="53A476F3"/>
    <w:rsid w:val="53C176EF"/>
    <w:rsid w:val="53CE4D8C"/>
    <w:rsid w:val="53E378B1"/>
    <w:rsid w:val="53FE35C2"/>
    <w:rsid w:val="540168F4"/>
    <w:rsid w:val="543F4ECD"/>
    <w:rsid w:val="548430A3"/>
    <w:rsid w:val="55056B34"/>
    <w:rsid w:val="55684A1A"/>
    <w:rsid w:val="55930B2C"/>
    <w:rsid w:val="559521BD"/>
    <w:rsid w:val="55A056E0"/>
    <w:rsid w:val="55AD43BA"/>
    <w:rsid w:val="55BBD3A6"/>
    <w:rsid w:val="55C81083"/>
    <w:rsid w:val="55CA6BD2"/>
    <w:rsid w:val="55F72D92"/>
    <w:rsid w:val="56155E37"/>
    <w:rsid w:val="56231C41"/>
    <w:rsid w:val="564163D1"/>
    <w:rsid w:val="564D6A26"/>
    <w:rsid w:val="56AA3629"/>
    <w:rsid w:val="56AC2568"/>
    <w:rsid w:val="56C41358"/>
    <w:rsid w:val="56DD2A92"/>
    <w:rsid w:val="57132F6C"/>
    <w:rsid w:val="57321C84"/>
    <w:rsid w:val="57732E88"/>
    <w:rsid w:val="577B5E13"/>
    <w:rsid w:val="577F61A9"/>
    <w:rsid w:val="5782519E"/>
    <w:rsid w:val="578C4726"/>
    <w:rsid w:val="579E53D7"/>
    <w:rsid w:val="57A44EC0"/>
    <w:rsid w:val="57A70E21"/>
    <w:rsid w:val="57DC3357"/>
    <w:rsid w:val="57E26ABC"/>
    <w:rsid w:val="57E9504D"/>
    <w:rsid w:val="57ED4190"/>
    <w:rsid w:val="57FADB0B"/>
    <w:rsid w:val="57FDC88A"/>
    <w:rsid w:val="58265470"/>
    <w:rsid w:val="582664D1"/>
    <w:rsid w:val="58310F9B"/>
    <w:rsid w:val="58311772"/>
    <w:rsid w:val="583A6878"/>
    <w:rsid w:val="584C299A"/>
    <w:rsid w:val="585E3CC8"/>
    <w:rsid w:val="58754A86"/>
    <w:rsid w:val="587B2CDE"/>
    <w:rsid w:val="588A63B0"/>
    <w:rsid w:val="58BC7AA4"/>
    <w:rsid w:val="58CC50CD"/>
    <w:rsid w:val="58E54DF2"/>
    <w:rsid w:val="58F80B80"/>
    <w:rsid w:val="593475CA"/>
    <w:rsid w:val="59A40FE5"/>
    <w:rsid w:val="59BE55DC"/>
    <w:rsid w:val="59DF65CD"/>
    <w:rsid w:val="59EC5D9C"/>
    <w:rsid w:val="5A1A7162"/>
    <w:rsid w:val="5A2F0903"/>
    <w:rsid w:val="5A3508BF"/>
    <w:rsid w:val="5A753690"/>
    <w:rsid w:val="5A7FDAE5"/>
    <w:rsid w:val="5A9D701A"/>
    <w:rsid w:val="5AA20705"/>
    <w:rsid w:val="5AB9F9DC"/>
    <w:rsid w:val="5AC35526"/>
    <w:rsid w:val="5AD230A1"/>
    <w:rsid w:val="5AE75489"/>
    <w:rsid w:val="5AF17AEE"/>
    <w:rsid w:val="5B0E4680"/>
    <w:rsid w:val="5B543D4B"/>
    <w:rsid w:val="5B5C368E"/>
    <w:rsid w:val="5B8ECFD1"/>
    <w:rsid w:val="5BB447B8"/>
    <w:rsid w:val="5BDF2474"/>
    <w:rsid w:val="5BFA01B3"/>
    <w:rsid w:val="5C021D5C"/>
    <w:rsid w:val="5C12484B"/>
    <w:rsid w:val="5CA93512"/>
    <w:rsid w:val="5CD033D2"/>
    <w:rsid w:val="5CD746C6"/>
    <w:rsid w:val="5D02224E"/>
    <w:rsid w:val="5D0B433F"/>
    <w:rsid w:val="5D1F7DEB"/>
    <w:rsid w:val="5D256F17"/>
    <w:rsid w:val="5D3123BC"/>
    <w:rsid w:val="5D566611"/>
    <w:rsid w:val="5D5FA5F9"/>
    <w:rsid w:val="5D7A3273"/>
    <w:rsid w:val="5D89024E"/>
    <w:rsid w:val="5D896E22"/>
    <w:rsid w:val="5DD15E2F"/>
    <w:rsid w:val="5DD520B1"/>
    <w:rsid w:val="5DDBCA97"/>
    <w:rsid w:val="5DFD8F80"/>
    <w:rsid w:val="5E0A4A50"/>
    <w:rsid w:val="5E7F0B4D"/>
    <w:rsid w:val="5EB36135"/>
    <w:rsid w:val="5F004B33"/>
    <w:rsid w:val="5F2B7CAD"/>
    <w:rsid w:val="5F2D0E8F"/>
    <w:rsid w:val="5F7F0D0C"/>
    <w:rsid w:val="5FDF9A6D"/>
    <w:rsid w:val="5FEB2BA4"/>
    <w:rsid w:val="5FFBDF7B"/>
    <w:rsid w:val="60154491"/>
    <w:rsid w:val="60315450"/>
    <w:rsid w:val="60663484"/>
    <w:rsid w:val="609A4BC4"/>
    <w:rsid w:val="60B3302E"/>
    <w:rsid w:val="60F5158E"/>
    <w:rsid w:val="6104719B"/>
    <w:rsid w:val="61481242"/>
    <w:rsid w:val="6171498D"/>
    <w:rsid w:val="61A27765"/>
    <w:rsid w:val="61EE441B"/>
    <w:rsid w:val="61F20540"/>
    <w:rsid w:val="620D3BAE"/>
    <w:rsid w:val="62483940"/>
    <w:rsid w:val="62566B31"/>
    <w:rsid w:val="62723DC7"/>
    <w:rsid w:val="62756CD8"/>
    <w:rsid w:val="62C55526"/>
    <w:rsid w:val="62CD64D2"/>
    <w:rsid w:val="62EE64CA"/>
    <w:rsid w:val="62F30E54"/>
    <w:rsid w:val="630001F4"/>
    <w:rsid w:val="63003C41"/>
    <w:rsid w:val="63046AC8"/>
    <w:rsid w:val="635345BA"/>
    <w:rsid w:val="637E59DF"/>
    <w:rsid w:val="637F5A87"/>
    <w:rsid w:val="63A34684"/>
    <w:rsid w:val="63CEA367"/>
    <w:rsid w:val="63F7395E"/>
    <w:rsid w:val="64104514"/>
    <w:rsid w:val="642369A8"/>
    <w:rsid w:val="642369C3"/>
    <w:rsid w:val="64433C52"/>
    <w:rsid w:val="645C4BBE"/>
    <w:rsid w:val="645D0573"/>
    <w:rsid w:val="649C3378"/>
    <w:rsid w:val="64A602CF"/>
    <w:rsid w:val="64E533D4"/>
    <w:rsid w:val="65640DB5"/>
    <w:rsid w:val="657DC99E"/>
    <w:rsid w:val="659B25C1"/>
    <w:rsid w:val="659D449E"/>
    <w:rsid w:val="65B06A34"/>
    <w:rsid w:val="65CC049D"/>
    <w:rsid w:val="65D02642"/>
    <w:rsid w:val="65EF244B"/>
    <w:rsid w:val="65EF6484"/>
    <w:rsid w:val="65F64F81"/>
    <w:rsid w:val="66081B5E"/>
    <w:rsid w:val="660B2255"/>
    <w:rsid w:val="66215B04"/>
    <w:rsid w:val="66266BF4"/>
    <w:rsid w:val="66342560"/>
    <w:rsid w:val="663F469F"/>
    <w:rsid w:val="664D7962"/>
    <w:rsid w:val="665A5C96"/>
    <w:rsid w:val="667E3DD4"/>
    <w:rsid w:val="669B2A1A"/>
    <w:rsid w:val="66A107E8"/>
    <w:rsid w:val="66BA1864"/>
    <w:rsid w:val="66C67529"/>
    <w:rsid w:val="66FD01A0"/>
    <w:rsid w:val="6717764C"/>
    <w:rsid w:val="674744E4"/>
    <w:rsid w:val="677E2773"/>
    <w:rsid w:val="67893B07"/>
    <w:rsid w:val="67A75DC2"/>
    <w:rsid w:val="67C30077"/>
    <w:rsid w:val="67C91746"/>
    <w:rsid w:val="67DA60A4"/>
    <w:rsid w:val="67DD08A6"/>
    <w:rsid w:val="67F535C2"/>
    <w:rsid w:val="67FFE976"/>
    <w:rsid w:val="68197B2A"/>
    <w:rsid w:val="687A0821"/>
    <w:rsid w:val="68A51D8F"/>
    <w:rsid w:val="68AD4B60"/>
    <w:rsid w:val="68D74416"/>
    <w:rsid w:val="68E63001"/>
    <w:rsid w:val="6902695F"/>
    <w:rsid w:val="692D337C"/>
    <w:rsid w:val="694B5495"/>
    <w:rsid w:val="69507E77"/>
    <w:rsid w:val="695B79DC"/>
    <w:rsid w:val="6971586A"/>
    <w:rsid w:val="69822EEB"/>
    <w:rsid w:val="69852AE5"/>
    <w:rsid w:val="699911C9"/>
    <w:rsid w:val="69CE7367"/>
    <w:rsid w:val="6A044068"/>
    <w:rsid w:val="6A17724A"/>
    <w:rsid w:val="6A303494"/>
    <w:rsid w:val="6A3A435E"/>
    <w:rsid w:val="6A54079E"/>
    <w:rsid w:val="6A911D7B"/>
    <w:rsid w:val="6ABE35C7"/>
    <w:rsid w:val="6AED04C7"/>
    <w:rsid w:val="6B3C4D16"/>
    <w:rsid w:val="6BAF2EAE"/>
    <w:rsid w:val="6C0C66AB"/>
    <w:rsid w:val="6C1D5A8D"/>
    <w:rsid w:val="6C254AC8"/>
    <w:rsid w:val="6C461F46"/>
    <w:rsid w:val="6C506D05"/>
    <w:rsid w:val="6CAB3449"/>
    <w:rsid w:val="6CB5299E"/>
    <w:rsid w:val="6CC91D04"/>
    <w:rsid w:val="6CCB679C"/>
    <w:rsid w:val="6CD754CF"/>
    <w:rsid w:val="6CD9476D"/>
    <w:rsid w:val="6D3F6E6A"/>
    <w:rsid w:val="6D4A340A"/>
    <w:rsid w:val="6D61130D"/>
    <w:rsid w:val="6D647CF1"/>
    <w:rsid w:val="6D8E032B"/>
    <w:rsid w:val="6D9C470A"/>
    <w:rsid w:val="6DBF3984"/>
    <w:rsid w:val="6E082895"/>
    <w:rsid w:val="6E1259F5"/>
    <w:rsid w:val="6E350FDC"/>
    <w:rsid w:val="6E4D37E7"/>
    <w:rsid w:val="6E5248EE"/>
    <w:rsid w:val="6E5626ED"/>
    <w:rsid w:val="6E596897"/>
    <w:rsid w:val="6E6041EB"/>
    <w:rsid w:val="6E6A22DF"/>
    <w:rsid w:val="6E942999"/>
    <w:rsid w:val="6EB966E9"/>
    <w:rsid w:val="6EC46A44"/>
    <w:rsid w:val="6EF07839"/>
    <w:rsid w:val="6EF141B6"/>
    <w:rsid w:val="6F241291"/>
    <w:rsid w:val="6F9FE5B5"/>
    <w:rsid w:val="6FCC795E"/>
    <w:rsid w:val="6FD74A57"/>
    <w:rsid w:val="6FFFE897"/>
    <w:rsid w:val="700A4990"/>
    <w:rsid w:val="703379DD"/>
    <w:rsid w:val="705F2679"/>
    <w:rsid w:val="7061300B"/>
    <w:rsid w:val="709E5881"/>
    <w:rsid w:val="70CD5B2D"/>
    <w:rsid w:val="70F032D5"/>
    <w:rsid w:val="714C49C7"/>
    <w:rsid w:val="7172232C"/>
    <w:rsid w:val="71746267"/>
    <w:rsid w:val="71795B48"/>
    <w:rsid w:val="71EC67DB"/>
    <w:rsid w:val="71FDE8CD"/>
    <w:rsid w:val="71FFBAEA"/>
    <w:rsid w:val="7200443B"/>
    <w:rsid w:val="7212477D"/>
    <w:rsid w:val="72206D0A"/>
    <w:rsid w:val="72221950"/>
    <w:rsid w:val="722F3576"/>
    <w:rsid w:val="725F1980"/>
    <w:rsid w:val="72AD02ED"/>
    <w:rsid w:val="73394CE8"/>
    <w:rsid w:val="73521535"/>
    <w:rsid w:val="73C21591"/>
    <w:rsid w:val="73CE16AA"/>
    <w:rsid w:val="73E32C44"/>
    <w:rsid w:val="73F15BC3"/>
    <w:rsid w:val="73FA64D3"/>
    <w:rsid w:val="741A6471"/>
    <w:rsid w:val="742849A5"/>
    <w:rsid w:val="74B06E8E"/>
    <w:rsid w:val="74B16002"/>
    <w:rsid w:val="74E042F3"/>
    <w:rsid w:val="74FF02FF"/>
    <w:rsid w:val="75001B2D"/>
    <w:rsid w:val="751A6115"/>
    <w:rsid w:val="752F13FF"/>
    <w:rsid w:val="756C235B"/>
    <w:rsid w:val="75B93E6A"/>
    <w:rsid w:val="75CD688F"/>
    <w:rsid w:val="760163E2"/>
    <w:rsid w:val="761864DA"/>
    <w:rsid w:val="765242FC"/>
    <w:rsid w:val="76557327"/>
    <w:rsid w:val="766B1D21"/>
    <w:rsid w:val="76724656"/>
    <w:rsid w:val="76AB3351"/>
    <w:rsid w:val="76B707BB"/>
    <w:rsid w:val="76C84945"/>
    <w:rsid w:val="76ED4B80"/>
    <w:rsid w:val="770E5CDE"/>
    <w:rsid w:val="772D017A"/>
    <w:rsid w:val="773B7F36"/>
    <w:rsid w:val="775D7768"/>
    <w:rsid w:val="779A7617"/>
    <w:rsid w:val="77D7A497"/>
    <w:rsid w:val="77EB1964"/>
    <w:rsid w:val="77ED8FFE"/>
    <w:rsid w:val="77F57EC3"/>
    <w:rsid w:val="77FB5EC9"/>
    <w:rsid w:val="77FCCCDC"/>
    <w:rsid w:val="77FEBCC3"/>
    <w:rsid w:val="780473EC"/>
    <w:rsid w:val="780B4978"/>
    <w:rsid w:val="781B18E6"/>
    <w:rsid w:val="788063D1"/>
    <w:rsid w:val="78A377DC"/>
    <w:rsid w:val="78ED2AF3"/>
    <w:rsid w:val="78F921A7"/>
    <w:rsid w:val="790F45F0"/>
    <w:rsid w:val="7919031A"/>
    <w:rsid w:val="79331447"/>
    <w:rsid w:val="794022C6"/>
    <w:rsid w:val="7957552B"/>
    <w:rsid w:val="795D2E81"/>
    <w:rsid w:val="796A68D5"/>
    <w:rsid w:val="79771BB8"/>
    <w:rsid w:val="79C752DF"/>
    <w:rsid w:val="79CE505D"/>
    <w:rsid w:val="79F06ADA"/>
    <w:rsid w:val="7A5B19C1"/>
    <w:rsid w:val="7A5C1D7E"/>
    <w:rsid w:val="7A646989"/>
    <w:rsid w:val="7A6D4434"/>
    <w:rsid w:val="7A77A8C1"/>
    <w:rsid w:val="7A7B5E5C"/>
    <w:rsid w:val="7AA51A85"/>
    <w:rsid w:val="7AC202A3"/>
    <w:rsid w:val="7AC34054"/>
    <w:rsid w:val="7AC86A4E"/>
    <w:rsid w:val="7AD6524D"/>
    <w:rsid w:val="7AD71832"/>
    <w:rsid w:val="7B0A711E"/>
    <w:rsid w:val="7B5C439D"/>
    <w:rsid w:val="7B8F410F"/>
    <w:rsid w:val="7B97048E"/>
    <w:rsid w:val="7BC558DD"/>
    <w:rsid w:val="7BCE3D0E"/>
    <w:rsid w:val="7BF5010E"/>
    <w:rsid w:val="7BF55D0D"/>
    <w:rsid w:val="7C2C1A43"/>
    <w:rsid w:val="7C2C344B"/>
    <w:rsid w:val="7C3D0C61"/>
    <w:rsid w:val="7C6D6B10"/>
    <w:rsid w:val="7C7F1894"/>
    <w:rsid w:val="7C9710CF"/>
    <w:rsid w:val="7CB10C20"/>
    <w:rsid w:val="7CEF002C"/>
    <w:rsid w:val="7CF36542"/>
    <w:rsid w:val="7CFF1FDE"/>
    <w:rsid w:val="7D0E6940"/>
    <w:rsid w:val="7D1D57F3"/>
    <w:rsid w:val="7D3C4A6E"/>
    <w:rsid w:val="7D62210E"/>
    <w:rsid w:val="7D7D4684"/>
    <w:rsid w:val="7DA17943"/>
    <w:rsid w:val="7DA535D3"/>
    <w:rsid w:val="7DA737B9"/>
    <w:rsid w:val="7DC82ABF"/>
    <w:rsid w:val="7DD543E5"/>
    <w:rsid w:val="7DE6F438"/>
    <w:rsid w:val="7DEC1647"/>
    <w:rsid w:val="7DF41070"/>
    <w:rsid w:val="7DFD0827"/>
    <w:rsid w:val="7DFD6995"/>
    <w:rsid w:val="7DFED4C3"/>
    <w:rsid w:val="7DFF563B"/>
    <w:rsid w:val="7E147DF3"/>
    <w:rsid w:val="7E34579B"/>
    <w:rsid w:val="7E4160B8"/>
    <w:rsid w:val="7E66D36C"/>
    <w:rsid w:val="7E7F535E"/>
    <w:rsid w:val="7E9140CF"/>
    <w:rsid w:val="7E9970F6"/>
    <w:rsid w:val="7EB7E1E8"/>
    <w:rsid w:val="7EC856DB"/>
    <w:rsid w:val="7ED42FFD"/>
    <w:rsid w:val="7EDD89DE"/>
    <w:rsid w:val="7EDFA18A"/>
    <w:rsid w:val="7EE20E69"/>
    <w:rsid w:val="7EE77A72"/>
    <w:rsid w:val="7EED70E9"/>
    <w:rsid w:val="7EF29776"/>
    <w:rsid w:val="7EFA5574"/>
    <w:rsid w:val="7EFD9640"/>
    <w:rsid w:val="7EFEB13D"/>
    <w:rsid w:val="7EFF97A0"/>
    <w:rsid w:val="7F1F157F"/>
    <w:rsid w:val="7F378E60"/>
    <w:rsid w:val="7F64148E"/>
    <w:rsid w:val="7F755539"/>
    <w:rsid w:val="7F7676EF"/>
    <w:rsid w:val="7F7F2642"/>
    <w:rsid w:val="7F7FFB53"/>
    <w:rsid w:val="7F8B21EC"/>
    <w:rsid w:val="7FA64FA7"/>
    <w:rsid w:val="7FB421BD"/>
    <w:rsid w:val="7FC27C35"/>
    <w:rsid w:val="7FC57103"/>
    <w:rsid w:val="7FE95FF3"/>
    <w:rsid w:val="7FF7E431"/>
    <w:rsid w:val="7FFBF9F7"/>
    <w:rsid w:val="7FFF6D56"/>
    <w:rsid w:val="95FF4428"/>
    <w:rsid w:val="973F6985"/>
    <w:rsid w:val="97CF7A7D"/>
    <w:rsid w:val="97ED339C"/>
    <w:rsid w:val="9BFBDDE1"/>
    <w:rsid w:val="9D5599D7"/>
    <w:rsid w:val="9D5F35E3"/>
    <w:rsid w:val="9DF54036"/>
    <w:rsid w:val="9EAE47B0"/>
    <w:rsid w:val="9F1DFA65"/>
    <w:rsid w:val="9F2E518F"/>
    <w:rsid w:val="9FC3B77A"/>
    <w:rsid w:val="A39FB00E"/>
    <w:rsid w:val="AD7B3FC6"/>
    <w:rsid w:val="AD8F5F6B"/>
    <w:rsid w:val="ADFD2292"/>
    <w:rsid w:val="ADFEDCC4"/>
    <w:rsid w:val="AE7B1730"/>
    <w:rsid w:val="AEC75669"/>
    <w:rsid w:val="AFDEEE57"/>
    <w:rsid w:val="AFFF0E5C"/>
    <w:rsid w:val="B3F7CC36"/>
    <w:rsid w:val="B67E65C7"/>
    <w:rsid w:val="B7DF7C54"/>
    <w:rsid w:val="B7FFBACE"/>
    <w:rsid w:val="B9E73E35"/>
    <w:rsid w:val="BC5FF583"/>
    <w:rsid w:val="BDFC0404"/>
    <w:rsid w:val="BDFE5205"/>
    <w:rsid w:val="BE6F8E54"/>
    <w:rsid w:val="BE7794FC"/>
    <w:rsid w:val="BEB70487"/>
    <w:rsid w:val="BF3222C1"/>
    <w:rsid w:val="BF7FFBFD"/>
    <w:rsid w:val="BFAFD15A"/>
    <w:rsid w:val="BFBB79D3"/>
    <w:rsid w:val="D1E2BE18"/>
    <w:rsid w:val="D27F0FD3"/>
    <w:rsid w:val="D7DF429D"/>
    <w:rsid w:val="D7EFAE89"/>
    <w:rsid w:val="D7F92D96"/>
    <w:rsid w:val="DA3E1246"/>
    <w:rsid w:val="DD9D1783"/>
    <w:rsid w:val="DDDD5AD9"/>
    <w:rsid w:val="DDDDF498"/>
    <w:rsid w:val="DF5F0FDE"/>
    <w:rsid w:val="DF6BCA58"/>
    <w:rsid w:val="DFAE0EFC"/>
    <w:rsid w:val="DFB75DCC"/>
    <w:rsid w:val="DFBD5955"/>
    <w:rsid w:val="DFCBA0EC"/>
    <w:rsid w:val="DFEF4FD3"/>
    <w:rsid w:val="DFF569C9"/>
    <w:rsid w:val="E67EF31E"/>
    <w:rsid w:val="E75C5363"/>
    <w:rsid w:val="EBADA95B"/>
    <w:rsid w:val="ED5FA70B"/>
    <w:rsid w:val="EF6B29BC"/>
    <w:rsid w:val="EF7382BE"/>
    <w:rsid w:val="EF7ED066"/>
    <w:rsid w:val="EF7F8BCB"/>
    <w:rsid w:val="EFBFFF5C"/>
    <w:rsid w:val="EFF3DD79"/>
    <w:rsid w:val="EFFE59ED"/>
    <w:rsid w:val="EFFF4499"/>
    <w:rsid w:val="F27FA361"/>
    <w:rsid w:val="F35FEAA6"/>
    <w:rsid w:val="F3CD45C7"/>
    <w:rsid w:val="F3FEE996"/>
    <w:rsid w:val="F5BAC7DB"/>
    <w:rsid w:val="F6B903DD"/>
    <w:rsid w:val="F6ED2B04"/>
    <w:rsid w:val="F77BE2CD"/>
    <w:rsid w:val="F7BF31F6"/>
    <w:rsid w:val="F7F3E74F"/>
    <w:rsid w:val="F7FFBAF8"/>
    <w:rsid w:val="F7FFF00A"/>
    <w:rsid w:val="F9FE378D"/>
    <w:rsid w:val="FB3F9BF3"/>
    <w:rsid w:val="FB67D628"/>
    <w:rsid w:val="FB7E7996"/>
    <w:rsid w:val="FBAFA647"/>
    <w:rsid w:val="FBB7F6DE"/>
    <w:rsid w:val="FBF90356"/>
    <w:rsid w:val="FBFF8445"/>
    <w:rsid w:val="FC710F19"/>
    <w:rsid w:val="FD4FCB6C"/>
    <w:rsid w:val="FDADCA52"/>
    <w:rsid w:val="FDE76BC7"/>
    <w:rsid w:val="FDF541CA"/>
    <w:rsid w:val="FDFFC476"/>
    <w:rsid w:val="FE1D81CB"/>
    <w:rsid w:val="FEF78896"/>
    <w:rsid w:val="FEFF7BC8"/>
    <w:rsid w:val="FF55C7E5"/>
    <w:rsid w:val="FF5A3450"/>
    <w:rsid w:val="FF6614DE"/>
    <w:rsid w:val="FF7D77DF"/>
    <w:rsid w:val="FF7FFDA9"/>
    <w:rsid w:val="FFCA79AF"/>
    <w:rsid w:val="FFCFD596"/>
    <w:rsid w:val="FFD4C237"/>
    <w:rsid w:val="FFEFB30A"/>
    <w:rsid w:val="FFF51DF6"/>
    <w:rsid w:val="FFFD0301"/>
    <w:rsid w:val="FFFF8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nhideWhenUsed="0" w:uiPriority="0" w:semiHidden="0"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74"/>
    <w:qFormat/>
    <w:uiPriority w:val="0"/>
    <w:pPr>
      <w:keepNext/>
      <w:keepLines/>
      <w:numPr>
        <w:ilvl w:val="0"/>
        <w:numId w:val="1"/>
      </w:numPr>
      <w:tabs>
        <w:tab w:val="left" w:pos="1080"/>
      </w:tabs>
      <w:spacing w:before="340" w:after="330" w:line="578" w:lineRule="auto"/>
      <w:outlineLvl w:val="0"/>
    </w:pPr>
    <w:rPr>
      <w:b/>
      <w:bCs/>
      <w:kern w:val="44"/>
      <w:sz w:val="44"/>
      <w:szCs w:val="44"/>
    </w:rPr>
  </w:style>
  <w:style w:type="paragraph" w:styleId="5">
    <w:name w:val="heading 2"/>
    <w:basedOn w:val="1"/>
    <w:next w:val="1"/>
    <w:link w:val="75"/>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6">
    <w:name w:val="heading 3"/>
    <w:basedOn w:val="1"/>
    <w:next w:val="1"/>
    <w:link w:val="76"/>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7">
    <w:name w:val="heading 4"/>
    <w:basedOn w:val="1"/>
    <w:next w:val="1"/>
    <w:link w:val="77"/>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8">
    <w:name w:val="heading 5"/>
    <w:basedOn w:val="1"/>
    <w:next w:val="1"/>
    <w:link w:val="78"/>
    <w:qFormat/>
    <w:uiPriority w:val="0"/>
    <w:pPr>
      <w:ind w:left="1008" w:hanging="432"/>
      <w:outlineLvl w:val="4"/>
    </w:pPr>
    <w:rPr>
      <w:rFonts w:ascii="Times New Roman" w:hAnsi="Times New Roman"/>
      <w:kern w:val="0"/>
      <w:sz w:val="20"/>
      <w:szCs w:val="20"/>
    </w:rPr>
  </w:style>
  <w:style w:type="paragraph" w:styleId="9">
    <w:name w:val="heading 6"/>
    <w:basedOn w:val="1"/>
    <w:next w:val="1"/>
    <w:link w:val="79"/>
    <w:qFormat/>
    <w:uiPriority w:val="0"/>
    <w:pPr>
      <w:ind w:left="1152" w:hanging="432"/>
      <w:outlineLvl w:val="5"/>
    </w:pPr>
    <w:rPr>
      <w:rFonts w:ascii="Times New Roman" w:hAnsi="Times New Roman"/>
      <w:kern w:val="0"/>
      <w:sz w:val="20"/>
      <w:szCs w:val="20"/>
    </w:rPr>
  </w:style>
  <w:style w:type="paragraph" w:styleId="10">
    <w:name w:val="heading 7"/>
    <w:basedOn w:val="1"/>
    <w:next w:val="1"/>
    <w:link w:val="80"/>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1">
    <w:name w:val="heading 8"/>
    <w:basedOn w:val="1"/>
    <w:next w:val="1"/>
    <w:link w:val="81"/>
    <w:qFormat/>
    <w:uiPriority w:val="0"/>
    <w:pPr>
      <w:ind w:left="1440" w:hanging="432"/>
      <w:outlineLvl w:val="7"/>
    </w:pPr>
    <w:rPr>
      <w:rFonts w:ascii="Times New Roman" w:hAnsi="Times New Roman"/>
      <w:kern w:val="0"/>
      <w:sz w:val="20"/>
      <w:szCs w:val="20"/>
    </w:rPr>
  </w:style>
  <w:style w:type="paragraph" w:styleId="12">
    <w:name w:val="heading 9"/>
    <w:basedOn w:val="1"/>
    <w:next w:val="1"/>
    <w:link w:val="82"/>
    <w:qFormat/>
    <w:uiPriority w:val="0"/>
    <w:pPr>
      <w:ind w:left="1584" w:hanging="144"/>
      <w:outlineLvl w:val="8"/>
    </w:pPr>
    <w:rPr>
      <w:rFonts w:ascii="Times New Roman" w:hAnsi="Times New Roman"/>
      <w:kern w:val="0"/>
      <w:sz w:val="20"/>
      <w:szCs w:val="20"/>
    </w:rPr>
  </w:style>
  <w:style w:type="character" w:default="1" w:styleId="58">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link w:val="92"/>
    <w:qFormat/>
    <w:uiPriority w:val="0"/>
    <w:rPr>
      <w:rFonts w:ascii="宋体" w:hAnsi="Courier New"/>
      <w:szCs w:val="21"/>
    </w:rPr>
  </w:style>
  <w:style w:type="paragraph" w:styleId="3">
    <w:name w:val="index 8"/>
    <w:basedOn w:val="1"/>
    <w:next w:val="1"/>
    <w:qFormat/>
    <w:uiPriority w:val="0"/>
    <w:pPr>
      <w:ind w:left="1400" w:leftChars="1400"/>
    </w:pPr>
    <w:rPr>
      <w:rFonts w:ascii="Times New Roman" w:hAnsi="Times New Roman"/>
      <w:szCs w:val="24"/>
    </w:rPr>
  </w:style>
  <w:style w:type="paragraph" w:styleId="13">
    <w:name w:val="toc 7"/>
    <w:basedOn w:val="1"/>
    <w:next w:val="1"/>
    <w:unhideWhenUsed/>
    <w:qFormat/>
    <w:uiPriority w:val="0"/>
    <w:pPr>
      <w:ind w:left="2520" w:leftChars="1200"/>
    </w:pPr>
  </w:style>
  <w:style w:type="paragraph" w:styleId="14">
    <w:name w:val="Note Heading"/>
    <w:basedOn w:val="1"/>
    <w:next w:val="1"/>
    <w:link w:val="117"/>
    <w:semiHidden/>
    <w:qFormat/>
    <w:uiPriority w:val="0"/>
    <w:pPr>
      <w:jc w:val="center"/>
    </w:pPr>
    <w:rPr>
      <w:rFonts w:ascii="Times New Roman" w:hAnsi="Times New Roman"/>
      <w:szCs w:val="24"/>
    </w:rPr>
  </w:style>
  <w:style w:type="paragraph" w:styleId="15">
    <w:name w:val="E-mail Signature"/>
    <w:basedOn w:val="1"/>
    <w:link w:val="118"/>
    <w:semiHidden/>
    <w:qFormat/>
    <w:uiPriority w:val="0"/>
    <w:rPr>
      <w:rFonts w:ascii="Times New Roman" w:hAnsi="Times New Roman"/>
      <w:szCs w:val="24"/>
    </w:rPr>
  </w:style>
  <w:style w:type="paragraph" w:styleId="16">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7">
    <w:name w:val="caption"/>
    <w:basedOn w:val="1"/>
    <w:next w:val="1"/>
    <w:qFormat/>
    <w:uiPriority w:val="0"/>
    <w:rPr>
      <w:rFonts w:ascii="Arial" w:hAnsi="Arial" w:eastAsia="黑体" w:cs="Arial"/>
      <w:sz w:val="20"/>
      <w:szCs w:val="20"/>
    </w:rPr>
  </w:style>
  <w:style w:type="paragraph" w:styleId="18">
    <w:name w:val="List Bullet"/>
    <w:basedOn w:val="1"/>
    <w:semiHidden/>
    <w:qFormat/>
    <w:uiPriority w:val="0"/>
    <w:pPr>
      <w:tabs>
        <w:tab w:val="left" w:pos="360"/>
      </w:tabs>
      <w:ind w:left="360" w:hanging="360"/>
    </w:pPr>
    <w:rPr>
      <w:rFonts w:ascii="Times New Roman" w:hAnsi="Times New Roman"/>
      <w:szCs w:val="24"/>
    </w:rPr>
  </w:style>
  <w:style w:type="paragraph" w:styleId="19">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0">
    <w:name w:val="Document Map"/>
    <w:basedOn w:val="1"/>
    <w:link w:val="96"/>
    <w:unhideWhenUsed/>
    <w:qFormat/>
    <w:uiPriority w:val="0"/>
    <w:rPr>
      <w:rFonts w:ascii="宋体"/>
      <w:sz w:val="18"/>
      <w:szCs w:val="18"/>
    </w:rPr>
  </w:style>
  <w:style w:type="paragraph" w:styleId="21">
    <w:name w:val="annotation text"/>
    <w:basedOn w:val="1"/>
    <w:link w:val="88"/>
    <w:unhideWhenUsed/>
    <w:qFormat/>
    <w:uiPriority w:val="0"/>
    <w:pPr>
      <w:jc w:val="left"/>
    </w:pPr>
  </w:style>
  <w:style w:type="paragraph" w:styleId="22">
    <w:name w:val="Salutation"/>
    <w:basedOn w:val="1"/>
    <w:next w:val="1"/>
    <w:link w:val="119"/>
    <w:semiHidden/>
    <w:qFormat/>
    <w:uiPriority w:val="0"/>
    <w:rPr>
      <w:rFonts w:ascii="Times New Roman" w:hAnsi="Times New Roman"/>
      <w:szCs w:val="24"/>
    </w:rPr>
  </w:style>
  <w:style w:type="paragraph" w:styleId="23">
    <w:name w:val="Body Text 3"/>
    <w:basedOn w:val="1"/>
    <w:link w:val="120"/>
    <w:semiHidden/>
    <w:qFormat/>
    <w:uiPriority w:val="0"/>
    <w:pPr>
      <w:spacing w:after="120"/>
    </w:pPr>
    <w:rPr>
      <w:rFonts w:ascii="Times New Roman" w:hAnsi="Times New Roman"/>
      <w:sz w:val="16"/>
      <w:szCs w:val="16"/>
    </w:rPr>
  </w:style>
  <w:style w:type="paragraph" w:styleId="24">
    <w:name w:val="Closing"/>
    <w:basedOn w:val="1"/>
    <w:link w:val="121"/>
    <w:semiHidden/>
    <w:qFormat/>
    <w:uiPriority w:val="0"/>
    <w:pPr>
      <w:ind w:left="100" w:leftChars="2100"/>
    </w:pPr>
    <w:rPr>
      <w:rFonts w:ascii="Times New Roman" w:hAnsi="Times New Roman"/>
      <w:szCs w:val="24"/>
    </w:rPr>
  </w:style>
  <w:style w:type="paragraph" w:styleId="25">
    <w:name w:val="Body Text"/>
    <w:basedOn w:val="1"/>
    <w:next w:val="26"/>
    <w:link w:val="89"/>
    <w:qFormat/>
    <w:uiPriority w:val="99"/>
    <w:pPr>
      <w:spacing w:line="360" w:lineRule="auto"/>
    </w:pPr>
    <w:rPr>
      <w:rFonts w:ascii="宋体" w:hAnsi="宋体"/>
      <w:kern w:val="0"/>
      <w:sz w:val="24"/>
      <w:szCs w:val="24"/>
    </w:rPr>
  </w:style>
  <w:style w:type="paragraph" w:styleId="26">
    <w:name w:val="Title"/>
    <w:basedOn w:val="1"/>
    <w:next w:val="1"/>
    <w:link w:val="159"/>
    <w:qFormat/>
    <w:uiPriority w:val="0"/>
    <w:pPr>
      <w:spacing w:before="240" w:after="60"/>
      <w:jc w:val="center"/>
      <w:outlineLvl w:val="0"/>
    </w:pPr>
    <w:rPr>
      <w:rFonts w:ascii="Cambria" w:hAnsi="Cambria"/>
      <w:b/>
      <w:bCs/>
      <w:sz w:val="32"/>
      <w:szCs w:val="32"/>
    </w:rPr>
  </w:style>
  <w:style w:type="paragraph" w:styleId="27">
    <w:name w:val="Body Text Indent"/>
    <w:basedOn w:val="1"/>
    <w:link w:val="87"/>
    <w:unhideWhenUsed/>
    <w:qFormat/>
    <w:uiPriority w:val="99"/>
    <w:pPr>
      <w:spacing w:after="120"/>
      <w:ind w:left="420" w:leftChars="200"/>
    </w:pPr>
  </w:style>
  <w:style w:type="paragraph" w:styleId="28">
    <w:name w:val="HTML Address"/>
    <w:basedOn w:val="1"/>
    <w:link w:val="122"/>
    <w:semiHidden/>
    <w:qFormat/>
    <w:uiPriority w:val="0"/>
    <w:rPr>
      <w:rFonts w:ascii="Times New Roman" w:hAnsi="Times New Roman"/>
      <w:i/>
      <w:iCs/>
      <w:szCs w:val="24"/>
    </w:rPr>
  </w:style>
  <w:style w:type="paragraph" w:styleId="29">
    <w:name w:val="toc 5"/>
    <w:basedOn w:val="1"/>
    <w:next w:val="1"/>
    <w:unhideWhenUsed/>
    <w:qFormat/>
    <w:uiPriority w:val="0"/>
    <w:pPr>
      <w:ind w:left="1680" w:leftChars="800"/>
    </w:pPr>
  </w:style>
  <w:style w:type="paragraph" w:styleId="30">
    <w:name w:val="toc 3"/>
    <w:basedOn w:val="1"/>
    <w:next w:val="1"/>
    <w:unhideWhenUsed/>
    <w:qFormat/>
    <w:uiPriority w:val="0"/>
    <w:pPr>
      <w:ind w:left="840" w:leftChars="400"/>
    </w:pPr>
  </w:style>
  <w:style w:type="paragraph" w:styleId="31">
    <w:name w:val="toc 8"/>
    <w:basedOn w:val="1"/>
    <w:next w:val="1"/>
    <w:semiHidden/>
    <w:qFormat/>
    <w:uiPriority w:val="0"/>
    <w:pPr>
      <w:ind w:left="2940" w:leftChars="1400"/>
    </w:pPr>
  </w:style>
  <w:style w:type="paragraph" w:styleId="32">
    <w:name w:val="Date"/>
    <w:basedOn w:val="1"/>
    <w:next w:val="1"/>
    <w:link w:val="123"/>
    <w:unhideWhenUsed/>
    <w:qFormat/>
    <w:uiPriority w:val="0"/>
    <w:pPr>
      <w:ind w:left="100" w:leftChars="2500"/>
    </w:pPr>
    <w:rPr>
      <w:rFonts w:ascii="Times New Roman" w:hAnsi="Times New Roman"/>
      <w:szCs w:val="20"/>
    </w:rPr>
  </w:style>
  <w:style w:type="paragraph" w:styleId="33">
    <w:name w:val="Body Text Indent 2"/>
    <w:basedOn w:val="1"/>
    <w:link w:val="124"/>
    <w:semiHidden/>
    <w:qFormat/>
    <w:uiPriority w:val="0"/>
    <w:pPr>
      <w:spacing w:after="120" w:line="480" w:lineRule="auto"/>
      <w:ind w:left="420" w:leftChars="200"/>
    </w:pPr>
    <w:rPr>
      <w:rFonts w:ascii="Times New Roman" w:hAnsi="Times New Roman"/>
      <w:szCs w:val="24"/>
    </w:rPr>
  </w:style>
  <w:style w:type="paragraph" w:styleId="34">
    <w:name w:val="endnote text"/>
    <w:basedOn w:val="1"/>
    <w:link w:val="125"/>
    <w:semiHidden/>
    <w:qFormat/>
    <w:uiPriority w:val="0"/>
    <w:pPr>
      <w:snapToGrid w:val="0"/>
      <w:jc w:val="left"/>
    </w:pPr>
    <w:rPr>
      <w:rFonts w:ascii="Times New Roman" w:hAnsi="Times New Roman"/>
      <w:szCs w:val="24"/>
    </w:rPr>
  </w:style>
  <w:style w:type="paragraph" w:styleId="35">
    <w:name w:val="Balloon Text"/>
    <w:basedOn w:val="1"/>
    <w:link w:val="91"/>
    <w:unhideWhenUsed/>
    <w:qFormat/>
    <w:uiPriority w:val="0"/>
    <w:rPr>
      <w:kern w:val="0"/>
      <w:sz w:val="18"/>
      <w:szCs w:val="18"/>
    </w:rPr>
  </w:style>
  <w:style w:type="paragraph" w:styleId="36">
    <w:name w:val="footer"/>
    <w:basedOn w:val="1"/>
    <w:link w:val="90"/>
    <w:unhideWhenUsed/>
    <w:qFormat/>
    <w:uiPriority w:val="0"/>
    <w:pPr>
      <w:tabs>
        <w:tab w:val="center" w:pos="4153"/>
        <w:tab w:val="right" w:pos="8306"/>
      </w:tabs>
      <w:snapToGrid w:val="0"/>
      <w:jc w:val="left"/>
    </w:pPr>
    <w:rPr>
      <w:kern w:val="0"/>
      <w:sz w:val="18"/>
      <w:szCs w:val="18"/>
    </w:rPr>
  </w:style>
  <w:style w:type="paragraph" w:styleId="37">
    <w:name w:val="header"/>
    <w:basedOn w:val="1"/>
    <w:link w:val="83"/>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8">
    <w:name w:val="Signature"/>
    <w:basedOn w:val="1"/>
    <w:link w:val="126"/>
    <w:semiHidden/>
    <w:qFormat/>
    <w:uiPriority w:val="0"/>
    <w:pPr>
      <w:ind w:left="100" w:leftChars="2100"/>
    </w:pPr>
    <w:rPr>
      <w:rFonts w:ascii="Times New Roman" w:hAnsi="Times New Roman"/>
      <w:szCs w:val="24"/>
    </w:rPr>
  </w:style>
  <w:style w:type="paragraph" w:styleId="39">
    <w:name w:val="toc 1"/>
    <w:basedOn w:val="1"/>
    <w:next w:val="1"/>
    <w:unhideWhenUsed/>
    <w:qFormat/>
    <w:uiPriority w:val="0"/>
  </w:style>
  <w:style w:type="paragraph" w:styleId="40">
    <w:name w:val="toc 4"/>
    <w:basedOn w:val="1"/>
    <w:next w:val="1"/>
    <w:unhideWhenUsed/>
    <w:qFormat/>
    <w:uiPriority w:val="0"/>
    <w:pPr>
      <w:ind w:left="1260" w:leftChars="600"/>
    </w:pPr>
  </w:style>
  <w:style w:type="paragraph" w:styleId="41">
    <w:name w:val="Subtitle"/>
    <w:basedOn w:val="1"/>
    <w:next w:val="1"/>
    <w:link w:val="160"/>
    <w:qFormat/>
    <w:uiPriority w:val="11"/>
    <w:pPr>
      <w:spacing w:before="240" w:after="60" w:line="312" w:lineRule="auto"/>
      <w:jc w:val="center"/>
      <w:outlineLvl w:val="1"/>
    </w:pPr>
    <w:rPr>
      <w:rFonts w:ascii="Cambria" w:hAnsi="Cambria"/>
      <w:b/>
      <w:bCs/>
      <w:kern w:val="28"/>
      <w:sz w:val="32"/>
      <w:szCs w:val="32"/>
    </w:rPr>
  </w:style>
  <w:style w:type="paragraph" w:styleId="42">
    <w:name w:val="List"/>
    <w:basedOn w:val="1"/>
    <w:semiHidden/>
    <w:qFormat/>
    <w:uiPriority w:val="0"/>
    <w:pPr>
      <w:ind w:left="200" w:hanging="200" w:hangingChars="200"/>
    </w:pPr>
    <w:rPr>
      <w:rFonts w:ascii="Times New Roman" w:hAnsi="Times New Roman"/>
      <w:szCs w:val="24"/>
    </w:rPr>
  </w:style>
  <w:style w:type="paragraph" w:styleId="43">
    <w:name w:val="footnote text"/>
    <w:basedOn w:val="1"/>
    <w:link w:val="127"/>
    <w:semiHidden/>
    <w:qFormat/>
    <w:uiPriority w:val="0"/>
    <w:pPr>
      <w:snapToGrid w:val="0"/>
      <w:jc w:val="left"/>
    </w:pPr>
    <w:rPr>
      <w:rFonts w:ascii="Times New Roman" w:hAnsi="Times New Roman"/>
      <w:sz w:val="18"/>
      <w:szCs w:val="20"/>
    </w:rPr>
  </w:style>
  <w:style w:type="paragraph" w:styleId="44">
    <w:name w:val="toc 6"/>
    <w:basedOn w:val="1"/>
    <w:next w:val="1"/>
    <w:unhideWhenUsed/>
    <w:qFormat/>
    <w:uiPriority w:val="0"/>
    <w:pPr>
      <w:ind w:left="2100" w:leftChars="1000"/>
    </w:pPr>
  </w:style>
  <w:style w:type="paragraph" w:styleId="45">
    <w:name w:val="toc 2"/>
    <w:basedOn w:val="1"/>
    <w:next w:val="1"/>
    <w:unhideWhenUsed/>
    <w:qFormat/>
    <w:uiPriority w:val="0"/>
    <w:pPr>
      <w:ind w:left="420" w:leftChars="200"/>
    </w:pPr>
  </w:style>
  <w:style w:type="paragraph" w:styleId="46">
    <w:name w:val="toc 9"/>
    <w:basedOn w:val="1"/>
    <w:next w:val="1"/>
    <w:unhideWhenUsed/>
    <w:qFormat/>
    <w:uiPriority w:val="0"/>
    <w:pPr>
      <w:ind w:left="3360" w:leftChars="1600"/>
    </w:pPr>
  </w:style>
  <w:style w:type="paragraph" w:styleId="47">
    <w:name w:val="Message Header"/>
    <w:basedOn w:val="1"/>
    <w:link w:val="128"/>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8">
    <w:name w:val="HTML Preformatted"/>
    <w:basedOn w:val="1"/>
    <w:link w:val="129"/>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0">
    <w:name w:val="index 1"/>
    <w:basedOn w:val="1"/>
    <w:next w:val="1"/>
    <w:unhideWhenUsed/>
    <w:qFormat/>
    <w:uiPriority w:val="0"/>
  </w:style>
  <w:style w:type="paragraph" w:styleId="51">
    <w:name w:val="annotation subject"/>
    <w:basedOn w:val="21"/>
    <w:next w:val="21"/>
    <w:link w:val="97"/>
    <w:unhideWhenUsed/>
    <w:qFormat/>
    <w:uiPriority w:val="0"/>
    <w:rPr>
      <w:b/>
      <w:bCs/>
    </w:rPr>
  </w:style>
  <w:style w:type="paragraph" w:styleId="52">
    <w:name w:val="Body Text First Indent"/>
    <w:basedOn w:val="25"/>
    <w:link w:val="114"/>
    <w:unhideWhenUsed/>
    <w:qFormat/>
    <w:uiPriority w:val="0"/>
    <w:pPr>
      <w:spacing w:after="120" w:line="240" w:lineRule="auto"/>
      <w:ind w:firstLine="420" w:firstLineChars="100"/>
    </w:pPr>
    <w:rPr>
      <w:rFonts w:ascii="Calibri" w:hAnsi="Calibri"/>
      <w:kern w:val="2"/>
      <w:sz w:val="21"/>
      <w:szCs w:val="22"/>
    </w:rPr>
  </w:style>
  <w:style w:type="paragraph" w:styleId="53">
    <w:name w:val="Body Text First Indent 2"/>
    <w:basedOn w:val="27"/>
    <w:link w:val="86"/>
    <w:unhideWhenUsed/>
    <w:qFormat/>
    <w:uiPriority w:val="0"/>
    <w:pPr>
      <w:ind w:firstLine="420" w:firstLineChars="200"/>
    </w:pPr>
  </w:style>
  <w:style w:type="table" w:styleId="55">
    <w:name w:val="Table Grid"/>
    <w:basedOn w:val="5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56">
    <w:name w:val="Table List 4"/>
    <w:basedOn w:val="54"/>
    <w:semiHidden/>
    <w:qFormat/>
    <w:uiPriority w:val="0"/>
    <w:pPr>
      <w:widowControl w:val="0"/>
      <w:jc w:val="both"/>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7">
    <w:name w:val="Table List 5"/>
    <w:basedOn w:val="54"/>
    <w:semiHidden/>
    <w:qFormat/>
    <w:uiPriority w:val="0"/>
    <w:pPr>
      <w:widowControl w:val="0"/>
      <w:jc w:val="both"/>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59">
    <w:name w:val="Strong"/>
    <w:basedOn w:val="58"/>
    <w:qFormat/>
    <w:uiPriority w:val="22"/>
    <w:rPr>
      <w:b/>
    </w:rPr>
  </w:style>
  <w:style w:type="character" w:styleId="60">
    <w:name w:val="endnote reference"/>
    <w:semiHidden/>
    <w:qFormat/>
    <w:uiPriority w:val="0"/>
    <w:rPr>
      <w:vertAlign w:val="superscript"/>
    </w:rPr>
  </w:style>
  <w:style w:type="character" w:styleId="61">
    <w:name w:val="page number"/>
    <w:basedOn w:val="58"/>
    <w:unhideWhenUsed/>
    <w:qFormat/>
    <w:uiPriority w:val="99"/>
  </w:style>
  <w:style w:type="character" w:styleId="62">
    <w:name w:val="FollowedHyperlink"/>
    <w:qFormat/>
    <w:uiPriority w:val="99"/>
    <w:rPr>
      <w:color w:val="800080"/>
      <w:u w:val="single"/>
    </w:rPr>
  </w:style>
  <w:style w:type="character" w:styleId="63">
    <w:name w:val="Emphasis"/>
    <w:basedOn w:val="58"/>
    <w:qFormat/>
    <w:uiPriority w:val="20"/>
  </w:style>
  <w:style w:type="character" w:styleId="64">
    <w:name w:val="HTML Definition"/>
    <w:qFormat/>
    <w:uiPriority w:val="0"/>
    <w:rPr>
      <w:i/>
      <w:iCs/>
    </w:rPr>
  </w:style>
  <w:style w:type="character" w:styleId="65">
    <w:name w:val="HTML Typewriter"/>
    <w:semiHidden/>
    <w:qFormat/>
    <w:uiPriority w:val="0"/>
    <w:rPr>
      <w:rFonts w:ascii="Courier New" w:hAnsi="Courier New" w:cs="Courier New"/>
      <w:sz w:val="20"/>
      <w:szCs w:val="20"/>
    </w:rPr>
  </w:style>
  <w:style w:type="character" w:styleId="66">
    <w:name w:val="HTML Variable"/>
    <w:qFormat/>
    <w:uiPriority w:val="0"/>
    <w:rPr>
      <w:i/>
      <w:iCs/>
    </w:rPr>
  </w:style>
  <w:style w:type="character" w:styleId="67">
    <w:name w:val="Hyperlink"/>
    <w:qFormat/>
    <w:uiPriority w:val="0"/>
    <w:rPr>
      <w:color w:val="0000FF"/>
      <w:u w:val="single"/>
    </w:rPr>
  </w:style>
  <w:style w:type="character" w:styleId="68">
    <w:name w:val="HTML Code"/>
    <w:qFormat/>
    <w:uiPriority w:val="0"/>
    <w:rPr>
      <w:rFonts w:ascii="Courier New" w:hAnsi="Courier New" w:cs="Courier New"/>
      <w:sz w:val="20"/>
      <w:szCs w:val="20"/>
    </w:rPr>
  </w:style>
  <w:style w:type="character" w:styleId="69">
    <w:name w:val="annotation reference"/>
    <w:unhideWhenUsed/>
    <w:qFormat/>
    <w:uiPriority w:val="0"/>
    <w:rPr>
      <w:sz w:val="21"/>
      <w:szCs w:val="21"/>
    </w:rPr>
  </w:style>
  <w:style w:type="character" w:styleId="70">
    <w:name w:val="HTML Cite"/>
    <w:qFormat/>
    <w:uiPriority w:val="0"/>
    <w:rPr>
      <w:i/>
      <w:iCs/>
    </w:rPr>
  </w:style>
  <w:style w:type="character" w:styleId="71">
    <w:name w:val="footnote reference"/>
    <w:semiHidden/>
    <w:qFormat/>
    <w:uiPriority w:val="0"/>
    <w:rPr>
      <w:vertAlign w:val="superscript"/>
    </w:rPr>
  </w:style>
  <w:style w:type="character" w:styleId="72">
    <w:name w:val="HTML Keyboard"/>
    <w:qFormat/>
    <w:uiPriority w:val="0"/>
    <w:rPr>
      <w:rFonts w:ascii="Courier New" w:hAnsi="Courier New" w:cs="Courier New"/>
      <w:sz w:val="20"/>
      <w:szCs w:val="20"/>
    </w:rPr>
  </w:style>
  <w:style w:type="character" w:styleId="73">
    <w:name w:val="HTML Sample"/>
    <w:qFormat/>
    <w:uiPriority w:val="0"/>
    <w:rPr>
      <w:rFonts w:ascii="Courier New" w:hAnsi="Courier New" w:cs="Courier New"/>
    </w:rPr>
  </w:style>
  <w:style w:type="character" w:customStyle="1" w:styleId="74">
    <w:name w:val="标题 1 Char"/>
    <w:link w:val="4"/>
    <w:qFormat/>
    <w:uiPriority w:val="0"/>
    <w:rPr>
      <w:b/>
      <w:bCs/>
      <w:kern w:val="44"/>
      <w:sz w:val="44"/>
      <w:szCs w:val="44"/>
    </w:rPr>
  </w:style>
  <w:style w:type="character" w:customStyle="1" w:styleId="75">
    <w:name w:val="标题 2 Char"/>
    <w:link w:val="5"/>
    <w:qFormat/>
    <w:uiPriority w:val="0"/>
    <w:rPr>
      <w:rFonts w:ascii="Cambria" w:hAnsi="Cambria" w:eastAsia="宋体"/>
      <w:b/>
      <w:bCs/>
      <w:kern w:val="2"/>
      <w:sz w:val="32"/>
      <w:szCs w:val="32"/>
      <w:lang w:val="en-US" w:eastAsia="zh-CN" w:bidi="ar-SA"/>
    </w:rPr>
  </w:style>
  <w:style w:type="character" w:customStyle="1" w:styleId="76">
    <w:name w:val="标题 3 Char"/>
    <w:link w:val="6"/>
    <w:qFormat/>
    <w:uiPriority w:val="0"/>
    <w:rPr>
      <w:rFonts w:ascii="Calibri" w:hAnsi="Calibri" w:eastAsia="宋体"/>
      <w:b/>
      <w:bCs/>
      <w:kern w:val="2"/>
      <w:sz w:val="32"/>
      <w:szCs w:val="32"/>
      <w:lang w:val="en-US" w:eastAsia="zh-CN" w:bidi="ar-SA"/>
    </w:rPr>
  </w:style>
  <w:style w:type="character" w:customStyle="1" w:styleId="77">
    <w:name w:val="标题 4 Char"/>
    <w:link w:val="7"/>
    <w:qFormat/>
    <w:uiPriority w:val="0"/>
    <w:rPr>
      <w:rFonts w:ascii="宋体" w:hAnsi="宋体" w:eastAsia="宋体" w:cs="宋体"/>
      <w:b/>
      <w:bCs/>
      <w:sz w:val="24"/>
      <w:szCs w:val="24"/>
      <w:lang w:val="en-US" w:eastAsia="zh-CN" w:bidi="ar-SA"/>
    </w:rPr>
  </w:style>
  <w:style w:type="character" w:customStyle="1" w:styleId="78">
    <w:name w:val="标题 5 Char"/>
    <w:basedOn w:val="58"/>
    <w:link w:val="8"/>
    <w:qFormat/>
    <w:uiPriority w:val="0"/>
    <w:rPr>
      <w:rFonts w:ascii="Times New Roman" w:hAnsi="Times New Roman"/>
    </w:rPr>
  </w:style>
  <w:style w:type="character" w:customStyle="1" w:styleId="79">
    <w:name w:val="标题 6 Char"/>
    <w:basedOn w:val="58"/>
    <w:link w:val="9"/>
    <w:qFormat/>
    <w:uiPriority w:val="0"/>
    <w:rPr>
      <w:rFonts w:ascii="Times New Roman" w:hAnsi="Times New Roman"/>
    </w:rPr>
  </w:style>
  <w:style w:type="character" w:customStyle="1" w:styleId="80">
    <w:name w:val="标题 7 Char"/>
    <w:link w:val="10"/>
    <w:qFormat/>
    <w:uiPriority w:val="0"/>
    <w:rPr>
      <w:rFonts w:ascii="Calibri" w:hAnsi="Calibri" w:eastAsia="宋体"/>
      <w:b/>
      <w:bCs/>
      <w:kern w:val="2"/>
      <w:sz w:val="24"/>
      <w:szCs w:val="24"/>
      <w:lang w:val="en-US" w:eastAsia="zh-CN" w:bidi="ar-SA"/>
    </w:rPr>
  </w:style>
  <w:style w:type="character" w:customStyle="1" w:styleId="81">
    <w:name w:val="标题 8 Char"/>
    <w:basedOn w:val="58"/>
    <w:link w:val="11"/>
    <w:qFormat/>
    <w:uiPriority w:val="0"/>
    <w:rPr>
      <w:rFonts w:ascii="Times New Roman" w:hAnsi="Times New Roman"/>
    </w:rPr>
  </w:style>
  <w:style w:type="character" w:customStyle="1" w:styleId="82">
    <w:name w:val="标题 9 Char"/>
    <w:basedOn w:val="58"/>
    <w:link w:val="12"/>
    <w:qFormat/>
    <w:uiPriority w:val="0"/>
    <w:rPr>
      <w:rFonts w:ascii="Times New Roman" w:hAnsi="Times New Roman"/>
    </w:rPr>
  </w:style>
  <w:style w:type="character" w:customStyle="1" w:styleId="83">
    <w:name w:val="页眉 Char"/>
    <w:link w:val="37"/>
    <w:qFormat/>
    <w:uiPriority w:val="0"/>
    <w:rPr>
      <w:sz w:val="18"/>
      <w:szCs w:val="18"/>
    </w:rPr>
  </w:style>
  <w:style w:type="character" w:styleId="84">
    <w:name w:val="Placeholder Text"/>
    <w:semiHidden/>
    <w:qFormat/>
    <w:uiPriority w:val="99"/>
    <w:rPr>
      <w:color w:val="808080"/>
    </w:rPr>
  </w:style>
  <w:style w:type="character" w:customStyle="1" w:styleId="85">
    <w:name w:val="title"/>
    <w:basedOn w:val="58"/>
    <w:qFormat/>
    <w:uiPriority w:val="0"/>
  </w:style>
  <w:style w:type="character" w:customStyle="1" w:styleId="86">
    <w:name w:val="正文首行缩进 2 Char"/>
    <w:basedOn w:val="87"/>
    <w:link w:val="53"/>
    <w:qFormat/>
    <w:uiPriority w:val="0"/>
  </w:style>
  <w:style w:type="character" w:customStyle="1" w:styleId="87">
    <w:name w:val="正文文本缩进 Char"/>
    <w:basedOn w:val="58"/>
    <w:link w:val="27"/>
    <w:semiHidden/>
    <w:qFormat/>
    <w:uiPriority w:val="99"/>
  </w:style>
  <w:style w:type="character" w:customStyle="1" w:styleId="88">
    <w:name w:val="批注文字 Char"/>
    <w:link w:val="21"/>
    <w:semiHidden/>
    <w:qFormat/>
    <w:uiPriority w:val="0"/>
    <w:rPr>
      <w:kern w:val="2"/>
      <w:sz w:val="21"/>
      <w:szCs w:val="22"/>
    </w:rPr>
  </w:style>
  <w:style w:type="character" w:customStyle="1" w:styleId="89">
    <w:name w:val="正文文本 Char"/>
    <w:link w:val="25"/>
    <w:qFormat/>
    <w:uiPriority w:val="99"/>
    <w:rPr>
      <w:rFonts w:ascii="宋体" w:hAnsi="宋体" w:eastAsia="宋体" w:cs="Times New Roman"/>
      <w:sz w:val="24"/>
      <w:szCs w:val="24"/>
    </w:rPr>
  </w:style>
  <w:style w:type="character" w:customStyle="1" w:styleId="90">
    <w:name w:val="页脚 Char"/>
    <w:link w:val="36"/>
    <w:qFormat/>
    <w:uiPriority w:val="0"/>
    <w:rPr>
      <w:sz w:val="18"/>
      <w:szCs w:val="18"/>
    </w:rPr>
  </w:style>
  <w:style w:type="character" w:customStyle="1" w:styleId="91">
    <w:name w:val="批注框文本 Char"/>
    <w:link w:val="35"/>
    <w:semiHidden/>
    <w:qFormat/>
    <w:uiPriority w:val="0"/>
    <w:rPr>
      <w:sz w:val="18"/>
      <w:szCs w:val="18"/>
    </w:rPr>
  </w:style>
  <w:style w:type="character" w:customStyle="1" w:styleId="92">
    <w:name w:val="纯文本 Char"/>
    <w:link w:val="2"/>
    <w:qFormat/>
    <w:uiPriority w:val="0"/>
    <w:rPr>
      <w:rFonts w:ascii="宋体" w:hAnsi="Courier New" w:cs="Courier New"/>
      <w:kern w:val="2"/>
      <w:sz w:val="21"/>
      <w:szCs w:val="21"/>
    </w:rPr>
  </w:style>
  <w:style w:type="character" w:customStyle="1" w:styleId="93">
    <w:name w:val="标题3 Char"/>
    <w:link w:val="94"/>
    <w:qFormat/>
    <w:uiPriority w:val="0"/>
    <w:rPr>
      <w:rFonts w:ascii="宋体" w:hAnsi="宋体"/>
      <w:color w:val="000000"/>
      <w:sz w:val="24"/>
    </w:rPr>
  </w:style>
  <w:style w:type="paragraph" w:customStyle="1" w:styleId="94">
    <w:name w:val="标题3"/>
    <w:basedOn w:val="6"/>
    <w:link w:val="93"/>
    <w:qFormat/>
    <w:uiPriority w:val="0"/>
    <w:pPr>
      <w:spacing w:line="360" w:lineRule="auto"/>
      <w:ind w:firstLine="472" w:firstLineChars="196"/>
    </w:pPr>
    <w:rPr>
      <w:rFonts w:ascii="宋体" w:hAnsi="宋体"/>
      <w:b w:val="0"/>
      <w:bCs w:val="0"/>
      <w:color w:val="000000"/>
      <w:kern w:val="0"/>
      <w:sz w:val="24"/>
      <w:szCs w:val="20"/>
    </w:rPr>
  </w:style>
  <w:style w:type="character" w:customStyle="1" w:styleId="95">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6">
    <w:name w:val="文档结构图 Char"/>
    <w:link w:val="20"/>
    <w:qFormat/>
    <w:uiPriority w:val="0"/>
    <w:rPr>
      <w:rFonts w:ascii="宋体"/>
      <w:kern w:val="2"/>
      <w:sz w:val="18"/>
      <w:szCs w:val="18"/>
    </w:rPr>
  </w:style>
  <w:style w:type="character" w:customStyle="1" w:styleId="97">
    <w:name w:val="批注主题 Char"/>
    <w:link w:val="51"/>
    <w:semiHidden/>
    <w:qFormat/>
    <w:uiPriority w:val="0"/>
    <w:rPr>
      <w:b/>
      <w:bCs/>
      <w:kern w:val="2"/>
      <w:sz w:val="21"/>
      <w:szCs w:val="22"/>
    </w:rPr>
  </w:style>
  <w:style w:type="paragraph" w:customStyle="1" w:styleId="98">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99">
    <w:name w:val="List Paragraph"/>
    <w:basedOn w:val="1"/>
    <w:qFormat/>
    <w:uiPriority w:val="34"/>
    <w:pPr>
      <w:ind w:firstLine="420" w:firstLineChars="200"/>
    </w:pPr>
  </w:style>
  <w:style w:type="paragraph" w:customStyle="1" w:styleId="100">
    <w:name w:val="TOC Heading"/>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1">
    <w:name w:val="p3"/>
    <w:basedOn w:val="1"/>
    <w:qFormat/>
    <w:uiPriority w:val="0"/>
    <w:pPr>
      <w:spacing w:line="30" w:lineRule="atLeast"/>
      <w:jc w:val="center"/>
    </w:pPr>
    <w:rPr>
      <w:rFonts w:hint="eastAsia" w:ascii="宋体" w:hAnsi="宋体" w:cs="宋体"/>
      <w:kern w:val="0"/>
      <w:sz w:val="36"/>
      <w:szCs w:val="36"/>
    </w:rPr>
  </w:style>
  <w:style w:type="paragraph" w:customStyle="1" w:styleId="102">
    <w:name w:val="Report 1.1.1"/>
    <w:basedOn w:val="103"/>
    <w:qFormat/>
    <w:uiPriority w:val="0"/>
    <w:pPr>
      <w:tabs>
        <w:tab w:val="left" w:pos="720"/>
      </w:tabs>
    </w:pPr>
    <w:rPr>
      <w:rFonts w:hAnsi="华文细黑" w:eastAsia="华文细黑" w:cs="Arial"/>
      <w:lang w:eastAsia="zh-CN"/>
    </w:rPr>
  </w:style>
  <w:style w:type="paragraph" w:customStyle="1" w:styleId="103">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4">
    <w:name w:val="Char Char Char1 Char"/>
    <w:basedOn w:val="37"/>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5">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6">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7">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08">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09">
    <w:name w:val="样式3"/>
    <w:basedOn w:val="25"/>
    <w:qFormat/>
    <w:uiPriority w:val="0"/>
    <w:pPr>
      <w:spacing w:after="120"/>
    </w:pPr>
    <w:rPr>
      <w:rFonts w:hAnsi="Times New Roman"/>
      <w:sz w:val="21"/>
    </w:rPr>
  </w:style>
  <w:style w:type="paragraph" w:customStyle="1" w:styleId="110">
    <w:name w:val="DTZ Heading 2"/>
    <w:basedOn w:val="107"/>
    <w:next w:val="1"/>
    <w:qFormat/>
    <w:uiPriority w:val="0"/>
    <w:pPr>
      <w:numPr>
        <w:ilvl w:val="1"/>
      </w:numPr>
      <w:tabs>
        <w:tab w:val="left" w:pos="5963"/>
      </w:tabs>
      <w:spacing w:after="0" w:line="340" w:lineRule="exact"/>
    </w:pPr>
    <w:rPr>
      <w:sz w:val="28"/>
    </w:rPr>
  </w:style>
  <w:style w:type="paragraph" w:customStyle="1" w:styleId="111">
    <w:name w:val="保留正文"/>
    <w:basedOn w:val="25"/>
    <w:qFormat/>
    <w:uiPriority w:val="0"/>
    <w:pPr>
      <w:keepNext/>
      <w:spacing w:after="160" w:line="240" w:lineRule="auto"/>
    </w:pPr>
    <w:rPr>
      <w:rFonts w:ascii="Times New Roman" w:hAnsi="Times New Roman"/>
      <w:sz w:val="21"/>
    </w:rPr>
  </w:style>
  <w:style w:type="paragraph" w:customStyle="1" w:styleId="112">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3">
    <w:name w:val="一、"/>
    <w:basedOn w:val="1"/>
    <w:qFormat/>
    <w:uiPriority w:val="0"/>
    <w:pPr>
      <w:tabs>
        <w:tab w:val="left" w:pos="720"/>
      </w:tabs>
      <w:spacing w:line="740" w:lineRule="exact"/>
    </w:pPr>
    <w:rPr>
      <w:sz w:val="28"/>
      <w:szCs w:val="24"/>
    </w:rPr>
  </w:style>
  <w:style w:type="character" w:customStyle="1" w:styleId="114">
    <w:name w:val="正文首行缩进 Char"/>
    <w:basedOn w:val="89"/>
    <w:link w:val="52"/>
    <w:semiHidden/>
    <w:qFormat/>
    <w:uiPriority w:val="0"/>
    <w:rPr>
      <w:kern w:val="2"/>
      <w:sz w:val="21"/>
      <w:szCs w:val="22"/>
    </w:rPr>
  </w:style>
  <w:style w:type="paragraph" w:customStyle="1" w:styleId="115">
    <w:name w:val="_Style 2"/>
    <w:basedOn w:val="1"/>
    <w:qFormat/>
    <w:uiPriority w:val="99"/>
    <w:pPr>
      <w:ind w:firstLine="420" w:firstLineChars="200"/>
    </w:pPr>
  </w:style>
  <w:style w:type="paragraph" w:customStyle="1" w:styleId="116">
    <w:name w:val="UserStyle_0"/>
    <w:basedOn w:val="1"/>
    <w:qFormat/>
    <w:uiPriority w:val="0"/>
    <w:pPr>
      <w:spacing w:before="15"/>
      <w:ind w:left="120"/>
    </w:pPr>
    <w:rPr>
      <w:rFonts w:ascii="Arial Unicode MS" w:hAnsi="Arial Unicode MS" w:eastAsia="Arial Unicode MS"/>
      <w:sz w:val="32"/>
      <w:szCs w:val="32"/>
    </w:rPr>
  </w:style>
  <w:style w:type="character" w:customStyle="1" w:styleId="117">
    <w:name w:val="注释标题 Char"/>
    <w:basedOn w:val="58"/>
    <w:link w:val="14"/>
    <w:semiHidden/>
    <w:qFormat/>
    <w:uiPriority w:val="0"/>
    <w:rPr>
      <w:rFonts w:ascii="Times New Roman" w:hAnsi="Times New Roman"/>
      <w:kern w:val="2"/>
      <w:sz w:val="21"/>
      <w:szCs w:val="24"/>
    </w:rPr>
  </w:style>
  <w:style w:type="character" w:customStyle="1" w:styleId="118">
    <w:name w:val="电子邮件签名 Char"/>
    <w:basedOn w:val="58"/>
    <w:link w:val="15"/>
    <w:semiHidden/>
    <w:qFormat/>
    <w:uiPriority w:val="0"/>
    <w:rPr>
      <w:rFonts w:ascii="Times New Roman" w:hAnsi="Times New Roman"/>
      <w:kern w:val="2"/>
      <w:sz w:val="21"/>
      <w:szCs w:val="24"/>
    </w:rPr>
  </w:style>
  <w:style w:type="character" w:customStyle="1" w:styleId="119">
    <w:name w:val="称呼 Char"/>
    <w:basedOn w:val="58"/>
    <w:link w:val="22"/>
    <w:semiHidden/>
    <w:qFormat/>
    <w:uiPriority w:val="0"/>
    <w:rPr>
      <w:rFonts w:ascii="Times New Roman" w:hAnsi="Times New Roman"/>
      <w:kern w:val="2"/>
      <w:sz w:val="21"/>
      <w:szCs w:val="24"/>
    </w:rPr>
  </w:style>
  <w:style w:type="character" w:customStyle="1" w:styleId="120">
    <w:name w:val="正文文本 3 Char"/>
    <w:basedOn w:val="58"/>
    <w:link w:val="23"/>
    <w:semiHidden/>
    <w:qFormat/>
    <w:uiPriority w:val="0"/>
    <w:rPr>
      <w:rFonts w:ascii="Times New Roman" w:hAnsi="Times New Roman"/>
      <w:kern w:val="2"/>
      <w:sz w:val="16"/>
      <w:szCs w:val="16"/>
    </w:rPr>
  </w:style>
  <w:style w:type="character" w:customStyle="1" w:styleId="121">
    <w:name w:val="结束语 Char"/>
    <w:basedOn w:val="58"/>
    <w:link w:val="24"/>
    <w:semiHidden/>
    <w:qFormat/>
    <w:uiPriority w:val="0"/>
    <w:rPr>
      <w:rFonts w:ascii="Times New Roman" w:hAnsi="Times New Roman"/>
      <w:kern w:val="2"/>
      <w:sz w:val="21"/>
      <w:szCs w:val="24"/>
    </w:rPr>
  </w:style>
  <w:style w:type="character" w:customStyle="1" w:styleId="122">
    <w:name w:val="HTML 地址 Char"/>
    <w:basedOn w:val="58"/>
    <w:link w:val="28"/>
    <w:semiHidden/>
    <w:qFormat/>
    <w:uiPriority w:val="0"/>
    <w:rPr>
      <w:rFonts w:ascii="Times New Roman" w:hAnsi="Times New Roman"/>
      <w:i/>
      <w:iCs/>
      <w:kern w:val="2"/>
      <w:sz w:val="21"/>
      <w:szCs w:val="24"/>
    </w:rPr>
  </w:style>
  <w:style w:type="character" w:customStyle="1" w:styleId="123">
    <w:name w:val="日期 Char"/>
    <w:basedOn w:val="58"/>
    <w:link w:val="32"/>
    <w:qFormat/>
    <w:uiPriority w:val="0"/>
    <w:rPr>
      <w:rFonts w:ascii="Times New Roman" w:hAnsi="Times New Roman"/>
      <w:kern w:val="2"/>
      <w:sz w:val="21"/>
    </w:rPr>
  </w:style>
  <w:style w:type="character" w:customStyle="1" w:styleId="124">
    <w:name w:val="正文文本缩进 2 Char"/>
    <w:basedOn w:val="58"/>
    <w:link w:val="33"/>
    <w:semiHidden/>
    <w:qFormat/>
    <w:uiPriority w:val="0"/>
    <w:rPr>
      <w:rFonts w:ascii="Times New Roman" w:hAnsi="Times New Roman"/>
      <w:kern w:val="2"/>
      <w:sz w:val="21"/>
      <w:szCs w:val="24"/>
    </w:rPr>
  </w:style>
  <w:style w:type="character" w:customStyle="1" w:styleId="125">
    <w:name w:val="尾注文本 Char"/>
    <w:basedOn w:val="58"/>
    <w:link w:val="34"/>
    <w:semiHidden/>
    <w:qFormat/>
    <w:uiPriority w:val="0"/>
    <w:rPr>
      <w:rFonts w:ascii="Times New Roman" w:hAnsi="Times New Roman"/>
      <w:kern w:val="2"/>
      <w:sz w:val="21"/>
      <w:szCs w:val="24"/>
    </w:rPr>
  </w:style>
  <w:style w:type="character" w:customStyle="1" w:styleId="126">
    <w:name w:val="签名 Char"/>
    <w:basedOn w:val="58"/>
    <w:link w:val="38"/>
    <w:semiHidden/>
    <w:qFormat/>
    <w:uiPriority w:val="0"/>
    <w:rPr>
      <w:rFonts w:ascii="Times New Roman" w:hAnsi="Times New Roman"/>
      <w:kern w:val="2"/>
      <w:sz w:val="21"/>
      <w:szCs w:val="24"/>
    </w:rPr>
  </w:style>
  <w:style w:type="character" w:customStyle="1" w:styleId="127">
    <w:name w:val="脚注文本 Char"/>
    <w:basedOn w:val="58"/>
    <w:link w:val="43"/>
    <w:semiHidden/>
    <w:qFormat/>
    <w:uiPriority w:val="0"/>
    <w:rPr>
      <w:rFonts w:ascii="Times New Roman" w:hAnsi="Times New Roman"/>
      <w:kern w:val="2"/>
      <w:sz w:val="18"/>
    </w:rPr>
  </w:style>
  <w:style w:type="character" w:customStyle="1" w:styleId="128">
    <w:name w:val="信息标题 Char"/>
    <w:basedOn w:val="58"/>
    <w:link w:val="47"/>
    <w:semiHidden/>
    <w:qFormat/>
    <w:uiPriority w:val="0"/>
    <w:rPr>
      <w:rFonts w:ascii="Arial" w:hAnsi="Arial" w:cs="Arial"/>
      <w:kern w:val="2"/>
      <w:sz w:val="24"/>
      <w:szCs w:val="24"/>
      <w:shd w:val="pct20" w:color="auto" w:fill="auto"/>
    </w:rPr>
  </w:style>
  <w:style w:type="character" w:customStyle="1" w:styleId="129">
    <w:name w:val="HTML 预设格式 Char"/>
    <w:basedOn w:val="58"/>
    <w:link w:val="48"/>
    <w:semiHidden/>
    <w:qFormat/>
    <w:uiPriority w:val="0"/>
    <w:rPr>
      <w:rFonts w:ascii="宋体" w:hAnsi="宋体" w:cs="宋体"/>
      <w:color w:val="000000"/>
      <w:sz w:val="24"/>
      <w:szCs w:val="24"/>
    </w:rPr>
  </w:style>
  <w:style w:type="character" w:customStyle="1" w:styleId="130">
    <w:name w:val="unnamed211"/>
    <w:semiHidden/>
    <w:qFormat/>
    <w:uiPriority w:val="0"/>
    <w:rPr>
      <w:sz w:val="23"/>
      <w:szCs w:val="23"/>
    </w:rPr>
  </w:style>
  <w:style w:type="character" w:customStyle="1" w:styleId="131">
    <w:name w:val="ss1"/>
    <w:semiHidden/>
    <w:qFormat/>
    <w:uiPriority w:val="0"/>
    <w:rPr>
      <w:rFonts w:hint="default" w:ascii="ˎ̥" w:hAnsi="ˎ̥"/>
      <w:color w:val="000000"/>
      <w:sz w:val="18"/>
      <w:szCs w:val="18"/>
      <w:u w:val="none"/>
    </w:rPr>
  </w:style>
  <w:style w:type="character" w:customStyle="1" w:styleId="132">
    <w:name w:val="f142"/>
    <w:semiHidden/>
    <w:qFormat/>
    <w:uiPriority w:val="0"/>
    <w:rPr>
      <w:sz w:val="21"/>
      <w:szCs w:val="21"/>
    </w:rPr>
  </w:style>
  <w:style w:type="character" w:customStyle="1" w:styleId="133">
    <w:name w:val="f14b1"/>
    <w:semiHidden/>
    <w:qFormat/>
    <w:uiPriority w:val="0"/>
    <w:rPr>
      <w:b/>
      <w:bCs/>
      <w:sz w:val="21"/>
      <w:szCs w:val="21"/>
    </w:rPr>
  </w:style>
  <w:style w:type="character" w:customStyle="1" w:styleId="134">
    <w:name w:val="ca-41"/>
    <w:qFormat/>
    <w:uiPriority w:val="0"/>
    <w:rPr>
      <w:rFonts w:hint="eastAsia" w:ascii="黑体" w:eastAsia="黑体"/>
      <w:b/>
      <w:bCs/>
      <w:spacing w:val="-20"/>
      <w:sz w:val="30"/>
      <w:szCs w:val="30"/>
    </w:rPr>
  </w:style>
  <w:style w:type="character" w:customStyle="1" w:styleId="135">
    <w:name w:val="签名 Char1"/>
    <w:basedOn w:val="58"/>
    <w:semiHidden/>
    <w:qFormat/>
    <w:uiPriority w:val="99"/>
    <w:rPr>
      <w:rFonts w:ascii="Times New Roman" w:hAnsi="Times New Roman" w:eastAsia="宋体" w:cs="Times New Roman"/>
      <w:szCs w:val="20"/>
    </w:rPr>
  </w:style>
  <w:style w:type="character" w:customStyle="1" w:styleId="136">
    <w:name w:val="正文文本缩进 2 Char1"/>
    <w:basedOn w:val="58"/>
    <w:semiHidden/>
    <w:qFormat/>
    <w:uiPriority w:val="99"/>
    <w:rPr>
      <w:rFonts w:ascii="Times New Roman" w:hAnsi="Times New Roman" w:eastAsia="宋体" w:cs="Times New Roman"/>
      <w:szCs w:val="20"/>
    </w:rPr>
  </w:style>
  <w:style w:type="paragraph" w:customStyle="1" w:styleId="137">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8">
    <w:name w:val="纯文本 Char1"/>
    <w:qFormat/>
    <w:uiPriority w:val="0"/>
    <w:rPr>
      <w:rFonts w:ascii="宋体" w:hAnsi="Courier New" w:cs="Courier New"/>
      <w:kern w:val="2"/>
      <w:sz w:val="21"/>
      <w:szCs w:val="21"/>
    </w:rPr>
  </w:style>
  <w:style w:type="character" w:customStyle="1" w:styleId="139">
    <w:name w:val="Char Char23"/>
    <w:semiHidden/>
    <w:qFormat/>
    <w:uiPriority w:val="0"/>
    <w:rPr>
      <w:rFonts w:ascii="Times New Roman" w:hAnsi="Times New Roman" w:eastAsia="宋体" w:cs="Times New Roman"/>
      <w:b/>
      <w:bCs/>
      <w:szCs w:val="24"/>
    </w:rPr>
  </w:style>
  <w:style w:type="paragraph" w:customStyle="1" w:styleId="140">
    <w:name w:val="z-窗体顶端1"/>
    <w:basedOn w:val="1"/>
    <w:next w:val="1"/>
    <w:link w:val="141"/>
    <w:unhideWhenUsed/>
    <w:qFormat/>
    <w:uiPriority w:val="99"/>
    <w:pPr>
      <w:widowControl/>
      <w:pBdr>
        <w:bottom w:val="single" w:color="auto" w:sz="6" w:space="1"/>
      </w:pBdr>
      <w:jc w:val="center"/>
    </w:pPr>
    <w:rPr>
      <w:rFonts w:ascii="Arial" w:hAnsi="Arial"/>
      <w:vanish/>
      <w:kern w:val="0"/>
      <w:sz w:val="16"/>
      <w:szCs w:val="16"/>
    </w:rPr>
  </w:style>
  <w:style w:type="character" w:customStyle="1" w:styleId="141">
    <w:name w:val="z-窗体顶端 Char"/>
    <w:basedOn w:val="58"/>
    <w:link w:val="140"/>
    <w:qFormat/>
    <w:uiPriority w:val="99"/>
    <w:rPr>
      <w:rFonts w:ascii="Arial" w:hAnsi="Arial"/>
      <w:vanish/>
      <w:sz w:val="16"/>
      <w:szCs w:val="16"/>
    </w:rPr>
  </w:style>
  <w:style w:type="paragraph" w:customStyle="1" w:styleId="142">
    <w:name w:val="z-窗体底端1"/>
    <w:basedOn w:val="1"/>
    <w:next w:val="1"/>
    <w:link w:val="143"/>
    <w:unhideWhenUsed/>
    <w:qFormat/>
    <w:uiPriority w:val="99"/>
    <w:pPr>
      <w:widowControl/>
      <w:pBdr>
        <w:top w:val="single" w:color="auto" w:sz="6" w:space="1"/>
      </w:pBdr>
      <w:jc w:val="center"/>
    </w:pPr>
    <w:rPr>
      <w:rFonts w:ascii="Arial" w:hAnsi="Arial"/>
      <w:vanish/>
      <w:kern w:val="0"/>
      <w:sz w:val="16"/>
      <w:szCs w:val="16"/>
    </w:rPr>
  </w:style>
  <w:style w:type="character" w:customStyle="1" w:styleId="143">
    <w:name w:val="z-窗体底端 Char"/>
    <w:basedOn w:val="58"/>
    <w:link w:val="142"/>
    <w:qFormat/>
    <w:uiPriority w:val="99"/>
    <w:rPr>
      <w:rFonts w:ascii="Arial" w:hAnsi="Arial"/>
      <w:vanish/>
      <w:sz w:val="16"/>
      <w:szCs w:val="16"/>
    </w:rPr>
  </w:style>
  <w:style w:type="paragraph" w:customStyle="1" w:styleId="144">
    <w:name w:val="_Style 10"/>
    <w:qFormat/>
    <w:uiPriority w:val="0"/>
    <w:rPr>
      <w:rFonts w:ascii="Calibri" w:hAnsi="Calibri" w:eastAsia="宋体" w:cs="Times New Roman"/>
      <w:kern w:val="2"/>
      <w:sz w:val="21"/>
      <w:szCs w:val="22"/>
      <w:lang w:val="en-US" w:eastAsia="zh-CN" w:bidi="ar-SA"/>
    </w:rPr>
  </w:style>
  <w:style w:type="paragraph" w:customStyle="1" w:styleId="145">
    <w:name w:val="列出段落1"/>
    <w:basedOn w:val="1"/>
    <w:qFormat/>
    <w:uiPriority w:val="34"/>
    <w:pPr>
      <w:ind w:firstLine="420" w:firstLineChars="200"/>
    </w:pPr>
  </w:style>
  <w:style w:type="paragraph" w:customStyle="1" w:styleId="146">
    <w:name w:val="列出段落2"/>
    <w:basedOn w:val="147"/>
    <w:qFormat/>
    <w:uiPriority w:val="34"/>
    <w:pPr>
      <w:ind w:firstLine="420" w:firstLineChars="200"/>
    </w:pPr>
  </w:style>
  <w:style w:type="paragraph" w:customStyle="1" w:styleId="147">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48">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fontstyle21"/>
    <w:basedOn w:val="58"/>
    <w:qFormat/>
    <w:uiPriority w:val="0"/>
    <w:rPr>
      <w:rFonts w:ascii="FZXBSJW--GB1-0" w:hAnsi="FZXBSJW--GB1-0" w:eastAsia="FZXBSJW--GB1-0" w:cs="FZXBSJW--GB1-0"/>
      <w:color w:val="000000"/>
      <w:sz w:val="44"/>
      <w:szCs w:val="44"/>
    </w:rPr>
  </w:style>
  <w:style w:type="character" w:customStyle="1" w:styleId="151">
    <w:name w:val="fontstyle31"/>
    <w:basedOn w:val="58"/>
    <w:qFormat/>
    <w:uiPriority w:val="0"/>
    <w:rPr>
      <w:rFonts w:ascii="仿宋_GB2312" w:hAnsi="仿宋_GB2312" w:eastAsia="仿宋_GB2312" w:cs="仿宋_GB2312"/>
      <w:color w:val="000000"/>
      <w:sz w:val="32"/>
      <w:szCs w:val="32"/>
    </w:rPr>
  </w:style>
  <w:style w:type="paragraph" w:customStyle="1" w:styleId="152">
    <w:name w:val="页脚2"/>
    <w:basedOn w:val="147"/>
    <w:unhideWhenUsed/>
    <w:qFormat/>
    <w:uiPriority w:val="0"/>
    <w:pPr>
      <w:tabs>
        <w:tab w:val="center" w:pos="4153"/>
        <w:tab w:val="right" w:pos="8306"/>
      </w:tabs>
      <w:snapToGrid w:val="0"/>
      <w:jc w:val="left"/>
    </w:pPr>
    <w:rPr>
      <w:sz w:val="18"/>
      <w:szCs w:val="18"/>
    </w:rPr>
  </w:style>
  <w:style w:type="character" w:customStyle="1" w:styleId="153">
    <w:name w:val="纯文本 Char2"/>
    <w:qFormat/>
    <w:uiPriority w:val="0"/>
    <w:rPr>
      <w:rFonts w:ascii="宋体" w:hAnsi="Courier New" w:eastAsia="宋体" w:cs="Courier New"/>
      <w:sz w:val="21"/>
      <w:szCs w:val="21"/>
    </w:rPr>
  </w:style>
  <w:style w:type="character" w:customStyle="1" w:styleId="154">
    <w:name w:val="fontstrikethrough"/>
    <w:basedOn w:val="58"/>
    <w:qFormat/>
    <w:uiPriority w:val="0"/>
    <w:rPr>
      <w:strike/>
    </w:rPr>
  </w:style>
  <w:style w:type="character" w:customStyle="1" w:styleId="155">
    <w:name w:val="副标题 Char"/>
    <w:link w:val="41"/>
    <w:qFormat/>
    <w:uiPriority w:val="11"/>
    <w:rPr>
      <w:rFonts w:ascii="Cambria" w:hAnsi="Cambria"/>
      <w:b/>
      <w:bCs/>
      <w:kern w:val="28"/>
      <w:sz w:val="32"/>
      <w:szCs w:val="32"/>
    </w:rPr>
  </w:style>
  <w:style w:type="character" w:customStyle="1" w:styleId="156">
    <w:name w:val="fontborder"/>
    <w:basedOn w:val="58"/>
    <w:qFormat/>
    <w:uiPriority w:val="0"/>
    <w:rPr>
      <w:bdr w:val="single" w:color="000000" w:sz="6" w:space="0"/>
    </w:rPr>
  </w:style>
  <w:style w:type="character" w:customStyle="1" w:styleId="157">
    <w:name w:val="标题 Char1"/>
    <w:qFormat/>
    <w:uiPriority w:val="10"/>
    <w:rPr>
      <w:rFonts w:ascii="Cambria" w:hAnsi="Cambria" w:cs="Times New Roman"/>
      <w:b/>
      <w:bCs/>
      <w:kern w:val="2"/>
      <w:sz w:val="32"/>
      <w:szCs w:val="32"/>
    </w:rPr>
  </w:style>
  <w:style w:type="character" w:customStyle="1" w:styleId="158">
    <w:name w:val="标题 Char"/>
    <w:link w:val="26"/>
    <w:qFormat/>
    <w:uiPriority w:val="0"/>
    <w:rPr>
      <w:rFonts w:ascii="Cambria" w:hAnsi="Cambria"/>
      <w:b/>
      <w:bCs/>
      <w:kern w:val="2"/>
      <w:sz w:val="32"/>
      <w:szCs w:val="32"/>
    </w:rPr>
  </w:style>
  <w:style w:type="character" w:customStyle="1" w:styleId="159">
    <w:name w:val="标题 Char2"/>
    <w:basedOn w:val="58"/>
    <w:link w:val="26"/>
    <w:qFormat/>
    <w:uiPriority w:val="10"/>
    <w:rPr>
      <w:rFonts w:asciiTheme="majorHAnsi" w:hAnsiTheme="majorHAnsi" w:cstheme="majorBidi"/>
      <w:b/>
      <w:bCs/>
      <w:kern w:val="2"/>
      <w:sz w:val="32"/>
      <w:szCs w:val="32"/>
    </w:rPr>
  </w:style>
  <w:style w:type="character" w:customStyle="1" w:styleId="160">
    <w:name w:val="副标题 Char1"/>
    <w:basedOn w:val="58"/>
    <w:link w:val="41"/>
    <w:qFormat/>
    <w:uiPriority w:val="11"/>
    <w:rPr>
      <w:rFonts w:asciiTheme="majorHAnsi" w:hAnsiTheme="majorHAnsi" w:cstheme="majorBidi"/>
      <w:b/>
      <w:bCs/>
      <w:kern w:val="28"/>
      <w:sz w:val="32"/>
      <w:szCs w:val="32"/>
    </w:rPr>
  </w:style>
  <w:style w:type="paragraph" w:customStyle="1" w:styleId="161">
    <w:name w:val="Heading 2_1"/>
    <w:basedOn w:val="148"/>
    <w:next w:val="148"/>
    <w:qFormat/>
    <w:uiPriority w:val="0"/>
    <w:pPr>
      <w:spacing w:before="360" w:after="120" w:line="360" w:lineRule="auto"/>
      <w:outlineLvl w:val="1"/>
    </w:pPr>
    <w:rPr>
      <w:rFonts w:ascii="Cambria" w:hAnsi="Cambria" w:eastAsia="黑体"/>
      <w:b/>
      <w:bCs/>
      <w:sz w:val="32"/>
      <w:szCs w:val="32"/>
    </w:rPr>
  </w:style>
  <w:style w:type="paragraph" w:customStyle="1" w:styleId="162">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常用（宋体，5号，1.25行距）"/>
    <w:basedOn w:val="1"/>
    <w:qFormat/>
    <w:uiPriority w:val="0"/>
    <w:pPr>
      <w:widowControl/>
      <w:spacing w:line="300" w:lineRule="auto"/>
      <w:jc w:val="left"/>
    </w:pPr>
    <w:rPr>
      <w:kern w:val="0"/>
      <w:sz w:val="24"/>
      <w:szCs w:val="21"/>
      <w:lang w:eastAsia="en-US" w:bidi="en-US"/>
    </w:rPr>
  </w:style>
  <w:style w:type="paragraph" w:customStyle="1" w:styleId="164">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Plain Text_0"/>
    <w:basedOn w:val="162"/>
    <w:qFormat/>
    <w:uiPriority w:val="0"/>
    <w:rPr>
      <w:rFonts w:ascii="宋体" w:hAnsi="Courier New" w:cs="Courier New"/>
      <w:szCs w:val="21"/>
    </w:rPr>
  </w:style>
  <w:style w:type="character" w:customStyle="1" w:styleId="166">
    <w:name w:val="_Style 1"/>
    <w:qFormat/>
    <w:uiPriority w:val="19"/>
    <w:rPr>
      <w:rFonts w:eastAsia="宋体"/>
      <w:iCs/>
      <w:color w:val="404040"/>
      <w:sz w:val="30"/>
    </w:rPr>
  </w:style>
  <w:style w:type="paragraph" w:customStyle="1" w:styleId="167">
    <w:name w:val="条款标题"/>
    <w:basedOn w:val="5"/>
    <w:qFormat/>
    <w:uiPriority w:val="0"/>
    <w:pPr>
      <w:tabs>
        <w:tab w:val="clear" w:pos="720"/>
      </w:tabs>
      <w:spacing w:before="151" w:beforeLines="50" w:beforeAutospacing="0" w:after="151" w:afterLines="50" w:afterAutospacing="0"/>
      <w:ind w:firstLine="422" w:firstLineChars="200"/>
    </w:pPr>
    <w:rPr>
      <w:rFonts w:asciiTheme="minorEastAsia" w:hAnsiTheme="minorEastAsia" w:eastAsiaTheme="minorEastAsia"/>
      <w:bCs w:val="0"/>
      <w:sz w:val="21"/>
      <w:szCs w:val="21"/>
    </w:rPr>
  </w:style>
  <w:style w:type="paragraph" w:customStyle="1" w:styleId="168">
    <w:name w:val="列出段落"/>
    <w:basedOn w:val="1"/>
    <w:qFormat/>
    <w:uiPriority w:val="34"/>
    <w:pPr>
      <w:ind w:firstLine="420" w:firstLineChars="200"/>
    </w:pPr>
  </w:style>
  <w:style w:type="paragraph" w:customStyle="1" w:styleId="169">
    <w:name w:val="样式1"/>
    <w:basedOn w:val="37"/>
    <w:qFormat/>
    <w:uiPriority w:val="0"/>
    <w:pPr>
      <w:pBdr>
        <w:bottom w:val="thinThickSmallGap" w:color="auto" w:sz="24" w:space="1"/>
      </w:pBdr>
    </w:pPr>
    <w:rPr>
      <w:rFonts w:ascii="黑体" w:hAnsi="Times New Roman" w:eastAsia="黑体"/>
      <w:b/>
      <w:sz w:val="21"/>
      <w:szCs w:val="20"/>
    </w:rPr>
  </w:style>
  <w:style w:type="paragraph" w:customStyle="1" w:styleId="170">
    <w:name w:val="正文缩进1"/>
    <w:basedOn w:val="1"/>
    <w:qFormat/>
    <w:uiPriority w:val="0"/>
    <w:pPr>
      <w:ind w:firstLine="420" w:firstLineChars="200"/>
    </w:pPr>
  </w:style>
  <w:style w:type="paragraph" w:customStyle="1" w:styleId="171">
    <w:name w:val="交标01"/>
    <w:basedOn w:val="172"/>
    <w:qFormat/>
    <w:uiPriority w:val="0"/>
    <w:rPr>
      <w:rFonts w:hint="default"/>
      <w:b/>
      <w:bCs/>
    </w:rPr>
  </w:style>
  <w:style w:type="paragraph" w:customStyle="1" w:styleId="172">
    <w:name w:val="交正文"/>
    <w:basedOn w:val="1"/>
    <w:qFormat/>
    <w:uiPriority w:val="0"/>
    <w:pPr>
      <w:spacing w:line="360" w:lineRule="auto"/>
      <w:ind w:firstLine="440" w:firstLineChars="200"/>
    </w:pPr>
    <w:rPr>
      <w:rFonts w:hint="eastAsia" w:ascii="仿宋" w:hAnsi="仿宋" w:eastAsia="仿宋" w:cs="Times New Roman"/>
      <w:sz w:val="24"/>
      <w:szCs w:val="24"/>
    </w:rPr>
  </w:style>
  <w:style w:type="paragraph" w:customStyle="1" w:styleId="173">
    <w:name w:val="交表头标"/>
    <w:basedOn w:val="1"/>
    <w:qFormat/>
    <w:uiPriority w:val="0"/>
    <w:pPr>
      <w:widowControl/>
      <w:tabs>
        <w:tab w:val="left" w:pos="4"/>
      </w:tabs>
      <w:adjustRightInd w:val="0"/>
      <w:snapToGrid w:val="0"/>
      <w:spacing w:line="360" w:lineRule="auto"/>
      <w:jc w:val="center"/>
    </w:pPr>
    <w:rPr>
      <w:rFonts w:ascii="楷体" w:hAnsi="楷体" w:eastAsia="楷体"/>
      <w:szCs w:val="21"/>
    </w:rPr>
  </w:style>
  <w:style w:type="paragraph" w:customStyle="1" w:styleId="174">
    <w:name w:val="交提纲目录"/>
    <w:basedOn w:val="172"/>
    <w:qFormat/>
    <w:uiPriority w:val="0"/>
    <w:pPr>
      <w:ind w:firstLine="960" w:firstLineChars="400"/>
    </w:pPr>
    <w:rPr>
      <w:rFonts w:cs="Times New Roman"/>
    </w:rPr>
  </w:style>
  <w:style w:type="paragraph" w:customStyle="1" w:styleId="175">
    <w:name w:val="lj图表标题"/>
    <w:qFormat/>
    <w:uiPriority w:val="0"/>
    <w:pPr>
      <w:autoSpaceDE w:val="0"/>
      <w:autoSpaceDN w:val="0"/>
      <w:adjustRightInd w:val="0"/>
      <w:snapToGrid w:val="0"/>
      <w:spacing w:line="360" w:lineRule="auto"/>
      <w:jc w:val="center"/>
    </w:pPr>
    <w:rPr>
      <w:rFonts w:ascii="仿宋" w:hAnsi="仿宋" w:eastAsia="仿宋"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E203A5-188F-4098-9791-FC31F269099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6000</Words>
  <Characters>6194</Characters>
  <Lines>137</Lines>
  <Paragraphs>38</Paragraphs>
  <TotalTime>12</TotalTime>
  <ScaleCrop>false</ScaleCrop>
  <LinksUpToDate>false</LinksUpToDate>
  <CharactersWithSpaces>6220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2023-05-27T09:28:00Z</dcterms:created>
  <dc:creator>微软用户</dc:creator>
  <cp:lastModifiedBy>實誠</cp:lastModifiedBy>
  <cp:lastPrinted>2024-05-03T03:03:00Z</cp:lastPrinted>
  <dcterms:modified xsi:type="dcterms:W3CDTF">2026-08-20T16:52:39Z</dcterms:modified>
  <dc:title>工程编号：</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897F4653DFD54B8A81545F5DF1A25B4F_13</vt:lpwstr>
  </property>
</Properties>
</file>