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39784">
      <w:pPr>
        <w:widowControl w:val="0"/>
        <w:autoSpaceDE w:val="0"/>
        <w:autoSpaceDN w:val="0"/>
        <w:adjustRightInd w:val="0"/>
        <w:snapToGrid w:val="0"/>
        <w:ind w:firstLine="0" w:firstLineChars="0"/>
        <w:jc w:val="center"/>
        <w:outlineLvl w:val="0"/>
        <w:rPr>
          <w:rFonts w:ascii="宋体" w:hAnsi="宋体"/>
          <w:b/>
          <w:sz w:val="52"/>
          <w:szCs w:val="52"/>
        </w:rPr>
      </w:pPr>
      <w:bookmarkStart w:id="0" w:name="_Toc31497"/>
      <w:bookmarkStart w:id="1" w:name="_Toc21910"/>
      <w:bookmarkStart w:id="2" w:name="_Toc9893"/>
      <w:bookmarkStart w:id="3" w:name="_Toc407023750"/>
      <w:bookmarkStart w:id="4" w:name="_Toc29085"/>
      <w:bookmarkStart w:id="5" w:name="_Toc23739"/>
      <w:r>
        <w:rPr>
          <w:rFonts w:hint="eastAsia" w:ascii="宋体" w:hAnsi="宋体"/>
          <w:b/>
          <w:sz w:val="52"/>
          <w:szCs w:val="52"/>
        </w:rPr>
        <w:t>项目需求</w:t>
      </w:r>
      <w:bookmarkEnd w:id="0"/>
      <w:bookmarkEnd w:id="1"/>
      <w:bookmarkEnd w:id="2"/>
      <w:r>
        <w:rPr>
          <w:rFonts w:hint="eastAsia" w:ascii="宋体" w:hAnsi="宋体"/>
          <w:b/>
          <w:sz w:val="52"/>
          <w:szCs w:val="52"/>
        </w:rPr>
        <w:t>书</w:t>
      </w:r>
    </w:p>
    <w:bookmarkEnd w:id="3"/>
    <w:bookmarkEnd w:id="4"/>
    <w:bookmarkEnd w:id="5"/>
    <w:p w14:paraId="038861AC">
      <w:pPr>
        <w:widowControl w:val="0"/>
        <w:autoSpaceDN w:val="0"/>
        <w:adjustRightInd w:val="0"/>
        <w:snapToGrid w:val="0"/>
        <w:ind w:firstLine="0" w:firstLineChars="0"/>
        <w:jc w:val="center"/>
        <w:outlineLvl w:val="1"/>
        <w:rPr>
          <w:rFonts w:ascii="宋体" w:hAnsi="宋体"/>
          <w:b/>
          <w:sz w:val="32"/>
        </w:rPr>
      </w:pPr>
      <w:bookmarkStart w:id="6" w:name="_Toc8746"/>
      <w:bookmarkStart w:id="7" w:name="_Toc32160"/>
      <w:r>
        <w:rPr>
          <w:rFonts w:hint="eastAsia" w:ascii="宋体" w:hAnsi="宋体"/>
          <w:b/>
          <w:sz w:val="32"/>
        </w:rPr>
        <w:t>第一节 项目需求</w:t>
      </w:r>
      <w:bookmarkEnd w:id="6"/>
      <w:bookmarkEnd w:id="7"/>
    </w:p>
    <w:p w14:paraId="2217B83C">
      <w:pPr>
        <w:widowControl w:val="0"/>
        <w:numPr>
          <w:ilvl w:val="0"/>
          <w:numId w:val="1"/>
        </w:numPr>
        <w:autoSpaceDE w:val="0"/>
        <w:autoSpaceDN w:val="0"/>
        <w:adjustRightInd w:val="0"/>
        <w:snapToGrid w:val="0"/>
        <w:ind w:left="357" w:hanging="357" w:firstLineChars="0"/>
        <w:jc w:val="left"/>
        <w:outlineLvl w:val="2"/>
        <w:rPr>
          <w:rFonts w:ascii="宋体" w:hAnsi="宋体"/>
          <w:b/>
          <w:bCs/>
          <w:szCs w:val="21"/>
        </w:rPr>
      </w:pPr>
      <w:bookmarkStart w:id="8" w:name="_Toc406669471"/>
      <w:r>
        <w:rPr>
          <w:rFonts w:hint="eastAsia" w:ascii="宋体" w:hAnsi="宋体"/>
          <w:b/>
          <w:bCs/>
          <w:szCs w:val="21"/>
        </w:rPr>
        <w:t>项目服务内容</w:t>
      </w:r>
      <w:bookmarkEnd w:id="8"/>
    </w:p>
    <w:p w14:paraId="1692E58F">
      <w:pPr>
        <w:widowControl w:val="0"/>
        <w:autoSpaceDE w:val="0"/>
        <w:autoSpaceDN w:val="0"/>
        <w:adjustRightInd w:val="0"/>
        <w:snapToGrid w:val="0"/>
        <w:ind w:firstLine="420"/>
        <w:rPr>
          <w:rFonts w:hint="eastAsia" w:ascii="Times New Roman" w:hAnsi="Times New Roman" w:eastAsia="宋体" w:cs="Times New Roman"/>
          <w:lang w:val="en-US" w:eastAsia="zh-CN"/>
        </w:rPr>
      </w:pPr>
      <w:r>
        <w:rPr>
          <w:rFonts w:hint="eastAsia"/>
        </w:rPr>
        <w:t>根据《深圳市龙岗区创建人工智能全域全时应用示范区的行动方案(2024年-2025年)》和《龙岗区加快创建“AI龙岗”三年行动计划（2025—2027年）》规划, 要构建高效算力供给体系，在供给侧加强龙岗区在线算力供给保障能力，推动人工智能产业化。</w:t>
      </w:r>
      <w:r>
        <w:rPr>
          <w:rFonts w:hint="eastAsia" w:ascii="Times New Roman" w:hAnsi="Times New Roman" w:eastAsia="宋体" w:cs="Times New Roman"/>
          <w:lang w:val="en-US" w:eastAsia="zh-CN"/>
        </w:rPr>
        <w:t>本项目根据上述行动方案以及意向客户需求，</w:t>
      </w:r>
      <w:r>
        <w:rPr>
          <w:rFonts w:hint="eastAsia" w:cs="Times New Roman"/>
          <w:lang w:val="en-US" w:eastAsia="zh-CN"/>
        </w:rPr>
        <w:t>我司需建设共计不少于</w:t>
      </w:r>
      <w:r>
        <w:rPr>
          <w:rFonts w:hint="eastAsia" w:cs="Times New Roman"/>
          <w:b w:val="0"/>
          <w:bCs w:val="0"/>
          <w:lang w:val="en-US" w:eastAsia="zh-CN"/>
        </w:rPr>
        <w:t>570</w:t>
      </w:r>
      <w:r>
        <w:rPr>
          <w:rFonts w:hint="eastAsia"/>
          <w:b w:val="0"/>
          <w:bCs w:val="0"/>
          <w:lang w:val="en-US" w:eastAsia="zh-CN"/>
        </w:rPr>
        <w:t>PFlpos@PF16的智算资源池（稠密算力）</w:t>
      </w:r>
      <w:r>
        <w:rPr>
          <w:rFonts w:hint="eastAsia" w:cs="Times New Roman"/>
          <w:lang w:val="en-US" w:eastAsia="zh-CN"/>
        </w:rPr>
        <w:t>，支持客户业务开展。</w:t>
      </w:r>
      <w:r>
        <w:rPr>
          <w:rFonts w:hint="eastAsia" w:ascii="Times New Roman" w:hAnsi="Times New Roman" w:eastAsia="宋体" w:cs="Times New Roman"/>
          <w:lang w:val="en-US" w:eastAsia="zh-CN"/>
        </w:rPr>
        <w:t>基于该需求，我司提出</w:t>
      </w:r>
      <w:r>
        <w:rPr>
          <w:rFonts w:hint="eastAsia" w:cs="Times New Roman"/>
          <w:lang w:val="en-US" w:eastAsia="zh-CN"/>
        </w:rPr>
        <w:t>本项目采购需求如下：</w:t>
      </w:r>
    </w:p>
    <w:p w14:paraId="79671B5D">
      <w:pPr>
        <w:pStyle w:val="26"/>
        <w:numPr>
          <w:ilvl w:val="0"/>
          <w:numId w:val="2"/>
        </w:numPr>
        <w:rPr>
          <w:rFonts w:hint="default"/>
          <w:b/>
          <w:bCs/>
          <w:lang w:val="en-US" w:eastAsia="zh-CN"/>
        </w:rPr>
      </w:pPr>
      <w:r>
        <w:rPr>
          <w:rFonts w:hint="eastAsia"/>
          <w:lang w:val="en-US" w:eastAsia="zh-CN"/>
        </w:rPr>
        <w:t>建设阶段：</w:t>
      </w:r>
    </w:p>
    <w:p w14:paraId="5E052032">
      <w:pPr>
        <w:widowControl w:val="0"/>
        <w:autoSpaceDE w:val="0"/>
        <w:autoSpaceDN w:val="0"/>
        <w:adjustRightInd w:val="0"/>
        <w:snapToGrid w:val="0"/>
        <w:ind w:firstLine="420"/>
        <w:rPr>
          <w:rFonts w:hint="eastAsia"/>
        </w:rPr>
      </w:pPr>
      <w:r>
        <w:rPr>
          <w:rFonts w:hint="eastAsia"/>
          <w:lang w:val="en-US" w:eastAsia="zh-CN"/>
        </w:rPr>
        <w:t>建设不少于570</w:t>
      </w:r>
      <w:r>
        <w:rPr>
          <w:rFonts w:hint="eastAsia"/>
          <w:b w:val="0"/>
          <w:bCs w:val="0"/>
          <w:lang w:val="en-US" w:eastAsia="zh-CN"/>
        </w:rPr>
        <w:t>PFlpos@PF16</w:t>
      </w:r>
      <w:r>
        <w:rPr>
          <w:rFonts w:hint="eastAsia"/>
          <w:lang w:val="en-US" w:eastAsia="zh-CN"/>
        </w:rPr>
        <w:t>（稠密）的人工智能算力(以算力卡厂商官方数据为准)。具体包括采购</w:t>
      </w:r>
      <w:r>
        <w:rPr>
          <w:rFonts w:hint="eastAsia"/>
        </w:rPr>
        <w:t>智算</w:t>
      </w:r>
      <w:r>
        <w:rPr>
          <w:rFonts w:hint="eastAsia"/>
          <w:lang w:val="en-US" w:eastAsia="zh-CN"/>
        </w:rPr>
        <w:t>资源池</w:t>
      </w:r>
      <w:r>
        <w:rPr>
          <w:rFonts w:hint="eastAsia"/>
        </w:rPr>
        <w:t>所需的通用算力设备、配套</w:t>
      </w:r>
      <w:r>
        <w:rPr>
          <w:rFonts w:hint="eastAsia"/>
          <w:lang w:val="en-US" w:eastAsia="zh-CN"/>
        </w:rPr>
        <w:t>计算网</w:t>
      </w:r>
      <w:r>
        <w:rPr>
          <w:rFonts w:hint="eastAsia"/>
        </w:rPr>
        <w:t>RDMA网络设备</w:t>
      </w:r>
      <w:r>
        <w:rPr>
          <w:rFonts w:hint="eastAsia"/>
          <w:lang w:eastAsia="zh-CN"/>
        </w:rPr>
        <w:t>、</w:t>
      </w:r>
      <w:r>
        <w:rPr>
          <w:rFonts w:hint="eastAsia"/>
        </w:rPr>
        <w:t>安全设备等软硬件</w:t>
      </w:r>
      <w:r>
        <w:rPr>
          <w:rFonts w:hint="eastAsia"/>
          <w:lang w:val="en-US" w:eastAsia="zh-CN"/>
        </w:rPr>
        <w:t>以及</w:t>
      </w:r>
      <w:r>
        <w:rPr>
          <w:rFonts w:hint="eastAsia"/>
        </w:rPr>
        <w:t>设计、集成服务。</w:t>
      </w:r>
      <w:r>
        <w:rPr>
          <w:rFonts w:hint="eastAsia"/>
          <w:highlight w:val="none"/>
          <w:lang w:val="en-US" w:eastAsia="zh-CN"/>
        </w:rPr>
        <w:t>其中集群所需的128台AI服务器均由采购人提供，AI服务器具体配置详见下文技术要求。</w:t>
      </w:r>
      <w:r>
        <w:rPr>
          <w:rFonts w:hint="eastAsia"/>
        </w:rPr>
        <w:t>投标人需要完成该智算集群所涉及的所有设备</w:t>
      </w:r>
      <w:r>
        <w:rPr>
          <w:rFonts w:hint="eastAsia"/>
          <w:lang w:eastAsia="zh-CN"/>
        </w:rPr>
        <w:t>（</w:t>
      </w:r>
      <w:r>
        <w:rPr>
          <w:rFonts w:hint="eastAsia"/>
          <w:lang w:val="en-US" w:eastAsia="zh-CN"/>
        </w:rPr>
        <w:t>不含AI服务器</w:t>
      </w:r>
      <w:r>
        <w:rPr>
          <w:rFonts w:hint="eastAsia"/>
          <w:lang w:eastAsia="zh-CN"/>
        </w:rPr>
        <w:t>）</w:t>
      </w:r>
      <w:r>
        <w:rPr>
          <w:rFonts w:hint="eastAsia"/>
        </w:rPr>
        <w:t>、材料、软件的采购、安装调试、竣工验收、项目整体移交、缺陷责任修复以及集群</w:t>
      </w:r>
      <w:r>
        <w:rPr>
          <w:rFonts w:hint="eastAsia"/>
          <w:lang w:val="en-US" w:eastAsia="zh-CN"/>
        </w:rPr>
        <w:t>软硬件</w:t>
      </w:r>
      <w:r>
        <w:rPr>
          <w:rFonts w:hint="eastAsia"/>
        </w:rPr>
        <w:t>3年的质保服务等全部工作。</w:t>
      </w:r>
    </w:p>
    <w:p w14:paraId="456B8554">
      <w:pPr>
        <w:widowControl w:val="0"/>
        <w:numPr>
          <w:ilvl w:val="0"/>
          <w:numId w:val="3"/>
        </w:numPr>
        <w:autoSpaceDE w:val="0"/>
        <w:autoSpaceDN w:val="0"/>
        <w:adjustRightInd w:val="0"/>
        <w:snapToGrid w:val="0"/>
        <w:ind w:firstLine="420"/>
      </w:pPr>
      <w:r>
        <w:rPr>
          <w:rFonts w:hint="eastAsia"/>
          <w:lang w:val="en-US" w:eastAsia="zh-CN"/>
        </w:rPr>
        <w:t>运维阶段：项目竣工验收后，提供3年的智算集群运维服务。包括智算集群日常运维保障服务、</w:t>
      </w:r>
      <w:r>
        <w:rPr>
          <w:rFonts w:hint="eastAsia" w:ascii="宋体" w:hAnsi="宋体" w:eastAsia="宋体" w:cs="宋体"/>
          <w:kern w:val="2"/>
          <w:lang w:eastAsia="zh-CN"/>
        </w:rPr>
        <w:t>配套设备备件支持服务</w:t>
      </w:r>
      <w:r>
        <w:rPr>
          <w:rFonts w:hint="eastAsia"/>
        </w:rPr>
        <w:t>。</w:t>
      </w:r>
    </w:p>
    <w:p w14:paraId="57EACDD9">
      <w:pPr>
        <w:widowControl w:val="0"/>
        <w:numPr>
          <w:ilvl w:val="0"/>
          <w:numId w:val="3"/>
        </w:numPr>
        <w:autoSpaceDE w:val="0"/>
        <w:autoSpaceDN w:val="0"/>
        <w:adjustRightInd w:val="0"/>
        <w:snapToGrid w:val="0"/>
        <w:ind w:firstLine="420"/>
        <w:rPr>
          <w:rFonts w:hint="eastAsia" w:ascii="Times New Roman" w:hAnsi="Times New Roman" w:eastAsia="宋体" w:cs="Times New Roman"/>
        </w:rPr>
      </w:pPr>
      <w:r>
        <w:rPr>
          <w:rFonts w:hint="eastAsia" w:cs="Times New Roman"/>
          <w:lang w:val="en-US" w:eastAsia="zh-CN"/>
        </w:rPr>
        <w:t>机房托管服务：投标人提供3年智算资源池部署所需的数据中心机房托管服务</w:t>
      </w:r>
      <w:r>
        <w:rPr>
          <w:rFonts w:hint="eastAsia" w:ascii="Times New Roman" w:hAnsi="Times New Roman" w:eastAsia="宋体" w:cs="Times New Roman"/>
        </w:rPr>
        <w:t>。</w:t>
      </w:r>
    </w:p>
    <w:p w14:paraId="6F0D8027">
      <w:pPr>
        <w:widowControl w:val="0"/>
        <w:numPr>
          <w:ilvl w:val="0"/>
          <w:numId w:val="3"/>
        </w:numPr>
        <w:autoSpaceDE w:val="0"/>
        <w:autoSpaceDN w:val="0"/>
        <w:adjustRightInd w:val="0"/>
        <w:snapToGrid w:val="0"/>
        <w:ind w:firstLine="420"/>
        <w:rPr>
          <w:rFonts w:hint="eastAsia" w:ascii="Times New Roman" w:hAnsi="Times New Roman" w:eastAsia="宋体" w:cs="Times New Roman"/>
        </w:rPr>
      </w:pPr>
      <w:r>
        <w:rPr>
          <w:rFonts w:hint="eastAsia" w:cs="Times New Roman"/>
          <w:lang w:val="en-US" w:eastAsia="zh-CN"/>
        </w:rPr>
        <w:t>智算资源池技术方案由投标人根据本需求书提供的技术、性能、运维SLA要求自行确认，方案须完全满足采购人提出的各项技术要求。</w:t>
      </w:r>
    </w:p>
    <w:p w14:paraId="16DF6291">
      <w:pPr>
        <w:widowControl w:val="0"/>
        <w:numPr>
          <w:ilvl w:val="0"/>
          <w:numId w:val="1"/>
        </w:numPr>
        <w:autoSpaceDE w:val="0"/>
        <w:autoSpaceDN w:val="0"/>
        <w:adjustRightInd w:val="0"/>
        <w:snapToGrid w:val="0"/>
        <w:ind w:left="357" w:hanging="357" w:firstLineChars="0"/>
        <w:jc w:val="left"/>
        <w:outlineLvl w:val="2"/>
        <w:rPr>
          <w:rFonts w:ascii="宋体" w:hAnsi="宋体"/>
          <w:b/>
          <w:bCs/>
          <w:szCs w:val="21"/>
        </w:rPr>
      </w:pPr>
      <w:bookmarkStart w:id="9" w:name="_Toc406669472"/>
      <w:bookmarkStart w:id="10" w:name="_Toc404195400"/>
      <w:r>
        <w:rPr>
          <w:rFonts w:hint="eastAsia" w:ascii="宋体" w:hAnsi="宋体"/>
          <w:b/>
          <w:bCs/>
          <w:szCs w:val="21"/>
        </w:rPr>
        <w:t>项目</w:t>
      </w:r>
      <w:r>
        <w:rPr>
          <w:rFonts w:hint="eastAsia" w:ascii="宋体" w:hAnsi="宋体"/>
          <w:b/>
          <w:bCs/>
          <w:szCs w:val="21"/>
          <w:lang w:val="en-US" w:eastAsia="zh-CN"/>
        </w:rPr>
        <w:t>技术</w:t>
      </w:r>
      <w:r>
        <w:rPr>
          <w:rFonts w:hint="eastAsia" w:ascii="宋体" w:hAnsi="宋体"/>
          <w:b/>
          <w:bCs/>
          <w:szCs w:val="21"/>
        </w:rPr>
        <w:t>服务要求</w:t>
      </w:r>
      <w:bookmarkEnd w:id="9"/>
      <w:bookmarkEnd w:id="10"/>
    </w:p>
    <w:p w14:paraId="5580BFCA">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3"/>
        <w:rPr>
          <w:rFonts w:hint="default"/>
          <w:b/>
          <w:bCs/>
          <w:lang w:val="en-US" w:eastAsia="zh-CN"/>
        </w:rPr>
      </w:pPr>
      <w:r>
        <w:rPr>
          <w:rFonts w:hint="eastAsia"/>
          <w:b/>
          <w:bCs/>
          <w:lang w:val="en-US" w:eastAsia="zh-CN"/>
        </w:rPr>
        <w:t>（一）智算资源池技术要求</w:t>
      </w:r>
    </w:p>
    <w:p w14:paraId="64D8F2D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（1）采购人提供的AI算力服务器技术规格如下：</w:t>
      </w:r>
    </w:p>
    <w:p w14:paraId="7E04E2E0">
      <w:pPr>
        <w:keepNext w:val="0"/>
        <w:keepLines w:val="0"/>
        <w:pageBreakBefore w:val="0"/>
        <w:widowControl w:val="0"/>
        <w:numPr>
          <w:ilvl w:val="0"/>
          <w:numId w:val="4"/>
        </w:numPr>
        <w:kinsoku/>
        <w:wordWrap/>
        <w:overflowPunct/>
        <w:topLinePunct w:val="0"/>
        <w:autoSpaceDE w:val="0"/>
        <w:autoSpaceDN w:val="0"/>
        <w:bidi w:val="0"/>
        <w:adjustRightInd w:val="0"/>
        <w:snapToGrid w:val="0"/>
        <w:ind w:left="420" w:leftChars="0" w:hanging="420" w:firstLineChars="0"/>
        <w:jc w:val="both"/>
        <w:textAlignment w:val="auto"/>
        <w:outlineLvl w:val="9"/>
        <w:rPr>
          <w:rFonts w:hint="default"/>
          <w:b w:val="0"/>
          <w:bCs w:val="0"/>
          <w:lang w:val="en-US" w:eastAsia="zh-CN"/>
        </w:rPr>
      </w:pPr>
      <w:r>
        <w:rPr>
          <w:rFonts w:hint="eastAsia"/>
          <w:b w:val="0"/>
          <w:bCs w:val="0"/>
          <w:lang w:val="en-US" w:eastAsia="zh-CN"/>
        </w:rPr>
        <w:t>AI服务器一（116台，采购人提供）</w:t>
      </w:r>
    </w:p>
    <w:p w14:paraId="12DD08A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highlight w:val="none"/>
          <w:lang w:val="en-US" w:eastAsia="zh-CN"/>
        </w:rPr>
      </w:pPr>
      <w:r>
        <w:rPr>
          <w:rFonts w:hint="eastAsia"/>
          <w:b w:val="0"/>
          <w:bCs w:val="0"/>
          <w:highlight w:val="none"/>
          <w:lang w:val="en-US" w:eastAsia="zh-CN"/>
        </w:rPr>
        <w:t>1）配置4颗国产</w:t>
      </w:r>
      <w:r>
        <w:rPr>
          <w:rFonts w:hint="default"/>
          <w:b w:val="0"/>
          <w:bCs w:val="0"/>
          <w:highlight w:val="none"/>
          <w:lang w:val="en-US" w:eastAsia="zh-CN"/>
        </w:rPr>
        <w:t>CPU</w:t>
      </w:r>
      <w:r>
        <w:rPr>
          <w:rFonts w:hint="default"/>
          <w:b w:val="0"/>
          <w:bCs w:val="0"/>
          <w:highlight w:val="none"/>
          <w:lang w:val="en-US" w:eastAsia="zh-CN"/>
        </w:rPr>
        <w:tab/>
      </w:r>
      <w:r>
        <w:rPr>
          <w:rFonts w:hint="eastAsia"/>
          <w:b w:val="0"/>
          <w:bCs w:val="0"/>
          <w:highlight w:val="none"/>
          <w:lang w:val="en-US" w:eastAsia="zh-CN"/>
        </w:rPr>
        <w:t xml:space="preserve">，单颗CPU </w:t>
      </w:r>
      <w:r>
        <w:rPr>
          <w:rFonts w:hint="default"/>
          <w:b w:val="0"/>
          <w:bCs w:val="0"/>
          <w:highlight w:val="none"/>
          <w:lang w:val="en-US" w:eastAsia="zh-CN"/>
        </w:rPr>
        <w:t>80C</w:t>
      </w:r>
      <w:r>
        <w:rPr>
          <w:rFonts w:hint="eastAsia"/>
          <w:b w:val="0"/>
          <w:bCs w:val="0"/>
          <w:highlight w:val="none"/>
          <w:lang w:val="en-US" w:eastAsia="zh-CN"/>
        </w:rPr>
        <w:t>，</w:t>
      </w:r>
      <w:r>
        <w:rPr>
          <w:rFonts w:hint="default"/>
          <w:b w:val="0"/>
          <w:bCs w:val="0"/>
          <w:highlight w:val="none"/>
          <w:lang w:val="en-US" w:eastAsia="zh-CN"/>
        </w:rPr>
        <w:t>主频2.9GHz</w:t>
      </w:r>
      <w:r>
        <w:rPr>
          <w:rFonts w:hint="eastAsia"/>
          <w:b w:val="0"/>
          <w:bCs w:val="0"/>
          <w:highlight w:val="none"/>
          <w:lang w:val="en-US" w:eastAsia="zh-CN"/>
        </w:rPr>
        <w:t>；</w:t>
      </w:r>
    </w:p>
    <w:p w14:paraId="01FE236E">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2）配置8张AI算力卡，</w:t>
      </w:r>
      <w:r>
        <w:rPr>
          <w:rFonts w:hint="default"/>
          <w:b w:val="0"/>
          <w:bCs w:val="0"/>
          <w:highlight w:val="none"/>
          <w:lang w:val="en-US" w:eastAsia="zh-CN"/>
        </w:rPr>
        <w:t>单卡算力560TFLOPS @FP16，单卡显存128GB</w:t>
      </w:r>
      <w:r>
        <w:rPr>
          <w:rFonts w:hint="eastAsia"/>
          <w:b w:val="0"/>
          <w:bCs w:val="0"/>
          <w:highlight w:val="none"/>
          <w:lang w:val="en-US" w:eastAsia="zh-CN"/>
        </w:rPr>
        <w:t>；</w:t>
      </w:r>
    </w:p>
    <w:p w14:paraId="27F8F09B">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3）配置</w:t>
      </w:r>
      <w:r>
        <w:rPr>
          <w:rFonts w:hint="default"/>
          <w:b w:val="0"/>
          <w:bCs w:val="0"/>
          <w:highlight w:val="none"/>
          <w:lang w:val="en-US" w:eastAsia="zh-CN"/>
        </w:rPr>
        <w:t>内存</w:t>
      </w:r>
      <w:r>
        <w:rPr>
          <w:rFonts w:hint="default"/>
          <w:b w:val="0"/>
          <w:bCs w:val="0"/>
          <w:highlight w:val="none"/>
          <w:lang w:val="en-US" w:eastAsia="zh-CN"/>
        </w:rPr>
        <w:tab/>
      </w:r>
      <w:r>
        <w:rPr>
          <w:rFonts w:hint="eastAsia"/>
          <w:b w:val="0"/>
          <w:bCs w:val="0"/>
          <w:highlight w:val="none"/>
          <w:lang w:val="en-US" w:eastAsia="zh-CN"/>
        </w:rPr>
        <w:t>32条</w:t>
      </w:r>
      <w:r>
        <w:rPr>
          <w:rFonts w:hint="default"/>
          <w:b w:val="0"/>
          <w:bCs w:val="0"/>
          <w:highlight w:val="none"/>
          <w:lang w:val="en-US" w:eastAsia="zh-CN"/>
        </w:rPr>
        <w:t>DDR5</w:t>
      </w:r>
      <w:r>
        <w:rPr>
          <w:rFonts w:hint="eastAsia"/>
          <w:b w:val="0"/>
          <w:bCs w:val="0"/>
          <w:highlight w:val="none"/>
          <w:lang w:val="en-US" w:eastAsia="zh-CN"/>
        </w:rPr>
        <w:t>-</w:t>
      </w:r>
      <w:r>
        <w:rPr>
          <w:rFonts w:hint="default"/>
          <w:b w:val="0"/>
          <w:bCs w:val="0"/>
          <w:highlight w:val="none"/>
          <w:lang w:val="en-US" w:eastAsia="zh-CN"/>
        </w:rPr>
        <w:t>5600</w:t>
      </w:r>
      <w:r>
        <w:rPr>
          <w:rFonts w:hint="eastAsia"/>
          <w:b w:val="0"/>
          <w:bCs w:val="0"/>
          <w:highlight w:val="none"/>
          <w:lang w:val="en-US" w:eastAsia="zh-CN"/>
        </w:rPr>
        <w:t>内存条，内存条容量为</w:t>
      </w:r>
      <w:r>
        <w:rPr>
          <w:rFonts w:hint="default"/>
          <w:b w:val="0"/>
          <w:bCs w:val="0"/>
          <w:highlight w:val="none"/>
          <w:lang w:val="en-US" w:eastAsia="zh-CN"/>
        </w:rPr>
        <w:t>32G</w:t>
      </w:r>
      <w:r>
        <w:rPr>
          <w:rFonts w:hint="eastAsia"/>
          <w:b w:val="0"/>
          <w:bCs w:val="0"/>
          <w:highlight w:val="none"/>
          <w:lang w:val="en-US" w:eastAsia="zh-CN"/>
        </w:rPr>
        <w:t>或64G；</w:t>
      </w:r>
    </w:p>
    <w:p w14:paraId="12F3DF47">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highlight w:val="none"/>
          <w:lang w:val="en-US" w:eastAsia="zh-CN"/>
        </w:rPr>
      </w:pPr>
      <w:r>
        <w:rPr>
          <w:rFonts w:hint="eastAsia"/>
          <w:b w:val="0"/>
          <w:bCs w:val="0"/>
          <w:highlight w:val="none"/>
          <w:lang w:val="en-US" w:eastAsia="zh-CN"/>
        </w:rPr>
        <w:t xml:space="preserve">4）配置系统盘2块480GB </w:t>
      </w:r>
      <w:r>
        <w:rPr>
          <w:rFonts w:hint="default"/>
          <w:b w:val="0"/>
          <w:bCs w:val="0"/>
          <w:highlight w:val="none"/>
          <w:lang w:val="en-US" w:eastAsia="zh-CN"/>
        </w:rPr>
        <w:t>SSD</w:t>
      </w:r>
      <w:r>
        <w:rPr>
          <w:rFonts w:hint="eastAsia"/>
          <w:b w:val="0"/>
          <w:bCs w:val="0"/>
          <w:highlight w:val="none"/>
          <w:lang w:val="en-US" w:eastAsia="zh-CN"/>
        </w:rPr>
        <w:t xml:space="preserve"> </w:t>
      </w:r>
      <w:r>
        <w:rPr>
          <w:rFonts w:hint="default"/>
          <w:b w:val="0"/>
          <w:bCs w:val="0"/>
          <w:highlight w:val="none"/>
          <w:lang w:val="en-US" w:eastAsia="zh-CN"/>
        </w:rPr>
        <w:t>SATA</w:t>
      </w:r>
      <w:r>
        <w:rPr>
          <w:rFonts w:hint="eastAsia"/>
          <w:b w:val="0"/>
          <w:bCs w:val="0"/>
          <w:highlight w:val="none"/>
          <w:lang w:val="en-US" w:eastAsia="zh-CN"/>
        </w:rPr>
        <w:t>盘；</w:t>
      </w:r>
    </w:p>
    <w:p w14:paraId="36012A47">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 xml:space="preserve">5）配置数据盘4块或2块3.84TB SSD </w:t>
      </w:r>
      <w:r>
        <w:rPr>
          <w:rFonts w:hint="default"/>
          <w:b w:val="0"/>
          <w:bCs w:val="0"/>
          <w:highlight w:val="none"/>
          <w:lang w:val="en-US" w:eastAsia="zh-CN"/>
        </w:rPr>
        <w:t>NVME</w:t>
      </w:r>
      <w:r>
        <w:rPr>
          <w:rFonts w:hint="default"/>
          <w:b w:val="0"/>
          <w:bCs w:val="0"/>
          <w:highlight w:val="none"/>
          <w:lang w:val="en-US" w:eastAsia="zh-CN"/>
        </w:rPr>
        <w:tab/>
      </w:r>
      <w:r>
        <w:rPr>
          <w:rFonts w:hint="eastAsia"/>
          <w:b w:val="0"/>
          <w:bCs w:val="0"/>
          <w:highlight w:val="none"/>
          <w:lang w:val="en-US" w:eastAsia="zh-CN"/>
        </w:rPr>
        <w:t>盘；</w:t>
      </w:r>
    </w:p>
    <w:p w14:paraId="427F788F">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6）配置</w:t>
      </w:r>
      <w:r>
        <w:rPr>
          <w:rFonts w:hint="default"/>
          <w:b w:val="0"/>
          <w:bCs w:val="0"/>
          <w:highlight w:val="none"/>
          <w:lang w:val="en-US" w:eastAsia="zh-CN"/>
        </w:rPr>
        <w:t>RAID卡</w:t>
      </w:r>
      <w:r>
        <w:rPr>
          <w:rFonts w:hint="eastAsia"/>
          <w:b w:val="0"/>
          <w:bCs w:val="0"/>
          <w:highlight w:val="none"/>
          <w:lang w:val="en-US" w:eastAsia="zh-CN"/>
        </w:rPr>
        <w:t>1张；</w:t>
      </w:r>
    </w:p>
    <w:p w14:paraId="0AF5677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7）配置</w:t>
      </w:r>
      <w:r>
        <w:rPr>
          <w:rFonts w:hint="default"/>
          <w:b w:val="0"/>
          <w:bCs w:val="0"/>
          <w:highlight w:val="none"/>
          <w:lang w:val="en-US" w:eastAsia="zh-CN"/>
        </w:rPr>
        <w:tab/>
      </w:r>
      <w:r>
        <w:rPr>
          <w:rFonts w:hint="default"/>
          <w:b w:val="0"/>
          <w:bCs w:val="0"/>
          <w:highlight w:val="none"/>
          <w:lang w:val="en-US" w:eastAsia="zh-CN"/>
        </w:rPr>
        <w:t>3KW热拔插电源模块</w:t>
      </w:r>
      <w:r>
        <w:rPr>
          <w:rFonts w:hint="default"/>
          <w:b w:val="0"/>
          <w:bCs w:val="0"/>
          <w:highlight w:val="none"/>
          <w:lang w:val="en-US" w:eastAsia="zh-CN"/>
        </w:rPr>
        <w:tab/>
      </w:r>
      <w:r>
        <w:rPr>
          <w:rFonts w:hint="eastAsia"/>
          <w:b w:val="0"/>
          <w:bCs w:val="0"/>
          <w:highlight w:val="none"/>
          <w:lang w:val="en-US" w:eastAsia="zh-CN"/>
        </w:rPr>
        <w:t>6个；</w:t>
      </w:r>
    </w:p>
    <w:p w14:paraId="3523A3C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highlight w:val="none"/>
          <w:lang w:val="en-US" w:eastAsia="zh-CN"/>
        </w:rPr>
      </w:pPr>
      <w:r>
        <w:rPr>
          <w:rFonts w:hint="eastAsia"/>
          <w:b w:val="0"/>
          <w:bCs w:val="0"/>
          <w:highlight w:val="none"/>
          <w:lang w:val="en-US" w:eastAsia="zh-CN"/>
        </w:rPr>
        <w:t>8）配置</w:t>
      </w:r>
      <w:r>
        <w:rPr>
          <w:rFonts w:hint="default"/>
          <w:b w:val="0"/>
          <w:bCs w:val="0"/>
          <w:highlight w:val="none"/>
          <w:lang w:val="en-US" w:eastAsia="zh-CN"/>
        </w:rPr>
        <w:tab/>
      </w:r>
      <w:r>
        <w:rPr>
          <w:rFonts w:hint="default"/>
          <w:b w:val="0"/>
          <w:bCs w:val="0"/>
          <w:highlight w:val="none"/>
          <w:lang w:val="en-US" w:eastAsia="zh-CN"/>
        </w:rPr>
        <w:t>参数面</w:t>
      </w:r>
      <w:r>
        <w:rPr>
          <w:rFonts w:hint="eastAsia"/>
          <w:b w:val="0"/>
          <w:bCs w:val="0"/>
          <w:highlight w:val="none"/>
          <w:lang w:val="en-US" w:eastAsia="zh-CN"/>
        </w:rPr>
        <w:t>网络接口</w:t>
      </w:r>
      <w:r>
        <w:rPr>
          <w:rFonts w:hint="default"/>
          <w:b w:val="0"/>
          <w:bCs w:val="0"/>
          <w:highlight w:val="none"/>
          <w:lang w:val="en-US" w:eastAsia="zh-CN"/>
        </w:rPr>
        <w:t>8*400GE QSFP-DD直出，</w:t>
      </w:r>
      <w:r>
        <w:rPr>
          <w:rFonts w:hint="eastAsia"/>
          <w:b w:val="0"/>
          <w:bCs w:val="0"/>
          <w:highlight w:val="none"/>
          <w:lang w:val="en-US" w:eastAsia="zh-CN"/>
        </w:rPr>
        <w:t>支持</w:t>
      </w:r>
      <w:r>
        <w:rPr>
          <w:rFonts w:hint="default"/>
          <w:b w:val="0"/>
          <w:bCs w:val="0"/>
          <w:highlight w:val="none"/>
          <w:lang w:val="en-US" w:eastAsia="zh-CN"/>
        </w:rPr>
        <w:t>RoCE协议</w:t>
      </w:r>
      <w:r>
        <w:rPr>
          <w:rFonts w:hint="eastAsia"/>
          <w:b w:val="0"/>
          <w:bCs w:val="0"/>
          <w:highlight w:val="none"/>
          <w:lang w:val="en-US" w:eastAsia="zh-CN"/>
        </w:rPr>
        <w:t>（含光模块）；</w:t>
      </w:r>
    </w:p>
    <w:p w14:paraId="04A166AA">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9）配置</w:t>
      </w:r>
      <w:r>
        <w:rPr>
          <w:rFonts w:hint="default"/>
          <w:b w:val="0"/>
          <w:bCs w:val="0"/>
          <w:highlight w:val="none"/>
          <w:lang w:val="en-US" w:eastAsia="zh-CN"/>
        </w:rPr>
        <w:tab/>
      </w:r>
      <w:r>
        <w:rPr>
          <w:rFonts w:hint="eastAsia"/>
          <w:b w:val="0"/>
          <w:bCs w:val="0"/>
          <w:highlight w:val="none"/>
          <w:lang w:val="en-US" w:eastAsia="zh-CN"/>
        </w:rPr>
        <w:t>超平面网络接口56</w:t>
      </w:r>
      <w:r>
        <w:rPr>
          <w:rFonts w:hint="default"/>
          <w:b w:val="0"/>
          <w:bCs w:val="0"/>
          <w:highlight w:val="none"/>
          <w:lang w:val="en-US" w:eastAsia="zh-CN"/>
        </w:rPr>
        <w:t>*400GE</w:t>
      </w:r>
      <w:r>
        <w:rPr>
          <w:rFonts w:hint="eastAsia"/>
          <w:b w:val="0"/>
          <w:bCs w:val="0"/>
          <w:highlight w:val="none"/>
          <w:lang w:val="en-US" w:eastAsia="zh-CN"/>
        </w:rPr>
        <w:t>接口（含光模块）</w:t>
      </w:r>
      <w:r>
        <w:rPr>
          <w:rFonts w:hint="eastAsia"/>
          <w:b w:val="0"/>
          <w:bCs w:val="0"/>
          <w:highlight w:val="none"/>
          <w:shd w:val="clear"/>
          <w:lang w:val="en-US" w:eastAsia="zh-CN"/>
        </w:rPr>
        <w:t>；</w:t>
      </w:r>
    </w:p>
    <w:p w14:paraId="64C8B23D">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10）配置样本面网络接口2</w:t>
      </w:r>
      <w:r>
        <w:rPr>
          <w:rFonts w:hint="default"/>
          <w:b w:val="0"/>
          <w:bCs w:val="0"/>
          <w:lang w:val="en-US" w:eastAsia="zh-CN"/>
        </w:rPr>
        <w:t>*100G</w:t>
      </w:r>
      <w:r>
        <w:rPr>
          <w:rFonts w:hint="eastAsia"/>
          <w:b w:val="0"/>
          <w:bCs w:val="0"/>
          <w:lang w:val="en-US" w:eastAsia="zh-CN"/>
        </w:rPr>
        <w:t>E端口（含光模块）；</w:t>
      </w:r>
    </w:p>
    <w:p w14:paraId="16B00BA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11）配置业务面网络接口</w:t>
      </w:r>
      <w:r>
        <w:rPr>
          <w:rFonts w:hint="default"/>
          <w:b w:val="0"/>
          <w:bCs w:val="0"/>
          <w:lang w:val="en-US" w:eastAsia="zh-CN"/>
        </w:rPr>
        <w:t>2*25G</w:t>
      </w:r>
      <w:r>
        <w:rPr>
          <w:rFonts w:hint="eastAsia"/>
          <w:b w:val="0"/>
          <w:bCs w:val="0"/>
          <w:lang w:val="en-US" w:eastAsia="zh-CN"/>
        </w:rPr>
        <w:t>端口（含光模块）；</w:t>
      </w:r>
    </w:p>
    <w:p w14:paraId="68CAB21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12）AI服务器采用风冷制冷；</w:t>
      </w:r>
    </w:p>
    <w:p w14:paraId="603FD4DE">
      <w:pPr>
        <w:keepNext w:val="0"/>
        <w:keepLines w:val="0"/>
        <w:pageBreakBefore w:val="0"/>
        <w:widowControl w:val="0"/>
        <w:numPr>
          <w:ilvl w:val="0"/>
          <w:numId w:val="4"/>
        </w:numPr>
        <w:kinsoku/>
        <w:wordWrap/>
        <w:overflowPunct/>
        <w:topLinePunct w:val="0"/>
        <w:autoSpaceDE w:val="0"/>
        <w:autoSpaceDN w:val="0"/>
        <w:bidi w:val="0"/>
        <w:adjustRightInd w:val="0"/>
        <w:snapToGrid w:val="0"/>
        <w:ind w:left="420" w:leftChars="0" w:hanging="420" w:firstLineChars="0"/>
        <w:jc w:val="both"/>
        <w:textAlignment w:val="auto"/>
        <w:outlineLvl w:val="9"/>
        <w:rPr>
          <w:rFonts w:hint="default"/>
          <w:b w:val="0"/>
          <w:bCs w:val="0"/>
          <w:lang w:val="en-US" w:eastAsia="zh-CN"/>
        </w:rPr>
      </w:pPr>
      <w:r>
        <w:rPr>
          <w:rFonts w:hint="eastAsia"/>
          <w:b w:val="0"/>
          <w:bCs w:val="0"/>
          <w:lang w:val="en-US" w:eastAsia="zh-CN"/>
        </w:rPr>
        <w:t>AI服务器二（12台，采购人提供）</w:t>
      </w:r>
    </w:p>
    <w:p w14:paraId="7B81DDCA">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1）配置4颗</w:t>
      </w:r>
      <w:r>
        <w:rPr>
          <w:rFonts w:hint="default"/>
          <w:b w:val="0"/>
          <w:bCs w:val="0"/>
          <w:lang w:val="en-US" w:eastAsia="zh-CN"/>
        </w:rPr>
        <w:t>鲲鹏CPU</w:t>
      </w:r>
      <w:r>
        <w:rPr>
          <w:rFonts w:hint="default"/>
          <w:b w:val="0"/>
          <w:bCs w:val="0"/>
          <w:lang w:val="en-US" w:eastAsia="zh-CN"/>
        </w:rPr>
        <w:tab/>
      </w:r>
      <w:r>
        <w:rPr>
          <w:rFonts w:hint="eastAsia"/>
          <w:b w:val="0"/>
          <w:bCs w:val="0"/>
          <w:lang w:val="en-US" w:eastAsia="zh-CN"/>
        </w:rPr>
        <w:t xml:space="preserve">，单颗CPU </w:t>
      </w:r>
      <w:r>
        <w:rPr>
          <w:rFonts w:hint="default"/>
          <w:b w:val="0"/>
          <w:bCs w:val="0"/>
          <w:lang w:val="en-US" w:eastAsia="zh-CN"/>
        </w:rPr>
        <w:t>80C</w:t>
      </w:r>
      <w:r>
        <w:rPr>
          <w:rFonts w:hint="eastAsia"/>
          <w:b w:val="0"/>
          <w:bCs w:val="0"/>
          <w:lang w:val="en-US" w:eastAsia="zh-CN"/>
        </w:rPr>
        <w:t>，</w:t>
      </w:r>
      <w:r>
        <w:rPr>
          <w:rFonts w:hint="default"/>
          <w:b w:val="0"/>
          <w:bCs w:val="0"/>
          <w:lang w:val="en-US" w:eastAsia="zh-CN"/>
        </w:rPr>
        <w:t>主频2.9GHz</w:t>
      </w:r>
      <w:r>
        <w:rPr>
          <w:rFonts w:hint="eastAsia"/>
          <w:b w:val="0"/>
          <w:bCs w:val="0"/>
          <w:lang w:val="en-US" w:eastAsia="zh-CN"/>
        </w:rPr>
        <w:t>；</w:t>
      </w:r>
    </w:p>
    <w:p w14:paraId="4583376B">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2）配置8张AI算力卡，</w:t>
      </w:r>
      <w:r>
        <w:rPr>
          <w:rFonts w:hint="default"/>
          <w:b w:val="0"/>
          <w:bCs w:val="0"/>
          <w:lang w:val="en-US" w:eastAsia="zh-CN"/>
        </w:rPr>
        <w:t>单卡算力560TFLOPS @FP16，单卡显存128GB</w:t>
      </w:r>
      <w:r>
        <w:rPr>
          <w:rFonts w:hint="eastAsia"/>
          <w:b w:val="0"/>
          <w:bCs w:val="0"/>
          <w:lang w:val="en-US" w:eastAsia="zh-CN"/>
        </w:rPr>
        <w:t>；</w:t>
      </w:r>
    </w:p>
    <w:p w14:paraId="027F414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3）配置</w:t>
      </w:r>
      <w:r>
        <w:rPr>
          <w:rFonts w:hint="default"/>
          <w:b w:val="0"/>
          <w:bCs w:val="0"/>
          <w:lang w:val="en-US" w:eastAsia="zh-CN"/>
        </w:rPr>
        <w:t>内存</w:t>
      </w:r>
      <w:r>
        <w:rPr>
          <w:rFonts w:hint="default"/>
          <w:b w:val="0"/>
          <w:bCs w:val="0"/>
          <w:lang w:val="en-US" w:eastAsia="zh-CN"/>
        </w:rPr>
        <w:tab/>
      </w:r>
      <w:r>
        <w:rPr>
          <w:rFonts w:hint="eastAsia"/>
          <w:b w:val="0"/>
          <w:bCs w:val="0"/>
          <w:lang w:val="en-US" w:eastAsia="zh-CN"/>
        </w:rPr>
        <w:t>32条</w:t>
      </w:r>
      <w:r>
        <w:rPr>
          <w:rFonts w:hint="default"/>
          <w:b w:val="0"/>
          <w:bCs w:val="0"/>
          <w:lang w:val="en-US" w:eastAsia="zh-CN"/>
        </w:rPr>
        <w:t>DDR5</w:t>
      </w:r>
      <w:r>
        <w:rPr>
          <w:rFonts w:hint="eastAsia"/>
          <w:b w:val="0"/>
          <w:bCs w:val="0"/>
          <w:lang w:val="en-US" w:eastAsia="zh-CN"/>
        </w:rPr>
        <w:t>-</w:t>
      </w:r>
      <w:r>
        <w:rPr>
          <w:rFonts w:hint="default"/>
          <w:b w:val="0"/>
          <w:bCs w:val="0"/>
          <w:lang w:val="en-US" w:eastAsia="zh-CN"/>
        </w:rPr>
        <w:t>5600</w:t>
      </w:r>
      <w:r>
        <w:rPr>
          <w:rFonts w:hint="eastAsia"/>
          <w:b w:val="0"/>
          <w:bCs w:val="0"/>
          <w:lang w:val="en-US" w:eastAsia="zh-CN"/>
        </w:rPr>
        <w:t>内存条，</w:t>
      </w:r>
      <w:r>
        <w:rPr>
          <w:rFonts w:hint="eastAsia"/>
          <w:b w:val="0"/>
          <w:bCs w:val="0"/>
          <w:highlight w:val="none"/>
          <w:lang w:val="en-US" w:eastAsia="zh-CN"/>
        </w:rPr>
        <w:t>内存条容量为32G或64G；</w:t>
      </w:r>
    </w:p>
    <w:p w14:paraId="04EC948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 xml:space="preserve">4）配置系统盘2块480GB </w:t>
      </w:r>
      <w:r>
        <w:rPr>
          <w:rFonts w:hint="default"/>
          <w:b w:val="0"/>
          <w:bCs w:val="0"/>
          <w:lang w:val="en-US" w:eastAsia="zh-CN"/>
        </w:rPr>
        <w:t>SSD</w:t>
      </w:r>
      <w:r>
        <w:rPr>
          <w:rFonts w:hint="eastAsia"/>
          <w:b w:val="0"/>
          <w:bCs w:val="0"/>
          <w:lang w:val="en-US" w:eastAsia="zh-CN"/>
        </w:rPr>
        <w:t xml:space="preserve"> </w:t>
      </w:r>
      <w:r>
        <w:rPr>
          <w:rFonts w:hint="default"/>
          <w:b w:val="0"/>
          <w:bCs w:val="0"/>
          <w:lang w:val="en-US" w:eastAsia="zh-CN"/>
        </w:rPr>
        <w:t>SATA</w:t>
      </w:r>
      <w:r>
        <w:rPr>
          <w:rFonts w:hint="eastAsia"/>
          <w:b w:val="0"/>
          <w:bCs w:val="0"/>
          <w:lang w:val="en-US" w:eastAsia="zh-CN"/>
        </w:rPr>
        <w:t>盘；</w:t>
      </w:r>
    </w:p>
    <w:p w14:paraId="54BB7051">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5）</w:t>
      </w:r>
      <w:r>
        <w:rPr>
          <w:rFonts w:hint="eastAsia"/>
          <w:b w:val="0"/>
          <w:bCs w:val="0"/>
          <w:highlight w:val="none"/>
          <w:lang w:val="en-US" w:eastAsia="zh-CN"/>
        </w:rPr>
        <w:t xml:space="preserve">配置数据盘4块3.84TB SSD </w:t>
      </w:r>
      <w:r>
        <w:rPr>
          <w:rFonts w:hint="default"/>
          <w:b w:val="0"/>
          <w:bCs w:val="0"/>
          <w:highlight w:val="none"/>
          <w:lang w:val="en-US" w:eastAsia="zh-CN"/>
        </w:rPr>
        <w:t>NVME</w:t>
      </w:r>
      <w:r>
        <w:rPr>
          <w:rFonts w:hint="default"/>
          <w:b w:val="0"/>
          <w:bCs w:val="0"/>
          <w:highlight w:val="none"/>
          <w:lang w:val="en-US" w:eastAsia="zh-CN"/>
        </w:rPr>
        <w:tab/>
      </w:r>
      <w:r>
        <w:rPr>
          <w:rFonts w:hint="eastAsia"/>
          <w:b w:val="0"/>
          <w:bCs w:val="0"/>
          <w:highlight w:val="none"/>
          <w:lang w:val="en-US" w:eastAsia="zh-CN"/>
        </w:rPr>
        <w:t>盘；</w:t>
      </w:r>
    </w:p>
    <w:p w14:paraId="50C991D9">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6）配置</w:t>
      </w:r>
      <w:r>
        <w:rPr>
          <w:rFonts w:hint="default"/>
          <w:b w:val="0"/>
          <w:bCs w:val="0"/>
          <w:lang w:val="en-US" w:eastAsia="zh-CN"/>
        </w:rPr>
        <w:t>RAID卡</w:t>
      </w:r>
      <w:r>
        <w:rPr>
          <w:rFonts w:hint="eastAsia"/>
          <w:b w:val="0"/>
          <w:bCs w:val="0"/>
          <w:lang w:val="en-US" w:eastAsia="zh-CN"/>
        </w:rPr>
        <w:t>1张；</w:t>
      </w:r>
    </w:p>
    <w:p w14:paraId="0D53F458">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7）配置</w:t>
      </w:r>
      <w:r>
        <w:rPr>
          <w:rFonts w:hint="default"/>
          <w:b w:val="0"/>
          <w:bCs w:val="0"/>
          <w:lang w:val="en-US" w:eastAsia="zh-CN"/>
        </w:rPr>
        <w:tab/>
      </w:r>
      <w:r>
        <w:rPr>
          <w:rFonts w:hint="default"/>
          <w:b w:val="0"/>
          <w:bCs w:val="0"/>
          <w:lang w:val="en-US" w:eastAsia="zh-CN"/>
        </w:rPr>
        <w:t>3KW热拔插电源模块</w:t>
      </w:r>
      <w:r>
        <w:rPr>
          <w:rFonts w:hint="default"/>
          <w:b w:val="0"/>
          <w:bCs w:val="0"/>
          <w:lang w:val="en-US" w:eastAsia="zh-CN"/>
        </w:rPr>
        <w:tab/>
      </w:r>
      <w:r>
        <w:rPr>
          <w:rFonts w:hint="eastAsia"/>
          <w:b w:val="0"/>
          <w:bCs w:val="0"/>
          <w:lang w:val="en-US" w:eastAsia="zh-CN"/>
        </w:rPr>
        <w:t>6个；</w:t>
      </w:r>
    </w:p>
    <w:p w14:paraId="3F12C15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8）配置</w:t>
      </w:r>
      <w:r>
        <w:rPr>
          <w:rFonts w:hint="default"/>
          <w:b w:val="0"/>
          <w:bCs w:val="0"/>
          <w:highlight w:val="none"/>
          <w:lang w:val="en-US" w:eastAsia="zh-CN"/>
        </w:rPr>
        <w:tab/>
      </w:r>
      <w:r>
        <w:rPr>
          <w:rFonts w:hint="default"/>
          <w:b w:val="0"/>
          <w:bCs w:val="0"/>
          <w:highlight w:val="none"/>
          <w:lang w:val="en-US" w:eastAsia="zh-CN"/>
        </w:rPr>
        <w:t>参数面</w:t>
      </w:r>
      <w:r>
        <w:rPr>
          <w:rFonts w:hint="eastAsia"/>
          <w:b w:val="0"/>
          <w:bCs w:val="0"/>
          <w:highlight w:val="none"/>
          <w:lang w:val="en-US" w:eastAsia="zh-CN"/>
        </w:rPr>
        <w:t>网络接口</w:t>
      </w:r>
      <w:r>
        <w:rPr>
          <w:rFonts w:hint="default"/>
          <w:b w:val="0"/>
          <w:bCs w:val="0"/>
          <w:highlight w:val="none"/>
          <w:lang w:val="en-US" w:eastAsia="zh-CN"/>
        </w:rPr>
        <w:t>8*400GE QSFP-DD直出，</w:t>
      </w:r>
      <w:r>
        <w:rPr>
          <w:rFonts w:hint="eastAsia"/>
          <w:b w:val="0"/>
          <w:bCs w:val="0"/>
          <w:highlight w:val="none"/>
          <w:lang w:val="en-US" w:eastAsia="zh-CN"/>
        </w:rPr>
        <w:t>支持</w:t>
      </w:r>
      <w:r>
        <w:rPr>
          <w:rFonts w:hint="default"/>
          <w:b w:val="0"/>
          <w:bCs w:val="0"/>
          <w:highlight w:val="none"/>
          <w:lang w:val="en-US" w:eastAsia="zh-CN"/>
        </w:rPr>
        <w:t>RoCE协议</w:t>
      </w:r>
      <w:r>
        <w:rPr>
          <w:rFonts w:hint="eastAsia"/>
          <w:b w:val="0"/>
          <w:bCs w:val="0"/>
          <w:highlight w:val="none"/>
          <w:lang w:val="en-US" w:eastAsia="zh-CN"/>
        </w:rPr>
        <w:t>（含光模块）；</w:t>
      </w:r>
    </w:p>
    <w:p w14:paraId="06109B0C">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9）配置样本面网络接口2</w:t>
      </w:r>
      <w:r>
        <w:rPr>
          <w:rFonts w:hint="default"/>
          <w:b w:val="0"/>
          <w:bCs w:val="0"/>
          <w:lang w:val="en-US" w:eastAsia="zh-CN"/>
        </w:rPr>
        <w:t>*100G</w:t>
      </w:r>
      <w:r>
        <w:rPr>
          <w:rFonts w:hint="eastAsia"/>
          <w:b w:val="0"/>
          <w:bCs w:val="0"/>
          <w:lang w:val="en-US" w:eastAsia="zh-CN"/>
        </w:rPr>
        <w:t>E端口（含光模块）；</w:t>
      </w:r>
    </w:p>
    <w:p w14:paraId="60E241EA">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10）配置业务面网络接口</w:t>
      </w:r>
      <w:r>
        <w:rPr>
          <w:rFonts w:hint="default"/>
          <w:b w:val="0"/>
          <w:bCs w:val="0"/>
          <w:lang w:val="en-US" w:eastAsia="zh-CN"/>
        </w:rPr>
        <w:t>2*25G</w:t>
      </w:r>
      <w:r>
        <w:rPr>
          <w:rFonts w:hint="eastAsia"/>
          <w:b w:val="0"/>
          <w:bCs w:val="0"/>
          <w:lang w:val="en-US" w:eastAsia="zh-CN"/>
        </w:rPr>
        <w:t>端口（含光模块）；</w:t>
      </w:r>
    </w:p>
    <w:p w14:paraId="69013D5F">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11）AI服务器采用风冷制冷；</w:t>
      </w:r>
    </w:p>
    <w:p w14:paraId="73F53EA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（3）参数面网络技术要求：针对AI服务器一和服务器二组建400G RoCE组网，网络无收敛；</w:t>
      </w:r>
    </w:p>
    <w:p w14:paraId="2BF6DC5E">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（4）AI服务器一并机互联网络：针对AI服务器一按照双台56*400G互联组网。</w:t>
      </w:r>
    </w:p>
    <w:p w14:paraId="1A3D09DD">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（5）集群可靠性和指标：</w:t>
      </w:r>
    </w:p>
    <w:p w14:paraId="23041D87">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1）</w:t>
      </w:r>
      <w:r>
        <w:rPr>
          <w:rFonts w:hint="eastAsia"/>
          <w:b w:val="0"/>
          <w:bCs w:val="0"/>
          <w:highlight w:val="none"/>
          <w:lang w:val="en-US" w:eastAsia="zh-CN"/>
        </w:rPr>
        <w:t>集群可用率大于等于95%</w:t>
      </w:r>
      <w:r>
        <w:rPr>
          <w:rFonts w:hint="eastAsia"/>
          <w:b w:val="0"/>
          <w:bCs w:val="0"/>
          <w:lang w:val="en-US" w:eastAsia="zh-CN"/>
        </w:rPr>
        <w:t>（1-（服务周期内总不可用算力卡时数/服务周期内总承诺算力卡时数））；</w:t>
      </w:r>
      <w:r>
        <w:rPr>
          <w:rFonts w:hint="eastAsia"/>
          <w:b w:val="0"/>
          <w:bCs w:val="0"/>
          <w:highlight w:val="none"/>
          <w:lang w:val="en-US" w:eastAsia="zh-CN"/>
        </w:rPr>
        <w:t>采购人提供的AI服务器质量故障不计入上述公式。</w:t>
      </w:r>
    </w:p>
    <w:p w14:paraId="1DAB53D9">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2）参数面网络可靠性高达99.95%；</w:t>
      </w:r>
    </w:p>
    <w:p w14:paraId="594E566C">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3）确保资源无感扩容，重大的扩容变更影响时长不超过半小时；</w:t>
      </w:r>
    </w:p>
    <w:p w14:paraId="4192BA16">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（6）冗余设计要求：设备级冗余：核心设备主备（包含交换机等）；服务器电源和风扇均有冗余；网络冗余：单点光模块或者交换机故障不影响训练效率；专线网络电芯主备；</w:t>
      </w:r>
    </w:p>
    <w:p w14:paraId="01C06BAA">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（7）数据高可用要求：数据容灾：存储支持EC存储，服务器系统盘raid1；数据恢复：存储支持回收站功能，支持异常删除恢复；</w:t>
      </w:r>
    </w:p>
    <w:p w14:paraId="42AD30AB">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（8）网络可靠性：网络服务可靠性：防DDoS攻击等常见的网络攻击手段，并能自动恢复；</w:t>
      </w:r>
    </w:p>
    <w:p w14:paraId="43E1F19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（9）质保要求：软硬件提供3年有效质保；</w:t>
      </w:r>
    </w:p>
    <w:p w14:paraId="5566092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（10）运维要求：</w:t>
      </w:r>
    </w:p>
    <w:p w14:paraId="4D0794A9">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1）资产生命周期管理：</w:t>
      </w:r>
    </w:p>
    <w:p w14:paraId="4B8D4218">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①采购和部署：采购部署内容项包含服务器，网络等，对应的硬件选型规格需和业务需求匹配，采购部署交付周期也得和业务需求匹配。部署完成需严格执行验收流程（性能测试、稳定性验证）；</w:t>
      </w:r>
    </w:p>
    <w:p w14:paraId="6C518D78">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②标签与台账：协助采购人对所有硬件贴标签（资产编号、型号、部署位置），建立台账并与硬件监控系统联动。</w:t>
      </w:r>
    </w:p>
    <w:p w14:paraId="4FCEB37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③维护与退役：定期巡检，巡检周期一天一次，巡检内容包含机房温湿度、机柜电源、空调状态），如有异常需通知租户后解决。制定一些预防性维护计划（如检修，消防等），淘汰硬件需经过采购人同意后才能清除数据并完成合规报废流程。</w:t>
      </w:r>
    </w:p>
    <w:p w14:paraId="75D20F6E">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2）运维与故障处理</w:t>
      </w:r>
    </w:p>
    <w:p w14:paraId="4986557C">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①</w:t>
      </w:r>
      <w:r>
        <w:rPr>
          <w:rFonts w:hint="default"/>
          <w:b w:val="0"/>
          <w:bCs w:val="0"/>
          <w:lang w:val="en-US" w:eastAsia="zh-CN"/>
        </w:rPr>
        <w:t>部署硬件实时监控,监控指标包括：硬件状态（CPU/</w:t>
      </w:r>
      <w:r>
        <w:rPr>
          <w:rFonts w:hint="eastAsia"/>
          <w:b w:val="0"/>
          <w:bCs w:val="0"/>
          <w:lang w:val="en-US" w:eastAsia="zh-CN"/>
        </w:rPr>
        <w:t>AI卡</w:t>
      </w:r>
      <w:r>
        <w:rPr>
          <w:rFonts w:hint="default"/>
          <w:b w:val="0"/>
          <w:bCs w:val="0"/>
          <w:lang w:val="en-US" w:eastAsia="zh-CN"/>
        </w:rPr>
        <w:t>温度、磁盘 SMART 状态）</w:t>
      </w:r>
      <w:r>
        <w:rPr>
          <w:rFonts w:hint="eastAsia"/>
          <w:b w:val="0"/>
          <w:bCs w:val="0"/>
          <w:lang w:val="en-US" w:eastAsia="zh-CN"/>
        </w:rPr>
        <w:t>、</w:t>
      </w:r>
      <w:r>
        <w:rPr>
          <w:rFonts w:hint="default"/>
          <w:b w:val="0"/>
          <w:bCs w:val="0"/>
          <w:lang w:val="en-US" w:eastAsia="zh-CN"/>
        </w:rPr>
        <w:t>网络延迟与丢包率。设置阈值告警（如</w:t>
      </w:r>
      <w:r>
        <w:rPr>
          <w:rFonts w:hint="eastAsia"/>
          <w:b w:val="0"/>
          <w:bCs w:val="0"/>
          <w:lang w:val="en-US" w:eastAsia="zh-CN"/>
        </w:rPr>
        <w:t>AI卡</w:t>
      </w:r>
      <w:r>
        <w:rPr>
          <w:rFonts w:hint="default"/>
          <w:b w:val="0"/>
          <w:bCs w:val="0"/>
          <w:lang w:val="en-US" w:eastAsia="zh-CN"/>
        </w:rPr>
        <w:t>温度 &gt;85℃ 时触发自动化降频或告警）。针对</w:t>
      </w:r>
      <w:r>
        <w:rPr>
          <w:rFonts w:hint="eastAsia"/>
          <w:b w:val="0"/>
          <w:bCs w:val="0"/>
          <w:lang w:val="en-US" w:eastAsia="zh-CN"/>
        </w:rPr>
        <w:t>AI卡</w:t>
      </w:r>
      <w:r>
        <w:rPr>
          <w:rFonts w:hint="default"/>
          <w:b w:val="0"/>
          <w:bCs w:val="0"/>
          <w:lang w:val="en-US" w:eastAsia="zh-CN"/>
        </w:rPr>
        <w:t>定时检测健康状态，状态异常能自动隔离</w:t>
      </w:r>
      <w:r>
        <w:rPr>
          <w:rFonts w:hint="eastAsia"/>
          <w:b w:val="0"/>
          <w:bCs w:val="0"/>
          <w:lang w:val="en-US" w:eastAsia="zh-CN"/>
        </w:rPr>
        <w:t>。</w:t>
      </w:r>
    </w:p>
    <w:p w14:paraId="11CE8FB8">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default"/>
          <w:b w:val="0"/>
          <w:bCs w:val="0"/>
          <w:lang w:val="en-US" w:eastAsia="zh-CN"/>
        </w:rPr>
        <w:tab/>
      </w:r>
      <w:r>
        <w:rPr>
          <w:rFonts w:hint="eastAsia"/>
          <w:b w:val="0"/>
          <w:bCs w:val="0"/>
          <w:lang w:val="en-US" w:eastAsia="zh-CN"/>
        </w:rPr>
        <w:t>②</w:t>
      </w:r>
      <w:r>
        <w:rPr>
          <w:rFonts w:hint="default"/>
          <w:b w:val="0"/>
          <w:bCs w:val="0"/>
          <w:lang w:val="en-US" w:eastAsia="zh-CN"/>
        </w:rPr>
        <w:t>硬件日志：硬件服务器日志收集和查看，包含bmc日志以及操作系统日志</w:t>
      </w:r>
    </w:p>
    <w:p w14:paraId="70B8536A">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③</w:t>
      </w:r>
      <w:r>
        <w:rPr>
          <w:rFonts w:hint="default"/>
          <w:b w:val="0"/>
          <w:bCs w:val="0"/>
          <w:lang w:val="en-US" w:eastAsia="zh-CN"/>
        </w:rPr>
        <w:t>故障响应：SLA分级（如重大级故障需5分钟内响应，一般级15分钟内响应）。建立备件库（</w:t>
      </w:r>
      <w:r>
        <w:rPr>
          <w:rFonts w:hint="eastAsia"/>
          <w:b w:val="0"/>
          <w:bCs w:val="0"/>
          <w:lang w:val="en-US" w:eastAsia="zh-CN"/>
        </w:rPr>
        <w:t>AI卡</w:t>
      </w:r>
      <w:r>
        <w:rPr>
          <w:rFonts w:hint="default"/>
          <w:b w:val="0"/>
          <w:bCs w:val="0"/>
          <w:lang w:val="en-US" w:eastAsia="zh-CN"/>
        </w:rPr>
        <w:t>、电源、硬盘），确保快速更换。硬件故障恢复</w:t>
      </w:r>
      <w:r>
        <w:rPr>
          <w:rFonts w:hint="eastAsia"/>
          <w:b w:val="0"/>
          <w:bCs w:val="0"/>
          <w:lang w:val="en-US" w:eastAsia="zh-CN"/>
        </w:rPr>
        <w:t>：</w:t>
      </w:r>
      <w:r>
        <w:rPr>
          <w:rFonts w:hint="default"/>
          <w:b w:val="0"/>
          <w:bCs w:val="0"/>
          <w:lang w:val="en-US" w:eastAsia="zh-CN"/>
        </w:rPr>
        <w:t>7*24小时覆盖，实时响应</w:t>
      </w:r>
      <w:r>
        <w:rPr>
          <w:rFonts w:hint="eastAsia"/>
          <w:b w:val="0"/>
          <w:bCs w:val="0"/>
          <w:lang w:val="en-US" w:eastAsia="zh-CN"/>
        </w:rPr>
        <w:t>。</w:t>
      </w:r>
      <w:r>
        <w:rPr>
          <w:rFonts w:hint="default"/>
          <w:b w:val="0"/>
          <w:bCs w:val="0"/>
          <w:lang w:val="en-US" w:eastAsia="zh-CN"/>
        </w:rPr>
        <w:t>在线技术支持：技术信息共享和补丁下载</w:t>
      </w:r>
      <w:r>
        <w:rPr>
          <w:rFonts w:hint="eastAsia"/>
          <w:b w:val="0"/>
          <w:bCs w:val="0"/>
          <w:lang w:val="en-US" w:eastAsia="zh-CN"/>
        </w:rPr>
        <w:t>；</w:t>
      </w:r>
      <w:r>
        <w:rPr>
          <w:rFonts w:hint="default"/>
          <w:b w:val="0"/>
          <w:bCs w:val="0"/>
          <w:lang w:val="en-US" w:eastAsia="zh-CN"/>
        </w:rPr>
        <w:t>备件更换SLA：备件4小时内到现场</w:t>
      </w:r>
      <w:r>
        <w:rPr>
          <w:rFonts w:hint="eastAsia"/>
          <w:b w:val="0"/>
          <w:bCs w:val="0"/>
          <w:lang w:val="en-US" w:eastAsia="zh-CN"/>
        </w:rPr>
        <w:t>；</w:t>
      </w:r>
      <w:r>
        <w:rPr>
          <w:rFonts w:hint="default"/>
          <w:b w:val="0"/>
          <w:bCs w:val="0"/>
          <w:lang w:val="en-US" w:eastAsia="zh-CN"/>
        </w:rPr>
        <w:t>热线授理或者专职客户经理: 7*24小时响应</w:t>
      </w:r>
      <w:r>
        <w:rPr>
          <w:rFonts w:hint="eastAsia"/>
          <w:b w:val="0"/>
          <w:bCs w:val="0"/>
          <w:lang w:val="en-US" w:eastAsia="zh-CN"/>
        </w:rPr>
        <w:t>；</w:t>
      </w:r>
      <w:r>
        <w:rPr>
          <w:rFonts w:hint="default"/>
          <w:b w:val="0"/>
          <w:bCs w:val="0"/>
          <w:lang w:val="en-US" w:eastAsia="zh-CN"/>
        </w:rPr>
        <w:t>运维培训: 乙方向甲方免费运维培训，包括平台使用、运维、故障排查等</w:t>
      </w:r>
      <w:r>
        <w:rPr>
          <w:rFonts w:hint="eastAsia"/>
          <w:b w:val="0"/>
          <w:bCs w:val="0"/>
          <w:lang w:val="en-US" w:eastAsia="zh-CN"/>
        </w:rPr>
        <w:t>。</w:t>
      </w:r>
    </w:p>
    <w:p w14:paraId="63726FC0">
      <w:pPr>
        <w:keepNext w:val="0"/>
        <w:keepLines w:val="0"/>
        <w:pageBreakBefore w:val="0"/>
        <w:widowControl w:val="0"/>
        <w:numPr>
          <w:ilvl w:val="0"/>
          <w:numId w:val="5"/>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安全合规</w:t>
      </w:r>
    </w:p>
    <w:p w14:paraId="57A5E520">
      <w:pPr>
        <w:keepNext w:val="0"/>
        <w:keepLines w:val="0"/>
        <w:pageBreakBefore w:val="0"/>
        <w:widowControl w:val="0"/>
        <w:numPr>
          <w:ilvl w:val="0"/>
          <w:numId w:val="0"/>
        </w:numPr>
        <w:kinsoku/>
        <w:wordWrap/>
        <w:overflowPunct/>
        <w:topLinePunct w:val="0"/>
        <w:autoSpaceDE w:val="0"/>
        <w:autoSpaceDN w:val="0"/>
        <w:bidi w:val="0"/>
        <w:adjustRightInd w:val="0"/>
        <w:snapToGrid w:val="0"/>
        <w:ind w:leftChars="200"/>
        <w:jc w:val="both"/>
        <w:textAlignment w:val="auto"/>
        <w:outlineLvl w:val="9"/>
        <w:rPr>
          <w:rFonts w:hint="eastAsia"/>
          <w:b w:val="0"/>
          <w:bCs w:val="0"/>
          <w:lang w:val="en-US" w:eastAsia="zh-CN"/>
        </w:rPr>
      </w:pPr>
      <w:r>
        <w:rPr>
          <w:rFonts w:hint="eastAsia"/>
          <w:b w:val="0"/>
          <w:bCs w:val="0"/>
          <w:lang w:val="en-US" w:eastAsia="zh-CN"/>
        </w:rPr>
        <w:t>①物理安全包含：人员进出管理：需符合资质的人员才允许进入；</w:t>
      </w:r>
    </w:p>
    <w:p w14:paraId="3C042861">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②物品进出管理：需业务方同意，有台账管理；</w:t>
      </w:r>
    </w:p>
    <w:p w14:paraId="2D4C12B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③门禁权限管理：需业务方审批授权通过；</w:t>
      </w:r>
    </w:p>
    <w:p w14:paraId="0F383B6F">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④保密权限管理：禁止拍照等；</w:t>
      </w:r>
    </w:p>
    <w:p w14:paraId="4D7757BB">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⑤机房环境管理：温湿度，防尘噪音等，参考机房标准，并且相关权限审批均由租户控制"</w:t>
      </w:r>
    </w:p>
    <w:p w14:paraId="5F69B1DB">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⑥数据安全：存储数据的访问授权，支持配置白名单访问；数据硬盘的数据加密能力具备；故障硬盘的处理措施，需经过租户同意，故障的盘不走维保，如果低格不了，就走消磁或摧毁。</w:t>
      </w:r>
    </w:p>
    <w:p w14:paraId="7323E24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⑦网络安全：外网互联网网络边界路径默认关闭；租户可配置交换机和节点的网络访问策略；网络访问日志详细记录节点被访问记录；具备异常访问监控告警以及网络防攻击措施。</w:t>
      </w:r>
    </w:p>
    <w:p w14:paraId="093C01D6">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3"/>
        <w:rPr>
          <w:rFonts w:hint="default"/>
          <w:b/>
          <w:bCs/>
          <w:lang w:val="en-US" w:eastAsia="zh-CN"/>
        </w:rPr>
      </w:pPr>
      <w:r>
        <w:rPr>
          <w:rFonts w:hint="eastAsia"/>
          <w:b/>
          <w:bCs/>
          <w:lang w:val="en-US" w:eastAsia="zh-CN"/>
        </w:rPr>
        <w:t>（二）建设阶段服务要求</w:t>
      </w:r>
    </w:p>
    <w:p w14:paraId="12D51498">
      <w:pPr>
        <w:widowControl w:val="0"/>
        <w:autoSpaceDE w:val="0"/>
        <w:autoSpaceDN w:val="0"/>
        <w:adjustRightInd w:val="0"/>
        <w:snapToGrid w:val="0"/>
        <w:ind w:left="360" w:firstLine="0" w:firstLineChars="0"/>
        <w:jc w:val="left"/>
        <w:rPr>
          <w:rFonts w:ascii="宋体" w:hAnsi="宋体"/>
          <w:szCs w:val="21"/>
        </w:rPr>
      </w:pPr>
      <w:r>
        <w:rPr>
          <w:rFonts w:hint="eastAsia" w:ascii="宋体" w:hAnsi="宋体"/>
          <w:szCs w:val="21"/>
        </w:rPr>
        <w:t>本</w:t>
      </w:r>
      <w:r>
        <w:rPr>
          <w:rFonts w:hint="eastAsia" w:ascii="宋体" w:hAnsi="宋体"/>
          <w:szCs w:val="21"/>
          <w:lang w:val="en-US" w:eastAsia="zh-CN"/>
        </w:rPr>
        <w:t>项目建设期</w:t>
      </w:r>
      <w:r>
        <w:rPr>
          <w:rFonts w:hint="eastAsia" w:ascii="宋体" w:hAnsi="宋体"/>
          <w:szCs w:val="21"/>
        </w:rPr>
        <w:t>主要包括以下</w:t>
      </w:r>
      <w:r>
        <w:rPr>
          <w:rFonts w:hint="eastAsia" w:ascii="宋体" w:hAnsi="宋体"/>
          <w:szCs w:val="21"/>
          <w:lang w:val="en-US" w:eastAsia="zh-CN"/>
        </w:rPr>
        <w:t>3</w:t>
      </w:r>
      <w:r>
        <w:rPr>
          <w:rFonts w:hint="eastAsia" w:ascii="宋体" w:hAnsi="宋体"/>
          <w:szCs w:val="21"/>
        </w:rPr>
        <w:t>个方面内容：</w:t>
      </w:r>
    </w:p>
    <w:p w14:paraId="1383BC60">
      <w:pPr>
        <w:keepNext w:val="0"/>
        <w:keepLines w:val="0"/>
        <w:pageBreakBefore w:val="0"/>
        <w:widowControl w:val="0"/>
        <w:numPr>
          <w:ilvl w:val="0"/>
          <w:numId w:val="0"/>
        </w:numPr>
        <w:kinsoku/>
        <w:wordWrap/>
        <w:overflowPunct/>
        <w:topLinePunct w:val="0"/>
        <w:autoSpaceDE w:val="0"/>
        <w:autoSpaceDN w:val="0"/>
        <w:bidi w:val="0"/>
        <w:adjustRightInd w:val="0"/>
        <w:snapToGrid w:val="0"/>
        <w:ind w:left="363" w:leftChars="0"/>
        <w:jc w:val="left"/>
        <w:textAlignment w:val="auto"/>
        <w:outlineLvl w:val="4"/>
        <w:rPr>
          <w:rFonts w:hint="eastAsia"/>
          <w:b/>
          <w:bCs/>
        </w:rPr>
      </w:pPr>
      <w:r>
        <w:rPr>
          <w:rFonts w:hint="eastAsia"/>
          <w:b/>
          <w:bCs/>
          <w:lang w:val="en-US" w:eastAsia="zh-CN"/>
        </w:rPr>
        <w:t>1、货物</w:t>
      </w:r>
      <w:r>
        <w:rPr>
          <w:rFonts w:hint="eastAsia"/>
          <w:b/>
          <w:bCs/>
        </w:rPr>
        <w:t>采购服务</w:t>
      </w:r>
    </w:p>
    <w:p w14:paraId="3FDE6858">
      <w:pPr>
        <w:ind w:firstLine="420"/>
        <w:rPr>
          <w:rFonts w:ascii="宋体" w:hAnsi="宋体"/>
          <w:szCs w:val="21"/>
        </w:rPr>
      </w:pPr>
      <w:r>
        <w:rPr>
          <w:rFonts w:hint="eastAsia"/>
          <w:lang w:val="en-US" w:eastAsia="zh-CN"/>
        </w:rPr>
        <w:t>本智算集群</w:t>
      </w:r>
      <w:r>
        <w:rPr>
          <w:rFonts w:hint="eastAsia"/>
        </w:rPr>
        <w:t>所有设备和软件的采购</w:t>
      </w:r>
      <w:r>
        <w:rPr>
          <w:rFonts w:hint="eastAsia"/>
          <w:lang w:eastAsia="zh-CN"/>
        </w:rPr>
        <w:t>（</w:t>
      </w:r>
      <w:r>
        <w:rPr>
          <w:rFonts w:hint="eastAsia"/>
          <w:lang w:val="en-US" w:eastAsia="zh-CN"/>
        </w:rPr>
        <w:t>AI服务器除外</w:t>
      </w:r>
      <w:r>
        <w:rPr>
          <w:rFonts w:hint="eastAsia"/>
          <w:lang w:eastAsia="zh-CN"/>
        </w:rPr>
        <w:t>）</w:t>
      </w:r>
      <w:r>
        <w:rPr>
          <w:rFonts w:hint="eastAsia"/>
        </w:rPr>
        <w:t>，包括网络设备、通用计算服务器、信息安全设备、</w:t>
      </w:r>
      <w:r>
        <w:rPr>
          <w:rFonts w:hint="eastAsia"/>
          <w:lang w:val="en-US" w:eastAsia="zh-CN"/>
        </w:rPr>
        <w:t>光模块、线缆、</w:t>
      </w:r>
      <w:r>
        <w:rPr>
          <w:rFonts w:hint="eastAsia"/>
        </w:rPr>
        <w:t>集群所需软件系统</w:t>
      </w:r>
      <w:r>
        <w:rPr>
          <w:rFonts w:hint="eastAsia"/>
          <w:lang w:val="en-US" w:eastAsia="zh-CN"/>
        </w:rPr>
        <w:t>等</w:t>
      </w:r>
      <w:r>
        <w:rPr>
          <w:rFonts w:hint="eastAsia"/>
        </w:rPr>
        <w:t>。</w:t>
      </w:r>
    </w:p>
    <w:p w14:paraId="0698EB47">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4"/>
        <w:rPr>
          <w:rFonts w:hint="eastAsia" w:ascii="Times New Roman" w:hAnsi="Times New Roman" w:eastAsia="宋体" w:cs="Times New Roman"/>
          <w:b/>
          <w:bCs/>
        </w:rPr>
      </w:pPr>
      <w:r>
        <w:rPr>
          <w:rFonts w:hint="eastAsia" w:cs="Times New Roman"/>
          <w:b/>
          <w:bCs/>
          <w:lang w:val="en-US" w:eastAsia="zh-CN"/>
        </w:rPr>
        <w:t>2、设计</w:t>
      </w:r>
      <w:r>
        <w:rPr>
          <w:rFonts w:hint="eastAsia" w:ascii="Times New Roman" w:hAnsi="Times New Roman" w:eastAsia="宋体" w:cs="Times New Roman"/>
          <w:b/>
          <w:bCs/>
        </w:rPr>
        <w:t>服务</w:t>
      </w:r>
    </w:p>
    <w:p w14:paraId="4DAF78C9">
      <w:pPr>
        <w:keepNext w:val="0"/>
        <w:keepLines w:val="0"/>
        <w:pageBreakBefore w:val="0"/>
        <w:widowControl w:val="0"/>
        <w:numPr>
          <w:ilvl w:val="0"/>
          <w:numId w:val="0"/>
        </w:numPr>
        <w:kinsoku/>
        <w:wordWrap/>
        <w:overflowPunct/>
        <w:topLinePunct w:val="0"/>
        <w:autoSpaceDE w:val="0"/>
        <w:autoSpaceDN w:val="0"/>
        <w:bidi w:val="0"/>
        <w:adjustRightInd w:val="0"/>
        <w:snapToGrid w:val="0"/>
        <w:ind w:firstLine="420" w:firstLineChars="200"/>
        <w:textAlignment w:val="auto"/>
        <w:rPr>
          <w:rFonts w:hint="eastAsia"/>
          <w:lang w:val="en-US" w:eastAsia="zh-CN"/>
        </w:rPr>
      </w:pPr>
      <w:r>
        <w:rPr>
          <w:rFonts w:hint="eastAsia"/>
          <w:lang w:val="en-US" w:eastAsia="zh-CN"/>
        </w:rPr>
        <w:t>设计服务，根据本项目需求，自行提出建设方案，对</w:t>
      </w:r>
      <w:r>
        <w:rPr>
          <w:rFonts w:hint="eastAsia"/>
        </w:rPr>
        <w:t>智算集群</w:t>
      </w:r>
      <w:r>
        <w:rPr>
          <w:rFonts w:hint="eastAsia"/>
          <w:lang w:val="en-US" w:eastAsia="zh-CN"/>
        </w:rPr>
        <w:t>进行施工图设计，提供设计说明、集群总体网络拓扑图、设备平面布置图、设备上架面板图、连线对端表、设备IP地址规划、线缆材料统计表等全套设计文件，设计文件深度应能够指导现场实施。</w:t>
      </w:r>
    </w:p>
    <w:p w14:paraId="455398A2">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4"/>
        <w:rPr>
          <w:rFonts w:hint="eastAsia" w:ascii="Times New Roman" w:hAnsi="Times New Roman" w:eastAsia="宋体" w:cs="Times New Roman"/>
          <w:b/>
          <w:bCs/>
        </w:rPr>
      </w:pPr>
      <w:r>
        <w:rPr>
          <w:rFonts w:hint="eastAsia" w:cs="Times New Roman"/>
          <w:b/>
          <w:bCs/>
          <w:lang w:val="en-US" w:eastAsia="zh-CN"/>
        </w:rPr>
        <w:t>3、集成</w:t>
      </w:r>
      <w:r>
        <w:rPr>
          <w:rFonts w:hint="eastAsia" w:ascii="Times New Roman" w:hAnsi="Times New Roman" w:eastAsia="宋体" w:cs="Times New Roman"/>
          <w:b/>
          <w:bCs/>
        </w:rPr>
        <w:t>服务</w:t>
      </w:r>
    </w:p>
    <w:p w14:paraId="2D0B7289">
      <w:pPr>
        <w:keepNext w:val="0"/>
        <w:keepLines w:val="0"/>
        <w:pageBreakBefore w:val="0"/>
        <w:widowControl w:val="0"/>
        <w:numPr>
          <w:ilvl w:val="0"/>
          <w:numId w:val="0"/>
        </w:numPr>
        <w:kinsoku/>
        <w:wordWrap/>
        <w:overflowPunct/>
        <w:topLinePunct w:val="0"/>
        <w:autoSpaceDE w:val="0"/>
        <w:autoSpaceDN w:val="0"/>
        <w:bidi w:val="0"/>
        <w:adjustRightInd w:val="0"/>
        <w:snapToGrid w:val="0"/>
        <w:ind w:firstLine="420" w:firstLineChars="200"/>
        <w:textAlignment w:val="auto"/>
        <w:rPr>
          <w:rFonts w:hint="eastAsia" w:eastAsia="宋体"/>
          <w:lang w:eastAsia="zh-CN"/>
        </w:rPr>
      </w:pPr>
      <w:r>
        <w:rPr>
          <w:rFonts w:hint="eastAsia"/>
        </w:rPr>
        <w:t>集成服务，包括</w:t>
      </w:r>
      <w:r>
        <w:rPr>
          <w:rFonts w:hint="eastAsia"/>
          <w:lang w:val="en-US" w:eastAsia="zh-CN"/>
        </w:rPr>
        <w:t>对</w:t>
      </w:r>
      <w:r>
        <w:rPr>
          <w:rFonts w:hint="eastAsia"/>
        </w:rPr>
        <w:t>智算集群</w:t>
      </w:r>
      <w:r>
        <w:rPr>
          <w:rFonts w:hint="eastAsia"/>
          <w:lang w:val="en-US" w:eastAsia="zh-CN"/>
        </w:rPr>
        <w:t>的所有</w:t>
      </w:r>
      <w:r>
        <w:rPr>
          <w:rFonts w:hint="eastAsia"/>
        </w:rPr>
        <w:t>设备上架、布线组网、软件的部署、系统调试、</w:t>
      </w:r>
      <w:r>
        <w:rPr>
          <w:rFonts w:hint="eastAsia"/>
          <w:lang w:val="en-US" w:eastAsia="zh-CN"/>
        </w:rPr>
        <w:t>测试验收、</w:t>
      </w:r>
      <w:r>
        <w:rPr>
          <w:rFonts w:hint="eastAsia"/>
        </w:rPr>
        <w:t>技术服务及培训。详细服务内容详见下表《集成服务需求表》</w:t>
      </w:r>
      <w:r>
        <w:rPr>
          <w:rFonts w:hint="eastAsia"/>
          <w:lang w:eastAsia="zh-CN"/>
        </w:rPr>
        <w:t>。</w:t>
      </w:r>
    </w:p>
    <w:p w14:paraId="23433201">
      <w:pPr>
        <w:ind w:firstLine="422"/>
        <w:jc w:val="center"/>
        <w:rPr>
          <w:b/>
          <w:bCs/>
        </w:rPr>
      </w:pPr>
      <w:r>
        <w:rPr>
          <w:rFonts w:hint="eastAsia"/>
          <w:b/>
          <w:bCs/>
        </w:rPr>
        <w:t>集成服务需求表</w:t>
      </w:r>
    </w:p>
    <w:tbl>
      <w:tblPr>
        <w:tblStyle w:val="5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420"/>
        <w:gridCol w:w="4963"/>
        <w:gridCol w:w="711"/>
        <w:gridCol w:w="757"/>
      </w:tblGrid>
      <w:tr w14:paraId="5289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2" w:hRule="atLeast"/>
          <w:tblHeader/>
        </w:trPr>
        <w:tc>
          <w:tcPr>
            <w:tcW w:w="394" w:type="pct"/>
            <w:vAlign w:val="center"/>
          </w:tcPr>
          <w:p w14:paraId="42AA55E1">
            <w:pPr>
              <w:spacing w:line="240" w:lineRule="auto"/>
              <w:ind w:firstLine="0" w:firstLineChars="0"/>
              <w:jc w:val="center"/>
              <w:rPr>
                <w:rFonts w:ascii="宋体" w:hAnsi="宋体"/>
                <w:b/>
                <w:bCs/>
                <w:color w:val="000000"/>
                <w:sz w:val="18"/>
                <w:szCs w:val="18"/>
              </w:rPr>
            </w:pPr>
            <w:r>
              <w:rPr>
                <w:rFonts w:ascii="宋体" w:hAnsi="宋体"/>
                <w:b/>
                <w:bCs/>
                <w:color w:val="000000"/>
                <w:sz w:val="18"/>
                <w:szCs w:val="18"/>
              </w:rPr>
              <w:t>序号</w:t>
            </w:r>
          </w:p>
        </w:tc>
        <w:tc>
          <w:tcPr>
            <w:tcW w:w="833" w:type="pct"/>
            <w:vAlign w:val="center"/>
          </w:tcPr>
          <w:p w14:paraId="31F0CD5E">
            <w:pPr>
              <w:spacing w:line="240" w:lineRule="auto"/>
              <w:ind w:firstLine="0" w:firstLineChars="0"/>
              <w:jc w:val="center"/>
              <w:rPr>
                <w:rFonts w:ascii="宋体" w:hAnsi="宋体"/>
                <w:b/>
                <w:bCs/>
                <w:color w:val="000000"/>
                <w:sz w:val="18"/>
                <w:szCs w:val="18"/>
              </w:rPr>
            </w:pPr>
            <w:r>
              <w:rPr>
                <w:rFonts w:hint="eastAsia" w:ascii="宋体" w:hAnsi="宋体"/>
                <w:b/>
                <w:bCs/>
                <w:color w:val="000000"/>
                <w:sz w:val="18"/>
                <w:szCs w:val="18"/>
              </w:rPr>
              <w:t>服务事项</w:t>
            </w:r>
          </w:p>
        </w:tc>
        <w:tc>
          <w:tcPr>
            <w:tcW w:w="2911" w:type="pct"/>
            <w:vAlign w:val="center"/>
          </w:tcPr>
          <w:p w14:paraId="5A9ED2A8">
            <w:pPr>
              <w:spacing w:line="240" w:lineRule="auto"/>
              <w:ind w:firstLine="0" w:firstLineChars="0"/>
              <w:jc w:val="center"/>
              <w:rPr>
                <w:rFonts w:ascii="宋体" w:hAnsi="宋体"/>
                <w:b/>
                <w:bCs/>
                <w:color w:val="000000"/>
                <w:sz w:val="18"/>
                <w:szCs w:val="18"/>
              </w:rPr>
            </w:pPr>
            <w:r>
              <w:rPr>
                <w:rFonts w:hint="eastAsia" w:ascii="宋体" w:hAnsi="宋体"/>
                <w:b/>
                <w:bCs/>
                <w:color w:val="000000"/>
                <w:sz w:val="18"/>
                <w:szCs w:val="18"/>
              </w:rPr>
              <w:t>主要服务内容及要求</w:t>
            </w:r>
          </w:p>
        </w:tc>
        <w:tc>
          <w:tcPr>
            <w:tcW w:w="417" w:type="pct"/>
            <w:vAlign w:val="center"/>
          </w:tcPr>
          <w:p w14:paraId="31BD898F">
            <w:pPr>
              <w:spacing w:line="240" w:lineRule="auto"/>
              <w:ind w:firstLine="0" w:firstLineChars="0"/>
              <w:jc w:val="center"/>
              <w:rPr>
                <w:rFonts w:ascii="宋体" w:hAnsi="宋体"/>
                <w:b/>
                <w:bCs/>
                <w:color w:val="000000"/>
                <w:sz w:val="18"/>
                <w:szCs w:val="18"/>
              </w:rPr>
            </w:pPr>
            <w:r>
              <w:rPr>
                <w:rFonts w:hint="eastAsia" w:ascii="宋体" w:hAnsi="宋体"/>
                <w:b/>
                <w:bCs/>
                <w:color w:val="000000"/>
                <w:sz w:val="18"/>
                <w:szCs w:val="18"/>
              </w:rPr>
              <w:t>数量</w:t>
            </w:r>
          </w:p>
        </w:tc>
        <w:tc>
          <w:tcPr>
            <w:tcW w:w="444" w:type="pct"/>
            <w:vAlign w:val="center"/>
          </w:tcPr>
          <w:p w14:paraId="59D19498">
            <w:pPr>
              <w:spacing w:line="240" w:lineRule="auto"/>
              <w:ind w:firstLine="0" w:firstLineChars="0"/>
              <w:jc w:val="center"/>
              <w:rPr>
                <w:rFonts w:ascii="宋体" w:hAnsi="宋体"/>
                <w:b/>
                <w:bCs/>
                <w:color w:val="000000"/>
                <w:sz w:val="18"/>
                <w:szCs w:val="18"/>
              </w:rPr>
            </w:pPr>
            <w:r>
              <w:rPr>
                <w:rFonts w:hint="eastAsia" w:ascii="宋体" w:hAnsi="宋体"/>
                <w:b/>
                <w:bCs/>
                <w:color w:val="000000"/>
                <w:sz w:val="18"/>
                <w:szCs w:val="18"/>
              </w:rPr>
              <w:t>单位</w:t>
            </w:r>
          </w:p>
        </w:tc>
      </w:tr>
      <w:tr w14:paraId="2FA9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394" w:type="pct"/>
            <w:vAlign w:val="center"/>
          </w:tcPr>
          <w:p w14:paraId="28E56723">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833" w:type="pct"/>
            <w:vAlign w:val="center"/>
          </w:tcPr>
          <w:p w14:paraId="760B9BD8">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综合布线服务</w:t>
            </w:r>
          </w:p>
        </w:tc>
        <w:tc>
          <w:tcPr>
            <w:tcW w:w="2911" w:type="pct"/>
            <w:vAlign w:val="center"/>
          </w:tcPr>
          <w:p w14:paraId="446F37FB">
            <w:pPr>
              <w:numPr>
                <w:ilvl w:val="0"/>
                <w:numId w:val="6"/>
              </w:numPr>
              <w:spacing w:line="240" w:lineRule="auto"/>
              <w:ind w:firstLineChars="0"/>
              <w:rPr>
                <w:rFonts w:ascii="宋体" w:hAnsi="宋体" w:cs="宋体"/>
                <w:sz w:val="18"/>
                <w:szCs w:val="18"/>
              </w:rPr>
            </w:pPr>
            <w:r>
              <w:rPr>
                <w:rFonts w:hint="eastAsia" w:ascii="宋体" w:hAnsi="宋体" w:cs="宋体"/>
                <w:sz w:val="18"/>
                <w:szCs w:val="18"/>
              </w:rPr>
              <w:t>网线布放</w:t>
            </w:r>
          </w:p>
          <w:p w14:paraId="1BC0B2B1">
            <w:pPr>
              <w:numPr>
                <w:ilvl w:val="0"/>
                <w:numId w:val="6"/>
              </w:numPr>
              <w:spacing w:line="240" w:lineRule="auto"/>
              <w:ind w:firstLineChars="0"/>
              <w:rPr>
                <w:rFonts w:ascii="宋体" w:hAnsi="宋体" w:cs="宋体"/>
                <w:sz w:val="18"/>
                <w:szCs w:val="18"/>
              </w:rPr>
            </w:pPr>
            <w:r>
              <w:rPr>
                <w:rFonts w:hint="eastAsia" w:ascii="宋体" w:hAnsi="宋体" w:cs="宋体"/>
                <w:sz w:val="18"/>
                <w:szCs w:val="18"/>
              </w:rPr>
              <w:t>光纤布放</w:t>
            </w:r>
          </w:p>
          <w:p w14:paraId="6622CE55">
            <w:pPr>
              <w:numPr>
                <w:ilvl w:val="0"/>
                <w:numId w:val="6"/>
              </w:numPr>
              <w:spacing w:line="240" w:lineRule="auto"/>
              <w:ind w:firstLineChars="0"/>
              <w:rPr>
                <w:rFonts w:ascii="宋体" w:hAnsi="宋体" w:cs="宋体"/>
                <w:sz w:val="18"/>
                <w:szCs w:val="18"/>
              </w:rPr>
            </w:pPr>
            <w:r>
              <w:rPr>
                <w:rFonts w:hint="eastAsia" w:ascii="宋体" w:hAnsi="宋体" w:cs="宋体"/>
                <w:sz w:val="18"/>
                <w:szCs w:val="18"/>
              </w:rPr>
              <w:t>RDMA专用线缆布放</w:t>
            </w:r>
          </w:p>
          <w:p w14:paraId="3FFDFDAA">
            <w:pPr>
              <w:numPr>
                <w:ilvl w:val="0"/>
                <w:numId w:val="6"/>
              </w:numPr>
              <w:spacing w:line="240" w:lineRule="auto"/>
              <w:ind w:firstLineChars="0"/>
              <w:rPr>
                <w:rFonts w:ascii="宋体" w:hAnsi="宋体" w:cs="宋体"/>
                <w:sz w:val="18"/>
                <w:szCs w:val="18"/>
              </w:rPr>
            </w:pPr>
            <w:r>
              <w:rPr>
                <w:rFonts w:hint="eastAsia" w:ascii="宋体" w:hAnsi="宋体" w:cs="宋体"/>
                <w:sz w:val="18"/>
                <w:szCs w:val="18"/>
              </w:rPr>
              <w:t>设备标签</w:t>
            </w:r>
          </w:p>
          <w:p w14:paraId="52405740">
            <w:pPr>
              <w:numPr>
                <w:ilvl w:val="0"/>
                <w:numId w:val="6"/>
              </w:numPr>
              <w:spacing w:line="240" w:lineRule="auto"/>
              <w:ind w:firstLineChars="0"/>
              <w:rPr>
                <w:rFonts w:ascii="宋体" w:hAnsi="宋体" w:cs="宋体"/>
                <w:sz w:val="18"/>
                <w:szCs w:val="18"/>
              </w:rPr>
            </w:pPr>
            <w:r>
              <w:rPr>
                <w:rFonts w:hint="eastAsia" w:ascii="宋体" w:hAnsi="宋体" w:cs="宋体"/>
                <w:sz w:val="18"/>
                <w:szCs w:val="18"/>
              </w:rPr>
              <w:t>线缆标识</w:t>
            </w:r>
          </w:p>
        </w:tc>
        <w:tc>
          <w:tcPr>
            <w:tcW w:w="417" w:type="pct"/>
            <w:vAlign w:val="center"/>
          </w:tcPr>
          <w:p w14:paraId="7DF8FC16">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1CAAB8C2">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12F3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394" w:type="pct"/>
            <w:vAlign w:val="center"/>
          </w:tcPr>
          <w:p w14:paraId="29CF623F">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2</w:t>
            </w:r>
          </w:p>
        </w:tc>
        <w:tc>
          <w:tcPr>
            <w:tcW w:w="833" w:type="pct"/>
            <w:vAlign w:val="center"/>
          </w:tcPr>
          <w:p w14:paraId="533BEC0E">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服务器上架安装及配置</w:t>
            </w:r>
          </w:p>
        </w:tc>
        <w:tc>
          <w:tcPr>
            <w:tcW w:w="2911" w:type="pct"/>
            <w:vAlign w:val="center"/>
          </w:tcPr>
          <w:p w14:paraId="59AFD870">
            <w:pPr>
              <w:numPr>
                <w:ilvl w:val="0"/>
                <w:numId w:val="7"/>
              </w:numPr>
              <w:spacing w:line="240" w:lineRule="auto"/>
              <w:ind w:firstLineChars="0"/>
              <w:rPr>
                <w:rFonts w:ascii="宋体" w:hAnsi="宋体" w:cs="宋体"/>
                <w:sz w:val="18"/>
                <w:szCs w:val="18"/>
              </w:rPr>
            </w:pPr>
            <w:r>
              <w:rPr>
                <w:rFonts w:hint="eastAsia" w:ascii="宋体" w:hAnsi="宋体" w:cs="宋体"/>
                <w:sz w:val="18"/>
                <w:szCs w:val="18"/>
              </w:rPr>
              <w:t>服务器BMC配置核验</w:t>
            </w:r>
          </w:p>
          <w:p w14:paraId="6C988E26">
            <w:pPr>
              <w:numPr>
                <w:ilvl w:val="0"/>
                <w:numId w:val="7"/>
              </w:numPr>
              <w:spacing w:line="240" w:lineRule="auto"/>
              <w:ind w:firstLineChars="0"/>
              <w:rPr>
                <w:rFonts w:ascii="宋体" w:hAnsi="宋体" w:cs="宋体"/>
                <w:sz w:val="18"/>
                <w:szCs w:val="18"/>
              </w:rPr>
            </w:pPr>
            <w:r>
              <w:rPr>
                <w:rFonts w:hint="eastAsia" w:ascii="宋体" w:hAnsi="宋体" w:cs="宋体"/>
                <w:sz w:val="18"/>
                <w:szCs w:val="18"/>
              </w:rPr>
              <w:t>RAID配置检查</w:t>
            </w:r>
          </w:p>
          <w:p w14:paraId="22E0FD5D">
            <w:pPr>
              <w:numPr>
                <w:ilvl w:val="0"/>
                <w:numId w:val="7"/>
              </w:numPr>
              <w:spacing w:line="240" w:lineRule="auto"/>
              <w:ind w:firstLineChars="0"/>
              <w:rPr>
                <w:rFonts w:ascii="宋体" w:hAnsi="宋体" w:cs="宋体"/>
                <w:sz w:val="18"/>
                <w:szCs w:val="18"/>
              </w:rPr>
            </w:pPr>
            <w:r>
              <w:rPr>
                <w:rFonts w:hint="eastAsia" w:ascii="宋体" w:hAnsi="宋体" w:cs="宋体"/>
                <w:sz w:val="18"/>
                <w:szCs w:val="18"/>
              </w:rPr>
              <w:t>BIOS配置检查</w:t>
            </w:r>
          </w:p>
          <w:p w14:paraId="055338D9">
            <w:pPr>
              <w:numPr>
                <w:ilvl w:val="0"/>
                <w:numId w:val="7"/>
              </w:numPr>
              <w:spacing w:line="240" w:lineRule="auto"/>
              <w:ind w:firstLineChars="0"/>
              <w:rPr>
                <w:rFonts w:ascii="宋体" w:hAnsi="宋体" w:cs="宋体"/>
                <w:sz w:val="18"/>
                <w:szCs w:val="18"/>
              </w:rPr>
            </w:pPr>
            <w:r>
              <w:rPr>
                <w:rFonts w:hint="eastAsia" w:ascii="宋体" w:hAnsi="宋体" w:cs="宋体"/>
                <w:sz w:val="18"/>
                <w:szCs w:val="18"/>
              </w:rPr>
              <w:t>主机资源信息核验</w:t>
            </w:r>
          </w:p>
        </w:tc>
        <w:tc>
          <w:tcPr>
            <w:tcW w:w="417" w:type="pct"/>
            <w:vAlign w:val="center"/>
          </w:tcPr>
          <w:p w14:paraId="556DF587">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29B32E4B">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34B7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394" w:type="pct"/>
            <w:vAlign w:val="center"/>
          </w:tcPr>
          <w:p w14:paraId="5C6CA3A0">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3</w:t>
            </w:r>
          </w:p>
        </w:tc>
        <w:tc>
          <w:tcPr>
            <w:tcW w:w="833" w:type="pct"/>
            <w:vAlign w:val="center"/>
          </w:tcPr>
          <w:p w14:paraId="58B28B91">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管理网络设备安装及集成</w:t>
            </w:r>
          </w:p>
        </w:tc>
        <w:tc>
          <w:tcPr>
            <w:tcW w:w="2911" w:type="pct"/>
            <w:vAlign w:val="center"/>
          </w:tcPr>
          <w:p w14:paraId="41152B0D">
            <w:pPr>
              <w:numPr>
                <w:ilvl w:val="0"/>
                <w:numId w:val="8"/>
              </w:numPr>
              <w:spacing w:line="240" w:lineRule="auto"/>
              <w:ind w:firstLineChars="0"/>
              <w:rPr>
                <w:rFonts w:ascii="宋体" w:hAnsi="宋体" w:cs="宋体"/>
                <w:sz w:val="18"/>
                <w:szCs w:val="18"/>
              </w:rPr>
            </w:pPr>
            <w:r>
              <w:rPr>
                <w:rFonts w:hint="eastAsia" w:ascii="宋体" w:hAnsi="宋体" w:cs="宋体"/>
                <w:sz w:val="18"/>
                <w:szCs w:val="18"/>
              </w:rPr>
              <w:t>网络配置及调试</w:t>
            </w:r>
          </w:p>
          <w:p w14:paraId="5E8012EE">
            <w:pPr>
              <w:numPr>
                <w:ilvl w:val="0"/>
                <w:numId w:val="8"/>
              </w:numPr>
              <w:spacing w:line="240" w:lineRule="auto"/>
              <w:ind w:firstLineChars="0"/>
              <w:rPr>
                <w:rFonts w:ascii="宋体" w:hAnsi="宋体" w:cs="宋体"/>
                <w:sz w:val="18"/>
                <w:szCs w:val="18"/>
              </w:rPr>
            </w:pPr>
            <w:r>
              <w:rPr>
                <w:rFonts w:hint="eastAsia" w:ascii="宋体" w:hAnsi="宋体" w:cs="宋体"/>
                <w:sz w:val="18"/>
                <w:szCs w:val="18"/>
              </w:rPr>
              <w:t>网络连通性测试</w:t>
            </w:r>
          </w:p>
          <w:p w14:paraId="67A35E9E">
            <w:pPr>
              <w:numPr>
                <w:ilvl w:val="0"/>
                <w:numId w:val="8"/>
              </w:numPr>
              <w:spacing w:line="240" w:lineRule="auto"/>
              <w:ind w:firstLineChars="0"/>
              <w:rPr>
                <w:rFonts w:ascii="宋体" w:hAnsi="宋体" w:cs="宋体"/>
                <w:sz w:val="18"/>
                <w:szCs w:val="18"/>
              </w:rPr>
            </w:pPr>
            <w:r>
              <w:rPr>
                <w:rFonts w:hint="eastAsia" w:ascii="宋体" w:hAnsi="宋体" w:cs="宋体"/>
                <w:sz w:val="18"/>
                <w:szCs w:val="18"/>
              </w:rPr>
              <w:t>网络出口测试</w:t>
            </w:r>
          </w:p>
        </w:tc>
        <w:tc>
          <w:tcPr>
            <w:tcW w:w="417" w:type="pct"/>
            <w:vAlign w:val="center"/>
          </w:tcPr>
          <w:p w14:paraId="6A5AA814">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10E56B10">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220F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394" w:type="pct"/>
            <w:vAlign w:val="center"/>
          </w:tcPr>
          <w:p w14:paraId="087591BF">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4</w:t>
            </w:r>
          </w:p>
        </w:tc>
        <w:tc>
          <w:tcPr>
            <w:tcW w:w="833" w:type="pct"/>
            <w:vAlign w:val="center"/>
          </w:tcPr>
          <w:p w14:paraId="61F071D8">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RDMA网络设备安装及集成</w:t>
            </w:r>
          </w:p>
        </w:tc>
        <w:tc>
          <w:tcPr>
            <w:tcW w:w="2911" w:type="pct"/>
            <w:vAlign w:val="center"/>
          </w:tcPr>
          <w:p w14:paraId="60B673EC">
            <w:pPr>
              <w:numPr>
                <w:ilvl w:val="0"/>
                <w:numId w:val="9"/>
              </w:numPr>
              <w:spacing w:line="240" w:lineRule="auto"/>
              <w:ind w:firstLineChars="0"/>
              <w:rPr>
                <w:rFonts w:ascii="宋体" w:hAnsi="宋体" w:cs="宋体"/>
                <w:sz w:val="18"/>
                <w:szCs w:val="18"/>
              </w:rPr>
            </w:pPr>
            <w:r>
              <w:rPr>
                <w:rFonts w:hint="eastAsia" w:ascii="宋体" w:hAnsi="宋体" w:cs="宋体"/>
                <w:sz w:val="18"/>
                <w:szCs w:val="18"/>
              </w:rPr>
              <w:t>基础网络环境校验</w:t>
            </w:r>
          </w:p>
          <w:p w14:paraId="4C4E5220">
            <w:pPr>
              <w:numPr>
                <w:ilvl w:val="0"/>
                <w:numId w:val="9"/>
              </w:numPr>
              <w:spacing w:line="240" w:lineRule="auto"/>
              <w:ind w:firstLineChars="0"/>
              <w:rPr>
                <w:rFonts w:ascii="宋体" w:hAnsi="宋体" w:cs="宋体"/>
                <w:sz w:val="18"/>
                <w:szCs w:val="18"/>
              </w:rPr>
            </w:pPr>
            <w:r>
              <w:rPr>
                <w:rFonts w:hint="eastAsia" w:ascii="宋体" w:hAnsi="宋体" w:cs="宋体"/>
                <w:sz w:val="18"/>
                <w:szCs w:val="18"/>
              </w:rPr>
              <w:t>RDMA网络测试</w:t>
            </w:r>
          </w:p>
        </w:tc>
        <w:tc>
          <w:tcPr>
            <w:tcW w:w="417" w:type="pct"/>
            <w:vAlign w:val="center"/>
          </w:tcPr>
          <w:p w14:paraId="7E11CB80">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6691CCA8">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523F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394" w:type="pct"/>
            <w:vAlign w:val="center"/>
          </w:tcPr>
          <w:p w14:paraId="0FB471EA">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5</w:t>
            </w:r>
          </w:p>
        </w:tc>
        <w:tc>
          <w:tcPr>
            <w:tcW w:w="833" w:type="pct"/>
            <w:vAlign w:val="center"/>
          </w:tcPr>
          <w:p w14:paraId="17C6BB58">
            <w:pPr>
              <w:spacing w:line="240" w:lineRule="auto"/>
              <w:ind w:firstLine="0" w:firstLineChars="0"/>
              <w:jc w:val="left"/>
              <w:rPr>
                <w:rFonts w:ascii="宋体" w:hAnsi="宋体"/>
                <w:color w:val="000000"/>
                <w:sz w:val="18"/>
                <w:szCs w:val="18"/>
              </w:rPr>
            </w:pPr>
            <w:r>
              <w:rPr>
                <w:rFonts w:hint="eastAsia" w:ascii="宋体" w:hAnsi="宋体"/>
                <w:color w:val="000000"/>
                <w:sz w:val="18"/>
                <w:szCs w:val="18"/>
                <w:lang w:val="en-US" w:eastAsia="zh-CN"/>
              </w:rPr>
              <w:t>AI</w:t>
            </w:r>
            <w:r>
              <w:rPr>
                <w:rFonts w:hint="eastAsia" w:ascii="宋体" w:hAnsi="宋体"/>
                <w:color w:val="000000"/>
                <w:sz w:val="18"/>
                <w:szCs w:val="18"/>
              </w:rPr>
              <w:t>服务器初始化配置及测试</w:t>
            </w:r>
          </w:p>
        </w:tc>
        <w:tc>
          <w:tcPr>
            <w:tcW w:w="2911" w:type="pct"/>
            <w:vAlign w:val="center"/>
          </w:tcPr>
          <w:p w14:paraId="2B083398">
            <w:pPr>
              <w:numPr>
                <w:ilvl w:val="0"/>
                <w:numId w:val="10"/>
              </w:numPr>
              <w:spacing w:line="240" w:lineRule="auto"/>
              <w:ind w:firstLineChars="0"/>
              <w:rPr>
                <w:rFonts w:ascii="宋体" w:hAnsi="宋体" w:cs="宋体"/>
                <w:sz w:val="18"/>
                <w:szCs w:val="18"/>
              </w:rPr>
            </w:pPr>
            <w:r>
              <w:rPr>
                <w:rFonts w:hint="eastAsia" w:ascii="宋体" w:hAnsi="宋体" w:cs="宋体"/>
                <w:sz w:val="18"/>
                <w:szCs w:val="18"/>
              </w:rPr>
              <w:t>PE盘压力测试</w:t>
            </w:r>
          </w:p>
          <w:p w14:paraId="2D8E3FB6">
            <w:pPr>
              <w:numPr>
                <w:ilvl w:val="0"/>
                <w:numId w:val="10"/>
              </w:numPr>
              <w:spacing w:line="240" w:lineRule="auto"/>
              <w:ind w:firstLineChars="0"/>
              <w:rPr>
                <w:rFonts w:ascii="宋体" w:hAnsi="宋体" w:cs="宋体"/>
                <w:sz w:val="18"/>
                <w:szCs w:val="18"/>
              </w:rPr>
            </w:pPr>
            <w:r>
              <w:rPr>
                <w:rFonts w:hint="eastAsia" w:ascii="宋体" w:hAnsi="宋体" w:cs="宋体"/>
                <w:sz w:val="18"/>
                <w:szCs w:val="18"/>
              </w:rPr>
              <w:t>NCCL性能测试</w:t>
            </w:r>
          </w:p>
          <w:p w14:paraId="403893C4">
            <w:pPr>
              <w:numPr>
                <w:ilvl w:val="0"/>
                <w:numId w:val="10"/>
              </w:numPr>
              <w:spacing w:line="240" w:lineRule="auto"/>
              <w:ind w:firstLineChars="0"/>
              <w:rPr>
                <w:rFonts w:ascii="宋体" w:hAnsi="宋体" w:cs="宋体"/>
                <w:sz w:val="18"/>
                <w:szCs w:val="18"/>
              </w:rPr>
            </w:pPr>
            <w:r>
              <w:rPr>
                <w:rFonts w:hint="eastAsia" w:ascii="宋体" w:hAnsi="宋体" w:cs="宋体"/>
                <w:sz w:val="18"/>
                <w:szCs w:val="18"/>
              </w:rPr>
              <w:t>集群多机多卡All Reduce测试</w:t>
            </w:r>
          </w:p>
        </w:tc>
        <w:tc>
          <w:tcPr>
            <w:tcW w:w="417" w:type="pct"/>
            <w:vAlign w:val="center"/>
          </w:tcPr>
          <w:p w14:paraId="42884BCF">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548B38CA">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645F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394" w:type="pct"/>
            <w:vAlign w:val="center"/>
          </w:tcPr>
          <w:p w14:paraId="348F817D">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6</w:t>
            </w:r>
          </w:p>
        </w:tc>
        <w:tc>
          <w:tcPr>
            <w:tcW w:w="833" w:type="pct"/>
            <w:vAlign w:val="center"/>
          </w:tcPr>
          <w:p w14:paraId="4BE15047">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软件平台安装调试</w:t>
            </w:r>
          </w:p>
        </w:tc>
        <w:tc>
          <w:tcPr>
            <w:tcW w:w="2911" w:type="pct"/>
            <w:vAlign w:val="center"/>
          </w:tcPr>
          <w:p w14:paraId="0DC67A61">
            <w:pPr>
              <w:numPr>
                <w:ilvl w:val="0"/>
                <w:numId w:val="11"/>
              </w:numPr>
              <w:spacing w:line="240" w:lineRule="auto"/>
              <w:ind w:firstLineChars="0"/>
              <w:rPr>
                <w:rFonts w:ascii="宋体" w:hAnsi="宋体" w:cs="宋体"/>
                <w:sz w:val="18"/>
                <w:szCs w:val="18"/>
              </w:rPr>
            </w:pPr>
            <w:r>
              <w:rPr>
                <w:rFonts w:hint="eastAsia" w:ascii="宋体" w:hAnsi="宋体" w:cs="宋体"/>
                <w:sz w:val="18"/>
                <w:szCs w:val="18"/>
              </w:rPr>
              <w:t>安装平台软件，并按照需求进行配置，包括设置管理员账户、访问权限、系统设置等；</w:t>
            </w:r>
          </w:p>
          <w:p w14:paraId="55793FBB">
            <w:pPr>
              <w:numPr>
                <w:ilvl w:val="0"/>
                <w:numId w:val="11"/>
              </w:numPr>
              <w:spacing w:line="240" w:lineRule="auto"/>
              <w:ind w:firstLineChars="0"/>
              <w:rPr>
                <w:rFonts w:ascii="宋体" w:hAnsi="宋体" w:cs="宋体"/>
                <w:sz w:val="18"/>
                <w:szCs w:val="18"/>
              </w:rPr>
            </w:pPr>
            <w:r>
              <w:rPr>
                <w:rFonts w:hint="eastAsia" w:ascii="宋体" w:hAnsi="宋体" w:cs="宋体"/>
                <w:sz w:val="18"/>
                <w:szCs w:val="18"/>
              </w:rPr>
              <w:t>将平台连接到被管的服务器、存储以及网络设备，并设置相应的访问权限；</w:t>
            </w:r>
          </w:p>
          <w:p w14:paraId="69E3B20D">
            <w:pPr>
              <w:numPr>
                <w:ilvl w:val="0"/>
                <w:numId w:val="11"/>
              </w:numPr>
              <w:spacing w:line="240" w:lineRule="auto"/>
              <w:ind w:firstLineChars="0"/>
              <w:rPr>
                <w:rFonts w:ascii="宋体" w:hAnsi="宋体" w:cs="宋体"/>
                <w:sz w:val="18"/>
                <w:szCs w:val="18"/>
              </w:rPr>
            </w:pPr>
            <w:r>
              <w:rPr>
                <w:rFonts w:hint="eastAsia" w:ascii="宋体" w:hAnsi="宋体" w:cs="宋体"/>
                <w:sz w:val="18"/>
                <w:szCs w:val="18"/>
              </w:rPr>
              <w:t>对各平台做业务初始化配置；</w:t>
            </w:r>
          </w:p>
          <w:p w14:paraId="707D6B84">
            <w:pPr>
              <w:numPr>
                <w:ilvl w:val="0"/>
                <w:numId w:val="11"/>
              </w:numPr>
              <w:spacing w:line="240" w:lineRule="auto"/>
              <w:ind w:firstLineChars="0"/>
              <w:rPr>
                <w:rFonts w:ascii="宋体" w:hAnsi="宋体" w:cs="宋体"/>
                <w:sz w:val="18"/>
                <w:szCs w:val="18"/>
              </w:rPr>
            </w:pPr>
            <w:r>
              <w:rPr>
                <w:rFonts w:hint="eastAsia" w:ascii="宋体" w:hAnsi="宋体" w:cs="宋体"/>
                <w:sz w:val="18"/>
                <w:szCs w:val="18"/>
              </w:rPr>
              <w:t>进行各项操作测试验证，保证软件平台运行正常；</w:t>
            </w:r>
          </w:p>
        </w:tc>
        <w:tc>
          <w:tcPr>
            <w:tcW w:w="417" w:type="pct"/>
            <w:vAlign w:val="center"/>
          </w:tcPr>
          <w:p w14:paraId="02F6C616">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64DC4760">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12A0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394" w:type="pct"/>
            <w:vAlign w:val="center"/>
          </w:tcPr>
          <w:p w14:paraId="6C69E274">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7</w:t>
            </w:r>
          </w:p>
        </w:tc>
        <w:tc>
          <w:tcPr>
            <w:tcW w:w="833" w:type="pct"/>
            <w:vAlign w:val="center"/>
          </w:tcPr>
          <w:p w14:paraId="77A19BA4">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系统综合测试</w:t>
            </w:r>
          </w:p>
        </w:tc>
        <w:tc>
          <w:tcPr>
            <w:tcW w:w="2911" w:type="pct"/>
            <w:vAlign w:val="center"/>
          </w:tcPr>
          <w:p w14:paraId="6D86EE74">
            <w:pPr>
              <w:numPr>
                <w:ilvl w:val="0"/>
                <w:numId w:val="12"/>
              </w:numPr>
              <w:spacing w:line="240" w:lineRule="auto"/>
              <w:ind w:firstLineChars="0"/>
              <w:rPr>
                <w:rFonts w:ascii="宋体" w:hAnsi="宋体" w:cs="宋体"/>
                <w:sz w:val="18"/>
                <w:szCs w:val="18"/>
              </w:rPr>
            </w:pPr>
            <w:r>
              <w:rPr>
                <w:rFonts w:hint="eastAsia" w:ascii="宋体" w:hAnsi="宋体" w:cs="宋体"/>
                <w:sz w:val="18"/>
                <w:szCs w:val="18"/>
              </w:rPr>
              <w:t>对集群进行模型微调训练测试，验证系统整体运行效率；</w:t>
            </w:r>
          </w:p>
        </w:tc>
        <w:tc>
          <w:tcPr>
            <w:tcW w:w="417" w:type="pct"/>
            <w:vAlign w:val="center"/>
          </w:tcPr>
          <w:p w14:paraId="3081026A">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5E9120DD">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71CA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394" w:type="pct"/>
            <w:vAlign w:val="center"/>
          </w:tcPr>
          <w:p w14:paraId="3A14D066">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8</w:t>
            </w:r>
          </w:p>
        </w:tc>
        <w:tc>
          <w:tcPr>
            <w:tcW w:w="833" w:type="pct"/>
            <w:vAlign w:val="center"/>
          </w:tcPr>
          <w:p w14:paraId="010B6189">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培训</w:t>
            </w:r>
          </w:p>
        </w:tc>
        <w:tc>
          <w:tcPr>
            <w:tcW w:w="2911" w:type="pct"/>
            <w:vAlign w:val="center"/>
          </w:tcPr>
          <w:p w14:paraId="1E4856E9">
            <w:pPr>
              <w:numPr>
                <w:ilvl w:val="0"/>
                <w:numId w:val="13"/>
              </w:numPr>
              <w:spacing w:line="240" w:lineRule="auto"/>
              <w:ind w:firstLineChars="0"/>
              <w:rPr>
                <w:rFonts w:ascii="宋体" w:hAnsi="宋体" w:cs="宋体"/>
                <w:sz w:val="18"/>
                <w:szCs w:val="18"/>
              </w:rPr>
            </w:pPr>
            <w:r>
              <w:rPr>
                <w:rFonts w:hint="eastAsia" w:ascii="宋体" w:hAnsi="宋体" w:cs="宋体"/>
                <w:sz w:val="18"/>
                <w:szCs w:val="18"/>
              </w:rPr>
              <w:t>项目整体培训；</w:t>
            </w:r>
          </w:p>
          <w:p w14:paraId="0D7F53D5">
            <w:pPr>
              <w:numPr>
                <w:ilvl w:val="0"/>
                <w:numId w:val="13"/>
              </w:numPr>
              <w:spacing w:line="240" w:lineRule="auto"/>
              <w:ind w:firstLineChars="0"/>
              <w:rPr>
                <w:rFonts w:ascii="宋体" w:hAnsi="宋体" w:cs="宋体"/>
                <w:sz w:val="18"/>
                <w:szCs w:val="18"/>
              </w:rPr>
            </w:pPr>
            <w:r>
              <w:rPr>
                <w:rFonts w:hint="eastAsia" w:ascii="宋体" w:hAnsi="宋体" w:cs="宋体"/>
                <w:sz w:val="18"/>
                <w:szCs w:val="18"/>
              </w:rPr>
              <w:t>各类设备专业培训；</w:t>
            </w:r>
          </w:p>
          <w:p w14:paraId="04D7B162">
            <w:pPr>
              <w:numPr>
                <w:ilvl w:val="0"/>
                <w:numId w:val="13"/>
              </w:numPr>
              <w:spacing w:line="240" w:lineRule="auto"/>
              <w:ind w:firstLineChars="0"/>
              <w:rPr>
                <w:rFonts w:ascii="宋体" w:hAnsi="宋体" w:cs="宋体"/>
                <w:sz w:val="18"/>
                <w:szCs w:val="18"/>
              </w:rPr>
            </w:pPr>
            <w:r>
              <w:rPr>
                <w:rFonts w:hint="eastAsia" w:ascii="宋体" w:hAnsi="宋体" w:cs="宋体"/>
                <w:sz w:val="18"/>
                <w:szCs w:val="18"/>
              </w:rPr>
              <w:t>运维操作培训；</w:t>
            </w:r>
          </w:p>
        </w:tc>
        <w:tc>
          <w:tcPr>
            <w:tcW w:w="417" w:type="pct"/>
            <w:vAlign w:val="center"/>
          </w:tcPr>
          <w:p w14:paraId="69514A9C">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259119AB">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6AB4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394" w:type="pct"/>
            <w:vAlign w:val="center"/>
          </w:tcPr>
          <w:p w14:paraId="532ABDA2">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9</w:t>
            </w:r>
          </w:p>
        </w:tc>
        <w:tc>
          <w:tcPr>
            <w:tcW w:w="833" w:type="pct"/>
            <w:vAlign w:val="center"/>
          </w:tcPr>
          <w:p w14:paraId="635FD156">
            <w:pPr>
              <w:spacing w:line="240" w:lineRule="auto"/>
              <w:ind w:firstLine="0" w:firstLineChars="0"/>
              <w:jc w:val="left"/>
              <w:rPr>
                <w:rFonts w:ascii="宋体" w:hAnsi="宋体"/>
                <w:color w:val="000000"/>
                <w:sz w:val="18"/>
                <w:szCs w:val="18"/>
              </w:rPr>
            </w:pPr>
            <w:r>
              <w:rPr>
                <w:rFonts w:hint="eastAsia" w:ascii="宋体" w:hAnsi="宋体"/>
                <w:color w:val="000000"/>
                <w:sz w:val="18"/>
                <w:szCs w:val="18"/>
                <w:lang w:val="en-US" w:eastAsia="zh-CN"/>
              </w:rPr>
              <w:t>集成服务</w:t>
            </w:r>
            <w:r>
              <w:rPr>
                <w:rFonts w:hint="eastAsia" w:ascii="宋体" w:hAnsi="宋体"/>
                <w:color w:val="000000"/>
                <w:sz w:val="18"/>
                <w:szCs w:val="18"/>
              </w:rPr>
              <w:t>质保期内技术服务</w:t>
            </w:r>
          </w:p>
        </w:tc>
        <w:tc>
          <w:tcPr>
            <w:tcW w:w="2911" w:type="pct"/>
            <w:vAlign w:val="center"/>
          </w:tcPr>
          <w:p w14:paraId="60337F65">
            <w:pPr>
              <w:numPr>
                <w:ilvl w:val="0"/>
                <w:numId w:val="14"/>
              </w:numPr>
              <w:spacing w:line="240" w:lineRule="auto"/>
              <w:ind w:firstLineChars="0"/>
              <w:rPr>
                <w:rFonts w:ascii="宋体" w:hAnsi="宋体" w:cs="宋体"/>
                <w:sz w:val="18"/>
                <w:szCs w:val="18"/>
              </w:rPr>
            </w:pPr>
            <w:r>
              <w:rPr>
                <w:rFonts w:hint="eastAsia" w:ascii="宋体" w:hAnsi="宋体" w:cs="宋体"/>
                <w:sz w:val="18"/>
                <w:szCs w:val="18"/>
              </w:rPr>
              <w:t>7X24技术响应；</w:t>
            </w:r>
          </w:p>
          <w:p w14:paraId="2E3BF54D">
            <w:pPr>
              <w:numPr>
                <w:ilvl w:val="0"/>
                <w:numId w:val="14"/>
              </w:numPr>
              <w:spacing w:line="240" w:lineRule="auto"/>
              <w:ind w:firstLineChars="0"/>
              <w:rPr>
                <w:rFonts w:ascii="宋体" w:hAnsi="宋体" w:cs="宋体"/>
                <w:sz w:val="18"/>
                <w:szCs w:val="18"/>
              </w:rPr>
            </w:pPr>
            <w:r>
              <w:rPr>
                <w:rFonts w:hint="eastAsia" w:ascii="宋体" w:hAnsi="宋体" w:cs="宋体"/>
                <w:sz w:val="18"/>
                <w:szCs w:val="18"/>
              </w:rPr>
              <w:t>故障处理，第二日到达现场；</w:t>
            </w:r>
          </w:p>
          <w:p w14:paraId="1FEC997F">
            <w:pPr>
              <w:numPr>
                <w:ilvl w:val="0"/>
                <w:numId w:val="14"/>
              </w:numPr>
              <w:spacing w:line="240" w:lineRule="auto"/>
              <w:ind w:firstLineChars="0"/>
              <w:rPr>
                <w:rFonts w:ascii="宋体" w:hAnsi="宋体" w:cs="宋体"/>
                <w:sz w:val="18"/>
                <w:szCs w:val="18"/>
              </w:rPr>
            </w:pPr>
            <w:r>
              <w:rPr>
                <w:rFonts w:hint="eastAsia" w:ascii="宋体" w:hAnsi="宋体" w:cs="宋体"/>
                <w:sz w:val="18"/>
                <w:szCs w:val="18"/>
              </w:rPr>
              <w:t>硬件设备：协调供货商进行设备维修或更换；</w:t>
            </w:r>
          </w:p>
        </w:tc>
        <w:tc>
          <w:tcPr>
            <w:tcW w:w="417" w:type="pct"/>
            <w:vAlign w:val="center"/>
          </w:tcPr>
          <w:p w14:paraId="790B467E">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3473B8C5">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bl>
    <w:p w14:paraId="6ADEC5EB">
      <w:pPr>
        <w:ind w:firstLine="420" w:firstLineChars="0"/>
        <w:rPr>
          <w:rFonts w:hint="eastAsia"/>
          <w:b/>
          <w:bCs/>
        </w:rPr>
      </w:pPr>
    </w:p>
    <w:p w14:paraId="2D6958D9">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3"/>
        <w:rPr>
          <w:rFonts w:hint="eastAsia"/>
          <w:b/>
          <w:bCs/>
          <w:lang w:val="en-US" w:eastAsia="zh-CN"/>
        </w:rPr>
      </w:pPr>
      <w:r>
        <w:rPr>
          <w:rFonts w:hint="eastAsia"/>
          <w:b/>
          <w:bCs/>
          <w:lang w:val="en-US" w:eastAsia="zh-CN"/>
        </w:rPr>
        <w:t>（三）运维阶段服务要求</w:t>
      </w:r>
    </w:p>
    <w:p w14:paraId="6DD02FED">
      <w:pPr>
        <w:widowControl w:val="0"/>
        <w:autoSpaceDE w:val="0"/>
        <w:autoSpaceDN w:val="0"/>
        <w:adjustRightInd w:val="0"/>
        <w:snapToGrid w:val="0"/>
        <w:spacing w:line="360" w:lineRule="auto"/>
        <w:ind w:firstLine="420" w:firstLineChars="200"/>
        <w:jc w:val="both"/>
        <w:outlineLvl w:val="4"/>
        <w:rPr>
          <w:rFonts w:hint="eastAsia" w:ascii="宋体" w:hAnsi="宋体" w:eastAsia="宋体" w:cs="宋体"/>
          <w:b/>
          <w:bCs/>
          <w:kern w:val="2"/>
          <w:lang w:eastAsia="zh-CN"/>
        </w:rPr>
      </w:pPr>
      <w:r>
        <w:rPr>
          <w:rFonts w:hint="eastAsia" w:ascii="宋体" w:hAnsi="宋体" w:eastAsia="宋体" w:cs="宋体"/>
          <w:b/>
          <w:bCs/>
          <w:kern w:val="2"/>
          <w:lang w:val="en-US" w:eastAsia="zh-CN"/>
        </w:rPr>
        <w:t>1、</w:t>
      </w:r>
      <w:r>
        <w:rPr>
          <w:rFonts w:hint="eastAsia" w:ascii="宋体" w:hAnsi="宋体" w:eastAsia="宋体" w:cs="宋体"/>
          <w:b/>
          <w:bCs/>
          <w:kern w:val="2"/>
          <w:lang w:eastAsia="zh-CN"/>
        </w:rPr>
        <w:t>总体要求</w:t>
      </w:r>
    </w:p>
    <w:p w14:paraId="66CB789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eastAsia="宋体" w:cs="宋体"/>
          <w:kern w:val="2"/>
          <w:lang w:val="en-US" w:eastAsia="zh-CN"/>
        </w:rPr>
        <w:t>1</w:t>
      </w:r>
      <w:r>
        <w:rPr>
          <w:rFonts w:hint="eastAsia" w:ascii="宋体" w:hAnsi="宋体" w:eastAsia="宋体" w:cs="宋体"/>
          <w:kern w:val="2"/>
          <w:lang w:eastAsia="zh-CN"/>
        </w:rPr>
        <w:t>）故障分级响应要求：根据SLA分级响应，最高级别故障需5分钟内响应，重要级别故障15分钟内响应。</w:t>
      </w:r>
    </w:p>
    <w:p w14:paraId="26DDABBF">
      <w:pPr>
        <w:widowControl w:val="0"/>
        <w:autoSpaceDE w:val="0"/>
        <w:autoSpaceDN w:val="0"/>
        <w:adjustRightInd w:val="0"/>
        <w:snapToGrid w:val="0"/>
        <w:spacing w:line="360" w:lineRule="auto"/>
        <w:jc w:val="center"/>
        <w:rPr>
          <w:rFonts w:hint="eastAsia" w:ascii="宋体" w:hAnsi="宋体" w:eastAsia="宋体" w:cs="宋体"/>
          <w:b/>
          <w:bCs/>
          <w:kern w:val="2"/>
          <w:lang w:eastAsia="zh-CN"/>
        </w:rPr>
      </w:pPr>
      <w:r>
        <w:rPr>
          <w:rFonts w:hint="eastAsia" w:ascii="宋体" w:hAnsi="宋体" w:eastAsia="宋体" w:cs="宋体"/>
          <w:b/>
          <w:bCs/>
          <w:kern w:val="2"/>
          <w:lang w:eastAsia="zh-CN"/>
        </w:rPr>
        <w:t>故障分级响应表</w:t>
      </w:r>
    </w:p>
    <w:tbl>
      <w:tblPr>
        <w:tblStyle w:val="40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1665"/>
        <w:gridCol w:w="4602"/>
        <w:gridCol w:w="1429"/>
      </w:tblGrid>
      <w:tr w14:paraId="40CE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26" w:type="dxa"/>
            <w:vAlign w:val="center"/>
          </w:tcPr>
          <w:p w14:paraId="21127A08">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bCs/>
                <w:kern w:val="2"/>
                <w:sz w:val="18"/>
                <w:szCs w:val="18"/>
                <w:lang w:eastAsia="zh-CN"/>
              </w:rPr>
            </w:pPr>
            <w:r>
              <w:rPr>
                <w:rFonts w:hint="eastAsia" w:ascii="宋体" w:hAnsi="宋体" w:eastAsia="宋体" w:cs="宋体"/>
                <w:b/>
                <w:bCs/>
                <w:kern w:val="2"/>
                <w:sz w:val="18"/>
                <w:szCs w:val="18"/>
                <w:lang w:eastAsia="zh-CN"/>
              </w:rPr>
              <w:t>序号</w:t>
            </w:r>
          </w:p>
        </w:tc>
        <w:tc>
          <w:tcPr>
            <w:tcW w:w="1665" w:type="dxa"/>
            <w:vAlign w:val="center"/>
          </w:tcPr>
          <w:p w14:paraId="5CE04EDC">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bCs/>
                <w:kern w:val="2"/>
                <w:sz w:val="18"/>
                <w:szCs w:val="18"/>
                <w:lang w:eastAsia="zh-CN"/>
              </w:rPr>
            </w:pPr>
            <w:r>
              <w:rPr>
                <w:rFonts w:hint="eastAsia" w:ascii="宋体" w:hAnsi="宋体" w:eastAsia="宋体" w:cs="宋体"/>
                <w:b/>
                <w:bCs/>
                <w:kern w:val="2"/>
                <w:sz w:val="18"/>
                <w:szCs w:val="18"/>
                <w:lang w:eastAsia="zh-CN"/>
              </w:rPr>
              <w:t>故障等级</w:t>
            </w:r>
          </w:p>
        </w:tc>
        <w:tc>
          <w:tcPr>
            <w:tcW w:w="4602" w:type="dxa"/>
            <w:vAlign w:val="center"/>
          </w:tcPr>
          <w:p w14:paraId="243E327A">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bCs/>
                <w:kern w:val="2"/>
                <w:sz w:val="18"/>
                <w:szCs w:val="18"/>
                <w:lang w:eastAsia="zh-CN"/>
              </w:rPr>
            </w:pPr>
            <w:r>
              <w:rPr>
                <w:rFonts w:hint="eastAsia" w:ascii="宋体" w:hAnsi="宋体" w:eastAsia="宋体" w:cs="宋体"/>
                <w:b/>
                <w:bCs/>
                <w:kern w:val="2"/>
                <w:sz w:val="18"/>
                <w:szCs w:val="18"/>
                <w:lang w:eastAsia="zh-CN"/>
              </w:rPr>
              <w:t>故障描述</w:t>
            </w:r>
          </w:p>
        </w:tc>
        <w:tc>
          <w:tcPr>
            <w:tcW w:w="1429" w:type="dxa"/>
            <w:vAlign w:val="center"/>
          </w:tcPr>
          <w:p w14:paraId="01234306">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bCs/>
                <w:kern w:val="2"/>
                <w:sz w:val="18"/>
                <w:szCs w:val="18"/>
                <w:lang w:eastAsia="zh-CN"/>
              </w:rPr>
            </w:pPr>
            <w:r>
              <w:rPr>
                <w:rFonts w:hint="eastAsia" w:ascii="宋体" w:hAnsi="宋体" w:eastAsia="宋体" w:cs="宋体"/>
                <w:b/>
                <w:bCs/>
                <w:kern w:val="2"/>
                <w:sz w:val="18"/>
                <w:szCs w:val="18"/>
                <w:lang w:eastAsia="zh-CN"/>
              </w:rPr>
              <w:t>响应时间</w:t>
            </w:r>
          </w:p>
        </w:tc>
      </w:tr>
      <w:tr w14:paraId="042C2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5BCE2767">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P0</w:t>
            </w:r>
          </w:p>
        </w:tc>
        <w:tc>
          <w:tcPr>
            <w:tcW w:w="1665" w:type="dxa"/>
            <w:vAlign w:val="center"/>
          </w:tcPr>
          <w:p w14:paraId="0ECA9321">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最高级别故障</w:t>
            </w:r>
          </w:p>
        </w:tc>
        <w:tc>
          <w:tcPr>
            <w:tcW w:w="4602" w:type="dxa"/>
            <w:vAlign w:val="center"/>
          </w:tcPr>
          <w:p w14:paraId="0C7B245F">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影响核心业务功能，导致服务完全中断或大规模算力资源无法使用，可能造成重大经济损失或声誉损害。</w:t>
            </w:r>
          </w:p>
        </w:tc>
        <w:tc>
          <w:tcPr>
            <w:tcW w:w="1429" w:type="dxa"/>
            <w:vAlign w:val="center"/>
          </w:tcPr>
          <w:p w14:paraId="6B2EF9A5">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5分钟内响应</w:t>
            </w:r>
          </w:p>
        </w:tc>
      </w:tr>
      <w:tr w14:paraId="2BE9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6" w:type="dxa"/>
            <w:vAlign w:val="center"/>
          </w:tcPr>
          <w:p w14:paraId="2C7E629C">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P</w:t>
            </w:r>
            <w:r>
              <w:rPr>
                <w:rFonts w:hint="eastAsia" w:ascii="宋体" w:hAnsi="宋体" w:eastAsia="宋体" w:cs="宋体"/>
                <w:kern w:val="2"/>
                <w:sz w:val="18"/>
                <w:szCs w:val="18"/>
                <w:lang w:eastAsia="zh-CN"/>
              </w:rPr>
              <w:t>1</w:t>
            </w:r>
          </w:p>
        </w:tc>
        <w:tc>
          <w:tcPr>
            <w:tcW w:w="1665" w:type="dxa"/>
            <w:vAlign w:val="center"/>
          </w:tcPr>
          <w:p w14:paraId="0799BB90">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重要级别故障</w:t>
            </w:r>
            <w:r>
              <w:rPr>
                <w:rFonts w:ascii="宋体" w:eastAsia="宋体"/>
                <w:kern w:val="2"/>
                <w:sz w:val="18"/>
                <w:szCs w:val="18"/>
                <w:lang w:eastAsia="zh-CN"/>
              </w:rPr>
              <w:t>‌</w:t>
            </w:r>
          </w:p>
        </w:tc>
        <w:tc>
          <w:tcPr>
            <w:tcW w:w="4602" w:type="dxa"/>
            <w:vAlign w:val="center"/>
          </w:tcPr>
          <w:p w14:paraId="2FBD4254">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影响部分重要功能或服务性能显著下降，对业务运营产生较大影响。</w:t>
            </w:r>
          </w:p>
        </w:tc>
        <w:tc>
          <w:tcPr>
            <w:tcW w:w="1429" w:type="dxa"/>
            <w:vAlign w:val="center"/>
          </w:tcPr>
          <w:p w14:paraId="0AA66124">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15分钟内响应</w:t>
            </w:r>
          </w:p>
        </w:tc>
      </w:tr>
      <w:tr w14:paraId="0ECC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34135CC6">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P</w:t>
            </w:r>
            <w:r>
              <w:rPr>
                <w:rFonts w:hint="eastAsia" w:ascii="宋体" w:hAnsi="宋体" w:eastAsia="宋体" w:cs="宋体"/>
                <w:kern w:val="2"/>
                <w:sz w:val="18"/>
                <w:szCs w:val="18"/>
                <w:lang w:eastAsia="zh-CN"/>
              </w:rPr>
              <w:t>2</w:t>
            </w:r>
          </w:p>
        </w:tc>
        <w:tc>
          <w:tcPr>
            <w:tcW w:w="1665" w:type="dxa"/>
            <w:vAlign w:val="center"/>
          </w:tcPr>
          <w:p w14:paraId="65DADE6F">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一般级别故障</w:t>
            </w:r>
          </w:p>
        </w:tc>
        <w:tc>
          <w:tcPr>
            <w:tcW w:w="4602" w:type="dxa"/>
            <w:vAlign w:val="center"/>
          </w:tcPr>
          <w:p w14:paraId="1894459B">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影响非核心功能或服务性能有所下降，但对业务运营影响较小，用户可能感知到不便但不影响整体使用</w:t>
            </w:r>
            <w:r>
              <w:rPr>
                <w:rFonts w:hint="eastAsia" w:ascii="宋体" w:hAnsi="宋体" w:eastAsia="宋体" w:cs="宋体"/>
                <w:kern w:val="2"/>
                <w:sz w:val="18"/>
                <w:szCs w:val="18"/>
                <w:lang w:eastAsia="zh-CN"/>
              </w:rPr>
              <w:t>。</w:t>
            </w:r>
          </w:p>
        </w:tc>
        <w:tc>
          <w:tcPr>
            <w:tcW w:w="1429" w:type="dxa"/>
            <w:vAlign w:val="center"/>
          </w:tcPr>
          <w:p w14:paraId="0B3F19C3">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2小时内响应</w:t>
            </w:r>
          </w:p>
        </w:tc>
      </w:tr>
      <w:tr w14:paraId="1398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6" w:type="dxa"/>
            <w:vAlign w:val="center"/>
          </w:tcPr>
          <w:p w14:paraId="4460E654">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P</w:t>
            </w:r>
            <w:r>
              <w:rPr>
                <w:rFonts w:hint="eastAsia" w:ascii="宋体" w:hAnsi="宋体" w:eastAsia="宋体" w:cs="宋体"/>
                <w:kern w:val="2"/>
                <w:sz w:val="18"/>
                <w:szCs w:val="18"/>
                <w:lang w:eastAsia="zh-CN"/>
              </w:rPr>
              <w:t>3</w:t>
            </w:r>
          </w:p>
        </w:tc>
        <w:tc>
          <w:tcPr>
            <w:tcW w:w="1665" w:type="dxa"/>
            <w:vAlign w:val="center"/>
          </w:tcPr>
          <w:p w14:paraId="54710685">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低级别故障</w:t>
            </w:r>
          </w:p>
        </w:tc>
        <w:tc>
          <w:tcPr>
            <w:tcW w:w="4602" w:type="dxa"/>
            <w:vAlign w:val="center"/>
          </w:tcPr>
          <w:p w14:paraId="0F140CA3">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影响较小，主要是边缘功能或服务的小问题，对业务运营和用户体验影响有限。</w:t>
            </w:r>
          </w:p>
        </w:tc>
        <w:tc>
          <w:tcPr>
            <w:tcW w:w="1429" w:type="dxa"/>
            <w:vAlign w:val="center"/>
          </w:tcPr>
          <w:p w14:paraId="0F358769">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4小时内响应</w:t>
            </w:r>
          </w:p>
        </w:tc>
      </w:tr>
      <w:tr w14:paraId="31E8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5A464736">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P</w:t>
            </w:r>
            <w:r>
              <w:rPr>
                <w:rFonts w:hint="eastAsia" w:ascii="宋体" w:hAnsi="宋体" w:eastAsia="宋体" w:cs="宋体"/>
                <w:kern w:val="2"/>
                <w:sz w:val="18"/>
                <w:szCs w:val="18"/>
                <w:lang w:eastAsia="zh-CN"/>
              </w:rPr>
              <w:t>4</w:t>
            </w:r>
          </w:p>
        </w:tc>
        <w:tc>
          <w:tcPr>
            <w:tcW w:w="1665" w:type="dxa"/>
            <w:vAlign w:val="center"/>
          </w:tcPr>
          <w:p w14:paraId="5526C00D">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轻微级别故障</w:t>
            </w:r>
          </w:p>
        </w:tc>
        <w:tc>
          <w:tcPr>
            <w:tcW w:w="4602" w:type="dxa"/>
            <w:vAlign w:val="center"/>
          </w:tcPr>
          <w:p w14:paraId="4AA29FF8">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几乎不影响业务运营和用户体验，主要是微小的问题。</w:t>
            </w:r>
          </w:p>
        </w:tc>
        <w:tc>
          <w:tcPr>
            <w:tcW w:w="1429" w:type="dxa"/>
            <w:vAlign w:val="center"/>
          </w:tcPr>
          <w:p w14:paraId="5BDFC07D">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24小时内响应</w:t>
            </w:r>
          </w:p>
        </w:tc>
      </w:tr>
    </w:tbl>
    <w:p w14:paraId="3A0F9EEE">
      <w:pPr>
        <w:widowControl w:val="0"/>
        <w:autoSpaceDE w:val="0"/>
        <w:autoSpaceDN w:val="0"/>
        <w:adjustRightInd w:val="0"/>
        <w:snapToGrid w:val="0"/>
        <w:spacing w:line="360" w:lineRule="auto"/>
        <w:jc w:val="both"/>
        <w:rPr>
          <w:rFonts w:hint="eastAsia" w:ascii="宋体" w:hAnsi="宋体" w:eastAsia="宋体" w:cs="宋体"/>
          <w:kern w:val="2"/>
          <w:lang w:eastAsia="zh-CN"/>
        </w:rPr>
      </w:pPr>
      <w:r>
        <w:rPr>
          <w:rFonts w:hint="eastAsia" w:ascii="HuaweiSans" w:hAnsi="HuaweiSans" w:eastAsia="宋体" w:cs="Helvetica"/>
          <w:color w:val="000000"/>
          <w:sz w:val="21"/>
          <w:szCs w:val="21"/>
          <w:lang w:eastAsia="zh-CN"/>
        </w:rPr>
        <w:t>注：投标人受限于采购人要求的安全访问规则或管理流程无法访问资源，无法对问题进行监控和定位的情况不包含在内，出于管理合规和安全访问控制引起的操作延误和等待，不计入投标人责任范围。</w:t>
      </w:r>
      <w:r>
        <w:rPr>
          <w:rFonts w:ascii="HuaweiSans" w:hAnsi="HuaweiSans" w:eastAsia="宋体" w:cs="Helvetica"/>
          <w:color w:val="000000"/>
          <w:sz w:val="21"/>
          <w:szCs w:val="21"/>
          <w:lang w:eastAsia="zh-CN"/>
        </w:rPr>
        <w:t>本协议约定</w:t>
      </w:r>
      <w:r>
        <w:rPr>
          <w:rFonts w:hint="eastAsia" w:ascii="HuaweiSans" w:hAnsi="HuaweiSans" w:eastAsia="宋体" w:cs="Helvetica"/>
          <w:color w:val="000000"/>
          <w:sz w:val="21"/>
          <w:szCs w:val="21"/>
          <w:lang w:eastAsia="zh-CN"/>
        </w:rPr>
        <w:t>投标人</w:t>
      </w:r>
      <w:r>
        <w:rPr>
          <w:rFonts w:ascii="HuaweiSans" w:hAnsi="HuaweiSans" w:eastAsia="宋体" w:cs="Helvetica"/>
          <w:color w:val="000000"/>
          <w:sz w:val="21"/>
          <w:szCs w:val="21"/>
          <w:lang w:eastAsia="zh-CN"/>
        </w:rPr>
        <w:t>故障响应、处理、解决等时间，以</w:t>
      </w:r>
      <w:r>
        <w:rPr>
          <w:rFonts w:hint="eastAsia" w:ascii="HuaweiSans" w:hAnsi="HuaweiSans" w:eastAsia="宋体" w:cs="Helvetica"/>
          <w:color w:val="000000"/>
          <w:sz w:val="21"/>
          <w:szCs w:val="21"/>
          <w:lang w:eastAsia="zh-CN"/>
        </w:rPr>
        <w:t>采购人</w:t>
      </w:r>
      <w:r>
        <w:rPr>
          <w:rFonts w:ascii="HuaweiSans" w:hAnsi="HuaweiSans" w:eastAsia="宋体" w:cs="Helvetica"/>
          <w:color w:val="000000"/>
          <w:sz w:val="21"/>
          <w:szCs w:val="21"/>
          <w:lang w:eastAsia="zh-CN"/>
        </w:rPr>
        <w:t>正式通知到</w:t>
      </w:r>
      <w:r>
        <w:rPr>
          <w:rFonts w:hint="eastAsia" w:ascii="HuaweiSans" w:hAnsi="HuaweiSans" w:eastAsia="宋体" w:cs="Helvetica"/>
          <w:color w:val="000000"/>
          <w:sz w:val="21"/>
          <w:szCs w:val="21"/>
          <w:lang w:eastAsia="zh-CN"/>
        </w:rPr>
        <w:t>投标人</w:t>
      </w:r>
      <w:r>
        <w:rPr>
          <w:rFonts w:ascii="HuaweiSans" w:hAnsi="HuaweiSans" w:eastAsia="宋体" w:cs="Helvetica"/>
          <w:color w:val="000000"/>
          <w:sz w:val="21"/>
          <w:szCs w:val="21"/>
          <w:lang w:eastAsia="zh-CN"/>
        </w:rPr>
        <w:t>指定负责人并开通相关</w:t>
      </w:r>
      <w:r>
        <w:rPr>
          <w:rFonts w:hint="eastAsia" w:ascii="HuaweiSans" w:hAnsi="HuaweiSans" w:eastAsia="宋体" w:cs="Helvetica"/>
          <w:color w:val="000000"/>
          <w:sz w:val="21"/>
          <w:szCs w:val="21"/>
          <w:lang w:eastAsia="zh-CN"/>
        </w:rPr>
        <w:t>管理</w:t>
      </w:r>
      <w:r>
        <w:rPr>
          <w:rFonts w:ascii="HuaweiSans" w:hAnsi="HuaweiSans" w:eastAsia="宋体" w:cs="Helvetica"/>
          <w:color w:val="000000"/>
          <w:sz w:val="21"/>
          <w:szCs w:val="21"/>
          <w:lang w:eastAsia="zh-CN"/>
        </w:rPr>
        <w:t>权限的时间点起计。</w:t>
      </w:r>
    </w:p>
    <w:p w14:paraId="0450E4D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eastAsia="宋体" w:cs="宋体"/>
          <w:kern w:val="2"/>
          <w:lang w:val="en-US" w:eastAsia="zh-CN"/>
        </w:rPr>
        <w:t>2</w:t>
      </w:r>
      <w:r>
        <w:rPr>
          <w:rFonts w:hint="eastAsia" w:ascii="宋体" w:hAnsi="宋体" w:eastAsia="宋体" w:cs="宋体"/>
          <w:kern w:val="2"/>
          <w:lang w:eastAsia="zh-CN"/>
        </w:rPr>
        <w:t>）集群可用率：不低于95%。</w:t>
      </w:r>
    </w:p>
    <w:p w14:paraId="54B62A50">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val="en-US" w:eastAsia="zh-CN"/>
        </w:rPr>
        <w:t>（3）</w:t>
      </w:r>
      <w:r>
        <w:rPr>
          <w:rFonts w:hint="eastAsia" w:ascii="宋体" w:hAnsi="宋体" w:eastAsia="宋体" w:cs="宋体"/>
          <w:kern w:val="2"/>
          <w:lang w:eastAsia="zh-CN"/>
        </w:rPr>
        <w:t>网络：参数面网络可靠性高达99.95%。</w:t>
      </w:r>
    </w:p>
    <w:p w14:paraId="6B82184D">
      <w:pPr>
        <w:widowControl w:val="0"/>
        <w:autoSpaceDE w:val="0"/>
        <w:autoSpaceDN w:val="0"/>
        <w:adjustRightInd w:val="0"/>
        <w:snapToGrid w:val="0"/>
        <w:spacing w:line="360" w:lineRule="auto"/>
        <w:ind w:firstLine="420" w:firstLineChars="200"/>
        <w:jc w:val="both"/>
        <w:outlineLvl w:val="4"/>
        <w:rPr>
          <w:rFonts w:hint="eastAsia" w:ascii="宋体" w:hAnsi="宋体" w:eastAsia="宋体" w:cs="宋体"/>
          <w:b/>
          <w:bCs/>
          <w:kern w:val="2"/>
          <w:lang w:eastAsia="zh-CN"/>
        </w:rPr>
      </w:pPr>
      <w:r>
        <w:rPr>
          <w:rFonts w:hint="eastAsia" w:ascii="宋体" w:hAnsi="宋体" w:eastAsia="宋体" w:cs="宋体"/>
          <w:b/>
          <w:bCs/>
          <w:kern w:val="2"/>
          <w:lang w:val="en-US" w:eastAsia="zh-CN"/>
        </w:rPr>
        <w:t>2、</w:t>
      </w:r>
      <w:r>
        <w:rPr>
          <w:rFonts w:hint="eastAsia" w:ascii="宋体" w:hAnsi="宋体" w:eastAsia="宋体" w:cs="宋体"/>
          <w:b/>
          <w:bCs/>
          <w:kern w:val="2"/>
          <w:lang w:eastAsia="zh-CN"/>
        </w:rPr>
        <w:t>具体运维服务要求</w:t>
      </w:r>
    </w:p>
    <w:p w14:paraId="78EB289F">
      <w:pPr>
        <w:widowControl w:val="0"/>
        <w:autoSpaceDE w:val="0"/>
        <w:autoSpaceDN w:val="0"/>
        <w:adjustRightInd w:val="0"/>
        <w:snapToGrid w:val="0"/>
        <w:spacing w:line="360" w:lineRule="auto"/>
        <w:ind w:firstLine="420" w:firstLineChars="200"/>
        <w:jc w:val="both"/>
        <w:outlineLvl w:val="5"/>
        <w:rPr>
          <w:rFonts w:hint="eastAsia" w:ascii="宋体" w:hAnsi="宋体" w:eastAsia="宋体" w:cs="宋体"/>
          <w:b/>
          <w:bCs/>
          <w:kern w:val="2"/>
          <w:lang w:eastAsia="zh-CN"/>
        </w:rPr>
      </w:pPr>
      <w:r>
        <w:rPr>
          <w:rFonts w:hint="eastAsia" w:ascii="宋体" w:hAnsi="宋体" w:eastAsia="宋体" w:cs="宋体"/>
          <w:b/>
          <w:bCs/>
          <w:kern w:val="2"/>
          <w:lang w:eastAsia="zh-CN"/>
        </w:rPr>
        <w:t>（</w:t>
      </w:r>
      <w:r>
        <w:rPr>
          <w:rFonts w:hint="eastAsia" w:ascii="宋体" w:hAnsi="宋体" w:eastAsia="宋体" w:cs="宋体"/>
          <w:b/>
          <w:bCs/>
          <w:kern w:val="2"/>
          <w:lang w:val="en-US" w:eastAsia="zh-CN"/>
        </w:rPr>
        <w:t>1</w:t>
      </w:r>
      <w:r>
        <w:rPr>
          <w:rFonts w:hint="eastAsia" w:ascii="宋体" w:hAnsi="宋体" w:eastAsia="宋体" w:cs="宋体"/>
          <w:b/>
          <w:bCs/>
          <w:kern w:val="2"/>
          <w:lang w:eastAsia="zh-CN"/>
        </w:rPr>
        <w:t>）智算集群日常运维保障服务</w:t>
      </w:r>
    </w:p>
    <w:p w14:paraId="7082564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为保障智算集群的稳定运行，为智算集群客户提供高效、快捷的技术服务，支持采购人做好智算集群业务的运维服务，投标人一方面应做好智算集群的日常运维和故障处理等工作，确保整个系统的安全平稳运行；另一方面支撑采购人相关业务部门做好智算算力资源对外的智算集群管理、开通、运行、服务、回收的全流程工作，充分发挥智算集群算力资源池的资源价值，为客户提供业界领先的技术服务，保障服务质量和服务体验，打造智算集群服务的品牌，创造良好的经济效益和社会效益。</w:t>
      </w:r>
    </w:p>
    <w:p w14:paraId="53346E4E">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1）算力集群业务运维支持服务</w:t>
      </w:r>
    </w:p>
    <w:p w14:paraId="1D788D11">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投标人应基于采购人投资建设的软硬件设备，支持采购人智算集群管理团队，对外提供智算服务。投标人需提供以下的智算集群业务服务支持：数据导入、数据极速导入、算力资源配置确认及开通、监控数据报表、独享带宽保障、数据备份恢复服务、平台运行监控、业务运维监控服务、故障诊断及处理等。</w:t>
      </w:r>
    </w:p>
    <w:p w14:paraId="34C879C7">
      <w:pPr>
        <w:spacing w:line="360" w:lineRule="auto"/>
        <w:jc w:val="center"/>
        <w:rPr>
          <w:rFonts w:hint="eastAsia" w:ascii="宋体" w:hAnsi="宋体" w:eastAsia="宋体"/>
          <w:b/>
          <w:bCs/>
          <w:kern w:val="2"/>
          <w:sz w:val="21"/>
          <w:szCs w:val="21"/>
          <w:lang w:eastAsia="zh-CN"/>
        </w:rPr>
      </w:pPr>
      <w:r>
        <w:rPr>
          <w:rFonts w:hint="eastAsia" w:ascii="宋体" w:hAnsi="宋体" w:eastAsia="宋体"/>
          <w:b/>
          <w:bCs/>
          <w:kern w:val="2"/>
          <w:sz w:val="21"/>
          <w:szCs w:val="21"/>
          <w:lang w:eastAsia="zh-CN"/>
        </w:rPr>
        <w:t>智算集群业务运维支持服务</w:t>
      </w:r>
    </w:p>
    <w:tbl>
      <w:tblPr>
        <w:tblStyle w:val="5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2505"/>
        <w:gridCol w:w="5358"/>
      </w:tblGrid>
      <w:tr w14:paraId="5456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ign w:val="center"/>
          </w:tcPr>
          <w:p w14:paraId="09F48E67">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b/>
                <w:bCs/>
                <w:color w:val="000000"/>
                <w:kern w:val="2"/>
                <w:sz w:val="18"/>
                <w:szCs w:val="18"/>
                <w:lang w:eastAsia="zh-CN"/>
              </w:rPr>
            </w:pPr>
            <w:r>
              <w:rPr>
                <w:rFonts w:hint="eastAsia" w:ascii="宋体" w:hAnsi="宋体" w:eastAsia="宋体"/>
                <w:b/>
                <w:bCs/>
                <w:color w:val="000000"/>
                <w:kern w:val="2"/>
                <w:sz w:val="18"/>
                <w:szCs w:val="18"/>
                <w:lang w:eastAsia="zh-CN"/>
              </w:rPr>
              <w:t>序号</w:t>
            </w:r>
          </w:p>
        </w:tc>
        <w:tc>
          <w:tcPr>
            <w:tcW w:w="0" w:type="auto"/>
            <w:noWrap/>
            <w:vAlign w:val="center"/>
          </w:tcPr>
          <w:p w14:paraId="0607C75C">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b/>
                <w:bCs/>
                <w:color w:val="000000"/>
                <w:kern w:val="2"/>
                <w:sz w:val="18"/>
                <w:szCs w:val="18"/>
                <w:lang w:eastAsia="zh-CN"/>
              </w:rPr>
            </w:pPr>
            <w:r>
              <w:rPr>
                <w:rFonts w:hint="eastAsia" w:ascii="宋体" w:hAnsi="宋体" w:eastAsia="宋体"/>
                <w:b/>
                <w:bCs/>
                <w:color w:val="000000"/>
                <w:kern w:val="2"/>
                <w:sz w:val="18"/>
                <w:szCs w:val="18"/>
                <w:lang w:eastAsia="zh-CN"/>
              </w:rPr>
              <w:t>服务事项</w:t>
            </w:r>
          </w:p>
        </w:tc>
        <w:tc>
          <w:tcPr>
            <w:tcW w:w="5358" w:type="dxa"/>
            <w:vAlign w:val="center"/>
          </w:tcPr>
          <w:p w14:paraId="7377C1E7">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b/>
                <w:bCs/>
                <w:color w:val="000000"/>
                <w:kern w:val="2"/>
                <w:sz w:val="18"/>
                <w:szCs w:val="18"/>
                <w:lang w:eastAsia="zh-CN"/>
              </w:rPr>
            </w:pPr>
            <w:r>
              <w:rPr>
                <w:rFonts w:hint="eastAsia" w:ascii="宋体" w:hAnsi="宋体" w:eastAsia="宋体"/>
                <w:b/>
                <w:bCs/>
                <w:color w:val="000000"/>
                <w:kern w:val="2"/>
                <w:sz w:val="18"/>
                <w:szCs w:val="18"/>
                <w:lang w:eastAsia="zh-CN"/>
              </w:rPr>
              <w:t>服务内容</w:t>
            </w:r>
          </w:p>
        </w:tc>
      </w:tr>
      <w:tr w14:paraId="6504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0" w:type="auto"/>
            <w:noWrap/>
            <w:vAlign w:val="center"/>
          </w:tcPr>
          <w:p w14:paraId="1A0E375C">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1</w:t>
            </w:r>
          </w:p>
        </w:tc>
        <w:tc>
          <w:tcPr>
            <w:tcW w:w="0" w:type="auto"/>
            <w:noWrap/>
            <w:vAlign w:val="center"/>
          </w:tcPr>
          <w:p w14:paraId="2E6E829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数据导入/导出</w:t>
            </w:r>
          </w:p>
        </w:tc>
        <w:tc>
          <w:tcPr>
            <w:tcW w:w="5358" w:type="dxa"/>
            <w:vAlign w:val="center"/>
          </w:tcPr>
          <w:p w14:paraId="609591BB">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1.开通从客户到算力资源池的专项数据导入/导出VPN接入端口，提供有限期的接入服务（不超过2周），配合客户完成数据集导入/导出工作；数据集导入/导出完成之后，拆除该VPN数据集导入通道。数据集导入通道，互联网级别每客户可开通两次，超过次数额外协商。</w:t>
            </w:r>
            <w:r>
              <w:rPr>
                <w:rFonts w:hint="eastAsia" w:ascii="宋体" w:hAnsi="宋体" w:eastAsia="宋体"/>
                <w:color w:val="000000"/>
                <w:kern w:val="2"/>
                <w:sz w:val="18"/>
                <w:szCs w:val="18"/>
                <w:lang w:eastAsia="zh-CN"/>
              </w:rPr>
              <w:br w:type="textWrapping"/>
            </w:r>
            <w:r>
              <w:rPr>
                <w:rFonts w:hint="eastAsia" w:ascii="宋体" w:hAnsi="宋体" w:eastAsia="宋体"/>
                <w:color w:val="000000"/>
                <w:kern w:val="2"/>
                <w:sz w:val="18"/>
                <w:szCs w:val="18"/>
                <w:lang w:eastAsia="zh-CN"/>
              </w:rPr>
              <w:t>2.文件和代码通过管理VPN导入/导出，客户可自助开启。</w:t>
            </w:r>
          </w:p>
        </w:tc>
      </w:tr>
      <w:tr w14:paraId="4922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7E341016">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2</w:t>
            </w:r>
          </w:p>
        </w:tc>
        <w:tc>
          <w:tcPr>
            <w:tcW w:w="0" w:type="auto"/>
            <w:noWrap/>
            <w:vAlign w:val="center"/>
          </w:tcPr>
          <w:p w14:paraId="2E5A093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数据极速导入</w:t>
            </w:r>
          </w:p>
        </w:tc>
        <w:tc>
          <w:tcPr>
            <w:tcW w:w="5358" w:type="dxa"/>
            <w:vAlign w:val="center"/>
          </w:tcPr>
          <w:p w14:paraId="4F213CB4">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为客户提供数据集极速导入业务，专人携带数据存储介质进入IDC操作，数据集即可存入智算空间。</w:t>
            </w:r>
          </w:p>
        </w:tc>
      </w:tr>
      <w:tr w14:paraId="54CD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534E690F">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3</w:t>
            </w:r>
          </w:p>
        </w:tc>
        <w:tc>
          <w:tcPr>
            <w:tcW w:w="0" w:type="auto"/>
            <w:noWrap/>
            <w:vAlign w:val="center"/>
          </w:tcPr>
          <w:p w14:paraId="02213992">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数据极速导出</w:t>
            </w:r>
          </w:p>
        </w:tc>
        <w:tc>
          <w:tcPr>
            <w:tcW w:w="5358" w:type="dxa"/>
            <w:vAlign w:val="center"/>
          </w:tcPr>
          <w:p w14:paraId="4FAA56B4">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为客户提供数据集极速导出业务，专人携带数据存储介质进入IDC操作，数据集从智算空间导出到客户自己的存储介质</w:t>
            </w:r>
          </w:p>
        </w:tc>
      </w:tr>
      <w:tr w14:paraId="6289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0" w:type="auto"/>
            <w:noWrap/>
            <w:vAlign w:val="center"/>
          </w:tcPr>
          <w:p w14:paraId="58B39D46">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4</w:t>
            </w:r>
          </w:p>
        </w:tc>
        <w:tc>
          <w:tcPr>
            <w:tcW w:w="0" w:type="auto"/>
            <w:noWrap/>
            <w:vAlign w:val="center"/>
          </w:tcPr>
          <w:p w14:paraId="7DA56729">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算力资源配置确认及开通</w:t>
            </w:r>
          </w:p>
        </w:tc>
        <w:tc>
          <w:tcPr>
            <w:tcW w:w="5358" w:type="dxa"/>
            <w:vAlign w:val="center"/>
          </w:tcPr>
          <w:p w14:paraId="4D737CD7">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客户提出算力资源租赁申请后，提供售前技术服务，包括但不限于：核对租赁要求，设计算力配套资源，确认智算集群服务内容，完成资源开通协助，提供必要的使用指引</w:t>
            </w:r>
          </w:p>
        </w:tc>
      </w:tr>
      <w:tr w14:paraId="17C1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41EF9758">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5</w:t>
            </w:r>
          </w:p>
        </w:tc>
        <w:tc>
          <w:tcPr>
            <w:tcW w:w="0" w:type="auto"/>
            <w:noWrap/>
            <w:vAlign w:val="center"/>
          </w:tcPr>
          <w:p w14:paraId="1F8DE3C3">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系统环境调整服务</w:t>
            </w:r>
          </w:p>
        </w:tc>
        <w:tc>
          <w:tcPr>
            <w:tcW w:w="5358" w:type="dxa"/>
            <w:vAlign w:val="center"/>
          </w:tcPr>
          <w:p w14:paraId="21676CAF">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基于客户的算力资源需求，提供</w:t>
            </w:r>
            <w:r>
              <w:rPr>
                <w:rFonts w:ascii="宋体" w:hAnsi="宋体" w:eastAsia="宋体"/>
                <w:color w:val="000000"/>
                <w:kern w:val="2"/>
                <w:sz w:val="18"/>
                <w:szCs w:val="18"/>
                <w:lang w:eastAsia="zh-CN"/>
              </w:rPr>
              <w:t>操作系统、驱动、</w:t>
            </w:r>
            <w:r>
              <w:rPr>
                <w:rFonts w:hint="eastAsia" w:ascii="宋体" w:hAnsi="宋体" w:eastAsia="宋体"/>
                <w:color w:val="000000"/>
                <w:kern w:val="2"/>
                <w:sz w:val="18"/>
                <w:szCs w:val="18"/>
                <w:lang w:eastAsia="zh-CN"/>
              </w:rPr>
              <w:t>容器、</w:t>
            </w:r>
            <w:r>
              <w:rPr>
                <w:rFonts w:ascii="宋体" w:hAnsi="宋体" w:eastAsia="宋体"/>
                <w:color w:val="000000"/>
                <w:kern w:val="2"/>
                <w:sz w:val="18"/>
                <w:szCs w:val="18"/>
                <w:lang w:eastAsia="zh-CN"/>
              </w:rPr>
              <w:t>K8S的</w:t>
            </w:r>
            <w:r>
              <w:rPr>
                <w:rFonts w:hint="eastAsia" w:ascii="宋体" w:hAnsi="宋体" w:eastAsia="宋体"/>
                <w:color w:val="000000"/>
                <w:kern w:val="2"/>
                <w:sz w:val="18"/>
                <w:szCs w:val="18"/>
                <w:lang w:eastAsia="zh-CN"/>
              </w:rPr>
              <w:t>重新</w:t>
            </w:r>
            <w:r>
              <w:rPr>
                <w:rFonts w:ascii="宋体" w:hAnsi="宋体" w:eastAsia="宋体"/>
                <w:color w:val="000000"/>
                <w:kern w:val="2"/>
                <w:sz w:val="18"/>
                <w:szCs w:val="18"/>
                <w:lang w:eastAsia="zh-CN"/>
              </w:rPr>
              <w:t>部署服务</w:t>
            </w:r>
          </w:p>
        </w:tc>
      </w:tr>
      <w:tr w14:paraId="2301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0" w:type="auto"/>
            <w:noWrap/>
            <w:vAlign w:val="center"/>
          </w:tcPr>
          <w:p w14:paraId="6B2508C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6</w:t>
            </w:r>
          </w:p>
        </w:tc>
        <w:tc>
          <w:tcPr>
            <w:tcW w:w="0" w:type="auto"/>
            <w:noWrap/>
            <w:vAlign w:val="center"/>
          </w:tcPr>
          <w:p w14:paraId="06CF9D88">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监控数据报表</w:t>
            </w:r>
          </w:p>
        </w:tc>
        <w:tc>
          <w:tcPr>
            <w:tcW w:w="5358" w:type="dxa"/>
            <w:vAlign w:val="center"/>
          </w:tcPr>
          <w:p w14:paraId="65DB2406">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服务周期内，周期性（通常是月）向客户发布邮件，统计算力资源使用情况报表，并提供数据监控的原始点文件</w:t>
            </w:r>
          </w:p>
        </w:tc>
      </w:tr>
      <w:tr w14:paraId="7586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1C1AC85B">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7</w:t>
            </w:r>
          </w:p>
        </w:tc>
        <w:tc>
          <w:tcPr>
            <w:tcW w:w="0" w:type="auto"/>
            <w:noWrap/>
            <w:vAlign w:val="center"/>
          </w:tcPr>
          <w:p w14:paraId="4A8511A4">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独享带宽保障</w:t>
            </w:r>
          </w:p>
        </w:tc>
        <w:tc>
          <w:tcPr>
            <w:tcW w:w="5358" w:type="dxa"/>
            <w:vAlign w:val="center"/>
          </w:tcPr>
          <w:p w14:paraId="6E029E76">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按套餐包含的公网出口带宽为客户提供独享带宽，包括用户portal；用户文件上传；用户ssh访问等</w:t>
            </w:r>
          </w:p>
        </w:tc>
      </w:tr>
      <w:tr w14:paraId="72BE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0" w:type="auto"/>
            <w:noWrap/>
            <w:vAlign w:val="center"/>
          </w:tcPr>
          <w:p w14:paraId="31901FFC">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8</w:t>
            </w:r>
          </w:p>
        </w:tc>
        <w:tc>
          <w:tcPr>
            <w:tcW w:w="0" w:type="auto"/>
            <w:noWrap/>
            <w:vAlign w:val="center"/>
          </w:tcPr>
          <w:p w14:paraId="0127C2B8">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数据备份恢复服务</w:t>
            </w:r>
          </w:p>
        </w:tc>
        <w:tc>
          <w:tcPr>
            <w:tcW w:w="5358" w:type="dxa"/>
            <w:vAlign w:val="center"/>
          </w:tcPr>
          <w:p w14:paraId="6D65BAD9">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客户提出数据备份/恢复申请，备份来源为空间内所有有访问权限数据和文件；恢复则为同客户下的前期数据备份</w:t>
            </w:r>
          </w:p>
        </w:tc>
      </w:tr>
      <w:tr w14:paraId="2FDB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7ECEF0D9">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9</w:t>
            </w:r>
          </w:p>
        </w:tc>
        <w:tc>
          <w:tcPr>
            <w:tcW w:w="0" w:type="auto"/>
            <w:noWrap/>
            <w:vAlign w:val="center"/>
          </w:tcPr>
          <w:p w14:paraId="63FABA6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故障诊断及处理</w:t>
            </w:r>
          </w:p>
        </w:tc>
        <w:tc>
          <w:tcPr>
            <w:tcW w:w="5358" w:type="dxa"/>
            <w:vAlign w:val="center"/>
          </w:tcPr>
          <w:p w14:paraId="24CEE2B5">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平台发生故障或客户使用过程中出现故障，及时安排技术人员进行排查诊断，对故障进行处理和恢复。</w:t>
            </w:r>
          </w:p>
        </w:tc>
      </w:tr>
    </w:tbl>
    <w:p w14:paraId="785F10A1">
      <w:pPr>
        <w:spacing w:line="360" w:lineRule="auto"/>
        <w:ind w:firstLine="420" w:firstLineChars="200"/>
        <w:jc w:val="both"/>
        <w:rPr>
          <w:rFonts w:hint="eastAsia" w:ascii="宋体" w:hAnsi="宋体" w:eastAsia="宋体"/>
          <w:kern w:val="2"/>
          <w:sz w:val="21"/>
          <w:szCs w:val="21"/>
          <w:lang w:eastAsia="zh-CN"/>
        </w:rPr>
      </w:pPr>
      <w:r>
        <w:rPr>
          <w:rFonts w:hint="eastAsia" w:ascii="宋体" w:hAnsi="宋体" w:eastAsia="宋体"/>
          <w:kern w:val="2"/>
          <w:sz w:val="21"/>
          <w:szCs w:val="21"/>
          <w:lang w:eastAsia="zh-CN"/>
        </w:rPr>
        <w:t>注：本文所写“客户”是指与本项目采购人签署算力租赁服务合同、并实际使用本项目算力集群资源的单位。</w:t>
      </w:r>
    </w:p>
    <w:p w14:paraId="720DEF5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eastAsia="宋体" w:cs="宋体"/>
          <w:kern w:val="2"/>
          <w:lang w:val="en-US" w:eastAsia="zh-CN"/>
        </w:rPr>
        <w:t>a</w:t>
      </w:r>
      <w:r>
        <w:rPr>
          <w:rFonts w:hint="eastAsia" w:ascii="宋体" w:hAnsi="宋体" w:eastAsia="宋体" w:cs="宋体"/>
          <w:kern w:val="2"/>
          <w:lang w:eastAsia="zh-CN"/>
        </w:rPr>
        <w:t>）算力资源开通的技术支持</w:t>
      </w:r>
    </w:p>
    <w:p w14:paraId="1BA3CA61">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为客户提供智算中心平台相关的技术支持，协助客户算力资源管理团队推动客户完成试用、或长期租用算力中心的智算资源服务；</w:t>
      </w:r>
    </w:p>
    <w:p w14:paraId="7597A2C2">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①采取线下约谈或线上会议方式与智算中心客户进行算力服务需求的技术方案交流。</w:t>
      </w:r>
    </w:p>
    <w:p w14:paraId="554BDD2B">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②对智算中心客户的需求进行分析，协助智算中心管理人员 收集需求信息，并完成相关方案编写工作。</w:t>
      </w:r>
    </w:p>
    <w:p w14:paraId="5A709BA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③技术方案POC测试：</w:t>
      </w:r>
    </w:p>
    <w:p w14:paraId="2D103820">
      <w:pPr>
        <w:widowControl w:val="0"/>
        <w:numPr>
          <w:ilvl w:val="12"/>
          <w:numId w:val="0"/>
        </w:numPr>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根据收到的试用、租用智算资源需求，负责评估当前智算平台能否满足测试或租用需求，资源具备则及时调整智算中心平台的虚拟算力资源或裸金属算力资源；</w:t>
      </w:r>
    </w:p>
    <w:p w14:paraId="6245F106">
      <w:pPr>
        <w:widowControl w:val="0"/>
        <w:numPr>
          <w:ilvl w:val="12"/>
          <w:numId w:val="0"/>
        </w:numPr>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根据收到的客户试用、租用或购买需求，提供相应的IB组网方案；若组网不满足客户需求，需在买方数据中心机房进行相应的设备上架、设备调整、线缆布线和组网变更等；</w:t>
      </w:r>
    </w:p>
    <w:p w14:paraId="303C655F">
      <w:pPr>
        <w:widowControl w:val="0"/>
        <w:numPr>
          <w:ilvl w:val="12"/>
          <w:numId w:val="0"/>
        </w:numPr>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负责为测试客户开通或回收智算平台资源及账号信息：包括裸金属服务器数量、VPN账号、操作系统账号及登录方式，提供VPN客户端、VPN网关地址、共享存储空间、跳板机登录地址，并为客户提供配套使用手册。</w:t>
      </w:r>
    </w:p>
    <w:p w14:paraId="1809C07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④根据采购人要求，积极配合智算中心管理团队提供智算中心客户招投标相关材料支持。</w:t>
      </w:r>
    </w:p>
    <w:p w14:paraId="4929254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b</w:t>
      </w:r>
      <w:r>
        <w:rPr>
          <w:rFonts w:hint="eastAsia" w:ascii="宋体" w:hAnsi="宋体" w:eastAsia="宋体" w:cs="宋体"/>
          <w:kern w:val="2"/>
          <w:lang w:eastAsia="zh-CN"/>
        </w:rPr>
        <w:t>）客户接入及业务开通服务</w:t>
      </w:r>
    </w:p>
    <w:p w14:paraId="4A877699">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①根据收到的客户租用或购买需求，提供相应的IB组网方案；若组网不满足客户需求，在采购人数据中心机房进行相应的设备调整及当前范围内的线缆布线和组网变更等；</w:t>
      </w:r>
    </w:p>
    <w:p w14:paraId="49DD9DB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②负责根据正式客户业务开通需求，规划和调整共享存储空间，指导第三方团队进行共享存储的组网规划和调整，初始化共享存储空间以及共享存储空间的整体分配；</w:t>
      </w:r>
    </w:p>
    <w:p w14:paraId="55F7DF3A">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③负责根据客户需求进行智算服务器设备加电、操作系统的批量安装与重装、带外管理网配置、管理网卡绑定和配置、网卡驱动和</w:t>
      </w:r>
      <w:r>
        <w:rPr>
          <w:rFonts w:hint="eastAsia" w:ascii="宋体" w:hAnsi="宋体" w:cs="宋体"/>
          <w:kern w:val="2"/>
          <w:lang w:val="en-US" w:eastAsia="zh-CN"/>
        </w:rPr>
        <w:t>AI卡</w:t>
      </w:r>
      <w:r>
        <w:rPr>
          <w:rFonts w:hint="eastAsia" w:ascii="宋体" w:hAnsi="宋体" w:eastAsia="宋体" w:cs="宋体"/>
          <w:kern w:val="2"/>
          <w:lang w:eastAsia="zh-CN"/>
        </w:rPr>
        <w:t>驱动的安装、IB网卡配置；</w:t>
      </w:r>
    </w:p>
    <w:p w14:paraId="213B8FEF">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④负责在客户测试或正式业务上线交付前的带宽时延测试，包括读、写操作带宽测试，读写操作时延测试，发送操作带宽和时延测试，以及其他必要的测试；</w:t>
      </w:r>
    </w:p>
    <w:p w14:paraId="050D91D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⑤负责智算中心堡垒机资源的添加和维护，角色和权限的分配；因人为误操作或资源不可用等故障，责任无法判断时，负责查看和回溯堡垒机上的录屏内容，明确各方责任；</w:t>
      </w:r>
    </w:p>
    <w:p w14:paraId="74A028DC">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⑥负责为正式客户开通或回收智算平台资源及账号信息：包括裸金属服务器数量、VPN账号、操作系统账号及登录方式，提供VPN客户端、VPN网关地址、共享存储空间、跳板机登录地址，并为客户提供配套使用手册；</w:t>
      </w:r>
    </w:p>
    <w:p w14:paraId="3F4C7EA0">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⑦负责客户数据集磁盘或磁盘矩阵的挂载、客户数据集导入、磁盘或磁盘阵列卸载，并通知客户数据集是否导入成功，由客户确认下一步操作。</w:t>
      </w:r>
    </w:p>
    <w:p w14:paraId="74A29FF5">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⑧协助采购人在每个月【5】日前（如遇节日则相应顺延）填报上一月租户服务费用结算单中相关技术部分的内容，发送给采购人。</w:t>
      </w:r>
    </w:p>
    <w:p w14:paraId="1DDF600F">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2）算力集群日常运行维护服务</w:t>
      </w:r>
    </w:p>
    <w:p w14:paraId="1D74E23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eastAsia="宋体" w:cs="宋体"/>
          <w:kern w:val="2"/>
          <w:lang w:val="en-US" w:eastAsia="zh-CN"/>
        </w:rPr>
        <w:t>a</w:t>
      </w:r>
      <w:r>
        <w:rPr>
          <w:rFonts w:hint="eastAsia" w:ascii="宋体" w:hAnsi="宋体" w:eastAsia="宋体" w:cs="宋体"/>
          <w:kern w:val="2"/>
          <w:lang w:eastAsia="zh-CN"/>
        </w:rPr>
        <w:t>）基础维护要求</w:t>
      </w:r>
    </w:p>
    <w:p w14:paraId="2817056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基础维护指为保证系统正常运行所需的预防性维护，日常维护支持，网络调整支持，数据备份支持等工作。包括：</w:t>
      </w:r>
    </w:p>
    <w:p w14:paraId="163683A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①日常维护技术支持：对系统的网络、硬件、软件系统进行维护，监控运行情况，保证系统正常运行。</w:t>
      </w:r>
    </w:p>
    <w:p w14:paraId="44656B98">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②日常投诉处理：支撑采购人智算中心管理人员处理客户投诉，并提供相关技术支撑工作。</w:t>
      </w:r>
    </w:p>
    <w:p w14:paraId="01DD7C7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③系统重装技术支持：负责系统服务端软件的安装。</w:t>
      </w:r>
    </w:p>
    <w:p w14:paraId="28FC9755">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④数据安全性管理技术支持：对系统的数据备份和恢复进行技术支持，以备在异常情况下尽快恢复系统。</w:t>
      </w:r>
    </w:p>
    <w:p w14:paraId="7D4650E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⑤成立专门的技术支持部门，由运维服务部经理统一协调技术服务工作。</w:t>
      </w:r>
    </w:p>
    <w:p w14:paraId="0D9A812B">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⑥支持电话、传真、电子邮件、WWW等方式的售后技术服务要求。</w:t>
      </w:r>
    </w:p>
    <w:p w14:paraId="7B59FA9A">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⑦远程无法解决的，需协调人员到现场进行更高层面的售后技术支持服务，同时协调第三方相关设备厂家共同到达客户问题现场。具体故障响应时间以及故障恢复时间，需要依据第三方相关设备厂商技术服务承诺要求。</w:t>
      </w:r>
    </w:p>
    <w:p w14:paraId="45EFD7B0">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⑧对智算中心的运行状况提供定期巡检服务。每周一次巡检，每个月进行一次深度巡检工作，保证软件和业务报表的数据健康、平稳运行。对于巡检中出现的隐患、高危或异常情况，及时汇报给采购人，并提供建议的解决方案。</w:t>
      </w:r>
    </w:p>
    <w:p w14:paraId="1D324A9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⑨配备网络安全专业技术人员，对系统定期进行安全检查，对运行中存在的安全隐患、检查发现的漏洞、安全问题等及时进行修复和解决。</w:t>
      </w:r>
    </w:p>
    <w:p w14:paraId="2D64398E">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⑩负责撰写智算中心月报，并提供给采购人运营团队。基于目前智算集群所有软硬件资源，定期提供满足采购方资源监控平台所要求的监控项列表，以及资源监控的详细信息。</w:t>
      </w:r>
    </w:p>
    <w:p w14:paraId="7900C6FD">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b</w:t>
      </w:r>
      <w:r>
        <w:rPr>
          <w:rFonts w:hint="eastAsia" w:ascii="宋体" w:hAnsi="宋体" w:eastAsia="宋体" w:cs="宋体"/>
          <w:kern w:val="2"/>
          <w:lang w:eastAsia="zh-CN"/>
        </w:rPr>
        <w:t>）升级支持服务</w:t>
      </w:r>
    </w:p>
    <w:p w14:paraId="2DDEBFE9">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①操作系统升级服务。</w:t>
      </w:r>
    </w:p>
    <w:p w14:paraId="55752BFA">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②版本升级技术支持：系统软件版本的升级。</w:t>
      </w:r>
      <w:bookmarkStart w:id="14" w:name="_GoBack"/>
      <w:bookmarkEnd w:id="14"/>
    </w:p>
    <w:p w14:paraId="0B2509F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③漏洞补丁安装服务：定期做系统巡检，与租户确认后，对发现的漏洞进行补丁安装服务。</w:t>
      </w:r>
    </w:p>
    <w:p w14:paraId="26FBEAAD">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c</w:t>
      </w:r>
      <w:r>
        <w:rPr>
          <w:rFonts w:hint="eastAsia" w:ascii="宋体" w:hAnsi="宋体" w:eastAsia="宋体" w:cs="宋体"/>
          <w:kern w:val="2"/>
          <w:lang w:eastAsia="zh-CN"/>
        </w:rPr>
        <w:t>）网络及安全运维工作</w:t>
      </w:r>
    </w:p>
    <w:p w14:paraId="2966AD31">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①负责整体智算中心网络安全策略的规划和动态调整，保障内部网络安全；</w:t>
      </w:r>
    </w:p>
    <w:p w14:paraId="630EE912">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②负责整体智算中心配套设备的安全加固和漏洞整改，保障平台自身安全；</w:t>
      </w:r>
    </w:p>
    <w:p w14:paraId="4E104130">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d</w:t>
      </w:r>
      <w:r>
        <w:rPr>
          <w:rFonts w:hint="eastAsia" w:ascii="宋体" w:hAnsi="宋体" w:eastAsia="宋体" w:cs="宋体"/>
          <w:kern w:val="2"/>
          <w:lang w:eastAsia="zh-CN"/>
        </w:rPr>
        <w:t>）故障处理服务</w:t>
      </w:r>
    </w:p>
    <w:p w14:paraId="60A1AC9F">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用户在使用系统时如遇到问题，无论是软件、硬件或是网络，都应得到相应的支持与帮助，并提供故障诊断分析和解决方案；严重故障导致系统不能正常运行，通过电话或远程无法解决,应在设备厂家备品备件准备就绪的情况下，满足现场故障处理的要求。应建立故障处理机制，原则上必须满足以下要求：</w:t>
      </w:r>
    </w:p>
    <w:p w14:paraId="356835F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①建立故障单上报机制</w:t>
      </w:r>
    </w:p>
    <w:p w14:paraId="79EB154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②建立故障报警机制</w:t>
      </w:r>
    </w:p>
    <w:p w14:paraId="4A9C28BF">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③建立故障表单并存储</w:t>
      </w:r>
    </w:p>
    <w:p w14:paraId="63D40D3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④业务影响确认：故障发生后，应尽快确认是否影响用户业务使用，采购人通过投诉预警、业务拨测、KPI性能指标监测、网络舆情等信息，以及通过登录信息进行用户业务影响情况确认，根据该信息判断是否为重大故障。</w:t>
      </w:r>
    </w:p>
    <w:p w14:paraId="590BCB0C">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⑤具体故障处理以及解决，需要依据第三方相关设备厂商技术服务承诺要求。</w:t>
      </w:r>
    </w:p>
    <w:p w14:paraId="347983EC">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e</w:t>
      </w:r>
      <w:r>
        <w:rPr>
          <w:rFonts w:hint="eastAsia" w:ascii="宋体" w:hAnsi="宋体" w:eastAsia="宋体" w:cs="宋体"/>
          <w:kern w:val="2"/>
          <w:lang w:eastAsia="zh-CN"/>
        </w:rPr>
        <w:t>）算力客户驻场技术支持服务</w:t>
      </w:r>
    </w:p>
    <w:p w14:paraId="34C6B22D">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投标人根据采购人要求，派遣技术人员至最终算力使用客户的工作场地，按照最终算力客户业务需求，按需开展模型微调、算子适配等业务支持增值技术服务。此部分服务具体可能包括以下事项：</w:t>
      </w:r>
    </w:p>
    <w:p w14:paraId="45AE401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（1）模型微调技术支持：根据算力客户提供的预训练模型和数据，开展针对性优化，以提升其在特定任务上的性能。</w:t>
      </w:r>
    </w:p>
    <w:p w14:paraId="48DD80BB">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（2）算子适配技术支持：根据算力客户提供的算子或AI框架文件，开展适配CUDA、</w:t>
      </w:r>
      <w:r>
        <w:rPr>
          <w:rFonts w:hint="eastAsia" w:ascii="宋体" w:hAnsi="宋体" w:cs="宋体"/>
          <w:kern w:val="2"/>
          <w:lang w:eastAsia="zh-CN"/>
        </w:rPr>
        <w:t>AI</w:t>
      </w:r>
      <w:r>
        <w:rPr>
          <w:rFonts w:hint="eastAsia" w:ascii="宋体" w:hAnsi="宋体" w:eastAsia="宋体" w:cs="宋体"/>
          <w:kern w:val="2"/>
          <w:lang w:eastAsia="zh-CN"/>
        </w:rPr>
        <w:t>卡等技术服务工作。</w:t>
      </w:r>
    </w:p>
    <w:p w14:paraId="74A05F9F">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（3）其他技术服务：根据算力客户需求，提供其他专业技术支持服务。</w:t>
      </w:r>
    </w:p>
    <w:p w14:paraId="478140DC">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f</w:t>
      </w:r>
      <w:r>
        <w:rPr>
          <w:rFonts w:hint="eastAsia" w:ascii="宋体" w:hAnsi="宋体" w:eastAsia="宋体" w:cs="宋体"/>
          <w:kern w:val="2"/>
          <w:lang w:eastAsia="zh-CN"/>
        </w:rPr>
        <w:t>）培训及其他服务</w:t>
      </w:r>
    </w:p>
    <w:p w14:paraId="44A2198E">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培训服务：向采购人或算力集群使用客户提供免费运维培训，包括平台使用、运维、故障排查等。</w:t>
      </w:r>
    </w:p>
    <w:p w14:paraId="19BB2A11">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专家服务：参与采购人有关智算集群运维、扩容等事项的重大技术论证会，提供专家意见。</w:t>
      </w:r>
    </w:p>
    <w:p w14:paraId="3C497A9C">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g</w:t>
      </w:r>
      <w:r>
        <w:rPr>
          <w:rFonts w:hint="eastAsia" w:ascii="宋体" w:hAnsi="宋体" w:eastAsia="宋体" w:cs="宋体"/>
          <w:kern w:val="2"/>
          <w:lang w:eastAsia="zh-CN"/>
        </w:rPr>
        <w:t>）定期总结报告</w:t>
      </w:r>
    </w:p>
    <w:p w14:paraId="7101C245">
      <w:pPr>
        <w:widowControl w:val="0"/>
        <w:numPr>
          <w:ilvl w:val="12"/>
          <w:numId w:val="0"/>
        </w:numPr>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月度报告：根据采购人要求，每月提供一份书面的智算集群运维月度报告。报告内容应包含集群设备当月的运行状况、集群使用客户资源利用情况、质保事件情况、备件使用情况等其他相关信息。</w:t>
      </w:r>
    </w:p>
    <w:p w14:paraId="6B86C8CD">
      <w:pPr>
        <w:widowControl w:val="0"/>
        <w:numPr>
          <w:ilvl w:val="12"/>
          <w:numId w:val="0"/>
        </w:numPr>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季度例会：根据采购人要求，每季度开展一次季度会议，线上或线下会议形式的汇报当季度的运维情况。汇报内容应包含集群设备当季度的运行状况、集群使用客户资源利用情况、质保事件情况、备件使用情况等其他相关信息。</w:t>
      </w:r>
    </w:p>
    <w:p w14:paraId="2CD24481">
      <w:pPr>
        <w:widowControl w:val="0"/>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年度报告：根据采购人要求，每年提供一份智算集群运维总结报告。报告应对全年集群的运行状况、集群使用客户资源利用情况、质保事件情况、备件使用情况进行统计分析，对常见故障及处理方案进行总结。</w:t>
      </w:r>
    </w:p>
    <w:p w14:paraId="75507439">
      <w:pPr>
        <w:widowControl w:val="0"/>
        <w:autoSpaceDE w:val="0"/>
        <w:autoSpaceDN w:val="0"/>
        <w:adjustRightInd w:val="0"/>
        <w:snapToGrid w:val="0"/>
        <w:spacing w:line="360" w:lineRule="auto"/>
        <w:ind w:firstLine="420" w:firstLineChars="200"/>
        <w:jc w:val="both"/>
        <w:outlineLvl w:val="5"/>
        <w:rPr>
          <w:rFonts w:hint="eastAsia" w:ascii="宋体" w:hAnsi="宋体" w:eastAsia="宋体" w:cs="宋体"/>
          <w:b/>
          <w:bCs/>
          <w:kern w:val="2"/>
          <w:lang w:eastAsia="zh-CN"/>
        </w:rPr>
      </w:pPr>
      <w:r>
        <w:rPr>
          <w:rFonts w:hint="eastAsia" w:ascii="宋体" w:hAnsi="宋体" w:eastAsia="宋体" w:cs="宋体"/>
          <w:b/>
          <w:bCs/>
          <w:kern w:val="2"/>
          <w:lang w:val="en-US" w:eastAsia="zh-CN"/>
        </w:rPr>
        <w:t>（2）</w:t>
      </w:r>
      <w:r>
        <w:rPr>
          <w:rFonts w:hint="eastAsia" w:ascii="宋体" w:hAnsi="宋体" w:eastAsia="宋体" w:cs="宋体"/>
          <w:b/>
          <w:bCs/>
          <w:kern w:val="2"/>
          <w:lang w:eastAsia="zh-CN"/>
        </w:rPr>
        <w:t>配套设备备件支持服务</w:t>
      </w:r>
    </w:p>
    <w:p w14:paraId="2A87A76B">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1）对智算集群除</w:t>
      </w:r>
      <w:r>
        <w:rPr>
          <w:rFonts w:hint="eastAsia" w:ascii="宋体" w:hAnsi="宋体" w:cs="宋体"/>
          <w:kern w:val="2"/>
          <w:lang w:val="en-US" w:eastAsia="zh-CN"/>
        </w:rPr>
        <w:t>AI</w:t>
      </w:r>
      <w:r>
        <w:rPr>
          <w:rFonts w:hint="eastAsia" w:ascii="宋体" w:hAnsi="宋体" w:eastAsia="宋体" w:cs="宋体"/>
          <w:kern w:val="2"/>
          <w:lang w:eastAsia="zh-CN"/>
        </w:rPr>
        <w:t>服务器以外的硬件部分，提供足够的备品备件支持服务（供应商在范围内承诺备件比例），确保服务期内智算集群的正常运转和使用。</w:t>
      </w:r>
    </w:p>
    <w:p w14:paraId="32D9E2D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2</w:t>
      </w:r>
      <w:r>
        <w:rPr>
          <w:rFonts w:hint="eastAsia" w:ascii="宋体" w:hAnsi="宋体" w:cs="宋体"/>
          <w:kern w:val="2"/>
          <w:lang w:eastAsia="zh-CN"/>
        </w:rPr>
        <w:t>）</w:t>
      </w:r>
      <w:r>
        <w:rPr>
          <w:rFonts w:hint="eastAsia" w:ascii="宋体" w:hAnsi="宋体" w:eastAsia="宋体" w:cs="宋体"/>
          <w:kern w:val="2"/>
          <w:lang w:eastAsia="zh-CN"/>
        </w:rPr>
        <w:t>对智算集群除GPU服务器以外的硬件部分，确保服务期内智算集群的正常运转和使用，硬件故障恢复要求7*24小时覆盖，实时响应，乙方自身需有足够的备品备件资源以达到可4小时内到现场及恢复能力，在4小时内到现场及解决故障。</w:t>
      </w:r>
    </w:p>
    <w:p w14:paraId="5FD7699E">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3）</w:t>
      </w:r>
      <w:r>
        <w:rPr>
          <w:rFonts w:hint="eastAsia" w:ascii="宋体" w:hAnsi="宋体" w:eastAsia="宋体" w:cs="宋体"/>
          <w:b w:val="0"/>
          <w:bCs w:val="0"/>
          <w:kern w:val="2"/>
          <w:lang w:eastAsia="zh-CN"/>
        </w:rPr>
        <w:t>原则</w:t>
      </w:r>
      <w:r>
        <w:rPr>
          <w:rFonts w:hint="eastAsia" w:ascii="宋体" w:hAnsi="宋体" w:cs="宋体"/>
          <w:b w:val="0"/>
          <w:bCs w:val="0"/>
          <w:kern w:val="2"/>
          <w:lang w:val="en-US" w:eastAsia="zh-CN"/>
        </w:rPr>
        <w:t>上</w:t>
      </w:r>
      <w:r>
        <w:rPr>
          <w:rFonts w:hint="eastAsia" w:ascii="宋体" w:hAnsi="宋体" w:eastAsia="宋体" w:cs="宋体"/>
          <w:b w:val="0"/>
          <w:bCs w:val="0"/>
          <w:kern w:val="2"/>
          <w:lang w:eastAsia="zh-CN"/>
        </w:rPr>
        <w:t>配套设备备件支持服务需与</w:t>
      </w:r>
      <w:r>
        <w:rPr>
          <w:rFonts w:hint="eastAsia" w:ascii="宋体" w:hAnsi="宋体" w:eastAsia="宋体" w:cs="宋体"/>
          <w:b w:val="0"/>
          <w:bCs w:val="0"/>
          <w:kern w:val="2"/>
          <w:lang w:val="en-US" w:eastAsia="zh-CN"/>
        </w:rPr>
        <w:t>本项目建设阶段投标确定的</w:t>
      </w:r>
      <w:r>
        <w:rPr>
          <w:rFonts w:hint="eastAsia" w:ascii="宋体" w:hAnsi="宋体" w:eastAsia="宋体" w:cs="宋体"/>
          <w:b w:val="0"/>
          <w:bCs w:val="0"/>
          <w:kern w:val="2"/>
          <w:lang w:eastAsia="zh-CN"/>
        </w:rPr>
        <w:t>设备型号严格</w:t>
      </w:r>
      <w:r>
        <w:rPr>
          <w:rFonts w:hint="eastAsia" w:ascii="宋体" w:hAnsi="宋体" w:cs="宋体"/>
          <w:b w:val="0"/>
          <w:bCs w:val="0"/>
          <w:kern w:val="2"/>
          <w:lang w:val="en-US" w:eastAsia="zh-CN"/>
        </w:rPr>
        <w:t>适配</w:t>
      </w:r>
      <w:r>
        <w:rPr>
          <w:rFonts w:hint="eastAsia" w:ascii="宋体" w:hAnsi="宋体" w:eastAsia="宋体" w:cs="宋体"/>
          <w:b w:val="0"/>
          <w:bCs w:val="0"/>
          <w:kern w:val="2"/>
          <w:lang w:eastAsia="zh-CN"/>
        </w:rPr>
        <w:t>，</w:t>
      </w:r>
      <w:r>
        <w:rPr>
          <w:rFonts w:hint="eastAsia" w:ascii="宋体" w:hAnsi="宋体" w:eastAsia="宋体" w:cs="宋体"/>
          <w:kern w:val="2"/>
          <w:lang w:eastAsia="zh-CN"/>
        </w:rPr>
        <w:t>确保兼容性及功能一致性。如有特殊情况（如原设备部件已停产、其他客观原因无法采购、不可抗力等情况），投标人应通知采购人，提供不降低性能且适配原设备的备件</w:t>
      </w:r>
      <w:r>
        <w:rPr>
          <w:rFonts w:hint="eastAsia" w:ascii="宋体" w:hAnsi="宋体" w:cs="宋体"/>
          <w:kern w:val="2"/>
          <w:lang w:val="en-US" w:eastAsia="zh-CN"/>
        </w:rPr>
        <w:t>支持服务</w:t>
      </w:r>
      <w:r>
        <w:rPr>
          <w:rFonts w:hint="eastAsia" w:ascii="宋体" w:hAnsi="宋体" w:eastAsia="宋体" w:cs="宋体"/>
          <w:kern w:val="2"/>
          <w:lang w:eastAsia="zh-CN"/>
        </w:rPr>
        <w:t>。</w:t>
      </w:r>
    </w:p>
    <w:p w14:paraId="4671F59F">
      <w:pPr>
        <w:widowControl w:val="0"/>
        <w:autoSpaceDE w:val="0"/>
        <w:autoSpaceDN w:val="0"/>
        <w:adjustRightInd w:val="0"/>
        <w:snapToGrid w:val="0"/>
        <w:spacing w:line="360" w:lineRule="auto"/>
        <w:ind w:firstLine="420" w:firstLineChars="200"/>
        <w:jc w:val="both"/>
        <w:outlineLvl w:val="5"/>
        <w:rPr>
          <w:rFonts w:hint="eastAsia" w:ascii="宋体" w:hAnsi="宋体" w:eastAsia="宋体" w:cs="宋体"/>
          <w:b/>
          <w:bCs/>
          <w:kern w:val="2"/>
          <w:lang w:val="en-US" w:eastAsia="zh-CN"/>
        </w:rPr>
      </w:pPr>
      <w:bookmarkStart w:id="11" w:name="_Toc3575"/>
      <w:r>
        <w:rPr>
          <w:rFonts w:hint="eastAsia" w:ascii="宋体" w:hAnsi="宋体" w:cs="宋体"/>
          <w:b/>
          <w:bCs/>
          <w:kern w:val="2"/>
          <w:lang w:val="en-US" w:eastAsia="zh-CN"/>
        </w:rPr>
        <w:t>（3）运维</w:t>
      </w:r>
      <w:r>
        <w:rPr>
          <w:rFonts w:hint="eastAsia" w:ascii="宋体" w:hAnsi="宋体" w:eastAsia="宋体" w:cs="宋体"/>
          <w:b/>
          <w:bCs/>
          <w:kern w:val="2"/>
          <w:lang w:val="en-US" w:eastAsia="zh-CN"/>
        </w:rPr>
        <w:t>服务团队要求</w:t>
      </w:r>
      <w:bookmarkEnd w:id="11"/>
    </w:p>
    <w:p w14:paraId="1CE8A6D0">
      <w:pPr>
        <w:widowControl w:val="0"/>
        <w:autoSpaceDE w:val="0"/>
        <w:autoSpaceDN w:val="0"/>
        <w:adjustRightInd w:val="0"/>
        <w:snapToGrid w:val="0"/>
        <w:spacing w:line="360" w:lineRule="auto"/>
        <w:ind w:firstLine="482"/>
        <w:jc w:val="both"/>
        <w:rPr>
          <w:rFonts w:hint="eastAsia" w:ascii="宋体" w:hAnsi="宋体" w:eastAsia="宋体" w:cs="宋体"/>
          <w:kern w:val="2"/>
          <w:lang w:eastAsia="zh-CN"/>
        </w:rPr>
      </w:pPr>
      <w:r>
        <w:rPr>
          <w:rFonts w:hint="eastAsia" w:ascii="宋体" w:hAnsi="宋体" w:eastAsia="宋体" w:cs="宋体"/>
          <w:kern w:val="2"/>
          <w:lang w:eastAsia="zh-CN"/>
        </w:rPr>
        <w:t>1）服务团队要求</w:t>
      </w:r>
    </w:p>
    <w:p w14:paraId="24542912">
      <w:pPr>
        <w:widowControl w:val="0"/>
        <w:autoSpaceDE w:val="0"/>
        <w:autoSpaceDN w:val="0"/>
        <w:adjustRightInd w:val="0"/>
        <w:snapToGrid w:val="0"/>
        <w:spacing w:line="360" w:lineRule="auto"/>
        <w:ind w:firstLine="482"/>
        <w:jc w:val="both"/>
        <w:rPr>
          <w:rFonts w:hint="eastAsia" w:ascii="宋体" w:hAnsi="宋体" w:eastAsia="宋体" w:cs="宋体"/>
          <w:kern w:val="2"/>
          <w:lang w:eastAsia="zh-CN"/>
        </w:rPr>
      </w:pPr>
      <w:r>
        <w:rPr>
          <w:rFonts w:hint="eastAsia" w:ascii="宋体" w:hAnsi="宋体" w:eastAsia="宋体" w:cs="宋体"/>
          <w:kern w:val="2"/>
          <w:lang w:eastAsia="zh-CN"/>
        </w:rPr>
        <w:t>提供一个不少于</w:t>
      </w:r>
      <w:r>
        <w:rPr>
          <w:rFonts w:hint="eastAsia" w:ascii="宋体" w:hAnsi="宋体" w:eastAsia="宋体" w:cs="宋体"/>
          <w:kern w:val="2"/>
          <w:lang w:val="en-US" w:eastAsia="zh-CN"/>
        </w:rPr>
        <w:t>15</w:t>
      </w:r>
      <w:r>
        <w:rPr>
          <w:rFonts w:hint="eastAsia" w:ascii="宋体" w:hAnsi="宋体" w:eastAsia="宋体" w:cs="宋体"/>
          <w:kern w:val="2"/>
          <w:lang w:eastAsia="zh-CN"/>
        </w:rPr>
        <w:t>人的服务团队，包括运维项目经理1名，智算集群资深运维专家2人，高级运维工程师</w:t>
      </w:r>
      <w:r>
        <w:rPr>
          <w:rFonts w:hint="eastAsia" w:ascii="宋体" w:hAnsi="宋体" w:eastAsia="宋体" w:cs="宋体"/>
          <w:kern w:val="2"/>
          <w:lang w:val="en-US" w:eastAsia="zh-CN"/>
        </w:rPr>
        <w:t>2</w:t>
      </w:r>
      <w:r>
        <w:rPr>
          <w:rFonts w:hint="eastAsia" w:ascii="宋体" w:hAnsi="宋体" w:eastAsia="宋体" w:cs="宋体"/>
          <w:kern w:val="2"/>
          <w:lang w:eastAsia="zh-CN"/>
        </w:rPr>
        <w:t>人（算力设备运维、网络设备运维各1名），中级运维工程师9人（每天3个班，每班3人，提供24小时驻场运维服务）、算力用户驻场技术支持工程师</w:t>
      </w:r>
      <w:r>
        <w:rPr>
          <w:rFonts w:hint="eastAsia" w:ascii="宋体" w:hAnsi="宋体" w:eastAsia="宋体" w:cs="宋体"/>
          <w:kern w:val="2"/>
          <w:lang w:val="en-US" w:eastAsia="zh-CN"/>
        </w:rPr>
        <w:t>1</w:t>
      </w:r>
      <w:r>
        <w:rPr>
          <w:rFonts w:hint="eastAsia" w:ascii="宋体" w:hAnsi="宋体" w:eastAsia="宋体" w:cs="宋体"/>
          <w:kern w:val="2"/>
          <w:lang w:eastAsia="zh-CN"/>
        </w:rPr>
        <w:t>人。基于目前智算集群的现状，提供详细的组网方案以及理解和建议，并提供整个智算集群（涵盖算力、参数网、存储网、管理网、业务网以及软件平台等）运行维护建议。投标人将根据附件《人员名单》向采购人提供本项目执行人员，投标人可基于项目实际需求进行对人员进行灵活调整，投标人更换项目人员需提前【7】日书面报采购人审批，擅自更换视为违约。</w:t>
      </w:r>
    </w:p>
    <w:p w14:paraId="4BB85129">
      <w:pPr>
        <w:widowControl w:val="0"/>
        <w:autoSpaceDE w:val="0"/>
        <w:autoSpaceDN w:val="0"/>
        <w:adjustRightInd w:val="0"/>
        <w:snapToGrid w:val="0"/>
        <w:spacing w:line="360" w:lineRule="auto"/>
        <w:ind w:firstLine="482"/>
        <w:jc w:val="both"/>
        <w:rPr>
          <w:rFonts w:hint="eastAsia" w:ascii="宋体" w:hAnsi="宋体" w:eastAsia="宋体" w:cs="宋体"/>
          <w:kern w:val="2"/>
          <w:lang w:eastAsia="zh-CN"/>
        </w:rPr>
      </w:pPr>
      <w:r>
        <w:rPr>
          <w:rFonts w:hint="eastAsia" w:ascii="宋体" w:hAnsi="宋体" w:eastAsia="宋体" w:cs="宋体"/>
          <w:kern w:val="2"/>
          <w:lang w:eastAsia="zh-CN"/>
        </w:rPr>
        <w:t>2）数据中心驻场服务要求：投标人提供7*24小时驻场服务，在智算集群所在数据中心提供现场运维工程师建立7*24小时值守轮岗工作机制。</w:t>
      </w:r>
    </w:p>
    <w:p w14:paraId="3773520D">
      <w:pPr>
        <w:widowControl w:val="0"/>
        <w:autoSpaceDE w:val="0"/>
        <w:autoSpaceDN w:val="0"/>
        <w:adjustRightInd w:val="0"/>
        <w:snapToGrid w:val="0"/>
        <w:spacing w:line="360" w:lineRule="auto"/>
        <w:ind w:firstLine="482"/>
        <w:jc w:val="both"/>
        <w:rPr>
          <w:rFonts w:hint="eastAsia" w:ascii="宋体" w:hAnsi="宋体" w:eastAsia="宋体" w:cs="宋体"/>
          <w:kern w:val="2"/>
          <w:lang w:eastAsia="zh-CN"/>
        </w:rPr>
      </w:pPr>
      <w:r>
        <w:rPr>
          <w:rFonts w:hint="eastAsia" w:ascii="宋体" w:hAnsi="宋体" w:cs="宋体"/>
          <w:kern w:val="2"/>
          <w:lang w:val="en-US" w:eastAsia="zh-CN"/>
        </w:rPr>
        <w:t>3</w:t>
      </w:r>
      <w:r>
        <w:rPr>
          <w:rFonts w:hint="eastAsia" w:ascii="宋体" w:hAnsi="宋体" w:eastAsia="宋体" w:cs="宋体"/>
          <w:kern w:val="2"/>
          <w:lang w:eastAsia="zh-CN"/>
        </w:rPr>
        <w:t>）服务团队工作要求</w:t>
      </w:r>
    </w:p>
    <w:p w14:paraId="16749192">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在项目的执行过程中，保障项目团队的人员要相对固定。驻场人员数量要能满足</w:t>
      </w:r>
      <w:r>
        <w:rPr>
          <w:rFonts w:hint="eastAsia" w:ascii="宋体" w:hAnsi="宋体" w:eastAsia="宋体" w:cs="宋体"/>
          <w:kern w:val="2"/>
          <w:lang w:val="en-US" w:eastAsia="zh-CN"/>
        </w:rPr>
        <w:t>本项目集群</w:t>
      </w:r>
      <w:r>
        <w:rPr>
          <w:rFonts w:hint="eastAsia" w:ascii="宋体" w:hAnsi="宋体" w:eastAsia="宋体" w:cs="宋体"/>
          <w:kern w:val="2"/>
          <w:lang w:eastAsia="zh-CN"/>
        </w:rPr>
        <w:t>的正常运行需求;在服务期内对系统进行全面的运维管理，保障系统正常运行和信息安全。投标人应提供负责运维人员通讯手机号码，以保障运维工作顺利进行。投标人委任具备相关工作能力与经验的项目经理和专业运维人员组建项目服务团队，明确组织架构与职责分工。服务团队应能够与采购人相关单位及其他运维单位积极、正确沟通协调，有效开展服务工作，并遵从采购人及相关业务单位的工作管理要求。提供项目经理与主要运维人员的有效通讯方式，并保持24小时联系畅通。</w:t>
      </w:r>
    </w:p>
    <w:p w14:paraId="1FEFE96A">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3"/>
        <w:rPr>
          <w:rFonts w:hint="eastAsia"/>
          <w:b/>
          <w:bCs/>
          <w:lang w:val="en-US" w:eastAsia="zh-CN"/>
        </w:rPr>
      </w:pPr>
      <w:r>
        <w:rPr>
          <w:rFonts w:hint="eastAsia"/>
          <w:b/>
          <w:bCs/>
          <w:lang w:val="en-US" w:eastAsia="zh-CN"/>
        </w:rPr>
        <w:t>（四）数据中心托管服务要求</w:t>
      </w:r>
    </w:p>
    <w:p w14:paraId="428BCDA5">
      <w:pPr>
        <w:spacing w:line="360" w:lineRule="auto"/>
        <w:ind w:firstLine="420" w:firstLineChars="200"/>
        <w:jc w:val="both"/>
        <w:rPr>
          <w:rFonts w:hint="eastAsia" w:ascii="宋体" w:hAnsi="宋体" w:eastAsia="宋体"/>
          <w:kern w:val="2"/>
          <w:sz w:val="21"/>
          <w:szCs w:val="21"/>
          <w:lang w:eastAsia="zh-CN"/>
        </w:rPr>
      </w:pPr>
      <w:r>
        <w:rPr>
          <w:rFonts w:eastAsia="宋体"/>
          <w:kern w:val="2"/>
          <w:sz w:val="21"/>
          <w:lang w:eastAsia="zh-CN"/>
        </w:rPr>
        <w:t>数据中心托管服务包括为本次招标所有设备的安装部署提供国标A级数据中心基础环境、服务期内的数据中心环境运维服务、设备运行所需的水电费。详细的数据中心基础设施需求和相关服务内容详见下表《数据中心托管服务需求表》</w:t>
      </w:r>
      <w:r>
        <w:rPr>
          <w:rFonts w:ascii="宋体" w:hAnsi="宋体" w:eastAsia="宋体"/>
          <w:kern w:val="2"/>
          <w:sz w:val="21"/>
          <w:szCs w:val="21"/>
          <w:lang w:eastAsia="zh-CN"/>
        </w:rPr>
        <w:t>。</w:t>
      </w:r>
    </w:p>
    <w:p w14:paraId="085D0358">
      <w:pPr>
        <w:spacing w:line="360" w:lineRule="auto"/>
        <w:ind w:firstLine="420" w:firstLineChars="200"/>
        <w:jc w:val="center"/>
        <w:rPr>
          <w:rFonts w:eastAsia="宋体"/>
          <w:b/>
          <w:bCs/>
          <w:kern w:val="2"/>
          <w:sz w:val="21"/>
          <w:lang w:eastAsia="zh-CN"/>
        </w:rPr>
      </w:pPr>
      <w:r>
        <w:rPr>
          <w:rFonts w:eastAsia="宋体"/>
          <w:b/>
          <w:bCs/>
          <w:kern w:val="2"/>
          <w:sz w:val="21"/>
          <w:lang w:eastAsia="zh-CN"/>
        </w:rPr>
        <w:t>智算集群数据中心托管服务需求表</w:t>
      </w:r>
    </w:p>
    <w:tbl>
      <w:tblPr>
        <w:tblStyle w:val="5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362"/>
        <w:gridCol w:w="4878"/>
        <w:gridCol w:w="852"/>
        <w:gridCol w:w="759"/>
      </w:tblGrid>
      <w:tr w14:paraId="0A4F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blHeader/>
        </w:trPr>
        <w:tc>
          <w:tcPr>
            <w:tcW w:w="394" w:type="pct"/>
            <w:vAlign w:val="center"/>
          </w:tcPr>
          <w:p w14:paraId="7355F69F">
            <w:pPr>
              <w:spacing w:line="240" w:lineRule="auto"/>
              <w:ind w:firstLine="0" w:firstLineChars="0"/>
              <w:jc w:val="center"/>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序号</w:t>
            </w:r>
          </w:p>
        </w:tc>
        <w:tc>
          <w:tcPr>
            <w:tcW w:w="799" w:type="pct"/>
            <w:vAlign w:val="center"/>
          </w:tcPr>
          <w:p w14:paraId="43E31FAE">
            <w:pPr>
              <w:spacing w:line="240" w:lineRule="auto"/>
              <w:ind w:firstLine="0" w:firstLineChars="0"/>
              <w:jc w:val="center"/>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服务事项</w:t>
            </w:r>
          </w:p>
        </w:tc>
        <w:tc>
          <w:tcPr>
            <w:tcW w:w="2862" w:type="pct"/>
            <w:vAlign w:val="center"/>
          </w:tcPr>
          <w:p w14:paraId="7B434208">
            <w:pPr>
              <w:spacing w:line="240" w:lineRule="auto"/>
              <w:ind w:firstLine="0" w:firstLineChars="0"/>
              <w:jc w:val="center"/>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主要服务内容及要求</w:t>
            </w:r>
          </w:p>
        </w:tc>
        <w:tc>
          <w:tcPr>
            <w:tcW w:w="500" w:type="pct"/>
            <w:vAlign w:val="center"/>
          </w:tcPr>
          <w:p w14:paraId="5E49155B">
            <w:pPr>
              <w:spacing w:line="240" w:lineRule="auto"/>
              <w:ind w:firstLine="0" w:firstLineChars="0"/>
              <w:jc w:val="center"/>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数量</w:t>
            </w:r>
          </w:p>
        </w:tc>
        <w:tc>
          <w:tcPr>
            <w:tcW w:w="445" w:type="pct"/>
            <w:vAlign w:val="center"/>
          </w:tcPr>
          <w:p w14:paraId="34C525FE">
            <w:pPr>
              <w:spacing w:line="240" w:lineRule="auto"/>
              <w:ind w:firstLine="0" w:firstLineChars="0"/>
              <w:jc w:val="center"/>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单位</w:t>
            </w:r>
          </w:p>
        </w:tc>
      </w:tr>
      <w:tr w14:paraId="2F78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1DFA80A7">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1</w:t>
            </w:r>
          </w:p>
        </w:tc>
        <w:tc>
          <w:tcPr>
            <w:tcW w:w="799" w:type="pct"/>
            <w:vAlign w:val="center"/>
          </w:tcPr>
          <w:p w14:paraId="2E2656FE">
            <w:pPr>
              <w:spacing w:line="240" w:lineRule="auto"/>
              <w:ind w:firstLine="0" w:firstLineChars="0"/>
              <w:jc w:val="left"/>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数据中心机柜要求</w:t>
            </w:r>
          </w:p>
        </w:tc>
        <w:tc>
          <w:tcPr>
            <w:tcW w:w="2862" w:type="pct"/>
            <w:vAlign w:val="center"/>
          </w:tcPr>
          <w:p w14:paraId="0FE41D53">
            <w:pPr>
              <w:spacing w:line="240" w:lineRule="auto"/>
              <w:ind w:firstLine="0" w:firstLineChars="0"/>
              <w:jc w:val="both"/>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1.1智算集群机柜数量要求</w:t>
            </w:r>
          </w:p>
          <w:p w14:paraId="3D45C4D5">
            <w:pPr>
              <w:widowControl w:val="0"/>
              <w:kinsoku w:val="0"/>
              <w:overflowPunct w:val="0"/>
              <w:autoSpaceDE w:val="0"/>
              <w:autoSpaceDN w:val="0"/>
              <w:adjustRightInd w:val="0"/>
              <w:snapToGrid w:val="0"/>
              <w:spacing w:line="360" w:lineRule="auto"/>
              <w:ind w:firstLine="0" w:firstLineChars="0"/>
              <w:jc w:val="left"/>
              <w:rPr>
                <w:rFonts w:hint="default" w:ascii="宋体" w:hAnsi="宋体" w:eastAsia="宋体"/>
                <w:color w:val="000000"/>
                <w:sz w:val="18"/>
                <w:szCs w:val="18"/>
                <w:lang w:val="en-US" w:eastAsia="zh-CN"/>
              </w:rPr>
            </w:pPr>
            <w:r>
              <w:rPr>
                <w:rFonts w:ascii="宋体" w:hAnsi="宋体" w:eastAsia="宋体"/>
                <w:color w:val="000000"/>
                <w:sz w:val="18"/>
                <w:szCs w:val="18"/>
                <w:lang w:eastAsia="zh-CN"/>
              </w:rPr>
              <w:t>（1）智算集群机柜需求：</w:t>
            </w:r>
            <w:r>
              <w:rPr>
                <w:rFonts w:hint="eastAsia" w:ascii="宋体" w:hAnsi="宋体" w:eastAsia="宋体"/>
                <w:color w:val="000000"/>
                <w:sz w:val="18"/>
                <w:szCs w:val="18"/>
                <w:lang w:val="en-US" w:eastAsia="zh-CN"/>
              </w:rPr>
              <w:t>由投标人根据自行投标方案，提出集群的机柜数量和单机柜功率需求</w:t>
            </w:r>
            <w:r>
              <w:rPr>
                <w:rFonts w:ascii="宋体" w:hAnsi="宋体" w:eastAsia="宋体"/>
                <w:color w:val="000000"/>
                <w:sz w:val="18"/>
                <w:szCs w:val="18"/>
                <w:lang w:eastAsia="zh-CN"/>
              </w:rPr>
              <w:t>；</w:t>
            </w:r>
            <w:r>
              <w:rPr>
                <w:rFonts w:hint="eastAsia" w:ascii="宋体" w:hAnsi="宋体"/>
                <w:color w:val="000000"/>
                <w:sz w:val="18"/>
                <w:szCs w:val="18"/>
                <w:lang w:val="en-US" w:eastAsia="zh-CN"/>
              </w:rPr>
              <w:t>提供</w:t>
            </w:r>
            <w:r>
              <w:rPr>
                <w:rFonts w:hint="eastAsia" w:ascii="宋体" w:hAnsi="宋体" w:eastAsia="宋体"/>
                <w:color w:val="000000"/>
                <w:sz w:val="18"/>
                <w:szCs w:val="18"/>
                <w:lang w:val="en-US" w:eastAsia="zh-CN"/>
              </w:rPr>
              <w:t>满足项目需求的数据中心托管服务。</w:t>
            </w:r>
          </w:p>
          <w:p w14:paraId="389CE463">
            <w:pPr>
              <w:spacing w:line="240" w:lineRule="auto"/>
              <w:ind w:firstLine="0" w:firstLineChars="0"/>
              <w:jc w:val="both"/>
              <w:rPr>
                <w:rFonts w:hint="default" w:ascii="宋体" w:hAnsi="宋体" w:eastAsia="宋体"/>
                <w:color w:val="000000"/>
                <w:kern w:val="2"/>
                <w:sz w:val="18"/>
                <w:szCs w:val="18"/>
                <w:lang w:val="en-US" w:eastAsia="zh-CN"/>
              </w:rPr>
            </w:pPr>
            <w:r>
              <w:rPr>
                <w:rFonts w:ascii="宋体" w:hAnsi="宋体" w:eastAsia="宋体"/>
                <w:color w:val="000000"/>
                <w:kern w:val="2"/>
                <w:sz w:val="18"/>
                <w:szCs w:val="18"/>
                <w:lang w:eastAsia="zh-CN"/>
              </w:rPr>
              <w:t>（2）针对</w:t>
            </w:r>
            <w:r>
              <w:rPr>
                <w:rFonts w:hint="eastAsia" w:ascii="宋体" w:hAnsi="宋体"/>
                <w:color w:val="000000"/>
                <w:kern w:val="2"/>
                <w:sz w:val="18"/>
                <w:szCs w:val="18"/>
                <w:lang w:val="en-US" w:eastAsia="zh-CN"/>
              </w:rPr>
              <w:t>各个</w:t>
            </w:r>
            <w:r>
              <w:rPr>
                <w:rFonts w:eastAsia="宋体"/>
                <w:color w:val="000000"/>
                <w:kern w:val="2"/>
                <w:sz w:val="18"/>
                <w:szCs w:val="18"/>
                <w:lang w:eastAsia="zh-CN"/>
              </w:rPr>
              <w:t>智算集群</w:t>
            </w:r>
            <w:r>
              <w:rPr>
                <w:rFonts w:hint="eastAsia"/>
                <w:color w:val="000000"/>
                <w:kern w:val="2"/>
                <w:sz w:val="18"/>
                <w:szCs w:val="18"/>
                <w:lang w:val="en-US" w:eastAsia="zh-CN"/>
              </w:rPr>
              <w:t>的</w:t>
            </w:r>
            <w:r>
              <w:rPr>
                <w:rFonts w:hint="eastAsia" w:eastAsia="宋体"/>
                <w:color w:val="000000"/>
                <w:kern w:val="2"/>
                <w:sz w:val="18"/>
                <w:szCs w:val="18"/>
                <w:lang w:val="en-US" w:eastAsia="zh-CN"/>
              </w:rPr>
              <w:t>设备部署的</w:t>
            </w:r>
            <w:r>
              <w:rPr>
                <w:rFonts w:ascii="宋体" w:hAnsi="宋体" w:eastAsia="宋体"/>
                <w:color w:val="000000"/>
                <w:kern w:val="2"/>
                <w:sz w:val="18"/>
                <w:szCs w:val="18"/>
                <w:lang w:eastAsia="zh-CN"/>
              </w:rPr>
              <w:t>机柜宜在机房物理空间独享的一个或临近的几个机房内</w:t>
            </w:r>
            <w:r>
              <w:rPr>
                <w:rFonts w:hint="eastAsia" w:ascii="宋体" w:hAnsi="宋体" w:eastAsia="宋体"/>
                <w:color w:val="000000"/>
                <w:kern w:val="2"/>
                <w:sz w:val="18"/>
                <w:szCs w:val="18"/>
                <w:lang w:eastAsia="zh-CN"/>
              </w:rPr>
              <w:t>，</w:t>
            </w:r>
            <w:r>
              <w:rPr>
                <w:rFonts w:hint="eastAsia" w:ascii="宋体" w:hAnsi="宋体" w:eastAsia="宋体"/>
                <w:color w:val="000000"/>
                <w:kern w:val="2"/>
                <w:sz w:val="18"/>
                <w:szCs w:val="18"/>
                <w:lang w:val="en-US" w:eastAsia="zh-CN"/>
              </w:rPr>
              <w:t>不得与其他第三方的设备共享机房。</w:t>
            </w:r>
          </w:p>
          <w:p w14:paraId="75F28EF7">
            <w:pPr>
              <w:spacing w:line="240" w:lineRule="auto"/>
              <w:ind w:firstLine="0" w:firstLineChars="0"/>
              <w:jc w:val="both"/>
              <w:rPr>
                <w:rFonts w:hint="default" w:ascii="宋体" w:hAnsi="宋体" w:eastAsia="宋体"/>
                <w:color w:val="000000"/>
                <w:kern w:val="2"/>
                <w:sz w:val="18"/>
                <w:szCs w:val="18"/>
                <w:lang w:val="en-US" w:eastAsia="zh-CN"/>
              </w:rPr>
            </w:pPr>
            <w:r>
              <w:rPr>
                <w:rFonts w:ascii="宋体" w:hAnsi="宋体" w:eastAsia="宋体"/>
                <w:color w:val="000000"/>
                <w:kern w:val="2"/>
                <w:sz w:val="18"/>
                <w:szCs w:val="18"/>
                <w:lang w:eastAsia="zh-CN"/>
              </w:rPr>
              <w:t>（3）</w:t>
            </w:r>
            <w:r>
              <w:rPr>
                <w:rFonts w:hint="eastAsia" w:ascii="宋体" w:hAnsi="宋体" w:eastAsia="宋体"/>
                <w:color w:val="000000"/>
                <w:kern w:val="2"/>
                <w:sz w:val="18"/>
                <w:szCs w:val="18"/>
                <w:lang w:val="en-US" w:eastAsia="zh-CN"/>
              </w:rPr>
              <w:t>投标人应按照紧凑、安全、经济的原则使用机柜；</w:t>
            </w:r>
          </w:p>
          <w:p w14:paraId="083AC167">
            <w:pPr>
              <w:spacing w:line="240" w:lineRule="auto"/>
              <w:ind w:firstLine="0" w:firstLineChars="0"/>
              <w:jc w:val="both"/>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1.2机房要求</w:t>
            </w:r>
          </w:p>
          <w:p w14:paraId="511A4CC8">
            <w:pPr>
              <w:spacing w:line="240" w:lineRule="auto"/>
              <w:ind w:firstLine="0" w:firstLineChars="0"/>
              <w:jc w:val="both"/>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（1）数据中心整体设计标准应不低于《数据中心设计规范》GB50174-2017中A级标准。</w:t>
            </w:r>
          </w:p>
          <w:p w14:paraId="20C6EDDF">
            <w:pPr>
              <w:spacing w:line="240" w:lineRule="auto"/>
              <w:ind w:firstLine="0" w:firstLineChars="0"/>
              <w:jc w:val="both"/>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1.3服务周期</w:t>
            </w:r>
          </w:p>
          <w:p w14:paraId="41AB2EFE">
            <w:pPr>
              <w:spacing w:line="240" w:lineRule="auto"/>
              <w:ind w:firstLine="0" w:firstLineChars="0"/>
              <w:jc w:val="both"/>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（1）数据中心托管服务期为</w:t>
            </w:r>
            <w:r>
              <w:rPr>
                <w:rFonts w:hint="eastAsia" w:ascii="宋体" w:hAnsi="宋体"/>
                <w:color w:val="000000"/>
                <w:kern w:val="2"/>
                <w:sz w:val="18"/>
                <w:szCs w:val="18"/>
                <w:lang w:val="en-US" w:eastAsia="zh-CN"/>
              </w:rPr>
              <w:t>3</w:t>
            </w:r>
            <w:r>
              <w:rPr>
                <w:rFonts w:ascii="宋体" w:hAnsi="宋体" w:eastAsia="宋体"/>
                <w:color w:val="000000"/>
                <w:kern w:val="2"/>
                <w:sz w:val="18"/>
                <w:szCs w:val="18"/>
                <w:lang w:eastAsia="zh-CN"/>
              </w:rPr>
              <w:t>年，</w:t>
            </w:r>
            <w:r>
              <w:rPr>
                <w:rFonts w:hint="eastAsia" w:ascii="宋体" w:hAnsi="宋体" w:eastAsia="宋体"/>
                <w:color w:val="000000"/>
                <w:kern w:val="2"/>
                <w:sz w:val="18"/>
                <w:szCs w:val="18"/>
                <w:lang w:val="en-US" w:eastAsia="zh-CN"/>
              </w:rPr>
              <w:t>设备上架通电，双方确认后起算</w:t>
            </w:r>
            <w:r>
              <w:rPr>
                <w:rFonts w:ascii="宋体" w:hAnsi="宋体" w:eastAsia="宋体"/>
                <w:color w:val="000000"/>
                <w:kern w:val="2"/>
                <w:sz w:val="18"/>
                <w:szCs w:val="18"/>
                <w:lang w:eastAsia="zh-CN"/>
              </w:rPr>
              <w:t>。</w:t>
            </w:r>
            <w:r>
              <w:rPr>
                <w:rFonts w:hint="eastAsia" w:ascii="宋体" w:hAnsi="宋体" w:eastAsia="宋体"/>
                <w:color w:val="000000"/>
                <w:kern w:val="2"/>
                <w:sz w:val="18"/>
                <w:szCs w:val="18"/>
                <w:lang w:val="en-US" w:eastAsia="zh-CN"/>
              </w:rPr>
              <w:t>如果分批通电的，分批起算。</w:t>
            </w:r>
          </w:p>
        </w:tc>
        <w:tc>
          <w:tcPr>
            <w:tcW w:w="500" w:type="pct"/>
            <w:vAlign w:val="center"/>
          </w:tcPr>
          <w:p w14:paraId="5F36A5CE">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1</w:t>
            </w:r>
          </w:p>
        </w:tc>
        <w:tc>
          <w:tcPr>
            <w:tcW w:w="445" w:type="pct"/>
            <w:vAlign w:val="center"/>
          </w:tcPr>
          <w:p w14:paraId="4E83C061">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项</w:t>
            </w:r>
          </w:p>
        </w:tc>
      </w:tr>
      <w:tr w14:paraId="00A9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2DE3D394">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2</w:t>
            </w:r>
          </w:p>
        </w:tc>
        <w:tc>
          <w:tcPr>
            <w:tcW w:w="799" w:type="pct"/>
            <w:vAlign w:val="center"/>
          </w:tcPr>
          <w:p w14:paraId="1838A16C">
            <w:pPr>
              <w:spacing w:line="240" w:lineRule="auto"/>
              <w:ind w:firstLine="0" w:firstLineChars="0"/>
              <w:jc w:val="left"/>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数据中心基础设施运维服务</w:t>
            </w:r>
          </w:p>
        </w:tc>
        <w:tc>
          <w:tcPr>
            <w:tcW w:w="2862" w:type="pct"/>
            <w:vAlign w:val="center"/>
          </w:tcPr>
          <w:p w14:paraId="4F9558BE">
            <w:pPr>
              <w:numPr>
                <w:ilvl w:val="0"/>
                <w:numId w:val="15"/>
              </w:numPr>
              <w:spacing w:line="240" w:lineRule="auto"/>
              <w:ind w:left="360" w:hanging="360" w:firstLineChars="0"/>
              <w:jc w:val="both"/>
              <w:rPr>
                <w:rFonts w:hint="eastAsia" w:ascii="宋体" w:hAnsi="宋体" w:eastAsia="宋体" w:cs="宋体"/>
                <w:b/>
                <w:bCs/>
                <w:kern w:val="2"/>
                <w:sz w:val="18"/>
                <w:szCs w:val="18"/>
                <w:lang w:eastAsia="zh-CN"/>
              </w:rPr>
            </w:pPr>
            <w:r>
              <w:rPr>
                <w:rFonts w:ascii="宋体" w:hAnsi="宋体" w:eastAsia="宋体" w:cs="宋体"/>
                <w:b/>
                <w:bCs/>
                <w:kern w:val="2"/>
                <w:sz w:val="18"/>
                <w:szCs w:val="18"/>
                <w:lang w:eastAsia="zh-CN"/>
              </w:rPr>
              <w:t>总体服务要求:</w:t>
            </w:r>
          </w:p>
          <w:p w14:paraId="2F7A46D1">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提供覆盖“人员驻场、日常巡检、故障抢修、重大保障、维护保养”的数据中心基础设施运维服务。</w:t>
            </w:r>
          </w:p>
          <w:p w14:paraId="00FB98F2">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满足需求：提供满足本次招标智能算力集群部署所需的空间、电力、冷量等基础环境。</w:t>
            </w:r>
          </w:p>
          <w:p w14:paraId="4F27274C">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安全运营：保障网络安全和设施安全；完善流程机制和运维体系；7*24*365业务连续运营。</w:t>
            </w:r>
          </w:p>
          <w:p w14:paraId="2C1B6EF8">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精确管理：集约管控、统一调度、班组作业实现人员纳管；巡检计划、质保计划统一规划；应急演练、维护保养集中管控。</w:t>
            </w:r>
          </w:p>
          <w:p w14:paraId="337CF5AA">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运维指标：提供规范、可靠的数据中心运质保障服务，确保客户业务连续不中断，满足电力持续性供应99.99%、制冷持续性供应99.99%，全年无重大事故。</w:t>
            </w:r>
          </w:p>
          <w:p w14:paraId="5BE93EDE">
            <w:pPr>
              <w:numPr>
                <w:ilvl w:val="0"/>
                <w:numId w:val="15"/>
              </w:numPr>
              <w:spacing w:line="240" w:lineRule="auto"/>
              <w:ind w:left="360" w:hanging="360" w:firstLineChars="0"/>
              <w:jc w:val="both"/>
              <w:rPr>
                <w:rFonts w:hint="eastAsia" w:ascii="宋体" w:hAnsi="宋体" w:eastAsia="宋体" w:cs="宋体"/>
                <w:b/>
                <w:bCs/>
                <w:kern w:val="2"/>
                <w:sz w:val="18"/>
                <w:szCs w:val="18"/>
                <w:lang w:eastAsia="zh-CN"/>
              </w:rPr>
            </w:pPr>
            <w:r>
              <w:rPr>
                <w:rFonts w:ascii="宋体" w:hAnsi="宋体" w:eastAsia="宋体" w:cs="宋体"/>
                <w:b/>
                <w:bCs/>
                <w:kern w:val="2"/>
                <w:sz w:val="18"/>
                <w:szCs w:val="18"/>
                <w:lang w:eastAsia="zh-CN"/>
              </w:rPr>
              <w:t>主要服务内容</w:t>
            </w:r>
          </w:p>
          <w:p w14:paraId="1E1DA8C3">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面向本项目，机房托管服务方负责数据中心基础设施的运维服务，包括以下但不限于以下的服务内容：设备维护保养作业；7X24小时的现场运质保障；故障维修；基础设施生命周期管理；质保厂家考核管理；事件管理；技术支持等。</w:t>
            </w:r>
          </w:p>
          <w:p w14:paraId="72DFF9B5">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（1）设备清点及普查登记</w:t>
            </w:r>
            <w:r>
              <w:rPr>
                <w:rFonts w:ascii="宋体" w:hAnsi="宋体" w:eastAsia="宋体" w:cs="宋体"/>
                <w:kern w:val="2"/>
                <w:sz w:val="18"/>
                <w:szCs w:val="18"/>
                <w:lang w:eastAsia="zh-CN"/>
              </w:rPr>
              <w:t>：基于数据中心现有基础设施各系统技术资料档案，对数据中心基础设施定期进行全面清点及普查登记，对现有文档资料进行整理更新，确保文档资料的准确性。</w:t>
            </w:r>
          </w:p>
          <w:p w14:paraId="157B8FCA">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（2）机房巡检</w:t>
            </w:r>
            <w:r>
              <w:rPr>
                <w:rFonts w:ascii="宋体" w:hAnsi="宋体" w:eastAsia="宋体" w:cs="宋体"/>
                <w:kern w:val="2"/>
                <w:sz w:val="18"/>
                <w:szCs w:val="18"/>
                <w:lang w:eastAsia="zh-CN"/>
              </w:rPr>
              <w:t>：根据招标人需求及相关行业标准，制定维护作业计划对机房按日、周、月、季度、半年、年度等周期进行不同程度的巡检，填写巡检记录表格，汇总形成设备运行报告；</w:t>
            </w:r>
          </w:p>
          <w:p w14:paraId="4047F5C0">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（3）维护保养工作：</w:t>
            </w:r>
            <w:r>
              <w:rPr>
                <w:rFonts w:ascii="宋体" w:hAnsi="宋体" w:eastAsia="宋体" w:cs="宋体"/>
                <w:kern w:val="2"/>
                <w:sz w:val="18"/>
                <w:szCs w:val="18"/>
                <w:lang w:eastAsia="zh-CN"/>
              </w:rPr>
              <w:t>对基础设施各系统和工具仪表进行整体检查及维护保养，根据维护作业计划对不同等级机房按月度、季度、半年度、年度等不同周期进行不同程度的维护保养工作，保证设备高效运行，对达到规定磨损限度的零件进行更换；定期检查或校准维护、辅助工具和仪器，确保工具仪器满足日常使用和第三方审计检查；参考维护服务标准内容，填写机房设备运行记录表格，汇总形成设备运行报告；</w:t>
            </w:r>
          </w:p>
          <w:p w14:paraId="23AB9786">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（4）故障维修及隐患处理：</w:t>
            </w:r>
            <w:r>
              <w:rPr>
                <w:rFonts w:ascii="宋体" w:hAnsi="宋体" w:eastAsia="宋体" w:cs="宋体"/>
                <w:kern w:val="2"/>
                <w:sz w:val="18"/>
                <w:szCs w:val="18"/>
                <w:lang w:eastAsia="zh-CN"/>
              </w:rPr>
              <w:t>值班人员7*24小时不间断受理机房报障，维护工程师7*24小时受理机房故障处理，在保证服务SLA指标要求前提下快速恢复基础设施设备的正常运行；对运行存在隐患的基础设施，提供修复或更换方案。</w:t>
            </w:r>
          </w:p>
          <w:p w14:paraId="08E0C22E">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（5）基础设施生命周期管理：</w:t>
            </w:r>
            <w:r>
              <w:rPr>
                <w:rFonts w:ascii="宋体" w:hAnsi="宋体" w:eastAsia="宋体" w:cs="宋体"/>
                <w:kern w:val="2"/>
                <w:sz w:val="18"/>
                <w:szCs w:val="18"/>
                <w:lang w:eastAsia="zh-CN"/>
              </w:rPr>
              <w:t>对每个基础设施设备的维护、保养、异常或故障处理、设计使用寿命等做好相应的记录；并根据基础设施原厂规定的设计使用寿命要求，定期检测基础设施各关键部件、易损部件等的性能，制定即将超役的基础设施整改方案和应急方案，及时更换即将超役的基础设施各关键部件、易损部件等，确保基础设施正常运行。</w:t>
            </w:r>
          </w:p>
          <w:p w14:paraId="318611AA">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（6）主要基础设施的专项质保：</w:t>
            </w:r>
            <w:r>
              <w:rPr>
                <w:rFonts w:ascii="宋体" w:hAnsi="宋体" w:eastAsia="宋体" w:cs="宋体"/>
                <w:kern w:val="2"/>
                <w:sz w:val="18"/>
                <w:szCs w:val="18"/>
                <w:lang w:eastAsia="zh-CN"/>
              </w:rPr>
              <w:t>对主要基础设施（冷水主机、精密空调、柴油发电机、UPS、消防系统等）制定质保计划报招标人运维管理团队审核，安排在维护窗口时间进行并按配电系统、暖通系统、智能化系统、消防系统等专业分别提交质保报告。</w:t>
            </w:r>
          </w:p>
          <w:p w14:paraId="7F606E03">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（7）重要保障：</w:t>
            </w:r>
            <w:r>
              <w:rPr>
                <w:rFonts w:ascii="宋体" w:hAnsi="宋体" w:eastAsia="宋体" w:cs="宋体"/>
                <w:kern w:val="2"/>
                <w:sz w:val="18"/>
                <w:szCs w:val="18"/>
                <w:lang w:eastAsia="zh-CN"/>
              </w:rPr>
              <w:t>特殊时期或重大活动期间特殊保障、节假日或恶劣天气保障，制定保障重保方案，明确分工和工作要求，以及突发事件的处理流程。</w:t>
            </w:r>
          </w:p>
          <w:p w14:paraId="31695F54">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（8）应急保障及演练工作：</w:t>
            </w:r>
            <w:r>
              <w:rPr>
                <w:rFonts w:ascii="宋体" w:hAnsi="宋体" w:eastAsia="宋体" w:cs="宋体"/>
                <w:kern w:val="2"/>
                <w:sz w:val="18"/>
                <w:szCs w:val="18"/>
                <w:lang w:eastAsia="zh-CN"/>
              </w:rPr>
              <w:t>负责突发事件的应急保障工作，制定应急保障方案并按计划进行演练，至少包含火灾消防应急演练、空调系统故障应急演练、配电系统故障应急演练、UPS系统故障应急演练、机房漏水/水浸应急演练等。</w:t>
            </w:r>
          </w:p>
          <w:p w14:paraId="327AE545">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（9）监控及现场值守：</w:t>
            </w:r>
            <w:r>
              <w:rPr>
                <w:rFonts w:ascii="宋体" w:hAnsi="宋体" w:eastAsia="宋体" w:cs="宋体"/>
                <w:kern w:val="2"/>
                <w:sz w:val="18"/>
                <w:szCs w:val="18"/>
                <w:lang w:eastAsia="zh-CN"/>
              </w:rPr>
              <w:t>负责7*24小时现场运质保障工作，在收到基础设施故障告警或异常后的及时给出解决方案，在满足服务SLA指标要求前提下，及时解决故障或异常，恢复基础设施的正常使用；负责数据中心基础设施出现事件时的通报、升级和记录，确保满足服务指标要求。提供可在深圳龙岗远程监控的方案和服务。</w:t>
            </w:r>
          </w:p>
          <w:p w14:paraId="2FBA540C">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（10）服务报告：</w:t>
            </w:r>
            <w:r>
              <w:rPr>
                <w:rFonts w:ascii="宋体" w:hAnsi="宋体" w:eastAsia="宋体" w:cs="宋体"/>
                <w:kern w:val="2"/>
                <w:sz w:val="18"/>
                <w:szCs w:val="18"/>
                <w:lang w:eastAsia="zh-CN"/>
              </w:rPr>
              <w:t>定期对各类设备进行巡检，有效掌握所有设备的当前运行状况、使用情况，汇总分析。</w:t>
            </w:r>
          </w:p>
          <w:p w14:paraId="1A370AE2">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（11）专业检测：</w:t>
            </w:r>
            <w:r>
              <w:rPr>
                <w:rFonts w:ascii="宋体" w:hAnsi="宋体" w:eastAsia="宋体" w:cs="宋体"/>
                <w:kern w:val="2"/>
                <w:sz w:val="18"/>
                <w:szCs w:val="18"/>
                <w:lang w:eastAsia="zh-CN"/>
              </w:rPr>
              <w:t>需与有资质的供应商签订每年至少一次防雷检测、消防检测、电源质量检测水质检测、柴油检测、机房整体基础设施健康评估检测，及其它检测，并输出相应检测报告，负责整改检测报告中的异常项；需与有资质的供应商签订每3年至少一次机房A级认证检测，之后每年至少一次A级认证复审，输出检测或复审报告，并负责整改检测报告中的异常项。</w:t>
            </w:r>
          </w:p>
          <w:p w14:paraId="4CA92E42">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（12）应急响应及演练计划：</w:t>
            </w:r>
            <w:r>
              <w:rPr>
                <w:rFonts w:ascii="宋体" w:hAnsi="宋体" w:eastAsia="宋体" w:cs="宋体"/>
                <w:kern w:val="2"/>
                <w:sz w:val="18"/>
                <w:szCs w:val="18"/>
                <w:lang w:eastAsia="zh-CN"/>
              </w:rPr>
              <w:t>制定数据机房基础设施各系统应急预案并按照每年每系统至少2次实施演练，提交演练方案及报告，包括火灾消防应急演练、空调系统故障应急演练、配电系统故障应急演练、动环监控系统故障应急演练、柴油发电机应急演练等，提高应急响应能力。</w:t>
            </w:r>
          </w:p>
          <w:p w14:paraId="11606F9F">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（13）技术支持：</w:t>
            </w:r>
            <w:r>
              <w:rPr>
                <w:rFonts w:ascii="宋体" w:hAnsi="宋体" w:eastAsia="宋体" w:cs="宋体"/>
                <w:kern w:val="2"/>
                <w:sz w:val="18"/>
                <w:szCs w:val="18"/>
                <w:lang w:eastAsia="zh-CN"/>
              </w:rPr>
              <w:t>由机房出租方提供技术支持服务,在该时段内任意时刻接受电话、邮箱、微信等方式咨询并随时接受用户请求。在用户提出咨询请求后，应在需求时段内给用户回复。技术支持的内容包括：一般维护操作和技术问题，具体包括：数据中心基础设施相关设备的维护操作及技术支持等，以及普通故障排除；用户要求的现场技术服务请求；保障支持服务：根据数据中心质量管理规范要求，在重要节日、重要操作、重大变更时，提供现场的技术支持服务；其它服务：有关数据中心的其它服务。</w:t>
            </w:r>
          </w:p>
          <w:p w14:paraId="3BA6F1D7">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（14）技术培训：</w:t>
            </w:r>
            <w:r>
              <w:rPr>
                <w:rFonts w:ascii="宋体" w:hAnsi="宋体" w:eastAsia="宋体" w:cs="宋体"/>
                <w:kern w:val="2"/>
                <w:sz w:val="18"/>
                <w:szCs w:val="18"/>
                <w:lang w:eastAsia="zh-CN"/>
              </w:rPr>
              <w:t>制定基础设施年度培训计划，包括基础设施操作、故障初步判断、疑难解答等的培训。</w:t>
            </w:r>
          </w:p>
          <w:p w14:paraId="0E989F19">
            <w:pPr>
              <w:spacing w:line="240" w:lineRule="auto"/>
              <w:ind w:firstLine="360" w:firstLineChars="200"/>
              <w:jc w:val="both"/>
              <w:rPr>
                <w:rFonts w:hint="eastAsia" w:ascii="宋体" w:hAnsi="宋体" w:eastAsia="宋体" w:cs="宋体"/>
                <w:b/>
                <w:bCs/>
                <w:kern w:val="2"/>
                <w:sz w:val="18"/>
                <w:szCs w:val="18"/>
                <w:lang w:eastAsia="zh-CN"/>
              </w:rPr>
            </w:pPr>
            <w:r>
              <w:rPr>
                <w:rFonts w:ascii="宋体" w:hAnsi="宋体" w:eastAsia="宋体" w:cs="宋体"/>
                <w:b/>
                <w:bCs/>
                <w:kern w:val="2"/>
                <w:sz w:val="18"/>
                <w:szCs w:val="18"/>
                <w:lang w:eastAsia="zh-CN"/>
              </w:rPr>
              <w:t>（15）服务接口与沟通机制：</w:t>
            </w:r>
          </w:p>
          <w:p w14:paraId="101C3B55">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提供24*365值班服务台。</w:t>
            </w:r>
          </w:p>
          <w:p w14:paraId="261CD6AA">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提供专属服团队（服务经理+支撑经理+技术团队），对甲方进行全程跟踪服务。</w:t>
            </w:r>
          </w:p>
        </w:tc>
        <w:tc>
          <w:tcPr>
            <w:tcW w:w="500" w:type="pct"/>
            <w:vAlign w:val="center"/>
          </w:tcPr>
          <w:p w14:paraId="3B6406BC">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1</w:t>
            </w:r>
          </w:p>
        </w:tc>
        <w:tc>
          <w:tcPr>
            <w:tcW w:w="445" w:type="pct"/>
            <w:vAlign w:val="center"/>
          </w:tcPr>
          <w:p w14:paraId="07631F03">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项</w:t>
            </w:r>
          </w:p>
        </w:tc>
      </w:tr>
    </w:tbl>
    <w:p w14:paraId="384B29E0">
      <w:pPr>
        <w:bidi w:val="0"/>
        <w:rPr>
          <w:rFonts w:hint="eastAsia"/>
          <w:lang w:val="en-US" w:eastAsia="zh-CN"/>
        </w:rPr>
      </w:pPr>
    </w:p>
    <w:p w14:paraId="0A0E267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p>
    <w:p w14:paraId="64A6A0D7">
      <w:pPr>
        <w:bidi w:val="0"/>
        <w:rPr>
          <w:rFonts w:hint="eastAsia"/>
        </w:rPr>
      </w:pPr>
    </w:p>
    <w:p w14:paraId="5D7DE580">
      <w:pPr>
        <w:widowControl w:val="0"/>
        <w:autoSpaceDE w:val="0"/>
        <w:autoSpaceDN w:val="0"/>
        <w:adjustRightInd w:val="0"/>
        <w:snapToGrid w:val="0"/>
        <w:rPr>
          <w:rFonts w:ascii="宋体" w:hAnsi="宋体"/>
          <w:b/>
          <w:sz w:val="32"/>
        </w:rPr>
      </w:pPr>
      <w:r>
        <w:rPr>
          <w:rFonts w:hint="eastAsia" w:ascii="宋体" w:hAnsi="宋体"/>
          <w:b/>
          <w:sz w:val="32"/>
        </w:rPr>
        <w:br w:type="page"/>
      </w:r>
    </w:p>
    <w:p w14:paraId="41DA5AAF">
      <w:pPr>
        <w:widowControl w:val="0"/>
        <w:autoSpaceDN w:val="0"/>
        <w:adjustRightInd w:val="0"/>
        <w:snapToGrid w:val="0"/>
        <w:ind w:firstLine="0" w:firstLineChars="0"/>
        <w:jc w:val="center"/>
        <w:outlineLvl w:val="1"/>
        <w:rPr>
          <w:rFonts w:ascii="宋体" w:hAnsi="宋体"/>
          <w:b/>
          <w:sz w:val="32"/>
        </w:rPr>
      </w:pPr>
      <w:r>
        <w:rPr>
          <w:rFonts w:hint="eastAsia" w:ascii="宋体" w:hAnsi="宋体"/>
          <w:b/>
          <w:sz w:val="32"/>
        </w:rPr>
        <w:t>第二节 商务条款</w:t>
      </w:r>
    </w:p>
    <w:p w14:paraId="70D5B6BA">
      <w:pPr>
        <w:ind w:firstLine="482"/>
        <w:jc w:val="left"/>
        <w:outlineLvl w:val="2"/>
        <w:rPr>
          <w:rFonts w:ascii="宋体" w:hAnsi="宋体" w:cs="宋体"/>
          <w:b/>
          <w:sz w:val="24"/>
        </w:rPr>
      </w:pPr>
      <w:r>
        <w:rPr>
          <w:rFonts w:hint="eastAsia" w:ascii="宋体" w:hAnsi="宋体" w:cs="宋体"/>
          <w:b/>
          <w:sz w:val="24"/>
        </w:rPr>
        <w:t>一、项目概况</w:t>
      </w:r>
    </w:p>
    <w:p w14:paraId="2117216D">
      <w:pPr>
        <w:widowControl w:val="0"/>
        <w:autoSpaceDE w:val="0"/>
        <w:autoSpaceDN w:val="0"/>
        <w:adjustRightInd w:val="0"/>
        <w:snapToGrid w:val="0"/>
        <w:ind w:firstLine="420"/>
        <w:rPr>
          <w:rFonts w:hint="eastAsia" w:ascii="Times New Roman" w:hAnsi="Times New Roman" w:eastAsia="宋体" w:cs="Times New Roman"/>
          <w:lang w:val="en-US" w:eastAsia="zh-CN"/>
        </w:rPr>
      </w:pPr>
      <w:r>
        <w:rPr>
          <w:rFonts w:hint="eastAsia"/>
        </w:rPr>
        <w:t>根据《深圳市龙岗区创建人工智能全域全时应用示范区的行动方案(2024年-2025年)》和《龙岗区加快创建“AI龙岗”三年行动计划（2025—2027年）》规划, 要构建高效算力供给体系，在供给侧加强龙岗区在线算力供给保障能力，推动人工智能产业化。</w:t>
      </w:r>
      <w:r>
        <w:rPr>
          <w:rFonts w:hint="eastAsia" w:ascii="Times New Roman" w:hAnsi="Times New Roman" w:eastAsia="宋体" w:cs="Times New Roman"/>
          <w:lang w:val="en-US" w:eastAsia="zh-CN"/>
        </w:rPr>
        <w:t>本项目根据上述行动方案以及意向客户需求，</w:t>
      </w:r>
      <w:r>
        <w:rPr>
          <w:rFonts w:hint="eastAsia" w:cs="Times New Roman"/>
          <w:lang w:val="en-US" w:eastAsia="zh-CN"/>
        </w:rPr>
        <w:t>我司需建设共计不少于57</w:t>
      </w:r>
      <w:r>
        <w:rPr>
          <w:rFonts w:hint="eastAsia" w:cs="Times New Roman"/>
          <w:b w:val="0"/>
          <w:bCs w:val="0"/>
          <w:lang w:val="en-US" w:eastAsia="zh-CN"/>
        </w:rPr>
        <w:t>0</w:t>
      </w:r>
      <w:r>
        <w:rPr>
          <w:rFonts w:hint="eastAsia"/>
          <w:b w:val="0"/>
          <w:bCs w:val="0"/>
          <w:lang w:val="en-US" w:eastAsia="zh-CN"/>
        </w:rPr>
        <w:t>PFlpos@FP16的智算资源池（稠密算力）</w:t>
      </w:r>
      <w:r>
        <w:rPr>
          <w:rFonts w:hint="eastAsia" w:cs="Times New Roman"/>
          <w:lang w:val="en-US" w:eastAsia="zh-CN"/>
        </w:rPr>
        <w:t>，支持客户业务开展</w:t>
      </w:r>
      <w:r>
        <w:rPr>
          <w:rFonts w:hint="eastAsia" w:ascii="Times New Roman" w:hAnsi="Times New Roman" w:eastAsia="宋体" w:cs="Times New Roman"/>
          <w:lang w:val="en-US" w:eastAsia="zh-CN"/>
        </w:rPr>
        <w:t>。</w:t>
      </w:r>
    </w:p>
    <w:p w14:paraId="2E98BCAF">
      <w:pPr>
        <w:ind w:firstLine="482"/>
        <w:jc w:val="left"/>
        <w:outlineLvl w:val="2"/>
        <w:rPr>
          <w:rFonts w:ascii="宋体" w:hAnsi="宋体" w:cs="宋体"/>
          <w:b/>
          <w:sz w:val="24"/>
        </w:rPr>
      </w:pPr>
      <w:r>
        <w:rPr>
          <w:rFonts w:hint="eastAsia" w:ascii="宋体" w:hAnsi="宋体" w:cs="宋体"/>
          <w:b/>
          <w:sz w:val="24"/>
        </w:rPr>
        <w:t>二、合同履行期限</w:t>
      </w:r>
    </w:p>
    <w:p w14:paraId="7AB01168">
      <w:pPr>
        <w:widowControl w:val="0"/>
        <w:autoSpaceDE w:val="0"/>
        <w:autoSpaceDN w:val="0"/>
        <w:adjustRightInd w:val="0"/>
        <w:snapToGrid w:val="0"/>
        <w:ind w:firstLine="420"/>
        <w:rPr>
          <w:rFonts w:hint="eastAsia"/>
          <w:b/>
          <w:bCs/>
          <w:lang w:val="en-US" w:eastAsia="zh-CN"/>
        </w:rPr>
      </w:pPr>
      <w:r>
        <w:rPr>
          <w:rFonts w:hint="eastAsia"/>
          <w:b/>
          <w:bCs/>
          <w:lang w:val="en-US" w:eastAsia="zh-CN"/>
        </w:rPr>
        <w:t>1、建设阶段</w:t>
      </w:r>
    </w:p>
    <w:p w14:paraId="1E547411">
      <w:pPr>
        <w:widowControl w:val="0"/>
        <w:autoSpaceDE w:val="0"/>
        <w:autoSpaceDN w:val="0"/>
        <w:adjustRightInd w:val="0"/>
        <w:snapToGrid w:val="0"/>
        <w:ind w:firstLine="420"/>
        <w:rPr>
          <w:rFonts w:hint="eastAsia"/>
          <w:highlight w:val="none"/>
          <w:lang w:val="en-US" w:eastAsia="zh-CN"/>
        </w:rPr>
      </w:pPr>
      <w:r>
        <w:rPr>
          <w:rFonts w:hint="eastAsia"/>
          <w:highlight w:val="none"/>
        </w:rPr>
        <w:t>合同签订</w:t>
      </w:r>
      <w:r>
        <w:rPr>
          <w:rFonts w:hint="eastAsia"/>
          <w:highlight w:val="none"/>
          <w:lang w:val="en-US" w:eastAsia="zh-CN"/>
        </w:rPr>
        <w:t>后</w:t>
      </w:r>
      <w:r>
        <w:rPr>
          <w:rFonts w:hint="eastAsia"/>
          <w:highlight w:val="none"/>
        </w:rPr>
        <w:t>，</w:t>
      </w:r>
      <w:r>
        <w:rPr>
          <w:rFonts w:hint="eastAsia"/>
          <w:highlight w:val="none"/>
          <w:lang w:val="en-US" w:eastAsia="zh-CN"/>
        </w:rPr>
        <w:t>采购人提供的AI服务器到货后，2个月内完成竣工验收</w:t>
      </w:r>
      <w:r>
        <w:rPr>
          <w:rFonts w:hint="eastAsia"/>
          <w:highlight w:val="none"/>
        </w:rPr>
        <w:t>。</w:t>
      </w:r>
      <w:r>
        <w:rPr>
          <w:rFonts w:hint="eastAsia"/>
          <w:highlight w:val="none"/>
          <w:lang w:val="en-US" w:eastAsia="zh-CN"/>
        </w:rPr>
        <w:t>如采购人分批到货且要求分批集成验收的，分批到货后2个月内完成竣工验收。</w:t>
      </w:r>
    </w:p>
    <w:p w14:paraId="1C0C40F1">
      <w:pPr>
        <w:widowControl w:val="0"/>
        <w:autoSpaceDE w:val="0"/>
        <w:autoSpaceDN w:val="0"/>
        <w:adjustRightInd w:val="0"/>
        <w:snapToGrid w:val="0"/>
        <w:ind w:firstLine="420"/>
        <w:rPr>
          <w:rFonts w:hint="eastAsia"/>
          <w:b/>
          <w:bCs/>
          <w:lang w:val="en-US" w:eastAsia="zh-CN"/>
        </w:rPr>
      </w:pPr>
      <w:r>
        <w:rPr>
          <w:rFonts w:hint="eastAsia"/>
          <w:b/>
          <w:bCs/>
          <w:lang w:val="en-US" w:eastAsia="zh-CN"/>
        </w:rPr>
        <w:t>2、运维阶段</w:t>
      </w:r>
    </w:p>
    <w:p w14:paraId="74A8477E">
      <w:pPr>
        <w:widowControl w:val="0"/>
        <w:autoSpaceDE w:val="0"/>
        <w:autoSpaceDN w:val="0"/>
        <w:adjustRightInd w:val="0"/>
        <w:snapToGrid w:val="0"/>
        <w:ind w:firstLine="420"/>
        <w:rPr>
          <w:rFonts w:hint="default" w:eastAsia="宋体"/>
          <w:lang w:val="en-US" w:eastAsia="zh-CN"/>
        </w:rPr>
      </w:pPr>
      <w:r>
        <w:rPr>
          <w:rFonts w:hint="eastAsia"/>
          <w:lang w:val="en-US" w:eastAsia="zh-CN"/>
        </w:rPr>
        <w:t>各智算集群竣工验收次日起进入运维期</w:t>
      </w:r>
      <w:r>
        <w:rPr>
          <w:rFonts w:hint="eastAsia"/>
        </w:rPr>
        <w:t>，</w:t>
      </w:r>
      <w:r>
        <w:rPr>
          <w:rFonts w:hint="eastAsia"/>
          <w:lang w:val="en-US" w:eastAsia="zh-CN"/>
        </w:rPr>
        <w:t>运维期3年</w:t>
      </w:r>
      <w:r>
        <w:rPr>
          <w:rFonts w:hint="eastAsia"/>
        </w:rPr>
        <w:t>。</w:t>
      </w:r>
      <w:r>
        <w:rPr>
          <w:rFonts w:hint="eastAsia"/>
          <w:lang w:val="en-US" w:eastAsia="zh-CN"/>
        </w:rPr>
        <w:t>如果分批竣工验收的，分批进入运维期。</w:t>
      </w:r>
    </w:p>
    <w:p w14:paraId="5CF00FB2">
      <w:pPr>
        <w:ind w:firstLine="482"/>
        <w:jc w:val="left"/>
        <w:outlineLvl w:val="2"/>
        <w:rPr>
          <w:rFonts w:ascii="宋体" w:hAnsi="宋体" w:cs="宋体"/>
          <w:b/>
          <w:sz w:val="24"/>
        </w:rPr>
      </w:pPr>
      <w:r>
        <w:rPr>
          <w:rFonts w:hint="eastAsia" w:ascii="宋体" w:hAnsi="宋体" w:cs="宋体"/>
          <w:b/>
          <w:sz w:val="24"/>
        </w:rPr>
        <w:t>三、服务地点</w:t>
      </w:r>
    </w:p>
    <w:p w14:paraId="0096F6E3">
      <w:pPr>
        <w:widowControl w:val="0"/>
        <w:autoSpaceDE w:val="0"/>
        <w:autoSpaceDN w:val="0"/>
        <w:adjustRightInd w:val="0"/>
        <w:snapToGrid w:val="0"/>
        <w:ind w:firstLine="420"/>
      </w:pPr>
      <w:r>
        <w:rPr>
          <w:rFonts w:hint="eastAsia"/>
          <w:lang w:val="en-US" w:eastAsia="zh-CN"/>
        </w:rPr>
        <w:t>采购人指定地点</w:t>
      </w:r>
      <w:r>
        <w:rPr>
          <w:rFonts w:hint="eastAsia"/>
        </w:rPr>
        <w:t>。</w:t>
      </w:r>
    </w:p>
    <w:p w14:paraId="3A8A0010">
      <w:pPr>
        <w:ind w:firstLine="482"/>
        <w:jc w:val="left"/>
        <w:outlineLvl w:val="2"/>
        <w:rPr>
          <w:rFonts w:ascii="宋体" w:hAnsi="宋体" w:cs="宋体"/>
          <w:b/>
          <w:sz w:val="24"/>
        </w:rPr>
      </w:pPr>
      <w:bookmarkStart w:id="12" w:name="_Toc404195403"/>
      <w:bookmarkStart w:id="13" w:name="_Toc406669475"/>
      <w:r>
        <w:rPr>
          <w:rFonts w:hint="eastAsia" w:ascii="宋体" w:hAnsi="宋体" w:cs="宋体"/>
          <w:b/>
          <w:sz w:val="24"/>
        </w:rPr>
        <w:t>四、</w:t>
      </w:r>
      <w:r>
        <w:rPr>
          <w:rFonts w:ascii="宋体" w:hAnsi="宋体" w:cs="宋体"/>
          <w:b/>
          <w:sz w:val="24"/>
        </w:rPr>
        <w:t>报价方式</w:t>
      </w:r>
      <w:bookmarkEnd w:id="12"/>
      <w:bookmarkEnd w:id="13"/>
    </w:p>
    <w:p w14:paraId="5B3135FC">
      <w:pPr>
        <w:widowControl w:val="0"/>
        <w:autoSpaceDE w:val="0"/>
        <w:autoSpaceDN w:val="0"/>
        <w:adjustRightInd w:val="0"/>
        <w:snapToGrid w:val="0"/>
        <w:ind w:firstLine="420"/>
        <w:rPr>
          <w:rFonts w:hint="default" w:eastAsia="宋体"/>
          <w:b/>
          <w:bCs/>
          <w:lang w:val="en-US" w:eastAsia="zh-CN"/>
        </w:rPr>
      </w:pPr>
      <w:r>
        <w:rPr>
          <w:rFonts w:hint="eastAsia"/>
          <w:lang w:val="en-US" w:eastAsia="zh-CN"/>
        </w:rPr>
        <w:t>报价人根据需求，自行确定技术方案，按照方案自行对集群分别组价，</w:t>
      </w:r>
      <w:r>
        <w:rPr>
          <w:rFonts w:hint="eastAsia"/>
        </w:rPr>
        <w:t>详见询价回执。</w:t>
      </w:r>
      <w:r>
        <w:rPr>
          <w:rFonts w:hint="eastAsia"/>
          <w:lang w:val="en-US" w:eastAsia="zh-CN"/>
        </w:rPr>
        <w:t>其中AI服务器由采购人提供，不在本报价文件中体现。</w:t>
      </w:r>
    </w:p>
    <w:p w14:paraId="09F0F77E">
      <w:pPr>
        <w:ind w:firstLine="482"/>
        <w:jc w:val="left"/>
        <w:outlineLvl w:val="2"/>
        <w:rPr>
          <w:rFonts w:ascii="宋体" w:hAnsi="宋体" w:cs="宋体"/>
          <w:b/>
          <w:sz w:val="24"/>
        </w:rPr>
      </w:pPr>
      <w:r>
        <w:rPr>
          <w:rFonts w:hint="eastAsia" w:ascii="宋体" w:hAnsi="宋体" w:cs="宋体"/>
          <w:b/>
          <w:sz w:val="24"/>
        </w:rPr>
        <w:t>五、付款方式</w:t>
      </w:r>
    </w:p>
    <w:p w14:paraId="7C53424F">
      <w:pPr>
        <w:pStyle w:val="14"/>
        <w:ind w:left="360" w:firstLine="420" w:firstLineChars="200"/>
        <w:rPr>
          <w:rFonts w:hint="eastAsia"/>
        </w:rPr>
      </w:pPr>
      <w:r>
        <w:rPr>
          <w:rFonts w:hint="eastAsia"/>
          <w:lang w:val="en-US" w:eastAsia="zh-CN"/>
        </w:rPr>
        <w:t>根据采购人实际提供的AI服务器情况，分批开展配套设备和相关技术服务进行结算支付</w:t>
      </w:r>
      <w:r>
        <w:rPr>
          <w:rFonts w:hint="eastAsia"/>
        </w:rPr>
        <w:t>。</w:t>
      </w:r>
    </w:p>
    <w:p w14:paraId="2123D0FB">
      <w:pPr>
        <w:ind w:firstLine="482"/>
        <w:jc w:val="left"/>
        <w:outlineLvl w:val="2"/>
        <w:rPr>
          <w:rFonts w:ascii="宋体" w:hAnsi="宋体" w:cs="宋体"/>
          <w:b/>
          <w:sz w:val="24"/>
        </w:rPr>
      </w:pPr>
      <w:r>
        <w:rPr>
          <w:rFonts w:hint="eastAsia" w:ascii="宋体" w:hAnsi="宋体" w:cs="宋体"/>
          <w:b/>
          <w:sz w:val="24"/>
        </w:rPr>
        <w:t>六、质保服务要求</w:t>
      </w:r>
    </w:p>
    <w:p w14:paraId="7614DF75">
      <w:pPr>
        <w:pStyle w:val="14"/>
        <w:ind w:firstLine="0" w:firstLineChars="0"/>
        <w:jc w:val="center"/>
        <w:rPr>
          <w:b/>
          <w:bCs/>
        </w:rPr>
      </w:pPr>
      <w:r>
        <w:rPr>
          <w:rFonts w:hint="eastAsia"/>
          <w:b/>
          <w:bCs/>
          <w:lang w:val="en-US" w:eastAsia="zh-CN"/>
        </w:rPr>
        <w:t>设备和软件</w:t>
      </w:r>
      <w:r>
        <w:rPr>
          <w:rFonts w:hint="eastAsia"/>
          <w:b/>
          <w:bCs/>
        </w:rPr>
        <w:t>质保服务要求</w:t>
      </w:r>
    </w:p>
    <w:tbl>
      <w:tblPr>
        <w:tblStyle w:val="50"/>
        <w:tblW w:w="47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656"/>
        <w:gridCol w:w="5107"/>
        <w:gridCol w:w="627"/>
      </w:tblGrid>
      <w:tr w14:paraId="1FC4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424" w:type="pct"/>
            <w:vAlign w:val="center"/>
          </w:tcPr>
          <w:p w14:paraId="19CD8723">
            <w:pPr>
              <w:spacing w:line="240" w:lineRule="auto"/>
              <w:ind w:firstLine="0" w:firstLineChars="0"/>
              <w:jc w:val="center"/>
              <w:rPr>
                <w:rFonts w:ascii="宋体" w:hAnsi="宋体" w:cs="宋体"/>
                <w:b/>
                <w:bCs/>
                <w:color w:val="000000"/>
                <w:sz w:val="18"/>
                <w:szCs w:val="18"/>
              </w:rPr>
            </w:pPr>
            <w:r>
              <w:rPr>
                <w:rFonts w:hint="eastAsia" w:ascii="宋体" w:hAnsi="宋体" w:cs="宋体"/>
                <w:b/>
                <w:sz w:val="18"/>
                <w:szCs w:val="18"/>
              </w:rPr>
              <w:t>序号</w:t>
            </w:r>
          </w:p>
        </w:tc>
        <w:tc>
          <w:tcPr>
            <w:tcW w:w="1025" w:type="pct"/>
            <w:vAlign w:val="center"/>
          </w:tcPr>
          <w:p w14:paraId="7CC61876">
            <w:pPr>
              <w:spacing w:line="240" w:lineRule="auto"/>
              <w:ind w:firstLine="0" w:firstLineChars="0"/>
              <w:jc w:val="center"/>
              <w:rPr>
                <w:rFonts w:ascii="宋体" w:hAnsi="宋体" w:cs="宋体"/>
                <w:b/>
                <w:bCs/>
                <w:color w:val="000000"/>
                <w:sz w:val="18"/>
                <w:szCs w:val="18"/>
              </w:rPr>
            </w:pPr>
            <w:r>
              <w:rPr>
                <w:rFonts w:hint="eastAsia" w:ascii="宋体" w:hAnsi="宋体" w:cs="宋体"/>
                <w:b/>
                <w:sz w:val="18"/>
                <w:szCs w:val="18"/>
              </w:rPr>
              <w:t>货物名称</w:t>
            </w:r>
          </w:p>
        </w:tc>
        <w:tc>
          <w:tcPr>
            <w:tcW w:w="3162" w:type="pct"/>
            <w:vAlign w:val="center"/>
          </w:tcPr>
          <w:p w14:paraId="56A56366">
            <w:pPr>
              <w:spacing w:line="240" w:lineRule="auto"/>
              <w:ind w:firstLine="0" w:firstLineChars="0"/>
              <w:jc w:val="center"/>
              <w:rPr>
                <w:rFonts w:ascii="宋体" w:hAnsi="宋体" w:cs="宋体"/>
                <w:b/>
                <w:bCs/>
                <w:color w:val="000000"/>
                <w:sz w:val="18"/>
                <w:szCs w:val="18"/>
              </w:rPr>
            </w:pPr>
            <w:r>
              <w:rPr>
                <w:rFonts w:hint="eastAsia" w:ascii="宋体" w:hAnsi="宋体" w:cs="宋体"/>
                <w:b/>
                <w:sz w:val="18"/>
                <w:szCs w:val="18"/>
              </w:rPr>
              <w:t>质保期服务内容和要求</w:t>
            </w:r>
          </w:p>
        </w:tc>
        <w:tc>
          <w:tcPr>
            <w:tcW w:w="388" w:type="pct"/>
            <w:vAlign w:val="center"/>
          </w:tcPr>
          <w:p w14:paraId="21E315B3">
            <w:pPr>
              <w:spacing w:line="240" w:lineRule="auto"/>
              <w:ind w:firstLine="0" w:firstLineChars="0"/>
              <w:jc w:val="center"/>
              <w:rPr>
                <w:rFonts w:ascii="宋体" w:hAnsi="宋体" w:cs="宋体"/>
                <w:b/>
                <w:sz w:val="18"/>
                <w:szCs w:val="18"/>
              </w:rPr>
            </w:pPr>
            <w:r>
              <w:rPr>
                <w:rFonts w:hint="eastAsia" w:ascii="宋体" w:hAnsi="宋体" w:cs="宋体"/>
                <w:b/>
                <w:sz w:val="18"/>
                <w:szCs w:val="18"/>
              </w:rPr>
              <w:t>备注</w:t>
            </w:r>
          </w:p>
        </w:tc>
      </w:tr>
      <w:tr w14:paraId="508B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4" w:type="pct"/>
            <w:vAlign w:val="center"/>
          </w:tcPr>
          <w:p w14:paraId="15E94C57">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1</w:t>
            </w:r>
          </w:p>
        </w:tc>
        <w:tc>
          <w:tcPr>
            <w:tcW w:w="1025" w:type="pct"/>
            <w:vAlign w:val="center"/>
          </w:tcPr>
          <w:p w14:paraId="3222691E">
            <w:pPr>
              <w:spacing w:line="240" w:lineRule="auto"/>
              <w:ind w:firstLine="0" w:firstLineChars="0"/>
              <w:jc w:val="left"/>
              <w:textAlignment w:val="center"/>
              <w:rPr>
                <w:rFonts w:ascii="宋体" w:hAnsi="宋体" w:cs="宋体"/>
                <w:sz w:val="18"/>
                <w:szCs w:val="18"/>
              </w:rPr>
            </w:pPr>
            <w:r>
              <w:rPr>
                <w:rFonts w:hint="eastAsia" w:ascii="宋体" w:hAnsi="宋体" w:cs="宋体"/>
                <w:color w:val="000000"/>
                <w:sz w:val="18"/>
                <w:szCs w:val="18"/>
              </w:rPr>
              <w:t>质量保修期限</w:t>
            </w:r>
          </w:p>
        </w:tc>
        <w:tc>
          <w:tcPr>
            <w:tcW w:w="3162" w:type="pct"/>
            <w:vAlign w:val="center"/>
          </w:tcPr>
          <w:p w14:paraId="6D27709F">
            <w:pPr>
              <w:pStyle w:val="14"/>
              <w:spacing w:line="240" w:lineRule="auto"/>
              <w:ind w:firstLine="0" w:firstLineChars="0"/>
              <w:jc w:val="left"/>
              <w:textAlignment w:val="center"/>
              <w:rPr>
                <w:rFonts w:ascii="宋体" w:hAnsi="宋体" w:cs="宋体"/>
                <w:sz w:val="18"/>
                <w:szCs w:val="18"/>
              </w:rPr>
            </w:pPr>
            <w:r>
              <w:rPr>
                <w:rFonts w:hint="eastAsia" w:ascii="宋体" w:hAnsi="宋体" w:cs="宋体"/>
                <w:b/>
                <w:szCs w:val="21"/>
              </w:rPr>
              <w:t>★</w:t>
            </w:r>
            <w:r>
              <w:rPr>
                <w:rFonts w:hint="eastAsia" w:ascii="宋体" w:hAnsi="宋体" w:cs="宋体"/>
                <w:color w:val="000000"/>
                <w:sz w:val="18"/>
                <w:szCs w:val="18"/>
              </w:rPr>
              <w:t>3年（从项目终验之日起算）</w:t>
            </w:r>
          </w:p>
        </w:tc>
        <w:tc>
          <w:tcPr>
            <w:tcW w:w="388" w:type="pct"/>
            <w:vAlign w:val="center"/>
          </w:tcPr>
          <w:p w14:paraId="1D1883F7">
            <w:pPr>
              <w:spacing w:line="240" w:lineRule="auto"/>
              <w:ind w:firstLine="0" w:firstLineChars="0"/>
              <w:jc w:val="center"/>
              <w:rPr>
                <w:rFonts w:ascii="宋体" w:hAnsi="宋体" w:cs="宋体"/>
                <w:color w:val="000000"/>
                <w:sz w:val="18"/>
                <w:szCs w:val="18"/>
              </w:rPr>
            </w:pPr>
          </w:p>
        </w:tc>
      </w:tr>
      <w:tr w14:paraId="1A29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4" w:type="pct"/>
            <w:vAlign w:val="center"/>
          </w:tcPr>
          <w:p w14:paraId="0FCD64AE">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2</w:t>
            </w:r>
          </w:p>
        </w:tc>
        <w:tc>
          <w:tcPr>
            <w:tcW w:w="1025" w:type="pct"/>
            <w:vAlign w:val="center"/>
          </w:tcPr>
          <w:p w14:paraId="559C3150">
            <w:pPr>
              <w:spacing w:line="240" w:lineRule="auto"/>
              <w:ind w:firstLine="0" w:firstLineChars="0"/>
              <w:jc w:val="left"/>
              <w:textAlignment w:val="center"/>
              <w:rPr>
                <w:rFonts w:ascii="宋体" w:hAnsi="宋体" w:cs="宋体"/>
                <w:sz w:val="18"/>
                <w:szCs w:val="18"/>
              </w:rPr>
            </w:pPr>
            <w:r>
              <w:rPr>
                <w:rFonts w:hint="eastAsia" w:ascii="宋体" w:hAnsi="宋体" w:cs="宋体"/>
                <w:color w:val="000000"/>
                <w:sz w:val="18"/>
                <w:szCs w:val="18"/>
              </w:rPr>
              <w:t>质量保修范围</w:t>
            </w:r>
          </w:p>
        </w:tc>
        <w:tc>
          <w:tcPr>
            <w:tcW w:w="3162" w:type="pct"/>
            <w:vAlign w:val="center"/>
          </w:tcPr>
          <w:p w14:paraId="641CBC8D">
            <w:pPr>
              <w:pStyle w:val="14"/>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货物质量缺陷或质量问题引起的维修事件</w:t>
            </w:r>
          </w:p>
        </w:tc>
        <w:tc>
          <w:tcPr>
            <w:tcW w:w="388" w:type="pct"/>
            <w:vAlign w:val="center"/>
          </w:tcPr>
          <w:p w14:paraId="3D7A5C0B">
            <w:pPr>
              <w:spacing w:line="240" w:lineRule="auto"/>
              <w:ind w:firstLine="0" w:firstLineChars="0"/>
              <w:jc w:val="center"/>
              <w:rPr>
                <w:rFonts w:ascii="宋体" w:hAnsi="宋体" w:cs="宋体"/>
                <w:color w:val="000000"/>
                <w:sz w:val="18"/>
                <w:szCs w:val="18"/>
              </w:rPr>
            </w:pPr>
          </w:p>
        </w:tc>
      </w:tr>
      <w:tr w14:paraId="115E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424" w:type="pct"/>
            <w:vAlign w:val="center"/>
          </w:tcPr>
          <w:p w14:paraId="5340F9D2">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3</w:t>
            </w:r>
          </w:p>
        </w:tc>
        <w:tc>
          <w:tcPr>
            <w:tcW w:w="1025" w:type="pct"/>
            <w:vAlign w:val="center"/>
          </w:tcPr>
          <w:p w14:paraId="7EBCD7AF">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远程技术响应服务</w:t>
            </w:r>
          </w:p>
        </w:tc>
        <w:tc>
          <w:tcPr>
            <w:tcW w:w="3162" w:type="pct"/>
            <w:vAlign w:val="center"/>
          </w:tcPr>
          <w:p w14:paraId="2DAB5215">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1、提供电话和电子邮件两种服务响应方式，7</w:t>
            </w:r>
            <w:r>
              <w:rPr>
                <w:rFonts w:ascii="宋体" w:hAnsi="宋体" w:cs="宋体"/>
                <w:sz w:val="18"/>
                <w:szCs w:val="18"/>
              </w:rPr>
              <w:t>×</w:t>
            </w:r>
            <w:r>
              <w:rPr>
                <w:rFonts w:hint="eastAsia" w:ascii="宋体" w:hAnsi="宋体" w:cs="宋体"/>
                <w:sz w:val="18"/>
                <w:szCs w:val="18"/>
              </w:rPr>
              <w:t>24小时受</w:t>
            </w:r>
            <w:r>
              <w:rPr>
                <w:rFonts w:hint="eastAsia" w:ascii="Segoe UI Symbol" w:hAnsi="Segoe UI Symbol" w:cs="Segoe UI Symbol"/>
                <w:sz w:val="18"/>
                <w:szCs w:val="18"/>
              </w:rPr>
              <w:t>理</w:t>
            </w:r>
            <w:r>
              <w:rPr>
                <w:rFonts w:hint="eastAsia" w:ascii="宋体" w:hAnsi="宋体" w:cs="宋体"/>
                <w:sz w:val="18"/>
                <w:szCs w:val="18"/>
              </w:rPr>
              <w:t>；</w:t>
            </w:r>
          </w:p>
          <w:p w14:paraId="2078ACB3">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2、电话响应时间要求：半小时内；</w:t>
            </w:r>
          </w:p>
          <w:p w14:paraId="508603ED">
            <w:pPr>
              <w:pStyle w:val="14"/>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3、电子邮件响应时间要求：8小时内；</w:t>
            </w:r>
          </w:p>
        </w:tc>
        <w:tc>
          <w:tcPr>
            <w:tcW w:w="388" w:type="pct"/>
            <w:vAlign w:val="center"/>
          </w:tcPr>
          <w:p w14:paraId="40517E14">
            <w:pPr>
              <w:spacing w:line="240" w:lineRule="auto"/>
              <w:ind w:firstLine="0" w:firstLineChars="0"/>
              <w:jc w:val="center"/>
              <w:rPr>
                <w:rFonts w:ascii="宋体" w:hAnsi="宋体" w:cs="宋体"/>
                <w:color w:val="000000"/>
                <w:sz w:val="18"/>
                <w:szCs w:val="18"/>
              </w:rPr>
            </w:pPr>
          </w:p>
        </w:tc>
      </w:tr>
      <w:tr w14:paraId="660C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4" w:type="pct"/>
            <w:vAlign w:val="center"/>
          </w:tcPr>
          <w:p w14:paraId="75BD03F8">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4</w:t>
            </w:r>
          </w:p>
        </w:tc>
        <w:tc>
          <w:tcPr>
            <w:tcW w:w="1025" w:type="pct"/>
            <w:vAlign w:val="center"/>
          </w:tcPr>
          <w:p w14:paraId="6F4E3D06">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硬件返修服务</w:t>
            </w:r>
          </w:p>
        </w:tc>
        <w:tc>
          <w:tcPr>
            <w:tcW w:w="3162" w:type="pct"/>
            <w:vAlign w:val="center"/>
          </w:tcPr>
          <w:p w14:paraId="2787F9CE">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1、硬件返修服务受理时间：周一至周五，8:00-17:00，法定节假日除外。</w:t>
            </w:r>
          </w:p>
          <w:p w14:paraId="26871999">
            <w:pPr>
              <w:pStyle w:val="14"/>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2、收到坏件后30天内将修复或更换件送达。</w:t>
            </w:r>
          </w:p>
        </w:tc>
        <w:tc>
          <w:tcPr>
            <w:tcW w:w="388" w:type="pct"/>
            <w:vAlign w:val="center"/>
          </w:tcPr>
          <w:p w14:paraId="27EDBA2E">
            <w:pPr>
              <w:spacing w:line="240" w:lineRule="auto"/>
              <w:ind w:firstLine="0" w:firstLineChars="0"/>
              <w:jc w:val="center"/>
              <w:rPr>
                <w:rFonts w:ascii="宋体" w:hAnsi="宋体" w:cs="宋体"/>
                <w:color w:val="000000"/>
                <w:sz w:val="18"/>
                <w:szCs w:val="18"/>
              </w:rPr>
            </w:pPr>
          </w:p>
        </w:tc>
      </w:tr>
      <w:tr w14:paraId="41C3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4" w:type="pct"/>
            <w:vAlign w:val="center"/>
          </w:tcPr>
          <w:p w14:paraId="003351A4">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6</w:t>
            </w:r>
          </w:p>
        </w:tc>
        <w:tc>
          <w:tcPr>
            <w:tcW w:w="1025" w:type="pct"/>
            <w:vAlign w:val="center"/>
          </w:tcPr>
          <w:p w14:paraId="4BCFBD0B">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免责说明</w:t>
            </w:r>
          </w:p>
        </w:tc>
        <w:tc>
          <w:tcPr>
            <w:tcW w:w="3162" w:type="pct"/>
            <w:vAlign w:val="center"/>
          </w:tcPr>
          <w:p w14:paraId="7B943F3D">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1、下列情况不在质保服务范围之内：</w:t>
            </w:r>
          </w:p>
          <w:p w14:paraId="014AF323">
            <w:pPr>
              <w:spacing w:line="240" w:lineRule="auto"/>
              <w:ind w:firstLine="0" w:firstLineChars="0"/>
              <w:rPr>
                <w:rFonts w:ascii="宋体" w:hAnsi="宋体" w:cs="宋体"/>
                <w:sz w:val="18"/>
                <w:szCs w:val="18"/>
              </w:rPr>
            </w:pPr>
            <w:r>
              <w:rPr>
                <w:rFonts w:hint="eastAsia" w:ascii="宋体" w:hAnsi="宋体" w:cs="宋体"/>
                <w:sz w:val="18"/>
                <w:szCs w:val="18"/>
              </w:rPr>
              <w:t>（1）由于不可抗力事件（自然灾害、火灾、战争等）对设备造成损坏。</w:t>
            </w:r>
          </w:p>
          <w:p w14:paraId="335E2F73">
            <w:pPr>
              <w:spacing w:line="240" w:lineRule="auto"/>
              <w:ind w:firstLine="0" w:firstLineChars="0"/>
              <w:rPr>
                <w:rFonts w:ascii="宋体" w:hAnsi="宋体" w:cs="宋体"/>
                <w:sz w:val="18"/>
                <w:szCs w:val="18"/>
              </w:rPr>
            </w:pPr>
            <w:r>
              <w:rPr>
                <w:rFonts w:hint="eastAsia" w:ascii="宋体" w:hAnsi="宋体" w:cs="宋体"/>
                <w:sz w:val="18"/>
                <w:szCs w:val="18"/>
              </w:rPr>
              <w:t>（2）自然损耗或磨损造成设备损坏。</w:t>
            </w:r>
          </w:p>
          <w:p w14:paraId="3F4F2F49">
            <w:pPr>
              <w:spacing w:line="240" w:lineRule="auto"/>
              <w:ind w:firstLine="0" w:firstLineChars="0"/>
              <w:rPr>
                <w:rFonts w:ascii="宋体" w:hAnsi="宋体" w:cs="宋体"/>
                <w:sz w:val="18"/>
                <w:szCs w:val="18"/>
              </w:rPr>
            </w:pPr>
            <w:r>
              <w:rPr>
                <w:rFonts w:hint="eastAsia" w:ascii="宋体" w:hAnsi="宋体" w:cs="宋体"/>
                <w:sz w:val="18"/>
                <w:szCs w:val="18"/>
              </w:rPr>
              <w:t>（3）因现场设备运行环境(比如配电、温湿度、承重、液冷供水水质，流量及压差、管路材质及气密性等) 或外部因素（比如外部电磁干扰、内部互联设备的故障等）不能满足设备正常运行的环境要求和通用行业标准所造成的直接损坏。</w:t>
            </w:r>
          </w:p>
          <w:p w14:paraId="5BD5E70F">
            <w:pPr>
              <w:spacing w:line="240" w:lineRule="auto"/>
              <w:ind w:firstLine="0" w:firstLineChars="0"/>
              <w:rPr>
                <w:rFonts w:ascii="宋体" w:hAnsi="宋体" w:cs="宋体"/>
                <w:sz w:val="18"/>
                <w:szCs w:val="18"/>
              </w:rPr>
            </w:pPr>
            <w:r>
              <w:rPr>
                <w:rFonts w:hint="eastAsia" w:ascii="宋体" w:hAnsi="宋体" w:cs="宋体"/>
                <w:sz w:val="18"/>
                <w:szCs w:val="18"/>
              </w:rPr>
              <w:t>（4）由于故意或疏忽、使用不当、外力或蓄意破坏行为对设备造成大规模的硬件或数据损坏。</w:t>
            </w:r>
          </w:p>
          <w:p w14:paraId="380E2362">
            <w:pPr>
              <w:spacing w:line="240" w:lineRule="auto"/>
              <w:ind w:firstLine="0" w:firstLineChars="0"/>
              <w:rPr>
                <w:rFonts w:ascii="宋体" w:hAnsi="宋体" w:cs="宋体"/>
                <w:sz w:val="18"/>
                <w:szCs w:val="18"/>
              </w:rPr>
            </w:pPr>
            <w:r>
              <w:rPr>
                <w:rFonts w:hint="eastAsia" w:ascii="宋体" w:hAnsi="宋体" w:cs="宋体"/>
                <w:sz w:val="18"/>
                <w:szCs w:val="18"/>
              </w:rPr>
              <w:t>（5）已达到最大读写次数的SSD卡/盘，SD卡，M.2等部件。</w:t>
            </w:r>
          </w:p>
          <w:p w14:paraId="117046E3">
            <w:pPr>
              <w:spacing w:line="240" w:lineRule="auto"/>
              <w:ind w:firstLine="0" w:firstLineChars="0"/>
              <w:rPr>
                <w:rFonts w:ascii="宋体" w:hAnsi="宋体" w:cs="宋体"/>
                <w:sz w:val="18"/>
                <w:szCs w:val="18"/>
              </w:rPr>
            </w:pPr>
            <w:r>
              <w:rPr>
                <w:rFonts w:hint="eastAsia" w:ascii="宋体" w:hAnsi="宋体" w:cs="宋体"/>
                <w:sz w:val="18"/>
                <w:szCs w:val="18"/>
              </w:rPr>
              <w:t>（6）设备表面物理损伤、涂改的。</w:t>
            </w:r>
          </w:p>
          <w:p w14:paraId="1B5C359A">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2、下列情况可能导致</w:t>
            </w:r>
            <w:r>
              <w:rPr>
                <w:rFonts w:hint="eastAsia" w:ascii="宋体" w:hAnsi="宋体" w:cs="宋体"/>
                <w:sz w:val="18"/>
                <w:szCs w:val="18"/>
                <w:lang w:eastAsia="zh-CN"/>
              </w:rPr>
              <w:t>投标人</w:t>
            </w:r>
            <w:r>
              <w:rPr>
                <w:rFonts w:hint="eastAsia" w:ascii="宋体" w:hAnsi="宋体" w:cs="宋体"/>
                <w:sz w:val="18"/>
                <w:szCs w:val="18"/>
              </w:rPr>
              <w:t>不能按要求履行质保服务的，由双甲乙双方根据实际情况协商解决：</w:t>
            </w:r>
          </w:p>
          <w:p w14:paraId="3B812532">
            <w:pPr>
              <w:spacing w:line="240" w:lineRule="auto"/>
              <w:ind w:firstLine="0" w:firstLineChars="0"/>
              <w:rPr>
                <w:rFonts w:ascii="宋体" w:hAnsi="宋体" w:cs="宋体"/>
                <w:sz w:val="18"/>
                <w:szCs w:val="18"/>
              </w:rPr>
            </w:pPr>
            <w:r>
              <w:rPr>
                <w:rFonts w:hint="eastAsia" w:ascii="宋体" w:hAnsi="宋体" w:cs="宋体"/>
                <w:sz w:val="18"/>
                <w:szCs w:val="18"/>
              </w:rPr>
              <w:t>（1）不可抗力（如：火灾、水灾、地震、雷击等）引起的意外情况致使</w:t>
            </w:r>
            <w:r>
              <w:rPr>
                <w:rFonts w:hint="eastAsia" w:ascii="宋体" w:hAnsi="宋体" w:cs="宋体"/>
                <w:sz w:val="18"/>
                <w:szCs w:val="18"/>
                <w:lang w:eastAsia="zh-CN"/>
              </w:rPr>
              <w:t>投标人</w:t>
            </w:r>
            <w:r>
              <w:rPr>
                <w:rFonts w:hint="eastAsia" w:ascii="宋体" w:hAnsi="宋体" w:cs="宋体"/>
                <w:sz w:val="18"/>
                <w:szCs w:val="18"/>
              </w:rPr>
              <w:t>不能按要求履行质保服务。</w:t>
            </w:r>
          </w:p>
          <w:p w14:paraId="647CB73E">
            <w:pPr>
              <w:spacing w:line="240" w:lineRule="auto"/>
              <w:ind w:firstLine="0" w:firstLineChars="0"/>
              <w:rPr>
                <w:rFonts w:ascii="宋体" w:hAnsi="宋体" w:cs="宋体"/>
                <w:sz w:val="18"/>
                <w:szCs w:val="18"/>
              </w:rPr>
            </w:pPr>
            <w:r>
              <w:rPr>
                <w:rFonts w:hint="eastAsia" w:ascii="宋体" w:hAnsi="宋体" w:cs="宋体"/>
                <w:sz w:val="18"/>
                <w:szCs w:val="18"/>
              </w:rPr>
              <w:t>（2）社会性问题（如：动乱、战争、罢工、政府管制等）引起的服务条件恶化，致使</w:t>
            </w:r>
            <w:r>
              <w:rPr>
                <w:rFonts w:hint="eastAsia" w:ascii="宋体" w:hAnsi="宋体" w:cs="宋体"/>
                <w:sz w:val="18"/>
                <w:szCs w:val="18"/>
                <w:lang w:eastAsia="zh-CN"/>
              </w:rPr>
              <w:t>投标人</w:t>
            </w:r>
            <w:r>
              <w:rPr>
                <w:rFonts w:hint="eastAsia" w:ascii="宋体" w:hAnsi="宋体" w:cs="宋体"/>
                <w:sz w:val="18"/>
                <w:szCs w:val="18"/>
              </w:rPr>
              <w:t>不能按要求履行质保服务。</w:t>
            </w:r>
          </w:p>
        </w:tc>
        <w:tc>
          <w:tcPr>
            <w:tcW w:w="388" w:type="pct"/>
            <w:vAlign w:val="center"/>
          </w:tcPr>
          <w:p w14:paraId="1F8EBBB0">
            <w:pPr>
              <w:spacing w:line="240" w:lineRule="auto"/>
              <w:ind w:firstLine="0" w:firstLineChars="0"/>
              <w:jc w:val="center"/>
              <w:rPr>
                <w:rFonts w:ascii="宋体" w:hAnsi="宋体" w:cs="宋体"/>
                <w:color w:val="000000"/>
                <w:sz w:val="18"/>
                <w:szCs w:val="18"/>
              </w:rPr>
            </w:pPr>
          </w:p>
        </w:tc>
      </w:tr>
    </w:tbl>
    <w:p w14:paraId="0D9D1DEC">
      <w:pPr>
        <w:ind w:left="0" w:leftChars="0" w:firstLine="0" w:firstLineChars="0"/>
        <w:rPr>
          <w:rFonts w:ascii="宋体" w:hAnsi="宋体"/>
          <w:b/>
          <w:sz w:val="32"/>
          <w:lang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文泉驿微米黑"/>
    <w:panose1 w:val="02010600030101010101"/>
    <w:charset w:val="88"/>
    <w:family w:val="modern"/>
    <w:pitch w:val="default"/>
    <w:sig w:usb0="00000000" w:usb1="0000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方正公文黑体">
    <w:panose1 w:val="02000500000000000000"/>
    <w:charset w:val="86"/>
    <w:family w:val="auto"/>
    <w:pitch w:val="default"/>
    <w:sig w:usb0="A00002BF" w:usb1="38CF7CFA" w:usb2="00000016" w:usb3="00000000" w:csb0="00040001" w:csb1="00000000"/>
  </w:font>
  <w:font w:name="等线">
    <w:altName w:val="方正公文黑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ourier">
    <w:altName w:val="Liberation Mono"/>
    <w:panose1 w:val="02070409020205020404"/>
    <w:charset w:val="00"/>
    <w:family w:val="modern"/>
    <w:pitch w:val="default"/>
    <w:sig w:usb0="00000000" w:usb1="00000000" w:usb2="00000000" w:usb3="00000000" w:csb0="00000001" w:csb1="00000000"/>
  </w:font>
  <w:font w:name="Liberation Mono">
    <w:panose1 w:val="02070409020205020404"/>
    <w:charset w:val="00"/>
    <w:family w:val="auto"/>
    <w:pitch w:val="default"/>
    <w:sig w:usb0="A00002AF" w:usb1="400078FB" w:usb2="00000000" w:usb3="00000000" w:csb0="6000009F" w:csb1="DFD70000"/>
  </w:font>
  <w:font w:name="PMingLiU">
    <w:altName w:val="文泉驿微米黑"/>
    <w:panose1 w:val="02020500000000000000"/>
    <w:charset w:val="88"/>
    <w:family w:val="roman"/>
    <w:pitch w:val="default"/>
    <w:sig w:usb0="00000000" w:usb1="00000000" w:usb2="00000016" w:usb3="00000000" w:csb0="00100001" w:csb1="00000000"/>
  </w:font>
  <w:font w:name="楷体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MS Gothic">
    <w:altName w:val="文泉驿微米黑"/>
    <w:panose1 w:val="020B0609070205080204"/>
    <w:charset w:val="80"/>
    <w:family w:val="modern"/>
    <w:pitch w:val="default"/>
    <w:sig w:usb0="00000000" w:usb1="00000000" w:usb2="08000012" w:usb3="00000000" w:csb0="4002009F" w:csb1="DFD70000"/>
  </w:font>
  <w:font w:name="Microsoft JhengHei">
    <w:altName w:val="文泉驿微米黑"/>
    <w:panose1 w:val="020B0604030504040204"/>
    <w:charset w:val="88"/>
    <w:family w:val="swiss"/>
    <w:pitch w:val="default"/>
    <w:sig w:usb0="00000000" w:usb1="00000000" w:usb2="00000016" w:usb3="00000000" w:csb0="00100009"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Arial Unicode MS">
    <w:altName w:val="DejaVu Sans"/>
    <w:panose1 w:val="020B0604020202020204"/>
    <w:charset w:val="86"/>
    <w:family w:val="swiss"/>
    <w:pitch w:val="default"/>
    <w:sig w:usb0="00000000" w:usb1="00000000" w:usb2="0000007F" w:usb3="00000000" w:csb0="003F01FF"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全真中明體">
    <w:altName w:val="文泉驿微米黑"/>
    <w:panose1 w:val="00000000000000000000"/>
    <w:charset w:val="88"/>
    <w:family w:val="auto"/>
    <w:pitch w:val="default"/>
    <w:sig w:usb0="00000000" w:usb1="00000000" w:usb2="00000010" w:usb3="00000000" w:csb0="00100000" w:csb1="00000000"/>
  </w:font>
  <w:font w:name="幼圆">
    <w:altName w:val="仿宋_GB2312"/>
    <w:panose1 w:val="02010509060101010101"/>
    <w:charset w:val="86"/>
    <w:family w:val="modern"/>
    <w:pitch w:val="default"/>
    <w:sig w:usb0="00000000" w:usb1="00000000" w:usb2="00000000" w:usb3="00000000" w:csb0="00040000" w:csb1="00000000"/>
  </w:font>
  <w:font w:name="Palatino">
    <w:altName w:val="C059"/>
    <w:panose1 w:val="00000000000000000000"/>
    <w:charset w:val="00"/>
    <w:family w:val="modern"/>
    <w:pitch w:val="default"/>
    <w:sig w:usb0="00000000" w:usb1="00000000" w:usb2="00000000" w:usb3="00000000" w:csb0="00000093" w:csb1="00000000"/>
  </w:font>
  <w:font w:name="C059">
    <w:panose1 w:val="00000500000000000000"/>
    <w:charset w:val="00"/>
    <w:family w:val="auto"/>
    <w:pitch w:val="default"/>
    <w:sig w:usb0="00000287" w:usb1="00000800" w:usb2="00000000" w:usb3="00000000" w:csb0="6000009F" w:csb1="00000000"/>
  </w:font>
  <w:font w:name="隶书">
    <w:altName w:val="文泉驿微米黑"/>
    <w:panose1 w:val="02010509060101010101"/>
    <w:charset w:val="86"/>
    <w:family w:val="modern"/>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Wingdings 2">
    <w:panose1 w:val="05020102010507070707"/>
    <w:charset w:val="00"/>
    <w:family w:val="auto"/>
    <w:pitch w:val="default"/>
    <w:sig w:usb0="00000000" w:usb1="00000000" w:usb2="00000000" w:usb3="00000000" w:csb0="80000000" w:csb1="00000000"/>
  </w:font>
  <w:font w:name="HuaweiSans">
    <w:altName w:val="C059"/>
    <w:panose1 w:val="00000000000000000000"/>
    <w:charset w:val="00"/>
    <w:family w:val="auto"/>
    <w:pitch w:val="default"/>
    <w:sig w:usb0="00000000" w:usb1="00000000" w:usb2="00000000" w:usb3="00000000" w:csb0="00000000" w:csb1="00000000"/>
  </w:font>
  <w:font w:name="Helvetica">
    <w:altName w:val="Liberation Sans"/>
    <w:panose1 w:val="020B0604020202020204"/>
    <w:charset w:val="00"/>
    <w:family w:val="swiss"/>
    <w:pitch w:val="default"/>
    <w:sig w:usb0="00000000" w:usb1="00000000" w:usb2="00000009" w:usb3="00000000" w:csb0="000001FF" w:csb1="00000000"/>
  </w:font>
  <w:font w:name="Liberation Sans">
    <w:panose1 w:val="020B0604020202020204"/>
    <w:charset w:val="00"/>
    <w:family w:val="auto"/>
    <w:pitch w:val="default"/>
    <w:sig w:usb0="A00002AF" w:usb1="500078FB" w:usb2="00000000" w:usb3="00000000" w:csb0="6000009F" w:csb1="DFD70000"/>
  </w:font>
  <w:font w:name="Segoe UI Symbol">
    <w:altName w:val="Noto Sans"/>
    <w:panose1 w:val="020B0502040204020203"/>
    <w:charset w:val="00"/>
    <w:family w:val="swiss"/>
    <w:pitch w:val="default"/>
    <w:sig w:usb0="00000000" w:usb1="00000000" w:usb2="00040000" w:usb3="04000000" w:csb0="00000001" w:csb1="40000000"/>
  </w:font>
  <w:font w:name="Noto Sans">
    <w:panose1 w:val="020B0502040504020204"/>
    <w:charset w:val="00"/>
    <w:family w:val="auto"/>
    <w:pitch w:val="default"/>
    <w:sig w:usb0="E00002FF" w:usb1="4000201F" w:usb2="08000029" w:usb3="00100000" w:csb0="0000019F" w:csb1="00000000"/>
  </w:font>
  <w:font w:name="等线">
    <w:altName w:val="方正公文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2E06F">
    <w:pPr>
      <w:pStyle w:val="3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1B9ED">
    <w:pPr>
      <w:pStyle w:val="3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70CBE">
    <w:pPr>
      <w:pStyle w:val="3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FBCD4">
    <w:pPr>
      <w:pStyle w:val="3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4D704">
    <w:pPr>
      <w:pStyle w:val="3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E614E">
    <w:pPr>
      <w:pStyle w:val="3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11745D"/>
    <w:multiLevelType w:val="singleLevel"/>
    <w:tmpl w:val="E311745D"/>
    <w:lvl w:ilvl="0" w:tentative="0">
      <w:start w:val="1"/>
      <w:numFmt w:val="decimal"/>
      <w:suff w:val="nothing"/>
      <w:lvlText w:val="（%1）"/>
      <w:lvlJc w:val="left"/>
    </w:lvl>
  </w:abstractNum>
  <w:abstractNum w:abstractNumId="1">
    <w:nsid w:val="010C4A87"/>
    <w:multiLevelType w:val="multilevel"/>
    <w:tmpl w:val="010C4A87"/>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0A5F11E1"/>
    <w:multiLevelType w:val="multilevel"/>
    <w:tmpl w:val="0A5F11E1"/>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0C16F32D"/>
    <w:multiLevelType w:val="singleLevel"/>
    <w:tmpl w:val="0C16F32D"/>
    <w:lvl w:ilvl="0" w:tentative="0">
      <w:start w:val="3"/>
      <w:numFmt w:val="decimal"/>
      <w:suff w:val="nothing"/>
      <w:lvlText w:val="%1）"/>
      <w:lvlJc w:val="left"/>
    </w:lvl>
  </w:abstractNum>
  <w:abstractNum w:abstractNumId="4">
    <w:nsid w:val="10682B35"/>
    <w:multiLevelType w:val="multilevel"/>
    <w:tmpl w:val="10682B3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1E4A2D72"/>
    <w:multiLevelType w:val="multilevel"/>
    <w:tmpl w:val="1E4A2D72"/>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1F0D7C83"/>
    <w:multiLevelType w:val="multilevel"/>
    <w:tmpl w:val="1F0D7C8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2B2D21E6"/>
    <w:multiLevelType w:val="multilevel"/>
    <w:tmpl w:val="2B2D21E6"/>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2DCCF569"/>
    <w:multiLevelType w:val="singleLevel"/>
    <w:tmpl w:val="2DCCF569"/>
    <w:lvl w:ilvl="0" w:tentative="0">
      <w:start w:val="1"/>
      <w:numFmt w:val="bullet"/>
      <w:lvlText w:val=""/>
      <w:lvlJc w:val="left"/>
      <w:pPr>
        <w:ind w:left="420" w:hanging="420"/>
      </w:pPr>
      <w:rPr>
        <w:rFonts w:hint="default" w:ascii="Wingdings" w:hAnsi="Wingdings"/>
      </w:rPr>
    </w:lvl>
  </w:abstractNum>
  <w:abstractNum w:abstractNumId="9">
    <w:nsid w:val="356C3CF8"/>
    <w:multiLevelType w:val="multilevel"/>
    <w:tmpl w:val="356C3CF8"/>
    <w:lvl w:ilvl="0" w:tentative="0">
      <w:start w:val="1"/>
      <w:numFmt w:val="chineseCountingThousand"/>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3FFCABCF"/>
    <w:multiLevelType w:val="singleLevel"/>
    <w:tmpl w:val="3FFCABCF"/>
    <w:lvl w:ilvl="0" w:tentative="0">
      <w:start w:val="1"/>
      <w:numFmt w:val="decimal"/>
      <w:suff w:val="nothing"/>
      <w:lvlText w:val="%1、"/>
      <w:lvlJc w:val="left"/>
      <w:rPr>
        <w:rFonts w:hint="default"/>
        <w:b/>
        <w:bCs/>
      </w:rPr>
    </w:lvl>
  </w:abstractNum>
  <w:abstractNum w:abstractNumId="11">
    <w:nsid w:val="43072DBE"/>
    <w:multiLevelType w:val="multilevel"/>
    <w:tmpl w:val="43072DBE"/>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43206C0B"/>
    <w:multiLevelType w:val="multilevel"/>
    <w:tmpl w:val="43206C0B"/>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57CC6E02"/>
    <w:multiLevelType w:val="multilevel"/>
    <w:tmpl w:val="57CC6E02"/>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
    <w:nsid w:val="5D3B7966"/>
    <w:multiLevelType w:val="multilevel"/>
    <w:tmpl w:val="5D3B7966"/>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9"/>
  </w:num>
  <w:num w:numId="2">
    <w:abstractNumId w:val="10"/>
  </w:num>
  <w:num w:numId="3">
    <w:abstractNumId w:val="0"/>
  </w:num>
  <w:num w:numId="4">
    <w:abstractNumId w:val="8"/>
  </w:num>
  <w:num w:numId="5">
    <w:abstractNumId w:val="3"/>
  </w:num>
  <w:num w:numId="6">
    <w:abstractNumId w:val="12"/>
  </w:num>
  <w:num w:numId="7">
    <w:abstractNumId w:val="11"/>
  </w:num>
  <w:num w:numId="8">
    <w:abstractNumId w:val="6"/>
  </w:num>
  <w:num w:numId="9">
    <w:abstractNumId w:val="2"/>
  </w:num>
  <w:num w:numId="10">
    <w:abstractNumId w:val="1"/>
  </w:num>
  <w:num w:numId="11">
    <w:abstractNumId w:val="14"/>
  </w:num>
  <w:num w:numId="12">
    <w:abstractNumId w:val="5"/>
  </w:num>
  <w:num w:numId="13">
    <w:abstractNumId w:val="13"/>
  </w:num>
  <w:num w:numId="14">
    <w:abstractNumId w:val="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F66"/>
    <w:rsid w:val="00007A91"/>
    <w:rsid w:val="00007D0E"/>
    <w:rsid w:val="00007D81"/>
    <w:rsid w:val="00010CBF"/>
    <w:rsid w:val="00023232"/>
    <w:rsid w:val="0002701B"/>
    <w:rsid w:val="00031E43"/>
    <w:rsid w:val="00031F79"/>
    <w:rsid w:val="00032B69"/>
    <w:rsid w:val="00034B4A"/>
    <w:rsid w:val="000364C5"/>
    <w:rsid w:val="00045224"/>
    <w:rsid w:val="000575E4"/>
    <w:rsid w:val="00061596"/>
    <w:rsid w:val="000722D3"/>
    <w:rsid w:val="0007361F"/>
    <w:rsid w:val="000742D3"/>
    <w:rsid w:val="00083116"/>
    <w:rsid w:val="00087B3C"/>
    <w:rsid w:val="00093E58"/>
    <w:rsid w:val="00095F3A"/>
    <w:rsid w:val="0009733A"/>
    <w:rsid w:val="000973AF"/>
    <w:rsid w:val="00097E1B"/>
    <w:rsid w:val="000A2162"/>
    <w:rsid w:val="000A6538"/>
    <w:rsid w:val="000B0208"/>
    <w:rsid w:val="000B0782"/>
    <w:rsid w:val="000B1775"/>
    <w:rsid w:val="000B1C57"/>
    <w:rsid w:val="000D0ADA"/>
    <w:rsid w:val="000D46BA"/>
    <w:rsid w:val="000D6B2A"/>
    <w:rsid w:val="000F08CF"/>
    <w:rsid w:val="000F2831"/>
    <w:rsid w:val="000F3BAB"/>
    <w:rsid w:val="000F5CE6"/>
    <w:rsid w:val="00116943"/>
    <w:rsid w:val="00117A78"/>
    <w:rsid w:val="00127F9D"/>
    <w:rsid w:val="00131ABA"/>
    <w:rsid w:val="00132466"/>
    <w:rsid w:val="00142763"/>
    <w:rsid w:val="001438D4"/>
    <w:rsid w:val="0014454E"/>
    <w:rsid w:val="0014507B"/>
    <w:rsid w:val="00146DE3"/>
    <w:rsid w:val="001520AA"/>
    <w:rsid w:val="0015389F"/>
    <w:rsid w:val="001556F5"/>
    <w:rsid w:val="00160500"/>
    <w:rsid w:val="00160BD2"/>
    <w:rsid w:val="00170051"/>
    <w:rsid w:val="00170254"/>
    <w:rsid w:val="001800C2"/>
    <w:rsid w:val="00180C8F"/>
    <w:rsid w:val="0018660D"/>
    <w:rsid w:val="00195C6B"/>
    <w:rsid w:val="001A1136"/>
    <w:rsid w:val="001A557C"/>
    <w:rsid w:val="001A7A67"/>
    <w:rsid w:val="001B0964"/>
    <w:rsid w:val="001B28EE"/>
    <w:rsid w:val="001B3934"/>
    <w:rsid w:val="001B49F4"/>
    <w:rsid w:val="001C22DA"/>
    <w:rsid w:val="001C295E"/>
    <w:rsid w:val="001C4041"/>
    <w:rsid w:val="001D6A0A"/>
    <w:rsid w:val="001D73DB"/>
    <w:rsid w:val="001D7705"/>
    <w:rsid w:val="001E4768"/>
    <w:rsid w:val="001F5B45"/>
    <w:rsid w:val="0020206D"/>
    <w:rsid w:val="00203AA4"/>
    <w:rsid w:val="00213F87"/>
    <w:rsid w:val="00214F1D"/>
    <w:rsid w:val="00215B5B"/>
    <w:rsid w:val="00222809"/>
    <w:rsid w:val="002244AB"/>
    <w:rsid w:val="00233DC2"/>
    <w:rsid w:val="00234C27"/>
    <w:rsid w:val="00240A2D"/>
    <w:rsid w:val="0024138C"/>
    <w:rsid w:val="00242D44"/>
    <w:rsid w:val="00246E34"/>
    <w:rsid w:val="00250AAE"/>
    <w:rsid w:val="002623C2"/>
    <w:rsid w:val="00266850"/>
    <w:rsid w:val="00270FEF"/>
    <w:rsid w:val="00275818"/>
    <w:rsid w:val="00275AFB"/>
    <w:rsid w:val="002950BA"/>
    <w:rsid w:val="0029732C"/>
    <w:rsid w:val="002A2882"/>
    <w:rsid w:val="002A4B7F"/>
    <w:rsid w:val="002A5D06"/>
    <w:rsid w:val="002A61EB"/>
    <w:rsid w:val="002B0BE8"/>
    <w:rsid w:val="002B2E88"/>
    <w:rsid w:val="002C77C9"/>
    <w:rsid w:val="002C7FA9"/>
    <w:rsid w:val="002D6081"/>
    <w:rsid w:val="002D7CA7"/>
    <w:rsid w:val="002E19E4"/>
    <w:rsid w:val="002E360D"/>
    <w:rsid w:val="002E4336"/>
    <w:rsid w:val="002E6750"/>
    <w:rsid w:val="002E7633"/>
    <w:rsid w:val="002F0242"/>
    <w:rsid w:val="002F30EE"/>
    <w:rsid w:val="002F332D"/>
    <w:rsid w:val="00302003"/>
    <w:rsid w:val="00303D59"/>
    <w:rsid w:val="00304FA0"/>
    <w:rsid w:val="0031315B"/>
    <w:rsid w:val="00314EF4"/>
    <w:rsid w:val="003217C0"/>
    <w:rsid w:val="00324D77"/>
    <w:rsid w:val="00326873"/>
    <w:rsid w:val="00330E77"/>
    <w:rsid w:val="0033181B"/>
    <w:rsid w:val="003345CB"/>
    <w:rsid w:val="00336801"/>
    <w:rsid w:val="00336FBA"/>
    <w:rsid w:val="00346F53"/>
    <w:rsid w:val="0034737F"/>
    <w:rsid w:val="00350A71"/>
    <w:rsid w:val="003529A6"/>
    <w:rsid w:val="003608B0"/>
    <w:rsid w:val="00361380"/>
    <w:rsid w:val="00361442"/>
    <w:rsid w:val="00366A6E"/>
    <w:rsid w:val="00383758"/>
    <w:rsid w:val="00384939"/>
    <w:rsid w:val="00385205"/>
    <w:rsid w:val="003860E1"/>
    <w:rsid w:val="00387744"/>
    <w:rsid w:val="0038793D"/>
    <w:rsid w:val="00390DAF"/>
    <w:rsid w:val="00397546"/>
    <w:rsid w:val="00397555"/>
    <w:rsid w:val="003979D2"/>
    <w:rsid w:val="003A3CA2"/>
    <w:rsid w:val="003C12EF"/>
    <w:rsid w:val="003C1DFE"/>
    <w:rsid w:val="003C253F"/>
    <w:rsid w:val="003C2AA4"/>
    <w:rsid w:val="003C392F"/>
    <w:rsid w:val="003C3BBE"/>
    <w:rsid w:val="003C4C01"/>
    <w:rsid w:val="003C4CFF"/>
    <w:rsid w:val="003C6560"/>
    <w:rsid w:val="003D31E7"/>
    <w:rsid w:val="003D3788"/>
    <w:rsid w:val="003D38C2"/>
    <w:rsid w:val="003D3F6F"/>
    <w:rsid w:val="003D55CB"/>
    <w:rsid w:val="003D7030"/>
    <w:rsid w:val="003D720E"/>
    <w:rsid w:val="003E4D66"/>
    <w:rsid w:val="003F4C1F"/>
    <w:rsid w:val="003F63E3"/>
    <w:rsid w:val="00401910"/>
    <w:rsid w:val="00403D00"/>
    <w:rsid w:val="00404483"/>
    <w:rsid w:val="0040490E"/>
    <w:rsid w:val="004109F8"/>
    <w:rsid w:val="004249F2"/>
    <w:rsid w:val="004254BE"/>
    <w:rsid w:val="004266C8"/>
    <w:rsid w:val="00431FC9"/>
    <w:rsid w:val="00437B34"/>
    <w:rsid w:val="00437B42"/>
    <w:rsid w:val="00437E19"/>
    <w:rsid w:val="00443D47"/>
    <w:rsid w:val="00445E33"/>
    <w:rsid w:val="0045426D"/>
    <w:rsid w:val="00457217"/>
    <w:rsid w:val="00461EAC"/>
    <w:rsid w:val="00462E85"/>
    <w:rsid w:val="00463B9C"/>
    <w:rsid w:val="004642D6"/>
    <w:rsid w:val="004669FE"/>
    <w:rsid w:val="004812D3"/>
    <w:rsid w:val="00482FDD"/>
    <w:rsid w:val="00485EF5"/>
    <w:rsid w:val="004865DE"/>
    <w:rsid w:val="00486779"/>
    <w:rsid w:val="004A0DD4"/>
    <w:rsid w:val="004A2E22"/>
    <w:rsid w:val="004B0CD5"/>
    <w:rsid w:val="004B1221"/>
    <w:rsid w:val="004B2C4A"/>
    <w:rsid w:val="004B2CB3"/>
    <w:rsid w:val="004B50E3"/>
    <w:rsid w:val="004B55A5"/>
    <w:rsid w:val="004C2AA8"/>
    <w:rsid w:val="004C2D31"/>
    <w:rsid w:val="004C6726"/>
    <w:rsid w:val="004D0B66"/>
    <w:rsid w:val="004D2EFD"/>
    <w:rsid w:val="004D4848"/>
    <w:rsid w:val="004D5D15"/>
    <w:rsid w:val="004D5F19"/>
    <w:rsid w:val="004E2177"/>
    <w:rsid w:val="004E46A3"/>
    <w:rsid w:val="004F0E0D"/>
    <w:rsid w:val="004F1EEE"/>
    <w:rsid w:val="004F211C"/>
    <w:rsid w:val="004F21C9"/>
    <w:rsid w:val="004F5610"/>
    <w:rsid w:val="004F5F73"/>
    <w:rsid w:val="004F6108"/>
    <w:rsid w:val="004F66AC"/>
    <w:rsid w:val="004F7C2D"/>
    <w:rsid w:val="00500C7A"/>
    <w:rsid w:val="0050402D"/>
    <w:rsid w:val="005050C8"/>
    <w:rsid w:val="0051583D"/>
    <w:rsid w:val="00516709"/>
    <w:rsid w:val="00524BF4"/>
    <w:rsid w:val="00531443"/>
    <w:rsid w:val="005316D8"/>
    <w:rsid w:val="00532723"/>
    <w:rsid w:val="0053323E"/>
    <w:rsid w:val="00534715"/>
    <w:rsid w:val="00541300"/>
    <w:rsid w:val="00541A4A"/>
    <w:rsid w:val="0054414E"/>
    <w:rsid w:val="0054742D"/>
    <w:rsid w:val="00562EF6"/>
    <w:rsid w:val="005639FC"/>
    <w:rsid w:val="00565EAF"/>
    <w:rsid w:val="00566797"/>
    <w:rsid w:val="00574161"/>
    <w:rsid w:val="00581263"/>
    <w:rsid w:val="0058130F"/>
    <w:rsid w:val="00584E28"/>
    <w:rsid w:val="005857EC"/>
    <w:rsid w:val="00585E03"/>
    <w:rsid w:val="00594538"/>
    <w:rsid w:val="005B1B37"/>
    <w:rsid w:val="005B1C7D"/>
    <w:rsid w:val="005B3574"/>
    <w:rsid w:val="005B4F03"/>
    <w:rsid w:val="005B794B"/>
    <w:rsid w:val="005C031F"/>
    <w:rsid w:val="005C32D0"/>
    <w:rsid w:val="005C3D74"/>
    <w:rsid w:val="005C580A"/>
    <w:rsid w:val="005D0082"/>
    <w:rsid w:val="005D5644"/>
    <w:rsid w:val="005D7F89"/>
    <w:rsid w:val="005E7172"/>
    <w:rsid w:val="005F0392"/>
    <w:rsid w:val="005F2E45"/>
    <w:rsid w:val="005F7EC4"/>
    <w:rsid w:val="00600DD3"/>
    <w:rsid w:val="0060162F"/>
    <w:rsid w:val="00604586"/>
    <w:rsid w:val="00606D34"/>
    <w:rsid w:val="00610458"/>
    <w:rsid w:val="006145EB"/>
    <w:rsid w:val="00617A08"/>
    <w:rsid w:val="00622465"/>
    <w:rsid w:val="00625AB2"/>
    <w:rsid w:val="006359C6"/>
    <w:rsid w:val="006417DF"/>
    <w:rsid w:val="00643A62"/>
    <w:rsid w:val="00643D2A"/>
    <w:rsid w:val="00644808"/>
    <w:rsid w:val="006454EC"/>
    <w:rsid w:val="00646597"/>
    <w:rsid w:val="00652263"/>
    <w:rsid w:val="00653342"/>
    <w:rsid w:val="00665DEE"/>
    <w:rsid w:val="006671F5"/>
    <w:rsid w:val="00672070"/>
    <w:rsid w:val="00674819"/>
    <w:rsid w:val="00680B78"/>
    <w:rsid w:val="00685E59"/>
    <w:rsid w:val="006914F5"/>
    <w:rsid w:val="00692842"/>
    <w:rsid w:val="00692A38"/>
    <w:rsid w:val="00694A07"/>
    <w:rsid w:val="006A0B17"/>
    <w:rsid w:val="006A16D9"/>
    <w:rsid w:val="006A79FD"/>
    <w:rsid w:val="006A7F66"/>
    <w:rsid w:val="006B2548"/>
    <w:rsid w:val="006B3561"/>
    <w:rsid w:val="006B5850"/>
    <w:rsid w:val="006C2A23"/>
    <w:rsid w:val="006D403C"/>
    <w:rsid w:val="006E0F87"/>
    <w:rsid w:val="006F0A6C"/>
    <w:rsid w:val="006F27FE"/>
    <w:rsid w:val="006F3F16"/>
    <w:rsid w:val="006F6830"/>
    <w:rsid w:val="00700916"/>
    <w:rsid w:val="00700FED"/>
    <w:rsid w:val="007011D7"/>
    <w:rsid w:val="007024CE"/>
    <w:rsid w:val="007046A6"/>
    <w:rsid w:val="0070632D"/>
    <w:rsid w:val="00725208"/>
    <w:rsid w:val="0073113C"/>
    <w:rsid w:val="00742E3C"/>
    <w:rsid w:val="007448C2"/>
    <w:rsid w:val="0074543C"/>
    <w:rsid w:val="00754484"/>
    <w:rsid w:val="007650A3"/>
    <w:rsid w:val="00767AF8"/>
    <w:rsid w:val="007701AF"/>
    <w:rsid w:val="0077397F"/>
    <w:rsid w:val="007754BB"/>
    <w:rsid w:val="007776A9"/>
    <w:rsid w:val="00781716"/>
    <w:rsid w:val="007914E7"/>
    <w:rsid w:val="00793533"/>
    <w:rsid w:val="00793CA2"/>
    <w:rsid w:val="007B2B0A"/>
    <w:rsid w:val="007B5DE3"/>
    <w:rsid w:val="007C09CC"/>
    <w:rsid w:val="007C2219"/>
    <w:rsid w:val="007C6BEC"/>
    <w:rsid w:val="007C7E78"/>
    <w:rsid w:val="007D032C"/>
    <w:rsid w:val="007D1A05"/>
    <w:rsid w:val="007D36BD"/>
    <w:rsid w:val="007D373F"/>
    <w:rsid w:val="007D4A27"/>
    <w:rsid w:val="007F4A1B"/>
    <w:rsid w:val="007F7D52"/>
    <w:rsid w:val="008017E5"/>
    <w:rsid w:val="008105B2"/>
    <w:rsid w:val="0081233B"/>
    <w:rsid w:val="00822AA0"/>
    <w:rsid w:val="00824D4B"/>
    <w:rsid w:val="00824FEF"/>
    <w:rsid w:val="0084158C"/>
    <w:rsid w:val="00841CB4"/>
    <w:rsid w:val="0084340D"/>
    <w:rsid w:val="008437B8"/>
    <w:rsid w:val="00844578"/>
    <w:rsid w:val="008562B7"/>
    <w:rsid w:val="00866F74"/>
    <w:rsid w:val="008704CF"/>
    <w:rsid w:val="0088309B"/>
    <w:rsid w:val="00883290"/>
    <w:rsid w:val="00887346"/>
    <w:rsid w:val="008A1E5F"/>
    <w:rsid w:val="008A46EC"/>
    <w:rsid w:val="008A58F4"/>
    <w:rsid w:val="008A6206"/>
    <w:rsid w:val="008A7DC4"/>
    <w:rsid w:val="008B5E1C"/>
    <w:rsid w:val="008B6313"/>
    <w:rsid w:val="008C075D"/>
    <w:rsid w:val="008C1C7D"/>
    <w:rsid w:val="008C70A2"/>
    <w:rsid w:val="008D3854"/>
    <w:rsid w:val="008D5545"/>
    <w:rsid w:val="008D57E9"/>
    <w:rsid w:val="008E1762"/>
    <w:rsid w:val="008E5BC1"/>
    <w:rsid w:val="008E7606"/>
    <w:rsid w:val="008E7E44"/>
    <w:rsid w:val="008F1185"/>
    <w:rsid w:val="008F16C0"/>
    <w:rsid w:val="008F7CD8"/>
    <w:rsid w:val="008F7EB7"/>
    <w:rsid w:val="0090327D"/>
    <w:rsid w:val="00911010"/>
    <w:rsid w:val="009110C9"/>
    <w:rsid w:val="0091410A"/>
    <w:rsid w:val="009179C1"/>
    <w:rsid w:val="009201BD"/>
    <w:rsid w:val="00923A81"/>
    <w:rsid w:val="00924734"/>
    <w:rsid w:val="00927803"/>
    <w:rsid w:val="00933C6F"/>
    <w:rsid w:val="00937C41"/>
    <w:rsid w:val="0094263D"/>
    <w:rsid w:val="009478AA"/>
    <w:rsid w:val="00960B3C"/>
    <w:rsid w:val="00963A94"/>
    <w:rsid w:val="009679F3"/>
    <w:rsid w:val="00967D78"/>
    <w:rsid w:val="00970671"/>
    <w:rsid w:val="009755E4"/>
    <w:rsid w:val="00977B48"/>
    <w:rsid w:val="009834FC"/>
    <w:rsid w:val="00985831"/>
    <w:rsid w:val="009900A5"/>
    <w:rsid w:val="009916F3"/>
    <w:rsid w:val="00996D31"/>
    <w:rsid w:val="0099714E"/>
    <w:rsid w:val="009A194F"/>
    <w:rsid w:val="009A3EF7"/>
    <w:rsid w:val="009B53B8"/>
    <w:rsid w:val="009B5762"/>
    <w:rsid w:val="009B5A63"/>
    <w:rsid w:val="009B684C"/>
    <w:rsid w:val="009C0DC8"/>
    <w:rsid w:val="009C180E"/>
    <w:rsid w:val="009E2AF2"/>
    <w:rsid w:val="009E3ABF"/>
    <w:rsid w:val="009E720D"/>
    <w:rsid w:val="009F5B85"/>
    <w:rsid w:val="00A11B88"/>
    <w:rsid w:val="00A13069"/>
    <w:rsid w:val="00A178DC"/>
    <w:rsid w:val="00A26D73"/>
    <w:rsid w:val="00A31CAC"/>
    <w:rsid w:val="00A3533F"/>
    <w:rsid w:val="00A35F39"/>
    <w:rsid w:val="00A369B0"/>
    <w:rsid w:val="00A41125"/>
    <w:rsid w:val="00A42A95"/>
    <w:rsid w:val="00A568F8"/>
    <w:rsid w:val="00A569D6"/>
    <w:rsid w:val="00A56EA5"/>
    <w:rsid w:val="00A60013"/>
    <w:rsid w:val="00A62A3E"/>
    <w:rsid w:val="00A638B2"/>
    <w:rsid w:val="00A64F66"/>
    <w:rsid w:val="00A717C1"/>
    <w:rsid w:val="00A830B5"/>
    <w:rsid w:val="00A86509"/>
    <w:rsid w:val="00A93FF3"/>
    <w:rsid w:val="00A97D79"/>
    <w:rsid w:val="00AB2BFA"/>
    <w:rsid w:val="00AB7A64"/>
    <w:rsid w:val="00AC6B48"/>
    <w:rsid w:val="00AC6B72"/>
    <w:rsid w:val="00AC79E9"/>
    <w:rsid w:val="00AD0C0F"/>
    <w:rsid w:val="00AD24AC"/>
    <w:rsid w:val="00AD4735"/>
    <w:rsid w:val="00AD6ECB"/>
    <w:rsid w:val="00AE0C46"/>
    <w:rsid w:val="00AE284F"/>
    <w:rsid w:val="00AF360B"/>
    <w:rsid w:val="00AF43A8"/>
    <w:rsid w:val="00AF6258"/>
    <w:rsid w:val="00B07873"/>
    <w:rsid w:val="00B126D1"/>
    <w:rsid w:val="00B145AB"/>
    <w:rsid w:val="00B1532C"/>
    <w:rsid w:val="00B159F8"/>
    <w:rsid w:val="00B216CB"/>
    <w:rsid w:val="00B21EDE"/>
    <w:rsid w:val="00B243A3"/>
    <w:rsid w:val="00B26FA5"/>
    <w:rsid w:val="00B37BD0"/>
    <w:rsid w:val="00B52CA5"/>
    <w:rsid w:val="00B53701"/>
    <w:rsid w:val="00B6029F"/>
    <w:rsid w:val="00B61665"/>
    <w:rsid w:val="00B65CCC"/>
    <w:rsid w:val="00B675A4"/>
    <w:rsid w:val="00B72AF7"/>
    <w:rsid w:val="00B74176"/>
    <w:rsid w:val="00B766BE"/>
    <w:rsid w:val="00B86D30"/>
    <w:rsid w:val="00B878B9"/>
    <w:rsid w:val="00B96047"/>
    <w:rsid w:val="00B96C89"/>
    <w:rsid w:val="00BB39DD"/>
    <w:rsid w:val="00BB4780"/>
    <w:rsid w:val="00BC3CF5"/>
    <w:rsid w:val="00BC5EF7"/>
    <w:rsid w:val="00BD25C7"/>
    <w:rsid w:val="00BE15BB"/>
    <w:rsid w:val="00BE61B0"/>
    <w:rsid w:val="00BF573D"/>
    <w:rsid w:val="00C00A7C"/>
    <w:rsid w:val="00C037CA"/>
    <w:rsid w:val="00C043AC"/>
    <w:rsid w:val="00C132A0"/>
    <w:rsid w:val="00C13EE9"/>
    <w:rsid w:val="00C15334"/>
    <w:rsid w:val="00C249C0"/>
    <w:rsid w:val="00C27FF3"/>
    <w:rsid w:val="00C33D40"/>
    <w:rsid w:val="00C35BF3"/>
    <w:rsid w:val="00C442F4"/>
    <w:rsid w:val="00C54155"/>
    <w:rsid w:val="00C5573A"/>
    <w:rsid w:val="00C55F9A"/>
    <w:rsid w:val="00C62CA4"/>
    <w:rsid w:val="00C6521B"/>
    <w:rsid w:val="00C66BAC"/>
    <w:rsid w:val="00C75C0E"/>
    <w:rsid w:val="00C81F57"/>
    <w:rsid w:val="00C85E52"/>
    <w:rsid w:val="00C87803"/>
    <w:rsid w:val="00C959EE"/>
    <w:rsid w:val="00C95BA9"/>
    <w:rsid w:val="00CA002B"/>
    <w:rsid w:val="00CA22A5"/>
    <w:rsid w:val="00CA4214"/>
    <w:rsid w:val="00CB5EA0"/>
    <w:rsid w:val="00CB7B74"/>
    <w:rsid w:val="00CC6C73"/>
    <w:rsid w:val="00CD2033"/>
    <w:rsid w:val="00CD232C"/>
    <w:rsid w:val="00CD7422"/>
    <w:rsid w:val="00CE3545"/>
    <w:rsid w:val="00CF5764"/>
    <w:rsid w:val="00D03FCF"/>
    <w:rsid w:val="00D07CE2"/>
    <w:rsid w:val="00D12324"/>
    <w:rsid w:val="00D13D3B"/>
    <w:rsid w:val="00D150D9"/>
    <w:rsid w:val="00D15404"/>
    <w:rsid w:val="00D16B51"/>
    <w:rsid w:val="00D174E1"/>
    <w:rsid w:val="00D1768A"/>
    <w:rsid w:val="00D17782"/>
    <w:rsid w:val="00D17E2F"/>
    <w:rsid w:val="00D267E0"/>
    <w:rsid w:val="00D26938"/>
    <w:rsid w:val="00D275AF"/>
    <w:rsid w:val="00D30661"/>
    <w:rsid w:val="00D3285F"/>
    <w:rsid w:val="00D417E1"/>
    <w:rsid w:val="00D436D8"/>
    <w:rsid w:val="00D46E8E"/>
    <w:rsid w:val="00D50598"/>
    <w:rsid w:val="00D50B74"/>
    <w:rsid w:val="00D51D09"/>
    <w:rsid w:val="00D5268B"/>
    <w:rsid w:val="00D55264"/>
    <w:rsid w:val="00D66D6A"/>
    <w:rsid w:val="00D679BD"/>
    <w:rsid w:val="00D72313"/>
    <w:rsid w:val="00D72D79"/>
    <w:rsid w:val="00D73167"/>
    <w:rsid w:val="00D74A44"/>
    <w:rsid w:val="00D80ABA"/>
    <w:rsid w:val="00D8437C"/>
    <w:rsid w:val="00DA2EB8"/>
    <w:rsid w:val="00DA7554"/>
    <w:rsid w:val="00DB1195"/>
    <w:rsid w:val="00DB1E2E"/>
    <w:rsid w:val="00DB60B6"/>
    <w:rsid w:val="00DB6D6D"/>
    <w:rsid w:val="00DB7357"/>
    <w:rsid w:val="00DC11A7"/>
    <w:rsid w:val="00DC1C26"/>
    <w:rsid w:val="00DC23CC"/>
    <w:rsid w:val="00DC4746"/>
    <w:rsid w:val="00DC5956"/>
    <w:rsid w:val="00DC644A"/>
    <w:rsid w:val="00DD1552"/>
    <w:rsid w:val="00DD7444"/>
    <w:rsid w:val="00DE055A"/>
    <w:rsid w:val="00DE31A3"/>
    <w:rsid w:val="00DE3EAD"/>
    <w:rsid w:val="00DE5D09"/>
    <w:rsid w:val="00DF3A76"/>
    <w:rsid w:val="00E0216E"/>
    <w:rsid w:val="00E07283"/>
    <w:rsid w:val="00E1345B"/>
    <w:rsid w:val="00E139E4"/>
    <w:rsid w:val="00E147C0"/>
    <w:rsid w:val="00E14C84"/>
    <w:rsid w:val="00E1671D"/>
    <w:rsid w:val="00E17FE5"/>
    <w:rsid w:val="00E276D3"/>
    <w:rsid w:val="00E27BF6"/>
    <w:rsid w:val="00E314C3"/>
    <w:rsid w:val="00E315AA"/>
    <w:rsid w:val="00E35ECB"/>
    <w:rsid w:val="00E43B94"/>
    <w:rsid w:val="00E608CC"/>
    <w:rsid w:val="00E6665B"/>
    <w:rsid w:val="00E74FEB"/>
    <w:rsid w:val="00E84E78"/>
    <w:rsid w:val="00E84F19"/>
    <w:rsid w:val="00E916E9"/>
    <w:rsid w:val="00E925B2"/>
    <w:rsid w:val="00E9270B"/>
    <w:rsid w:val="00E96E80"/>
    <w:rsid w:val="00E9798B"/>
    <w:rsid w:val="00EA19A3"/>
    <w:rsid w:val="00EA393B"/>
    <w:rsid w:val="00EA5319"/>
    <w:rsid w:val="00EA7CE9"/>
    <w:rsid w:val="00EB11AF"/>
    <w:rsid w:val="00EB6DCF"/>
    <w:rsid w:val="00EC614C"/>
    <w:rsid w:val="00ED336D"/>
    <w:rsid w:val="00ED3DAF"/>
    <w:rsid w:val="00ED49C0"/>
    <w:rsid w:val="00ED5315"/>
    <w:rsid w:val="00EE2261"/>
    <w:rsid w:val="00EE3696"/>
    <w:rsid w:val="00EE3DB0"/>
    <w:rsid w:val="00EE5843"/>
    <w:rsid w:val="00EE5AD5"/>
    <w:rsid w:val="00EF1BE3"/>
    <w:rsid w:val="00EF354D"/>
    <w:rsid w:val="00EF7C57"/>
    <w:rsid w:val="00F043D1"/>
    <w:rsid w:val="00F12028"/>
    <w:rsid w:val="00F16558"/>
    <w:rsid w:val="00F165B8"/>
    <w:rsid w:val="00F27A45"/>
    <w:rsid w:val="00F361DB"/>
    <w:rsid w:val="00F4065A"/>
    <w:rsid w:val="00F419CA"/>
    <w:rsid w:val="00F455F9"/>
    <w:rsid w:val="00F5126B"/>
    <w:rsid w:val="00F533D9"/>
    <w:rsid w:val="00F53733"/>
    <w:rsid w:val="00F56B75"/>
    <w:rsid w:val="00F57D03"/>
    <w:rsid w:val="00F711A7"/>
    <w:rsid w:val="00F758F1"/>
    <w:rsid w:val="00F771FA"/>
    <w:rsid w:val="00F81435"/>
    <w:rsid w:val="00F81B2B"/>
    <w:rsid w:val="00F86B9A"/>
    <w:rsid w:val="00F9119B"/>
    <w:rsid w:val="00F93DE4"/>
    <w:rsid w:val="00FA4379"/>
    <w:rsid w:val="00FA5F56"/>
    <w:rsid w:val="00FB1F42"/>
    <w:rsid w:val="00FC30A6"/>
    <w:rsid w:val="00FC47C6"/>
    <w:rsid w:val="00FC66F1"/>
    <w:rsid w:val="00FC7B3C"/>
    <w:rsid w:val="00FD0ACF"/>
    <w:rsid w:val="00FD1FC0"/>
    <w:rsid w:val="00FD3FD5"/>
    <w:rsid w:val="00FD59F0"/>
    <w:rsid w:val="00FE29AE"/>
    <w:rsid w:val="00FE45D0"/>
    <w:rsid w:val="00FE574D"/>
    <w:rsid w:val="00FE5E73"/>
    <w:rsid w:val="00FE690D"/>
    <w:rsid w:val="00FF073C"/>
    <w:rsid w:val="00FF2F90"/>
    <w:rsid w:val="00FF3089"/>
    <w:rsid w:val="01066A48"/>
    <w:rsid w:val="01281B77"/>
    <w:rsid w:val="017C4304"/>
    <w:rsid w:val="01995B0E"/>
    <w:rsid w:val="02277B34"/>
    <w:rsid w:val="028D7421"/>
    <w:rsid w:val="02930398"/>
    <w:rsid w:val="02B7449E"/>
    <w:rsid w:val="02D63E6C"/>
    <w:rsid w:val="02FD025A"/>
    <w:rsid w:val="036F0F48"/>
    <w:rsid w:val="03794412"/>
    <w:rsid w:val="03A964DC"/>
    <w:rsid w:val="040C414F"/>
    <w:rsid w:val="04553127"/>
    <w:rsid w:val="046C12B8"/>
    <w:rsid w:val="0473605D"/>
    <w:rsid w:val="047F2D99"/>
    <w:rsid w:val="04970AC7"/>
    <w:rsid w:val="04A16AE7"/>
    <w:rsid w:val="04BA64C7"/>
    <w:rsid w:val="04CD56E6"/>
    <w:rsid w:val="04DD4F8A"/>
    <w:rsid w:val="053A13B6"/>
    <w:rsid w:val="05565276"/>
    <w:rsid w:val="05D6570B"/>
    <w:rsid w:val="06757522"/>
    <w:rsid w:val="068B7FAC"/>
    <w:rsid w:val="078F59E9"/>
    <w:rsid w:val="07995F18"/>
    <w:rsid w:val="07FF0165"/>
    <w:rsid w:val="08424B2B"/>
    <w:rsid w:val="085A7342"/>
    <w:rsid w:val="08A2174C"/>
    <w:rsid w:val="08BB280E"/>
    <w:rsid w:val="091F2D9D"/>
    <w:rsid w:val="099077F7"/>
    <w:rsid w:val="099E1F14"/>
    <w:rsid w:val="09A90332"/>
    <w:rsid w:val="09D94670"/>
    <w:rsid w:val="0A8C5146"/>
    <w:rsid w:val="0AD6260D"/>
    <w:rsid w:val="0BA56018"/>
    <w:rsid w:val="0BB52A3A"/>
    <w:rsid w:val="0BFB1B8B"/>
    <w:rsid w:val="0CAA0BCF"/>
    <w:rsid w:val="0D135946"/>
    <w:rsid w:val="0D55665C"/>
    <w:rsid w:val="0D734644"/>
    <w:rsid w:val="0DDE1FBA"/>
    <w:rsid w:val="0DFA5B87"/>
    <w:rsid w:val="0DFC36AD"/>
    <w:rsid w:val="0EA86D20"/>
    <w:rsid w:val="0EC27A1A"/>
    <w:rsid w:val="0F383354"/>
    <w:rsid w:val="0F792780"/>
    <w:rsid w:val="0FBF77B9"/>
    <w:rsid w:val="0FF509EA"/>
    <w:rsid w:val="10335CF4"/>
    <w:rsid w:val="10703EDE"/>
    <w:rsid w:val="10C0375D"/>
    <w:rsid w:val="10F20D97"/>
    <w:rsid w:val="120E1C01"/>
    <w:rsid w:val="122227CE"/>
    <w:rsid w:val="12D15108"/>
    <w:rsid w:val="12F269B0"/>
    <w:rsid w:val="133833D9"/>
    <w:rsid w:val="135821C6"/>
    <w:rsid w:val="13D604FC"/>
    <w:rsid w:val="14170A0A"/>
    <w:rsid w:val="14357918"/>
    <w:rsid w:val="144638D4"/>
    <w:rsid w:val="14C842E9"/>
    <w:rsid w:val="14CF1F77"/>
    <w:rsid w:val="14FA4B3D"/>
    <w:rsid w:val="153C5EBA"/>
    <w:rsid w:val="155A6B32"/>
    <w:rsid w:val="159468C1"/>
    <w:rsid w:val="15B30AF5"/>
    <w:rsid w:val="15D812DB"/>
    <w:rsid w:val="16234CA3"/>
    <w:rsid w:val="1624510A"/>
    <w:rsid w:val="1635775C"/>
    <w:rsid w:val="164976AB"/>
    <w:rsid w:val="164E0511"/>
    <w:rsid w:val="16821017"/>
    <w:rsid w:val="16A6121C"/>
    <w:rsid w:val="16C3610A"/>
    <w:rsid w:val="16EA6B6A"/>
    <w:rsid w:val="170B19CF"/>
    <w:rsid w:val="17494A75"/>
    <w:rsid w:val="17D9365A"/>
    <w:rsid w:val="17DA4A5F"/>
    <w:rsid w:val="18017CDF"/>
    <w:rsid w:val="182A7068"/>
    <w:rsid w:val="191F7B43"/>
    <w:rsid w:val="19735EC1"/>
    <w:rsid w:val="199635CC"/>
    <w:rsid w:val="19AC41D9"/>
    <w:rsid w:val="19B32E94"/>
    <w:rsid w:val="19D81D92"/>
    <w:rsid w:val="1A160BA1"/>
    <w:rsid w:val="1A1B2CF1"/>
    <w:rsid w:val="1A862B26"/>
    <w:rsid w:val="1B317D6F"/>
    <w:rsid w:val="1BB27AA1"/>
    <w:rsid w:val="1C8728C1"/>
    <w:rsid w:val="1CA94A00"/>
    <w:rsid w:val="1CBF2475"/>
    <w:rsid w:val="1D1E3C8F"/>
    <w:rsid w:val="1D7C0366"/>
    <w:rsid w:val="1D7E5E8C"/>
    <w:rsid w:val="1D973F0F"/>
    <w:rsid w:val="1DA50680"/>
    <w:rsid w:val="1DE91915"/>
    <w:rsid w:val="1E03795D"/>
    <w:rsid w:val="1E1E4F79"/>
    <w:rsid w:val="1E8E0A96"/>
    <w:rsid w:val="1EC57AEB"/>
    <w:rsid w:val="1ECA6EAF"/>
    <w:rsid w:val="1ECC00D4"/>
    <w:rsid w:val="1ECE5B2D"/>
    <w:rsid w:val="1FAD562C"/>
    <w:rsid w:val="20B066BC"/>
    <w:rsid w:val="20BE47F2"/>
    <w:rsid w:val="20FD6B90"/>
    <w:rsid w:val="21154D5A"/>
    <w:rsid w:val="2291066D"/>
    <w:rsid w:val="238B0D56"/>
    <w:rsid w:val="23C05B1A"/>
    <w:rsid w:val="23ED4D48"/>
    <w:rsid w:val="240370EB"/>
    <w:rsid w:val="245C4D42"/>
    <w:rsid w:val="247F4D54"/>
    <w:rsid w:val="24A43621"/>
    <w:rsid w:val="24E0479D"/>
    <w:rsid w:val="256D467A"/>
    <w:rsid w:val="25897AC4"/>
    <w:rsid w:val="25C84A4E"/>
    <w:rsid w:val="2661459D"/>
    <w:rsid w:val="26630315"/>
    <w:rsid w:val="269D22BD"/>
    <w:rsid w:val="26B50B51"/>
    <w:rsid w:val="27161267"/>
    <w:rsid w:val="271D0F11"/>
    <w:rsid w:val="27695648"/>
    <w:rsid w:val="279549A2"/>
    <w:rsid w:val="27BA4C10"/>
    <w:rsid w:val="283133A6"/>
    <w:rsid w:val="28771E56"/>
    <w:rsid w:val="28786591"/>
    <w:rsid w:val="28900840"/>
    <w:rsid w:val="294429D3"/>
    <w:rsid w:val="29626662"/>
    <w:rsid w:val="29AC1FD3"/>
    <w:rsid w:val="29BC1CEE"/>
    <w:rsid w:val="29FA0F90"/>
    <w:rsid w:val="2A3E70CF"/>
    <w:rsid w:val="2A3F69A3"/>
    <w:rsid w:val="2A431E04"/>
    <w:rsid w:val="2AA4277F"/>
    <w:rsid w:val="2ADB619F"/>
    <w:rsid w:val="2B6265B5"/>
    <w:rsid w:val="2BE60617"/>
    <w:rsid w:val="2C21034C"/>
    <w:rsid w:val="2C251BC9"/>
    <w:rsid w:val="2C820DC9"/>
    <w:rsid w:val="2CC633AC"/>
    <w:rsid w:val="2CFE741B"/>
    <w:rsid w:val="2D40315E"/>
    <w:rsid w:val="2D8D1111"/>
    <w:rsid w:val="2DD9568E"/>
    <w:rsid w:val="2DFA7F50"/>
    <w:rsid w:val="2E235C7F"/>
    <w:rsid w:val="2E67296D"/>
    <w:rsid w:val="2EC03CA1"/>
    <w:rsid w:val="2ED022C0"/>
    <w:rsid w:val="2ED42292"/>
    <w:rsid w:val="2F82430B"/>
    <w:rsid w:val="2F9836A2"/>
    <w:rsid w:val="2F9D3363"/>
    <w:rsid w:val="2FE36023"/>
    <w:rsid w:val="305D3775"/>
    <w:rsid w:val="31462D0D"/>
    <w:rsid w:val="31F663E9"/>
    <w:rsid w:val="32327209"/>
    <w:rsid w:val="32671FAF"/>
    <w:rsid w:val="32702081"/>
    <w:rsid w:val="328F0574"/>
    <w:rsid w:val="32F80037"/>
    <w:rsid w:val="3355548A"/>
    <w:rsid w:val="33956C1F"/>
    <w:rsid w:val="34183BC3"/>
    <w:rsid w:val="345B6908"/>
    <w:rsid w:val="345E6880"/>
    <w:rsid w:val="347D6A46"/>
    <w:rsid w:val="348842D6"/>
    <w:rsid w:val="34A044E2"/>
    <w:rsid w:val="34B27BE1"/>
    <w:rsid w:val="34C0096A"/>
    <w:rsid w:val="34DD7648"/>
    <w:rsid w:val="35367FB2"/>
    <w:rsid w:val="357451E7"/>
    <w:rsid w:val="3591124E"/>
    <w:rsid w:val="35DD793E"/>
    <w:rsid w:val="36220010"/>
    <w:rsid w:val="364049F9"/>
    <w:rsid w:val="36804BA6"/>
    <w:rsid w:val="37893CCB"/>
    <w:rsid w:val="37F94635"/>
    <w:rsid w:val="382D10C9"/>
    <w:rsid w:val="3866266B"/>
    <w:rsid w:val="38B772A3"/>
    <w:rsid w:val="39044D27"/>
    <w:rsid w:val="39111E53"/>
    <w:rsid w:val="39294221"/>
    <w:rsid w:val="394A2C6F"/>
    <w:rsid w:val="39685895"/>
    <w:rsid w:val="399923C0"/>
    <w:rsid w:val="39C51C00"/>
    <w:rsid w:val="39F01A68"/>
    <w:rsid w:val="3A1A29D5"/>
    <w:rsid w:val="3A1A60D5"/>
    <w:rsid w:val="3A1F0242"/>
    <w:rsid w:val="3A293466"/>
    <w:rsid w:val="3A4678DA"/>
    <w:rsid w:val="3AD56782"/>
    <w:rsid w:val="3B111C96"/>
    <w:rsid w:val="3B7010B2"/>
    <w:rsid w:val="3B7D732B"/>
    <w:rsid w:val="3C027831"/>
    <w:rsid w:val="3C0E27B2"/>
    <w:rsid w:val="3C1A7270"/>
    <w:rsid w:val="3C815719"/>
    <w:rsid w:val="3C9E1C4F"/>
    <w:rsid w:val="3CB7061B"/>
    <w:rsid w:val="3D143CBF"/>
    <w:rsid w:val="3D97355F"/>
    <w:rsid w:val="3E7356C6"/>
    <w:rsid w:val="3EA32EAC"/>
    <w:rsid w:val="3EA755D8"/>
    <w:rsid w:val="3EBF7C5B"/>
    <w:rsid w:val="3F670284"/>
    <w:rsid w:val="3FDE03B8"/>
    <w:rsid w:val="403703F1"/>
    <w:rsid w:val="40464190"/>
    <w:rsid w:val="405B6617"/>
    <w:rsid w:val="40904C6F"/>
    <w:rsid w:val="40991A17"/>
    <w:rsid w:val="40C8729B"/>
    <w:rsid w:val="40D45C40"/>
    <w:rsid w:val="40EA035E"/>
    <w:rsid w:val="41033AF7"/>
    <w:rsid w:val="410D5356"/>
    <w:rsid w:val="414D154E"/>
    <w:rsid w:val="41662610"/>
    <w:rsid w:val="419634F6"/>
    <w:rsid w:val="41AC1F2D"/>
    <w:rsid w:val="42440BA3"/>
    <w:rsid w:val="42C23421"/>
    <w:rsid w:val="434A043B"/>
    <w:rsid w:val="43747266"/>
    <w:rsid w:val="43E25D26"/>
    <w:rsid w:val="43F44FDA"/>
    <w:rsid w:val="44450C02"/>
    <w:rsid w:val="445157F9"/>
    <w:rsid w:val="4469168F"/>
    <w:rsid w:val="447212D7"/>
    <w:rsid w:val="44D32369"/>
    <w:rsid w:val="4508048A"/>
    <w:rsid w:val="45372C41"/>
    <w:rsid w:val="45A51959"/>
    <w:rsid w:val="45F60406"/>
    <w:rsid w:val="460B6F99"/>
    <w:rsid w:val="464516FB"/>
    <w:rsid w:val="46617874"/>
    <w:rsid w:val="466825C3"/>
    <w:rsid w:val="466E7B5E"/>
    <w:rsid w:val="468B420D"/>
    <w:rsid w:val="4705299F"/>
    <w:rsid w:val="47347026"/>
    <w:rsid w:val="47510752"/>
    <w:rsid w:val="47AF2F63"/>
    <w:rsid w:val="47B25905"/>
    <w:rsid w:val="47FB1D04"/>
    <w:rsid w:val="48B33429"/>
    <w:rsid w:val="48E104EF"/>
    <w:rsid w:val="48FB5D34"/>
    <w:rsid w:val="49584F34"/>
    <w:rsid w:val="49AE5366"/>
    <w:rsid w:val="49BF4FB3"/>
    <w:rsid w:val="49C167BA"/>
    <w:rsid w:val="4A4A079C"/>
    <w:rsid w:val="4A6514C6"/>
    <w:rsid w:val="4A840496"/>
    <w:rsid w:val="4AD4032A"/>
    <w:rsid w:val="4AE253FD"/>
    <w:rsid w:val="4AE86BB0"/>
    <w:rsid w:val="4B0264A8"/>
    <w:rsid w:val="4B4C4929"/>
    <w:rsid w:val="4B5D4A84"/>
    <w:rsid w:val="4BCE3C8F"/>
    <w:rsid w:val="4BDA4326"/>
    <w:rsid w:val="4C08237B"/>
    <w:rsid w:val="4C203808"/>
    <w:rsid w:val="4C3B2B23"/>
    <w:rsid w:val="4C417685"/>
    <w:rsid w:val="4C4A5008"/>
    <w:rsid w:val="4C515514"/>
    <w:rsid w:val="4D58425A"/>
    <w:rsid w:val="4D956528"/>
    <w:rsid w:val="4E51119F"/>
    <w:rsid w:val="4E576A10"/>
    <w:rsid w:val="4E731728"/>
    <w:rsid w:val="4E797E26"/>
    <w:rsid w:val="4E7B76FB"/>
    <w:rsid w:val="4E922C96"/>
    <w:rsid w:val="4E933A2B"/>
    <w:rsid w:val="4EB474A2"/>
    <w:rsid w:val="4EDE67D2"/>
    <w:rsid w:val="4F3F4BCC"/>
    <w:rsid w:val="4F577579"/>
    <w:rsid w:val="4F5D14F6"/>
    <w:rsid w:val="4F960EA9"/>
    <w:rsid w:val="4F9D711A"/>
    <w:rsid w:val="4FD35314"/>
    <w:rsid w:val="50485600"/>
    <w:rsid w:val="50D2209F"/>
    <w:rsid w:val="511774A9"/>
    <w:rsid w:val="51DB6702"/>
    <w:rsid w:val="52141DC8"/>
    <w:rsid w:val="522A1B75"/>
    <w:rsid w:val="52351ED3"/>
    <w:rsid w:val="523749E7"/>
    <w:rsid w:val="523B3CF7"/>
    <w:rsid w:val="52834B78"/>
    <w:rsid w:val="52CA2764"/>
    <w:rsid w:val="52E02A45"/>
    <w:rsid w:val="530371A4"/>
    <w:rsid w:val="530671FA"/>
    <w:rsid w:val="53DE67F8"/>
    <w:rsid w:val="54931516"/>
    <w:rsid w:val="55252AB6"/>
    <w:rsid w:val="55373D7F"/>
    <w:rsid w:val="55595F03"/>
    <w:rsid w:val="55AE2AAB"/>
    <w:rsid w:val="56DA167E"/>
    <w:rsid w:val="56DB75F5"/>
    <w:rsid w:val="576D3B51"/>
    <w:rsid w:val="579E445A"/>
    <w:rsid w:val="57BC2B32"/>
    <w:rsid w:val="57EA769F"/>
    <w:rsid w:val="57EE53E1"/>
    <w:rsid w:val="583D1EC5"/>
    <w:rsid w:val="585572BF"/>
    <w:rsid w:val="588A15E9"/>
    <w:rsid w:val="589815D8"/>
    <w:rsid w:val="590D1465"/>
    <w:rsid w:val="593072B5"/>
    <w:rsid w:val="59A31D4A"/>
    <w:rsid w:val="59EF3692"/>
    <w:rsid w:val="59FA7861"/>
    <w:rsid w:val="5A0B6C69"/>
    <w:rsid w:val="5A2E5F82"/>
    <w:rsid w:val="5A3D7F5A"/>
    <w:rsid w:val="5A447A9D"/>
    <w:rsid w:val="5A6A64B4"/>
    <w:rsid w:val="5A6F1348"/>
    <w:rsid w:val="5A9A4363"/>
    <w:rsid w:val="5ACD2218"/>
    <w:rsid w:val="5ADF1011"/>
    <w:rsid w:val="5B00092A"/>
    <w:rsid w:val="5B440121"/>
    <w:rsid w:val="5B484E08"/>
    <w:rsid w:val="5B621E02"/>
    <w:rsid w:val="5B8807AF"/>
    <w:rsid w:val="5B98218A"/>
    <w:rsid w:val="5B984CE7"/>
    <w:rsid w:val="5BA830B6"/>
    <w:rsid w:val="5C58107B"/>
    <w:rsid w:val="5C86573F"/>
    <w:rsid w:val="5CA742BF"/>
    <w:rsid w:val="5D5B53D2"/>
    <w:rsid w:val="5D5D1185"/>
    <w:rsid w:val="5DC56548"/>
    <w:rsid w:val="5DE057CC"/>
    <w:rsid w:val="5E273BD8"/>
    <w:rsid w:val="5E31619D"/>
    <w:rsid w:val="5E485012"/>
    <w:rsid w:val="5E5D506F"/>
    <w:rsid w:val="5E7534E2"/>
    <w:rsid w:val="5EB731DD"/>
    <w:rsid w:val="5EB822A5"/>
    <w:rsid w:val="5EBE7169"/>
    <w:rsid w:val="5F223BC2"/>
    <w:rsid w:val="5FB026CE"/>
    <w:rsid w:val="601C4AB5"/>
    <w:rsid w:val="6022353B"/>
    <w:rsid w:val="60383EEA"/>
    <w:rsid w:val="607C5F75"/>
    <w:rsid w:val="60D8536E"/>
    <w:rsid w:val="615F7B89"/>
    <w:rsid w:val="6184058B"/>
    <w:rsid w:val="619E1C26"/>
    <w:rsid w:val="61A43B2D"/>
    <w:rsid w:val="61CC498E"/>
    <w:rsid w:val="62590B73"/>
    <w:rsid w:val="625B18C5"/>
    <w:rsid w:val="626020BD"/>
    <w:rsid w:val="6267552A"/>
    <w:rsid w:val="63821D8B"/>
    <w:rsid w:val="63E63410"/>
    <w:rsid w:val="646A4353"/>
    <w:rsid w:val="649B4DA3"/>
    <w:rsid w:val="64A81E37"/>
    <w:rsid w:val="64CE1169"/>
    <w:rsid w:val="64E47257"/>
    <w:rsid w:val="6523687B"/>
    <w:rsid w:val="65AC15FD"/>
    <w:rsid w:val="65C22B9A"/>
    <w:rsid w:val="660B1854"/>
    <w:rsid w:val="661C3252"/>
    <w:rsid w:val="664F7382"/>
    <w:rsid w:val="666D606B"/>
    <w:rsid w:val="66920370"/>
    <w:rsid w:val="66B42007"/>
    <w:rsid w:val="672B7E8B"/>
    <w:rsid w:val="67BE4A3B"/>
    <w:rsid w:val="67E61C31"/>
    <w:rsid w:val="682B7F8C"/>
    <w:rsid w:val="684F7EAC"/>
    <w:rsid w:val="68633281"/>
    <w:rsid w:val="68AA7875"/>
    <w:rsid w:val="6920616B"/>
    <w:rsid w:val="69637A5D"/>
    <w:rsid w:val="699D5203"/>
    <w:rsid w:val="69C3213E"/>
    <w:rsid w:val="6A0C16F7"/>
    <w:rsid w:val="6A7774B8"/>
    <w:rsid w:val="6A7D43A3"/>
    <w:rsid w:val="6A8F135D"/>
    <w:rsid w:val="6A933BC6"/>
    <w:rsid w:val="6A976267"/>
    <w:rsid w:val="6AEE05C5"/>
    <w:rsid w:val="6B2A62D8"/>
    <w:rsid w:val="6B6C7905"/>
    <w:rsid w:val="6B8A6D77"/>
    <w:rsid w:val="6BA075DF"/>
    <w:rsid w:val="6CD24E7A"/>
    <w:rsid w:val="6CED1CB3"/>
    <w:rsid w:val="6CF1619C"/>
    <w:rsid w:val="6D156B14"/>
    <w:rsid w:val="6D793547"/>
    <w:rsid w:val="6E076DA5"/>
    <w:rsid w:val="6EDF1934"/>
    <w:rsid w:val="6EE95015"/>
    <w:rsid w:val="6EFD0702"/>
    <w:rsid w:val="6F1D4F19"/>
    <w:rsid w:val="6F9439CA"/>
    <w:rsid w:val="6FAA5C3A"/>
    <w:rsid w:val="700250AE"/>
    <w:rsid w:val="70691651"/>
    <w:rsid w:val="70EA11CE"/>
    <w:rsid w:val="710C104B"/>
    <w:rsid w:val="7121319C"/>
    <w:rsid w:val="712D267F"/>
    <w:rsid w:val="71A9281F"/>
    <w:rsid w:val="71EF2E76"/>
    <w:rsid w:val="71F92EA9"/>
    <w:rsid w:val="72311E1B"/>
    <w:rsid w:val="72473C14"/>
    <w:rsid w:val="72600042"/>
    <w:rsid w:val="727D7636"/>
    <w:rsid w:val="728269FA"/>
    <w:rsid w:val="72A44ABA"/>
    <w:rsid w:val="74590C96"/>
    <w:rsid w:val="747D1765"/>
    <w:rsid w:val="74BC20D2"/>
    <w:rsid w:val="74BE7A92"/>
    <w:rsid w:val="75A45E47"/>
    <w:rsid w:val="76EC2FDC"/>
    <w:rsid w:val="77244528"/>
    <w:rsid w:val="7731652E"/>
    <w:rsid w:val="7831514A"/>
    <w:rsid w:val="78DD3C87"/>
    <w:rsid w:val="7984307C"/>
    <w:rsid w:val="79A00D70"/>
    <w:rsid w:val="79C159B3"/>
    <w:rsid w:val="79EE18EC"/>
    <w:rsid w:val="7A0E2EB1"/>
    <w:rsid w:val="7A481C87"/>
    <w:rsid w:val="7A493743"/>
    <w:rsid w:val="7A810926"/>
    <w:rsid w:val="7AD77747"/>
    <w:rsid w:val="7B014C1E"/>
    <w:rsid w:val="7B0A71E8"/>
    <w:rsid w:val="7B0D0A6A"/>
    <w:rsid w:val="7B5400EF"/>
    <w:rsid w:val="7B5B210B"/>
    <w:rsid w:val="7BD93D5A"/>
    <w:rsid w:val="7BDC361F"/>
    <w:rsid w:val="7BEB5610"/>
    <w:rsid w:val="7C24584D"/>
    <w:rsid w:val="7C4E7B53"/>
    <w:rsid w:val="7C73113B"/>
    <w:rsid w:val="7CE45663"/>
    <w:rsid w:val="7CE575A8"/>
    <w:rsid w:val="7D104ED3"/>
    <w:rsid w:val="7D9341B1"/>
    <w:rsid w:val="7DD30A52"/>
    <w:rsid w:val="7E4E3CA3"/>
    <w:rsid w:val="7E6F2369"/>
    <w:rsid w:val="7E9F11E3"/>
    <w:rsid w:val="7EAD4DFF"/>
    <w:rsid w:val="7EB46E44"/>
    <w:rsid w:val="7F296CD5"/>
    <w:rsid w:val="7F402117"/>
    <w:rsid w:val="7F601E71"/>
    <w:rsid w:val="7F945CBC"/>
    <w:rsid w:val="CF7BB7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0"/>
    <w:pPr>
      <w:keepNext/>
      <w:keepLines/>
      <w:spacing w:before="240" w:after="240"/>
      <w:outlineLvl w:val="1"/>
    </w:pPr>
    <w:rPr>
      <w:rFonts w:ascii="Arial" w:hAnsi="Arial" w:eastAsia="黑体"/>
      <w:b/>
      <w:bCs/>
      <w:sz w:val="32"/>
      <w:szCs w:val="32"/>
    </w:rPr>
  </w:style>
  <w:style w:type="paragraph" w:styleId="4">
    <w:name w:val="heading 3"/>
    <w:basedOn w:val="1"/>
    <w:next w:val="1"/>
    <w:link w:val="71"/>
    <w:qFormat/>
    <w:uiPriority w:val="0"/>
    <w:pPr>
      <w:keepNext/>
      <w:keepLines/>
      <w:spacing w:before="120" w:after="120"/>
      <w:outlineLvl w:val="2"/>
    </w:pPr>
    <w:rPr>
      <w:b/>
      <w:bCs/>
      <w:sz w:val="24"/>
      <w:szCs w:val="32"/>
    </w:rPr>
  </w:style>
  <w:style w:type="paragraph" w:styleId="5">
    <w:name w:val="heading 4"/>
    <w:basedOn w:val="1"/>
    <w:next w:val="1"/>
    <w:link w:val="6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5"/>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7">
    <w:name w:val="heading 6"/>
    <w:basedOn w:val="1"/>
    <w:next w:val="1"/>
    <w:link w:val="66"/>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67"/>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68"/>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69"/>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toc 7"/>
    <w:basedOn w:val="1"/>
    <w:next w:val="1"/>
    <w:unhideWhenUsed/>
    <w:qFormat/>
    <w:uiPriority w:val="39"/>
    <w:pPr>
      <w:widowControl w:val="0"/>
      <w:spacing w:line="240" w:lineRule="auto"/>
      <w:ind w:left="2520" w:leftChars="1200" w:firstLine="0" w:firstLineChars="0"/>
    </w:pPr>
    <w:rPr>
      <w:rFonts w:ascii="等线" w:hAnsi="等线" w:eastAsia="等线"/>
      <w:szCs w:val="22"/>
    </w:rPr>
  </w:style>
  <w:style w:type="paragraph" w:styleId="13">
    <w:name w:val="index 8"/>
    <w:basedOn w:val="1"/>
    <w:next w:val="1"/>
    <w:qFormat/>
    <w:uiPriority w:val="0"/>
    <w:pPr>
      <w:widowControl w:val="0"/>
      <w:autoSpaceDE w:val="0"/>
      <w:autoSpaceDN w:val="0"/>
      <w:ind w:left="2940"/>
    </w:pPr>
    <w:rPr>
      <w:rFonts w:ascii="宋体" w:hAnsi="宋体" w:cs="宋体"/>
      <w:sz w:val="22"/>
      <w:szCs w:val="22"/>
      <w:lang w:eastAsia="en-US"/>
    </w:rPr>
  </w:style>
  <w:style w:type="paragraph" w:styleId="14">
    <w:name w:val="Normal Indent"/>
    <w:basedOn w:val="1"/>
    <w:link w:val="72"/>
    <w:qFormat/>
    <w:uiPriority w:val="0"/>
  </w:style>
  <w:style w:type="paragraph" w:styleId="15">
    <w:name w:val="caption"/>
    <w:basedOn w:val="1"/>
    <w:next w:val="1"/>
    <w:qFormat/>
    <w:uiPriority w:val="0"/>
    <w:rPr>
      <w:rFonts w:ascii="Arial" w:hAnsi="Arial" w:eastAsia="黑体" w:cs="Arial"/>
      <w:sz w:val="20"/>
      <w:szCs w:val="20"/>
    </w:rPr>
  </w:style>
  <w:style w:type="paragraph" w:styleId="16">
    <w:name w:val="Document Map"/>
    <w:basedOn w:val="1"/>
    <w:link w:val="73"/>
    <w:qFormat/>
    <w:uiPriority w:val="99"/>
    <w:rPr>
      <w:rFonts w:ascii="宋体"/>
      <w:sz w:val="18"/>
      <w:szCs w:val="18"/>
    </w:rPr>
  </w:style>
  <w:style w:type="paragraph" w:styleId="17">
    <w:name w:val="toa heading"/>
    <w:basedOn w:val="1"/>
    <w:next w:val="1"/>
    <w:qFormat/>
    <w:uiPriority w:val="0"/>
    <w:pPr>
      <w:spacing w:before="120"/>
    </w:pPr>
    <w:rPr>
      <w:rFonts w:ascii="Arial" w:hAnsi="Arial"/>
      <w:b/>
      <w:bCs/>
    </w:rPr>
  </w:style>
  <w:style w:type="paragraph" w:styleId="18">
    <w:name w:val="annotation text"/>
    <w:basedOn w:val="1"/>
    <w:link w:val="74"/>
    <w:qFormat/>
    <w:uiPriority w:val="99"/>
    <w:pPr>
      <w:jc w:val="left"/>
    </w:pPr>
  </w:style>
  <w:style w:type="paragraph" w:styleId="19">
    <w:name w:val="Body Text 3"/>
    <w:basedOn w:val="1"/>
    <w:link w:val="75"/>
    <w:qFormat/>
    <w:uiPriority w:val="0"/>
    <w:rPr>
      <w:rFonts w:ascii="宋体"/>
      <w:sz w:val="24"/>
      <w:szCs w:val="20"/>
    </w:rPr>
  </w:style>
  <w:style w:type="paragraph" w:styleId="20">
    <w:name w:val="Body Text"/>
    <w:basedOn w:val="1"/>
    <w:link w:val="60"/>
    <w:qFormat/>
    <w:uiPriority w:val="1"/>
    <w:pPr>
      <w:spacing w:after="120"/>
    </w:pPr>
  </w:style>
  <w:style w:type="paragraph" w:styleId="21">
    <w:name w:val="Body Text Indent"/>
    <w:basedOn w:val="1"/>
    <w:link w:val="76"/>
    <w:qFormat/>
    <w:uiPriority w:val="99"/>
    <w:pPr>
      <w:spacing w:after="120"/>
      <w:ind w:left="420" w:leftChars="200"/>
    </w:pPr>
  </w:style>
  <w:style w:type="paragraph" w:styleId="22">
    <w:name w:val="List 2"/>
    <w:basedOn w:val="1"/>
    <w:qFormat/>
    <w:uiPriority w:val="0"/>
    <w:pPr>
      <w:ind w:left="100" w:leftChars="200" w:hanging="200" w:hangingChars="200"/>
    </w:pPr>
  </w:style>
  <w:style w:type="paragraph" w:styleId="23">
    <w:name w:val="List Bullet 2"/>
    <w:basedOn w:val="1"/>
    <w:qFormat/>
    <w:uiPriority w:val="0"/>
    <w:pPr>
      <w:tabs>
        <w:tab w:val="left" w:pos="780"/>
      </w:tabs>
      <w:ind w:left="840" w:hanging="420"/>
    </w:pPr>
  </w:style>
  <w:style w:type="paragraph" w:styleId="24">
    <w:name w:val="toc 5"/>
    <w:basedOn w:val="1"/>
    <w:next w:val="1"/>
    <w:unhideWhenUsed/>
    <w:qFormat/>
    <w:uiPriority w:val="39"/>
    <w:pPr>
      <w:widowControl w:val="0"/>
      <w:spacing w:line="240" w:lineRule="auto"/>
      <w:ind w:left="1680" w:leftChars="800" w:firstLine="0" w:firstLineChars="0"/>
    </w:pPr>
    <w:rPr>
      <w:rFonts w:ascii="等线" w:hAnsi="等线" w:eastAsia="等线"/>
      <w:szCs w:val="22"/>
    </w:rPr>
  </w:style>
  <w:style w:type="paragraph" w:styleId="25">
    <w:name w:val="toc 3"/>
    <w:basedOn w:val="1"/>
    <w:next w:val="1"/>
    <w:qFormat/>
    <w:uiPriority w:val="39"/>
    <w:pPr>
      <w:ind w:left="940"/>
      <w:jc w:val="left"/>
    </w:pPr>
    <w:rPr>
      <w:rFonts w:ascii="宋体" w:hAnsi="宋体"/>
      <w:kern w:val="0"/>
      <w:szCs w:val="21"/>
      <w:lang w:eastAsia="en-US"/>
    </w:rPr>
  </w:style>
  <w:style w:type="paragraph" w:styleId="26">
    <w:name w:val="Plain Text"/>
    <w:basedOn w:val="1"/>
    <w:next w:val="13"/>
    <w:link w:val="77"/>
    <w:qFormat/>
    <w:uiPriority w:val="0"/>
    <w:rPr>
      <w:rFonts w:ascii="宋体" w:hAnsi="Courier New"/>
      <w:szCs w:val="21"/>
    </w:rPr>
  </w:style>
  <w:style w:type="paragraph" w:styleId="27">
    <w:name w:val="toc 8"/>
    <w:basedOn w:val="1"/>
    <w:next w:val="1"/>
    <w:unhideWhenUsed/>
    <w:qFormat/>
    <w:uiPriority w:val="39"/>
    <w:pPr>
      <w:widowControl w:val="0"/>
      <w:spacing w:line="240" w:lineRule="auto"/>
      <w:ind w:left="2940" w:leftChars="1400" w:firstLine="0" w:firstLineChars="0"/>
    </w:pPr>
    <w:rPr>
      <w:rFonts w:ascii="等线" w:hAnsi="等线" w:eastAsia="等线"/>
      <w:szCs w:val="22"/>
    </w:rPr>
  </w:style>
  <w:style w:type="paragraph" w:styleId="28">
    <w:name w:val="Date"/>
    <w:basedOn w:val="1"/>
    <w:next w:val="1"/>
    <w:link w:val="78"/>
    <w:qFormat/>
    <w:uiPriority w:val="99"/>
    <w:rPr>
      <w:sz w:val="24"/>
      <w:szCs w:val="20"/>
    </w:rPr>
  </w:style>
  <w:style w:type="paragraph" w:styleId="29">
    <w:name w:val="Body Text Indent 2"/>
    <w:basedOn w:val="1"/>
    <w:link w:val="79"/>
    <w:qFormat/>
    <w:uiPriority w:val="0"/>
    <w:pPr>
      <w:ind w:firstLine="640"/>
    </w:pPr>
    <w:rPr>
      <w:rFonts w:eastAsia="仿宋_GB2312"/>
      <w:sz w:val="32"/>
    </w:rPr>
  </w:style>
  <w:style w:type="paragraph" w:styleId="30">
    <w:name w:val="endnote text"/>
    <w:basedOn w:val="1"/>
    <w:link w:val="80"/>
    <w:qFormat/>
    <w:uiPriority w:val="0"/>
    <w:pPr>
      <w:jc w:val="left"/>
    </w:pPr>
    <w:rPr>
      <w:rFonts w:ascii="Courier" w:hAnsi="Courier" w:eastAsia="PMingLiU"/>
      <w:snapToGrid w:val="0"/>
      <w:kern w:val="0"/>
      <w:sz w:val="24"/>
      <w:szCs w:val="20"/>
      <w:lang w:val="en-AU" w:eastAsia="en-US"/>
    </w:rPr>
  </w:style>
  <w:style w:type="paragraph" w:styleId="31">
    <w:name w:val="Balloon Text"/>
    <w:basedOn w:val="1"/>
    <w:link w:val="81"/>
    <w:qFormat/>
    <w:uiPriority w:val="99"/>
    <w:rPr>
      <w:sz w:val="18"/>
      <w:szCs w:val="18"/>
    </w:rPr>
  </w:style>
  <w:style w:type="paragraph" w:styleId="32">
    <w:name w:val="footer"/>
    <w:basedOn w:val="1"/>
    <w:link w:val="59"/>
    <w:unhideWhenUsed/>
    <w:qFormat/>
    <w:uiPriority w:val="99"/>
    <w:pPr>
      <w:tabs>
        <w:tab w:val="center" w:pos="4153"/>
        <w:tab w:val="right" w:pos="8306"/>
      </w:tabs>
      <w:snapToGrid w:val="0"/>
      <w:jc w:val="left"/>
    </w:pPr>
    <w:rPr>
      <w:sz w:val="18"/>
      <w:szCs w:val="18"/>
    </w:rPr>
  </w:style>
  <w:style w:type="paragraph" w:styleId="33">
    <w:name w:val="header"/>
    <w:basedOn w:val="1"/>
    <w:link w:val="58"/>
    <w:unhideWhenUsed/>
    <w:qFormat/>
    <w:uiPriority w:val="99"/>
    <w:pPr>
      <w:tabs>
        <w:tab w:val="center" w:pos="4153"/>
        <w:tab w:val="right" w:pos="8306"/>
      </w:tabs>
      <w:snapToGrid w:val="0"/>
      <w:jc w:val="center"/>
    </w:pPr>
    <w:rPr>
      <w:sz w:val="18"/>
      <w:szCs w:val="18"/>
    </w:rPr>
  </w:style>
  <w:style w:type="paragraph" w:styleId="34">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5">
    <w:name w:val="toc 4"/>
    <w:basedOn w:val="1"/>
    <w:next w:val="1"/>
    <w:unhideWhenUsed/>
    <w:qFormat/>
    <w:uiPriority w:val="39"/>
    <w:pPr>
      <w:widowControl w:val="0"/>
      <w:spacing w:line="240" w:lineRule="auto"/>
      <w:ind w:left="1260" w:leftChars="600" w:firstLine="0" w:firstLineChars="0"/>
    </w:pPr>
    <w:rPr>
      <w:rFonts w:ascii="等线" w:hAnsi="等线" w:eastAsia="等线"/>
      <w:szCs w:val="22"/>
    </w:rPr>
  </w:style>
  <w:style w:type="paragraph" w:styleId="36">
    <w:name w:val="index heading"/>
    <w:basedOn w:val="1"/>
    <w:next w:val="37"/>
    <w:qFormat/>
    <w:uiPriority w:val="0"/>
    <w:pPr>
      <w:spacing w:before="120" w:after="120"/>
      <w:jc w:val="left"/>
    </w:pPr>
    <w:rPr>
      <w:b/>
      <w:bCs/>
      <w:i/>
      <w:iCs/>
      <w:sz w:val="20"/>
      <w:szCs w:val="20"/>
    </w:rPr>
  </w:style>
  <w:style w:type="paragraph" w:styleId="37">
    <w:name w:val="index 1"/>
    <w:basedOn w:val="1"/>
    <w:next w:val="1"/>
    <w:autoRedefine/>
    <w:unhideWhenUsed/>
    <w:qFormat/>
    <w:uiPriority w:val="0"/>
    <w:pPr>
      <w:ind w:firstLine="0"/>
    </w:pPr>
  </w:style>
  <w:style w:type="paragraph" w:styleId="38">
    <w:name w:val="List"/>
    <w:basedOn w:val="1"/>
    <w:qFormat/>
    <w:uiPriority w:val="0"/>
    <w:pPr>
      <w:ind w:left="200" w:hanging="200" w:hangingChars="200"/>
    </w:pPr>
  </w:style>
  <w:style w:type="paragraph" w:styleId="39">
    <w:name w:val="footnote text"/>
    <w:basedOn w:val="1"/>
    <w:link w:val="83"/>
    <w:qFormat/>
    <w:uiPriority w:val="0"/>
    <w:pPr>
      <w:jc w:val="left"/>
    </w:pPr>
    <w:rPr>
      <w:rFonts w:ascii="Courier" w:hAnsi="Courier" w:eastAsia="PMingLiU"/>
      <w:snapToGrid w:val="0"/>
      <w:kern w:val="0"/>
      <w:sz w:val="24"/>
      <w:szCs w:val="20"/>
      <w:lang w:val="en-AU" w:eastAsia="en-US"/>
    </w:rPr>
  </w:style>
  <w:style w:type="paragraph" w:styleId="40">
    <w:name w:val="toc 6"/>
    <w:basedOn w:val="1"/>
    <w:next w:val="1"/>
    <w:unhideWhenUsed/>
    <w:qFormat/>
    <w:uiPriority w:val="39"/>
    <w:pPr>
      <w:widowControl w:val="0"/>
      <w:spacing w:line="240" w:lineRule="auto"/>
      <w:ind w:left="2100" w:leftChars="1000" w:firstLine="0" w:firstLineChars="0"/>
    </w:pPr>
    <w:rPr>
      <w:rFonts w:ascii="等线" w:hAnsi="等线" w:eastAsia="等线"/>
      <w:szCs w:val="22"/>
    </w:rPr>
  </w:style>
  <w:style w:type="paragraph" w:styleId="41">
    <w:name w:val="List 5"/>
    <w:basedOn w:val="1"/>
    <w:qFormat/>
    <w:uiPriority w:val="0"/>
    <w:pPr>
      <w:ind w:left="100" w:leftChars="800" w:hanging="200" w:hangingChars="200"/>
    </w:pPr>
  </w:style>
  <w:style w:type="paragraph" w:styleId="42">
    <w:name w:val="Body Text Indent 3"/>
    <w:basedOn w:val="1"/>
    <w:link w:val="84"/>
    <w:qFormat/>
    <w:uiPriority w:val="0"/>
    <w:pPr>
      <w:spacing w:after="120"/>
      <w:ind w:left="420" w:leftChars="200"/>
    </w:pPr>
    <w:rPr>
      <w:sz w:val="16"/>
      <w:szCs w:val="16"/>
    </w:rPr>
  </w:style>
  <w:style w:type="paragraph" w:styleId="43">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4">
    <w:name w:val="toc 9"/>
    <w:basedOn w:val="1"/>
    <w:next w:val="1"/>
    <w:unhideWhenUsed/>
    <w:qFormat/>
    <w:uiPriority w:val="39"/>
    <w:pPr>
      <w:widowControl w:val="0"/>
      <w:spacing w:line="240" w:lineRule="auto"/>
      <w:ind w:left="3360" w:leftChars="1600" w:firstLine="0" w:firstLineChars="0"/>
    </w:pPr>
    <w:rPr>
      <w:rFonts w:ascii="等线" w:hAnsi="等线" w:eastAsia="等线"/>
      <w:szCs w:val="22"/>
    </w:rPr>
  </w:style>
  <w:style w:type="paragraph" w:styleId="45">
    <w:name w:val="Body Text 2"/>
    <w:basedOn w:val="1"/>
    <w:link w:val="85"/>
    <w:qFormat/>
    <w:uiPriority w:val="0"/>
    <w:pPr>
      <w:jc w:val="left"/>
    </w:pPr>
    <w:rPr>
      <w:rFonts w:ascii="楷体_GB2312" w:hAnsi="宋体" w:eastAsia="楷体_GB2312"/>
      <w:color w:val="000000"/>
      <w:kern w:val="0"/>
      <w:szCs w:val="21"/>
    </w:rPr>
  </w:style>
  <w:style w:type="paragraph" w:styleId="46">
    <w:name w:val="List 4"/>
    <w:basedOn w:val="1"/>
    <w:qFormat/>
    <w:uiPriority w:val="0"/>
    <w:pPr>
      <w:ind w:left="100" w:leftChars="600" w:hanging="200" w:hangingChars="200"/>
    </w:pPr>
  </w:style>
  <w:style w:type="paragraph" w:styleId="47">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8">
    <w:name w:val="Title"/>
    <w:basedOn w:val="1"/>
    <w:link w:val="86"/>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8"/>
    <w:next w:val="18"/>
    <w:link w:val="87"/>
    <w:qFormat/>
    <w:uiPriority w:val="99"/>
  </w:style>
  <w:style w:type="table" w:styleId="51">
    <w:name w:val="Table Grid"/>
    <w:basedOn w:val="50"/>
    <w:qFormat/>
    <w:uiPriority w:val="0"/>
    <w:pPr>
      <w:ind w:left="840" w:hanging="420"/>
      <w:jc w:val="both"/>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3">
    <w:name w:val="Strong"/>
    <w:qFormat/>
    <w:uiPriority w:val="22"/>
    <w:rPr>
      <w:b/>
      <w:bCs/>
    </w:rPr>
  </w:style>
  <w:style w:type="character" w:styleId="54">
    <w:name w:val="page number"/>
    <w:qFormat/>
    <w:uiPriority w:val="0"/>
  </w:style>
  <w:style w:type="character" w:styleId="55">
    <w:name w:val="Emphasis"/>
    <w:qFormat/>
    <w:uiPriority w:val="20"/>
    <w:rPr>
      <w:color w:val="CC0000"/>
    </w:rPr>
  </w:style>
  <w:style w:type="character" w:styleId="56">
    <w:name w:val="Hyperlink"/>
    <w:qFormat/>
    <w:uiPriority w:val="99"/>
    <w:rPr>
      <w:color w:val="0000FF"/>
      <w:u w:val="single"/>
    </w:rPr>
  </w:style>
  <w:style w:type="character" w:styleId="57">
    <w:name w:val="annotation reference"/>
    <w:qFormat/>
    <w:uiPriority w:val="99"/>
    <w:rPr>
      <w:sz w:val="21"/>
      <w:szCs w:val="21"/>
    </w:rPr>
  </w:style>
  <w:style w:type="character" w:customStyle="1" w:styleId="58">
    <w:name w:val="页眉 字符"/>
    <w:basedOn w:val="52"/>
    <w:link w:val="33"/>
    <w:qFormat/>
    <w:uiPriority w:val="99"/>
    <w:rPr>
      <w:sz w:val="18"/>
      <w:szCs w:val="18"/>
    </w:rPr>
  </w:style>
  <w:style w:type="character" w:customStyle="1" w:styleId="59">
    <w:name w:val="页脚 字符"/>
    <w:basedOn w:val="52"/>
    <w:link w:val="32"/>
    <w:qFormat/>
    <w:uiPriority w:val="99"/>
    <w:rPr>
      <w:sz w:val="18"/>
      <w:szCs w:val="18"/>
    </w:rPr>
  </w:style>
  <w:style w:type="character" w:customStyle="1" w:styleId="60">
    <w:name w:val="正文文本 字符"/>
    <w:basedOn w:val="52"/>
    <w:link w:val="20"/>
    <w:qFormat/>
    <w:uiPriority w:val="1"/>
    <w:rPr>
      <w:rFonts w:ascii="Times New Roman" w:hAnsi="Times New Roman" w:eastAsia="宋体" w:cs="Times New Roman"/>
      <w:szCs w:val="24"/>
      <w14:ligatures w14:val="none"/>
    </w:rPr>
  </w:style>
  <w:style w:type="character" w:customStyle="1" w:styleId="61">
    <w:name w:val="标题 1 字符"/>
    <w:basedOn w:val="52"/>
    <w:qFormat/>
    <w:uiPriority w:val="0"/>
    <w:rPr>
      <w:rFonts w:ascii="Times New Roman" w:hAnsi="Times New Roman" w:eastAsia="宋体" w:cs="Times New Roman"/>
      <w:b/>
      <w:bCs/>
      <w:kern w:val="44"/>
      <w:sz w:val="44"/>
      <w:szCs w:val="44"/>
      <w14:ligatures w14:val="none"/>
    </w:rPr>
  </w:style>
  <w:style w:type="character" w:customStyle="1" w:styleId="62">
    <w:name w:val="标题 2 字符"/>
    <w:basedOn w:val="52"/>
    <w:link w:val="3"/>
    <w:qFormat/>
    <w:uiPriority w:val="0"/>
    <w:rPr>
      <w:rFonts w:ascii="Arial" w:hAnsi="Arial" w:eastAsia="黑体" w:cs="Times New Roman"/>
      <w:b/>
      <w:bCs/>
      <w:sz w:val="32"/>
      <w:szCs w:val="32"/>
      <w14:ligatures w14:val="none"/>
    </w:rPr>
  </w:style>
  <w:style w:type="character" w:customStyle="1" w:styleId="63">
    <w:name w:val="标题 3 字符"/>
    <w:basedOn w:val="52"/>
    <w:qFormat/>
    <w:uiPriority w:val="0"/>
    <w:rPr>
      <w:rFonts w:ascii="Times New Roman" w:hAnsi="Times New Roman" w:eastAsia="宋体" w:cs="Times New Roman"/>
      <w:b/>
      <w:bCs/>
      <w:sz w:val="32"/>
      <w:szCs w:val="32"/>
      <w14:ligatures w14:val="none"/>
    </w:rPr>
  </w:style>
  <w:style w:type="character" w:customStyle="1" w:styleId="64">
    <w:name w:val="标题 4 字符"/>
    <w:basedOn w:val="52"/>
    <w:link w:val="5"/>
    <w:qFormat/>
    <w:uiPriority w:val="0"/>
    <w:rPr>
      <w:rFonts w:ascii="Arial" w:hAnsi="Arial" w:eastAsia="黑体" w:cs="Times New Roman"/>
      <w:b/>
      <w:bCs/>
      <w:sz w:val="28"/>
      <w:szCs w:val="28"/>
      <w14:ligatures w14:val="none"/>
    </w:rPr>
  </w:style>
  <w:style w:type="character" w:customStyle="1" w:styleId="65">
    <w:name w:val="标题 5 字符"/>
    <w:basedOn w:val="52"/>
    <w:link w:val="6"/>
    <w:qFormat/>
    <w:uiPriority w:val="0"/>
    <w:rPr>
      <w:rFonts w:ascii="Times New Roman" w:hAnsi="Times New Roman" w:eastAsia="宋体" w:cs="Times New Roman"/>
      <w:b/>
      <w:bCs/>
      <w:kern w:val="0"/>
      <w:sz w:val="28"/>
      <w:szCs w:val="28"/>
      <w14:ligatures w14:val="none"/>
    </w:rPr>
  </w:style>
  <w:style w:type="character" w:customStyle="1" w:styleId="66">
    <w:name w:val="标题 6 字符"/>
    <w:basedOn w:val="52"/>
    <w:link w:val="7"/>
    <w:qFormat/>
    <w:uiPriority w:val="0"/>
    <w:rPr>
      <w:rFonts w:ascii="Arial" w:hAnsi="Arial" w:eastAsia="黑体" w:cs="Times New Roman"/>
      <w:b/>
      <w:bCs/>
      <w:kern w:val="0"/>
      <w:sz w:val="24"/>
      <w:szCs w:val="24"/>
      <w14:ligatures w14:val="none"/>
    </w:rPr>
  </w:style>
  <w:style w:type="character" w:customStyle="1" w:styleId="67">
    <w:name w:val="标题 7 字符"/>
    <w:basedOn w:val="52"/>
    <w:link w:val="8"/>
    <w:qFormat/>
    <w:uiPriority w:val="0"/>
    <w:rPr>
      <w:rFonts w:ascii="Times New Roman" w:hAnsi="Times New Roman" w:eastAsia="宋体" w:cs="Times New Roman"/>
      <w:b/>
      <w:bCs/>
      <w:kern w:val="0"/>
      <w:sz w:val="24"/>
      <w:szCs w:val="24"/>
      <w14:ligatures w14:val="none"/>
    </w:rPr>
  </w:style>
  <w:style w:type="character" w:customStyle="1" w:styleId="68">
    <w:name w:val="标题 8 字符"/>
    <w:basedOn w:val="52"/>
    <w:link w:val="9"/>
    <w:qFormat/>
    <w:uiPriority w:val="0"/>
    <w:rPr>
      <w:rFonts w:ascii="Arial" w:hAnsi="Arial" w:eastAsia="黑体" w:cs="Times New Roman"/>
      <w:kern w:val="0"/>
      <w:sz w:val="24"/>
      <w:szCs w:val="24"/>
      <w14:ligatures w14:val="none"/>
    </w:rPr>
  </w:style>
  <w:style w:type="character" w:customStyle="1" w:styleId="69">
    <w:name w:val="标题 9 字符"/>
    <w:basedOn w:val="52"/>
    <w:link w:val="10"/>
    <w:qFormat/>
    <w:uiPriority w:val="0"/>
    <w:rPr>
      <w:rFonts w:ascii="Arial" w:hAnsi="Arial" w:eastAsia="黑体" w:cs="Times New Roman"/>
      <w:kern w:val="0"/>
      <w:szCs w:val="21"/>
      <w14:ligatures w14:val="none"/>
    </w:rPr>
  </w:style>
  <w:style w:type="character" w:customStyle="1" w:styleId="70">
    <w:name w:val="标题 1 字符1"/>
    <w:link w:val="2"/>
    <w:qFormat/>
    <w:uiPriority w:val="0"/>
    <w:rPr>
      <w:rFonts w:ascii="Times New Roman" w:hAnsi="Times New Roman" w:eastAsia="宋体" w:cs="Times New Roman"/>
      <w:b/>
      <w:bCs/>
      <w:kern w:val="44"/>
      <w:sz w:val="44"/>
      <w:szCs w:val="44"/>
      <w14:ligatures w14:val="none"/>
    </w:rPr>
  </w:style>
  <w:style w:type="character" w:customStyle="1" w:styleId="71">
    <w:name w:val="标题 3 字符1"/>
    <w:link w:val="4"/>
    <w:qFormat/>
    <w:uiPriority w:val="0"/>
    <w:rPr>
      <w:rFonts w:ascii="Times New Roman" w:hAnsi="Times New Roman" w:eastAsia="宋体" w:cs="Times New Roman"/>
      <w:b/>
      <w:bCs/>
      <w:sz w:val="24"/>
      <w:szCs w:val="32"/>
      <w14:ligatures w14:val="none"/>
    </w:rPr>
  </w:style>
  <w:style w:type="character" w:customStyle="1" w:styleId="72">
    <w:name w:val="正文缩进 字符"/>
    <w:link w:val="14"/>
    <w:qFormat/>
    <w:uiPriority w:val="0"/>
    <w:rPr>
      <w:rFonts w:ascii="Times New Roman" w:hAnsi="Times New Roman" w:eastAsia="宋体" w:cs="Times New Roman"/>
      <w:szCs w:val="24"/>
      <w14:ligatures w14:val="none"/>
    </w:rPr>
  </w:style>
  <w:style w:type="character" w:customStyle="1" w:styleId="73">
    <w:name w:val="文档结构图 字符"/>
    <w:basedOn w:val="52"/>
    <w:link w:val="16"/>
    <w:qFormat/>
    <w:uiPriority w:val="99"/>
    <w:rPr>
      <w:rFonts w:ascii="宋体" w:hAnsi="Times New Roman" w:eastAsia="宋体" w:cs="Times New Roman"/>
      <w:sz w:val="18"/>
      <w:szCs w:val="18"/>
      <w14:ligatures w14:val="none"/>
    </w:rPr>
  </w:style>
  <w:style w:type="character" w:customStyle="1" w:styleId="74">
    <w:name w:val="批注文字 字符"/>
    <w:basedOn w:val="52"/>
    <w:link w:val="18"/>
    <w:qFormat/>
    <w:uiPriority w:val="99"/>
    <w:rPr>
      <w:rFonts w:ascii="Times New Roman" w:hAnsi="Times New Roman" w:eastAsia="宋体" w:cs="Times New Roman"/>
      <w:szCs w:val="24"/>
      <w14:ligatures w14:val="none"/>
    </w:rPr>
  </w:style>
  <w:style w:type="character" w:customStyle="1" w:styleId="75">
    <w:name w:val="正文文本 3 字符"/>
    <w:basedOn w:val="52"/>
    <w:link w:val="19"/>
    <w:qFormat/>
    <w:uiPriority w:val="0"/>
    <w:rPr>
      <w:rFonts w:ascii="宋体" w:hAnsi="Times New Roman" w:eastAsia="宋体" w:cs="Times New Roman"/>
      <w:sz w:val="24"/>
      <w:szCs w:val="20"/>
      <w14:ligatures w14:val="none"/>
    </w:rPr>
  </w:style>
  <w:style w:type="character" w:customStyle="1" w:styleId="76">
    <w:name w:val="正文文本缩进 字符"/>
    <w:basedOn w:val="52"/>
    <w:link w:val="21"/>
    <w:qFormat/>
    <w:uiPriority w:val="99"/>
    <w:rPr>
      <w:rFonts w:ascii="Times New Roman" w:hAnsi="Times New Roman" w:eastAsia="宋体" w:cs="Times New Roman"/>
      <w:szCs w:val="24"/>
      <w14:ligatures w14:val="none"/>
    </w:rPr>
  </w:style>
  <w:style w:type="character" w:customStyle="1" w:styleId="77">
    <w:name w:val="纯文本 字符"/>
    <w:basedOn w:val="52"/>
    <w:link w:val="26"/>
    <w:qFormat/>
    <w:uiPriority w:val="0"/>
    <w:rPr>
      <w:rFonts w:ascii="宋体" w:hAnsi="Courier New" w:eastAsia="宋体" w:cs="Times New Roman"/>
      <w:szCs w:val="21"/>
      <w14:ligatures w14:val="none"/>
    </w:rPr>
  </w:style>
  <w:style w:type="character" w:customStyle="1" w:styleId="78">
    <w:name w:val="日期 字符"/>
    <w:basedOn w:val="52"/>
    <w:link w:val="28"/>
    <w:qFormat/>
    <w:uiPriority w:val="99"/>
    <w:rPr>
      <w:rFonts w:ascii="Times New Roman" w:hAnsi="Times New Roman" w:eastAsia="宋体" w:cs="Times New Roman"/>
      <w:sz w:val="24"/>
      <w:szCs w:val="20"/>
      <w14:ligatures w14:val="none"/>
    </w:rPr>
  </w:style>
  <w:style w:type="character" w:customStyle="1" w:styleId="79">
    <w:name w:val="正文文本缩进 2 字符"/>
    <w:basedOn w:val="52"/>
    <w:link w:val="29"/>
    <w:qFormat/>
    <w:uiPriority w:val="0"/>
    <w:rPr>
      <w:rFonts w:ascii="Times New Roman" w:hAnsi="Times New Roman" w:eastAsia="仿宋_GB2312" w:cs="Times New Roman"/>
      <w:sz w:val="32"/>
      <w:szCs w:val="24"/>
      <w14:ligatures w14:val="none"/>
    </w:rPr>
  </w:style>
  <w:style w:type="character" w:customStyle="1" w:styleId="80">
    <w:name w:val="尾注文本 字符"/>
    <w:basedOn w:val="52"/>
    <w:link w:val="30"/>
    <w:qFormat/>
    <w:uiPriority w:val="0"/>
    <w:rPr>
      <w:rFonts w:ascii="Courier" w:hAnsi="Courier" w:eastAsia="PMingLiU" w:cs="Times New Roman"/>
      <w:snapToGrid w:val="0"/>
      <w:kern w:val="0"/>
      <w:sz w:val="24"/>
      <w:szCs w:val="20"/>
      <w:lang w:val="en-AU" w:eastAsia="en-US"/>
      <w14:ligatures w14:val="none"/>
    </w:rPr>
  </w:style>
  <w:style w:type="character" w:customStyle="1" w:styleId="81">
    <w:name w:val="批注框文本 字符"/>
    <w:basedOn w:val="52"/>
    <w:link w:val="31"/>
    <w:qFormat/>
    <w:uiPriority w:val="99"/>
    <w:rPr>
      <w:rFonts w:ascii="Times New Roman" w:hAnsi="Times New Roman" w:eastAsia="宋体" w:cs="Times New Roman"/>
      <w:sz w:val="18"/>
      <w:szCs w:val="18"/>
      <w14:ligatures w14:val="none"/>
    </w:rPr>
  </w:style>
  <w:style w:type="character" w:customStyle="1" w:styleId="82">
    <w:name w:val="页脚 字符1"/>
    <w:qFormat/>
    <w:uiPriority w:val="99"/>
    <w:rPr>
      <w:kern w:val="2"/>
      <w:sz w:val="18"/>
      <w:szCs w:val="18"/>
    </w:rPr>
  </w:style>
  <w:style w:type="character" w:customStyle="1" w:styleId="83">
    <w:name w:val="脚注文本 字符"/>
    <w:basedOn w:val="52"/>
    <w:link w:val="39"/>
    <w:qFormat/>
    <w:uiPriority w:val="0"/>
    <w:rPr>
      <w:rFonts w:ascii="Courier" w:hAnsi="Courier" w:eastAsia="PMingLiU" w:cs="Times New Roman"/>
      <w:snapToGrid w:val="0"/>
      <w:kern w:val="0"/>
      <w:sz w:val="24"/>
      <w:szCs w:val="20"/>
      <w:lang w:val="en-AU" w:eastAsia="en-US"/>
      <w14:ligatures w14:val="none"/>
    </w:rPr>
  </w:style>
  <w:style w:type="character" w:customStyle="1" w:styleId="84">
    <w:name w:val="正文文本缩进 3 字符"/>
    <w:basedOn w:val="52"/>
    <w:link w:val="42"/>
    <w:qFormat/>
    <w:uiPriority w:val="0"/>
    <w:rPr>
      <w:rFonts w:ascii="Times New Roman" w:hAnsi="Times New Roman" w:eastAsia="宋体" w:cs="Times New Roman"/>
      <w:sz w:val="16"/>
      <w:szCs w:val="16"/>
      <w14:ligatures w14:val="none"/>
    </w:rPr>
  </w:style>
  <w:style w:type="character" w:customStyle="1" w:styleId="85">
    <w:name w:val="正文文本 2 字符"/>
    <w:basedOn w:val="52"/>
    <w:link w:val="45"/>
    <w:qFormat/>
    <w:uiPriority w:val="0"/>
    <w:rPr>
      <w:rFonts w:ascii="楷体_GB2312" w:hAnsi="宋体" w:eastAsia="楷体_GB2312" w:cs="Times New Roman"/>
      <w:color w:val="000000"/>
      <w:kern w:val="0"/>
      <w:szCs w:val="21"/>
      <w14:ligatures w14:val="none"/>
    </w:rPr>
  </w:style>
  <w:style w:type="character" w:customStyle="1" w:styleId="86">
    <w:name w:val="标题 字符"/>
    <w:basedOn w:val="52"/>
    <w:link w:val="48"/>
    <w:qFormat/>
    <w:uiPriority w:val="0"/>
    <w:rPr>
      <w:rFonts w:ascii="Arial" w:hAnsi="Arial" w:eastAsia="宋体" w:cs="Times New Roman"/>
      <w:b/>
      <w:kern w:val="0"/>
      <w:sz w:val="32"/>
      <w:szCs w:val="20"/>
      <w14:ligatures w14:val="none"/>
    </w:rPr>
  </w:style>
  <w:style w:type="character" w:customStyle="1" w:styleId="87">
    <w:name w:val="批注主题 字符"/>
    <w:basedOn w:val="74"/>
    <w:link w:val="49"/>
    <w:qFormat/>
    <w:uiPriority w:val="99"/>
    <w:rPr>
      <w:rFonts w:ascii="Times New Roman" w:hAnsi="Times New Roman" w:eastAsia="宋体" w:cs="Times New Roman"/>
      <w:szCs w:val="24"/>
      <w14:ligatures w14:val="none"/>
    </w:rPr>
  </w:style>
  <w:style w:type="character" w:customStyle="1" w:styleId="88">
    <w:name w:val="Char Char17"/>
    <w:qFormat/>
    <w:uiPriority w:val="0"/>
    <w:rPr>
      <w:rFonts w:ascii="Arial" w:hAnsi="Arial" w:eastAsia="黑体"/>
      <w:b/>
      <w:bCs/>
      <w:sz w:val="28"/>
      <w:szCs w:val="28"/>
      <w:lang w:val="en-US" w:eastAsia="zh-CN" w:bidi="ar-SA"/>
    </w:rPr>
  </w:style>
  <w:style w:type="character" w:customStyle="1" w:styleId="89">
    <w:name w:val="正文缩进 Char1"/>
    <w:qFormat/>
    <w:uiPriority w:val="0"/>
    <w:rPr>
      <w:kern w:val="2"/>
      <w:sz w:val="21"/>
    </w:rPr>
  </w:style>
  <w:style w:type="character" w:customStyle="1" w:styleId="90">
    <w:name w:val="正文首行缩进 2 Char1"/>
    <w:semiHidden/>
    <w:qFormat/>
    <w:uiPriority w:val="99"/>
    <w:rPr>
      <w:kern w:val="2"/>
      <w:sz w:val="21"/>
      <w:szCs w:val="24"/>
    </w:rPr>
  </w:style>
  <w:style w:type="character" w:customStyle="1" w:styleId="91">
    <w:name w:val="应答文本 Char Char"/>
    <w:link w:val="92"/>
    <w:qFormat/>
    <w:uiPriority w:val="0"/>
    <w:rPr>
      <w:szCs w:val="21"/>
    </w:rPr>
  </w:style>
  <w:style w:type="paragraph" w:customStyle="1" w:styleId="92">
    <w:name w:val="应答文本"/>
    <w:basedOn w:val="1"/>
    <w:link w:val="91"/>
    <w:qFormat/>
    <w:uiPriority w:val="0"/>
    <w:pPr>
      <w:adjustRightInd w:val="0"/>
      <w:snapToGrid w:val="0"/>
      <w:spacing w:afterLines="50"/>
      <w:ind w:left="200" w:leftChars="200"/>
    </w:pPr>
    <w:rPr>
      <w:rFonts w:asciiTheme="minorHAnsi" w:hAnsiTheme="minorHAnsi" w:eastAsiaTheme="minorEastAsia" w:cstheme="minorBidi"/>
      <w:szCs w:val="21"/>
      <w14:ligatures w14:val="standardContextual"/>
    </w:rPr>
  </w:style>
  <w:style w:type="character" w:customStyle="1" w:styleId="93">
    <w:name w:val="Char Char1"/>
    <w:qFormat/>
    <w:uiPriority w:val="0"/>
    <w:rPr>
      <w:rFonts w:eastAsia="宋体"/>
      <w:szCs w:val="24"/>
      <w:lang w:bidi="ar-SA"/>
    </w:rPr>
  </w:style>
  <w:style w:type="character" w:customStyle="1" w:styleId="94">
    <w:name w:val="批注文字 Char1"/>
    <w:semiHidden/>
    <w:qFormat/>
    <w:locked/>
    <w:uiPriority w:val="0"/>
    <w:rPr>
      <w:kern w:val="2"/>
      <w:sz w:val="21"/>
      <w:szCs w:val="24"/>
    </w:rPr>
  </w:style>
  <w:style w:type="character" w:customStyle="1" w:styleId="95">
    <w:name w:val="未处理的提及1"/>
    <w:unhideWhenUsed/>
    <w:qFormat/>
    <w:uiPriority w:val="99"/>
    <w:rPr>
      <w:color w:val="605E5C"/>
      <w:shd w:val="clear" w:color="auto" w:fill="E1DFDD"/>
    </w:rPr>
  </w:style>
  <w:style w:type="character" w:customStyle="1" w:styleId="96">
    <w:name w:val="明显参考1"/>
    <w:qFormat/>
    <w:uiPriority w:val="32"/>
    <w:rPr>
      <w:b/>
      <w:bCs/>
      <w:smallCaps/>
      <w:color w:val="C0504D"/>
      <w:spacing w:val="5"/>
      <w:u w:val="single"/>
    </w:rPr>
  </w:style>
  <w:style w:type="character" w:customStyle="1" w:styleId="97">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98">
    <w:name w:val="标题 Char1"/>
    <w:qFormat/>
    <w:uiPriority w:val="10"/>
    <w:rPr>
      <w:rFonts w:ascii="Cambria" w:hAnsi="Cambria" w:eastAsia="宋体" w:cs="Times New Roman"/>
      <w:b/>
      <w:bCs/>
      <w:kern w:val="0"/>
      <w:sz w:val="32"/>
      <w:szCs w:val="32"/>
    </w:rPr>
  </w:style>
  <w:style w:type="character" w:customStyle="1" w:styleId="99">
    <w:name w:val="正文文字 Char"/>
    <w:qFormat/>
    <w:uiPriority w:val="0"/>
    <w:rPr>
      <w:rFonts w:ascii="宋体" w:eastAsia="宋体"/>
      <w:snapToGrid w:val="0"/>
      <w:color w:val="000000"/>
      <w:sz w:val="28"/>
      <w:lang w:val="en-US" w:eastAsia="zh-CN" w:bidi="ar-SA"/>
    </w:rPr>
  </w:style>
  <w:style w:type="character" w:customStyle="1" w:styleId="100">
    <w:name w:val="表格 Char Char"/>
    <w:link w:val="101"/>
    <w:qFormat/>
    <w:uiPriority w:val="0"/>
    <w:rPr>
      <w:rFonts w:ascii="宋体" w:hAnsi="宋体"/>
      <w:szCs w:val="28"/>
    </w:rPr>
  </w:style>
  <w:style w:type="paragraph" w:customStyle="1" w:styleId="101">
    <w:name w:val="表格 Char"/>
    <w:basedOn w:val="1"/>
    <w:link w:val="100"/>
    <w:qFormat/>
    <w:uiPriority w:val="0"/>
    <w:pPr>
      <w:spacing w:before="100" w:beforeAutospacing="1" w:after="100" w:afterAutospacing="1"/>
      <w:jc w:val="center"/>
    </w:pPr>
    <w:rPr>
      <w:rFonts w:ascii="宋体" w:hAnsi="宋体" w:eastAsiaTheme="minorEastAsia" w:cstheme="minorBidi"/>
      <w:szCs w:val="28"/>
      <w14:ligatures w14:val="standardContextual"/>
    </w:rPr>
  </w:style>
  <w:style w:type="character" w:customStyle="1" w:styleId="102">
    <w:name w:val="正文文本 3 Char1"/>
    <w:semiHidden/>
    <w:qFormat/>
    <w:uiPriority w:val="99"/>
    <w:rPr>
      <w:rFonts w:ascii="Times New Roman" w:hAnsi="Times New Roman" w:eastAsia="宋体" w:cs="Times New Roman"/>
      <w:kern w:val="0"/>
      <w:sz w:val="16"/>
      <w:szCs w:val="16"/>
    </w:rPr>
  </w:style>
  <w:style w:type="character" w:customStyle="1" w:styleId="103">
    <w:name w:val="Report Text Char"/>
    <w:link w:val="104"/>
    <w:qFormat/>
    <w:uiPriority w:val="0"/>
    <w:rPr>
      <w:rFonts w:ascii="Arial" w:hAnsi="Arial"/>
      <w:kern w:val="28"/>
      <w:sz w:val="22"/>
    </w:rPr>
  </w:style>
  <w:style w:type="paragraph" w:customStyle="1" w:styleId="104">
    <w:name w:val="Report Text"/>
    <w:basedOn w:val="1"/>
    <w:link w:val="103"/>
    <w:qFormat/>
    <w:uiPriority w:val="0"/>
    <w:pPr>
      <w:spacing w:before="240" w:after="120"/>
      <w:ind w:left="1080"/>
    </w:pPr>
    <w:rPr>
      <w:rFonts w:ascii="Arial" w:hAnsi="Arial" w:eastAsiaTheme="minorEastAsia" w:cstheme="minorBidi"/>
      <w:kern w:val="28"/>
      <w:sz w:val="22"/>
      <w:szCs w:val="22"/>
      <w14:ligatures w14:val="standardContextual"/>
    </w:rPr>
  </w:style>
  <w:style w:type="character" w:customStyle="1" w:styleId="105">
    <w:name w:val="正文文本 2 Char1"/>
    <w:semiHidden/>
    <w:qFormat/>
    <w:uiPriority w:val="99"/>
    <w:rPr>
      <w:rFonts w:ascii="Times New Roman" w:hAnsi="Times New Roman" w:eastAsia="宋体" w:cs="Times New Roman"/>
      <w:kern w:val="0"/>
      <w:szCs w:val="20"/>
    </w:rPr>
  </w:style>
  <w:style w:type="character" w:customStyle="1" w:styleId="106">
    <w:name w:val="Char Char19"/>
    <w:qFormat/>
    <w:uiPriority w:val="0"/>
    <w:rPr>
      <w:rFonts w:ascii="华文细黑" w:hAnsi="Arial" w:eastAsia="华文细黑"/>
      <w:b/>
      <w:bCs/>
      <w:sz w:val="44"/>
      <w:szCs w:val="32"/>
      <w:lang w:val="en-US" w:eastAsia="zh-CN" w:bidi="ar-SA"/>
    </w:rPr>
  </w:style>
  <w:style w:type="character" w:customStyle="1" w:styleId="107">
    <w:name w:val="列表框2 Char"/>
    <w:link w:val="108"/>
    <w:qFormat/>
    <w:uiPriority w:val="0"/>
    <w:rPr>
      <w:rFonts w:ascii="宋体" w:hAnsi="宋体"/>
      <w:szCs w:val="24"/>
    </w:rPr>
  </w:style>
  <w:style w:type="paragraph" w:customStyle="1" w:styleId="108">
    <w:name w:val="列表框2"/>
    <w:basedOn w:val="109"/>
    <w:link w:val="107"/>
    <w:qFormat/>
    <w:uiPriority w:val="0"/>
    <w:pPr>
      <w:tabs>
        <w:tab w:val="left" w:pos="1682"/>
        <w:tab w:val="left" w:pos="2084"/>
      </w:tabs>
      <w:ind w:left="2118" w:leftChars="808" w:hanging="420"/>
    </w:pPr>
    <w:rPr>
      <w:rFonts w:eastAsiaTheme="minorEastAsia" w:cstheme="minorBidi"/>
      <w:kern w:val="2"/>
      <w:szCs w:val="24"/>
      <w14:ligatures w14:val="standardContextual"/>
    </w:rPr>
  </w:style>
  <w:style w:type="paragraph" w:customStyle="1" w:styleId="109">
    <w:name w:val="列表框1"/>
    <w:basedOn w:val="1"/>
    <w:link w:val="110"/>
    <w:qFormat/>
    <w:uiPriority w:val="0"/>
    <w:pPr>
      <w:tabs>
        <w:tab w:val="left" w:pos="1682"/>
      </w:tabs>
      <w:adjustRightInd w:val="0"/>
      <w:snapToGrid w:val="0"/>
      <w:ind w:left="1748" w:hanging="434"/>
    </w:pPr>
    <w:rPr>
      <w:rFonts w:ascii="宋体" w:hAnsi="宋体"/>
      <w:kern w:val="0"/>
      <w:szCs w:val="21"/>
    </w:rPr>
  </w:style>
  <w:style w:type="character" w:customStyle="1" w:styleId="110">
    <w:name w:val="列表框1 Char Char"/>
    <w:link w:val="109"/>
    <w:qFormat/>
    <w:uiPriority w:val="0"/>
    <w:rPr>
      <w:rFonts w:ascii="宋体" w:hAnsi="宋体" w:eastAsia="宋体" w:cs="Times New Roman"/>
      <w:kern w:val="0"/>
      <w:szCs w:val="21"/>
      <w14:ligatures w14:val="none"/>
    </w:rPr>
  </w:style>
  <w:style w:type="character" w:customStyle="1" w:styleId="111">
    <w:name w:val="Char Char7"/>
    <w:qFormat/>
    <w:uiPriority w:val="0"/>
    <w:rPr>
      <w:rFonts w:eastAsia="宋体"/>
      <w:kern w:val="2"/>
      <w:sz w:val="18"/>
      <w:szCs w:val="18"/>
      <w:lang w:val="en-US" w:eastAsia="zh-CN" w:bidi="ar-SA"/>
    </w:rPr>
  </w:style>
  <w:style w:type="character" w:customStyle="1" w:styleId="112">
    <w:name w:val="样式 标题 3 + 黑色 Char"/>
    <w:link w:val="113"/>
    <w:qFormat/>
    <w:uiPriority w:val="0"/>
    <w:rPr>
      <w:color w:val="FF0000"/>
      <w:sz w:val="24"/>
    </w:rPr>
  </w:style>
  <w:style w:type="paragraph" w:customStyle="1" w:styleId="113">
    <w:name w:val="样式 标题 3 + 黑色"/>
    <w:basedOn w:val="4"/>
    <w:link w:val="112"/>
    <w:qFormat/>
    <w:uiPriority w:val="0"/>
    <w:pPr>
      <w:keepNext w:val="0"/>
      <w:keepLines w:val="0"/>
      <w:tabs>
        <w:tab w:val="left" w:pos="1200"/>
        <w:tab w:val="left" w:pos="1260"/>
      </w:tabs>
      <w:spacing w:before="0" w:after="0"/>
      <w:ind w:left="1200" w:hanging="1200" w:hangingChars="500"/>
    </w:pPr>
    <w:rPr>
      <w:rFonts w:asciiTheme="minorHAnsi" w:hAnsiTheme="minorHAnsi" w:eastAsiaTheme="minorEastAsia" w:cstheme="minorBidi"/>
      <w:b w:val="0"/>
      <w:bCs w:val="0"/>
      <w:color w:val="FF0000"/>
      <w:szCs w:val="22"/>
      <w14:ligatures w14:val="standardContextual"/>
    </w:rPr>
  </w:style>
  <w:style w:type="character" w:customStyle="1" w:styleId="114">
    <w:name w:val="已访问的超链接1"/>
    <w:qFormat/>
    <w:uiPriority w:val="99"/>
    <w:rPr>
      <w:color w:val="800080"/>
      <w:u w:val="single"/>
    </w:rPr>
  </w:style>
  <w:style w:type="character" w:customStyle="1" w:styleId="115">
    <w:name w:val="普通文字 Char Char"/>
    <w:qFormat/>
    <w:uiPriority w:val="0"/>
    <w:rPr>
      <w:rFonts w:ascii="宋体" w:hAnsi="Courier New" w:eastAsia="宋体" w:cs="Courier New"/>
      <w:kern w:val="2"/>
      <w:sz w:val="21"/>
      <w:szCs w:val="21"/>
      <w:lang w:val="en-US" w:eastAsia="zh-CN" w:bidi="ar-SA"/>
    </w:rPr>
  </w:style>
  <w:style w:type="character" w:customStyle="1" w:styleId="116">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117">
    <w:name w:val="批注框文本 Char1"/>
    <w:semiHidden/>
    <w:qFormat/>
    <w:uiPriority w:val="99"/>
    <w:rPr>
      <w:rFonts w:ascii="Times New Roman" w:hAnsi="Times New Roman" w:eastAsia="宋体" w:cs="Times New Roman"/>
      <w:kern w:val="0"/>
      <w:sz w:val="18"/>
      <w:szCs w:val="18"/>
    </w:rPr>
  </w:style>
  <w:style w:type="character" w:customStyle="1" w:styleId="118">
    <w:name w:val="文档结构图 Char1"/>
    <w:semiHidden/>
    <w:qFormat/>
    <w:uiPriority w:val="99"/>
    <w:rPr>
      <w:rFonts w:ascii="宋体" w:hAnsi="Times New Roman" w:eastAsia="宋体" w:cs="Times New Roman"/>
      <w:kern w:val="0"/>
      <w:sz w:val="18"/>
      <w:szCs w:val="18"/>
    </w:rPr>
  </w:style>
  <w:style w:type="character" w:customStyle="1" w:styleId="119">
    <w:name w:val="未处理的提及111"/>
    <w:unhideWhenUsed/>
    <w:qFormat/>
    <w:uiPriority w:val="99"/>
    <w:rPr>
      <w:color w:val="605E5C"/>
      <w:shd w:val="clear" w:color="auto" w:fill="E1DFDD"/>
    </w:rPr>
  </w:style>
  <w:style w:type="character" w:customStyle="1" w:styleId="120">
    <w:name w:val="无编号正文 Char"/>
    <w:link w:val="121"/>
    <w:qFormat/>
    <w:uiPriority w:val="0"/>
    <w:rPr>
      <w:rFonts w:ascii="宋体" w:hAnsi="宋体"/>
      <w:sz w:val="24"/>
      <w:szCs w:val="24"/>
    </w:rPr>
  </w:style>
  <w:style w:type="paragraph" w:customStyle="1" w:styleId="121">
    <w:name w:val="无编号正文"/>
    <w:basedOn w:val="20"/>
    <w:next w:val="1"/>
    <w:link w:val="120"/>
    <w:qFormat/>
    <w:uiPriority w:val="0"/>
    <w:pPr>
      <w:spacing w:after="0"/>
      <w:ind w:left="200" w:leftChars="200"/>
    </w:pPr>
    <w:rPr>
      <w:rFonts w:ascii="宋体" w:hAnsi="宋体" w:eastAsiaTheme="minorEastAsia" w:cstheme="minorBidi"/>
      <w:sz w:val="24"/>
      <w14:ligatures w14:val="standardContextual"/>
    </w:rPr>
  </w:style>
  <w:style w:type="character" w:customStyle="1" w:styleId="122">
    <w:name w:val="日期 Char1"/>
    <w:semiHidden/>
    <w:qFormat/>
    <w:uiPriority w:val="99"/>
    <w:rPr>
      <w:rFonts w:ascii="Times New Roman" w:hAnsi="Times New Roman" w:eastAsia="宋体" w:cs="Times New Roman"/>
      <w:kern w:val="0"/>
      <w:szCs w:val="20"/>
    </w:rPr>
  </w:style>
  <w:style w:type="character" w:customStyle="1" w:styleId="123">
    <w:name w:val="正文文本缩进 Char2"/>
    <w:semiHidden/>
    <w:qFormat/>
    <w:uiPriority w:val="99"/>
    <w:rPr>
      <w:rFonts w:ascii="Times New Roman" w:hAnsi="Times New Roman" w:eastAsia="宋体" w:cs="Times New Roman"/>
      <w:szCs w:val="24"/>
    </w:rPr>
  </w:style>
  <w:style w:type="character" w:customStyle="1" w:styleId="124">
    <w:name w:val="text"/>
    <w:qFormat/>
    <w:uiPriority w:val="0"/>
    <w:rPr>
      <w:rFonts w:ascii="仿宋_GB2312" w:eastAsia="仿宋_GB2312"/>
      <w:b/>
      <w:kern w:val="2"/>
      <w:sz w:val="32"/>
      <w:szCs w:val="32"/>
      <w:lang w:val="en-US" w:eastAsia="zh-CN" w:bidi="ar-SA"/>
    </w:rPr>
  </w:style>
  <w:style w:type="character" w:customStyle="1" w:styleId="125">
    <w:name w:val="脚注文本 Char1"/>
    <w:semiHidden/>
    <w:qFormat/>
    <w:uiPriority w:val="99"/>
    <w:rPr>
      <w:kern w:val="2"/>
      <w:sz w:val="18"/>
      <w:szCs w:val="18"/>
    </w:rPr>
  </w:style>
  <w:style w:type="character" w:customStyle="1" w:styleId="126">
    <w:name w:val="批注主题 Char1"/>
    <w:semiHidden/>
    <w:qFormat/>
    <w:uiPriority w:val="99"/>
    <w:rPr>
      <w:rFonts w:ascii="Times New Roman" w:hAnsi="Times New Roman" w:eastAsia="宋体" w:cs="Times New Roman"/>
      <w:b/>
      <w:bCs/>
      <w:kern w:val="0"/>
      <w:sz w:val="21"/>
      <w:szCs w:val="20"/>
    </w:rPr>
  </w:style>
  <w:style w:type="character" w:customStyle="1" w:styleId="127">
    <w:name w:val="Char Char15"/>
    <w:qFormat/>
    <w:uiPriority w:val="0"/>
    <w:rPr>
      <w:rFonts w:ascii="Arial" w:hAnsi="Arial" w:eastAsia="黑体"/>
      <w:b/>
      <w:bCs/>
      <w:sz w:val="24"/>
      <w:szCs w:val="24"/>
      <w:lang w:val="en-US" w:eastAsia="zh-CN" w:bidi="ar-SA"/>
    </w:rPr>
  </w:style>
  <w:style w:type="character" w:customStyle="1" w:styleId="128">
    <w:name w:val="三级标题康"/>
    <w:qFormat/>
    <w:uiPriority w:val="0"/>
    <w:rPr>
      <w:rFonts w:ascii="Arial" w:hAnsi="Arial" w:eastAsia="宋体" w:cs="Times New Roman"/>
      <w:b/>
      <w:bCs/>
      <w:sz w:val="21"/>
      <w:szCs w:val="32"/>
    </w:rPr>
  </w:style>
  <w:style w:type="character" w:customStyle="1" w:styleId="129">
    <w:name w:val="样式 表内文字"/>
    <w:qFormat/>
    <w:uiPriority w:val="0"/>
    <w:rPr>
      <w:rFonts w:eastAsia="宋体"/>
      <w:snapToGrid/>
      <w:color w:val="000000"/>
      <w:spacing w:val="0"/>
      <w:kern w:val="0"/>
      <w:position w:val="0"/>
      <w:sz w:val="20"/>
      <w:szCs w:val="20"/>
      <w:u w:val="none"/>
    </w:rPr>
  </w:style>
  <w:style w:type="character" w:customStyle="1" w:styleId="130">
    <w:name w:val="Char Char13"/>
    <w:qFormat/>
    <w:uiPriority w:val="0"/>
    <w:rPr>
      <w:rFonts w:ascii="Arial" w:hAnsi="Arial" w:eastAsia="黑体"/>
      <w:sz w:val="24"/>
      <w:szCs w:val="24"/>
      <w:lang w:val="en-US" w:eastAsia="zh-CN" w:bidi="ar-SA"/>
    </w:rPr>
  </w:style>
  <w:style w:type="character" w:customStyle="1" w:styleId="131">
    <w:name w:val="Char Char11"/>
    <w:qFormat/>
    <w:uiPriority w:val="0"/>
    <w:rPr>
      <w:rFonts w:eastAsia="宋体"/>
      <w:b/>
      <w:bCs/>
      <w:kern w:val="2"/>
      <w:sz w:val="21"/>
      <w:szCs w:val="24"/>
      <w:lang w:val="en-US" w:eastAsia="zh-CN" w:bidi="ar-SA"/>
    </w:rPr>
  </w:style>
  <w:style w:type="character" w:customStyle="1" w:styleId="132">
    <w:name w:val="标题 3 Char1"/>
    <w:qFormat/>
    <w:uiPriority w:val="0"/>
    <w:rPr>
      <w:b/>
      <w:bCs/>
      <w:sz w:val="32"/>
      <w:szCs w:val="32"/>
    </w:rPr>
  </w:style>
  <w:style w:type="character" w:customStyle="1" w:styleId="133">
    <w:name w:val="图形布置 Char"/>
    <w:link w:val="134"/>
    <w:qFormat/>
    <w:uiPriority w:val="0"/>
    <w:rPr>
      <w:rFonts w:ascii="Arial" w:hAnsi="Arial" w:cs="Arial"/>
    </w:rPr>
  </w:style>
  <w:style w:type="paragraph" w:customStyle="1" w:styleId="134">
    <w:name w:val="图形布置"/>
    <w:basedOn w:val="135"/>
    <w:link w:val="133"/>
    <w:qFormat/>
    <w:uiPriority w:val="0"/>
    <w:rPr>
      <w:rFonts w:cs="Arial" w:eastAsiaTheme="minorEastAsia"/>
      <w:kern w:val="2"/>
      <w:szCs w:val="22"/>
      <w14:ligatures w14:val="standardContextual"/>
    </w:rPr>
  </w:style>
  <w:style w:type="paragraph" w:customStyle="1" w:styleId="135">
    <w:name w:val="图形题注"/>
    <w:basedOn w:val="15"/>
    <w:link w:val="136"/>
    <w:qFormat/>
    <w:uiPriority w:val="0"/>
    <w:pPr>
      <w:adjustRightInd w:val="0"/>
      <w:snapToGrid w:val="0"/>
      <w:spacing w:afterLines="50"/>
      <w:jc w:val="center"/>
    </w:pPr>
    <w:rPr>
      <w:rFonts w:eastAsia="宋体" w:cs="Times New Roman"/>
      <w:kern w:val="0"/>
      <w:sz w:val="21"/>
    </w:rPr>
  </w:style>
  <w:style w:type="character" w:customStyle="1" w:styleId="136">
    <w:name w:val="图形题注 Char"/>
    <w:link w:val="135"/>
    <w:qFormat/>
    <w:uiPriority w:val="0"/>
    <w:rPr>
      <w:rFonts w:ascii="Arial" w:hAnsi="Arial" w:eastAsia="宋体" w:cs="Times New Roman"/>
      <w:kern w:val="0"/>
      <w:szCs w:val="20"/>
      <w14:ligatures w14:val="none"/>
    </w:rPr>
  </w:style>
  <w:style w:type="character" w:customStyle="1" w:styleId="137">
    <w:name w:val="Char Char12"/>
    <w:qFormat/>
    <w:uiPriority w:val="0"/>
    <w:rPr>
      <w:rFonts w:ascii="Arial" w:hAnsi="Arial" w:eastAsia="黑体"/>
      <w:sz w:val="21"/>
      <w:szCs w:val="21"/>
      <w:lang w:val="en-US" w:eastAsia="zh-CN" w:bidi="ar-SA"/>
    </w:rPr>
  </w:style>
  <w:style w:type="character" w:customStyle="1" w:styleId="138">
    <w:name w:val="正文文本缩进 2 Char1"/>
    <w:semiHidden/>
    <w:qFormat/>
    <w:uiPriority w:val="99"/>
    <w:rPr>
      <w:rFonts w:ascii="Times New Roman" w:hAnsi="Times New Roman" w:eastAsia="宋体" w:cs="Times New Roman"/>
      <w:kern w:val="0"/>
      <w:szCs w:val="20"/>
    </w:rPr>
  </w:style>
  <w:style w:type="character" w:customStyle="1" w:styleId="139">
    <w:name w:val="正文文本缩进 Char1"/>
    <w:semiHidden/>
    <w:qFormat/>
    <w:uiPriority w:val="99"/>
    <w:rPr>
      <w:rFonts w:ascii="Times New Roman" w:hAnsi="Times New Roman" w:eastAsia="宋体" w:cs="Times New Roman"/>
      <w:kern w:val="0"/>
      <w:szCs w:val="20"/>
    </w:rPr>
  </w:style>
  <w:style w:type="character" w:customStyle="1" w:styleId="140">
    <w:name w:val="正文首行缩进 Char"/>
    <w:link w:val="141"/>
    <w:qFormat/>
    <w:uiPriority w:val="0"/>
    <w:rPr>
      <w:szCs w:val="24"/>
    </w:rPr>
  </w:style>
  <w:style w:type="paragraph" w:customStyle="1" w:styleId="141">
    <w:name w:val="正文首行缩进1"/>
    <w:basedOn w:val="20"/>
    <w:link w:val="140"/>
    <w:qFormat/>
    <w:uiPriority w:val="0"/>
    <w:pPr>
      <w:ind w:firstLine="100" w:firstLineChars="100"/>
    </w:pPr>
    <w:rPr>
      <w:rFonts w:asciiTheme="minorHAnsi" w:hAnsiTheme="minorHAnsi" w:eastAsiaTheme="minorEastAsia" w:cstheme="minorBidi"/>
      <w14:ligatures w14:val="standardContextual"/>
    </w:rPr>
  </w:style>
  <w:style w:type="character" w:customStyle="1" w:styleId="142">
    <w:name w:val="页脚 Char1"/>
    <w:semiHidden/>
    <w:qFormat/>
    <w:uiPriority w:val="99"/>
    <w:rPr>
      <w:rFonts w:ascii="Times New Roman" w:hAnsi="Times New Roman" w:eastAsia="宋体" w:cs="Times New Roman"/>
      <w:kern w:val="0"/>
      <w:sz w:val="18"/>
      <w:szCs w:val="18"/>
    </w:rPr>
  </w:style>
  <w:style w:type="character" w:customStyle="1" w:styleId="143">
    <w:name w:val="Char Char10"/>
    <w:qFormat/>
    <w:uiPriority w:val="0"/>
    <w:rPr>
      <w:rFonts w:eastAsia="仿宋_GB2312"/>
      <w:kern w:val="2"/>
      <w:sz w:val="32"/>
      <w:szCs w:val="24"/>
      <w:lang w:val="en-US" w:eastAsia="zh-CN" w:bidi="ar-SA"/>
    </w:rPr>
  </w:style>
  <w:style w:type="character" w:customStyle="1" w:styleId="144">
    <w:name w:val="纯文本 Char1"/>
    <w:qFormat/>
    <w:uiPriority w:val="99"/>
    <w:rPr>
      <w:rFonts w:ascii="宋体" w:hAnsi="Courier New" w:eastAsia="宋体" w:cs="Times New Roman"/>
      <w:szCs w:val="20"/>
    </w:rPr>
  </w:style>
  <w:style w:type="character" w:customStyle="1" w:styleId="145">
    <w:name w:val="正文文本缩进 3 Char1"/>
    <w:semiHidden/>
    <w:qFormat/>
    <w:uiPriority w:val="99"/>
    <w:rPr>
      <w:rFonts w:ascii="Times New Roman" w:hAnsi="Times New Roman" w:eastAsia="宋体" w:cs="Times New Roman"/>
      <w:kern w:val="0"/>
      <w:sz w:val="16"/>
      <w:szCs w:val="16"/>
    </w:rPr>
  </w:style>
  <w:style w:type="character" w:customStyle="1" w:styleId="146">
    <w:name w:val="正文首行缩进 2 Char"/>
    <w:link w:val="147"/>
    <w:qFormat/>
    <w:uiPriority w:val="0"/>
    <w:rPr>
      <w:szCs w:val="24"/>
    </w:rPr>
  </w:style>
  <w:style w:type="paragraph" w:customStyle="1" w:styleId="147">
    <w:name w:val="正文首行缩进 21"/>
    <w:basedOn w:val="21"/>
    <w:link w:val="146"/>
    <w:qFormat/>
    <w:uiPriority w:val="0"/>
    <w:pPr>
      <w:adjustRightInd w:val="0"/>
      <w:spacing w:line="312" w:lineRule="atLeast"/>
      <w:textAlignment w:val="baseline"/>
    </w:pPr>
    <w:rPr>
      <w:rFonts w:asciiTheme="minorHAnsi" w:hAnsiTheme="minorHAnsi" w:eastAsiaTheme="minorEastAsia" w:cstheme="minorBidi"/>
      <w14:ligatures w14:val="standardContextual"/>
    </w:rPr>
  </w:style>
  <w:style w:type="character" w:customStyle="1" w:styleId="148">
    <w:name w:val="样式4 Char"/>
    <w:link w:val="149"/>
    <w:qFormat/>
    <w:uiPriority w:val="0"/>
    <w:rPr>
      <w:rFonts w:ascii="宋体"/>
      <w:sz w:val="18"/>
      <w:szCs w:val="18"/>
    </w:rPr>
  </w:style>
  <w:style w:type="paragraph" w:customStyle="1" w:styleId="149">
    <w:name w:val="样式4"/>
    <w:basedOn w:val="33"/>
    <w:link w:val="148"/>
    <w:qFormat/>
    <w:uiPriority w:val="0"/>
    <w:pPr>
      <w:autoSpaceDE w:val="0"/>
      <w:autoSpaceDN w:val="0"/>
      <w:adjustRightInd w:val="0"/>
      <w:snapToGrid/>
      <w:textAlignment w:val="baseline"/>
    </w:pPr>
    <w:rPr>
      <w:rFonts w:ascii="宋体" w:hAnsiTheme="minorHAnsi" w:eastAsiaTheme="minorEastAsia" w:cstheme="minorBidi"/>
      <w14:ligatures w14:val="standardContextual"/>
    </w:rPr>
  </w:style>
  <w:style w:type="character" w:customStyle="1" w:styleId="150">
    <w:name w:val="Char Char Char Char1"/>
    <w:link w:val="151"/>
    <w:qFormat/>
    <w:uiPriority w:val="0"/>
    <w:rPr>
      <w:rFonts w:ascii="仿宋_GB2312" w:eastAsia="仿宋_GB2312"/>
      <w:b/>
      <w:sz w:val="32"/>
      <w:szCs w:val="32"/>
    </w:rPr>
  </w:style>
  <w:style w:type="paragraph" w:customStyle="1" w:styleId="151">
    <w:name w:val="Char Char Char1"/>
    <w:basedOn w:val="1"/>
    <w:link w:val="150"/>
    <w:qFormat/>
    <w:uiPriority w:val="0"/>
    <w:rPr>
      <w:rFonts w:ascii="仿宋_GB2312" w:eastAsia="仿宋_GB2312" w:hAnsiTheme="minorHAnsi" w:cstheme="minorBidi"/>
      <w:b/>
      <w:sz w:val="32"/>
      <w:szCs w:val="32"/>
      <w14:ligatures w14:val="standardContextual"/>
    </w:rPr>
  </w:style>
  <w:style w:type="character" w:customStyle="1" w:styleId="152">
    <w:name w:val="Char Char16"/>
    <w:qFormat/>
    <w:uiPriority w:val="0"/>
    <w:rPr>
      <w:rFonts w:eastAsia="宋体"/>
      <w:b/>
      <w:bCs/>
      <w:sz w:val="28"/>
      <w:szCs w:val="28"/>
      <w:lang w:val="en-US" w:eastAsia="zh-CN" w:bidi="ar-SA"/>
    </w:rPr>
  </w:style>
  <w:style w:type="character" w:customStyle="1" w:styleId="153">
    <w:name w:val="页眉 Char1"/>
    <w:semiHidden/>
    <w:qFormat/>
    <w:uiPriority w:val="99"/>
    <w:rPr>
      <w:rFonts w:ascii="Times New Roman" w:hAnsi="Times New Roman" w:eastAsia="宋体" w:cs="Times New Roman"/>
      <w:kern w:val="0"/>
      <w:sz w:val="18"/>
      <w:szCs w:val="18"/>
    </w:rPr>
  </w:style>
  <w:style w:type="character" w:customStyle="1" w:styleId="154">
    <w:name w:val="列出段落 Char"/>
    <w:link w:val="155"/>
    <w:qFormat/>
    <w:uiPriority w:val="0"/>
    <w:rPr>
      <w:rFonts w:ascii="Calibri" w:hAnsi="Calibri"/>
    </w:rPr>
  </w:style>
  <w:style w:type="paragraph" w:customStyle="1" w:styleId="155">
    <w:name w:val="列出段落2"/>
    <w:basedOn w:val="1"/>
    <w:link w:val="154"/>
    <w:qFormat/>
    <w:uiPriority w:val="0"/>
    <w:rPr>
      <w:rFonts w:ascii="Calibri" w:hAnsi="Calibri" w:eastAsiaTheme="minorEastAsia" w:cstheme="minorBidi"/>
      <w:szCs w:val="22"/>
      <w14:ligatures w14:val="standardContextual"/>
    </w:rPr>
  </w:style>
  <w:style w:type="character" w:customStyle="1" w:styleId="156">
    <w:name w:val="纯文本 Char2"/>
    <w:qFormat/>
    <w:uiPriority w:val="0"/>
    <w:rPr>
      <w:rFonts w:ascii="宋体" w:hAnsi="Courier New" w:eastAsia="宋体"/>
      <w:kern w:val="2"/>
      <w:sz w:val="21"/>
      <w:lang w:val="en-US" w:eastAsia="zh-CN"/>
    </w:rPr>
  </w:style>
  <w:style w:type="character" w:customStyle="1" w:styleId="157">
    <w:name w:val="font161"/>
    <w:qFormat/>
    <w:uiPriority w:val="0"/>
    <w:rPr>
      <w:b/>
      <w:bCs/>
      <w:sz w:val="32"/>
      <w:szCs w:val="32"/>
    </w:rPr>
  </w:style>
  <w:style w:type="character" w:customStyle="1" w:styleId="158">
    <w:name w:val="Char Char8"/>
    <w:qFormat/>
    <w:uiPriority w:val="0"/>
    <w:rPr>
      <w:rFonts w:ascii="宋体" w:hAnsi="宋体" w:eastAsia="宋体"/>
      <w:kern w:val="2"/>
      <w:sz w:val="21"/>
      <w:szCs w:val="24"/>
      <w:lang w:val="en-US" w:eastAsia="zh-CN" w:bidi="ar-SA"/>
    </w:rPr>
  </w:style>
  <w:style w:type="character" w:customStyle="1" w:styleId="159">
    <w:name w:val="样式 超链接 + 仿宋_GB2312 小四 加粗"/>
    <w:qFormat/>
    <w:uiPriority w:val="0"/>
    <w:rPr>
      <w:rFonts w:ascii="仿宋_GB2312" w:hAnsi="仿宋_GB2312" w:eastAsia="黑体"/>
      <w:b/>
      <w:bCs/>
      <w:color w:val="auto"/>
      <w:sz w:val="24"/>
      <w:u w:val="none"/>
    </w:rPr>
  </w:style>
  <w:style w:type="character" w:customStyle="1" w:styleId="160">
    <w:name w:val="批注文字 Char2"/>
    <w:qFormat/>
    <w:uiPriority w:val="0"/>
    <w:rPr>
      <w:kern w:val="2"/>
      <w:sz w:val="21"/>
      <w:szCs w:val="24"/>
    </w:rPr>
  </w:style>
  <w:style w:type="character" w:customStyle="1" w:styleId="161">
    <w:name w:val="Char Char18"/>
    <w:qFormat/>
    <w:uiPriority w:val="0"/>
    <w:rPr>
      <w:rFonts w:eastAsia="华文细黑"/>
      <w:bCs/>
      <w:sz w:val="36"/>
      <w:szCs w:val="32"/>
      <w:lang w:val="en-US" w:eastAsia="zh-CN" w:bidi="ar-SA"/>
    </w:rPr>
  </w:style>
  <w:style w:type="character" w:customStyle="1" w:styleId="162">
    <w:name w:val="正文文本 Char1"/>
    <w:semiHidden/>
    <w:qFormat/>
    <w:uiPriority w:val="99"/>
    <w:rPr>
      <w:rFonts w:ascii="Times New Roman" w:hAnsi="Times New Roman" w:eastAsia="宋体" w:cs="Times New Roman"/>
      <w:kern w:val="0"/>
      <w:szCs w:val="20"/>
    </w:rPr>
  </w:style>
  <w:style w:type="character" w:customStyle="1" w:styleId="163">
    <w:name w:val="Char Char14"/>
    <w:qFormat/>
    <w:uiPriority w:val="0"/>
    <w:rPr>
      <w:rFonts w:eastAsia="宋体"/>
      <w:b/>
      <w:bCs/>
      <w:sz w:val="24"/>
      <w:szCs w:val="24"/>
      <w:lang w:val="en-US" w:eastAsia="zh-CN" w:bidi="ar-SA"/>
    </w:rPr>
  </w:style>
  <w:style w:type="character" w:customStyle="1" w:styleId="164">
    <w:name w:val="Char Char6"/>
    <w:qFormat/>
    <w:uiPriority w:val="0"/>
    <w:rPr>
      <w:rFonts w:eastAsia="宋体"/>
      <w:sz w:val="18"/>
      <w:szCs w:val="18"/>
      <w:lang w:bidi="ar-SA"/>
    </w:rPr>
  </w:style>
  <w:style w:type="character" w:customStyle="1" w:styleId="165">
    <w:name w:val="正文首行缩进 Char1"/>
    <w:semiHidden/>
    <w:qFormat/>
    <w:uiPriority w:val="99"/>
    <w:rPr>
      <w:rFonts w:ascii="Times New Roman" w:hAnsi="Times New Roman" w:eastAsia="宋体" w:cs="Times New Roman"/>
      <w:kern w:val="0"/>
      <w:szCs w:val="20"/>
    </w:rPr>
  </w:style>
  <w:style w:type="character" w:customStyle="1" w:styleId="166">
    <w:name w:val="Char Char20"/>
    <w:qFormat/>
    <w:uiPriority w:val="0"/>
    <w:rPr>
      <w:rFonts w:ascii="华文细黑" w:eastAsia="华文细黑"/>
      <w:b/>
      <w:bCs/>
      <w:snapToGrid w:val="0"/>
      <w:sz w:val="52"/>
      <w:szCs w:val="44"/>
      <w:lang w:val="en-US" w:eastAsia="zh-CN" w:bidi="ar-SA"/>
    </w:rPr>
  </w:style>
  <w:style w:type="character" w:customStyle="1" w:styleId="167">
    <w:name w:val="Char Char2"/>
    <w:qFormat/>
    <w:uiPriority w:val="0"/>
    <w:rPr>
      <w:rFonts w:ascii="楷体_GB2312" w:hAnsi="宋体" w:eastAsia="楷体_GB2312"/>
      <w:color w:val="000000"/>
      <w:sz w:val="21"/>
      <w:szCs w:val="21"/>
      <w:lang w:val="en-US" w:eastAsia="zh-CN" w:bidi="ar-SA"/>
    </w:rPr>
  </w:style>
  <w:style w:type="character" w:customStyle="1" w:styleId="168">
    <w:name w:val="Char Char9"/>
    <w:qFormat/>
    <w:uiPriority w:val="0"/>
    <w:rPr>
      <w:rFonts w:ascii="宋体" w:hAnsi="宋体" w:eastAsia="宋体"/>
      <w:kern w:val="2"/>
      <w:sz w:val="24"/>
      <w:lang w:val="en-US" w:eastAsia="zh-CN" w:bidi="ar-SA"/>
    </w:rPr>
  </w:style>
  <w:style w:type="character" w:customStyle="1" w:styleId="169">
    <w:name w:val="尾注文本 Char1"/>
    <w:semiHidden/>
    <w:qFormat/>
    <w:uiPriority w:val="99"/>
    <w:rPr>
      <w:kern w:val="2"/>
      <w:sz w:val="21"/>
      <w:szCs w:val="24"/>
    </w:rPr>
  </w:style>
  <w:style w:type="paragraph" w:customStyle="1" w:styleId="170">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71">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72">
    <w:name w:val="USE 5"/>
    <w:basedOn w:val="1"/>
    <w:qFormat/>
    <w:uiPriority w:val="0"/>
    <w:pPr>
      <w:ind w:left="217" w:hanging="340"/>
      <w:jc w:val="left"/>
    </w:pPr>
    <w:rPr>
      <w:rFonts w:ascii="宋体" w:hAnsi="宋体"/>
      <w:sz w:val="24"/>
    </w:rPr>
  </w:style>
  <w:style w:type="paragraph" w:customStyle="1" w:styleId="173">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74">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5">
    <w:name w:val="cucd-4"/>
    <w:next w:val="1"/>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76">
    <w:name w:val="p0"/>
    <w:basedOn w:val="1"/>
    <w:qFormat/>
    <w:uiPriority w:val="0"/>
    <w:rPr>
      <w:kern w:val="0"/>
      <w:szCs w:val="21"/>
    </w:rPr>
  </w:style>
  <w:style w:type="paragraph" w:customStyle="1" w:styleId="177">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178">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179">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0">
    <w:name w:val="附件"/>
    <w:basedOn w:val="1"/>
    <w:qFormat/>
    <w:uiPriority w:val="0"/>
    <w:pPr>
      <w:spacing w:line="480" w:lineRule="auto"/>
    </w:pPr>
    <w:rPr>
      <w:rFonts w:ascii="黑体" w:eastAsia="黑体"/>
      <w:b/>
      <w:sz w:val="36"/>
      <w:szCs w:val="20"/>
    </w:rPr>
  </w:style>
  <w:style w:type="paragraph" w:customStyle="1" w:styleId="181">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82">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83">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4">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lang w:eastAsia="en-US"/>
    </w:rPr>
  </w:style>
  <w:style w:type="paragraph" w:customStyle="1" w:styleId="185">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86">
    <w:name w:val="纯文本2"/>
    <w:basedOn w:val="1"/>
    <w:qFormat/>
    <w:uiPriority w:val="0"/>
    <w:rPr>
      <w:rFonts w:ascii="宋体" w:hAnsi="Courier New" w:cs="Courier New"/>
      <w:szCs w:val="21"/>
    </w:rPr>
  </w:style>
  <w:style w:type="paragraph" w:customStyle="1" w:styleId="187">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188">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89">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190">
    <w:name w:val="Char Char Char Char Char Char Char"/>
    <w:basedOn w:val="1"/>
    <w:qFormat/>
    <w:uiPriority w:val="0"/>
    <w:rPr>
      <w:rFonts w:ascii="仿宋_GB2312" w:eastAsia="仿宋_GB2312"/>
      <w:b/>
      <w:sz w:val="32"/>
      <w:szCs w:val="32"/>
    </w:rPr>
  </w:style>
  <w:style w:type="paragraph" w:customStyle="1" w:styleId="191">
    <w:name w:val="p8"/>
    <w:basedOn w:val="1"/>
    <w:qFormat/>
    <w:uiPriority w:val="0"/>
    <w:pPr>
      <w:spacing w:line="30" w:lineRule="atLeast"/>
      <w:jc w:val="left"/>
    </w:pPr>
    <w:rPr>
      <w:rFonts w:hint="eastAsia" w:ascii="宋体" w:hAnsi="宋体" w:cs="宋体"/>
      <w:kern w:val="0"/>
      <w:szCs w:val="21"/>
    </w:rPr>
  </w:style>
  <w:style w:type="paragraph" w:customStyle="1" w:styleId="192">
    <w:name w:val="我的目录"/>
    <w:basedOn w:val="193"/>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93">
    <w:name w:val="目录 11"/>
    <w:basedOn w:val="1"/>
    <w:next w:val="1"/>
    <w:qFormat/>
    <w:uiPriority w:val="39"/>
    <w:pPr>
      <w:tabs>
        <w:tab w:val="right" w:leader="dot" w:pos="8296"/>
      </w:tabs>
      <w:ind w:left="850" w:leftChars="1" w:hanging="848" w:hangingChars="404"/>
      <w:jc w:val="center"/>
    </w:pPr>
  </w:style>
  <w:style w:type="paragraph" w:customStyle="1" w:styleId="194">
    <w:name w:val="目录 51"/>
    <w:basedOn w:val="1"/>
    <w:next w:val="1"/>
    <w:qFormat/>
    <w:uiPriority w:val="39"/>
    <w:pPr>
      <w:ind w:left="1680" w:leftChars="800"/>
    </w:pPr>
    <w:rPr>
      <w:rFonts w:ascii="Calibri" w:hAnsi="Calibri"/>
      <w:szCs w:val="22"/>
    </w:rPr>
  </w:style>
  <w:style w:type="paragraph" w:customStyle="1" w:styleId="195">
    <w:name w:val="CM255"/>
    <w:basedOn w:val="196"/>
    <w:next w:val="196"/>
    <w:qFormat/>
    <w:uiPriority w:val="0"/>
    <w:pPr>
      <w:spacing w:after="1728"/>
    </w:pPr>
    <w:rPr>
      <w:rFonts w:ascii="宋体" w:cs="宋体"/>
      <w:color w:val="auto"/>
    </w:rPr>
  </w:style>
  <w:style w:type="paragraph" w:customStyle="1" w:styleId="196">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197">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198">
    <w:name w:val="标题 31"/>
    <w:basedOn w:val="1"/>
    <w:qFormat/>
    <w:uiPriority w:val="1"/>
    <w:pPr>
      <w:ind w:left="237"/>
      <w:jc w:val="left"/>
      <w:outlineLvl w:val="3"/>
    </w:pPr>
    <w:rPr>
      <w:rFonts w:ascii="宋体" w:hAnsi="宋体"/>
      <w:kern w:val="0"/>
      <w:sz w:val="28"/>
      <w:szCs w:val="28"/>
      <w:lang w:eastAsia="en-US"/>
    </w:rPr>
  </w:style>
  <w:style w:type="paragraph" w:customStyle="1" w:styleId="199">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200">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201">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2">
    <w:name w:val="小标题"/>
    <w:basedOn w:val="1"/>
    <w:qFormat/>
    <w:uiPriority w:val="0"/>
    <w:pPr>
      <w:spacing w:line="440" w:lineRule="exact"/>
      <w:ind w:left="420" w:hanging="420"/>
    </w:pPr>
    <w:rPr>
      <w:sz w:val="24"/>
    </w:rPr>
  </w:style>
  <w:style w:type="paragraph" w:customStyle="1" w:styleId="203">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04">
    <w:name w:val="样式 样式 首行缩进:  2 字符 段前: 4.65 磅 + 首行缩进:  2 字符"/>
    <w:basedOn w:val="1"/>
    <w:qFormat/>
    <w:uiPriority w:val="0"/>
    <w:pPr>
      <w:topLinePunct/>
      <w:spacing w:before="93"/>
      <w:ind w:firstLine="480"/>
    </w:pPr>
    <w:rPr>
      <w:rFonts w:cs="宋体"/>
      <w:sz w:val="24"/>
      <w:szCs w:val="20"/>
    </w:rPr>
  </w:style>
  <w:style w:type="paragraph" w:customStyle="1" w:styleId="205">
    <w:name w:val="USE 1"/>
    <w:basedOn w:val="1"/>
    <w:qFormat/>
    <w:uiPriority w:val="0"/>
    <w:pPr>
      <w:spacing w:line="200" w:lineRule="atLeast"/>
      <w:jc w:val="left"/>
    </w:pPr>
    <w:rPr>
      <w:rFonts w:ascii="宋体" w:hAnsi="宋体"/>
      <w:b/>
      <w:sz w:val="24"/>
      <w:szCs w:val="28"/>
    </w:rPr>
  </w:style>
  <w:style w:type="paragraph" w:customStyle="1" w:styleId="206">
    <w:name w:val="备注"/>
    <w:basedOn w:val="1"/>
    <w:qFormat/>
    <w:uiPriority w:val="0"/>
    <w:pPr>
      <w:tabs>
        <w:tab w:val="left" w:pos="547"/>
        <w:tab w:val="left" w:pos="990"/>
        <w:tab w:val="left" w:pos="1350"/>
      </w:tabs>
      <w:spacing w:line="400" w:lineRule="atLeast"/>
    </w:pPr>
    <w:rPr>
      <w:szCs w:val="21"/>
    </w:rPr>
  </w:style>
  <w:style w:type="paragraph" w:customStyle="1" w:styleId="207">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08">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09">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0">
    <w:name w:val="USE 3"/>
    <w:basedOn w:val="1"/>
    <w:qFormat/>
    <w:uiPriority w:val="0"/>
    <w:pPr>
      <w:ind w:left="710" w:hanging="170"/>
      <w:jc w:val="left"/>
    </w:pPr>
    <w:rPr>
      <w:rFonts w:ascii="宋体" w:hAnsi="宋体"/>
      <w:sz w:val="24"/>
      <w:szCs w:val="20"/>
    </w:rPr>
  </w:style>
  <w:style w:type="paragraph" w:customStyle="1" w:styleId="211">
    <w:name w:val="批注框文本 Char Char"/>
    <w:basedOn w:val="1"/>
    <w:qFormat/>
    <w:uiPriority w:val="0"/>
    <w:rPr>
      <w:sz w:val="18"/>
      <w:szCs w:val="20"/>
    </w:rPr>
  </w:style>
  <w:style w:type="paragraph" w:customStyle="1" w:styleId="212">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13">
    <w:name w:val="表格"/>
    <w:basedOn w:val="1"/>
    <w:qFormat/>
    <w:uiPriority w:val="0"/>
    <w:pPr>
      <w:jc w:val="center"/>
      <w:textAlignment w:val="center"/>
    </w:pPr>
    <w:rPr>
      <w:rFonts w:ascii="华文细黑" w:hAnsi="华文细黑"/>
      <w:kern w:val="0"/>
      <w:szCs w:val="20"/>
    </w:rPr>
  </w:style>
  <w:style w:type="paragraph" w:customStyle="1" w:styleId="214">
    <w:name w:val="列出段落1"/>
    <w:basedOn w:val="1"/>
    <w:qFormat/>
    <w:uiPriority w:val="0"/>
    <w:pPr>
      <w:spacing w:beforeLines="50" w:after="156" w:line="240" w:lineRule="atLeast"/>
      <w:ind w:left="425"/>
    </w:pPr>
    <w:rPr>
      <w:rFonts w:eastAsia="仿宋_GB2312"/>
      <w:sz w:val="24"/>
    </w:rPr>
  </w:style>
  <w:style w:type="paragraph" w:customStyle="1" w:styleId="215">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216">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17">
    <w:name w:val="retrait3"/>
    <w:basedOn w:val="1"/>
    <w:qFormat/>
    <w:uiPriority w:val="0"/>
    <w:pPr>
      <w:spacing w:before="20" w:after="20"/>
      <w:ind w:left="851"/>
      <w:jc w:val="left"/>
    </w:pPr>
    <w:rPr>
      <w:rFonts w:ascii="Arial" w:hAnsi="Arial"/>
      <w:kern w:val="0"/>
      <w:sz w:val="24"/>
      <w:szCs w:val="20"/>
      <w:lang w:val="en-GB"/>
    </w:rPr>
  </w:style>
  <w:style w:type="paragraph" w:customStyle="1" w:styleId="218">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219">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0">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1">
    <w:name w:val="Table Paragraph"/>
    <w:basedOn w:val="1"/>
    <w:qFormat/>
    <w:uiPriority w:val="1"/>
    <w:pPr>
      <w:jc w:val="left"/>
    </w:pPr>
    <w:rPr>
      <w:rFonts w:ascii="Calibri" w:hAnsi="Calibri"/>
      <w:kern w:val="0"/>
      <w:sz w:val="22"/>
      <w:szCs w:val="22"/>
      <w:lang w:eastAsia="en-US"/>
    </w:rPr>
  </w:style>
  <w:style w:type="paragraph" w:customStyle="1" w:styleId="222">
    <w:name w:val="标题333"/>
    <w:basedOn w:val="1"/>
    <w:qFormat/>
    <w:uiPriority w:val="0"/>
    <w:rPr>
      <w:rFonts w:ascii="宋体" w:hAnsi="宋体" w:cs="宋体"/>
      <w:b/>
      <w:bCs/>
      <w:sz w:val="24"/>
      <w:szCs w:val="20"/>
    </w:rPr>
  </w:style>
  <w:style w:type="paragraph" w:customStyle="1" w:styleId="223">
    <w:name w:val="表格文字图表文字"/>
    <w:basedOn w:val="1"/>
    <w:qFormat/>
    <w:uiPriority w:val="0"/>
    <w:pPr>
      <w:snapToGrid w:val="0"/>
      <w:jc w:val="center"/>
    </w:pPr>
    <w:rPr>
      <w:rFonts w:cs="宋体"/>
      <w:szCs w:val="20"/>
    </w:rPr>
  </w:style>
  <w:style w:type="paragraph" w:customStyle="1" w:styleId="224">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5">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26">
    <w:name w:val="样式 宋体 小四 黑色 左 行距: 1.5 倍行距1"/>
    <w:basedOn w:val="1"/>
    <w:qFormat/>
    <w:uiPriority w:val="0"/>
    <w:pPr>
      <w:jc w:val="left"/>
    </w:pPr>
    <w:rPr>
      <w:rFonts w:ascii="宋体" w:hAnsi="宋体" w:cs="宋体"/>
      <w:color w:val="000000"/>
      <w:sz w:val="24"/>
      <w:szCs w:val="20"/>
    </w:rPr>
  </w:style>
  <w:style w:type="paragraph" w:customStyle="1" w:styleId="227">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28">
    <w:name w:val="USE 4"/>
    <w:basedOn w:val="1"/>
    <w:qFormat/>
    <w:uiPriority w:val="0"/>
    <w:pPr>
      <w:ind w:left="104" w:hanging="227"/>
      <w:jc w:val="left"/>
    </w:pPr>
    <w:rPr>
      <w:rFonts w:ascii="宋体" w:hAnsi="宋体"/>
      <w:sz w:val="24"/>
      <w:szCs w:val="20"/>
    </w:rPr>
  </w:style>
  <w:style w:type="paragraph" w:customStyle="1" w:styleId="229">
    <w:name w:val="Char Char Char Char Char Char Char Char Char Char Char Char1 Char"/>
    <w:basedOn w:val="16"/>
    <w:qFormat/>
    <w:uiPriority w:val="0"/>
    <w:pPr>
      <w:shd w:val="clear" w:color="auto" w:fill="000080"/>
    </w:pPr>
    <w:rPr>
      <w:rFonts w:ascii="Times New Roman"/>
      <w:sz w:val="21"/>
      <w:szCs w:val="20"/>
    </w:rPr>
  </w:style>
  <w:style w:type="paragraph" w:customStyle="1" w:styleId="230">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31">
    <w:name w:val="目录 91"/>
    <w:basedOn w:val="1"/>
    <w:next w:val="1"/>
    <w:qFormat/>
    <w:uiPriority w:val="39"/>
    <w:pPr>
      <w:ind w:left="3360" w:leftChars="1600"/>
    </w:pPr>
    <w:rPr>
      <w:rFonts w:ascii="Calibri" w:hAnsi="Calibri"/>
      <w:szCs w:val="22"/>
    </w:rPr>
  </w:style>
  <w:style w:type="paragraph" w:customStyle="1" w:styleId="232">
    <w:name w:val="retrait1"/>
    <w:basedOn w:val="1"/>
    <w:qFormat/>
    <w:uiPriority w:val="0"/>
    <w:pPr>
      <w:spacing w:before="20" w:after="20"/>
      <w:ind w:left="284"/>
      <w:jc w:val="left"/>
    </w:pPr>
    <w:rPr>
      <w:rFonts w:ascii="Arial" w:hAnsi="Arial"/>
      <w:kern w:val="0"/>
      <w:sz w:val="24"/>
      <w:szCs w:val="20"/>
      <w:lang w:val="en-GB"/>
    </w:rPr>
  </w:style>
  <w:style w:type="paragraph" w:customStyle="1" w:styleId="233">
    <w:name w:val="样式2"/>
    <w:basedOn w:val="33"/>
    <w:qFormat/>
    <w:uiPriority w:val="0"/>
    <w:pPr>
      <w:autoSpaceDE w:val="0"/>
      <w:autoSpaceDN w:val="0"/>
      <w:adjustRightInd w:val="0"/>
      <w:snapToGrid/>
      <w:textAlignment w:val="baseline"/>
    </w:pPr>
    <w:rPr>
      <w:rFonts w:ascii="宋体"/>
      <w:kern w:val="0"/>
      <w:szCs w:val="20"/>
    </w:rPr>
  </w:style>
  <w:style w:type="paragraph" w:customStyle="1" w:styleId="234">
    <w:name w:val="条文 4"/>
    <w:next w:val="1"/>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235">
    <w:name w:val="Char2 Char Char Char"/>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36">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37">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38">
    <w:name w:val="Report Level 1"/>
    <w:basedOn w:val="1"/>
    <w:next w:val="104"/>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39">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40">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41">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42">
    <w:name w:val="列表段落1"/>
    <w:basedOn w:val="1"/>
    <w:qFormat/>
    <w:uiPriority w:val="0"/>
  </w:style>
  <w:style w:type="paragraph" w:customStyle="1" w:styleId="243">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44">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45">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6">
    <w:name w:val="font7"/>
    <w:basedOn w:val="1"/>
    <w:qFormat/>
    <w:uiPriority w:val="0"/>
    <w:pPr>
      <w:spacing w:before="100" w:beforeAutospacing="1" w:after="100" w:afterAutospacing="1"/>
      <w:jc w:val="left"/>
    </w:pPr>
    <w:rPr>
      <w:kern w:val="0"/>
      <w:sz w:val="20"/>
      <w:szCs w:val="20"/>
    </w:rPr>
  </w:style>
  <w:style w:type="paragraph" w:customStyle="1" w:styleId="247">
    <w:name w:val="二级标题"/>
    <w:basedOn w:val="1"/>
    <w:qFormat/>
    <w:uiPriority w:val="0"/>
    <w:pPr>
      <w:tabs>
        <w:tab w:val="left" w:pos="-1341"/>
      </w:tabs>
      <w:ind w:left="2686" w:hanging="420"/>
      <w:outlineLvl w:val="1"/>
    </w:pPr>
    <w:rPr>
      <w:rFonts w:ascii="宋体" w:hAnsi="宋体"/>
      <w:sz w:val="24"/>
      <w:szCs w:val="20"/>
    </w:rPr>
  </w:style>
  <w:style w:type="paragraph" w:customStyle="1" w:styleId="248">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49">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0">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51">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52">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3">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54">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55">
    <w:name w:val="标题2"/>
    <w:basedOn w:val="2"/>
    <w:qFormat/>
    <w:uiPriority w:val="0"/>
    <w:pPr>
      <w:spacing w:before="0" w:after="0" w:line="312" w:lineRule="auto"/>
      <w:jc w:val="center"/>
    </w:pPr>
    <w:rPr>
      <w:rFonts w:ascii="宋体"/>
      <w:bCs w:val="0"/>
      <w:sz w:val="30"/>
      <w:szCs w:val="20"/>
    </w:rPr>
  </w:style>
  <w:style w:type="paragraph" w:customStyle="1" w:styleId="256">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57">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58">
    <w:name w:val="条文 5"/>
    <w:next w:val="1"/>
    <w:qFormat/>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259">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260">
    <w:name w:val="条文 1"/>
    <w:next w:val="1"/>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61">
    <w:name w:val="需求书2"/>
    <w:basedOn w:val="1"/>
    <w:qFormat/>
    <w:uiPriority w:val="0"/>
    <w:pPr>
      <w:spacing w:line="500" w:lineRule="exact"/>
      <w:ind w:left="735" w:hanging="735"/>
    </w:pPr>
    <w:rPr>
      <w:rFonts w:ascii="黑体" w:eastAsia="黑体"/>
      <w:szCs w:val="20"/>
    </w:rPr>
  </w:style>
  <w:style w:type="paragraph" w:customStyle="1" w:styleId="262">
    <w:name w:val="wuff32"/>
    <w:basedOn w:val="26"/>
    <w:qFormat/>
    <w:uiPriority w:val="0"/>
    <w:pPr>
      <w:jc w:val="center"/>
    </w:pPr>
    <w:rPr>
      <w:rFonts w:ascii="黑体" w:eastAsia="黑体"/>
      <w:sz w:val="24"/>
      <w:szCs w:val="20"/>
    </w:rPr>
  </w:style>
  <w:style w:type="paragraph" w:customStyle="1" w:styleId="263">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264">
    <w:name w:val="Char Char Char"/>
    <w:basedOn w:val="1"/>
    <w:qFormat/>
    <w:uiPriority w:val="0"/>
    <w:rPr>
      <w:rFonts w:ascii="仿宋_GB2312" w:eastAsia="仿宋_GB2312"/>
      <w:b/>
      <w:sz w:val="32"/>
      <w:szCs w:val="32"/>
    </w:rPr>
  </w:style>
  <w:style w:type="paragraph" w:customStyle="1" w:styleId="265">
    <w:name w:val="目录 31"/>
    <w:basedOn w:val="1"/>
    <w:next w:val="1"/>
    <w:qFormat/>
    <w:uiPriority w:val="39"/>
    <w:pPr>
      <w:ind w:left="840" w:leftChars="400"/>
    </w:pPr>
  </w:style>
  <w:style w:type="paragraph" w:customStyle="1" w:styleId="266">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7">
    <w:name w:val="样式 标题 2 + (西文) Times New Roman (中文) 仿宋_GB2312 居中 段前: 6 磅 段后:..."/>
    <w:basedOn w:val="3"/>
    <w:qFormat/>
    <w:uiPriority w:val="0"/>
    <w:pPr>
      <w:spacing w:before="120" w:after="120"/>
      <w:jc w:val="left"/>
    </w:pPr>
    <w:rPr>
      <w:rFonts w:ascii="Times New Roman" w:hAnsi="Times New Roman" w:eastAsia="仿宋_GB2312" w:cs="宋体"/>
      <w:szCs w:val="20"/>
    </w:rPr>
  </w:style>
  <w:style w:type="paragraph" w:customStyle="1" w:styleId="268">
    <w:name w:val="标题222"/>
    <w:basedOn w:val="1"/>
    <w:qFormat/>
    <w:uiPriority w:val="0"/>
    <w:rPr>
      <w:rFonts w:cs="宋体"/>
      <w:b/>
      <w:bCs/>
      <w:sz w:val="30"/>
      <w:szCs w:val="20"/>
    </w:rPr>
  </w:style>
  <w:style w:type="paragraph" w:customStyle="1" w:styleId="269">
    <w:name w:val="Char"/>
    <w:basedOn w:val="1"/>
    <w:qFormat/>
    <w:uiPriority w:val="0"/>
    <w:pPr>
      <w:tabs>
        <w:tab w:val="left" w:pos="360"/>
      </w:tabs>
    </w:pPr>
    <w:rPr>
      <w:sz w:val="24"/>
    </w:rPr>
  </w:style>
  <w:style w:type="paragraph" w:customStyle="1" w:styleId="270">
    <w:name w:val="一、"/>
    <w:next w:val="141"/>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271">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2">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73">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274">
    <w:name w:val="USE 2"/>
    <w:basedOn w:val="1"/>
    <w:qFormat/>
    <w:uiPriority w:val="0"/>
    <w:pPr>
      <w:ind w:left="4556" w:hanging="3836"/>
      <w:jc w:val="left"/>
    </w:pPr>
    <w:rPr>
      <w:rFonts w:ascii="宋体" w:hAnsi="宋体"/>
      <w:sz w:val="24"/>
      <w:szCs w:val="20"/>
    </w:rPr>
  </w:style>
  <w:style w:type="paragraph" w:customStyle="1" w:styleId="275">
    <w:name w:val="表格文字"/>
    <w:basedOn w:val="1"/>
    <w:qFormat/>
    <w:uiPriority w:val="0"/>
    <w:pPr>
      <w:adjustRightInd w:val="0"/>
      <w:spacing w:line="420" w:lineRule="atLeast"/>
      <w:jc w:val="left"/>
      <w:textAlignment w:val="baseline"/>
    </w:pPr>
    <w:rPr>
      <w:kern w:val="0"/>
      <w:szCs w:val="20"/>
    </w:rPr>
  </w:style>
  <w:style w:type="paragraph" w:customStyle="1" w:styleId="276">
    <w:name w:val="1."/>
    <w:basedOn w:val="1"/>
    <w:qFormat/>
    <w:uiPriority w:val="0"/>
    <w:pPr>
      <w:tabs>
        <w:tab w:val="left" w:pos="425"/>
      </w:tabs>
      <w:ind w:firstLine="482"/>
    </w:pPr>
    <w:rPr>
      <w:sz w:val="28"/>
      <w:szCs w:val="20"/>
    </w:rPr>
  </w:style>
  <w:style w:type="paragraph" w:customStyle="1" w:styleId="277">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27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279">
    <w:name w:val="Body text 1"/>
    <w:basedOn w:val="280"/>
    <w:qFormat/>
    <w:uiPriority w:val="0"/>
    <w:pPr>
      <w:tabs>
        <w:tab w:val="left" w:pos="1134"/>
      </w:tabs>
      <w:ind w:hanging="1134"/>
    </w:pPr>
  </w:style>
  <w:style w:type="paragraph" w:customStyle="1" w:styleId="280">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281">
    <w:name w:val="_Style 10"/>
    <w:basedOn w:val="1"/>
    <w:next w:val="1"/>
    <w:qFormat/>
    <w:uiPriority w:val="0"/>
  </w:style>
  <w:style w:type="paragraph" w:customStyle="1" w:styleId="282">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83">
    <w:name w:val="Char Char Char Char Char Char Char1"/>
    <w:basedOn w:val="1"/>
    <w:qFormat/>
    <w:uiPriority w:val="0"/>
    <w:pPr>
      <w:spacing w:after="160" w:line="240" w:lineRule="exact"/>
      <w:jc w:val="left"/>
    </w:pPr>
    <w:rPr>
      <w:rFonts w:ascii="Arial" w:hAnsi="Arial" w:eastAsia="Times New Roman" w:cs="Verdana"/>
      <w:b/>
      <w:kern w:val="0"/>
      <w:sz w:val="24"/>
      <w:lang w:eastAsia="en-US"/>
    </w:rPr>
  </w:style>
  <w:style w:type="paragraph" w:customStyle="1" w:styleId="284">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paragraph" w:customStyle="1" w:styleId="285">
    <w:name w:val="Char Char Char Char"/>
    <w:basedOn w:val="1"/>
    <w:qFormat/>
    <w:uiPriority w:val="0"/>
    <w:pPr>
      <w:tabs>
        <w:tab w:val="left" w:pos="360"/>
      </w:tabs>
    </w:pPr>
    <w:rPr>
      <w:sz w:val="24"/>
    </w:rPr>
  </w:style>
  <w:style w:type="paragraph" w:customStyle="1" w:styleId="286">
    <w:name w:val="标题3"/>
    <w:basedOn w:val="2"/>
    <w:qFormat/>
    <w:uiPriority w:val="0"/>
    <w:pPr>
      <w:spacing w:beforeLines="50" w:after="0" w:line="312" w:lineRule="auto"/>
      <w:jc w:val="center"/>
    </w:pPr>
    <w:rPr>
      <w:rFonts w:ascii="宋体"/>
      <w:bCs w:val="0"/>
      <w:sz w:val="24"/>
      <w:szCs w:val="20"/>
    </w:rPr>
  </w:style>
  <w:style w:type="paragraph" w:customStyle="1" w:styleId="287">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88">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89">
    <w:name w:val="Char1"/>
    <w:basedOn w:val="1"/>
    <w:qFormat/>
    <w:uiPriority w:val="0"/>
    <w:rPr>
      <w:rFonts w:ascii="仿宋_GB2312" w:eastAsia="仿宋_GB2312"/>
      <w:b/>
      <w:sz w:val="32"/>
      <w:szCs w:val="32"/>
    </w:rPr>
  </w:style>
  <w:style w:type="paragraph" w:customStyle="1" w:styleId="290">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1">
    <w:name w:val="样式 纯文本 + 居中 行距: 最小值 9 磅"/>
    <w:basedOn w:val="26"/>
    <w:qFormat/>
    <w:uiPriority w:val="0"/>
    <w:pPr>
      <w:spacing w:line="180" w:lineRule="atLeast"/>
      <w:jc w:val="left"/>
    </w:pPr>
    <w:rPr>
      <w:rFonts w:cs="宋体"/>
      <w:sz w:val="24"/>
      <w:szCs w:val="20"/>
    </w:rPr>
  </w:style>
  <w:style w:type="paragraph" w:customStyle="1" w:styleId="292">
    <w:name w:val="Char Char Char Char Char Char Char Char Char Char Char Char Char"/>
    <w:basedOn w:val="1"/>
    <w:qFormat/>
    <w:uiPriority w:val="0"/>
    <w:rPr>
      <w:rFonts w:ascii="仿宋_GB2312" w:eastAsia="仿宋_GB2312"/>
      <w:b/>
      <w:sz w:val="32"/>
      <w:szCs w:val="32"/>
    </w:rPr>
  </w:style>
  <w:style w:type="paragraph" w:customStyle="1" w:styleId="293">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4">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95">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296">
    <w:name w:val="tableau"/>
    <w:basedOn w:val="1"/>
    <w:qFormat/>
    <w:uiPriority w:val="0"/>
    <w:pPr>
      <w:spacing w:before="20" w:after="20"/>
      <w:jc w:val="center"/>
    </w:pPr>
    <w:rPr>
      <w:rFonts w:ascii="Arial" w:hAnsi="Arial"/>
      <w:kern w:val="0"/>
      <w:sz w:val="16"/>
      <w:szCs w:val="20"/>
      <w:lang w:val="en-GB"/>
    </w:rPr>
  </w:style>
  <w:style w:type="paragraph" w:customStyle="1" w:styleId="297">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98">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299">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00">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01">
    <w:name w:val="样式 宋体 小四 黑色 左 行距: 1.5 倍行距"/>
    <w:basedOn w:val="1"/>
    <w:qFormat/>
    <w:uiPriority w:val="0"/>
    <w:pPr>
      <w:jc w:val="left"/>
    </w:pPr>
    <w:rPr>
      <w:rFonts w:ascii="宋体" w:hAnsi="宋体" w:cs="宋体"/>
      <w:color w:val="000000"/>
      <w:sz w:val="24"/>
      <w:szCs w:val="20"/>
    </w:rPr>
  </w:style>
  <w:style w:type="paragraph" w:customStyle="1" w:styleId="302">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3">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304">
    <w:name w:val="Tétière"/>
    <w:basedOn w:val="1"/>
    <w:qFormat/>
    <w:uiPriority w:val="0"/>
    <w:pPr>
      <w:spacing w:before="60" w:after="60"/>
      <w:jc w:val="center"/>
    </w:pPr>
    <w:rPr>
      <w:rFonts w:ascii="Arial" w:hAnsi="Arial"/>
      <w:b/>
      <w:kern w:val="0"/>
      <w:sz w:val="16"/>
      <w:szCs w:val="20"/>
      <w:lang w:val="en-GB"/>
    </w:rPr>
  </w:style>
  <w:style w:type="paragraph" w:customStyle="1" w:styleId="305">
    <w:name w:val="目录 81"/>
    <w:basedOn w:val="1"/>
    <w:next w:val="1"/>
    <w:qFormat/>
    <w:uiPriority w:val="39"/>
    <w:pPr>
      <w:ind w:left="2940" w:leftChars="1400"/>
    </w:pPr>
    <w:rPr>
      <w:rFonts w:ascii="Calibri" w:hAnsi="Calibri"/>
      <w:szCs w:val="22"/>
    </w:rPr>
  </w:style>
  <w:style w:type="paragraph" w:customStyle="1" w:styleId="306">
    <w:name w:val="样式1"/>
    <w:basedOn w:val="33"/>
    <w:qFormat/>
    <w:uiPriority w:val="0"/>
    <w:pPr>
      <w:autoSpaceDE w:val="0"/>
      <w:autoSpaceDN w:val="0"/>
      <w:adjustRightInd w:val="0"/>
      <w:snapToGrid/>
      <w:textAlignment w:val="baseline"/>
    </w:pPr>
    <w:rPr>
      <w:rFonts w:ascii="宋体"/>
      <w:kern w:val="0"/>
      <w:szCs w:val="20"/>
    </w:rPr>
  </w:style>
  <w:style w:type="paragraph" w:customStyle="1" w:styleId="307">
    <w:name w:val="Char Char Char Char Char Char Char Char Char Char"/>
    <w:basedOn w:val="1"/>
    <w:qFormat/>
    <w:uiPriority w:val="0"/>
    <w:rPr>
      <w:rFonts w:ascii="Tahoma" w:hAnsi="Tahoma" w:cs="仿宋_GB2312"/>
      <w:sz w:val="24"/>
      <w:szCs w:val="20"/>
    </w:rPr>
  </w:style>
  <w:style w:type="paragraph" w:customStyle="1" w:styleId="308">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309">
    <w:name w:val="Char4"/>
    <w:basedOn w:val="1"/>
    <w:qFormat/>
    <w:uiPriority w:val="0"/>
  </w:style>
  <w:style w:type="paragraph" w:customStyle="1" w:styleId="310">
    <w:name w:val="目录 41"/>
    <w:basedOn w:val="1"/>
    <w:next w:val="1"/>
    <w:qFormat/>
    <w:uiPriority w:val="39"/>
    <w:pPr>
      <w:ind w:left="1260" w:leftChars="600"/>
    </w:pPr>
    <w:rPr>
      <w:rFonts w:ascii="Calibri" w:hAnsi="Calibri"/>
      <w:szCs w:val="22"/>
    </w:rPr>
  </w:style>
  <w:style w:type="paragraph" w:customStyle="1" w:styleId="311">
    <w:name w:val="cucd-0"/>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312">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13">
    <w:name w:val="1.1"/>
    <w:basedOn w:val="3"/>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314">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315">
    <w:name w:val="文件正文"/>
    <w:basedOn w:val="1"/>
    <w:qFormat/>
    <w:uiPriority w:val="0"/>
    <w:pPr>
      <w:ind w:firstLine="480"/>
    </w:pPr>
    <w:rPr>
      <w:rFonts w:eastAsia="仿宋_GB2312"/>
      <w:sz w:val="24"/>
      <w:szCs w:val="20"/>
    </w:rPr>
  </w:style>
  <w:style w:type="paragraph" w:customStyle="1" w:styleId="316">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317">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18">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19">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20">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1">
    <w:name w:val="通用专用"/>
    <w:basedOn w:val="1"/>
    <w:qFormat/>
    <w:uiPriority w:val="0"/>
    <w:pPr>
      <w:jc w:val="center"/>
    </w:pPr>
    <w:rPr>
      <w:rFonts w:ascii="宋体"/>
      <w:b/>
      <w:sz w:val="36"/>
      <w:szCs w:val="20"/>
    </w:rPr>
  </w:style>
  <w:style w:type="paragraph" w:customStyle="1" w:styleId="322">
    <w:name w:val="Char Char Char Char Char Char Char Char Char Char Char Char Char1"/>
    <w:basedOn w:val="1"/>
    <w:qFormat/>
    <w:uiPriority w:val="0"/>
    <w:rPr>
      <w:rFonts w:ascii="仿宋_GB2312" w:eastAsia="仿宋_GB2312"/>
      <w:b/>
      <w:sz w:val="32"/>
      <w:szCs w:val="32"/>
    </w:rPr>
  </w:style>
  <w:style w:type="paragraph" w:customStyle="1" w:styleId="323">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324">
    <w:name w:val="TOC 标题1"/>
    <w:basedOn w:val="2"/>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325">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326">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27">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328">
    <w:name w:val="目录 61"/>
    <w:basedOn w:val="1"/>
    <w:next w:val="1"/>
    <w:qFormat/>
    <w:uiPriority w:val="39"/>
    <w:pPr>
      <w:ind w:left="2100" w:leftChars="1000"/>
    </w:pPr>
    <w:rPr>
      <w:rFonts w:ascii="Calibri" w:hAnsi="Calibri"/>
      <w:szCs w:val="22"/>
    </w:rPr>
  </w:style>
  <w:style w:type="paragraph" w:customStyle="1" w:styleId="329">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30">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1">
    <w:name w:val="样式 样式 标题 3 + 仿宋_GB2312 小四 段前: 0 磅 段后: 0 磅 + 段前: 0.5 行"/>
    <w:basedOn w:val="332"/>
    <w:qFormat/>
    <w:uiPriority w:val="0"/>
    <w:pPr>
      <w:spacing w:afterLines="50"/>
      <w:jc w:val="both"/>
    </w:pPr>
    <w:rPr>
      <w:rFonts w:ascii="宋体" w:eastAsia="宋体"/>
      <w:b w:val="0"/>
    </w:rPr>
  </w:style>
  <w:style w:type="paragraph" w:customStyle="1" w:styleId="332">
    <w:name w:val="样式 标题 3 + 仿宋_GB2312 小四 段前: 0 磅 段后: 0 磅"/>
    <w:basedOn w:val="4"/>
    <w:qFormat/>
    <w:uiPriority w:val="0"/>
    <w:pPr>
      <w:spacing w:beforeLines="50" w:after="0" w:line="413" w:lineRule="auto"/>
      <w:jc w:val="center"/>
    </w:pPr>
    <w:rPr>
      <w:rFonts w:ascii="仿宋_GB2312" w:eastAsia="仿宋_GB2312" w:cs="宋体"/>
      <w:kern w:val="0"/>
      <w:szCs w:val="20"/>
    </w:rPr>
  </w:style>
  <w:style w:type="paragraph" w:customStyle="1" w:styleId="333">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34">
    <w:name w:val="青岛正文"/>
    <w:basedOn w:val="1"/>
    <w:qFormat/>
    <w:uiPriority w:val="0"/>
    <w:rPr>
      <w:sz w:val="28"/>
    </w:rPr>
  </w:style>
  <w:style w:type="paragraph" w:customStyle="1" w:styleId="335">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36">
    <w:name w:val="样式 标题 3 + (中文) 黑体 小四 非加粗 段前: 7.8 磅 段后: 0 磅 行距: 固定值 20 磅"/>
    <w:basedOn w:val="4"/>
    <w:qFormat/>
    <w:uiPriority w:val="0"/>
    <w:pPr>
      <w:spacing w:before="0" w:after="0" w:line="400" w:lineRule="exact"/>
    </w:pPr>
    <w:rPr>
      <w:rFonts w:eastAsia="黑体" w:cs="宋体"/>
      <w:b w:val="0"/>
      <w:bCs w:val="0"/>
      <w:szCs w:val="20"/>
    </w:rPr>
  </w:style>
  <w:style w:type="paragraph" w:customStyle="1" w:styleId="337">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38">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339">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0">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1">
    <w:name w:val="Report Level 2"/>
    <w:basedOn w:val="238"/>
    <w:next w:val="104"/>
    <w:qFormat/>
    <w:uiPriority w:val="0"/>
    <w:pPr>
      <w:ind w:left="0" w:firstLine="0"/>
      <w:outlineLvl w:val="1"/>
    </w:pPr>
    <w:rPr>
      <w:caps w:val="0"/>
    </w:rPr>
  </w:style>
  <w:style w:type="paragraph" w:styleId="342">
    <w:name w:val="List Paragraph"/>
    <w:basedOn w:val="1"/>
    <w:qFormat/>
    <w:uiPriority w:val="34"/>
    <w:pPr>
      <w:ind w:firstLine="420"/>
    </w:pPr>
  </w:style>
  <w:style w:type="paragraph" w:customStyle="1" w:styleId="343">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44">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5">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6">
    <w:name w:val="样式 宋体 小四 首行缩进:  0.93 厘米 段前: 11.15 磅 段后: 11.15 磅1"/>
    <w:basedOn w:val="196"/>
    <w:next w:val="196"/>
    <w:qFormat/>
    <w:uiPriority w:val="99"/>
    <w:rPr>
      <w:rFonts w:ascii="宋体"/>
      <w:color w:val="auto"/>
    </w:rPr>
  </w:style>
  <w:style w:type="paragraph" w:customStyle="1" w:styleId="347">
    <w:name w:val="纯文本1"/>
    <w:basedOn w:val="1"/>
    <w:qFormat/>
    <w:uiPriority w:val="0"/>
    <w:rPr>
      <w:rFonts w:ascii="宋体" w:hAnsi="Courier New" w:cs="Courier New"/>
      <w:szCs w:val="21"/>
    </w:rPr>
  </w:style>
  <w:style w:type="paragraph" w:customStyle="1" w:styleId="348">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49">
    <w:name w:val="目录 21"/>
    <w:basedOn w:val="1"/>
    <w:next w:val="1"/>
    <w:qFormat/>
    <w:uiPriority w:val="39"/>
    <w:pPr>
      <w:tabs>
        <w:tab w:val="right" w:leader="dot" w:pos="8295"/>
      </w:tabs>
      <w:ind w:left="205" w:leftChars="205"/>
    </w:pPr>
  </w:style>
  <w:style w:type="paragraph" w:customStyle="1" w:styleId="350">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351">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2">
    <w:name w:val="青岛标题4"/>
    <w:basedOn w:val="5"/>
    <w:qFormat/>
    <w:uiPriority w:val="0"/>
    <w:pPr>
      <w:spacing w:line="500" w:lineRule="atLeast"/>
      <w:jc w:val="left"/>
      <w:outlineLvl w:val="2"/>
    </w:pPr>
    <w:rPr>
      <w:rFonts w:eastAsia="宋体"/>
      <w:sz w:val="30"/>
    </w:rPr>
  </w:style>
  <w:style w:type="paragraph" w:customStyle="1" w:styleId="353">
    <w:name w:val="样式3"/>
    <w:basedOn w:val="33"/>
    <w:qFormat/>
    <w:uiPriority w:val="0"/>
    <w:pPr>
      <w:autoSpaceDE w:val="0"/>
      <w:autoSpaceDN w:val="0"/>
      <w:adjustRightInd w:val="0"/>
      <w:snapToGrid/>
      <w:textAlignment w:val="baseline"/>
    </w:pPr>
    <w:rPr>
      <w:rFonts w:ascii="宋体"/>
      <w:kern w:val="0"/>
      <w:szCs w:val="20"/>
    </w:rPr>
  </w:style>
  <w:style w:type="paragraph" w:customStyle="1" w:styleId="354">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55">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56">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58">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59">
    <w:name w:val="样式 (西文) 宋体 行距: 1.5 倍行距"/>
    <w:basedOn w:val="1"/>
    <w:qFormat/>
    <w:uiPriority w:val="0"/>
    <w:rPr>
      <w:rFonts w:ascii="宋体" w:hAnsi="宋体" w:cs="宋体"/>
      <w:szCs w:val="20"/>
    </w:rPr>
  </w:style>
  <w:style w:type="paragraph" w:customStyle="1" w:styleId="360">
    <w:name w:val="Retrait 1"/>
    <w:basedOn w:val="14"/>
    <w:qFormat/>
    <w:uiPriority w:val="0"/>
    <w:pPr>
      <w:spacing w:after="240"/>
      <w:ind w:left="1134" w:firstLine="0" w:firstLineChars="0"/>
      <w:jc w:val="left"/>
    </w:pPr>
    <w:rPr>
      <w:rFonts w:ascii="Palatino" w:hAnsi="Palatino"/>
      <w:kern w:val="0"/>
      <w:sz w:val="24"/>
      <w:szCs w:val="20"/>
      <w:lang w:val="en-GB"/>
    </w:rPr>
  </w:style>
  <w:style w:type="paragraph" w:customStyle="1" w:styleId="361">
    <w:name w:val="Report Level 3"/>
    <w:basedOn w:val="238"/>
    <w:next w:val="104"/>
    <w:qFormat/>
    <w:uiPriority w:val="0"/>
    <w:pPr>
      <w:tabs>
        <w:tab w:val="clear" w:pos="1080"/>
      </w:tabs>
      <w:ind w:left="0" w:firstLine="0"/>
      <w:jc w:val="both"/>
      <w:outlineLvl w:val="2"/>
    </w:pPr>
    <w:rPr>
      <w:b w:val="0"/>
      <w:caps w:val="0"/>
      <w:sz w:val="22"/>
    </w:rPr>
  </w:style>
  <w:style w:type="paragraph" w:customStyle="1" w:styleId="362">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63">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64">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365">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6">
    <w:name w:val="Char Char Char Char Char Char Char Char Char Char Char Char"/>
    <w:basedOn w:val="1"/>
    <w:qFormat/>
    <w:uiPriority w:val="0"/>
    <w:rPr>
      <w:rFonts w:ascii="Tahoma" w:hAnsi="Tahoma"/>
      <w:sz w:val="24"/>
      <w:szCs w:val="20"/>
    </w:rPr>
  </w:style>
  <w:style w:type="paragraph" w:customStyle="1" w:styleId="367">
    <w:name w:val="标题 41"/>
    <w:basedOn w:val="1"/>
    <w:qFormat/>
    <w:uiPriority w:val="1"/>
    <w:pPr>
      <w:ind w:left="522"/>
      <w:jc w:val="left"/>
      <w:outlineLvl w:val="4"/>
    </w:pPr>
    <w:rPr>
      <w:rFonts w:eastAsia="Times New Roman"/>
      <w:b/>
      <w:bCs/>
      <w:kern w:val="0"/>
      <w:szCs w:val="21"/>
      <w:lang w:eastAsia="en-US"/>
    </w:rPr>
  </w:style>
  <w:style w:type="paragraph" w:customStyle="1" w:styleId="368">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69">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70">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71">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72">
    <w:name w:val="合同书"/>
    <w:basedOn w:val="1"/>
    <w:qFormat/>
    <w:uiPriority w:val="0"/>
    <w:pPr>
      <w:jc w:val="center"/>
    </w:pPr>
    <w:rPr>
      <w:b/>
      <w:sz w:val="36"/>
      <w:szCs w:val="20"/>
    </w:rPr>
  </w:style>
  <w:style w:type="paragraph" w:customStyle="1" w:styleId="373">
    <w:name w:val="修订1"/>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74">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375">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376">
    <w:name w:val="Char Char Char Char Char1 Char"/>
    <w:basedOn w:val="1"/>
    <w:qFormat/>
    <w:uiPriority w:val="0"/>
    <w:pPr>
      <w:adjustRightInd w:val="0"/>
    </w:pPr>
    <w:rPr>
      <w:rFonts w:eastAsia="黑体"/>
      <w:spacing w:val="20"/>
      <w:sz w:val="32"/>
      <w:szCs w:val="32"/>
    </w:rPr>
  </w:style>
  <w:style w:type="paragraph" w:customStyle="1" w:styleId="377">
    <w:name w:val="批注主题 Char Char"/>
    <w:basedOn w:val="18"/>
    <w:next w:val="18"/>
    <w:qFormat/>
    <w:uiPriority w:val="0"/>
    <w:rPr>
      <w:b/>
      <w:szCs w:val="20"/>
    </w:rPr>
  </w:style>
  <w:style w:type="paragraph" w:customStyle="1" w:styleId="378">
    <w:name w:val="正文段"/>
    <w:basedOn w:val="1"/>
    <w:qFormat/>
    <w:uiPriority w:val="0"/>
    <w:pPr>
      <w:snapToGrid w:val="0"/>
      <w:spacing w:afterLines="50"/>
    </w:pPr>
    <w:rPr>
      <w:kern w:val="0"/>
      <w:sz w:val="24"/>
      <w:szCs w:val="20"/>
    </w:rPr>
  </w:style>
  <w:style w:type="paragraph" w:customStyle="1" w:styleId="379">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80">
    <w:name w:val="条文 表"/>
    <w:next w:val="1"/>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381">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2">
    <w:name w:val="目录 71"/>
    <w:basedOn w:val="1"/>
    <w:next w:val="1"/>
    <w:qFormat/>
    <w:uiPriority w:val="39"/>
    <w:pPr>
      <w:ind w:left="2520" w:leftChars="1200"/>
    </w:pPr>
    <w:rPr>
      <w:rFonts w:ascii="Calibri" w:hAnsi="Calibri"/>
      <w:szCs w:val="22"/>
    </w:rPr>
  </w:style>
  <w:style w:type="paragraph" w:customStyle="1" w:styleId="383">
    <w:name w:val="TOC 标题2"/>
    <w:basedOn w:val="2"/>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84">
    <w:name w:val="青岛标题3"/>
    <w:basedOn w:val="4"/>
    <w:qFormat/>
    <w:uiPriority w:val="0"/>
    <w:pPr>
      <w:spacing w:line="500" w:lineRule="exact"/>
      <w:jc w:val="left"/>
      <w:outlineLvl w:val="1"/>
    </w:pPr>
  </w:style>
  <w:style w:type="paragraph" w:customStyle="1" w:styleId="385">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86">
    <w:name w:val="样式5"/>
    <w:basedOn w:val="1"/>
    <w:qFormat/>
    <w:uiPriority w:val="0"/>
    <w:pPr>
      <w:tabs>
        <w:tab w:val="left" w:pos="547"/>
        <w:tab w:val="left" w:pos="1080"/>
      </w:tabs>
      <w:spacing w:line="480" w:lineRule="atLeast"/>
      <w:jc w:val="center"/>
    </w:pPr>
    <w:rPr>
      <w:b/>
      <w:sz w:val="24"/>
    </w:rPr>
  </w:style>
  <w:style w:type="paragraph" w:customStyle="1" w:styleId="387">
    <w:name w:val="字元 字元 Char Char Char Char Char Char Char"/>
    <w:basedOn w:val="1"/>
    <w:qFormat/>
    <w:uiPriority w:val="0"/>
    <w:rPr>
      <w:rFonts w:ascii="Tahoma" w:hAnsi="Tahoma" w:cs="仿宋_GB2312"/>
      <w:sz w:val="24"/>
      <w:szCs w:val="20"/>
    </w:rPr>
  </w:style>
  <w:style w:type="paragraph" w:customStyle="1" w:styleId="388">
    <w:name w:val="样式 表格 + 加粗"/>
    <w:basedOn w:val="101"/>
    <w:qFormat/>
    <w:uiPriority w:val="0"/>
    <w:rPr>
      <w:b/>
      <w:bCs/>
    </w:rPr>
  </w:style>
  <w:style w:type="paragraph" w:customStyle="1" w:styleId="389">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table" w:customStyle="1" w:styleId="390">
    <w:name w:val="Table Normal"/>
    <w:unhideWhenUsed/>
    <w:qFormat/>
    <w:uiPriority w:val="2"/>
    <w:pPr>
      <w:widowControl w:val="0"/>
      <w:spacing w:line="360" w:lineRule="auto"/>
      <w:ind w:firstLine="420"/>
      <w:jc w:val="both"/>
    </w:pPr>
    <w:rPr>
      <w:rFonts w:ascii="Calibri" w:hAnsi="Calibri"/>
      <w:sz w:val="22"/>
      <w:lang w:eastAsia="en-US"/>
    </w:rPr>
    <w:tblPr>
      <w:tblCellMar>
        <w:top w:w="0" w:type="dxa"/>
        <w:left w:w="0" w:type="dxa"/>
        <w:bottom w:w="0" w:type="dxa"/>
        <w:right w:w="0" w:type="dxa"/>
      </w:tblCellMar>
    </w:tblPr>
  </w:style>
  <w:style w:type="paragraph" w:customStyle="1" w:styleId="391">
    <w:name w:val="WPSOffice手动目录 1"/>
    <w:qFormat/>
    <w:uiPriority w:val="0"/>
    <w:rPr>
      <w:rFonts w:ascii="Times New Roman" w:hAnsi="Times New Roman" w:eastAsia="宋体" w:cs="Times New Roman"/>
      <w:lang w:val="en-US" w:eastAsia="zh-CN" w:bidi="ar-SA"/>
    </w:rPr>
  </w:style>
  <w:style w:type="paragraph" w:customStyle="1" w:styleId="39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93">
    <w:name w:val="font51"/>
    <w:qFormat/>
    <w:uiPriority w:val="0"/>
    <w:rPr>
      <w:rFonts w:hint="default" w:ascii="Calibri" w:hAnsi="Calibri" w:cs="Calibri"/>
      <w:color w:val="000000"/>
      <w:sz w:val="21"/>
      <w:szCs w:val="21"/>
      <w:u w:val="none"/>
    </w:rPr>
  </w:style>
  <w:style w:type="character" w:customStyle="1" w:styleId="394">
    <w:name w:val="font21"/>
    <w:basedOn w:val="52"/>
    <w:qFormat/>
    <w:uiPriority w:val="0"/>
    <w:rPr>
      <w:rFonts w:hint="eastAsia" w:ascii="宋体" w:hAnsi="宋体" w:eastAsia="宋体"/>
      <w:color w:val="000000"/>
      <w:sz w:val="22"/>
      <w:szCs w:val="22"/>
      <w:u w:val="none"/>
    </w:rPr>
  </w:style>
  <w:style w:type="character" w:customStyle="1" w:styleId="395">
    <w:name w:val="font41"/>
    <w:basedOn w:val="52"/>
    <w:qFormat/>
    <w:uiPriority w:val="0"/>
    <w:rPr>
      <w:rFonts w:hint="eastAsia" w:ascii="等线" w:hAnsi="等线" w:eastAsia="等线"/>
      <w:color w:val="FF0000"/>
      <w:sz w:val="20"/>
      <w:szCs w:val="20"/>
      <w:u w:val="none"/>
    </w:rPr>
  </w:style>
  <w:style w:type="paragraph" w:customStyle="1" w:styleId="396">
    <w:name w:val="修订2"/>
    <w:hidden/>
    <w:qFormat/>
    <w:uiPriority w:val="99"/>
    <w:rPr>
      <w:rFonts w:ascii="Times New Roman" w:hAnsi="Times New Roman" w:eastAsia="宋体" w:cs="Times New Roman"/>
      <w:kern w:val="2"/>
      <w:sz w:val="21"/>
      <w:szCs w:val="24"/>
      <w:lang w:val="en-US" w:eastAsia="zh-CN" w:bidi="ar-SA"/>
    </w:rPr>
  </w:style>
  <w:style w:type="character" w:customStyle="1" w:styleId="397">
    <w:name w:val="未处理的提及11"/>
    <w:unhideWhenUsed/>
    <w:qFormat/>
    <w:uiPriority w:val="99"/>
    <w:rPr>
      <w:color w:val="605E5C"/>
      <w:shd w:val="clear" w:color="auto" w:fill="E1DFDD"/>
    </w:rPr>
  </w:style>
  <w:style w:type="paragraph" w:customStyle="1" w:styleId="398">
    <w:name w:val="TOC 标题21"/>
    <w:basedOn w:val="2"/>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99">
    <w:name w:val="修订21"/>
    <w:hidden/>
    <w:semiHidden/>
    <w:qFormat/>
    <w:uiPriority w:val="99"/>
    <w:rPr>
      <w:rFonts w:ascii="Times New Roman" w:hAnsi="Times New Roman" w:eastAsia="宋体" w:cs="Times New Roman"/>
      <w:kern w:val="2"/>
      <w:sz w:val="21"/>
      <w:szCs w:val="24"/>
      <w:lang w:val="en-US" w:eastAsia="zh-CN" w:bidi="ar-SA"/>
    </w:rPr>
  </w:style>
  <w:style w:type="character" w:customStyle="1" w:styleId="400">
    <w:name w:val="font31"/>
    <w:basedOn w:val="52"/>
    <w:qFormat/>
    <w:uiPriority w:val="0"/>
    <w:rPr>
      <w:rFonts w:hint="eastAsia" w:ascii="宋体" w:hAnsi="宋体" w:eastAsia="宋体" w:cs="宋体"/>
      <w:color w:val="000000"/>
      <w:sz w:val="20"/>
      <w:szCs w:val="20"/>
      <w:u w:val="none"/>
    </w:rPr>
  </w:style>
  <w:style w:type="paragraph" w:customStyle="1" w:styleId="401">
    <w:name w:val="Revision"/>
    <w:hidden/>
    <w:unhideWhenUsed/>
    <w:qFormat/>
    <w:uiPriority w:val="99"/>
    <w:rPr>
      <w:rFonts w:ascii="Times New Roman" w:hAnsi="Times New Roman" w:eastAsia="宋体" w:cs="Times New Roman"/>
      <w:kern w:val="2"/>
      <w:sz w:val="21"/>
      <w:szCs w:val="24"/>
      <w:lang w:val="en-US" w:eastAsia="zh-CN" w:bidi="ar-SA"/>
    </w:rPr>
  </w:style>
  <w:style w:type="table" w:customStyle="1" w:styleId="402">
    <w:name w:val="网格型2"/>
    <w:basedOn w:val="50"/>
    <w:qFormat/>
    <w:uiPriority w:val="0"/>
    <w:pPr>
      <w:widowControl w:val="0"/>
      <w:jc w:val="both"/>
    </w:pPr>
    <w:rPr>
      <w:rFonts w:eastAsia="宋体"/>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DE04025D-489B-4A8E-9E95-E2060C301897}">
  <ds:schemaRefs/>
</ds:datastoreItem>
</file>

<file path=docProps/app.xml><?xml version="1.0" encoding="utf-8"?>
<Properties xmlns="http://schemas.openxmlformats.org/officeDocument/2006/extended-properties" xmlns:vt="http://schemas.openxmlformats.org/officeDocument/2006/docPropsVTypes">
  <Template>Normal</Template>
  <Pages>15</Pages>
  <Words>8625</Words>
  <Characters>9068</Characters>
  <Lines>163</Lines>
  <Paragraphs>46</Paragraphs>
  <TotalTime>19</TotalTime>
  <ScaleCrop>false</ScaleCrop>
  <LinksUpToDate>false</LinksUpToDate>
  <CharactersWithSpaces>9107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2026-03-25T11:07:00Z</dcterms:created>
  <dc:creator>huanghaoyi</dc:creator>
  <cp:lastModifiedBy>實誠</cp:lastModifiedBy>
  <dcterms:modified xsi:type="dcterms:W3CDTF">2026-08-20T15:44:34Z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eyJoZGlkIjoiMzEwNTM5NzYwMDRjMzkwZTVkZjY2ODkwMGIxNGU0OTUiLCJ1c2VySWQiOiI3NTYyNzUwMTcifQ==</vt:lpwstr>
  </property>
  <property fmtid="{D5CDD505-2E9C-101B-9397-08002B2CF9AE}" pid="3" name="KSOProductBuildVer">
    <vt:lpwstr>2052-12.1.2.25882</vt:lpwstr>
  </property>
  <property fmtid="{D5CDD505-2E9C-101B-9397-08002B2CF9AE}" pid="4" name="ICV">
    <vt:lpwstr>30390F8CCFB849289FA544E18AF7DDFA_13</vt:lpwstr>
  </property>
</Properties>
</file>