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center"/>
        <w:rPr>
          <w:rFonts w:hint="eastAsia" w:ascii="宋体" w:hAnsi="宋体" w:eastAsia="宋体" w:cs="宋体"/>
          <w:b/>
          <w:sz w:val="40"/>
          <w:szCs w:val="40"/>
        </w:rPr>
      </w:pPr>
      <w:bookmarkStart w:id="19" w:name="_GoBack"/>
      <w:r>
        <w:rPr>
          <w:rFonts w:hint="eastAsia" w:ascii="宋体" w:hAnsi="宋体" w:eastAsia="宋体" w:cs="宋体"/>
          <w:b/>
          <w:sz w:val="40"/>
          <w:szCs w:val="40"/>
        </w:rPr>
        <w:t>龙岗区城市轨道交通近期重点发展规划研究</w:t>
      </w:r>
    </w:p>
    <w:p>
      <w:pPr>
        <w:spacing w:line="240" w:lineRule="auto"/>
        <w:ind w:firstLine="0" w:firstLineChars="0"/>
        <w:jc w:val="center"/>
        <w:rPr>
          <w:rFonts w:ascii="宋体" w:hAnsi="宋体" w:eastAsia="宋体" w:cs="宋体"/>
          <w:b/>
          <w:sz w:val="40"/>
          <w:szCs w:val="40"/>
        </w:rPr>
      </w:pPr>
      <w:r>
        <w:rPr>
          <w:rFonts w:hint="eastAsia" w:ascii="宋体" w:hAnsi="宋体" w:eastAsia="宋体" w:cs="宋体"/>
          <w:b/>
          <w:sz w:val="40"/>
          <w:szCs w:val="40"/>
          <w:lang w:val="en-US" w:eastAsia="zh-CN"/>
        </w:rPr>
        <w:t>项目</w:t>
      </w:r>
      <w:r>
        <w:rPr>
          <w:rFonts w:hint="eastAsia" w:ascii="宋体" w:hAnsi="宋体" w:eastAsia="宋体" w:cs="宋体"/>
          <w:b/>
          <w:sz w:val="40"/>
          <w:szCs w:val="40"/>
        </w:rPr>
        <w:t>自行采购综合评分表</w:t>
      </w:r>
    </w:p>
    <w:bookmarkEnd w:id="19"/>
    <w:p>
      <w:pPr>
        <w:spacing w:line="240" w:lineRule="auto"/>
        <w:ind w:firstLine="640"/>
        <w:jc w:val="left"/>
        <w:rPr>
          <w:rFonts w:ascii="仿宋_GB2312" w:hAnsi="宋体" w:cs="宋体"/>
          <w:szCs w:val="32"/>
        </w:rPr>
      </w:pPr>
      <w:r>
        <w:rPr>
          <w:rFonts w:hint="eastAsia" w:ascii="仿宋_GB2312" w:hAnsi="宋体" w:cs="宋体"/>
          <w:szCs w:val="32"/>
        </w:rPr>
        <w:t>项目名称：龙岗区城市轨道交通近期重点发展规划研究</w:t>
      </w:r>
    </w:p>
    <w:p>
      <w:pPr>
        <w:spacing w:line="240" w:lineRule="auto"/>
        <w:ind w:firstLine="640"/>
        <w:jc w:val="left"/>
        <w:rPr>
          <w:rFonts w:ascii="仿宋_GB2312" w:hAnsi="宋体" w:cs="宋体"/>
          <w:szCs w:val="32"/>
        </w:rPr>
      </w:pPr>
      <w:r>
        <w:rPr>
          <w:rFonts w:hint="eastAsia" w:ascii="仿宋_GB2312" w:hAnsi="宋体" w:cs="宋体"/>
          <w:szCs w:val="32"/>
        </w:rPr>
        <w:t>供应商：</w:t>
      </w:r>
    </w:p>
    <w:p>
      <w:pPr>
        <w:spacing w:line="240" w:lineRule="auto"/>
        <w:ind w:firstLine="640"/>
        <w:jc w:val="left"/>
        <w:rPr>
          <w:rFonts w:ascii="仿宋_GB2312" w:hAnsi="宋体" w:cs="宋体"/>
          <w:szCs w:val="32"/>
        </w:rPr>
      </w:pPr>
      <w:r>
        <w:rPr>
          <w:rFonts w:hint="eastAsia" w:ascii="仿宋_GB2312" w:hAnsi="宋体" w:cs="宋体"/>
          <w:szCs w:val="32"/>
        </w:rPr>
        <w:t>评分方法：综合评分法</w:t>
      </w:r>
    </w:p>
    <w:tbl>
      <w:tblPr>
        <w:tblStyle w:val="1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850"/>
        <w:gridCol w:w="992"/>
        <w:gridCol w:w="4395"/>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4077" w:type="dxa"/>
            <w:gridSpan w:val="4"/>
            <w:vAlign w:val="center"/>
          </w:tcPr>
          <w:p>
            <w:pPr>
              <w:spacing w:line="240" w:lineRule="auto"/>
              <w:ind w:firstLine="562"/>
              <w:jc w:val="center"/>
              <w:rPr>
                <w:rFonts w:ascii="宋体" w:hAnsi="宋体" w:eastAsia="宋体" w:cs="宋体"/>
                <w:b/>
                <w:sz w:val="28"/>
                <w:szCs w:val="24"/>
              </w:rPr>
            </w:pPr>
            <w:r>
              <w:rPr>
                <w:rFonts w:hint="eastAsia" w:ascii="宋体" w:hAnsi="宋体" w:eastAsia="宋体" w:cs="宋体"/>
                <w:b/>
                <w:sz w:val="28"/>
                <w:szCs w:val="24"/>
              </w:rPr>
              <w:t>评分项</w:t>
            </w:r>
          </w:p>
        </w:tc>
        <w:tc>
          <w:tcPr>
            <w:tcW w:w="4395" w:type="dxa"/>
            <w:vAlign w:val="center"/>
          </w:tcPr>
          <w:p>
            <w:pPr>
              <w:spacing w:line="240" w:lineRule="auto"/>
              <w:ind w:firstLine="562"/>
              <w:jc w:val="center"/>
              <w:rPr>
                <w:rFonts w:ascii="宋体" w:hAnsi="宋体" w:eastAsia="宋体" w:cs="宋体"/>
                <w:b/>
                <w:sz w:val="28"/>
                <w:szCs w:val="24"/>
              </w:rPr>
            </w:pPr>
            <w:r>
              <w:rPr>
                <w:rFonts w:hint="eastAsia" w:ascii="宋体" w:hAnsi="宋体" w:eastAsia="宋体" w:cs="宋体"/>
                <w:b/>
                <w:sz w:val="28"/>
                <w:szCs w:val="24"/>
              </w:rPr>
              <w:t>权重</w:t>
            </w:r>
          </w:p>
        </w:tc>
        <w:tc>
          <w:tcPr>
            <w:tcW w:w="850"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8"/>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4077" w:type="dxa"/>
            <w:gridSpan w:val="4"/>
            <w:vAlign w:val="center"/>
          </w:tcPr>
          <w:p>
            <w:pPr>
              <w:spacing w:line="240" w:lineRule="auto"/>
              <w:ind w:firstLine="482"/>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一、价格部分</w:t>
            </w:r>
          </w:p>
        </w:tc>
        <w:tc>
          <w:tcPr>
            <w:tcW w:w="4395" w:type="dxa"/>
            <w:vAlign w:val="center"/>
          </w:tcPr>
          <w:p>
            <w:pPr>
              <w:spacing w:line="240" w:lineRule="auto"/>
              <w:ind w:firstLine="482"/>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30</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17" w:type="dxa"/>
            <w:vAlign w:val="center"/>
          </w:tcPr>
          <w:p>
            <w:pPr>
              <w:spacing w:line="240" w:lineRule="auto"/>
              <w:ind w:firstLine="0" w:firstLineChars="0"/>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 w:val="24"/>
                <w:szCs w:val="24"/>
              </w:rPr>
              <w:t>序号</w:t>
            </w:r>
          </w:p>
        </w:tc>
        <w:tc>
          <w:tcPr>
            <w:tcW w:w="1418" w:type="dxa"/>
            <w:vAlign w:val="center"/>
          </w:tcPr>
          <w:p>
            <w:pPr>
              <w:spacing w:line="240" w:lineRule="auto"/>
              <w:ind w:firstLine="0" w:firstLineChars="0"/>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 w:val="24"/>
                <w:szCs w:val="24"/>
              </w:rPr>
              <w:t>评分因素</w:t>
            </w:r>
          </w:p>
        </w:tc>
        <w:tc>
          <w:tcPr>
            <w:tcW w:w="850" w:type="dxa"/>
            <w:vAlign w:val="center"/>
          </w:tcPr>
          <w:p>
            <w:pPr>
              <w:spacing w:line="240" w:lineRule="auto"/>
              <w:ind w:firstLine="0" w:firstLineChars="0"/>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 w:val="24"/>
                <w:szCs w:val="24"/>
              </w:rPr>
              <w:t>权重</w:t>
            </w:r>
          </w:p>
        </w:tc>
        <w:tc>
          <w:tcPr>
            <w:tcW w:w="992"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w:t>
            </w:r>
          </w:p>
          <w:p>
            <w:pPr>
              <w:spacing w:line="240" w:lineRule="auto"/>
              <w:ind w:firstLine="0" w:firstLineChars="0"/>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 w:val="24"/>
                <w:szCs w:val="24"/>
              </w:rPr>
              <w:t>方式</w:t>
            </w:r>
          </w:p>
        </w:tc>
        <w:tc>
          <w:tcPr>
            <w:tcW w:w="4395" w:type="dxa"/>
            <w:vAlign w:val="center"/>
          </w:tcPr>
          <w:p>
            <w:pPr>
              <w:spacing w:line="240" w:lineRule="auto"/>
              <w:ind w:firstLine="0" w:firstLineChars="0"/>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 w:val="24"/>
                <w:szCs w:val="24"/>
              </w:rPr>
              <w:t>评分准则</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1</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项目报价</w:t>
            </w:r>
          </w:p>
        </w:tc>
        <w:tc>
          <w:tcPr>
            <w:tcW w:w="850"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3</w:t>
            </w:r>
            <w:r>
              <w:rPr>
                <w:rFonts w:ascii="仿宋_GB2312" w:hAnsi="宋体" w:cs="宋体"/>
                <w:sz w:val="24"/>
                <w:szCs w:val="24"/>
              </w:rPr>
              <w:t>0</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价格分应当采用低价优先法计算，即满足招标文件要求且投标价格最低的投标报价为评标基准价，其价格分为满分。其他投标人的价格分统一按照下列公式计算：投标报价得分=(评标基准价／投标报价)×100×权重</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备注：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1、因落实政府采购政策进行价格调整的，以调整后的价格计算评标基准价和投标报价，详见《价格扣除》。</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宋体" w:hAnsi="宋体" w:eastAsia="宋体" w:cs="宋体"/>
                <w:b/>
                <w:color w:val="000000" w:themeColor="text1"/>
                <w:sz w:val="24"/>
                <w:szCs w:val="24"/>
                <w14:textFill>
                  <w14:solidFill>
                    <w14:schemeClr w14:val="tx1"/>
                  </w14:solidFill>
                </w14:textFill>
              </w:rPr>
            </w:pPr>
            <w:r>
              <w:rPr>
                <w:rFonts w:ascii="仿宋_GB2312" w:hAnsi="宋体" w:cs="宋体"/>
                <w:sz w:val="24"/>
                <w:szCs w:val="24"/>
              </w:rPr>
              <w:t>2、投标报价得分四舍五入后，小数点后保留两位有效数。</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trPr>
        <w:tc>
          <w:tcPr>
            <w:tcW w:w="4077" w:type="dxa"/>
            <w:gridSpan w:val="4"/>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二、综合实力部分</w:t>
            </w:r>
          </w:p>
        </w:tc>
        <w:tc>
          <w:tcPr>
            <w:tcW w:w="4395" w:type="dxa"/>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20</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序号</w:t>
            </w:r>
          </w:p>
        </w:tc>
        <w:tc>
          <w:tcPr>
            <w:tcW w:w="1418"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评分因素</w:t>
            </w:r>
          </w:p>
        </w:tc>
        <w:tc>
          <w:tcPr>
            <w:tcW w:w="850"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权重</w:t>
            </w:r>
          </w:p>
        </w:tc>
        <w:tc>
          <w:tcPr>
            <w:tcW w:w="992"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w:t>
            </w:r>
          </w:p>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方式</w:t>
            </w:r>
          </w:p>
        </w:tc>
        <w:tc>
          <w:tcPr>
            <w:tcW w:w="4395"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评分准则</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817" w:type="dxa"/>
            <w:vAlign w:val="center"/>
          </w:tcPr>
          <w:p>
            <w:pPr>
              <w:tabs>
                <w:tab w:val="center" w:pos="230"/>
                <w:tab w:val="center" w:pos="292"/>
              </w:tabs>
              <w:spacing w:line="240" w:lineRule="auto"/>
              <w:ind w:firstLine="0" w:firstLineChars="0"/>
              <w:jc w:val="center"/>
              <w:rPr>
                <w:rFonts w:ascii="仿宋_GB2312" w:hAnsi="宋体" w:cs="宋体"/>
                <w:sz w:val="24"/>
                <w:szCs w:val="24"/>
              </w:rPr>
            </w:pPr>
            <w:r>
              <w:rPr>
                <w:rFonts w:hint="eastAsia" w:ascii="仿宋_GB2312" w:hAnsi="宋体" w:cs="宋体"/>
                <w:sz w:val="24"/>
                <w:szCs w:val="24"/>
              </w:rPr>
              <w:t>1</w:t>
            </w:r>
          </w:p>
        </w:tc>
        <w:tc>
          <w:tcPr>
            <w:tcW w:w="1418" w:type="dxa"/>
            <w:vAlign w:val="center"/>
          </w:tcPr>
          <w:p>
            <w:pPr>
              <w:pStyle w:val="8"/>
              <w:spacing w:line="240" w:lineRule="auto"/>
              <w:ind w:firstLine="0" w:firstLineChars="0"/>
              <w:jc w:val="center"/>
              <w:rPr>
                <w:rFonts w:ascii="仿宋_GB2312" w:hAnsi="宋体" w:cs="宋体"/>
                <w:sz w:val="24"/>
                <w:szCs w:val="24"/>
              </w:rPr>
            </w:pPr>
            <w:r>
              <w:rPr>
                <w:rFonts w:hint="eastAsia" w:ascii="仿宋_GB2312" w:hAnsi="宋体" w:cs="宋体"/>
                <w:sz w:val="24"/>
                <w:szCs w:val="24"/>
              </w:rPr>
              <w:t>项目服务方案</w:t>
            </w:r>
          </w:p>
        </w:tc>
        <w:tc>
          <w:tcPr>
            <w:tcW w:w="850" w:type="dxa"/>
            <w:vAlign w:val="center"/>
          </w:tcPr>
          <w:p>
            <w:pPr>
              <w:pStyle w:val="8"/>
              <w:spacing w:line="240" w:lineRule="auto"/>
              <w:ind w:firstLine="0" w:firstLineChars="0"/>
              <w:jc w:val="center"/>
              <w:rPr>
                <w:rFonts w:ascii="仿宋_GB2312" w:hAnsi="宋体" w:cs="宋体"/>
                <w:sz w:val="24"/>
                <w:szCs w:val="24"/>
              </w:rPr>
            </w:pPr>
            <w:r>
              <w:rPr>
                <w:rFonts w:hint="eastAsia" w:ascii="仿宋_GB2312" w:hAnsi="宋体" w:cs="宋体"/>
                <w:sz w:val="24"/>
                <w:szCs w:val="24"/>
              </w:rPr>
              <w:t>20</w:t>
            </w:r>
          </w:p>
        </w:tc>
        <w:tc>
          <w:tcPr>
            <w:tcW w:w="992" w:type="dxa"/>
            <w:vAlign w:val="center"/>
          </w:tcPr>
          <w:p>
            <w:pPr>
              <w:pStyle w:val="8"/>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评委打分</w:t>
            </w:r>
          </w:p>
        </w:tc>
        <w:tc>
          <w:tcPr>
            <w:tcW w:w="4395" w:type="dxa"/>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（一）根据投标人提供的项目服务方案，每满足以下1点得20分，最高得60分。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1.对研究背景和规划目的的理解。</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2.对研究思路和技术路线的把握。</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3.对研究内容和工作深度的分析。</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（二）在以上评审内容的基础上，评委根据各投标人的具体响应内容进一步评审加分，最高得40分。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1.优：对研究背景和规划目的的理解全面、深刻，研究思路和技术路线的把握清晰、合理，研究内容和工作深度的分析全面、合理。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2.良：对研究背景和规划目的的理解较为全面、深刻，研究思路和技术路线的把握较为清晰、合理，研究内容和工作深度的分析较为全面、合理。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3.中：对研究背景和规划目的的理解全面性、深度一般，研究思路和技术路线的把握逻辑性、合理性一般，研究内容和工作深度的分析全面性、合理性一般。</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4.差：对研究背景和规划目的的理解不全面、不深刻，研究思路和技术路线的把握不清晰、不合理，研究内容和工作深度的分析不全面、不合理。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评价为优加40分；评价为良加20分；评价为中加10分；评价为差不得分，评委需书面说明理由，并记录在档。</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4077" w:type="dxa"/>
            <w:gridSpan w:val="4"/>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三、技术部分</w:t>
            </w:r>
          </w:p>
        </w:tc>
        <w:tc>
          <w:tcPr>
            <w:tcW w:w="4395" w:type="dxa"/>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45</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4"/>
                <w:szCs w:val="24"/>
              </w:rPr>
              <w:t>序号</w:t>
            </w:r>
          </w:p>
        </w:tc>
        <w:tc>
          <w:tcPr>
            <w:tcW w:w="1418"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4"/>
                <w:szCs w:val="24"/>
              </w:rPr>
              <w:t>评分因素</w:t>
            </w:r>
          </w:p>
        </w:tc>
        <w:tc>
          <w:tcPr>
            <w:tcW w:w="850"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4"/>
                <w:szCs w:val="24"/>
              </w:rPr>
              <w:t>权重</w:t>
            </w:r>
          </w:p>
        </w:tc>
        <w:tc>
          <w:tcPr>
            <w:tcW w:w="992"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w:t>
            </w:r>
          </w:p>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方式</w:t>
            </w:r>
          </w:p>
        </w:tc>
        <w:tc>
          <w:tcPr>
            <w:tcW w:w="4395"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评分准则</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1</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供应商资质</w:t>
            </w:r>
          </w:p>
        </w:tc>
        <w:tc>
          <w:tcPr>
            <w:tcW w:w="850"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5</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根据投标人实际提供的专业技术资质证明材料评定得分。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1.具有城乡规划（国土空间规划）编制甲级资质，得60分；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bookmarkStart w:id="0" w:name="OLE_LINK4"/>
            <w:bookmarkStart w:id="1" w:name="OLE_LINK5"/>
            <w:r>
              <w:rPr>
                <w:rFonts w:hint="eastAsia" w:ascii="仿宋_GB2312" w:hAnsi="宋体" w:cs="宋体"/>
                <w:sz w:val="24"/>
                <w:szCs w:val="24"/>
              </w:rPr>
              <w:t>2.</w:t>
            </w:r>
            <w:bookmarkEnd w:id="0"/>
            <w:bookmarkEnd w:id="1"/>
            <w:r>
              <w:rPr>
                <w:rFonts w:hint="eastAsia" w:ascii="仿宋_GB2312" w:hAnsi="宋体" w:cs="宋体"/>
                <w:sz w:val="24"/>
                <w:szCs w:val="24"/>
              </w:rPr>
              <w:t>具有ISO质量管理体系认证证书，得40分；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本项最高得分100分。</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2</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获得表彰奖励</w:t>
            </w:r>
          </w:p>
        </w:tc>
        <w:tc>
          <w:tcPr>
            <w:tcW w:w="850" w:type="dxa"/>
            <w:vAlign w:val="center"/>
          </w:tcPr>
          <w:p>
            <w:pPr>
              <w:spacing w:line="240" w:lineRule="auto"/>
              <w:ind w:firstLine="0" w:firstLineChars="0"/>
              <w:jc w:val="center"/>
              <w:rPr>
                <w:rFonts w:ascii="仿宋_GB2312" w:hAnsi="宋体" w:cs="宋体"/>
                <w:sz w:val="24"/>
                <w:szCs w:val="24"/>
              </w:rPr>
            </w:pPr>
            <w:r>
              <w:rPr>
                <w:rFonts w:ascii="仿宋_GB2312" w:hAnsi="宋体" w:cs="宋体"/>
                <w:sz w:val="24"/>
                <w:szCs w:val="24"/>
              </w:rPr>
              <w:t>15</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考察投标人</w:t>
            </w:r>
            <w:bookmarkStart w:id="2" w:name="OLE_LINK18"/>
            <w:bookmarkStart w:id="3" w:name="OLE_LINK17"/>
            <w:r>
              <w:rPr>
                <w:rFonts w:hint="eastAsia" w:ascii="仿宋_GB2312" w:hAnsi="宋体" w:cs="宋体"/>
                <w:sz w:val="24"/>
                <w:szCs w:val="24"/>
              </w:rPr>
              <w:t>截至本项目开标之日近六年内（以表彰奖励证书落款日期为准）获得</w:t>
            </w:r>
            <w:bookmarkEnd w:id="2"/>
            <w:bookmarkEnd w:id="3"/>
            <w:r>
              <w:rPr>
                <w:rFonts w:hint="eastAsia" w:ascii="仿宋_GB2312" w:hAnsi="宋体" w:cs="宋体"/>
                <w:sz w:val="24"/>
                <w:szCs w:val="24"/>
              </w:rPr>
              <w:t>的相关</w:t>
            </w:r>
            <w:bookmarkStart w:id="4" w:name="OLE_LINK20"/>
            <w:bookmarkStart w:id="5" w:name="OLE_LINK19"/>
            <w:r>
              <w:rPr>
                <w:rFonts w:hint="eastAsia" w:ascii="仿宋_GB2312" w:hAnsi="宋体" w:cs="宋体"/>
                <w:sz w:val="24"/>
                <w:szCs w:val="24"/>
              </w:rPr>
              <w:t>表彰奖励</w:t>
            </w:r>
            <w:bookmarkEnd w:id="4"/>
            <w:bookmarkEnd w:id="5"/>
            <w:r>
              <w:rPr>
                <w:rFonts w:hint="eastAsia" w:ascii="仿宋_GB2312" w:hAnsi="宋体" w:cs="宋体"/>
                <w:sz w:val="24"/>
                <w:szCs w:val="24"/>
              </w:rPr>
              <w:t>情况。</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（一）评分内容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bookmarkStart w:id="6" w:name="OLE_LINK13"/>
            <w:r>
              <w:rPr>
                <w:rFonts w:hint="eastAsia" w:ascii="仿宋_GB2312" w:hAnsi="宋体" w:cs="宋体"/>
                <w:sz w:val="24"/>
                <w:szCs w:val="24"/>
              </w:rPr>
              <w:t>投标人承担的</w:t>
            </w:r>
            <w:bookmarkEnd w:id="6"/>
            <w:r>
              <w:rPr>
                <w:rFonts w:hint="eastAsia" w:ascii="仿宋_GB2312" w:hAnsi="宋体" w:cs="宋体"/>
                <w:sz w:val="24"/>
                <w:szCs w:val="24"/>
              </w:rPr>
              <w:t>全市性城际轨道规划（含优化、修编）、全市性轨道交通线网（建设）规划（含优化、修编）、全市性轨道线路规划类项目获得相关</w:t>
            </w:r>
            <w:bookmarkStart w:id="7" w:name="OLE_LINK22"/>
            <w:bookmarkStart w:id="8" w:name="OLE_LINK21"/>
            <w:r>
              <w:rPr>
                <w:rFonts w:hint="eastAsia" w:ascii="仿宋_GB2312" w:hAnsi="宋体" w:cs="宋体"/>
                <w:sz w:val="24"/>
                <w:szCs w:val="24"/>
              </w:rPr>
              <w:t>表彰奖励</w:t>
            </w:r>
            <w:bookmarkEnd w:id="7"/>
            <w:bookmarkEnd w:id="8"/>
            <w:r>
              <w:rPr>
                <w:rFonts w:hint="eastAsia" w:ascii="仿宋_GB2312" w:hAnsi="宋体" w:cs="宋体"/>
                <w:sz w:val="24"/>
                <w:szCs w:val="24"/>
              </w:rPr>
              <w:t>，每提供一项得25分，本项最高得100分。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（二）评分依据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1.</w:t>
            </w:r>
            <w:r>
              <w:rPr>
                <w:rFonts w:hint="eastAsia" w:ascii="仿宋_GB2312" w:hAnsi="宋体" w:cs="宋体"/>
                <w:sz w:val="24"/>
                <w:szCs w:val="24"/>
              </w:rPr>
              <w:t>要求提供表彰奖励照片或证书等证明材料作为得分依据。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2.</w:t>
            </w:r>
            <w:r>
              <w:rPr>
                <w:rFonts w:hint="eastAsia" w:ascii="仿宋_GB2312" w:hAnsi="宋体" w:cs="宋体"/>
                <w:sz w:val="24"/>
                <w:szCs w:val="24"/>
              </w:rPr>
              <w:t>以上资料均要求提供扫描件，原件备查。</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3.</w:t>
            </w:r>
            <w:r>
              <w:rPr>
                <w:rFonts w:hint="eastAsia" w:ascii="仿宋_GB2312" w:hAnsi="宋体" w:cs="宋体"/>
                <w:sz w:val="24"/>
                <w:szCs w:val="24"/>
              </w:rPr>
              <w:t>国家级要求颁发单位为国务院（或其直接所属的行政机关）或全国性行业协会（学会）；省级要求颁发单位为省（自治区、直辖市）人民政府（或其直接所属的行政机关）或行业协会（学会）：市级要求颁发单位为市（地级，或以上级别）人民政府（或其直接所属的行政机关）或行业协会（学会）。</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4.</w:t>
            </w:r>
            <w:r>
              <w:rPr>
                <w:rFonts w:hint="eastAsia" w:ascii="仿宋_GB2312" w:hAnsi="宋体" w:cs="宋体"/>
                <w:sz w:val="24"/>
                <w:szCs w:val="24"/>
              </w:rPr>
              <w:t>发证单位为协会的，需同时提供该协会在全国社会组织信用信息公示平台（</w:t>
            </w:r>
            <w:r>
              <w:rPr>
                <w:rFonts w:ascii="仿宋_GB2312" w:hAnsi="宋体" w:cs="宋体"/>
                <w:sz w:val="24"/>
                <w:szCs w:val="24"/>
              </w:rPr>
              <w:t>https://xxgs.chinanpo.mca.gov.cn/</w:t>
            </w:r>
            <w:r>
              <w:rPr>
                <w:rFonts w:hint="eastAsia" w:ascii="仿宋_GB2312" w:hAnsi="宋体" w:cs="宋体"/>
                <w:sz w:val="24"/>
                <w:szCs w:val="24"/>
              </w:rPr>
              <w:t>）查询结果截图且该协会显示状态为“正常”。评分中出现无证明资料或专家无法凭所提供资料判断是否得分的情况，一律作不得分处理。《中华人民共和国境外非政府组织境内活动管理法》规定的“离岸社团”“山寨社团”，《取缔非法民间组织暂行办法》（民政部令第</w:t>
            </w:r>
            <w:r>
              <w:rPr>
                <w:rFonts w:ascii="仿宋_GB2312" w:hAnsi="宋体" w:cs="宋体"/>
                <w:sz w:val="24"/>
                <w:szCs w:val="24"/>
              </w:rPr>
              <w:t>21</w:t>
            </w:r>
            <w:r>
              <w:rPr>
                <w:rFonts w:hint="eastAsia" w:ascii="仿宋_GB2312" w:hAnsi="宋体" w:cs="宋体"/>
                <w:sz w:val="24"/>
                <w:szCs w:val="24"/>
              </w:rPr>
              <w:t>号）规定的“非法社会组织”颁发的证书，均不得作为评分因素。）</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3</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业绩经验</w:t>
            </w:r>
          </w:p>
        </w:tc>
        <w:tc>
          <w:tcPr>
            <w:tcW w:w="850" w:type="dxa"/>
            <w:vAlign w:val="center"/>
          </w:tcPr>
          <w:p>
            <w:pPr>
              <w:spacing w:line="240" w:lineRule="auto"/>
              <w:ind w:firstLine="0" w:firstLineChars="0"/>
              <w:jc w:val="center"/>
              <w:rPr>
                <w:rFonts w:ascii="仿宋_GB2312" w:hAnsi="宋体" w:cs="宋体"/>
                <w:sz w:val="24"/>
                <w:szCs w:val="24"/>
              </w:rPr>
            </w:pPr>
            <w:r>
              <w:rPr>
                <w:rFonts w:ascii="仿宋_GB2312" w:hAnsi="宋体" w:cs="宋体"/>
                <w:sz w:val="24"/>
                <w:szCs w:val="24"/>
              </w:rPr>
              <w:t>15</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考察投标人截至本项目开标之日近六年内（以合同签订日期为准）的轨道交通规划业绩情况。</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（一）评分内容：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bookmarkStart w:id="9" w:name="OLE_LINK28"/>
            <w:bookmarkStart w:id="10" w:name="OLE_LINK27"/>
            <w:r>
              <w:rPr>
                <w:rFonts w:hint="eastAsia" w:ascii="仿宋_GB2312" w:hAnsi="宋体" w:cs="宋体"/>
                <w:sz w:val="24"/>
                <w:szCs w:val="24"/>
              </w:rPr>
              <w:t>1.</w:t>
            </w:r>
            <w:bookmarkEnd w:id="9"/>
            <w:bookmarkEnd w:id="10"/>
            <w:bookmarkStart w:id="11" w:name="OLE_LINK29"/>
            <w:bookmarkStart w:id="12" w:name="OLE_LINK30"/>
            <w:r>
              <w:rPr>
                <w:rFonts w:hint="eastAsia" w:ascii="仿宋_GB2312" w:hAnsi="宋体" w:cs="宋体"/>
                <w:sz w:val="24"/>
                <w:szCs w:val="24"/>
              </w:rPr>
              <w:t>承担</w:t>
            </w:r>
            <w:r>
              <w:rPr>
                <w:rFonts w:hint="eastAsia" w:ascii="仿宋_GB2312" w:hAnsi="宋体" w:cs="宋体"/>
                <w:color w:val="000000"/>
                <w:kern w:val="0"/>
                <w:sz w:val="24"/>
                <w:szCs w:val="24"/>
              </w:rPr>
              <w:t>全市性城际轨道规划</w:t>
            </w:r>
            <w:bookmarkEnd w:id="11"/>
            <w:bookmarkEnd w:id="12"/>
            <w:r>
              <w:rPr>
                <w:rFonts w:hint="eastAsia" w:ascii="仿宋_GB2312" w:hAnsi="宋体" w:cs="宋体"/>
                <w:color w:val="000000"/>
                <w:kern w:val="0"/>
                <w:sz w:val="24"/>
                <w:szCs w:val="24"/>
              </w:rPr>
              <w:t>（含优化、修编）、全市性轨道交通线网规划（含优化、修编）项目，每提供一项业绩得</w:t>
            </w:r>
            <w:r>
              <w:rPr>
                <w:rFonts w:ascii="仿宋_GB2312" w:hAnsi="宋体" w:cs="宋体"/>
                <w:color w:val="000000"/>
                <w:kern w:val="0"/>
                <w:sz w:val="24"/>
                <w:szCs w:val="24"/>
              </w:rPr>
              <w:t>30</w:t>
            </w:r>
            <w:r>
              <w:rPr>
                <w:rFonts w:hint="eastAsia" w:ascii="仿宋_GB2312" w:hAnsi="宋体" w:cs="宋体"/>
                <w:color w:val="000000"/>
                <w:kern w:val="0"/>
                <w:sz w:val="24"/>
                <w:szCs w:val="24"/>
              </w:rPr>
              <w:t>分，本项得分不超过</w:t>
            </w:r>
            <w:r>
              <w:rPr>
                <w:rFonts w:ascii="仿宋_GB2312" w:hAnsi="宋体" w:cs="宋体"/>
                <w:color w:val="000000"/>
                <w:kern w:val="0"/>
                <w:sz w:val="24"/>
                <w:szCs w:val="24"/>
              </w:rPr>
              <w:t>6</w:t>
            </w:r>
            <w:r>
              <w:rPr>
                <w:rFonts w:hint="eastAsia" w:ascii="仿宋_GB2312" w:hAnsi="宋体" w:cs="宋体"/>
                <w:color w:val="000000"/>
                <w:kern w:val="0"/>
                <w:sz w:val="24"/>
                <w:szCs w:val="24"/>
              </w:rPr>
              <w:t>0分；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ascii="仿宋_GB2312" w:hAnsi="宋体" w:cs="宋体"/>
                <w:sz w:val="24"/>
                <w:szCs w:val="24"/>
              </w:rPr>
              <w:t>2</w:t>
            </w:r>
            <w:r>
              <w:rPr>
                <w:rFonts w:hint="eastAsia" w:ascii="仿宋_GB2312" w:hAnsi="宋体" w:cs="宋体"/>
                <w:sz w:val="24"/>
                <w:szCs w:val="24"/>
              </w:rPr>
              <w:t>.承担</w:t>
            </w:r>
            <w:r>
              <w:rPr>
                <w:rFonts w:hint="eastAsia" w:ascii="仿宋_GB2312" w:hAnsi="宋体" w:cs="宋体"/>
                <w:color w:val="000000"/>
                <w:kern w:val="0"/>
                <w:sz w:val="24"/>
                <w:szCs w:val="24"/>
              </w:rPr>
              <w:t>全市性轨道线路规划类项目，每提供一项业绩得</w:t>
            </w:r>
            <w:r>
              <w:rPr>
                <w:rFonts w:ascii="仿宋_GB2312" w:hAnsi="宋体" w:cs="宋体"/>
                <w:color w:val="000000"/>
                <w:kern w:val="0"/>
                <w:sz w:val="24"/>
                <w:szCs w:val="24"/>
              </w:rPr>
              <w:t>10</w:t>
            </w:r>
            <w:r>
              <w:rPr>
                <w:rFonts w:hint="eastAsia" w:ascii="仿宋_GB2312" w:hAnsi="宋体" w:cs="宋体"/>
                <w:color w:val="000000"/>
                <w:kern w:val="0"/>
                <w:sz w:val="24"/>
                <w:szCs w:val="24"/>
              </w:rPr>
              <w:t>分，本项得分不超过</w:t>
            </w:r>
            <w:r>
              <w:rPr>
                <w:rFonts w:ascii="仿宋_GB2312" w:hAnsi="宋体" w:cs="宋体"/>
                <w:color w:val="000000"/>
                <w:kern w:val="0"/>
                <w:sz w:val="24"/>
                <w:szCs w:val="24"/>
              </w:rPr>
              <w:t>4</w:t>
            </w:r>
            <w:r>
              <w:rPr>
                <w:rFonts w:hint="eastAsia" w:ascii="仿宋_GB2312" w:hAnsi="宋体" w:cs="宋体"/>
                <w:color w:val="000000"/>
                <w:kern w:val="0"/>
                <w:sz w:val="24"/>
                <w:szCs w:val="24"/>
              </w:rPr>
              <w:t>0分；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ascii="仿宋_GB2312" w:hAnsi="宋体" w:cs="宋体"/>
                <w:sz w:val="24"/>
                <w:szCs w:val="24"/>
              </w:rPr>
              <w:t>3.</w:t>
            </w:r>
            <w:r>
              <w:rPr>
                <w:rFonts w:hint="eastAsia" w:ascii="仿宋_GB2312" w:hAnsi="宋体" w:cs="宋体"/>
                <w:color w:val="000000"/>
                <w:kern w:val="0"/>
                <w:sz w:val="24"/>
                <w:szCs w:val="24"/>
              </w:rPr>
              <w:t xml:space="preserve"> 以上两项累计加分，本项得分不超过100分。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（二）评分依据：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1.要求提供合同关键信息或项目履约（验收）合格评价证明文件作为得分依据。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2.通过合同关键信息无法判断是否得分的，也可以提供能证明得分的其它证明资料，如项目中标通知书、项目报告或合同甲方出具的证明文件等。</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sz w:val="24"/>
                <w:szCs w:val="24"/>
              </w:rPr>
            </w:pPr>
            <w:r>
              <w:rPr>
                <w:rFonts w:hint="eastAsia" w:ascii="仿宋_GB2312" w:hAnsi="宋体" w:cs="宋体"/>
                <w:sz w:val="24"/>
                <w:szCs w:val="24"/>
              </w:rPr>
              <w:t>3.以上资料均要求提供扫描件，原件备查。</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4</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技术力量</w:t>
            </w:r>
          </w:p>
        </w:tc>
        <w:tc>
          <w:tcPr>
            <w:tcW w:w="850"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8</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hint="eastAsia" w:ascii="仿宋_GB2312" w:hAnsi="宋体" w:cs="宋体"/>
                <w:color w:val="000000"/>
                <w:kern w:val="0"/>
                <w:sz w:val="24"/>
                <w:szCs w:val="24"/>
              </w:rPr>
              <w:t>（一）评分内容：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ascii="仿宋_GB2312" w:hAnsi="宋体" w:cs="宋体"/>
                <w:color w:val="000000"/>
                <w:kern w:val="0"/>
                <w:sz w:val="24"/>
                <w:szCs w:val="24"/>
              </w:rPr>
              <w:t>1.</w:t>
            </w:r>
            <w:r>
              <w:rPr>
                <w:rFonts w:hint="eastAsia" w:ascii="仿宋_GB2312" w:hAnsi="宋体" w:cs="宋体"/>
                <w:color w:val="000000"/>
                <w:kern w:val="0"/>
                <w:sz w:val="24"/>
                <w:szCs w:val="24"/>
              </w:rPr>
              <w:t xml:space="preserve"> </w:t>
            </w:r>
            <w:bookmarkStart w:id="13" w:name="OLE_LINK23"/>
            <w:bookmarkStart w:id="14" w:name="OLE_LINK24"/>
            <w:r>
              <w:rPr>
                <w:rFonts w:hint="eastAsia" w:ascii="仿宋_GB2312" w:hAnsi="宋体" w:cs="宋体"/>
                <w:color w:val="000000"/>
                <w:kern w:val="0"/>
                <w:sz w:val="24"/>
                <w:szCs w:val="24"/>
              </w:rPr>
              <w:t>投标人拟安排的</w:t>
            </w:r>
            <w:bookmarkEnd w:id="13"/>
            <w:bookmarkEnd w:id="14"/>
            <w:r>
              <w:rPr>
                <w:rFonts w:hint="eastAsia" w:ascii="仿宋_GB2312" w:hAnsi="宋体" w:cs="宋体"/>
                <w:color w:val="000000"/>
                <w:kern w:val="0"/>
                <w:sz w:val="24"/>
                <w:szCs w:val="24"/>
              </w:rPr>
              <w:t>项目负责人具有相关专业[规划、城市（乡）规划、交通（运输）规划）、交通（运输）工程、道路工程、铁道运输管理、市政路桥或建筑工程]副高级职称及以上（或同等级别）得</w:t>
            </w:r>
            <w:r>
              <w:rPr>
                <w:rFonts w:ascii="仿宋_GB2312" w:hAnsi="宋体" w:cs="宋体"/>
                <w:color w:val="000000"/>
                <w:kern w:val="0"/>
                <w:sz w:val="24"/>
                <w:szCs w:val="24"/>
              </w:rPr>
              <w:t>2</w:t>
            </w:r>
            <w:r>
              <w:rPr>
                <w:rFonts w:hint="eastAsia" w:ascii="仿宋_GB2312" w:hAnsi="宋体" w:cs="宋体"/>
                <w:color w:val="000000"/>
                <w:kern w:val="0"/>
                <w:sz w:val="24"/>
                <w:szCs w:val="24"/>
              </w:rPr>
              <w:t>0分，否则本项不得分；</w:t>
            </w:r>
            <w:r>
              <w:rPr>
                <w:rFonts w:ascii="仿宋_GB2312" w:hAnsi="宋体" w:cs="宋体"/>
                <w:color w:val="000000"/>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仿宋_GB2312" w:hAnsi="宋体" w:cs="宋体"/>
                <w:color w:val="000000"/>
                <w:kern w:val="0"/>
                <w:sz w:val="24"/>
                <w:szCs w:val="24"/>
              </w:rPr>
            </w:pPr>
            <w:r>
              <w:rPr>
                <w:rFonts w:ascii="仿宋_GB2312" w:hAnsi="宋体" w:cs="宋体"/>
                <w:color w:val="000000"/>
                <w:kern w:val="0"/>
                <w:sz w:val="24"/>
                <w:szCs w:val="24"/>
              </w:rPr>
              <w:t xml:space="preserve">2. </w:t>
            </w:r>
            <w:bookmarkStart w:id="15" w:name="OLE_LINK26"/>
            <w:bookmarkStart w:id="16" w:name="OLE_LINK25"/>
            <w:r>
              <w:rPr>
                <w:rFonts w:hint="eastAsia" w:ascii="仿宋_GB2312" w:hAnsi="宋体" w:cs="宋体"/>
                <w:color w:val="000000"/>
                <w:kern w:val="0"/>
                <w:sz w:val="24"/>
                <w:szCs w:val="24"/>
              </w:rPr>
              <w:t>投标人拟安排的项目负责人</w:t>
            </w:r>
            <w:r>
              <w:rPr>
                <w:rFonts w:hint="eastAsia" w:ascii="仿宋_GB2312" w:hAnsi="宋体" w:cs="宋体"/>
                <w:sz w:val="24"/>
                <w:szCs w:val="24"/>
              </w:rPr>
              <w:t>截至本项目开标之日的近六年内</w:t>
            </w:r>
            <w:r>
              <w:rPr>
                <w:rFonts w:hint="eastAsia" w:ascii="仿宋_GB2312" w:hAnsi="宋体" w:cs="宋体"/>
                <w:color w:val="000000"/>
                <w:kern w:val="0"/>
                <w:sz w:val="24"/>
                <w:szCs w:val="24"/>
              </w:rPr>
              <w:t>担任过全市性城际轨道规划（含优化、修编）、全市性轨道交通线网规划（含优化、修编）或全市性轨道线路规划类项目的项目负责人（或项目主管），每项业绩得10分，该项最高得60分；</w:t>
            </w:r>
            <w:bookmarkEnd w:id="15"/>
            <w:bookmarkEnd w:id="16"/>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hint="eastAsia" w:ascii="仿宋_GB2312" w:hAnsi="宋体" w:cs="宋体"/>
                <w:color w:val="000000"/>
                <w:kern w:val="0"/>
                <w:sz w:val="24"/>
                <w:szCs w:val="24"/>
              </w:rPr>
              <w:t>3.投标人拟安排的项目团队成员不少于8人，得10分，不足8人此项不得分；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hint="eastAsia" w:ascii="仿宋_GB2312" w:hAnsi="宋体" w:cs="宋体"/>
                <w:color w:val="000000"/>
                <w:kern w:val="0"/>
                <w:sz w:val="24"/>
                <w:szCs w:val="24"/>
              </w:rPr>
              <w:t>4</w:t>
            </w:r>
            <w:r>
              <w:rPr>
                <w:rFonts w:ascii="仿宋_GB2312" w:hAnsi="宋体" w:cs="宋体"/>
                <w:color w:val="000000"/>
                <w:kern w:val="0"/>
                <w:sz w:val="24"/>
                <w:szCs w:val="24"/>
              </w:rPr>
              <w:t>.</w:t>
            </w:r>
            <w:r>
              <w:rPr>
                <w:rFonts w:hint="eastAsia" w:ascii="仿宋_GB2312" w:hAnsi="宋体" w:cs="宋体"/>
                <w:color w:val="000000"/>
                <w:kern w:val="0"/>
                <w:sz w:val="24"/>
                <w:szCs w:val="24"/>
              </w:rPr>
              <w:t>项目团队除项目负责人以外的成员具有相关专业[规划、城市（乡）规划、交通（运输）规划）、交通（运输）工程、道路工程、铁道运输管理、市政路桥或建筑工程]专业中级职称及以上（或同等级别）的人员不少于</w:t>
            </w:r>
            <w:r>
              <w:rPr>
                <w:rFonts w:ascii="仿宋_GB2312" w:hAnsi="宋体" w:cs="宋体"/>
                <w:color w:val="000000"/>
                <w:kern w:val="0"/>
                <w:sz w:val="24"/>
                <w:szCs w:val="24"/>
              </w:rPr>
              <w:t>5</w:t>
            </w:r>
            <w:r>
              <w:rPr>
                <w:rFonts w:hint="eastAsia" w:ascii="仿宋_GB2312" w:hAnsi="宋体" w:cs="宋体"/>
                <w:color w:val="000000"/>
                <w:kern w:val="0"/>
                <w:sz w:val="24"/>
                <w:szCs w:val="24"/>
              </w:rPr>
              <w:t>人，得10分，不足</w:t>
            </w:r>
            <w:r>
              <w:rPr>
                <w:rFonts w:ascii="仿宋_GB2312" w:hAnsi="宋体" w:cs="宋体"/>
                <w:color w:val="000000"/>
                <w:kern w:val="0"/>
                <w:sz w:val="24"/>
                <w:szCs w:val="24"/>
              </w:rPr>
              <w:t>5</w:t>
            </w:r>
            <w:r>
              <w:rPr>
                <w:rFonts w:hint="eastAsia" w:ascii="仿宋_GB2312" w:hAnsi="宋体" w:cs="宋体"/>
                <w:color w:val="000000"/>
                <w:kern w:val="0"/>
                <w:sz w:val="24"/>
                <w:szCs w:val="24"/>
              </w:rPr>
              <w:t>人此项不得分；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ascii="仿宋_GB2312" w:hAnsi="宋体" w:cs="宋体"/>
                <w:color w:val="000000"/>
                <w:kern w:val="0"/>
                <w:sz w:val="24"/>
                <w:szCs w:val="24"/>
              </w:rPr>
              <w:t>5.</w:t>
            </w:r>
            <w:bookmarkStart w:id="17" w:name="OLE_LINK31"/>
            <w:bookmarkStart w:id="18" w:name="OLE_LINK32"/>
            <w:r>
              <w:rPr>
                <w:rFonts w:hint="eastAsia" w:ascii="仿宋_GB2312" w:hAnsi="宋体" w:cs="宋体"/>
                <w:color w:val="000000"/>
                <w:kern w:val="0"/>
                <w:sz w:val="24"/>
                <w:szCs w:val="24"/>
              </w:rPr>
              <w:t>以上四项累计加分，本项得分不超过100分。</w:t>
            </w:r>
            <w:bookmarkEnd w:id="17"/>
            <w:bookmarkEnd w:id="18"/>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hint="eastAsia" w:ascii="仿宋_GB2312" w:hAnsi="宋体" w:cs="宋体"/>
                <w:color w:val="000000"/>
                <w:kern w:val="0"/>
                <w:sz w:val="24"/>
                <w:szCs w:val="24"/>
              </w:rPr>
              <w:t>（二）评分依据：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ascii="仿宋_GB2312" w:hAnsi="宋体" w:cs="宋体"/>
                <w:color w:val="000000"/>
                <w:kern w:val="0"/>
                <w:sz w:val="24"/>
                <w:szCs w:val="24"/>
              </w:rPr>
              <w:t>1.</w:t>
            </w:r>
            <w:r>
              <w:rPr>
                <w:rFonts w:hint="eastAsia" w:ascii="仿宋_GB2312" w:hAnsi="宋体" w:cs="宋体"/>
                <w:color w:val="000000"/>
                <w:kern w:val="0"/>
                <w:sz w:val="24"/>
                <w:szCs w:val="24"/>
              </w:rPr>
              <w:t>要求提供通过投标人购买的项目负责人和项目主要团队成员（主要技术人员）开标之日前三个月中任意一个月的社保证明（如投标人为新成立且成立时间不足1个月的，提供加盖投标人公司的情况说明或证明材料的视为符合社保证明的要求。退休人员提供返聘合同也视为符合）、相关证书、工作经验证明作为得分依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ascii="仿宋_GB2312" w:hAnsi="宋体" w:cs="宋体"/>
                <w:color w:val="000000"/>
                <w:kern w:val="0"/>
                <w:sz w:val="24"/>
                <w:szCs w:val="24"/>
              </w:rPr>
              <w:t>2.</w:t>
            </w:r>
            <w:r>
              <w:rPr>
                <w:rFonts w:hint="eastAsia" w:ascii="仿宋_GB2312" w:hAnsi="宋体" w:cs="宋体"/>
                <w:color w:val="000000"/>
                <w:kern w:val="0"/>
                <w:sz w:val="24"/>
                <w:szCs w:val="24"/>
              </w:rPr>
              <w:t>工作经验证明为项目合同关键信息，通过合同关键信息无法判断是否得分的，可提供合同甲方出具的证明文件。</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仿宋_GB2312" w:hAnsi="宋体" w:cs="宋体"/>
                <w:color w:val="000000"/>
                <w:kern w:val="0"/>
                <w:sz w:val="24"/>
                <w:szCs w:val="24"/>
              </w:rPr>
            </w:pPr>
            <w:r>
              <w:rPr>
                <w:rFonts w:ascii="仿宋_GB2312" w:hAnsi="宋体" w:cs="宋体"/>
                <w:color w:val="000000"/>
                <w:kern w:val="0"/>
                <w:sz w:val="24"/>
                <w:szCs w:val="24"/>
              </w:rPr>
              <w:t>3.</w:t>
            </w:r>
            <w:r>
              <w:rPr>
                <w:rFonts w:hint="eastAsia" w:ascii="仿宋_GB2312" w:hAnsi="宋体" w:cs="宋体"/>
                <w:color w:val="000000"/>
                <w:kern w:val="0"/>
                <w:sz w:val="24"/>
                <w:szCs w:val="24"/>
              </w:rPr>
              <w:t>以上资料均要求提供扫描件，原件备查。</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5</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lang w:val="en-US" w:eastAsia="zh-CN"/>
              </w:rPr>
              <w:t>投标</w:t>
            </w:r>
            <w:r>
              <w:rPr>
                <w:rFonts w:hint="eastAsia" w:ascii="仿宋_GB2312" w:hAnsi="宋体" w:cs="宋体"/>
                <w:sz w:val="24"/>
                <w:szCs w:val="24"/>
              </w:rPr>
              <w:t>文件编制质量</w:t>
            </w:r>
          </w:p>
        </w:tc>
        <w:tc>
          <w:tcPr>
            <w:tcW w:w="850"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2</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spacing w:line="240" w:lineRule="auto"/>
              <w:ind w:firstLine="0" w:firstLineChars="0"/>
              <w:jc w:val="left"/>
              <w:rPr>
                <w:rFonts w:ascii="仿宋_GB2312" w:hAnsi="宋体" w:cs="宋体"/>
                <w:color w:val="000000"/>
                <w:kern w:val="0"/>
                <w:sz w:val="24"/>
                <w:szCs w:val="24"/>
              </w:rPr>
            </w:pPr>
            <w:r>
              <w:rPr>
                <w:rFonts w:hint="eastAsia" w:ascii="仿宋_GB2312" w:hAnsi="宋体" w:cs="宋体"/>
                <w:color w:val="000000"/>
                <w:kern w:val="0"/>
                <w:sz w:val="24"/>
                <w:szCs w:val="24"/>
              </w:rPr>
              <w:t>1.</w:t>
            </w:r>
            <w:r>
              <w:rPr>
                <w:rFonts w:hint="eastAsia" w:ascii="仿宋_GB2312" w:hAnsi="宋体" w:cs="宋体"/>
                <w:color w:val="000000"/>
                <w:kern w:val="0"/>
                <w:sz w:val="24"/>
                <w:szCs w:val="24"/>
                <w:lang w:val="en-US" w:eastAsia="zh-CN"/>
              </w:rPr>
              <w:t>投标</w:t>
            </w:r>
            <w:r>
              <w:rPr>
                <w:rFonts w:ascii="仿宋_GB2312" w:hAnsi="宋体" w:cs="宋体"/>
                <w:color w:val="000000"/>
                <w:kern w:val="0"/>
                <w:sz w:val="24"/>
                <w:szCs w:val="24"/>
              </w:rPr>
              <w:t>文件不按采购文件中规定的要求提供的扣</w:t>
            </w:r>
            <w:r>
              <w:rPr>
                <w:rFonts w:hint="eastAsia" w:ascii="仿宋_GB2312" w:hAnsi="宋体" w:cs="宋体"/>
                <w:color w:val="000000"/>
                <w:kern w:val="0"/>
                <w:sz w:val="24"/>
                <w:szCs w:val="24"/>
              </w:rPr>
              <w:t>25</w:t>
            </w:r>
            <w:r>
              <w:rPr>
                <w:rFonts w:ascii="仿宋_GB2312" w:hAnsi="宋体" w:cs="宋体"/>
                <w:color w:val="000000"/>
                <w:kern w:val="0"/>
                <w:sz w:val="24"/>
                <w:szCs w:val="24"/>
              </w:rPr>
              <w:t>分；</w:t>
            </w:r>
          </w:p>
          <w:p>
            <w:pPr>
              <w:spacing w:line="240" w:lineRule="auto"/>
              <w:ind w:firstLine="0" w:firstLineChars="0"/>
              <w:jc w:val="left"/>
              <w:rPr>
                <w:rFonts w:ascii="仿宋_GB2312" w:hAnsi="宋体" w:cs="宋体"/>
                <w:color w:val="000000"/>
                <w:kern w:val="0"/>
                <w:sz w:val="24"/>
                <w:szCs w:val="24"/>
              </w:rPr>
            </w:pPr>
            <w:r>
              <w:rPr>
                <w:rFonts w:ascii="仿宋_GB2312" w:hAnsi="宋体" w:cs="宋体"/>
                <w:color w:val="000000"/>
                <w:kern w:val="0"/>
                <w:sz w:val="24"/>
                <w:szCs w:val="24"/>
              </w:rPr>
              <w:t>2.</w:t>
            </w:r>
            <w:r>
              <w:rPr>
                <w:rFonts w:hint="eastAsia" w:ascii="仿宋_GB2312" w:hAnsi="宋体" w:cs="宋体"/>
                <w:color w:val="000000"/>
                <w:kern w:val="0"/>
                <w:sz w:val="24"/>
                <w:szCs w:val="24"/>
                <w:lang w:val="en-US" w:eastAsia="zh-CN"/>
              </w:rPr>
              <w:t>投标</w:t>
            </w:r>
            <w:r>
              <w:rPr>
                <w:rFonts w:ascii="仿宋_GB2312" w:hAnsi="宋体" w:cs="宋体"/>
                <w:color w:val="000000"/>
                <w:kern w:val="0"/>
                <w:sz w:val="24"/>
                <w:szCs w:val="24"/>
              </w:rPr>
              <w:t>文件有缺漏项未导致实质性偏离的扣</w:t>
            </w:r>
            <w:r>
              <w:rPr>
                <w:rFonts w:hint="eastAsia" w:ascii="仿宋_GB2312" w:hAnsi="宋体" w:cs="宋体"/>
                <w:color w:val="000000"/>
                <w:kern w:val="0"/>
                <w:sz w:val="24"/>
                <w:szCs w:val="24"/>
              </w:rPr>
              <w:t>25</w:t>
            </w:r>
            <w:r>
              <w:rPr>
                <w:rFonts w:ascii="仿宋_GB2312" w:hAnsi="宋体" w:cs="宋体"/>
                <w:color w:val="000000"/>
                <w:kern w:val="0"/>
                <w:sz w:val="24"/>
                <w:szCs w:val="24"/>
              </w:rPr>
              <w:t>分；</w:t>
            </w:r>
          </w:p>
          <w:p>
            <w:pPr>
              <w:spacing w:line="240" w:lineRule="auto"/>
              <w:ind w:firstLine="0" w:firstLineChars="0"/>
              <w:jc w:val="left"/>
              <w:rPr>
                <w:rFonts w:ascii="仿宋_GB2312" w:hAnsi="宋体" w:cs="宋体"/>
                <w:color w:val="000000"/>
                <w:kern w:val="0"/>
                <w:sz w:val="24"/>
                <w:szCs w:val="24"/>
              </w:rPr>
            </w:pPr>
            <w:r>
              <w:rPr>
                <w:rFonts w:ascii="仿宋_GB2312" w:hAnsi="宋体" w:cs="宋体"/>
                <w:color w:val="000000"/>
                <w:kern w:val="0"/>
                <w:sz w:val="24"/>
                <w:szCs w:val="24"/>
              </w:rPr>
              <w:t>3.</w:t>
            </w:r>
            <w:r>
              <w:rPr>
                <w:rFonts w:hint="eastAsia" w:ascii="仿宋_GB2312" w:hAnsi="宋体" w:cs="宋体"/>
                <w:color w:val="000000"/>
                <w:kern w:val="0"/>
                <w:sz w:val="24"/>
                <w:szCs w:val="24"/>
                <w:lang w:val="en-US" w:eastAsia="zh-CN"/>
              </w:rPr>
              <w:t>投标</w:t>
            </w:r>
            <w:r>
              <w:rPr>
                <w:rFonts w:ascii="仿宋_GB2312" w:hAnsi="宋体" w:cs="宋体"/>
                <w:color w:val="000000"/>
                <w:kern w:val="0"/>
                <w:sz w:val="24"/>
                <w:szCs w:val="24"/>
              </w:rPr>
              <w:t>文件资料扫描不清晰的扣</w:t>
            </w:r>
            <w:r>
              <w:rPr>
                <w:rFonts w:hint="eastAsia" w:ascii="仿宋_GB2312" w:hAnsi="宋体" w:cs="宋体"/>
                <w:color w:val="000000"/>
                <w:kern w:val="0"/>
                <w:sz w:val="24"/>
                <w:szCs w:val="24"/>
              </w:rPr>
              <w:t>25</w:t>
            </w:r>
            <w:r>
              <w:rPr>
                <w:rFonts w:ascii="仿宋_GB2312" w:hAnsi="宋体" w:cs="宋体"/>
                <w:color w:val="000000"/>
                <w:kern w:val="0"/>
                <w:sz w:val="24"/>
                <w:szCs w:val="24"/>
              </w:rPr>
              <w:t>分；</w:t>
            </w:r>
          </w:p>
          <w:p>
            <w:pPr>
              <w:spacing w:line="240" w:lineRule="auto"/>
              <w:ind w:firstLine="0" w:firstLineChars="0"/>
              <w:jc w:val="left"/>
              <w:rPr>
                <w:rFonts w:ascii="仿宋_GB2312" w:hAnsi="宋体" w:cs="宋体"/>
                <w:color w:val="000000"/>
                <w:kern w:val="0"/>
                <w:sz w:val="24"/>
                <w:szCs w:val="24"/>
              </w:rPr>
            </w:pPr>
            <w:r>
              <w:rPr>
                <w:rFonts w:ascii="仿宋_GB2312" w:hAnsi="宋体" w:cs="宋体"/>
                <w:color w:val="000000"/>
                <w:kern w:val="0"/>
                <w:sz w:val="24"/>
                <w:szCs w:val="24"/>
              </w:rPr>
              <w:t>4.</w:t>
            </w:r>
            <w:r>
              <w:rPr>
                <w:rFonts w:hint="eastAsia" w:ascii="仿宋_GB2312" w:hAnsi="宋体" w:cs="宋体"/>
                <w:color w:val="000000"/>
                <w:kern w:val="0"/>
                <w:sz w:val="24"/>
                <w:szCs w:val="24"/>
                <w:lang w:val="en-US" w:eastAsia="zh-CN"/>
              </w:rPr>
              <w:t>投标</w:t>
            </w:r>
            <w:r>
              <w:rPr>
                <w:rFonts w:ascii="仿宋_GB2312" w:hAnsi="宋体" w:cs="宋体"/>
                <w:color w:val="000000"/>
                <w:kern w:val="0"/>
                <w:sz w:val="24"/>
                <w:szCs w:val="24"/>
              </w:rPr>
              <w:t>文件编排混乱的扣</w:t>
            </w:r>
            <w:r>
              <w:rPr>
                <w:rFonts w:hint="eastAsia" w:ascii="仿宋_GB2312" w:hAnsi="宋体" w:cs="宋体"/>
                <w:color w:val="000000"/>
                <w:kern w:val="0"/>
                <w:sz w:val="24"/>
                <w:szCs w:val="24"/>
              </w:rPr>
              <w:t>25</w:t>
            </w:r>
            <w:r>
              <w:rPr>
                <w:rFonts w:ascii="仿宋_GB2312" w:hAnsi="宋体" w:cs="宋体"/>
                <w:color w:val="000000"/>
                <w:kern w:val="0"/>
                <w:sz w:val="24"/>
                <w:szCs w:val="24"/>
              </w:rPr>
              <w:t>分；</w:t>
            </w:r>
          </w:p>
          <w:p>
            <w:pPr>
              <w:spacing w:line="240" w:lineRule="auto"/>
              <w:ind w:firstLine="0" w:firstLineChars="0"/>
              <w:jc w:val="left"/>
              <w:rPr>
                <w:rFonts w:ascii="仿宋_GB2312" w:hAnsi="宋体" w:cs="宋体"/>
                <w:sz w:val="24"/>
                <w:szCs w:val="24"/>
              </w:rPr>
            </w:pPr>
            <w:r>
              <w:rPr>
                <w:rFonts w:ascii="仿宋_GB2312" w:hAnsi="宋体" w:cs="宋体"/>
                <w:color w:val="000000"/>
                <w:kern w:val="0"/>
                <w:sz w:val="24"/>
                <w:szCs w:val="24"/>
              </w:rPr>
              <w:t>无以上述情况本项得</w:t>
            </w:r>
            <w:r>
              <w:rPr>
                <w:rFonts w:hint="eastAsia" w:ascii="仿宋_GB2312" w:hAnsi="宋体" w:cs="宋体"/>
                <w:color w:val="000000"/>
                <w:kern w:val="0"/>
                <w:sz w:val="24"/>
                <w:szCs w:val="24"/>
              </w:rPr>
              <w:t>100</w:t>
            </w:r>
            <w:r>
              <w:rPr>
                <w:rFonts w:ascii="仿宋_GB2312" w:hAnsi="宋体" w:cs="宋体"/>
                <w:color w:val="000000"/>
                <w:kern w:val="0"/>
                <w:sz w:val="24"/>
                <w:szCs w:val="24"/>
              </w:rPr>
              <w:t>分。</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4077" w:type="dxa"/>
            <w:gridSpan w:val="4"/>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四、诚信情况</w:t>
            </w:r>
          </w:p>
        </w:tc>
        <w:tc>
          <w:tcPr>
            <w:tcW w:w="4395" w:type="dxa"/>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5</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4"/>
                <w:szCs w:val="24"/>
              </w:rPr>
              <w:t>序号</w:t>
            </w:r>
          </w:p>
        </w:tc>
        <w:tc>
          <w:tcPr>
            <w:tcW w:w="1418"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4"/>
                <w:szCs w:val="24"/>
              </w:rPr>
              <w:t>评分因素</w:t>
            </w:r>
          </w:p>
        </w:tc>
        <w:tc>
          <w:tcPr>
            <w:tcW w:w="850" w:type="dxa"/>
            <w:vAlign w:val="center"/>
          </w:tcPr>
          <w:p>
            <w:pPr>
              <w:spacing w:line="240" w:lineRule="auto"/>
              <w:ind w:firstLine="0" w:firstLineChars="0"/>
              <w:rPr>
                <w:rFonts w:ascii="宋体" w:hAnsi="宋体" w:eastAsia="宋体" w:cs="宋体"/>
                <w:b/>
                <w:sz w:val="24"/>
                <w:szCs w:val="24"/>
              </w:rPr>
            </w:pPr>
            <w:r>
              <w:rPr>
                <w:rFonts w:hint="eastAsia" w:ascii="宋体" w:hAnsi="宋体" w:eastAsia="宋体" w:cs="宋体"/>
                <w:b/>
                <w:sz w:val="24"/>
                <w:szCs w:val="24"/>
              </w:rPr>
              <w:t>权重</w:t>
            </w:r>
          </w:p>
        </w:tc>
        <w:tc>
          <w:tcPr>
            <w:tcW w:w="992" w:type="dxa"/>
            <w:vAlign w:val="center"/>
          </w:tcPr>
          <w:p>
            <w:pPr>
              <w:spacing w:line="240" w:lineRule="auto"/>
              <w:ind w:firstLine="0" w:firstLineChars="0"/>
              <w:jc w:val="center"/>
              <w:rPr>
                <w:rFonts w:ascii="宋体" w:hAnsi="宋体" w:eastAsia="宋体" w:cs="宋体"/>
                <w:b/>
                <w:sz w:val="24"/>
                <w:szCs w:val="24"/>
              </w:rPr>
            </w:pPr>
            <w:r>
              <w:rPr>
                <w:rFonts w:hint="eastAsia" w:ascii="宋体" w:hAnsi="宋体" w:eastAsia="宋体" w:cs="宋体"/>
                <w:b/>
                <w:sz w:val="24"/>
                <w:szCs w:val="24"/>
              </w:rPr>
              <w:t>评分方式</w:t>
            </w:r>
          </w:p>
        </w:tc>
        <w:tc>
          <w:tcPr>
            <w:tcW w:w="4395" w:type="dxa"/>
            <w:vAlign w:val="center"/>
          </w:tcPr>
          <w:p>
            <w:pPr>
              <w:spacing w:line="240" w:lineRule="auto"/>
              <w:ind w:firstLine="482"/>
              <w:jc w:val="center"/>
              <w:rPr>
                <w:rFonts w:ascii="宋体" w:hAnsi="宋体" w:eastAsia="宋体" w:cs="宋体"/>
                <w:b/>
                <w:sz w:val="24"/>
                <w:szCs w:val="24"/>
              </w:rPr>
            </w:pPr>
            <w:r>
              <w:rPr>
                <w:rFonts w:hint="eastAsia" w:ascii="宋体" w:hAnsi="宋体" w:eastAsia="宋体" w:cs="宋体"/>
                <w:b/>
                <w:sz w:val="24"/>
                <w:szCs w:val="24"/>
              </w:rPr>
              <w:t>评分准则</w:t>
            </w:r>
          </w:p>
        </w:tc>
        <w:tc>
          <w:tcPr>
            <w:tcW w:w="850" w:type="dxa"/>
            <w:vAlign w:val="center"/>
          </w:tcPr>
          <w:p>
            <w:pPr>
              <w:spacing w:line="240" w:lineRule="auto"/>
              <w:ind w:firstLine="482"/>
              <w:jc w:val="center"/>
              <w:rPr>
                <w:rFonts w:ascii="宋体" w:hAnsi="宋体" w:eastAsia="宋体" w:cs="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1</w:t>
            </w:r>
          </w:p>
        </w:tc>
        <w:tc>
          <w:tcPr>
            <w:tcW w:w="1418"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诚信</w:t>
            </w:r>
          </w:p>
        </w:tc>
        <w:tc>
          <w:tcPr>
            <w:tcW w:w="850"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5</w:t>
            </w:r>
          </w:p>
        </w:tc>
        <w:tc>
          <w:tcPr>
            <w:tcW w:w="992"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评委</w:t>
            </w:r>
          </w:p>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打分</w:t>
            </w:r>
          </w:p>
        </w:tc>
        <w:tc>
          <w:tcPr>
            <w:tcW w:w="4395" w:type="dxa"/>
            <w:vAlign w:val="center"/>
          </w:tcPr>
          <w:p>
            <w:pPr>
              <w:spacing w:line="240" w:lineRule="auto"/>
              <w:ind w:firstLine="0" w:firstLineChars="0"/>
              <w:rPr>
                <w:rFonts w:ascii="仿宋_GB2312" w:hAnsi="宋体" w:cs="宋体"/>
                <w:color w:val="000000"/>
                <w:kern w:val="0"/>
                <w:sz w:val="24"/>
                <w:szCs w:val="24"/>
              </w:rPr>
            </w:pPr>
            <w:r>
              <w:rPr>
                <w:rFonts w:ascii="仿宋_GB2312" w:hAnsi="宋体" w:cs="宋体"/>
                <w:color w:val="000000"/>
                <w:kern w:val="0"/>
                <w:sz w:val="24"/>
                <w:szCs w:val="24"/>
              </w:rPr>
              <w:t>投标人存在《深圳市财政局政府采购供应商信用信息管理办法》（深财规〔2023〕3号）列明的严重违法失信行为记录信息、一般行政处罚信息和一般违法失信行为记录信息的，本项不得分，不存在上述情形的本项得</w:t>
            </w:r>
            <w:r>
              <w:rPr>
                <w:rFonts w:hint="eastAsia" w:ascii="仿宋_GB2312" w:hAnsi="宋体" w:cs="宋体"/>
                <w:color w:val="000000"/>
                <w:kern w:val="0"/>
                <w:sz w:val="24"/>
                <w:szCs w:val="24"/>
              </w:rPr>
              <w:t>100</w:t>
            </w:r>
            <w:r>
              <w:rPr>
                <w:rFonts w:ascii="仿宋_GB2312" w:hAnsi="宋体" w:cs="宋体"/>
                <w:color w:val="000000"/>
                <w:kern w:val="0"/>
                <w:sz w:val="24"/>
                <w:szCs w:val="24"/>
              </w:rPr>
              <w:t>分。</w:t>
            </w:r>
          </w:p>
          <w:p>
            <w:pPr>
              <w:spacing w:line="240" w:lineRule="auto"/>
              <w:ind w:firstLine="0" w:firstLineChars="0"/>
              <w:rPr>
                <w:rFonts w:ascii="仿宋_GB2312" w:hAnsi="宋体" w:cs="宋体"/>
                <w:sz w:val="24"/>
                <w:szCs w:val="24"/>
              </w:rPr>
            </w:pPr>
            <w:r>
              <w:rPr>
                <w:rFonts w:ascii="仿宋_GB2312" w:hAnsi="宋体" w:cs="宋体"/>
                <w:color w:val="000000"/>
                <w:kern w:val="0"/>
                <w:sz w:val="24"/>
                <w:szCs w:val="24"/>
              </w:rPr>
              <w:t>评分依据：通过“信用中国”（www.creditchina.gov.cn）、“中国政府采购网”（www.ccgp.gov.cn）、“深圳市政府采购监管网”（http://zfcg.sz.gov.cn）以及财政主管部门认定的其他渠道查询供应商信用信息，</w:t>
            </w:r>
            <w:r>
              <w:rPr>
                <w:rFonts w:hint="eastAsia" w:ascii="仿宋_GB2312" w:hAnsi="宋体" w:cs="宋体"/>
                <w:color w:val="000000"/>
                <w:kern w:val="0"/>
                <w:sz w:val="24"/>
                <w:szCs w:val="24"/>
              </w:rPr>
              <w:t>信用记录查询日期应在公告发出日与报名截止日之间</w:t>
            </w:r>
            <w:r>
              <w:rPr>
                <w:rFonts w:ascii="仿宋_GB2312" w:hAnsi="宋体" w:cs="宋体"/>
                <w:color w:val="000000"/>
                <w:kern w:val="0"/>
                <w:sz w:val="24"/>
                <w:szCs w:val="24"/>
              </w:rPr>
              <w:t>。</w:t>
            </w:r>
          </w:p>
        </w:tc>
        <w:tc>
          <w:tcPr>
            <w:tcW w:w="850" w:type="dxa"/>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rPr>
                <w:rFonts w:ascii="仿宋_GB2312" w:hAnsi="宋体" w:cs="宋体"/>
                <w:b/>
                <w:sz w:val="24"/>
                <w:szCs w:val="24"/>
              </w:rPr>
            </w:pPr>
            <w:r>
              <w:rPr>
                <w:rFonts w:hint="eastAsia" w:ascii="仿宋_GB2312" w:hAnsi="宋体" w:cs="宋体"/>
                <w:b/>
                <w:sz w:val="28"/>
                <w:szCs w:val="24"/>
              </w:rPr>
              <w:t>总分</w:t>
            </w:r>
          </w:p>
        </w:tc>
        <w:tc>
          <w:tcPr>
            <w:tcW w:w="8505" w:type="dxa"/>
            <w:gridSpan w:val="5"/>
            <w:vAlign w:val="center"/>
          </w:tcPr>
          <w:p>
            <w:pPr>
              <w:spacing w:line="240" w:lineRule="auto"/>
              <w:ind w:firstLine="480"/>
              <w:jc w:val="center"/>
              <w:rPr>
                <w:rFonts w:ascii="仿宋_GB2312"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说明</w:t>
            </w:r>
          </w:p>
        </w:tc>
        <w:tc>
          <w:tcPr>
            <w:tcW w:w="8505" w:type="dxa"/>
            <w:gridSpan w:val="5"/>
            <w:vAlign w:val="center"/>
          </w:tcPr>
          <w:p>
            <w:pPr>
              <w:spacing w:line="240" w:lineRule="auto"/>
              <w:ind w:firstLine="0" w:firstLineChars="0"/>
              <w:jc w:val="center"/>
              <w:rPr>
                <w:rFonts w:ascii="仿宋_GB2312" w:hAnsi="宋体" w:cs="宋体"/>
                <w:sz w:val="24"/>
                <w:szCs w:val="24"/>
              </w:rPr>
            </w:pPr>
            <w:r>
              <w:rPr>
                <w:rFonts w:hint="eastAsia" w:ascii="仿宋_GB2312" w:hAnsi="宋体" w:cs="宋体"/>
                <w:sz w:val="24"/>
                <w:szCs w:val="24"/>
              </w:rPr>
              <w:t>经采购小组和分管局领导同意，本表可根据采购项目需求进行调整或重新设计。</w:t>
            </w:r>
          </w:p>
        </w:tc>
      </w:tr>
    </w:tbl>
    <w:p>
      <w:pPr>
        <w:spacing w:line="240" w:lineRule="auto"/>
        <w:ind w:firstLine="0" w:firstLineChars="0"/>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wiss"/>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5B7"/>
    <w:rsid w:val="001A4A81"/>
    <w:rsid w:val="0024234E"/>
    <w:rsid w:val="002B67AE"/>
    <w:rsid w:val="003155B7"/>
    <w:rsid w:val="003823A8"/>
    <w:rsid w:val="003B36E0"/>
    <w:rsid w:val="003C2903"/>
    <w:rsid w:val="003C7949"/>
    <w:rsid w:val="004317A4"/>
    <w:rsid w:val="0044457B"/>
    <w:rsid w:val="004A3F80"/>
    <w:rsid w:val="004E2071"/>
    <w:rsid w:val="004F5F9D"/>
    <w:rsid w:val="0050253A"/>
    <w:rsid w:val="005258F8"/>
    <w:rsid w:val="005A6F89"/>
    <w:rsid w:val="005B3489"/>
    <w:rsid w:val="005F052B"/>
    <w:rsid w:val="00661897"/>
    <w:rsid w:val="0067709A"/>
    <w:rsid w:val="006B1916"/>
    <w:rsid w:val="006E626F"/>
    <w:rsid w:val="00734D7A"/>
    <w:rsid w:val="00757B3E"/>
    <w:rsid w:val="007A7157"/>
    <w:rsid w:val="00806D42"/>
    <w:rsid w:val="008977F2"/>
    <w:rsid w:val="008A4932"/>
    <w:rsid w:val="009425AC"/>
    <w:rsid w:val="00A62777"/>
    <w:rsid w:val="00A6304A"/>
    <w:rsid w:val="00A823F3"/>
    <w:rsid w:val="00AC5893"/>
    <w:rsid w:val="00AD1B20"/>
    <w:rsid w:val="00B86728"/>
    <w:rsid w:val="00BD2492"/>
    <w:rsid w:val="00BD4806"/>
    <w:rsid w:val="00BE7876"/>
    <w:rsid w:val="00BE7CE8"/>
    <w:rsid w:val="00C17FE9"/>
    <w:rsid w:val="00C2767D"/>
    <w:rsid w:val="00C35AAE"/>
    <w:rsid w:val="00CF3836"/>
    <w:rsid w:val="00D10F26"/>
    <w:rsid w:val="00D20DD2"/>
    <w:rsid w:val="00E1053C"/>
    <w:rsid w:val="00E50288"/>
    <w:rsid w:val="00E52381"/>
    <w:rsid w:val="00EC7B43"/>
    <w:rsid w:val="00F0606D"/>
    <w:rsid w:val="00FD319C"/>
    <w:rsid w:val="04F05551"/>
    <w:rsid w:val="087234B8"/>
    <w:rsid w:val="0D8A5E42"/>
    <w:rsid w:val="0E6427D4"/>
    <w:rsid w:val="218D4AA1"/>
    <w:rsid w:val="24D01C81"/>
    <w:rsid w:val="35602DFC"/>
    <w:rsid w:val="373E1C89"/>
    <w:rsid w:val="40D81605"/>
    <w:rsid w:val="41A70576"/>
    <w:rsid w:val="491865D7"/>
    <w:rsid w:val="5BB57B7B"/>
    <w:rsid w:val="66065BBA"/>
    <w:rsid w:val="670529A0"/>
    <w:rsid w:val="69BD6679"/>
    <w:rsid w:val="7689150C"/>
    <w:rsid w:val="798E7CA5"/>
    <w:rsid w:val="79AE6004"/>
    <w:rsid w:val="7C834566"/>
    <w:rsid w:val="7F820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Calibri" w:hAnsi="Calibri" w:eastAsia="仿宋_GB2312" w:cs="Times New Roman"/>
      <w:kern w:val="2"/>
      <w:sz w:val="32"/>
      <w:szCs w:val="22"/>
      <w:lang w:val="en-US" w:eastAsia="zh-CN" w:bidi="ar-SA"/>
    </w:rPr>
  </w:style>
  <w:style w:type="paragraph" w:styleId="3">
    <w:name w:val="heading 2"/>
    <w:next w:val="4"/>
    <w:unhideWhenUsed/>
    <w:qFormat/>
    <w:uiPriority w:val="0"/>
    <w:pPr>
      <w:keepNext/>
      <w:keepLines/>
      <w:widowControl w:val="0"/>
      <w:spacing w:before="240" w:after="240" w:line="560" w:lineRule="exact"/>
      <w:jc w:val="center"/>
      <w:outlineLvl w:val="1"/>
    </w:pPr>
    <w:rPr>
      <w:rFonts w:ascii="Arial" w:hAnsi="Arial" w:eastAsia="方正小标宋简体" w:cs="Times New Roman"/>
      <w:kern w:val="2"/>
      <w:sz w:val="44"/>
      <w:szCs w:val="22"/>
      <w:lang w:val="en-US" w:eastAsia="zh-CN" w:bidi="ar-SA"/>
    </w:rPr>
  </w:style>
  <w:style w:type="paragraph" w:styleId="5">
    <w:name w:val="heading 3"/>
    <w:next w:val="1"/>
    <w:unhideWhenUsed/>
    <w:qFormat/>
    <w:uiPriority w:val="0"/>
    <w:pPr>
      <w:keepNext/>
      <w:keepLines/>
      <w:widowControl w:val="0"/>
      <w:spacing w:before="240" w:after="240" w:line="240" w:lineRule="exact"/>
      <w:jc w:val="center"/>
      <w:outlineLvl w:val="2"/>
    </w:pPr>
    <w:rPr>
      <w:rFonts w:ascii="Calibri" w:hAnsi="Calibri" w:eastAsia="黑体" w:cs="Times New Roman"/>
      <w:kern w:val="2"/>
      <w:sz w:val="32"/>
      <w:szCs w:val="22"/>
      <w:lang w:val="en-US" w:eastAsia="zh-CN" w:bidi="ar-SA"/>
    </w:rPr>
  </w:style>
  <w:style w:type="paragraph" w:styleId="4">
    <w:name w:val="heading 4"/>
    <w:next w:val="1"/>
    <w:unhideWhenUsed/>
    <w:qFormat/>
    <w:uiPriority w:val="0"/>
    <w:pPr>
      <w:widowControl w:val="0"/>
      <w:spacing w:before="100" w:beforeAutospacing="1" w:after="100" w:afterAutospacing="1" w:line="560" w:lineRule="exact"/>
      <w:ind w:firstLine="880" w:firstLineChars="200"/>
      <w:outlineLvl w:val="3"/>
    </w:pPr>
    <w:rPr>
      <w:rFonts w:hint="eastAsia" w:ascii="宋体" w:hAnsi="宋体" w:eastAsia="宋体" w:cs="Times New Roman"/>
      <w:sz w:val="21"/>
      <w:szCs w:val="21"/>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文档正文"/>
    <w:qFormat/>
    <w:uiPriority w:val="99"/>
    <w:pPr>
      <w:widowControl w:val="0"/>
      <w:adjustRightInd w:val="0"/>
      <w:spacing w:line="480" w:lineRule="atLeast"/>
      <w:ind w:firstLine="567" w:firstLineChars="200"/>
      <w:jc w:val="both"/>
      <w:textAlignment w:val="baseline"/>
    </w:pPr>
    <w:rPr>
      <w:rFonts w:ascii="长城仿宋" w:hAnsi="Calibri" w:eastAsia="仿宋_GB2312" w:cs="Times New Roman"/>
      <w:sz w:val="32"/>
      <w:lang w:val="en-US" w:eastAsia="zh-CN" w:bidi="ar-SA"/>
    </w:rPr>
  </w:style>
  <w:style w:type="paragraph" w:styleId="6">
    <w:name w:val="Normal Indent"/>
    <w:qFormat/>
    <w:uiPriority w:val="0"/>
    <w:pPr>
      <w:widowControl w:val="0"/>
      <w:spacing w:line="560" w:lineRule="exact"/>
      <w:ind w:firstLine="420" w:firstLineChars="200"/>
      <w:jc w:val="both"/>
    </w:pPr>
    <w:rPr>
      <w:rFonts w:ascii="Calibri" w:hAnsi="Calibri" w:eastAsia="仿宋_GB2312" w:cs="Times New Roman"/>
      <w:kern w:val="2"/>
      <w:sz w:val="32"/>
      <w:szCs w:val="22"/>
      <w:lang w:val="en-US" w:eastAsia="zh-CN" w:bidi="ar-SA"/>
    </w:rPr>
  </w:style>
  <w:style w:type="paragraph" w:styleId="7">
    <w:name w:val="Body Text"/>
    <w:next w:val="1"/>
    <w:qFormat/>
    <w:uiPriority w:val="0"/>
    <w:pPr>
      <w:widowControl w:val="0"/>
      <w:spacing w:after="120" w:line="560" w:lineRule="exact"/>
      <w:ind w:firstLine="880" w:firstLineChars="200"/>
      <w:jc w:val="both"/>
    </w:pPr>
    <w:rPr>
      <w:rFonts w:ascii="Calibri" w:hAnsi="Calibri" w:eastAsia="仿宋_GB2312" w:cs="Times New Roman"/>
      <w:kern w:val="2"/>
      <w:sz w:val="32"/>
      <w:szCs w:val="22"/>
      <w:lang w:val="en-US" w:eastAsia="zh-CN" w:bidi="ar-SA"/>
    </w:rPr>
  </w:style>
  <w:style w:type="paragraph" w:styleId="8">
    <w:name w:val="Plain Text"/>
    <w:basedOn w:val="1"/>
    <w:link w:val="18"/>
    <w:qFormat/>
    <w:uiPriority w:val="0"/>
    <w:rPr>
      <w:rFonts w:ascii="宋体" w:hAnsi="Courier New"/>
      <w:szCs w:val="21"/>
    </w:rPr>
  </w:style>
  <w:style w:type="paragraph" w:styleId="9">
    <w:name w:val="Balloon Text"/>
    <w:basedOn w:val="1"/>
    <w:link w:val="19"/>
    <w:qFormat/>
    <w:uiPriority w:val="0"/>
    <w:pPr>
      <w:spacing w:line="240" w:lineRule="auto"/>
    </w:pPr>
    <w:rPr>
      <w:sz w:val="18"/>
      <w:szCs w:val="18"/>
    </w:rPr>
  </w:style>
  <w:style w:type="paragraph" w:styleId="10">
    <w:name w:val="footer"/>
    <w:basedOn w:val="1"/>
    <w:link w:val="17"/>
    <w:qFormat/>
    <w:uiPriority w:val="0"/>
    <w:pPr>
      <w:tabs>
        <w:tab w:val="center" w:pos="4153"/>
        <w:tab w:val="right" w:pos="8306"/>
      </w:tabs>
      <w:snapToGrid w:val="0"/>
      <w:spacing w:line="240" w:lineRule="atLeast"/>
      <w:jc w:val="left"/>
    </w:pPr>
    <w:rPr>
      <w:sz w:val="18"/>
      <w:szCs w:val="18"/>
    </w:rPr>
  </w:style>
  <w:style w:type="paragraph" w:styleId="11">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paragraph" w:customStyle="1" w:styleId="15">
    <w:name w:val="纯文本1"/>
    <w:qFormat/>
    <w:uiPriority w:val="0"/>
    <w:pPr>
      <w:widowControl w:val="0"/>
      <w:jc w:val="both"/>
    </w:pPr>
    <w:rPr>
      <w:rFonts w:ascii="宋体" w:hAnsi="Courier New" w:eastAsia="仿宋_GB2312" w:cs="Times New Roman"/>
      <w:kern w:val="2"/>
      <w:sz w:val="32"/>
      <w:lang w:val="en-US" w:eastAsia="zh-CN" w:bidi="ar-SA"/>
    </w:rPr>
  </w:style>
  <w:style w:type="character" w:customStyle="1" w:styleId="16">
    <w:name w:val="页眉 字符"/>
    <w:basedOn w:val="14"/>
    <w:link w:val="11"/>
    <w:qFormat/>
    <w:uiPriority w:val="0"/>
    <w:rPr>
      <w:rFonts w:ascii="Calibri" w:hAnsi="Calibri" w:eastAsia="仿宋_GB2312"/>
      <w:kern w:val="2"/>
      <w:sz w:val="18"/>
      <w:szCs w:val="18"/>
    </w:rPr>
  </w:style>
  <w:style w:type="character" w:customStyle="1" w:styleId="17">
    <w:name w:val="页脚 字符"/>
    <w:basedOn w:val="14"/>
    <w:link w:val="10"/>
    <w:qFormat/>
    <w:uiPriority w:val="0"/>
    <w:rPr>
      <w:rFonts w:ascii="Calibri" w:hAnsi="Calibri" w:eastAsia="仿宋_GB2312"/>
      <w:kern w:val="2"/>
      <w:sz w:val="18"/>
      <w:szCs w:val="18"/>
    </w:rPr>
  </w:style>
  <w:style w:type="character" w:customStyle="1" w:styleId="18">
    <w:name w:val="纯文本 字符"/>
    <w:basedOn w:val="14"/>
    <w:link w:val="8"/>
    <w:qFormat/>
    <w:uiPriority w:val="0"/>
    <w:rPr>
      <w:rFonts w:ascii="宋体" w:hAnsi="Courier New" w:eastAsia="仿宋_GB2312"/>
      <w:kern w:val="2"/>
      <w:sz w:val="32"/>
      <w:szCs w:val="21"/>
    </w:rPr>
  </w:style>
  <w:style w:type="character" w:customStyle="1" w:styleId="19">
    <w:name w:val="批注框文本 字符"/>
    <w:basedOn w:val="14"/>
    <w:link w:val="9"/>
    <w:qFormat/>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452</Words>
  <Characters>2577</Characters>
  <Lines>21</Lines>
  <Paragraphs>6</Paragraphs>
  <TotalTime>0</TotalTime>
  <ScaleCrop>false</ScaleCrop>
  <LinksUpToDate>false</LinksUpToDate>
  <CharactersWithSpaces>3023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2024-03-25T06:55:00Z</dcterms:created>
  <dc:creator>王娟</dc:creator>
  <cp:lastModifiedBy>刘艺</cp:lastModifiedBy>
  <dcterms:modified xsi:type="dcterms:W3CDTF">2026-08-18T08:09:34Z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